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5D3E0" w14:textId="513FEEC8" w:rsidR="006820F6" w:rsidRDefault="003745CE" w:rsidP="00330643">
      <w:pPr>
        <w:autoSpaceDE w:val="0"/>
        <w:autoSpaceDN w:val="0"/>
        <w:adjustRightInd w:val="0"/>
        <w:spacing w:after="0" w:line="276" w:lineRule="auto"/>
        <w:jc w:val="center"/>
        <w:rPr>
          <w:rFonts w:cstheme="minorHAnsi"/>
          <w:b/>
          <w:color w:val="000000"/>
          <w:sz w:val="24"/>
          <w:szCs w:val="24"/>
        </w:rPr>
      </w:pPr>
      <w:bookmarkStart w:id="0" w:name="_Hlk69208818"/>
      <w:r w:rsidRPr="003745CE">
        <w:rPr>
          <w:rFonts w:cstheme="minorHAnsi"/>
          <w:b/>
          <w:color w:val="000000"/>
          <w:sz w:val="24"/>
          <w:szCs w:val="24"/>
        </w:rPr>
        <w:t>P</w:t>
      </w:r>
      <w:r>
        <w:rPr>
          <w:rFonts w:cstheme="minorHAnsi"/>
          <w:b/>
          <w:color w:val="000000"/>
          <w:sz w:val="24"/>
          <w:szCs w:val="24"/>
        </w:rPr>
        <w:t>rice vs. clinical guidelines in primary care</w:t>
      </w:r>
      <w:r w:rsidRPr="003745CE">
        <w:rPr>
          <w:rFonts w:cstheme="minorHAnsi"/>
          <w:b/>
          <w:color w:val="000000"/>
          <w:sz w:val="24"/>
          <w:szCs w:val="24"/>
        </w:rPr>
        <w:t xml:space="preserve"> statin prescribing: a retrospective cohort study and cost simulation model</w:t>
      </w:r>
    </w:p>
    <w:p w14:paraId="1CB85B61" w14:textId="77777777" w:rsidR="007B06A8" w:rsidRDefault="007B06A8" w:rsidP="00330643">
      <w:pPr>
        <w:autoSpaceDE w:val="0"/>
        <w:autoSpaceDN w:val="0"/>
        <w:adjustRightInd w:val="0"/>
        <w:spacing w:after="0" w:line="276" w:lineRule="auto"/>
        <w:jc w:val="center"/>
        <w:rPr>
          <w:rFonts w:cstheme="minorHAnsi"/>
          <w:color w:val="000000"/>
        </w:rPr>
      </w:pPr>
    </w:p>
    <w:p w14:paraId="75A195E0" w14:textId="4C2200AA" w:rsidR="003A30F3" w:rsidRDefault="00B56AAE" w:rsidP="00330643">
      <w:pPr>
        <w:autoSpaceDE w:val="0"/>
        <w:autoSpaceDN w:val="0"/>
        <w:adjustRightInd w:val="0"/>
        <w:spacing w:after="0" w:line="276" w:lineRule="auto"/>
        <w:jc w:val="center"/>
        <w:rPr>
          <w:rFonts w:cstheme="minorHAnsi"/>
          <w:color w:val="000000"/>
        </w:rPr>
      </w:pPr>
      <w:r>
        <w:rPr>
          <w:rFonts w:cstheme="minorHAnsi"/>
          <w:color w:val="000000"/>
        </w:rPr>
        <w:t>Matias</w:t>
      </w:r>
      <w:r w:rsidR="00FC7817">
        <w:rPr>
          <w:rFonts w:cstheme="minorHAnsi"/>
          <w:color w:val="000000"/>
        </w:rPr>
        <w:t xml:space="preserve"> Ortiz De Zarate</w:t>
      </w:r>
      <w:r w:rsidR="003A30F3" w:rsidRPr="000F6391">
        <w:rPr>
          <w:rFonts w:cstheme="minorHAnsi"/>
          <w:color w:val="000000"/>
        </w:rPr>
        <w:t xml:space="preserve">, Emmanouil Mentzakis, Simon Fraser, </w:t>
      </w:r>
      <w:r w:rsidR="00342F2E">
        <w:rPr>
          <w:rFonts w:cstheme="minorHAnsi"/>
          <w:color w:val="000000"/>
        </w:rPr>
        <w:br/>
      </w:r>
      <w:r w:rsidR="003A30F3" w:rsidRPr="000F6391">
        <w:rPr>
          <w:rFonts w:cstheme="minorHAnsi"/>
          <w:color w:val="000000"/>
        </w:rPr>
        <w:t>Paul Roderi</w:t>
      </w:r>
      <w:r w:rsidR="001971AD">
        <w:rPr>
          <w:rFonts w:cstheme="minorHAnsi"/>
          <w:color w:val="000000"/>
        </w:rPr>
        <w:t>c</w:t>
      </w:r>
      <w:r w:rsidR="003A30F3" w:rsidRPr="000F6391">
        <w:rPr>
          <w:rFonts w:cstheme="minorHAnsi"/>
          <w:color w:val="000000"/>
        </w:rPr>
        <w:t>k</w:t>
      </w:r>
      <w:r w:rsidR="003F5B5D">
        <w:rPr>
          <w:rFonts w:cstheme="minorHAnsi"/>
          <w:color w:val="000000"/>
        </w:rPr>
        <w:t>, Paul Rutter</w:t>
      </w:r>
      <w:r w:rsidR="003A30F3" w:rsidRPr="000F6391">
        <w:rPr>
          <w:rFonts w:cstheme="minorHAnsi"/>
          <w:color w:val="000000"/>
        </w:rPr>
        <w:t xml:space="preserve"> and </w:t>
      </w:r>
      <w:r w:rsidR="00FC7817">
        <w:rPr>
          <w:rFonts w:cstheme="minorHAnsi"/>
          <w:color w:val="000000"/>
        </w:rPr>
        <w:t>Carmine Ornaghi</w:t>
      </w:r>
    </w:p>
    <w:p w14:paraId="6E2E1406" w14:textId="00B792F6" w:rsidR="00FC7817" w:rsidRDefault="00FC7817" w:rsidP="00330643">
      <w:pPr>
        <w:autoSpaceDE w:val="0"/>
        <w:autoSpaceDN w:val="0"/>
        <w:adjustRightInd w:val="0"/>
        <w:spacing w:after="0" w:line="276" w:lineRule="auto"/>
        <w:jc w:val="center"/>
        <w:rPr>
          <w:rFonts w:cstheme="minorHAnsi"/>
          <w:color w:val="000000"/>
        </w:rPr>
      </w:pPr>
    </w:p>
    <w:p w14:paraId="1CF000A0" w14:textId="74130851" w:rsidR="00FC7817" w:rsidRPr="00FC7817" w:rsidRDefault="00FC7817" w:rsidP="00330643">
      <w:pPr>
        <w:autoSpaceDE w:val="0"/>
        <w:autoSpaceDN w:val="0"/>
        <w:adjustRightInd w:val="0"/>
        <w:spacing w:after="0" w:line="276" w:lineRule="auto"/>
        <w:ind w:left="142" w:hanging="142"/>
        <w:jc w:val="both"/>
        <w:rPr>
          <w:rFonts w:cstheme="minorHAnsi"/>
          <w:color w:val="000000"/>
        </w:rPr>
      </w:pPr>
      <w:r w:rsidRPr="00FC7817">
        <w:rPr>
          <w:rFonts w:cstheme="minorHAnsi"/>
          <w:color w:val="000000"/>
        </w:rPr>
        <w:t>Matias Ortiz De Zarate</w:t>
      </w:r>
      <w:r w:rsidR="003F5B5D">
        <w:rPr>
          <w:rFonts w:cstheme="minorHAnsi"/>
          <w:color w:val="000000"/>
        </w:rPr>
        <w:t>,</w:t>
      </w:r>
      <w:r w:rsidRPr="00FC7817">
        <w:rPr>
          <w:rFonts w:cstheme="minorHAnsi"/>
          <w:color w:val="000000"/>
        </w:rPr>
        <w:t xml:space="preserve"> Department of Economics,</w:t>
      </w:r>
      <w:r w:rsidR="003745CE">
        <w:rPr>
          <w:rFonts w:cstheme="minorHAnsi"/>
          <w:color w:val="000000"/>
        </w:rPr>
        <w:t xml:space="preserve"> Faculty of Social Sciences,</w:t>
      </w:r>
      <w:r w:rsidRPr="00FC7817">
        <w:rPr>
          <w:rFonts w:cstheme="minorHAnsi"/>
          <w:color w:val="000000"/>
        </w:rPr>
        <w:t xml:space="preserve"> University of Southampton</w:t>
      </w:r>
    </w:p>
    <w:p w14:paraId="2A74F819" w14:textId="1E6F129E" w:rsidR="00FC7817" w:rsidRDefault="00FC7817" w:rsidP="00330643">
      <w:pPr>
        <w:autoSpaceDE w:val="0"/>
        <w:autoSpaceDN w:val="0"/>
        <w:adjustRightInd w:val="0"/>
        <w:spacing w:after="0" w:line="276" w:lineRule="auto"/>
        <w:ind w:left="142" w:hanging="142"/>
        <w:jc w:val="both"/>
        <w:rPr>
          <w:rFonts w:cstheme="minorHAnsi"/>
          <w:color w:val="000000"/>
        </w:rPr>
      </w:pPr>
      <w:r w:rsidRPr="00FC7817">
        <w:rPr>
          <w:rFonts w:cstheme="minorHAnsi"/>
          <w:color w:val="000000"/>
        </w:rPr>
        <w:t>Emmanouil Mentz</w:t>
      </w:r>
      <w:r w:rsidR="00102B76">
        <w:rPr>
          <w:rFonts w:cstheme="minorHAnsi"/>
          <w:color w:val="000000"/>
        </w:rPr>
        <w:t>akis</w:t>
      </w:r>
      <w:r w:rsidR="003F5B5D">
        <w:rPr>
          <w:rFonts w:cstheme="minorHAnsi"/>
          <w:color w:val="000000"/>
        </w:rPr>
        <w:t>,</w:t>
      </w:r>
      <w:r w:rsidRPr="00FC7817">
        <w:rPr>
          <w:rFonts w:cstheme="minorHAnsi"/>
          <w:color w:val="000000"/>
        </w:rPr>
        <w:t xml:space="preserve"> </w:t>
      </w:r>
      <w:r>
        <w:rPr>
          <w:rFonts w:cstheme="minorHAnsi"/>
          <w:color w:val="000000"/>
        </w:rPr>
        <w:t>Department of</w:t>
      </w:r>
      <w:r w:rsidRPr="00FC7817">
        <w:rPr>
          <w:rFonts w:cstheme="minorHAnsi"/>
          <w:color w:val="000000"/>
        </w:rPr>
        <w:t xml:space="preserve"> Economics</w:t>
      </w:r>
      <w:r>
        <w:rPr>
          <w:rFonts w:cstheme="minorHAnsi"/>
          <w:color w:val="000000"/>
        </w:rPr>
        <w:t>,</w:t>
      </w:r>
      <w:r w:rsidR="003745CE">
        <w:rPr>
          <w:rFonts w:cstheme="minorHAnsi"/>
          <w:color w:val="000000"/>
        </w:rPr>
        <w:t xml:space="preserve"> Faculty of Social Sciences,</w:t>
      </w:r>
      <w:r w:rsidR="00850E9D">
        <w:rPr>
          <w:rFonts w:cstheme="minorHAnsi"/>
          <w:color w:val="000000"/>
        </w:rPr>
        <w:t xml:space="preserve"> University of Southampton</w:t>
      </w:r>
    </w:p>
    <w:p w14:paraId="2A769D8C" w14:textId="49FB651E" w:rsidR="00F07A79" w:rsidRPr="003745CE" w:rsidRDefault="00FC7817" w:rsidP="00330643">
      <w:pPr>
        <w:autoSpaceDE w:val="0"/>
        <w:autoSpaceDN w:val="0"/>
        <w:adjustRightInd w:val="0"/>
        <w:spacing w:after="0" w:line="276" w:lineRule="auto"/>
        <w:ind w:left="142" w:hanging="142"/>
        <w:jc w:val="both"/>
        <w:rPr>
          <w:rFonts w:cstheme="minorHAnsi"/>
          <w:color w:val="000000"/>
        </w:rPr>
      </w:pPr>
      <w:r w:rsidRPr="003745CE">
        <w:rPr>
          <w:rFonts w:cstheme="minorHAnsi"/>
          <w:color w:val="000000"/>
        </w:rPr>
        <w:t xml:space="preserve">Simon </w:t>
      </w:r>
      <w:r w:rsidR="00550B20" w:rsidRPr="003745CE">
        <w:rPr>
          <w:rFonts w:cstheme="minorHAnsi"/>
          <w:color w:val="000000"/>
        </w:rPr>
        <w:t xml:space="preserve">DS </w:t>
      </w:r>
      <w:r w:rsidRPr="003745CE">
        <w:rPr>
          <w:rFonts w:cstheme="minorHAnsi"/>
          <w:color w:val="000000"/>
        </w:rPr>
        <w:t>Fraser</w:t>
      </w:r>
      <w:r w:rsidR="003F5B5D" w:rsidRPr="003745CE">
        <w:rPr>
          <w:rFonts w:cstheme="minorHAnsi"/>
          <w:color w:val="000000"/>
        </w:rPr>
        <w:t>,</w:t>
      </w:r>
      <w:r w:rsidR="003266D5" w:rsidRPr="003745CE">
        <w:rPr>
          <w:rFonts w:cstheme="minorHAnsi"/>
          <w:color w:val="000000"/>
        </w:rPr>
        <w:t xml:space="preserve"> </w:t>
      </w:r>
      <w:r w:rsidR="003745CE">
        <w:rPr>
          <w:rFonts w:cstheme="minorHAnsi"/>
          <w:color w:val="000000"/>
        </w:rPr>
        <w:t>School of Primary Care</w:t>
      </w:r>
      <w:r w:rsidR="00550B20" w:rsidRPr="003745CE">
        <w:rPr>
          <w:rFonts w:cstheme="minorHAnsi"/>
          <w:color w:val="000000"/>
        </w:rPr>
        <w:t>, Population Sciences and Medical Education, Faculty of Medicine, University of Southampton, Southampton General Hospital</w:t>
      </w:r>
    </w:p>
    <w:p w14:paraId="5AC12729" w14:textId="1C177D00" w:rsidR="00FC7817" w:rsidRPr="003745CE" w:rsidRDefault="00FC7817" w:rsidP="00330643">
      <w:pPr>
        <w:autoSpaceDE w:val="0"/>
        <w:autoSpaceDN w:val="0"/>
        <w:adjustRightInd w:val="0"/>
        <w:spacing w:after="0" w:line="276" w:lineRule="auto"/>
        <w:ind w:left="142" w:hanging="142"/>
        <w:jc w:val="both"/>
        <w:rPr>
          <w:rFonts w:cstheme="minorHAnsi"/>
          <w:color w:val="000000"/>
        </w:rPr>
      </w:pPr>
      <w:r w:rsidRPr="003745CE">
        <w:rPr>
          <w:rFonts w:cstheme="minorHAnsi"/>
          <w:color w:val="000000"/>
        </w:rPr>
        <w:t>Paul Roderick</w:t>
      </w:r>
      <w:r w:rsidR="003F5B5D" w:rsidRPr="003745CE">
        <w:rPr>
          <w:rFonts w:cstheme="minorHAnsi"/>
          <w:color w:val="000000"/>
        </w:rPr>
        <w:t>,</w:t>
      </w:r>
      <w:r w:rsidR="003745CE">
        <w:rPr>
          <w:rFonts w:cstheme="minorHAnsi"/>
          <w:color w:val="000000"/>
        </w:rPr>
        <w:t xml:space="preserve"> School of Primary Care</w:t>
      </w:r>
      <w:r w:rsidR="00550B20" w:rsidRPr="003745CE">
        <w:rPr>
          <w:rFonts w:cstheme="minorHAnsi"/>
          <w:color w:val="000000"/>
        </w:rPr>
        <w:t>, Population Sciences and Medical Education, Faculty of Medicine, University of Southampton, Southampton General Hospital</w:t>
      </w:r>
    </w:p>
    <w:p w14:paraId="2370C682" w14:textId="77777777" w:rsidR="00850E9D" w:rsidRDefault="008709E3" w:rsidP="00330643">
      <w:pPr>
        <w:autoSpaceDE w:val="0"/>
        <w:autoSpaceDN w:val="0"/>
        <w:adjustRightInd w:val="0"/>
        <w:spacing w:after="0" w:line="276" w:lineRule="auto"/>
        <w:ind w:left="142" w:hanging="142"/>
        <w:jc w:val="both"/>
        <w:rPr>
          <w:rFonts w:cstheme="minorHAnsi"/>
          <w:color w:val="000000"/>
        </w:rPr>
      </w:pPr>
      <w:r w:rsidRPr="003745CE">
        <w:rPr>
          <w:rFonts w:cstheme="minorHAnsi"/>
          <w:color w:val="000000"/>
        </w:rPr>
        <w:t>Paul Ru</w:t>
      </w:r>
      <w:r w:rsidR="003F5B5D" w:rsidRPr="003745CE">
        <w:rPr>
          <w:rFonts w:cstheme="minorHAnsi"/>
          <w:color w:val="000000"/>
        </w:rPr>
        <w:t>t</w:t>
      </w:r>
      <w:r w:rsidRPr="003745CE">
        <w:rPr>
          <w:rFonts w:cstheme="minorHAnsi"/>
          <w:color w:val="000000"/>
        </w:rPr>
        <w:t>ter</w:t>
      </w:r>
      <w:r w:rsidR="003F5B5D" w:rsidRPr="003745CE">
        <w:rPr>
          <w:rFonts w:cstheme="minorHAnsi"/>
          <w:color w:val="000000"/>
        </w:rPr>
        <w:t>,</w:t>
      </w:r>
      <w:r w:rsidR="00850E9D" w:rsidRPr="00850E9D">
        <w:t xml:space="preserve"> </w:t>
      </w:r>
      <w:r w:rsidR="00850E9D" w:rsidRPr="00850E9D">
        <w:rPr>
          <w:rFonts w:cstheme="minorHAnsi"/>
          <w:color w:val="000000"/>
        </w:rPr>
        <w:t xml:space="preserve">School of Pharmacy and Biomedical Sciences, Faculty of Health and Science, University of Portsmouth </w:t>
      </w:r>
    </w:p>
    <w:p w14:paraId="0F759176" w14:textId="7EFE7D57" w:rsidR="00D41203" w:rsidRDefault="00FC7817" w:rsidP="00330643">
      <w:pPr>
        <w:autoSpaceDE w:val="0"/>
        <w:autoSpaceDN w:val="0"/>
        <w:adjustRightInd w:val="0"/>
        <w:spacing w:after="0" w:line="276" w:lineRule="auto"/>
        <w:ind w:left="142" w:hanging="142"/>
        <w:jc w:val="both"/>
        <w:rPr>
          <w:rFonts w:cstheme="minorHAnsi"/>
          <w:color w:val="000000"/>
        </w:rPr>
      </w:pPr>
      <w:r>
        <w:rPr>
          <w:rFonts w:cstheme="minorHAnsi"/>
          <w:color w:val="000000"/>
        </w:rPr>
        <w:t>Carmine Ornaghi</w:t>
      </w:r>
      <w:r w:rsidR="00627050">
        <w:rPr>
          <w:rFonts w:cstheme="minorHAnsi"/>
          <w:color w:val="000000"/>
        </w:rPr>
        <w:t>,</w:t>
      </w:r>
      <w:r>
        <w:rPr>
          <w:rFonts w:cstheme="minorHAnsi"/>
          <w:color w:val="000000"/>
        </w:rPr>
        <w:t xml:space="preserve"> Department of Economics,</w:t>
      </w:r>
      <w:r w:rsidR="003745CE">
        <w:rPr>
          <w:rFonts w:cstheme="minorHAnsi"/>
          <w:color w:val="000000"/>
        </w:rPr>
        <w:t xml:space="preserve"> Faculty of Social Sciences,</w:t>
      </w:r>
      <w:r>
        <w:rPr>
          <w:rFonts w:cstheme="minorHAnsi"/>
          <w:color w:val="000000"/>
        </w:rPr>
        <w:t xml:space="preserve"> University of Southampton</w:t>
      </w:r>
    </w:p>
    <w:p w14:paraId="5BEA2FA2" w14:textId="1542DF5F" w:rsidR="00FC7817" w:rsidRPr="00FC7817" w:rsidRDefault="00FC7817" w:rsidP="00330643">
      <w:pPr>
        <w:autoSpaceDE w:val="0"/>
        <w:autoSpaceDN w:val="0"/>
        <w:adjustRightInd w:val="0"/>
        <w:spacing w:after="0" w:line="276" w:lineRule="auto"/>
        <w:jc w:val="both"/>
        <w:rPr>
          <w:rFonts w:cstheme="minorHAnsi"/>
          <w:color w:val="000000"/>
        </w:rPr>
      </w:pPr>
      <w:r>
        <w:rPr>
          <w:rFonts w:cstheme="minorHAnsi"/>
          <w:color w:val="000000"/>
        </w:rPr>
        <w:t>Correspondence to: C</w:t>
      </w:r>
      <w:r w:rsidR="00EF4243">
        <w:rPr>
          <w:rFonts w:cstheme="minorHAnsi"/>
          <w:color w:val="000000"/>
        </w:rPr>
        <w:t>armine</w:t>
      </w:r>
      <w:r>
        <w:rPr>
          <w:rFonts w:cstheme="minorHAnsi"/>
          <w:color w:val="000000"/>
        </w:rPr>
        <w:t xml:space="preserve"> Ornaghi C.Ornaghi@soton.ac.uk</w:t>
      </w:r>
    </w:p>
    <w:p w14:paraId="57CA9A19" w14:textId="4AB2EA59" w:rsidR="00DA1C93" w:rsidRDefault="00DA1C93" w:rsidP="00330643">
      <w:pPr>
        <w:pStyle w:val="CommentText"/>
        <w:spacing w:line="276" w:lineRule="auto"/>
        <w:jc w:val="both"/>
        <w:rPr>
          <w:b/>
          <w:sz w:val="22"/>
          <w:szCs w:val="22"/>
        </w:rPr>
      </w:pPr>
    </w:p>
    <w:p w14:paraId="341F9F74" w14:textId="77777777" w:rsidR="00D214C3" w:rsidRPr="00F37BA3" w:rsidRDefault="00D214C3" w:rsidP="00330643">
      <w:pPr>
        <w:autoSpaceDE w:val="0"/>
        <w:autoSpaceDN w:val="0"/>
        <w:adjustRightInd w:val="0"/>
        <w:spacing w:line="276" w:lineRule="auto"/>
        <w:jc w:val="center"/>
        <w:rPr>
          <w:rFonts w:cstheme="minorHAnsi"/>
          <w:i/>
          <w:color w:val="000000"/>
        </w:rPr>
      </w:pPr>
      <w:r w:rsidRPr="00F37BA3">
        <w:rPr>
          <w:rFonts w:cstheme="minorHAnsi"/>
          <w:b/>
          <w:i/>
          <w:color w:val="000000"/>
        </w:rPr>
        <w:t>Abstract</w:t>
      </w:r>
    </w:p>
    <w:p w14:paraId="3C34FB15" w14:textId="77777777" w:rsidR="00D214C3" w:rsidRPr="00F37BA3" w:rsidRDefault="00D214C3" w:rsidP="00330643">
      <w:pPr>
        <w:pStyle w:val="CommentText"/>
        <w:spacing w:line="276" w:lineRule="auto"/>
        <w:jc w:val="both"/>
        <w:rPr>
          <w:sz w:val="22"/>
          <w:szCs w:val="22"/>
        </w:rPr>
      </w:pPr>
      <w:r w:rsidRPr="00F37BA3">
        <w:rPr>
          <w:b/>
          <w:sz w:val="22"/>
          <w:szCs w:val="22"/>
        </w:rPr>
        <w:t xml:space="preserve">Objective: </w:t>
      </w:r>
      <w:r w:rsidRPr="00F37BA3">
        <w:rPr>
          <w:sz w:val="22"/>
          <w:szCs w:val="22"/>
        </w:rPr>
        <w:t xml:space="preserve">To investigate the relative impact of generic entry </w:t>
      </w:r>
      <w:r>
        <w:rPr>
          <w:sz w:val="22"/>
          <w:szCs w:val="22"/>
        </w:rPr>
        <w:t>and</w:t>
      </w:r>
      <w:r w:rsidRPr="00F37BA3">
        <w:rPr>
          <w:sz w:val="22"/>
          <w:szCs w:val="22"/>
        </w:rPr>
        <w:t xml:space="preserve"> NICE </w:t>
      </w:r>
      <w:r>
        <w:rPr>
          <w:sz w:val="22"/>
          <w:szCs w:val="22"/>
        </w:rPr>
        <w:t xml:space="preserve">clinical </w:t>
      </w:r>
      <w:r w:rsidRPr="00F37BA3">
        <w:rPr>
          <w:sz w:val="22"/>
          <w:szCs w:val="22"/>
        </w:rPr>
        <w:t>guidelines on prescribing using statins as an exemplar.</w:t>
      </w:r>
    </w:p>
    <w:p w14:paraId="57913B94" w14:textId="77777777" w:rsidR="00D214C3" w:rsidRPr="00F37BA3" w:rsidRDefault="00D214C3" w:rsidP="00330643">
      <w:pPr>
        <w:pStyle w:val="CommentText"/>
        <w:spacing w:line="276" w:lineRule="auto"/>
        <w:jc w:val="both"/>
        <w:rPr>
          <w:sz w:val="22"/>
          <w:szCs w:val="22"/>
        </w:rPr>
      </w:pPr>
      <w:r w:rsidRPr="00F37BA3">
        <w:rPr>
          <w:b/>
          <w:sz w:val="22"/>
          <w:szCs w:val="22"/>
        </w:rPr>
        <w:t>Design:</w:t>
      </w:r>
      <w:r w:rsidRPr="00F37BA3">
        <w:rPr>
          <w:sz w:val="22"/>
          <w:szCs w:val="22"/>
        </w:rPr>
        <w:t xml:space="preserve"> Retrospective analysis of </w:t>
      </w:r>
      <w:r>
        <w:rPr>
          <w:sz w:val="22"/>
          <w:szCs w:val="22"/>
        </w:rPr>
        <w:t xml:space="preserve">statin </w:t>
      </w:r>
      <w:r w:rsidRPr="00F37BA3">
        <w:rPr>
          <w:sz w:val="22"/>
          <w:szCs w:val="22"/>
        </w:rPr>
        <w:t>prescribing</w:t>
      </w:r>
      <w:r>
        <w:rPr>
          <w:sz w:val="22"/>
          <w:szCs w:val="22"/>
        </w:rPr>
        <w:t xml:space="preserve"> </w:t>
      </w:r>
      <w:r w:rsidRPr="00F37BA3">
        <w:rPr>
          <w:sz w:val="22"/>
          <w:szCs w:val="22"/>
        </w:rPr>
        <w:t>in primary care</w:t>
      </w:r>
      <w:r>
        <w:rPr>
          <w:sz w:val="22"/>
          <w:szCs w:val="22"/>
        </w:rPr>
        <w:t>,</w:t>
      </w:r>
      <w:r w:rsidRPr="00F37BA3">
        <w:rPr>
          <w:sz w:val="22"/>
          <w:szCs w:val="22"/>
        </w:rPr>
        <w:t xml:space="preserve"> and cost simulation model.</w:t>
      </w:r>
    </w:p>
    <w:p w14:paraId="79A78CA1" w14:textId="77777777" w:rsidR="00D214C3" w:rsidRPr="00F37BA3" w:rsidRDefault="00D214C3" w:rsidP="00330643">
      <w:pPr>
        <w:pStyle w:val="CommentText"/>
        <w:spacing w:line="276" w:lineRule="auto"/>
        <w:jc w:val="both"/>
        <w:rPr>
          <w:sz w:val="22"/>
          <w:szCs w:val="22"/>
        </w:rPr>
      </w:pPr>
      <w:r w:rsidRPr="00F37BA3">
        <w:rPr>
          <w:b/>
          <w:sz w:val="22"/>
          <w:szCs w:val="22"/>
        </w:rPr>
        <w:t>Setting:</w:t>
      </w:r>
      <w:r w:rsidRPr="00F37BA3">
        <w:rPr>
          <w:sz w:val="22"/>
          <w:szCs w:val="22"/>
        </w:rPr>
        <w:t xml:space="preserve"> </w:t>
      </w:r>
      <w:r w:rsidRPr="00F37BA3">
        <w:rPr>
          <w:rFonts w:eastAsia="Times New Roman" w:cstheme="minorHAnsi"/>
          <w:sz w:val="22"/>
          <w:szCs w:val="22"/>
          <w:lang w:eastAsia="en-GB"/>
        </w:rPr>
        <w:t>Royal College of General Practitioners Research and Surveillance Centre (RCGP R&amp;SC) database and Prescription Cost Analysis (PCA) database.</w:t>
      </w:r>
    </w:p>
    <w:p w14:paraId="2BCB03F6" w14:textId="77777777" w:rsidR="00D214C3" w:rsidRPr="00F37BA3" w:rsidRDefault="00D214C3" w:rsidP="00330643">
      <w:pPr>
        <w:pStyle w:val="CommentText"/>
        <w:spacing w:line="276" w:lineRule="auto"/>
        <w:jc w:val="both"/>
        <w:rPr>
          <w:rFonts w:eastAsia="Times New Roman" w:cstheme="minorHAnsi"/>
          <w:sz w:val="22"/>
          <w:szCs w:val="22"/>
          <w:lang w:eastAsia="en-GB"/>
        </w:rPr>
      </w:pPr>
      <w:r w:rsidRPr="00F37BA3">
        <w:rPr>
          <w:rFonts w:eastAsia="Times New Roman" w:cstheme="minorHAnsi"/>
          <w:b/>
          <w:sz w:val="22"/>
          <w:szCs w:val="22"/>
          <w:lang w:eastAsia="en-GB"/>
        </w:rPr>
        <w:t>Participants:</w:t>
      </w:r>
      <w:r w:rsidRPr="00F37BA3">
        <w:rPr>
          <w:rFonts w:eastAsia="Times New Roman" w:cstheme="minorHAnsi"/>
          <w:sz w:val="22"/>
          <w:szCs w:val="22"/>
          <w:lang w:eastAsia="en-GB"/>
        </w:rPr>
        <w:t xml:space="preserve"> </w:t>
      </w:r>
      <w:r>
        <w:rPr>
          <w:rFonts w:eastAsia="Times New Roman" w:cstheme="minorHAnsi"/>
          <w:sz w:val="22"/>
          <w:szCs w:val="22"/>
          <w:lang w:eastAsia="en-GB"/>
        </w:rPr>
        <w:t>New p</w:t>
      </w:r>
      <w:r w:rsidRPr="00F37BA3">
        <w:rPr>
          <w:rFonts w:eastAsia="Times New Roman" w:cstheme="minorHAnsi"/>
          <w:sz w:val="22"/>
          <w:szCs w:val="22"/>
          <w:lang w:eastAsia="en-GB"/>
        </w:rPr>
        <w:t>atients prescribed statins</w:t>
      </w:r>
      <w:r>
        <w:rPr>
          <w:rFonts w:eastAsia="Times New Roman" w:cstheme="minorHAnsi"/>
          <w:sz w:val="22"/>
          <w:szCs w:val="22"/>
          <w:lang w:eastAsia="en-GB"/>
        </w:rPr>
        <w:t xml:space="preserve"> for the first time</w:t>
      </w:r>
      <w:r w:rsidRPr="00F37BA3">
        <w:rPr>
          <w:rFonts w:eastAsia="Times New Roman" w:cstheme="minorHAnsi"/>
          <w:sz w:val="22"/>
          <w:szCs w:val="22"/>
          <w:lang w:eastAsia="en-GB"/>
        </w:rPr>
        <w:t xml:space="preserve"> </w:t>
      </w:r>
      <w:r>
        <w:rPr>
          <w:rFonts w:eastAsia="Times New Roman" w:cstheme="minorHAnsi"/>
          <w:sz w:val="22"/>
          <w:szCs w:val="22"/>
          <w:lang w:eastAsia="en-GB"/>
        </w:rPr>
        <w:t xml:space="preserve">between July 2003 and September 2018. </w:t>
      </w:r>
    </w:p>
    <w:p w14:paraId="2663B76E" w14:textId="1C6967D7" w:rsidR="00D214C3" w:rsidRPr="00F37BA3" w:rsidRDefault="00D214C3" w:rsidP="00330643">
      <w:pPr>
        <w:autoSpaceDE w:val="0"/>
        <w:autoSpaceDN w:val="0"/>
        <w:adjustRightInd w:val="0"/>
        <w:spacing w:line="276" w:lineRule="auto"/>
        <w:ind w:right="4"/>
        <w:jc w:val="both"/>
        <w:rPr>
          <w:rFonts w:cstheme="minorHAnsi"/>
          <w:color w:val="000000"/>
        </w:rPr>
      </w:pPr>
      <w:r w:rsidRPr="00F37BA3">
        <w:rPr>
          <w:rFonts w:cstheme="minorHAnsi"/>
          <w:b/>
          <w:color w:val="000000"/>
        </w:rPr>
        <w:t xml:space="preserve">Results: </w:t>
      </w:r>
      <w:r w:rsidRPr="00F37BA3">
        <w:rPr>
          <w:rFonts w:cstheme="minorHAnsi"/>
          <w:color w:val="000000"/>
        </w:rPr>
        <w:t xml:space="preserve">General trends of statins' prescriptions </w:t>
      </w:r>
      <w:r>
        <w:rPr>
          <w:rFonts w:cstheme="minorHAnsi"/>
          <w:color w:val="000000"/>
        </w:rPr>
        <w:t>were</w:t>
      </w:r>
      <w:r w:rsidRPr="00F37BA3">
        <w:rPr>
          <w:rFonts w:cstheme="minorHAnsi"/>
          <w:color w:val="000000"/>
        </w:rPr>
        <w:t xml:space="preserve"> largely driven by a decrease in acquisition costs</w:t>
      </w:r>
      <w:r>
        <w:rPr>
          <w:rFonts w:cstheme="minorHAnsi"/>
          <w:color w:val="000000"/>
        </w:rPr>
        <w:t xml:space="preserve"> triggered by patent expiration</w:t>
      </w:r>
      <w:r w:rsidR="00B07CF8">
        <w:rPr>
          <w:rFonts w:cstheme="minorHAnsi"/>
          <w:color w:val="000000"/>
        </w:rPr>
        <w:t xml:space="preserve">, preceding </w:t>
      </w:r>
      <w:r>
        <w:rPr>
          <w:rFonts w:cstheme="minorHAnsi"/>
          <w:color w:val="000000"/>
        </w:rPr>
        <w:t xml:space="preserve">NICE guidelines </w:t>
      </w:r>
      <w:r w:rsidR="00B07CF8">
        <w:rPr>
          <w:rFonts w:cstheme="minorHAnsi"/>
          <w:color w:val="000000"/>
        </w:rPr>
        <w:t xml:space="preserve">which </w:t>
      </w:r>
      <w:r w:rsidR="00A004AB">
        <w:rPr>
          <w:rFonts w:cstheme="minorHAnsi"/>
          <w:color w:val="000000"/>
        </w:rPr>
        <w:t>themselves</w:t>
      </w:r>
      <w:r w:rsidR="00B07CF8">
        <w:rPr>
          <w:rFonts w:cstheme="minorHAnsi"/>
          <w:color w:val="000000"/>
        </w:rPr>
        <w:t xml:space="preserve"> </w:t>
      </w:r>
      <w:r>
        <w:rPr>
          <w:rFonts w:cstheme="minorHAnsi"/>
          <w:color w:val="000000"/>
        </w:rPr>
        <w:t xml:space="preserve">did not seem to </w:t>
      </w:r>
      <w:r w:rsidR="00B07CF8">
        <w:rPr>
          <w:rFonts w:cstheme="minorHAnsi"/>
          <w:color w:val="000000"/>
        </w:rPr>
        <w:t xml:space="preserve">affect </w:t>
      </w:r>
      <w:r>
        <w:rPr>
          <w:rFonts w:cstheme="minorHAnsi"/>
          <w:color w:val="000000"/>
        </w:rPr>
        <w:t>prescription trends.</w:t>
      </w:r>
      <w:r w:rsidR="00761423">
        <w:rPr>
          <w:rFonts w:cstheme="minorHAnsi"/>
          <w:color w:val="000000"/>
        </w:rPr>
        <w:t xml:space="preserve"> </w:t>
      </w:r>
      <w:r w:rsidR="00F3333F" w:rsidRPr="00F3333F">
        <w:rPr>
          <w:rFonts w:cstheme="minorHAnsi"/>
          <w:color w:val="000000"/>
        </w:rPr>
        <w:t>We also observe significant heterogeneity in the prescription of the most cost-effective statin across GPs</w:t>
      </w:r>
      <w:r w:rsidR="00F3333F">
        <w:rPr>
          <w:rFonts w:cstheme="minorHAnsi"/>
          <w:color w:val="000000"/>
        </w:rPr>
        <w:t>.</w:t>
      </w:r>
      <w:r>
        <w:rPr>
          <w:rFonts w:cstheme="minorHAnsi"/>
          <w:color w:val="000000"/>
        </w:rPr>
        <w:t xml:space="preserve"> </w:t>
      </w:r>
      <w:r w:rsidRPr="00F37BA3">
        <w:rPr>
          <w:rFonts w:cstheme="minorHAnsi"/>
          <w:color w:val="000000"/>
        </w:rPr>
        <w:t xml:space="preserve"> A cost simulation show</w:t>
      </w:r>
      <w:r>
        <w:rPr>
          <w:rFonts w:cstheme="minorHAnsi"/>
          <w:color w:val="000000"/>
        </w:rPr>
        <w:t>s</w:t>
      </w:r>
      <w:r w:rsidRPr="00F37BA3">
        <w:rPr>
          <w:rFonts w:cstheme="minorHAnsi"/>
          <w:color w:val="000000"/>
        </w:rPr>
        <w:t xml:space="preserve"> that</w:t>
      </w:r>
      <w:r>
        <w:rPr>
          <w:rFonts w:cstheme="minorHAnsi"/>
          <w:color w:val="000000"/>
        </w:rPr>
        <w:t>, between 2004 and 2018,</w:t>
      </w:r>
      <w:r w:rsidRPr="00F37BA3">
        <w:rPr>
          <w:rFonts w:cstheme="minorHAnsi"/>
          <w:color w:val="000000"/>
        </w:rPr>
        <w:t xml:space="preserve"> the NHS could have saved </w:t>
      </w:r>
      <w:r>
        <w:rPr>
          <w:rFonts w:cstheme="minorHAnsi"/>
          <w:color w:val="000000"/>
        </w:rPr>
        <w:t xml:space="preserve">£2.8bn (around 40% of the £6.3bn spent on statins during this time) </w:t>
      </w:r>
      <w:r w:rsidRPr="00F37BA3">
        <w:rPr>
          <w:rFonts w:cstheme="minorHAnsi"/>
          <w:color w:val="000000"/>
        </w:rPr>
        <w:t>if all GP practices had prescribed only the most cost-effective treatment.</w:t>
      </w:r>
    </w:p>
    <w:p w14:paraId="4AD27713" w14:textId="5A80C03D" w:rsidR="00D214C3" w:rsidRDefault="00D214C3" w:rsidP="00330643">
      <w:pPr>
        <w:pStyle w:val="CommentText"/>
        <w:spacing w:line="276" w:lineRule="auto"/>
        <w:jc w:val="both"/>
        <w:rPr>
          <w:sz w:val="22"/>
          <w:szCs w:val="22"/>
        </w:rPr>
      </w:pPr>
      <w:r w:rsidRPr="00F37BA3">
        <w:rPr>
          <w:rFonts w:eastAsia="Times New Roman" w:cstheme="minorHAnsi"/>
          <w:b/>
          <w:sz w:val="22"/>
          <w:szCs w:val="22"/>
          <w:lang w:eastAsia="en-GB"/>
        </w:rPr>
        <w:t xml:space="preserve">Conclusions: </w:t>
      </w:r>
      <w:r>
        <w:rPr>
          <w:rFonts w:cstheme="minorHAnsi"/>
          <w:color w:val="000000"/>
          <w:sz w:val="22"/>
          <w:szCs w:val="22"/>
        </w:rPr>
        <w:t>T</w:t>
      </w:r>
      <w:r w:rsidRPr="00F37BA3">
        <w:rPr>
          <w:rFonts w:cstheme="minorHAnsi"/>
          <w:color w:val="000000"/>
          <w:sz w:val="22"/>
          <w:szCs w:val="22"/>
        </w:rPr>
        <w:t>he</w:t>
      </w:r>
      <w:r>
        <w:rPr>
          <w:rFonts w:cstheme="minorHAnsi"/>
          <w:color w:val="000000"/>
          <w:sz w:val="22"/>
          <w:szCs w:val="22"/>
        </w:rPr>
        <w:t>re</w:t>
      </w:r>
      <w:r w:rsidRPr="00F37BA3">
        <w:rPr>
          <w:rFonts w:cstheme="minorHAnsi"/>
          <w:color w:val="000000"/>
          <w:sz w:val="22"/>
          <w:szCs w:val="22"/>
        </w:rPr>
        <w:t xml:space="preserve"> </w:t>
      </w:r>
      <w:r>
        <w:rPr>
          <w:rFonts w:cstheme="minorHAnsi"/>
          <w:color w:val="000000"/>
          <w:sz w:val="22"/>
          <w:szCs w:val="22"/>
        </w:rPr>
        <w:t xml:space="preserve">is </w:t>
      </w:r>
      <w:r w:rsidRPr="00F37BA3">
        <w:rPr>
          <w:rFonts w:cstheme="minorHAnsi"/>
          <w:color w:val="000000"/>
          <w:sz w:val="22"/>
          <w:szCs w:val="22"/>
        </w:rPr>
        <w:t>potential f</w:t>
      </w:r>
      <w:r>
        <w:rPr>
          <w:rFonts w:cstheme="minorHAnsi"/>
          <w:color w:val="000000"/>
          <w:sz w:val="22"/>
          <w:szCs w:val="22"/>
        </w:rPr>
        <w:t>or large savings for the NHS if</w:t>
      </w:r>
      <w:r w:rsidRPr="00F37BA3">
        <w:rPr>
          <w:rFonts w:eastAsia="Times New Roman" w:cstheme="minorHAnsi"/>
          <w:sz w:val="22"/>
          <w:szCs w:val="22"/>
          <w:lang w:eastAsia="en-GB"/>
        </w:rPr>
        <w:t xml:space="preserve"> new and, whenever possible, on-going patients are promptly switched to</w:t>
      </w:r>
      <w:r>
        <w:rPr>
          <w:rFonts w:eastAsia="Times New Roman" w:cstheme="minorHAnsi"/>
          <w:sz w:val="22"/>
          <w:szCs w:val="22"/>
          <w:lang w:eastAsia="en-GB"/>
        </w:rPr>
        <w:t xml:space="preserve"> the first medicine that becomes available as generic within a therapeutic class as long as it has similar efficacy to still patented medicines.</w:t>
      </w:r>
    </w:p>
    <w:p w14:paraId="68CC9D7F" w14:textId="77777777" w:rsidR="00D214C3" w:rsidRDefault="00D214C3" w:rsidP="007144CB">
      <w:pPr>
        <w:pStyle w:val="CommentText"/>
        <w:jc w:val="both"/>
        <w:rPr>
          <w:sz w:val="22"/>
          <w:szCs w:val="22"/>
        </w:rPr>
      </w:pPr>
    </w:p>
    <w:p w14:paraId="57F49E54" w14:textId="32FDEF6E" w:rsidR="00D214C3" w:rsidRDefault="00D214C3" w:rsidP="007144CB">
      <w:pPr>
        <w:pStyle w:val="CommentText"/>
        <w:jc w:val="both"/>
        <w:rPr>
          <w:sz w:val="22"/>
          <w:szCs w:val="22"/>
        </w:rPr>
      </w:pPr>
    </w:p>
    <w:p w14:paraId="52D71D69" w14:textId="77777777" w:rsidR="004319D3" w:rsidRDefault="004319D3" w:rsidP="007144CB">
      <w:pPr>
        <w:pStyle w:val="CommentText"/>
        <w:jc w:val="both"/>
        <w:rPr>
          <w:sz w:val="22"/>
          <w:szCs w:val="22"/>
        </w:rPr>
      </w:pPr>
    </w:p>
    <w:p w14:paraId="00E1437E" w14:textId="2E708A24" w:rsidR="002A5F70" w:rsidRPr="007144CB" w:rsidRDefault="00B130FD" w:rsidP="00330643">
      <w:pPr>
        <w:spacing w:line="240" w:lineRule="auto"/>
        <w:jc w:val="both"/>
        <w:rPr>
          <w:b/>
          <w:bCs/>
        </w:rPr>
      </w:pPr>
      <w:r w:rsidRPr="007144CB">
        <w:rPr>
          <w:b/>
          <w:bCs/>
        </w:rPr>
        <w:lastRenderedPageBreak/>
        <w:t>INTRO</w:t>
      </w:r>
      <w:r w:rsidR="006F3FE5" w:rsidRPr="007144CB">
        <w:rPr>
          <w:b/>
          <w:bCs/>
        </w:rPr>
        <w:t>DUCTION</w:t>
      </w:r>
      <w:r w:rsidR="007144CB">
        <w:rPr>
          <w:b/>
          <w:bCs/>
        </w:rPr>
        <w:br/>
      </w:r>
      <w:r w:rsidR="007144CB">
        <w:rPr>
          <w:b/>
          <w:bCs/>
        </w:rPr>
        <w:br/>
      </w:r>
      <w:r w:rsidR="00803847">
        <w:t>In a context where n</w:t>
      </w:r>
      <w:r w:rsidR="006126CC">
        <w:t xml:space="preserve">ational </w:t>
      </w:r>
      <w:r w:rsidR="00803847">
        <w:t>health s</w:t>
      </w:r>
      <w:r w:rsidR="006126CC">
        <w:t xml:space="preserve">ystems of all </w:t>
      </w:r>
      <w:r w:rsidR="00386C98">
        <w:t>high</w:t>
      </w:r>
      <w:r w:rsidR="000271EC">
        <w:t xml:space="preserve"> and medium </w:t>
      </w:r>
      <w:r w:rsidR="00386C98">
        <w:t>income countries</w:t>
      </w:r>
      <w:r w:rsidR="00EA0888">
        <w:t xml:space="preserve"> are confronted by ballooning cost</w:t>
      </w:r>
      <w:r w:rsidR="00182804">
        <w:t>s</w:t>
      </w:r>
      <w:r w:rsidR="00EA0888">
        <w:t xml:space="preserve"> of caring</w:t>
      </w:r>
      <w:r w:rsidR="00136EB3">
        <w:t xml:space="preserve"> for</w:t>
      </w:r>
      <w:r w:rsidR="00803847">
        <w:t xml:space="preserve"> an ageing population and an increase in prevalence of long-term conditions, promoting </w:t>
      </w:r>
      <w:r w:rsidR="00975FA7">
        <w:t xml:space="preserve">cost-effective prescribing </w:t>
      </w:r>
      <w:r w:rsidR="00803847">
        <w:t xml:space="preserve">represents an important part of </w:t>
      </w:r>
      <w:r w:rsidR="00A4491A">
        <w:t>controlling</w:t>
      </w:r>
      <w:r w:rsidR="00803847">
        <w:t xml:space="preserve"> health care expenditure.</w:t>
      </w:r>
      <w:r w:rsidR="00275552">
        <w:fldChar w:fldCharType="begin"/>
      </w:r>
      <w:r w:rsidR="002A6D5F">
        <w:instrText xml:space="preserve"> ADDIN ZOTERO_ITEM CSL_CITATION {"citationID":"DcsqSRyQ","properties":{"formattedCitation":"\\super 1,2\\nosupersub{}","plainCitation":"1,2","noteIndex":0},"citationItems":[{"id":131,"uris":["http://zotero.org/users/4387520/items/ZQTUPY33"],"uri":["http://zotero.org/users/4387520/items/ZQTUPY33"],"itemData":{"id":131,"type":"article-journal","language":"en","note":"number: WHO/HIS/HGF/HFWorkingPaper/19.4\npublisher: World Health Organization","source":"apps.who.int","title":"Global spending on health: a world in transition","title-short":"Global spending on health","URL":"https://apps.who.int/iris/handle/10665/330357","author":[{"family":"Organization","given":"World Health"}],"accessed":{"date-parts":[["2021",4,13]]},"issued":{"date-parts":[["2019"]]}}},{"id":129,"uris":["http://zotero.org/users/4387520/items/CPFDGTEK"],"uri":["http://zotero.org/users/4387520/items/CPFDGTEK"],"itemData":{"id":129,"type":"article-journal","abstract":"As the US population ages, the increasing prevalence of chronic disease and complex medical conditions will have profound implications for the future health care system. We projected future prevalence of selected diseases and health risk factors to model future demand for health care services for each person in a representative sample of the current and projected future population. Based on changing demographic characteristics and expanded medical coverage under the Affordable Care Act, we project that the demand for adult primary care services will grow by approximately 14 percent between 2013 and 2025. Vascular surgery has the highest projected demand growth (31 percent), followed by cardiology (20 percent) and neurological surgery, radiology, and general surgery (each 18 percent). Market indicators such as long wait times to obtain appointments suggest that the current supply of many specialists throughout the United States is inadequate to meet the current demand. Failure to train sufficient numbers and the correct mix of specialists could exacerbate already long wait times for appointments, reduce access to care for some of the nation’s most vulnerable patients, and reduce patients’ quality of life.","container-title":"Health Affairs","DOI":"10.1377/hlthaff.2013.0714","ISSN":"0278-2715","issue":"11","page":"2013-2020","source":"healthaffairs.org (Atypon)","title":"An Aging Population And Growing Disease Burden Will Require A Large And Specialized Health Care Workforce By 2025","volume":"32","author":[{"family":"Dall","given":"Timothy M."},{"family":"Gallo","given":"Paul D."},{"family":"Chakrabarti","given":"Ritasree"},{"family":"West","given":"Terry"},{"family":"Semilla","given":"April P."},{"family":"Storm","given":"Michael V."}],"issued":{"date-parts":[["2013",11,1]]}}}],"schema":"https://github.com/citation-style-language/schema/raw/master/csl-citation.json"} </w:instrText>
      </w:r>
      <w:r w:rsidR="00275552">
        <w:fldChar w:fldCharType="separate"/>
      </w:r>
      <w:r w:rsidR="002A6D5F" w:rsidRPr="002A6D5F">
        <w:rPr>
          <w:rFonts w:ascii="Calibri" w:hAnsi="Calibri" w:cs="Calibri"/>
          <w:szCs w:val="24"/>
          <w:vertAlign w:val="superscript"/>
        </w:rPr>
        <w:t>1,2</w:t>
      </w:r>
      <w:r w:rsidR="00275552">
        <w:fldChar w:fldCharType="end"/>
      </w:r>
      <w:r w:rsidR="00803847">
        <w:t xml:space="preserve"> </w:t>
      </w:r>
      <w:r w:rsidR="007F46D5">
        <w:t xml:space="preserve">In the English </w:t>
      </w:r>
      <w:r w:rsidR="007A0055">
        <w:t>N</w:t>
      </w:r>
      <w:r w:rsidR="007F46D5">
        <w:t xml:space="preserve">ational </w:t>
      </w:r>
      <w:r w:rsidR="007A0055">
        <w:t>H</w:t>
      </w:r>
      <w:r w:rsidR="007F46D5">
        <w:t xml:space="preserve">ealth </w:t>
      </w:r>
      <w:r w:rsidR="007A0055">
        <w:t>S</w:t>
      </w:r>
      <w:r w:rsidR="007F46D5">
        <w:t>ervices (NHS),</w:t>
      </w:r>
      <w:r w:rsidR="0071697F">
        <w:t xml:space="preserve"> </w:t>
      </w:r>
      <w:r w:rsidR="007F46D5">
        <w:t xml:space="preserve">the National Institute </w:t>
      </w:r>
      <w:r w:rsidR="007A0055">
        <w:t>for Health and Care</w:t>
      </w:r>
      <w:r w:rsidR="007F46D5">
        <w:t xml:space="preserve"> Excellence (NICE) </w:t>
      </w:r>
      <w:r w:rsidR="0071697F">
        <w:t>publishes</w:t>
      </w:r>
      <w:r w:rsidR="007F46D5">
        <w:t xml:space="preserve"> national guidance</w:t>
      </w:r>
      <w:r w:rsidR="007A0055">
        <w:t xml:space="preserve"> aimed at promoting</w:t>
      </w:r>
      <w:r w:rsidR="007F46D5">
        <w:t xml:space="preserve"> clinical and cost-effective</w:t>
      </w:r>
      <w:r w:rsidR="007A0055">
        <w:t xml:space="preserve"> evidence-based</w:t>
      </w:r>
      <w:r w:rsidR="007F46D5">
        <w:t xml:space="preserve"> recommendations </w:t>
      </w:r>
      <w:r w:rsidR="0071697F">
        <w:t>for the management and therapeutic treatment</w:t>
      </w:r>
      <w:r w:rsidR="007F46D5">
        <w:t xml:space="preserve"> </w:t>
      </w:r>
      <w:r w:rsidR="007A0055">
        <w:t xml:space="preserve">of different </w:t>
      </w:r>
      <w:r w:rsidR="007F46D5">
        <w:t>condition</w:t>
      </w:r>
      <w:r w:rsidR="007A0055">
        <w:t>s</w:t>
      </w:r>
      <w:r w:rsidR="006E6784">
        <w:t xml:space="preserve">. </w:t>
      </w:r>
      <w:r w:rsidR="00F90A3A" w:rsidRPr="008B087A">
        <w:t xml:space="preserve">In </w:t>
      </w:r>
      <w:r w:rsidR="00C66E5A">
        <w:t>therapeutic</w:t>
      </w:r>
      <w:r w:rsidR="00DC79F9" w:rsidRPr="008B087A">
        <w:t xml:space="preserve"> </w:t>
      </w:r>
      <w:r w:rsidR="00F90A3A" w:rsidRPr="008B087A">
        <w:t xml:space="preserve">markets where treatments have </w:t>
      </w:r>
      <w:r w:rsidR="009B6995">
        <w:t xml:space="preserve">similar safety and </w:t>
      </w:r>
      <w:r w:rsidR="00F90A3A" w:rsidRPr="008B087A">
        <w:t>effectiveness</w:t>
      </w:r>
      <w:r w:rsidR="00DC79F9" w:rsidRPr="008B087A">
        <w:t>,</w:t>
      </w:r>
      <w:r w:rsidR="00AC1DC1">
        <w:t xml:space="preserve"> NICE</w:t>
      </w:r>
      <w:r w:rsidR="00187002">
        <w:t>-</w:t>
      </w:r>
      <w:r w:rsidR="00AC1DC1">
        <w:t>recommend</w:t>
      </w:r>
      <w:r w:rsidR="00844B10">
        <w:t>ations</w:t>
      </w:r>
      <w:r w:rsidR="00DC79F9" w:rsidRPr="008B087A">
        <w:t xml:space="preserve"> </w:t>
      </w:r>
      <w:r w:rsidR="00C66E5A">
        <w:t xml:space="preserve">may </w:t>
      </w:r>
      <w:r w:rsidR="00187002">
        <w:t>vary over time</w:t>
      </w:r>
      <w:r w:rsidR="00386C98">
        <w:t xml:space="preserve"> </w:t>
      </w:r>
      <w:r w:rsidR="00DA0E82">
        <w:t xml:space="preserve">following </w:t>
      </w:r>
      <w:r w:rsidR="00F90A3A" w:rsidRPr="008B087A">
        <w:t>changes in acquisition</w:t>
      </w:r>
      <w:r w:rsidR="000E4163" w:rsidRPr="008B087A">
        <w:t xml:space="preserve"> cost</w:t>
      </w:r>
      <w:r w:rsidR="00DA0E82">
        <w:t xml:space="preserve">s, </w:t>
      </w:r>
      <w:r w:rsidR="00384A33">
        <w:t>e.g.,</w:t>
      </w:r>
      <w:r w:rsidR="00DA0E82">
        <w:t xml:space="preserve"> </w:t>
      </w:r>
      <w:r w:rsidR="00A615FB">
        <w:t xml:space="preserve">due to </w:t>
      </w:r>
      <w:r w:rsidR="00756029" w:rsidRPr="008B087A">
        <w:t xml:space="preserve">patent </w:t>
      </w:r>
      <w:r w:rsidR="00975FA7">
        <w:t xml:space="preserve">expirations </w:t>
      </w:r>
      <w:r w:rsidR="00756029" w:rsidRPr="008B087A">
        <w:t>and</w:t>
      </w:r>
      <w:r w:rsidR="00C66E5A">
        <w:t xml:space="preserve"> the ensuing entry of </w:t>
      </w:r>
      <w:r w:rsidR="00756029" w:rsidRPr="008B087A">
        <w:t>generics</w:t>
      </w:r>
      <w:r w:rsidR="00F90A3A" w:rsidRPr="008B087A">
        <w:t>.</w:t>
      </w:r>
      <w:r w:rsidR="00C66E5A">
        <w:t xml:space="preserve"> </w:t>
      </w:r>
      <w:r w:rsidR="00F90A3A" w:rsidRPr="008B087A">
        <w:t xml:space="preserve">However, </w:t>
      </w:r>
      <w:r w:rsidR="005973EC">
        <w:t xml:space="preserve">persistence of prescribing habits as well as prescribers’ </w:t>
      </w:r>
      <w:r w:rsidR="00F90A3A" w:rsidRPr="008B087A">
        <w:t>lack of awareness o</w:t>
      </w:r>
      <w:r w:rsidR="00182804">
        <w:t>f</w:t>
      </w:r>
      <w:r w:rsidR="00F90A3A" w:rsidRPr="008B087A">
        <w:t xml:space="preserve"> </w:t>
      </w:r>
      <w:r w:rsidR="009432BB">
        <w:t>actual cost</w:t>
      </w:r>
      <w:r w:rsidR="00F90A3A" w:rsidRPr="008B087A">
        <w:t xml:space="preserve"> of </w:t>
      </w:r>
      <w:r w:rsidR="00844B10">
        <w:t>medicines</w:t>
      </w:r>
      <w:r w:rsidR="00F90A3A" w:rsidRPr="008B087A">
        <w:t xml:space="preserve"> </w:t>
      </w:r>
      <w:r w:rsidR="009432BB">
        <w:t xml:space="preserve">may </w:t>
      </w:r>
      <w:r w:rsidR="00187002">
        <w:t xml:space="preserve">mean </w:t>
      </w:r>
      <w:r w:rsidR="009432BB">
        <w:t>that</w:t>
      </w:r>
      <w:r w:rsidR="007139B2" w:rsidRPr="008B087A">
        <w:t xml:space="preserve"> the </w:t>
      </w:r>
      <w:r w:rsidR="005973EC">
        <w:t xml:space="preserve">uptake </w:t>
      </w:r>
      <w:r w:rsidR="007139B2" w:rsidRPr="008B087A">
        <w:t xml:space="preserve">of </w:t>
      </w:r>
      <w:r w:rsidR="000E3909">
        <w:t xml:space="preserve">NICE </w:t>
      </w:r>
      <w:r w:rsidR="00182804">
        <w:t xml:space="preserve">recommended </w:t>
      </w:r>
      <w:r w:rsidR="000E3909">
        <w:t xml:space="preserve">medicines </w:t>
      </w:r>
      <w:r w:rsidR="009432BB">
        <w:t>can</w:t>
      </w:r>
      <w:r w:rsidR="00F90A3A" w:rsidRPr="008B087A">
        <w:t xml:space="preserve"> vary substantially</w:t>
      </w:r>
      <w:r w:rsidR="007139B2" w:rsidRPr="008B087A">
        <w:t xml:space="preserve"> across GPs</w:t>
      </w:r>
      <w:r w:rsidR="006B4A97">
        <w:t xml:space="preserve"> and practices</w:t>
      </w:r>
      <w:r w:rsidR="00C8602F">
        <w:t>, despite efforts at local level, including Clinical Commissioning Groups (CCG), to encourage more cost effective prescribing</w:t>
      </w:r>
      <w:r w:rsidR="007E7523" w:rsidRPr="008B087A">
        <w:t>.</w:t>
      </w:r>
      <w:r w:rsidR="006E6784">
        <w:fldChar w:fldCharType="begin"/>
      </w:r>
      <w:r w:rsidR="002A6D5F">
        <w:instrText xml:space="preserve"> ADDIN ZOTERO_ITEM CSL_CITATION {"citationID":"bwKUl7Ij","properties":{"formattedCitation":"\\super 3\\uc0\\u8211{}7\\nosupersub{}","plainCitation":"3–7","noteIndex":0},"citationItems":[{"id":169,"uris":["http://zotero.org/users/4387520/items/5XAYIVTK"],"uri":["http://zotero.org/users/4387520/items/5XAYIVTK"],"itemData":{"id":169,"type":"article-journal","abstract":"Background and objective: The uptake of new medicines is slower in the UK than in many other countries. Previous research found that cost and price have little influence on general practitioner (GP) behaviour, but recent UK government policy may have heightened cost-consciousness. Focussing on new medicines, this review aimed to explore the determinants of uptake, the causes of geographical variations, and the influence of price, cost and financial incentives on prescribing behaviour. Methods: Two separate searches were conducted on nine electronic databases. Strategy 1, an update of a previous review, used key terms for primary care physicians, uptake, medicines and ‘new’. Strategy 2 focussed on terms relating to incentives and prescribing. Records were screened for eligibility and data from relevant papers were extracted using Bonair and Persson’s typology for determinants of the diffusion of innovation, which classified influences into three groups: actors, structural/environmental characteristics and product characteristics. Results: The searches identified 550 records and 28 studies were included in the updated review. Prescribing of new medicines needs to be understood in the context of individual patient-centred care, which is characterized by stability and continuity. Hospital doctors, pharmaceutical representatives and prescribing advisers are all influential, but GP attitudes towards these actors vary and there are notable differences between high and low prescribers of new pharmaceuticals. Support systems can help provide appropriate guidance and increase the uptake of new medicines by identifying patients who may benefit from pharmaceutical therapy. There is evidence of a shift in GP attitudes towards central policy initiatives, with doctors slowly accepting the need for external scrutiny and national standards. Although cost does appear to inform prescribing decisions, it is typically of lower importance than both safety and efficacy concerns and does not represent a significant barrier to uptake of new medicines. The impact of financial incentives on prescribing behaviour remains unclear, but is unlikely to be straightforward. No evidence exploring the reasons for geographical variations in GP uptake of new medicines was found. Conclusion: General practitioner care has historically been patient-centred, and it is unclear whether and how GPs consider the impact of their decisions upon the wider patient population. Incorporating cost considerations into GP decision making is one way to reflect the broader impact of individual treatment decisions. Current UK government policies use incentives to improve quality and encourage financial responsibility. Although these initiatives may help foster cost-consciousness, there is a risk that unintended consequences may ensue. Therefore, future policy evaluations should assess benefits, harms and costs so that the overall impact is transparent.","container-title":"Journal of Clinical Pharmacy and Therapeutics","DOI":"https://doi.org/10.1111/j.1365-2710.2008.00875.x","ISSN":"1365-2710","issue":"1","language":"en","note":"_eprint: https://onlinelibrary.wiley.com/doi/pdf/10.1111/j.1365-2710.2008.00875.x","page":"1-10","source":"Wiley Online Library","title":"New medicines in primary care: a review of influences on general practitioner prescribing","title-short":"New medicines in primary care","volume":"33","author":[{"family":"Mason","given":"A."}],"issued":{"date-parts":[["2008"]]}}},{"id":9,"uris":["http://zotero.org/users/4387520/items/2CXE6K4L"],"uri":["http://zotero.org/users/4387520/items/2CXE6K4L"],"itemData":{"id":9,"type":"article-journal","abstract":"Background: One of the aims of the National Institute for Clinical Excellence (NICE) is to promote faster access to the best treatments. However, there is no published research on the impact that NICE guidance has had on prescribing decisions. Aims: To explore the attitudes of general practitioners (GPs) to NICE guidance and to investigate any changes in prescribing patterns. Design: Descriptive cross-sectional study. Setting: North Devon Primary Care Trust.\nMethod: Five technology appraisals most likely to impact on GP prescribing were investigated. Prescribing analysis and cost (PACT) data were analysed for changes in prescribing patterns before and after the publication of each technology appraisal. A postal questionnaire, developed from semi-structured interviews, was sent to all GPs within a single primary care trust (PCT) to explore factors that were encouraging or discouraging adherence to NICE guidance.\nResults: PACT data showed that there was an increase in the prescribing of the drugs studied immediately after NICE guidance, with the exception of zanamivir (Relenza® [GlaxoSmithKline]); only one zanamivir inhaler was prescribed during the study period. Although there was an increase in the prescribing of maintenance doses of proton pump inhibitors, there was also an increase in treatment doses. Eighty-one (82.7%) questionnaires were completed and returned. In general, there was a balance between the factors that encouraged and those that discouraged adherence. The main exception was zanamivir, where factors that discouraged adherence greatly exceeded factors that encouraged adherence.\nConclusions: This study showed that NICE guidance in isolation had little impact on GP prescribing. Where the guidance coincided with information from other sources, or personal experience, there was some evidence that technology appraisals triggered an increase in prescribing, but that this was not always sustained. The recommendations of NICE concerning zanamivir were universally rejected and there was evidence that this had undermined confidence in NICE recommendations in general.","container-title":"British Journal of General Practice","language":"en","page":"5","source":"Zotero","title":"An evaluation of the impact of NICE guidance on GP prescribing","author":[{"family":"Wathen","given":"Bernard"},{"family":"Dean","given":"Tara"}],"issued":{"date-parts":[["2004"]]}}},{"id":172,"uris":["http://zotero.org/users/4387520/items/PBXXTMDE"],"uri":["http://zotero.org/users/4387520/items/PBXXTMDE"],"itemData":{"id":172,"type":"article-journal","abstract":"Objective: To explain recent rapid audited change in the uptake of locally implemented, evidence-based clinical guidelines for asthma and angina in primary care., Methods: A case study of primary care in two matched, adjacent districts in Northern England, focusing on a stratified random sample of 49 general practitioners (GPs) from eight primary care groups. Data were collected from three cycles of mainly qualitative interviews carried out at six-monthly intervals, before and after the dissemination of local guidelines and after audit data were gathered. Interviews examined attitudes, awareness and impact of locally disseminated asthma and angina guidelines and the subsequent audit. Audit data on guideline uptake were also available from a parallel study., Results: The rapid increase in guideline uptake observed in both intervention and control groups was not explained by individual practitioners or practice factors. The findings are attributed to GPs' awareness of policies for evidence-based medicine, of new health service institutions and of the clinical governance activities of primary care groups. Behaviour change reflects GPs' decisions about what to record in case notes as well as their clinical decisions, so that findings may reflect changing perceptions about accountability rather than about preferred treatment regimes., Conclusions: Guideline production and dissemination is best seen in the broader context of policy change. Studies of guideline implementation should report before and after data and incorporate significant qualitative components in order to identify important contextual factors.","container-title":"Journal of Health Services Research &amp; Policy","DOI":"10.1258/135581903322029494","ISSN":"1355-8196","issue":"3","journalAbbreviation":"J Health Serv Res Policy","language":"en","note":"publisher: SAGE Publications","page":"149-153","source":"SAGE Journals","title":"General practitioners' uptake of clinical practice guidelines: a qualitative study","title-short":"General practitioners' uptake of clinical practice guidelines","volume":"8","author":[{"literal":"Stephen Harrison, George Dowswell, John Wright"},{"literal":", Ian Russell"},{"literal":"George Dowswell, John Wright"}],"issued":{"date-parts":[["2003",7,1]]}}},{"id":166,"uris":["http://zotero.org/users/4387520/items/5CJSPPX7"],"uri":["http://zotero.org/users/4387520/items/5CJSPPX7"],"itemData":{"id":166,"type":"article-journal","abstract":"Background Numerous national guidelines have been issued to assist general practitioners’ safe analgesic prescribing. Their effectiveness is unclear. The objective of this study was to examine trends in general practitioners’ prescribing behaviour in relation to national guidelines. Methods This was a retrospective observational database study of registered adult patients prescribed an analgesic (2002–2009) from the Consultations in Primary Care Archive – 12 North Staffordshire general practices. Prescribing guidance from the UK Medicines Regulatory Health Authority (MHRA) regarding non-steroidal anti-inflammatory drugs (NSAIDs) and co-proxamol, and the National Institute for Health and Clinical Excellence (NICE) osteoarthritis (OA) management guidelines were considered. Analgesic prescribing rates were examined, arranged according to a classification of six equipotent medication groups: (1) basic analgesics; (2)–(5) increasingly potent opioids and (6) NSAIDs. In each quarter from 2002 to 2009, the number of patients per 10,000 registered population receiving a prescription for the first time from each group was determined. Quarters associated with significant changes in the underlying prescribing trend were determined using joinpoint regression. Results A significant decrease in incident co-proxamol and Cox-2 prescribing occurred around the time of the first MHRA advice to stop using them and were rarely prescribed thereafter. The new prescribing of weak analgesics (e.g., co-codamol 8/500) increased at this same time. Initiating topical NSAIDs significantly increased around the time of the NICE OA guidelines. Conclusions Significant prescribing changes occurred when national advice and guidelines were issued. The effectiveness of this advice may vary depending upon the content and method of dissemination. Further evaluation of the optimal methods for delivering prescribing guidance is required.","container-title":"European Journal of Pain","DOI":"https://doi.org/10.1002/j.1532-2149.2012.00189.x","ISSN":"1532-2149","issue":"3","language":"en","note":"_eprint: https://onlinelibrary.wiley.com/doi/pdf/10.1002/j.1532-2149.2012.00189.x","page":"434-443","source":"Wiley Online Library","title":"The effectiveness of national guidance in changing analgesic prescribing in primary care from 2002 to 2009: An observational database study","title-short":"The effectiveness of national guidance in changing analgesic prescribing in primary care from 2002 to 2009","volume":"17","author":[{"family":"Bedson","given":"J."},{"family":"Belcher","given":"J."},{"family":"Martino","given":"O. I."},{"family":"Ndlovu","given":"M."},{"family":"Rathod","given":"T."},{"family":"Walters","given":"K."},{"family":"Dunn","given":"K. M."},{"family":"Jordan","given":"K. P."}],"issued":{"date-parts":[["2013"]]}}},{"id":178,"uris":["http://zotero.org/users/4387520/items/JJPPPWPF"],"uri":["http://zotero.org/users/4387520/items/JJPPPWPF"],"itemData":{"id":178,"type":"article-journal","abstract":"Objectives To determine how clinicians vary in their response to new guidance on existing or new interventions, by measuring the timing and magnitude of change at healthcare institutions.\nDesign Automated change detection in longitudinal prescribing data.\nSetting Prescribing data in English primary care.\nParticipants English general practices.\nMain outcome measures In each practice the following were measured: the timing of the largest changes, steepness of the change slope (change in proportion per month), and magnitude of the change for two example time series (expiry of the Cerazette patent in 2012, leading to cheaper generic desogestrel alternatives becoming available; and a change in antibiotic prescribing guidelines after 2014, favouring nitrofurantoin over trimethoprim for uncomplicated urinary tract infection (UTI)).\nResults Substantial heterogeneity was found between institutions in both timing and steepness of change. The range of time delay before a change was implemented was large (interquartile range 2-14 months (median 8) for Cerazette, and 5-29 months (18) for UTI). Substantial heterogeneity was also seen in slope following a detected change (interquartile range 2-28% absolute reduction per month (median 9%) for Cerazette, and 1-8% (2%) for UTI). When changes were implemented, the magnitude of change showed substantially less heterogeneity (interquartile range 44-85% (median 66%) for Cerazette and 28-47% (38%) for UTI).\nConclusions Substantial variation was observed in the speed with which individual NHS general practices responded to warranted changes in clinical practice. Changes in prescribing behaviour were detected automatically and robustly. Detection of structural breaks using indicator saturation methods opens up new opportunities to improve patient care through audit and feedback by moving away from cross sectional analyses, and automatically identifying institutions that respond rapidly, or slowly, to warranted changes in clinical practice.","container-title":"BMJ","DOI":"10.1136/bmj.l5205","ISSN":"0959-8138, 1756-1833","journalAbbreviation":"BMJ","language":"en","note":"PMID: 31578187","page":"l5205","source":"www.bmj.com","title":"Variation in responsiveness to warranted behaviour change among NHS clinicians: novel implementation of change detection methods in longitudinal prescribing data","title-short":"Variation in responsiveness to warranted behaviour change among NHS clinicians","volume":"367","author":[{"family":"Walker","given":"Alex J."},{"family":"Pretis","given":"Felix"},{"family":"Powell-Smith","given":"Anna"},{"family":"Goldacre","given":"Ben"}],"issued":{"date-parts":[["2019",10,2]]}}}],"schema":"https://github.com/citation-style-language/schema/raw/master/csl-citation.json"} </w:instrText>
      </w:r>
      <w:r w:rsidR="006E6784">
        <w:fldChar w:fldCharType="separate"/>
      </w:r>
      <w:r w:rsidR="002A6D5F" w:rsidRPr="002A6D5F">
        <w:rPr>
          <w:rFonts w:ascii="Calibri" w:hAnsi="Calibri" w:cs="Calibri"/>
          <w:szCs w:val="24"/>
          <w:vertAlign w:val="superscript"/>
        </w:rPr>
        <w:t>3–7</w:t>
      </w:r>
      <w:r w:rsidR="006E6784">
        <w:fldChar w:fldCharType="end"/>
      </w:r>
      <w:r w:rsidR="007E7523" w:rsidRPr="008B087A">
        <w:t xml:space="preserve"> Since </w:t>
      </w:r>
      <w:r w:rsidR="007139B2" w:rsidRPr="008B087A">
        <w:t xml:space="preserve">low responsiveness </w:t>
      </w:r>
      <w:r w:rsidR="00940091">
        <w:t>to</w:t>
      </w:r>
      <w:r w:rsidR="000D16C5">
        <w:t xml:space="preserve"> adopt NICE recommendations can substantially undermine the effort of the NHS to contain </w:t>
      </w:r>
      <w:r w:rsidR="00940091">
        <w:t xml:space="preserve">drug </w:t>
      </w:r>
      <w:r w:rsidR="00756029" w:rsidRPr="008B087A">
        <w:t>expenditure</w:t>
      </w:r>
      <w:r w:rsidR="007139B2" w:rsidRPr="008B087A">
        <w:t>, it is</w:t>
      </w:r>
      <w:r w:rsidR="00C56203" w:rsidRPr="008B087A">
        <w:t xml:space="preserve"> important to understand</w:t>
      </w:r>
      <w:r w:rsidR="00F90A3A" w:rsidRPr="008B087A">
        <w:t xml:space="preserve"> </w:t>
      </w:r>
      <w:r w:rsidR="00EE7BA4" w:rsidRPr="008B087A">
        <w:t>the pervasiveness of such behaviour</w:t>
      </w:r>
      <w:r w:rsidR="00F77247">
        <w:t xml:space="preserve">. </w:t>
      </w:r>
    </w:p>
    <w:p w14:paraId="03A6F7E0" w14:textId="77777777" w:rsidR="00251528" w:rsidRPr="008B087A" w:rsidRDefault="00251528" w:rsidP="007144CB">
      <w:pPr>
        <w:autoSpaceDE w:val="0"/>
        <w:autoSpaceDN w:val="0"/>
        <w:adjustRightInd w:val="0"/>
        <w:spacing w:after="0" w:line="240" w:lineRule="auto"/>
        <w:jc w:val="both"/>
        <w:rPr>
          <w:rFonts w:cstheme="minorHAnsi"/>
          <w:color w:val="000000"/>
        </w:rPr>
      </w:pPr>
    </w:p>
    <w:p w14:paraId="1EE9D94A" w14:textId="6466A8E0" w:rsidR="00F77247" w:rsidRDefault="00976358" w:rsidP="007144CB">
      <w:pPr>
        <w:autoSpaceDE w:val="0"/>
        <w:autoSpaceDN w:val="0"/>
        <w:adjustRightInd w:val="0"/>
        <w:spacing w:after="0" w:line="240" w:lineRule="auto"/>
        <w:jc w:val="both"/>
        <w:rPr>
          <w:rFonts w:cstheme="minorHAnsi"/>
          <w:color w:val="000000"/>
        </w:rPr>
      </w:pPr>
      <w:r w:rsidDel="00F45B3D">
        <w:rPr>
          <w:rFonts w:cstheme="minorHAnsi"/>
          <w:color w:val="000000"/>
        </w:rPr>
        <w:t>Statin</w:t>
      </w:r>
      <w:r w:rsidRPr="008B087A" w:rsidDel="00F45B3D">
        <w:rPr>
          <w:rFonts w:cstheme="minorHAnsi"/>
          <w:color w:val="000000"/>
        </w:rPr>
        <w:t xml:space="preserve">s represent an ideal market to </w:t>
      </w:r>
      <w:r w:rsidR="007C2228">
        <w:rPr>
          <w:rFonts w:cstheme="minorHAnsi"/>
          <w:color w:val="000000"/>
        </w:rPr>
        <w:t xml:space="preserve">investigate </w:t>
      </w:r>
      <w:r w:rsidR="00F77247" w:rsidRPr="008B087A">
        <w:rPr>
          <w:rFonts w:cstheme="minorHAnsi"/>
          <w:color w:val="000000"/>
        </w:rPr>
        <w:t xml:space="preserve">the </w:t>
      </w:r>
      <w:r w:rsidR="007C2228">
        <w:rPr>
          <w:rFonts w:cstheme="minorHAnsi"/>
          <w:color w:val="000000"/>
        </w:rPr>
        <w:t xml:space="preserve">relative </w:t>
      </w:r>
      <w:r w:rsidR="00F77247" w:rsidRPr="008B087A">
        <w:rPr>
          <w:rFonts w:cstheme="minorHAnsi"/>
          <w:color w:val="000000"/>
        </w:rPr>
        <w:t xml:space="preserve">importance of </w:t>
      </w:r>
      <w:r w:rsidR="009E0A70">
        <w:rPr>
          <w:rFonts w:cstheme="minorHAnsi"/>
          <w:color w:val="000000"/>
        </w:rPr>
        <w:t xml:space="preserve">prices </w:t>
      </w:r>
      <w:r w:rsidR="00F77247" w:rsidRPr="008B087A">
        <w:rPr>
          <w:rFonts w:cstheme="minorHAnsi"/>
          <w:color w:val="000000"/>
        </w:rPr>
        <w:t xml:space="preserve">and </w:t>
      </w:r>
      <w:r w:rsidR="000271EC">
        <w:rPr>
          <w:rFonts w:cstheme="minorHAnsi"/>
          <w:color w:val="000000"/>
        </w:rPr>
        <w:t xml:space="preserve">clinical </w:t>
      </w:r>
      <w:r w:rsidR="009E0A70">
        <w:rPr>
          <w:rFonts w:cstheme="minorHAnsi"/>
          <w:color w:val="000000"/>
        </w:rPr>
        <w:t xml:space="preserve">guidelines </w:t>
      </w:r>
      <w:r w:rsidR="00F77247" w:rsidRPr="008B087A">
        <w:rPr>
          <w:rFonts w:cstheme="minorHAnsi"/>
          <w:color w:val="000000"/>
        </w:rPr>
        <w:t>in explaining prescribing behaviour</w:t>
      </w:r>
      <w:r w:rsidR="004D79D8">
        <w:rPr>
          <w:rFonts w:cstheme="minorHAnsi"/>
          <w:color w:val="000000"/>
        </w:rPr>
        <w:t xml:space="preserve"> for </w:t>
      </w:r>
      <w:r w:rsidR="00D9464E">
        <w:rPr>
          <w:rFonts w:cstheme="minorHAnsi"/>
          <w:color w:val="000000"/>
        </w:rPr>
        <w:t>at least two</w:t>
      </w:r>
      <w:r w:rsidR="004D79D8">
        <w:rPr>
          <w:rFonts w:cstheme="minorHAnsi"/>
          <w:color w:val="000000"/>
        </w:rPr>
        <w:t xml:space="preserve"> reasons</w:t>
      </w:r>
      <w:r w:rsidR="00F77247">
        <w:rPr>
          <w:rFonts w:cstheme="minorHAnsi"/>
          <w:color w:val="000000"/>
        </w:rPr>
        <w:t xml:space="preserve">. </w:t>
      </w:r>
      <w:r w:rsidR="004D79D8">
        <w:rPr>
          <w:rFonts w:cstheme="minorHAnsi"/>
          <w:color w:val="000000"/>
        </w:rPr>
        <w:t>First, s</w:t>
      </w:r>
      <w:r w:rsidR="00F77247">
        <w:rPr>
          <w:rFonts w:cstheme="minorHAnsi"/>
          <w:color w:val="000000"/>
        </w:rPr>
        <w:t xml:space="preserve">tatins </w:t>
      </w:r>
      <w:r w:rsidR="00F77247" w:rsidRPr="008B087A">
        <w:rPr>
          <w:rFonts w:cstheme="minorHAnsi"/>
          <w:color w:val="000000"/>
        </w:rPr>
        <w:t>are the most widely used</w:t>
      </w:r>
      <w:r w:rsidR="00F77247">
        <w:rPr>
          <w:rFonts w:cstheme="minorHAnsi"/>
          <w:color w:val="000000"/>
        </w:rPr>
        <w:t xml:space="preserve"> treatment</w:t>
      </w:r>
      <w:r w:rsidR="00F77247" w:rsidRPr="008B087A">
        <w:rPr>
          <w:rFonts w:cstheme="minorHAnsi"/>
          <w:color w:val="000000"/>
        </w:rPr>
        <w:t xml:space="preserve"> </w:t>
      </w:r>
      <w:r w:rsidR="00F77247">
        <w:rPr>
          <w:rFonts w:cstheme="minorHAnsi"/>
          <w:color w:val="000000"/>
        </w:rPr>
        <w:t xml:space="preserve">for primary and secondary prevention of </w:t>
      </w:r>
      <w:r w:rsidR="00F77247" w:rsidRPr="008B087A">
        <w:rPr>
          <w:rFonts w:cstheme="minorHAnsi"/>
          <w:color w:val="000000"/>
        </w:rPr>
        <w:t>cardiovascular disease (CVD)</w:t>
      </w:r>
      <w:r w:rsidR="00F77247">
        <w:rPr>
          <w:rFonts w:cstheme="minorHAnsi"/>
          <w:color w:val="000000"/>
        </w:rPr>
        <w:t xml:space="preserve"> risk</w:t>
      </w:r>
      <w:r w:rsidR="00FF4F79">
        <w:rPr>
          <w:rFonts w:cstheme="minorHAnsi"/>
          <w:color w:val="000000"/>
        </w:rPr>
        <w:t>, conditions with</w:t>
      </w:r>
      <w:r w:rsidR="00F77247" w:rsidRPr="008B087A">
        <w:rPr>
          <w:rFonts w:cstheme="minorHAnsi"/>
          <w:color w:val="000000"/>
        </w:rPr>
        <w:t xml:space="preserve"> an estimated cost to the NHS of roughly </w:t>
      </w:r>
      <w:r w:rsidR="00F77247">
        <w:rPr>
          <w:rFonts w:cstheme="minorHAnsi"/>
          <w:color w:val="000000"/>
        </w:rPr>
        <w:t>£</w:t>
      </w:r>
      <w:r w:rsidR="00F77247" w:rsidRPr="008B087A">
        <w:rPr>
          <w:rFonts w:cstheme="minorHAnsi"/>
          <w:color w:val="000000"/>
        </w:rPr>
        <w:t>7.4 billion a year.</w:t>
      </w:r>
      <w:r w:rsidR="00FF4F79">
        <w:rPr>
          <w:rFonts w:cstheme="minorHAnsi"/>
          <w:color w:val="000000"/>
        </w:rPr>
        <w:fldChar w:fldCharType="begin"/>
      </w:r>
      <w:r w:rsidR="002A6D5F">
        <w:rPr>
          <w:rFonts w:cstheme="minorHAnsi"/>
          <w:color w:val="000000"/>
        </w:rPr>
        <w:instrText xml:space="preserve"> ADDIN ZOTERO_ITEM CSL_CITATION {"citationID":"FBIPoaoG","properties":{"formattedCitation":"\\super 8,9\\nosupersub{}","plainCitation":"8,9","noteIndex":0},"citationItems":[{"id":139,"uris":["http://zotero.org/users/4387520/items/9PVCRI5B"],"uri":["http://zotero.org/users/4387520/items/9PVCRI5B"],"itemData":{"id":139,"type":"webpage","abstract":"The official blog of Public Health England, providing insight and commentary on all aspects of public health, including health protection, health improvement, wellbeing, data and knowledge","language":"en","title":"Health Matters: Preventing cardiovascular disease - Public health matters","title-short":"Health Matters","URL":"https://publichealthmatters.blog.gov.uk/2019/02/14/health-matters-preventing-cardiovascular-disease/","accessed":{"date-parts":[["2021",4,13]]}}},{"id":83,"uris":["http://zotero.org/users/4387520/items/93QS7A98"],"uri":["http://zotero.org/users/4387520/items/93QS7A98"],"itemData":{"id":83,"type":"article-journal","abstract":"To estimate the economic burden of cardiovascular disease (CVD) in the United Kingdom, including health and non‐healthcare costs, and the proportion of total CVD cost due to coronary heart disease (CHD) and cerebrovascular disease.Prevalence‐based ...","container-title":"Heart","DOI":"10.1136/hrt.2005.072173","issue":"10","language":"en","note":"PMID: 16702172","page":"1384","source":"www.ncbi.nlm.nih.gov","title":"Cost of cardiovascular diseases in the United Kingdom","volume":"92","author":[{"family":"Luengo‐Fernández","given":"R."},{"family":"Leal","given":"J."},{"family":"Gray","given":"A."},{"family":"Petersen","given":"S."},{"family":"Rayner","given":"M."}],"issued":{"date-parts":[["2006",10]]}}}],"schema":"https://github.com/citation-style-language/schema/raw/master/csl-citation.json"} </w:instrText>
      </w:r>
      <w:r w:rsidR="00FF4F79">
        <w:rPr>
          <w:rFonts w:cstheme="minorHAnsi"/>
          <w:color w:val="000000"/>
        </w:rPr>
        <w:fldChar w:fldCharType="separate"/>
      </w:r>
      <w:r w:rsidR="002A6D5F" w:rsidRPr="002A6D5F">
        <w:rPr>
          <w:rFonts w:ascii="Calibri" w:hAnsi="Calibri" w:cs="Calibri"/>
          <w:szCs w:val="24"/>
          <w:vertAlign w:val="superscript"/>
        </w:rPr>
        <w:t>8,9</w:t>
      </w:r>
      <w:r w:rsidR="00FF4F79">
        <w:rPr>
          <w:rFonts w:cstheme="minorHAnsi"/>
          <w:color w:val="000000"/>
        </w:rPr>
        <w:fldChar w:fldCharType="end"/>
      </w:r>
      <w:r w:rsidR="00F77247" w:rsidRPr="008B087A">
        <w:rPr>
          <w:rFonts w:cstheme="minorHAnsi"/>
          <w:color w:val="000000"/>
        </w:rPr>
        <w:t xml:space="preserve"> </w:t>
      </w:r>
      <w:r w:rsidR="004D79D8">
        <w:rPr>
          <w:rFonts w:cstheme="minorHAnsi"/>
          <w:color w:val="000000"/>
        </w:rPr>
        <w:t>Second,</w:t>
      </w:r>
      <w:r w:rsidR="00E71C3F">
        <w:rPr>
          <w:rFonts w:cstheme="minorHAnsi"/>
          <w:color w:val="000000"/>
        </w:rPr>
        <w:t xml:space="preserve"> there are five main </w:t>
      </w:r>
      <w:r w:rsidR="003D2A16">
        <w:rPr>
          <w:rFonts w:cstheme="minorHAnsi"/>
        </w:rPr>
        <w:t xml:space="preserve">events </w:t>
      </w:r>
      <w:r w:rsidR="00E71C3F">
        <w:rPr>
          <w:rFonts w:cstheme="minorHAnsi"/>
        </w:rPr>
        <w:t xml:space="preserve">that have </w:t>
      </w:r>
      <w:r w:rsidR="003D2A16">
        <w:rPr>
          <w:rFonts w:cstheme="minorHAnsi"/>
        </w:rPr>
        <w:t>shaped the statins market</w:t>
      </w:r>
      <w:r w:rsidR="004D79D8">
        <w:rPr>
          <w:rFonts w:cstheme="minorHAnsi"/>
        </w:rPr>
        <w:t xml:space="preserve"> over the last two decades</w:t>
      </w:r>
      <w:r w:rsidR="003D2A16">
        <w:rPr>
          <w:rFonts w:cstheme="minorHAnsi"/>
        </w:rPr>
        <w:t>. I</w:t>
      </w:r>
      <w:r w:rsidR="00F77247">
        <w:rPr>
          <w:rFonts w:cstheme="minorHAnsi"/>
          <w:color w:val="000000"/>
        </w:rPr>
        <w:t xml:space="preserve">n </w:t>
      </w:r>
      <w:r w:rsidR="00F77247" w:rsidRPr="008B087A">
        <w:rPr>
          <w:rFonts w:cstheme="minorHAnsi"/>
          <w:color w:val="000000"/>
        </w:rPr>
        <w:t xml:space="preserve">May 2003, </w:t>
      </w:r>
      <w:r w:rsidR="000271EC">
        <w:rPr>
          <w:rFonts w:cstheme="minorHAnsi"/>
          <w:color w:val="000000"/>
        </w:rPr>
        <w:t>s</w:t>
      </w:r>
      <w:r w:rsidR="00F77247" w:rsidRPr="008B087A">
        <w:rPr>
          <w:rFonts w:cstheme="minorHAnsi"/>
          <w:color w:val="000000"/>
        </w:rPr>
        <w:t>imva</w:t>
      </w:r>
      <w:r w:rsidR="00F77247">
        <w:rPr>
          <w:rFonts w:cstheme="minorHAnsi"/>
          <w:color w:val="000000"/>
        </w:rPr>
        <w:t>statin</w:t>
      </w:r>
      <w:r w:rsidR="00F77247" w:rsidRPr="008B087A">
        <w:rPr>
          <w:rFonts w:cstheme="minorHAnsi"/>
          <w:color w:val="000000"/>
        </w:rPr>
        <w:t xml:space="preserve"> (brand name </w:t>
      </w:r>
      <w:r w:rsidR="00F77247" w:rsidRPr="008B087A">
        <w:rPr>
          <w:rFonts w:cstheme="minorHAnsi"/>
          <w:i/>
          <w:color w:val="000000"/>
        </w:rPr>
        <w:t>Zocor</w:t>
      </w:r>
      <w:r w:rsidR="00F77247" w:rsidRPr="00F77247">
        <w:rPr>
          <w:rFonts w:cstheme="minorHAnsi"/>
          <w:iCs/>
          <w:color w:val="000000"/>
        </w:rPr>
        <w:t>)</w:t>
      </w:r>
      <w:r w:rsidR="00F77247">
        <w:rPr>
          <w:rFonts w:cstheme="minorHAnsi"/>
          <w:color w:val="000000"/>
        </w:rPr>
        <w:t xml:space="preserve"> </w:t>
      </w:r>
      <w:r w:rsidR="00F77247" w:rsidRPr="008B087A">
        <w:rPr>
          <w:rFonts w:cstheme="minorHAnsi"/>
          <w:color w:val="000000"/>
        </w:rPr>
        <w:t>los</w:t>
      </w:r>
      <w:r w:rsidR="00F77247">
        <w:rPr>
          <w:rFonts w:cstheme="minorHAnsi"/>
          <w:color w:val="000000"/>
        </w:rPr>
        <w:t>t</w:t>
      </w:r>
      <w:r w:rsidR="00F77247" w:rsidRPr="008B087A">
        <w:rPr>
          <w:rFonts w:cstheme="minorHAnsi"/>
          <w:color w:val="000000"/>
        </w:rPr>
        <w:t xml:space="preserve"> patent protection</w:t>
      </w:r>
      <w:r w:rsidR="00F77247">
        <w:rPr>
          <w:rFonts w:cstheme="minorHAnsi"/>
          <w:color w:val="000000"/>
        </w:rPr>
        <w:t xml:space="preserve"> </w:t>
      </w:r>
      <w:r w:rsidR="006A061F">
        <w:rPr>
          <w:rFonts w:cstheme="minorHAnsi"/>
          <w:color w:val="000000"/>
        </w:rPr>
        <w:t>and became available as generic drug</w:t>
      </w:r>
      <w:r w:rsidR="00F77247" w:rsidRPr="008B087A">
        <w:rPr>
          <w:rFonts w:cstheme="minorHAnsi"/>
          <w:color w:val="000000"/>
        </w:rPr>
        <w:t>. In January 2006, NICE publishe</w:t>
      </w:r>
      <w:r w:rsidR="00F77247">
        <w:rPr>
          <w:rFonts w:cstheme="minorHAnsi"/>
          <w:color w:val="000000"/>
        </w:rPr>
        <w:t>d</w:t>
      </w:r>
      <w:r w:rsidR="00F77247" w:rsidRPr="008B087A">
        <w:rPr>
          <w:rFonts w:cstheme="minorHAnsi"/>
          <w:color w:val="000000"/>
        </w:rPr>
        <w:t xml:space="preserve"> Technological Appraisal 94</w:t>
      </w:r>
      <w:r w:rsidR="00AC3C33">
        <w:rPr>
          <w:rFonts w:cstheme="minorHAnsi"/>
          <w:color w:val="000000"/>
        </w:rPr>
        <w:t xml:space="preserve"> (TA-94)</w:t>
      </w:r>
      <w:r w:rsidR="00F77247">
        <w:rPr>
          <w:rFonts w:cstheme="minorHAnsi"/>
          <w:color w:val="000000"/>
        </w:rPr>
        <w:t xml:space="preserve">, </w:t>
      </w:r>
      <w:r w:rsidR="0011414F">
        <w:rPr>
          <w:rFonts w:cstheme="minorHAnsi"/>
          <w:color w:val="000000"/>
        </w:rPr>
        <w:t>stating</w:t>
      </w:r>
      <w:r w:rsidR="00B667F8">
        <w:rPr>
          <w:rFonts w:cstheme="minorHAnsi"/>
          <w:color w:val="000000"/>
        </w:rPr>
        <w:t xml:space="preserve"> </w:t>
      </w:r>
      <w:r w:rsidR="003D2A16">
        <w:rPr>
          <w:rFonts w:cstheme="minorHAnsi"/>
          <w:color w:val="000000"/>
        </w:rPr>
        <w:t>that all</w:t>
      </w:r>
      <w:r w:rsidR="00F77247">
        <w:rPr>
          <w:rFonts w:cstheme="minorHAnsi"/>
          <w:color w:val="000000"/>
        </w:rPr>
        <w:t xml:space="preserve"> stati</w:t>
      </w:r>
      <w:r w:rsidR="003D2A16">
        <w:rPr>
          <w:rFonts w:cstheme="minorHAnsi"/>
          <w:color w:val="000000"/>
        </w:rPr>
        <w:t>n</w:t>
      </w:r>
      <w:r w:rsidR="00F77247">
        <w:rPr>
          <w:rFonts w:cstheme="minorHAnsi"/>
          <w:color w:val="000000"/>
        </w:rPr>
        <w:t xml:space="preserve">s were </w:t>
      </w:r>
      <w:r w:rsidR="003D2A16">
        <w:rPr>
          <w:rFonts w:cstheme="minorHAnsi"/>
        </w:rPr>
        <w:t>equally effective f</w:t>
      </w:r>
      <w:r w:rsidR="0011414F">
        <w:rPr>
          <w:rFonts w:cstheme="minorHAnsi"/>
        </w:rPr>
        <w:t>rom a therapeutic point of view,</w:t>
      </w:r>
      <w:r w:rsidR="002D184A">
        <w:rPr>
          <w:rFonts w:cstheme="minorHAnsi"/>
        </w:rPr>
        <w:t xml:space="preserve"> </w:t>
      </w:r>
      <w:r w:rsidR="00B667F8">
        <w:rPr>
          <w:rFonts w:cstheme="minorHAnsi"/>
        </w:rPr>
        <w:t>advising</w:t>
      </w:r>
      <w:r w:rsidR="00FA35DE">
        <w:rPr>
          <w:rFonts w:cstheme="minorHAnsi"/>
        </w:rPr>
        <w:t xml:space="preserve"> GPs</w:t>
      </w:r>
      <w:r w:rsidR="00B667F8">
        <w:rPr>
          <w:rFonts w:cstheme="minorHAnsi"/>
        </w:rPr>
        <w:t xml:space="preserve"> to take into consideration costs</w:t>
      </w:r>
      <w:r w:rsidR="00FA35DE">
        <w:rPr>
          <w:rFonts w:cstheme="minorHAnsi"/>
        </w:rPr>
        <w:t xml:space="preserve"> of statins</w:t>
      </w:r>
      <w:r w:rsidR="00B667F8">
        <w:rPr>
          <w:rFonts w:cstheme="minorHAnsi"/>
        </w:rPr>
        <w:t xml:space="preserve"> when </w:t>
      </w:r>
      <w:r w:rsidR="008260D5">
        <w:rPr>
          <w:rFonts w:cstheme="minorHAnsi"/>
        </w:rPr>
        <w:t>choosing</w:t>
      </w:r>
      <w:r w:rsidR="003D2A16">
        <w:rPr>
          <w:rFonts w:cstheme="minorHAnsi"/>
        </w:rPr>
        <w:t xml:space="preserve"> </w:t>
      </w:r>
      <w:r w:rsidR="008260D5">
        <w:rPr>
          <w:rFonts w:cstheme="minorHAnsi"/>
        </w:rPr>
        <w:t>the</w:t>
      </w:r>
      <w:r w:rsidR="003D2A16">
        <w:rPr>
          <w:rFonts w:cstheme="minorHAnsi"/>
        </w:rPr>
        <w:t xml:space="preserve"> </w:t>
      </w:r>
      <w:r w:rsidR="003D2A16" w:rsidRPr="008B087A">
        <w:rPr>
          <w:rFonts w:cstheme="minorHAnsi"/>
          <w:color w:val="000000"/>
        </w:rPr>
        <w:t xml:space="preserve">initial </w:t>
      </w:r>
      <w:r w:rsidR="00B667F8">
        <w:rPr>
          <w:rFonts w:cstheme="minorHAnsi"/>
          <w:color w:val="000000"/>
        </w:rPr>
        <w:t>treatment and informing that</w:t>
      </w:r>
      <w:r w:rsidR="000271EC">
        <w:rPr>
          <w:rFonts w:cstheme="minorHAnsi"/>
          <w:color w:val="000000"/>
        </w:rPr>
        <w:t xml:space="preserve"> s</w:t>
      </w:r>
      <w:r w:rsidR="003D2A16" w:rsidRPr="008B087A">
        <w:rPr>
          <w:rFonts w:cstheme="minorHAnsi"/>
          <w:color w:val="000000"/>
        </w:rPr>
        <w:t>imva</w:t>
      </w:r>
      <w:r w:rsidR="003D2A16">
        <w:rPr>
          <w:rFonts w:cstheme="minorHAnsi"/>
          <w:color w:val="000000"/>
        </w:rPr>
        <w:t>statin</w:t>
      </w:r>
      <w:r w:rsidR="003D2A16" w:rsidRPr="008B087A">
        <w:rPr>
          <w:rFonts w:cstheme="minorHAnsi"/>
          <w:color w:val="000000"/>
        </w:rPr>
        <w:t xml:space="preserve"> </w:t>
      </w:r>
      <w:r w:rsidR="003D2A16">
        <w:rPr>
          <w:rFonts w:cstheme="minorHAnsi"/>
          <w:color w:val="000000"/>
        </w:rPr>
        <w:t>wa</w:t>
      </w:r>
      <w:r w:rsidR="003D2A16" w:rsidRPr="008B087A">
        <w:rPr>
          <w:rFonts w:cstheme="minorHAnsi"/>
          <w:color w:val="000000"/>
        </w:rPr>
        <w:t xml:space="preserve">s the cheapest of all </w:t>
      </w:r>
      <w:r w:rsidR="003D2A16">
        <w:rPr>
          <w:rFonts w:cstheme="minorHAnsi"/>
          <w:color w:val="000000"/>
        </w:rPr>
        <w:t>statin</w:t>
      </w:r>
      <w:r w:rsidR="003D2A16" w:rsidRPr="008B087A">
        <w:rPr>
          <w:rFonts w:cstheme="minorHAnsi"/>
          <w:color w:val="000000"/>
        </w:rPr>
        <w:t>s.</w:t>
      </w:r>
      <w:r w:rsidR="00FF4F79">
        <w:rPr>
          <w:rFonts w:cstheme="minorHAnsi"/>
          <w:color w:val="000000"/>
        </w:rPr>
        <w:fldChar w:fldCharType="begin"/>
      </w:r>
      <w:r w:rsidR="002A6D5F">
        <w:rPr>
          <w:rFonts w:cstheme="minorHAnsi"/>
          <w:color w:val="000000"/>
        </w:rPr>
        <w:instrText xml:space="preserve"> ADDIN ZOTERO_ITEM CSL_CITATION {"citationID":"HEe5prgu","properties":{"formattedCitation":"\\super 10\\nosupersub{}","plainCitation":"10","noteIndex":0},"citationItems":[{"id":137,"uris":["http://zotero.org/users/4387520/items/29SYHDR5"],"uri":["http://zotero.org/users/4387520/items/29SYHDR5"],"itemData":{"id":137,"type":"webpage","language":"eng","note":"publisher: NICE","title":"Statins for the prevention of cardiovascular events | Guidance | NICE","URL":"https://www.nice.org.uk/guidance/ta94","accessed":{"date-parts":[["2021",4,13]]}}}],"schema":"https://github.com/citation-style-language/schema/raw/master/csl-citation.json"} </w:instrText>
      </w:r>
      <w:r w:rsidR="00FF4F79">
        <w:rPr>
          <w:rFonts w:cstheme="minorHAnsi"/>
          <w:color w:val="000000"/>
        </w:rPr>
        <w:fldChar w:fldCharType="separate"/>
      </w:r>
      <w:r w:rsidR="002A6D5F" w:rsidRPr="002A6D5F">
        <w:rPr>
          <w:rFonts w:ascii="Calibri" w:hAnsi="Calibri" w:cs="Calibri"/>
          <w:szCs w:val="24"/>
          <w:vertAlign w:val="superscript"/>
        </w:rPr>
        <w:t>10</w:t>
      </w:r>
      <w:r w:rsidR="00FF4F79">
        <w:rPr>
          <w:rFonts w:cstheme="minorHAnsi"/>
          <w:color w:val="000000"/>
        </w:rPr>
        <w:fldChar w:fldCharType="end"/>
      </w:r>
      <w:r w:rsidR="003D2A16">
        <w:rPr>
          <w:rFonts w:cstheme="minorHAnsi"/>
          <w:color w:val="000000"/>
        </w:rPr>
        <w:t xml:space="preserve"> </w:t>
      </w:r>
      <w:r w:rsidR="00F77247" w:rsidRPr="008B087A">
        <w:rPr>
          <w:rFonts w:cstheme="minorHAnsi"/>
          <w:color w:val="000000"/>
        </w:rPr>
        <w:t>Clinical Guideline 67</w:t>
      </w:r>
      <w:r w:rsidR="00AC3C33">
        <w:rPr>
          <w:rFonts w:cstheme="minorHAnsi"/>
          <w:color w:val="000000"/>
        </w:rPr>
        <w:t xml:space="preserve"> (CG-67)</w:t>
      </w:r>
      <w:r w:rsidR="00F77247" w:rsidRPr="008B087A">
        <w:rPr>
          <w:rFonts w:cstheme="minorHAnsi"/>
          <w:color w:val="000000"/>
        </w:rPr>
        <w:t>, released in May 2008, explicit</w:t>
      </w:r>
      <w:r w:rsidR="003D2A16">
        <w:rPr>
          <w:rFonts w:cstheme="minorHAnsi"/>
          <w:color w:val="000000"/>
        </w:rPr>
        <w:t xml:space="preserve">ly stated </w:t>
      </w:r>
      <w:r w:rsidR="00F77247" w:rsidRPr="008B087A">
        <w:rPr>
          <w:rFonts w:cstheme="minorHAnsi"/>
          <w:color w:val="000000"/>
        </w:rPr>
        <w:t>that treatmen</w:t>
      </w:r>
      <w:r w:rsidR="000271EC">
        <w:rPr>
          <w:rFonts w:cstheme="minorHAnsi"/>
          <w:color w:val="000000"/>
        </w:rPr>
        <w:t>t initiation should start with s</w:t>
      </w:r>
      <w:r w:rsidR="00F77247" w:rsidRPr="008B087A">
        <w:rPr>
          <w:rFonts w:cstheme="minorHAnsi"/>
          <w:color w:val="000000"/>
        </w:rPr>
        <w:t>imva</w:t>
      </w:r>
      <w:r w:rsidR="00F77247">
        <w:rPr>
          <w:rFonts w:cstheme="minorHAnsi"/>
          <w:color w:val="000000"/>
        </w:rPr>
        <w:t>statin</w:t>
      </w:r>
      <w:r w:rsidR="00F77247" w:rsidRPr="008B087A">
        <w:rPr>
          <w:rFonts w:cstheme="minorHAnsi"/>
          <w:color w:val="000000"/>
        </w:rPr>
        <w:t>.</w:t>
      </w:r>
      <w:r w:rsidR="00FF4F79">
        <w:rPr>
          <w:rFonts w:cstheme="minorHAnsi"/>
          <w:color w:val="000000"/>
        </w:rPr>
        <w:fldChar w:fldCharType="begin"/>
      </w:r>
      <w:r w:rsidR="002A6D5F">
        <w:rPr>
          <w:rFonts w:cstheme="minorHAnsi"/>
          <w:color w:val="000000"/>
        </w:rPr>
        <w:instrText xml:space="preserve"> ADDIN ZOTERO_ITEM CSL_CITATION {"citationID":"aWJOj6sX","properties":{"formattedCitation":"\\super 11\\nosupersub{}","plainCitation":"11","noteIndex":0},"citationItems":[{"id":141,"uris":["http://zotero.org/users/4387520/items/3CS4SB3C"],"uri":["http://zotero.org/users/4387520/items/3CS4SB3C"],"itemData":{"id":141,"type":"webpage","language":"eng","note":"publisher: NICE","title":"Lipid modification: Cardiovascular risk assessment and the modification of blood lipids for the primary and secondary prevention of cardiovascular disease | Guidance | NICE","title-short":"Lipid modification","URL":"https://www.nice.org.uk/guidance/cg67","accessed":{"date-parts":[["2021",4,13]]}}}],"schema":"https://github.com/citation-style-language/schema/raw/master/csl-citation.json"} </w:instrText>
      </w:r>
      <w:r w:rsidR="00FF4F79">
        <w:rPr>
          <w:rFonts w:cstheme="minorHAnsi"/>
          <w:color w:val="000000"/>
        </w:rPr>
        <w:fldChar w:fldCharType="separate"/>
      </w:r>
      <w:r w:rsidR="002A6D5F" w:rsidRPr="002A6D5F">
        <w:rPr>
          <w:rFonts w:ascii="Calibri" w:hAnsi="Calibri" w:cs="Calibri"/>
          <w:szCs w:val="24"/>
          <w:vertAlign w:val="superscript"/>
        </w:rPr>
        <w:t>11</w:t>
      </w:r>
      <w:r w:rsidR="00FF4F79">
        <w:rPr>
          <w:rFonts w:cstheme="minorHAnsi"/>
          <w:color w:val="000000"/>
        </w:rPr>
        <w:fldChar w:fldCharType="end"/>
      </w:r>
      <w:r w:rsidR="00F77247" w:rsidRPr="008B087A">
        <w:rPr>
          <w:rFonts w:cstheme="minorHAnsi"/>
          <w:color w:val="000000"/>
        </w:rPr>
        <w:t xml:space="preserve"> </w:t>
      </w:r>
      <w:r w:rsidR="00F77247">
        <w:rPr>
          <w:rFonts w:cstheme="minorHAnsi"/>
          <w:color w:val="000000"/>
        </w:rPr>
        <w:t>I</w:t>
      </w:r>
      <w:r w:rsidR="00F77247" w:rsidRPr="008B087A">
        <w:rPr>
          <w:rFonts w:cstheme="minorHAnsi"/>
          <w:color w:val="000000"/>
        </w:rPr>
        <w:t>n May 2012</w:t>
      </w:r>
      <w:r w:rsidR="003D2A16">
        <w:rPr>
          <w:rFonts w:cstheme="minorHAnsi"/>
          <w:color w:val="000000"/>
        </w:rPr>
        <w:t>,</w:t>
      </w:r>
      <w:r w:rsidR="000271EC">
        <w:rPr>
          <w:rFonts w:cstheme="minorHAnsi"/>
          <w:color w:val="000000"/>
        </w:rPr>
        <w:t xml:space="preserve"> a</w:t>
      </w:r>
      <w:r w:rsidR="00F77247" w:rsidRPr="008B087A">
        <w:rPr>
          <w:rFonts w:cstheme="minorHAnsi"/>
          <w:color w:val="000000"/>
        </w:rPr>
        <w:t>torva</w:t>
      </w:r>
      <w:r w:rsidR="00F77247">
        <w:rPr>
          <w:rFonts w:cstheme="minorHAnsi"/>
          <w:color w:val="000000"/>
        </w:rPr>
        <w:t>statin</w:t>
      </w:r>
      <w:r w:rsidR="00F77247" w:rsidRPr="008B087A">
        <w:rPr>
          <w:rFonts w:cstheme="minorHAnsi"/>
          <w:color w:val="000000"/>
        </w:rPr>
        <w:t xml:space="preserve"> (brand name </w:t>
      </w:r>
      <w:r w:rsidR="00F77247" w:rsidRPr="008B087A">
        <w:rPr>
          <w:rFonts w:cstheme="minorHAnsi"/>
          <w:i/>
          <w:color w:val="000000"/>
        </w:rPr>
        <w:t>Lipitor</w:t>
      </w:r>
      <w:r w:rsidR="006A061F">
        <w:rPr>
          <w:rFonts w:cstheme="minorHAnsi"/>
          <w:color w:val="000000"/>
        </w:rPr>
        <w:t xml:space="preserve">) also </w:t>
      </w:r>
      <w:r w:rsidR="00F77247" w:rsidRPr="008B087A">
        <w:rPr>
          <w:rFonts w:cstheme="minorHAnsi"/>
          <w:color w:val="000000"/>
        </w:rPr>
        <w:t>los</w:t>
      </w:r>
      <w:r w:rsidR="003D2A16">
        <w:rPr>
          <w:rFonts w:cstheme="minorHAnsi"/>
          <w:color w:val="000000"/>
        </w:rPr>
        <w:t xml:space="preserve">t </w:t>
      </w:r>
      <w:r w:rsidR="00F77247" w:rsidRPr="008B087A">
        <w:rPr>
          <w:rFonts w:cstheme="minorHAnsi"/>
          <w:color w:val="000000"/>
        </w:rPr>
        <w:t>patent protection</w:t>
      </w:r>
      <w:r w:rsidR="006A061F">
        <w:rPr>
          <w:rFonts w:cstheme="minorHAnsi"/>
          <w:color w:val="000000"/>
        </w:rPr>
        <w:t xml:space="preserve"> and became available as generic drug. Finally, two years later, in May 2014, </w:t>
      </w:r>
      <w:r w:rsidR="00F77247" w:rsidRPr="008B087A">
        <w:rPr>
          <w:rFonts w:cstheme="minorHAnsi"/>
          <w:color w:val="000000"/>
        </w:rPr>
        <w:t>NICE publish</w:t>
      </w:r>
      <w:r w:rsidR="006A061F">
        <w:rPr>
          <w:rFonts w:cstheme="minorHAnsi"/>
          <w:color w:val="000000"/>
        </w:rPr>
        <w:t>ed</w:t>
      </w:r>
      <w:r w:rsidR="003D2A16">
        <w:rPr>
          <w:rFonts w:cstheme="minorHAnsi"/>
          <w:color w:val="000000"/>
        </w:rPr>
        <w:t xml:space="preserve"> </w:t>
      </w:r>
      <w:r w:rsidR="00F77247" w:rsidRPr="008B087A">
        <w:rPr>
          <w:rFonts w:cstheme="minorHAnsi"/>
          <w:color w:val="000000"/>
        </w:rPr>
        <w:t xml:space="preserve">Clinical Guidelines 181 </w:t>
      </w:r>
      <w:r w:rsidR="00AC3C33">
        <w:rPr>
          <w:rFonts w:cstheme="minorHAnsi"/>
          <w:color w:val="000000"/>
        </w:rPr>
        <w:t xml:space="preserve">(CG-181) </w:t>
      </w:r>
      <w:r w:rsidR="00F77247" w:rsidRPr="008B087A">
        <w:rPr>
          <w:rFonts w:cstheme="minorHAnsi"/>
          <w:color w:val="000000"/>
        </w:rPr>
        <w:t>recommend</w:t>
      </w:r>
      <w:r w:rsidR="003D2A16">
        <w:rPr>
          <w:rFonts w:cstheme="minorHAnsi"/>
          <w:color w:val="000000"/>
        </w:rPr>
        <w:t xml:space="preserve">ing </w:t>
      </w:r>
      <w:r w:rsidR="000271EC">
        <w:rPr>
          <w:rFonts w:cstheme="minorHAnsi"/>
          <w:color w:val="000000"/>
        </w:rPr>
        <w:t>a</w:t>
      </w:r>
      <w:r w:rsidR="00F77247" w:rsidRPr="008B087A">
        <w:rPr>
          <w:rFonts w:cstheme="minorHAnsi"/>
          <w:color w:val="000000"/>
        </w:rPr>
        <w:t>torva</w:t>
      </w:r>
      <w:r w:rsidR="00F77247">
        <w:rPr>
          <w:rFonts w:cstheme="minorHAnsi"/>
          <w:color w:val="000000"/>
        </w:rPr>
        <w:t>statin</w:t>
      </w:r>
      <w:r w:rsidR="00F77247" w:rsidRPr="008B087A">
        <w:rPr>
          <w:rFonts w:cstheme="minorHAnsi"/>
          <w:color w:val="000000"/>
        </w:rPr>
        <w:t xml:space="preserve"> as initial treatment.</w:t>
      </w:r>
      <w:r w:rsidR="00FF4F79">
        <w:rPr>
          <w:rFonts w:cstheme="minorHAnsi"/>
          <w:color w:val="000000"/>
        </w:rPr>
        <w:fldChar w:fldCharType="begin"/>
      </w:r>
      <w:r w:rsidR="002A6D5F">
        <w:rPr>
          <w:rFonts w:cstheme="minorHAnsi"/>
          <w:color w:val="000000"/>
        </w:rPr>
        <w:instrText xml:space="preserve"> ADDIN ZOTERO_ITEM CSL_CITATION {"citationID":"0SNcdpOi","properties":{"formattedCitation":"\\super 12\\nosupersub{}","plainCitation":"12","noteIndex":0},"citationItems":[{"id":19,"uris":["http://zotero.org/users/4387520/items/ZTVJMUWC"],"uri":["http://zotero.org/users/4387520/items/ZTVJMUWC"],"itemData":{"id":19,"type":"webpage","language":"eng","title":"Cardiovascular disease: risk assessment and reduction, including lipid modification | Guidance and guidelines | NICE","title-short":"Cardiovascular disease","URL":"https://www.nice.org.uk/guidance/cg181/chapter/appendix-a-grouping-of-statins","accessed":{"date-parts":[["2019",1,13]]}}}],"schema":"https://github.com/citation-style-language/schema/raw/master/csl-citation.json"} </w:instrText>
      </w:r>
      <w:r w:rsidR="00FF4F79">
        <w:rPr>
          <w:rFonts w:cstheme="minorHAnsi"/>
          <w:color w:val="000000"/>
        </w:rPr>
        <w:fldChar w:fldCharType="separate"/>
      </w:r>
      <w:r w:rsidR="002A6D5F" w:rsidRPr="002A6D5F">
        <w:rPr>
          <w:rFonts w:ascii="Calibri" w:hAnsi="Calibri" w:cs="Calibri"/>
          <w:szCs w:val="24"/>
          <w:vertAlign w:val="superscript"/>
        </w:rPr>
        <w:t>12</w:t>
      </w:r>
      <w:r w:rsidR="00FF4F79">
        <w:rPr>
          <w:rFonts w:cstheme="minorHAnsi"/>
          <w:color w:val="000000"/>
        </w:rPr>
        <w:fldChar w:fldCharType="end"/>
      </w:r>
      <w:r w:rsidR="00ED4D10">
        <w:rPr>
          <w:rFonts w:cstheme="minorHAnsi"/>
          <w:color w:val="000000"/>
        </w:rPr>
        <w:t xml:space="preserve"> </w:t>
      </w:r>
      <w:r w:rsidR="00850E9D">
        <w:rPr>
          <w:rFonts w:cstheme="minorHAnsi"/>
          <w:color w:val="000000"/>
        </w:rPr>
        <w:t xml:space="preserve">The reduced cost after patent expiration </w:t>
      </w:r>
      <w:r w:rsidR="00850E9D">
        <w:rPr>
          <w:rFonts w:ascii="Calibri" w:hAnsi="Calibri" w:cs="Calibri"/>
          <w:color w:val="000000"/>
          <w:shd w:val="clear" w:color="auto" w:fill="FFFFFF"/>
        </w:rPr>
        <w:t xml:space="preserve">coupled with its </w:t>
      </w:r>
      <w:r w:rsidR="009149A5">
        <w:rPr>
          <w:rFonts w:ascii="Calibri" w:hAnsi="Calibri" w:cs="Calibri"/>
          <w:color w:val="000000"/>
          <w:shd w:val="clear" w:color="auto" w:fill="FFFFFF"/>
        </w:rPr>
        <w:t xml:space="preserve">relatively </w:t>
      </w:r>
      <w:r w:rsidR="00850E9D">
        <w:rPr>
          <w:rFonts w:ascii="Calibri" w:hAnsi="Calibri" w:cs="Calibri"/>
          <w:color w:val="000000"/>
          <w:shd w:val="clear" w:color="auto" w:fill="FFFFFF"/>
        </w:rPr>
        <w:t>greater potency meant that atorvastatin was no</w:t>
      </w:r>
      <w:r w:rsidR="009149A5">
        <w:rPr>
          <w:rFonts w:ascii="Calibri" w:hAnsi="Calibri" w:cs="Calibri"/>
          <w:color w:val="000000"/>
          <w:shd w:val="clear" w:color="auto" w:fill="FFFFFF"/>
        </w:rPr>
        <w:t>w</w:t>
      </w:r>
      <w:r w:rsidR="00850E9D">
        <w:rPr>
          <w:rFonts w:ascii="Calibri" w:hAnsi="Calibri" w:cs="Calibri"/>
          <w:color w:val="000000"/>
          <w:shd w:val="clear" w:color="auto" w:fill="FFFFFF"/>
        </w:rPr>
        <w:t xml:space="preserve"> the most cost-effective statin in the market.</w:t>
      </w:r>
    </w:p>
    <w:p w14:paraId="48D1E478" w14:textId="77777777" w:rsidR="00DC79F9" w:rsidRPr="008B087A" w:rsidRDefault="00DC79F9" w:rsidP="007144CB">
      <w:pPr>
        <w:autoSpaceDE w:val="0"/>
        <w:autoSpaceDN w:val="0"/>
        <w:adjustRightInd w:val="0"/>
        <w:spacing w:after="0" w:line="240" w:lineRule="auto"/>
        <w:jc w:val="both"/>
        <w:rPr>
          <w:rFonts w:cstheme="minorHAnsi"/>
          <w:color w:val="000000"/>
        </w:rPr>
      </w:pPr>
    </w:p>
    <w:p w14:paraId="095035B3" w14:textId="12AE3F1C" w:rsidR="00A00734" w:rsidRDefault="003D2A16" w:rsidP="007144CB">
      <w:pPr>
        <w:autoSpaceDE w:val="0"/>
        <w:autoSpaceDN w:val="0"/>
        <w:adjustRightInd w:val="0"/>
        <w:spacing w:after="0" w:line="240" w:lineRule="auto"/>
        <w:jc w:val="both"/>
        <w:rPr>
          <w:rFonts w:cstheme="minorHAnsi"/>
        </w:rPr>
      </w:pPr>
      <w:r>
        <w:rPr>
          <w:rFonts w:cstheme="minorHAnsi"/>
          <w:color w:val="000000"/>
        </w:rPr>
        <w:t>U</w:t>
      </w:r>
      <w:r w:rsidR="006E4E9E">
        <w:rPr>
          <w:rFonts w:cstheme="minorHAnsi"/>
          <w:color w:val="000000"/>
        </w:rPr>
        <w:t xml:space="preserve">sing statins as an exemplar, </w:t>
      </w:r>
      <w:r>
        <w:rPr>
          <w:rFonts w:cstheme="minorHAnsi"/>
          <w:color w:val="000000"/>
        </w:rPr>
        <w:t xml:space="preserve">this </w:t>
      </w:r>
      <w:r w:rsidR="00F85C40">
        <w:rPr>
          <w:rFonts w:cstheme="minorHAnsi"/>
          <w:color w:val="000000"/>
        </w:rPr>
        <w:t xml:space="preserve">study </w:t>
      </w:r>
      <w:r w:rsidR="009B1D99">
        <w:rPr>
          <w:rFonts w:cstheme="minorHAnsi"/>
          <w:color w:val="000000"/>
        </w:rPr>
        <w:t>inv</w:t>
      </w:r>
      <w:r w:rsidR="00992102">
        <w:rPr>
          <w:rFonts w:cstheme="minorHAnsi"/>
        </w:rPr>
        <w:t>estigat</w:t>
      </w:r>
      <w:r>
        <w:rPr>
          <w:rFonts w:cstheme="minorHAnsi"/>
        </w:rPr>
        <w:t>e</w:t>
      </w:r>
      <w:r w:rsidR="00F85C40">
        <w:rPr>
          <w:rFonts w:cstheme="minorHAnsi"/>
        </w:rPr>
        <w:t>d</w:t>
      </w:r>
      <w:r w:rsidR="00F45905">
        <w:rPr>
          <w:rFonts w:cstheme="minorHAnsi"/>
        </w:rPr>
        <w:t xml:space="preserve"> the </w:t>
      </w:r>
      <w:r w:rsidR="000D16C5">
        <w:rPr>
          <w:rFonts w:cstheme="minorHAnsi"/>
        </w:rPr>
        <w:t xml:space="preserve">prescription </w:t>
      </w:r>
      <w:r w:rsidR="00F45905">
        <w:rPr>
          <w:rFonts w:cstheme="minorHAnsi"/>
        </w:rPr>
        <w:t xml:space="preserve">dynamics </w:t>
      </w:r>
      <w:r w:rsidR="006E4E9E">
        <w:rPr>
          <w:rFonts w:cstheme="minorHAnsi"/>
        </w:rPr>
        <w:t xml:space="preserve">in </w:t>
      </w:r>
      <w:r w:rsidR="00976358">
        <w:rPr>
          <w:rFonts w:cstheme="minorHAnsi"/>
        </w:rPr>
        <w:t xml:space="preserve">a large </w:t>
      </w:r>
      <w:r>
        <w:rPr>
          <w:rFonts w:cstheme="minorHAnsi"/>
        </w:rPr>
        <w:t>sample of the</w:t>
      </w:r>
      <w:r w:rsidR="00976358">
        <w:rPr>
          <w:rFonts w:cstheme="minorHAnsi"/>
        </w:rPr>
        <w:t xml:space="preserve"> </w:t>
      </w:r>
      <w:r w:rsidR="00940091">
        <w:rPr>
          <w:rFonts w:cstheme="minorHAnsi"/>
        </w:rPr>
        <w:t xml:space="preserve">English </w:t>
      </w:r>
      <w:r w:rsidR="00D24E50" w:rsidRPr="008B087A">
        <w:rPr>
          <w:rFonts w:cstheme="minorHAnsi"/>
        </w:rPr>
        <w:t>primary care</w:t>
      </w:r>
      <w:r>
        <w:rPr>
          <w:rFonts w:cstheme="minorHAnsi"/>
        </w:rPr>
        <w:t xml:space="preserve"> sector </w:t>
      </w:r>
      <w:r w:rsidR="006E4E9E">
        <w:rPr>
          <w:rFonts w:cstheme="minorHAnsi"/>
        </w:rPr>
        <w:t>between 2004 and 2018</w:t>
      </w:r>
      <w:r w:rsidR="00992102">
        <w:rPr>
          <w:rFonts w:cstheme="minorHAnsi"/>
        </w:rPr>
        <w:t>.</w:t>
      </w:r>
      <w:r w:rsidR="00F45905">
        <w:rPr>
          <w:rFonts w:cstheme="minorHAnsi"/>
        </w:rPr>
        <w:t xml:space="preserve"> First, </w:t>
      </w:r>
      <w:r w:rsidR="00992102">
        <w:rPr>
          <w:rFonts w:cstheme="minorHAnsi"/>
          <w:color w:val="000000"/>
        </w:rPr>
        <w:t xml:space="preserve">we </w:t>
      </w:r>
      <w:r w:rsidR="006E4E9E">
        <w:rPr>
          <w:rFonts w:cstheme="minorHAnsi"/>
          <w:color w:val="000000"/>
        </w:rPr>
        <w:t>explore</w:t>
      </w:r>
      <w:r w:rsidR="00F85C40">
        <w:rPr>
          <w:rFonts w:cstheme="minorHAnsi"/>
          <w:color w:val="000000"/>
        </w:rPr>
        <w:t>d</w:t>
      </w:r>
      <w:r w:rsidR="006E4E9E">
        <w:rPr>
          <w:rFonts w:cstheme="minorHAnsi"/>
          <w:color w:val="000000"/>
        </w:rPr>
        <w:t xml:space="preserve"> </w:t>
      </w:r>
      <w:r w:rsidR="00992102">
        <w:rPr>
          <w:rFonts w:cstheme="minorHAnsi"/>
          <w:color w:val="000000"/>
        </w:rPr>
        <w:t xml:space="preserve">the relationship between </w:t>
      </w:r>
      <w:r w:rsidR="00F45905">
        <w:rPr>
          <w:rFonts w:cstheme="minorHAnsi"/>
          <w:color w:val="000000"/>
        </w:rPr>
        <w:t>aggregate</w:t>
      </w:r>
      <w:r w:rsidR="00992102">
        <w:rPr>
          <w:rFonts w:cstheme="minorHAnsi"/>
          <w:color w:val="000000"/>
        </w:rPr>
        <w:t xml:space="preserve"> </w:t>
      </w:r>
      <w:r w:rsidR="00F45905">
        <w:rPr>
          <w:rFonts w:cstheme="minorHAnsi"/>
          <w:color w:val="000000"/>
        </w:rPr>
        <w:t xml:space="preserve">prescription </w:t>
      </w:r>
      <w:r w:rsidR="00992102">
        <w:rPr>
          <w:rFonts w:cstheme="minorHAnsi"/>
          <w:color w:val="000000"/>
        </w:rPr>
        <w:t xml:space="preserve">trends and </w:t>
      </w:r>
      <w:r w:rsidR="00190699">
        <w:rPr>
          <w:rFonts w:cstheme="minorHAnsi"/>
        </w:rPr>
        <w:t xml:space="preserve">two sets of </w:t>
      </w:r>
      <w:r w:rsidR="00940091" w:rsidRPr="008B087A">
        <w:rPr>
          <w:rFonts w:cstheme="minorHAnsi"/>
        </w:rPr>
        <w:t>events</w:t>
      </w:r>
      <w:r w:rsidR="00190699">
        <w:rPr>
          <w:rFonts w:cstheme="minorHAnsi"/>
        </w:rPr>
        <w:t xml:space="preserve"> that shaped the statin market:</w:t>
      </w:r>
      <w:r w:rsidR="00F45905">
        <w:rPr>
          <w:rFonts w:cstheme="minorHAnsi"/>
        </w:rPr>
        <w:t xml:space="preserve"> </w:t>
      </w:r>
      <w:r w:rsidR="00F45905" w:rsidRPr="008B087A">
        <w:rPr>
          <w:rFonts w:cstheme="minorHAnsi"/>
        </w:rPr>
        <w:t>patent</w:t>
      </w:r>
      <w:r w:rsidR="00940091" w:rsidRPr="008B087A">
        <w:rPr>
          <w:rFonts w:cstheme="minorHAnsi"/>
        </w:rPr>
        <w:t xml:space="preserve"> expirations</w:t>
      </w:r>
      <w:r w:rsidR="00F45905">
        <w:rPr>
          <w:rFonts w:cstheme="minorHAnsi"/>
        </w:rPr>
        <w:t xml:space="preserve"> and </w:t>
      </w:r>
      <w:r w:rsidR="00D24E50" w:rsidRPr="008B087A">
        <w:rPr>
          <w:rFonts w:cstheme="minorHAnsi"/>
        </w:rPr>
        <w:t>generic entry</w:t>
      </w:r>
      <w:r w:rsidR="00F45905">
        <w:rPr>
          <w:rFonts w:cstheme="minorHAnsi"/>
        </w:rPr>
        <w:t>,</w:t>
      </w:r>
      <w:r w:rsidR="00190699">
        <w:rPr>
          <w:rFonts w:cstheme="minorHAnsi"/>
        </w:rPr>
        <w:t xml:space="preserve"> on the one hand,</w:t>
      </w:r>
      <w:r w:rsidR="00F45905">
        <w:rPr>
          <w:rFonts w:cstheme="minorHAnsi"/>
        </w:rPr>
        <w:t xml:space="preserve"> </w:t>
      </w:r>
      <w:r w:rsidR="00D24E50" w:rsidRPr="008B087A">
        <w:rPr>
          <w:rFonts w:cstheme="minorHAnsi"/>
        </w:rPr>
        <w:t xml:space="preserve">and publication </w:t>
      </w:r>
      <w:r w:rsidR="00F45905">
        <w:rPr>
          <w:rFonts w:cstheme="minorHAnsi"/>
        </w:rPr>
        <w:t>of national clinical guidelines</w:t>
      </w:r>
      <w:r w:rsidR="00190699">
        <w:rPr>
          <w:rFonts w:cstheme="minorHAnsi"/>
        </w:rPr>
        <w:t>, on the other hand</w:t>
      </w:r>
      <w:r w:rsidR="00F45905">
        <w:rPr>
          <w:rFonts w:cstheme="minorHAnsi"/>
        </w:rPr>
        <w:t>. S</w:t>
      </w:r>
      <w:r w:rsidR="009B1D99">
        <w:rPr>
          <w:rFonts w:cstheme="minorHAnsi"/>
        </w:rPr>
        <w:t>econd, we investigate</w:t>
      </w:r>
      <w:r w:rsidR="00F85C40">
        <w:rPr>
          <w:rFonts w:cstheme="minorHAnsi"/>
        </w:rPr>
        <w:t>d</w:t>
      </w:r>
      <w:r w:rsidR="00D24E50" w:rsidRPr="008B087A">
        <w:rPr>
          <w:rFonts w:cstheme="minorHAnsi"/>
        </w:rPr>
        <w:t xml:space="preserve"> </w:t>
      </w:r>
      <w:r w:rsidR="006E4E9E">
        <w:rPr>
          <w:rFonts w:cstheme="minorHAnsi"/>
        </w:rPr>
        <w:t xml:space="preserve">variation </w:t>
      </w:r>
      <w:r w:rsidR="009B1D99">
        <w:rPr>
          <w:rFonts w:cstheme="minorHAnsi"/>
        </w:rPr>
        <w:t xml:space="preserve">in prescribing </w:t>
      </w:r>
      <w:r w:rsidR="008A4B5E">
        <w:rPr>
          <w:rFonts w:cstheme="minorHAnsi"/>
        </w:rPr>
        <w:t>activity</w:t>
      </w:r>
      <w:r w:rsidR="006E4E9E">
        <w:rPr>
          <w:rFonts w:cstheme="minorHAnsi"/>
        </w:rPr>
        <w:t xml:space="preserve"> </w:t>
      </w:r>
      <w:r w:rsidR="009B1D99">
        <w:rPr>
          <w:rFonts w:cstheme="minorHAnsi"/>
        </w:rPr>
        <w:t>across</w:t>
      </w:r>
      <w:r w:rsidR="00D24E50" w:rsidRPr="008B087A">
        <w:rPr>
          <w:rFonts w:cstheme="minorHAnsi"/>
        </w:rPr>
        <w:t xml:space="preserve"> GP practices</w:t>
      </w:r>
      <w:r w:rsidR="00F45905">
        <w:rPr>
          <w:rFonts w:cstheme="minorHAnsi"/>
        </w:rPr>
        <w:t>.</w:t>
      </w:r>
      <w:r w:rsidR="00F04ACF">
        <w:rPr>
          <w:rFonts w:cstheme="minorHAnsi"/>
        </w:rPr>
        <w:t xml:space="preserve"> T</w:t>
      </w:r>
      <w:r w:rsidR="00940091">
        <w:rPr>
          <w:rFonts w:cstheme="minorHAnsi"/>
        </w:rPr>
        <w:t xml:space="preserve">hird, </w:t>
      </w:r>
      <w:r w:rsidR="00975FA7">
        <w:rPr>
          <w:rFonts w:cstheme="minorHAnsi"/>
        </w:rPr>
        <w:t xml:space="preserve">we </w:t>
      </w:r>
      <w:r w:rsidR="007D6238">
        <w:rPr>
          <w:rFonts w:cstheme="minorHAnsi"/>
        </w:rPr>
        <w:t>quantif</w:t>
      </w:r>
      <w:r w:rsidR="00F85C40">
        <w:rPr>
          <w:rFonts w:cstheme="minorHAnsi"/>
        </w:rPr>
        <w:t>ied</w:t>
      </w:r>
      <w:r w:rsidR="007D6238">
        <w:rPr>
          <w:rFonts w:cstheme="minorHAnsi"/>
        </w:rPr>
        <w:t xml:space="preserve"> </w:t>
      </w:r>
      <w:r w:rsidR="00975FA7">
        <w:rPr>
          <w:rFonts w:cstheme="minorHAnsi"/>
        </w:rPr>
        <w:t xml:space="preserve">the </w:t>
      </w:r>
      <w:r w:rsidR="007D6238">
        <w:rPr>
          <w:rFonts w:cstheme="minorHAnsi"/>
        </w:rPr>
        <w:t xml:space="preserve">forsaken savings </w:t>
      </w:r>
      <w:r w:rsidR="005E17D2">
        <w:rPr>
          <w:rFonts w:cstheme="minorHAnsi"/>
        </w:rPr>
        <w:t xml:space="preserve">for </w:t>
      </w:r>
      <w:r w:rsidR="00975FA7">
        <w:rPr>
          <w:rFonts w:cstheme="minorHAnsi"/>
        </w:rPr>
        <w:t xml:space="preserve">the </w:t>
      </w:r>
      <w:r w:rsidR="005E17D2">
        <w:rPr>
          <w:rFonts w:cstheme="minorHAnsi"/>
        </w:rPr>
        <w:t>NHS</w:t>
      </w:r>
      <w:r w:rsidR="00F67306">
        <w:rPr>
          <w:rFonts w:cstheme="minorHAnsi"/>
        </w:rPr>
        <w:t xml:space="preserve"> by</w:t>
      </w:r>
      <w:r w:rsidR="00FE05BF">
        <w:rPr>
          <w:rFonts w:cstheme="minorHAnsi"/>
        </w:rPr>
        <w:t xml:space="preserve"> assuming perfect therapeutic substitution</w:t>
      </w:r>
      <w:r w:rsidR="009B1D99">
        <w:rPr>
          <w:rFonts w:cstheme="minorHAnsi"/>
        </w:rPr>
        <w:t xml:space="preserve">, </w:t>
      </w:r>
      <w:r w:rsidR="00F67306">
        <w:rPr>
          <w:rFonts w:cstheme="minorHAnsi"/>
        </w:rPr>
        <w:t xml:space="preserve">that is </w:t>
      </w:r>
      <w:r w:rsidR="009B1D99">
        <w:rPr>
          <w:rFonts w:cstheme="minorHAnsi"/>
        </w:rPr>
        <w:t xml:space="preserve">by comparing actual treatment choices to a hypothetical scenario where only </w:t>
      </w:r>
      <w:r w:rsidR="00F04ACF">
        <w:rPr>
          <w:rFonts w:cstheme="minorHAnsi"/>
        </w:rPr>
        <w:t xml:space="preserve">the most </w:t>
      </w:r>
      <w:r w:rsidR="009B1D99">
        <w:rPr>
          <w:rFonts w:cstheme="minorHAnsi"/>
        </w:rPr>
        <w:t>cost-effective treatments</w:t>
      </w:r>
      <w:r w:rsidR="00723374">
        <w:rPr>
          <w:rFonts w:cstheme="minorHAnsi"/>
        </w:rPr>
        <w:t xml:space="preserve"> </w:t>
      </w:r>
      <w:r w:rsidR="009B1D99">
        <w:rPr>
          <w:rFonts w:cstheme="minorHAnsi"/>
        </w:rPr>
        <w:t>are prescribed.</w:t>
      </w:r>
    </w:p>
    <w:p w14:paraId="4B98D8E5" w14:textId="77777777" w:rsidR="00A00734" w:rsidRDefault="00A00734" w:rsidP="007144CB">
      <w:pPr>
        <w:autoSpaceDE w:val="0"/>
        <w:autoSpaceDN w:val="0"/>
        <w:adjustRightInd w:val="0"/>
        <w:spacing w:after="0" w:line="240" w:lineRule="auto"/>
        <w:jc w:val="both"/>
        <w:rPr>
          <w:rFonts w:cstheme="minorHAnsi"/>
        </w:rPr>
      </w:pPr>
    </w:p>
    <w:p w14:paraId="55B8A0F5" w14:textId="77777777" w:rsidR="007144CB" w:rsidRDefault="007144CB" w:rsidP="007144CB">
      <w:pPr>
        <w:spacing w:line="240" w:lineRule="auto"/>
        <w:rPr>
          <w:rFonts w:cstheme="minorHAnsi"/>
          <w:b/>
          <w:bCs/>
          <w:color w:val="000000"/>
        </w:rPr>
      </w:pPr>
      <w:r>
        <w:rPr>
          <w:rFonts w:cstheme="minorHAnsi"/>
          <w:b/>
          <w:bCs/>
          <w:color w:val="000000"/>
        </w:rPr>
        <w:br w:type="page"/>
      </w:r>
    </w:p>
    <w:p w14:paraId="2EB0B342" w14:textId="7EC4B5E3" w:rsidR="007144CB" w:rsidRDefault="006F3D3A" w:rsidP="007144CB">
      <w:pPr>
        <w:autoSpaceDE w:val="0"/>
        <w:autoSpaceDN w:val="0"/>
        <w:adjustRightInd w:val="0"/>
        <w:spacing w:after="0" w:line="240" w:lineRule="auto"/>
        <w:jc w:val="both"/>
        <w:rPr>
          <w:rFonts w:cstheme="minorHAnsi"/>
          <w:b/>
          <w:bCs/>
          <w:color w:val="000000"/>
        </w:rPr>
      </w:pPr>
      <w:r w:rsidRPr="00131D2B">
        <w:rPr>
          <w:rFonts w:cstheme="minorHAnsi"/>
          <w:b/>
          <w:bCs/>
          <w:color w:val="000000"/>
        </w:rPr>
        <w:lastRenderedPageBreak/>
        <w:t>METHODS</w:t>
      </w:r>
    </w:p>
    <w:p w14:paraId="5B82AF56" w14:textId="77777777" w:rsidR="007144CB" w:rsidRPr="007144CB" w:rsidRDefault="007144CB" w:rsidP="007144CB">
      <w:pPr>
        <w:autoSpaceDE w:val="0"/>
        <w:autoSpaceDN w:val="0"/>
        <w:adjustRightInd w:val="0"/>
        <w:spacing w:after="0" w:line="240" w:lineRule="auto"/>
        <w:jc w:val="both"/>
        <w:rPr>
          <w:rFonts w:cstheme="minorHAnsi"/>
          <w:b/>
          <w:bCs/>
          <w:color w:val="000000"/>
        </w:rPr>
      </w:pPr>
    </w:p>
    <w:p w14:paraId="036573FB" w14:textId="661F0DD7" w:rsidR="007144CB" w:rsidRPr="007144CB" w:rsidRDefault="00E26909" w:rsidP="007144CB">
      <w:pPr>
        <w:autoSpaceDE w:val="0"/>
        <w:autoSpaceDN w:val="0"/>
        <w:adjustRightInd w:val="0"/>
        <w:spacing w:after="0" w:line="240" w:lineRule="auto"/>
        <w:jc w:val="both"/>
        <w:rPr>
          <w:rFonts w:cstheme="minorHAnsi"/>
          <w:b/>
          <w:color w:val="000000"/>
        </w:rPr>
      </w:pPr>
      <w:r>
        <w:rPr>
          <w:rFonts w:cstheme="minorHAnsi"/>
          <w:b/>
          <w:color w:val="000000"/>
        </w:rPr>
        <w:t>Data</w:t>
      </w:r>
    </w:p>
    <w:p w14:paraId="1F6B0EFC" w14:textId="01F1AA5A" w:rsidR="00E26909" w:rsidRPr="00186CF2" w:rsidRDefault="00E26909" w:rsidP="007144CB">
      <w:pPr>
        <w:spacing w:after="0" w:line="240" w:lineRule="auto"/>
        <w:jc w:val="both"/>
        <w:rPr>
          <w:rFonts w:eastAsia="Times New Roman" w:cstheme="minorHAnsi"/>
          <w:vanish/>
          <w:lang w:eastAsia="en-GB"/>
        </w:rPr>
      </w:pPr>
      <w:r>
        <w:rPr>
          <w:rFonts w:eastAsia="Times New Roman" w:cstheme="minorHAnsi"/>
          <w:lang w:eastAsia="en-GB"/>
        </w:rPr>
        <w:t xml:space="preserve">The main data source for our analysis </w:t>
      </w:r>
      <w:r w:rsidR="00F85C40">
        <w:rPr>
          <w:rFonts w:eastAsia="Times New Roman" w:cstheme="minorHAnsi"/>
          <w:lang w:eastAsia="en-GB"/>
        </w:rPr>
        <w:t>wa</w:t>
      </w:r>
      <w:r w:rsidR="00F1598C">
        <w:rPr>
          <w:rFonts w:eastAsia="Times New Roman" w:cstheme="minorHAnsi"/>
          <w:lang w:eastAsia="en-GB"/>
        </w:rPr>
        <w:t xml:space="preserve">s </w:t>
      </w:r>
      <w:r w:rsidRPr="00186CF2">
        <w:rPr>
          <w:rFonts w:eastAsia="Times New Roman" w:cstheme="minorHAnsi"/>
          <w:lang w:eastAsia="en-GB"/>
        </w:rPr>
        <w:t>the Royal College of General Practitioners Research and Surveillance Centre (RCGP R&amp;SC) database</w:t>
      </w:r>
      <w:r>
        <w:rPr>
          <w:rFonts w:eastAsia="Times New Roman" w:cstheme="minorHAnsi"/>
          <w:lang w:eastAsia="en-GB"/>
        </w:rPr>
        <w:t>,</w:t>
      </w:r>
      <w:r w:rsidRPr="00217444">
        <w:rPr>
          <w:rFonts w:cstheme="minorHAnsi"/>
          <w:color w:val="000000"/>
        </w:rPr>
        <w:t xml:space="preserve"> </w:t>
      </w:r>
      <w:r w:rsidRPr="008B087A">
        <w:rPr>
          <w:rFonts w:cstheme="minorHAnsi"/>
          <w:color w:val="000000"/>
        </w:rPr>
        <w:t>a nationally representative sample</w:t>
      </w:r>
      <w:r w:rsidR="00BD4F76">
        <w:rPr>
          <w:rFonts w:cstheme="minorHAnsi"/>
          <w:color w:val="000000"/>
        </w:rPr>
        <w:t xml:space="preserve"> </w:t>
      </w:r>
      <w:r w:rsidR="00C4055D">
        <w:rPr>
          <w:rFonts w:cstheme="minorHAnsi"/>
          <w:color w:val="000000"/>
        </w:rPr>
        <w:t xml:space="preserve">of </w:t>
      </w:r>
      <w:r w:rsidR="00B52106">
        <w:rPr>
          <w:rFonts w:cstheme="minorHAnsi"/>
          <w:color w:val="000000"/>
        </w:rPr>
        <w:t xml:space="preserve">243 GP </w:t>
      </w:r>
      <w:r w:rsidR="00C4055D">
        <w:rPr>
          <w:rFonts w:cstheme="minorHAnsi"/>
          <w:color w:val="000000"/>
        </w:rPr>
        <w:t>practice</w:t>
      </w:r>
      <w:r w:rsidR="00B52106">
        <w:rPr>
          <w:rFonts w:cstheme="minorHAnsi"/>
          <w:color w:val="000000"/>
        </w:rPr>
        <w:t>s in England</w:t>
      </w:r>
      <w:r w:rsidR="00C4055D">
        <w:rPr>
          <w:rFonts w:cstheme="minorHAnsi"/>
          <w:color w:val="000000"/>
        </w:rPr>
        <w:t>.</w:t>
      </w:r>
      <w:r w:rsidR="00ED4D10" w:rsidRPr="00ED4D10">
        <w:rPr>
          <w:rFonts w:eastAsia="Times New Roman" w:cstheme="minorHAnsi"/>
          <w:lang w:eastAsia="en-GB"/>
        </w:rPr>
        <w:t xml:space="preserve"> </w:t>
      </w:r>
      <w:r w:rsidR="00ED4D10">
        <w:rPr>
          <w:rFonts w:eastAsia="Times New Roman" w:cstheme="minorHAnsi"/>
          <w:lang w:eastAsia="en-GB"/>
        </w:rPr>
        <w:t xml:space="preserve">The </w:t>
      </w:r>
      <w:r w:rsidR="00EE77E0">
        <w:rPr>
          <w:rFonts w:eastAsia="Times New Roman" w:cstheme="minorHAnsi"/>
          <w:lang w:eastAsia="en-GB"/>
        </w:rPr>
        <w:t xml:space="preserve">population </w:t>
      </w:r>
      <w:r w:rsidR="00ED4D10">
        <w:rPr>
          <w:rFonts w:eastAsia="Times New Roman" w:cstheme="minorHAnsi"/>
          <w:lang w:eastAsia="en-GB"/>
        </w:rPr>
        <w:t>representativeness of this database has been addressed in previous studies</w:t>
      </w:r>
      <w:r w:rsidR="00EE77E0">
        <w:rPr>
          <w:rFonts w:eastAsia="Times New Roman" w:cstheme="minorHAnsi"/>
          <w:lang w:eastAsia="en-GB"/>
        </w:rPr>
        <w:t>, including its representativeness of the distribution of cardiovascular disease in England</w:t>
      </w:r>
      <w:r w:rsidR="00C4055D">
        <w:rPr>
          <w:rFonts w:eastAsia="Times New Roman" w:cstheme="minorHAnsi"/>
          <w:lang w:eastAsia="en-GB"/>
        </w:rPr>
        <w:t>.</w:t>
      </w:r>
      <w:r w:rsidR="006208EB">
        <w:rPr>
          <w:rFonts w:eastAsia="Times New Roman" w:cstheme="minorHAnsi"/>
          <w:lang w:eastAsia="en-GB"/>
        </w:rPr>
        <w:fldChar w:fldCharType="begin"/>
      </w:r>
      <w:r w:rsidR="00342F2E">
        <w:rPr>
          <w:rFonts w:eastAsia="Times New Roman" w:cstheme="minorHAnsi"/>
          <w:lang w:eastAsia="en-GB"/>
        </w:rPr>
        <w:instrText xml:space="preserve"> ADDIN ZOTERO_ITEM CSL_CITATION {"citationID":"zsv3CFfz","properties":{"formattedCitation":"\\super 13,14\\nosupersub{}","plainCitation":"13,14","noteIndex":0},"citationItems":[{"id":149,"uris":["http://zotero.org/users/4387520/items/JK3C6JZ2"],"uri":["http://zotero.org/users/4387520/items/JK3C6JZ2"],"itemData":{"id":149,"type":"article-journal","abstract":"Purpose The Royal College of General Practitioners Research and Surveillance Centre (RCGP RSC) is one of the longest established primary care sentinel networks. In 2015, it established a new data and analysis hub at the University of Surrey. This paper evaluates the representativeness of the RCGP RSC network against the English population.\nParticipants and method The cohort includes 1 042 063 patients registered in 107 participating general practitioner (GP) practices. We compared the RCGP RSC data with English national data in the following areas: demographics; geographical distribution; chronic disease prevalence, management and completeness of data recording; and prescribing and vaccine uptake. We also assessed practices within the network participating in a national swabbing programme.\nFindings to date We found a small over-representation of people in the 25–44 age band, under-representation of white ethnicity, and of less deprived people. Geographical focus is in London, with less practices in the southwest and east of England. We found differences in the prevalence of diabetes (national: 6.4%, RCPG RSC: 5.8%), learning disabilities (national: 0.44%, RCPG RSC: 0.40%), obesity (national: 9.2%, RCPG RSC: 8.0%), pulmonary disease (national: 1.8%, RCPG RSC: 1.6%), and cardiovascular diseases (national: 1.1%, RCPG RSC: 1.2%). Data completeness in risk factors for diabetic population is high (77–99%). We found differences in prescribing rates and costs for infections (national: 5.58%, RCPG RSC: 7.12%), and for nutrition and blood conditions (national: 6.26%, RCPG RSC: 4.50%). Differences in vaccine uptake were seen in patients aged 2 years (national: 38.5%, RCPG RSC: 32.8%). Owing to large numbers, most differences were significant (p&lt;0.00015).\nFuture plans The RCGP RSC is a representative network, having only small differences with the national population, which have now been quantified and can be assessed for clinical relevance for specific studies. This network is a rich source for research into routine practice.","container-title":"BMJ Open","DOI":"10.1136/bmjopen-2016-011092","ISSN":"2044-6055, 2044-6055","issue":"4","language":"en","note":"publisher: British Medical Journal Publishing Group\nsection: Health services research\nPMID: 27098827","page":"e011092","source":"bmjopen.bmj.com","title":"Royal College of General Practitioners Research and Surveillance Centre (RCGP RSC) sentinel network: a cohort profile","title-short":"Royal College of General Practitioners Research and Surveillance Centre (RCGP RSC) sentinel network","volume":"6","author":[{"family":"Correa","given":"Ana"},{"family":"Hinton","given":"William"},{"family":"McGovern","given":"Andrew"},{"family":"Vlymen","given":"Jeremy","dropping-particle":"van"},{"family":"Yonova","given":"Ivelina"},{"family":"Jones","given":"Simon"},{"family":"Lusignan","given":"Simon","dropping-particle":"de"}],"issued":{"date-parts":[["2016",4,1]]}}},{"id":"rcbxirqM/IXmhNpuw","uris":["http://zotero.org/users/4387520/items/BBTBTZWZ"],"uri":["http://zotero.org/users/4387520/items/BBTBTZWZ"],"itemData":{"id":30,"type":"article-journal","abstract":"Objectives To describe incidence and prevalence of cardiovascular disease (CVD), its risk factors, medication prescribed to treat CVD and predictors of CVD within a nationally representative dataset.\nDesign Cross-sectional study of adults with and without CVD.\nSetting The Royal College of General Practitioners (RCGP) Research and Surveillance Centre (RSC) is an English primary care sentinel network. RCGP RSC is over 50 years old and one of the oldest in Europe. Practices receive feedback about data quality. This database is primarily used to conduct surveillance and research into influenza, infections and vaccine effectiveness but is also a rich resource for the study of non-communicable disease (NCD). The RCGP RSC network comprised 164 practices at the time of study.\nResults Data were extracted from the records of 1 275 174 adults. Approximately a fifth (21.3%; 95% CI 21.2% to 21.4%) had CVD (myocardial infarction (MI), angina, atrial fibrillation (AF), peripheral arterial disease, stroke/transient ischaemic attack (TIA), congestive cardiac failure) or hypertension. Smoking, unsafe alcohol consumption and obesity were more common among people with CVD. Angiotensin system modulating drugs, 3-hydroxy-3-methylglutaryl-coenzyme (HMG-CoA) reductase inhibitors (statins) and calcium channel blockers were the most commonly prescribed CVD medications. Age-adjusted and gender-adjusted annual incidence for AF was 28.2/10 000 (95% CI 27.8 to 28.7); stroke/TIA 17.1/10 000 (95% CI 16.8 to 17.5) and MI 9.8/10 000 (95% CI 9.5 to 10.0). Logistic regression analyses confirmed established CVD risk factors were associated with CVD in the RCGP RSC network dataset.\nConclusions The RCGP RSC database provides comprehensive information on risk factors, medical diagnosis, physiological measurements and prescription history that could be used in CVD research or pharmacoepidemiology. With the exception of MI, the prevalence of CVDs was higher than in other national data, possibly reflecting data quality. RCGP RSC is an underused resource for research into NCDs and their management and welcomes collaborative opportunities.","container-title":"BMJ Open","DOI":"10.1136/bmjopen-2017-020282","ISSN":"2044-6055, 2044-6055","issue":"8","language":"en","note":"PMID: 30127048","page":"e020282","source":"bmjopen.bmj.com","title":"Incidence and prevalence of cardiovascular disease in English primary care: a cross-sectional and follow-up study of the Royal College of General Practitioners (RCGP) Research and Surveillance Centre (RSC)","title-short":"Incidence and prevalence of cardiovascular disease in English primary care","volume":"8","author":[{"family":"Hinton","given":"William"},{"family":"McGovern","given":"Andrew"},{"family":"Coyle","given":"Rachel"},{"family":"Han","given":"Thang S."},{"family":"Sharma","given":"Pankaj"},{"family":"Correa","given":"Ana"},{"family":"Ferreira","given":"Filipa"},{"family":"Lusignan","given":"Simon","dropping-particle":"de"}],"issued":{"date-parts":[["2018",8,1]]}}}],"schema":"https://github.com/citation-style-language/schema/raw/master/csl-citation.json"} </w:instrText>
      </w:r>
      <w:r w:rsidR="006208EB">
        <w:rPr>
          <w:rFonts w:eastAsia="Times New Roman" w:cstheme="minorHAnsi"/>
          <w:lang w:eastAsia="en-GB"/>
        </w:rPr>
        <w:fldChar w:fldCharType="separate"/>
      </w:r>
      <w:r w:rsidR="002A6D5F" w:rsidRPr="002A6D5F">
        <w:rPr>
          <w:rFonts w:ascii="Calibri" w:hAnsi="Calibri" w:cs="Calibri"/>
          <w:szCs w:val="24"/>
          <w:vertAlign w:val="superscript"/>
        </w:rPr>
        <w:t>13,14</w:t>
      </w:r>
      <w:r w:rsidR="006208EB">
        <w:rPr>
          <w:rFonts w:eastAsia="Times New Roman" w:cstheme="minorHAnsi"/>
          <w:lang w:eastAsia="en-GB"/>
        </w:rPr>
        <w:fldChar w:fldCharType="end"/>
      </w:r>
      <w:r w:rsidR="00FF4F79" w:rsidRPr="008B087A" w:rsidDel="00FF4F79">
        <w:rPr>
          <w:rStyle w:val="FootnoteReference"/>
          <w:rFonts w:eastAsia="Times New Roman" w:cstheme="minorHAnsi"/>
          <w:lang w:eastAsia="en-GB"/>
        </w:rPr>
        <w:t xml:space="preserve"> </w:t>
      </w:r>
      <w:r w:rsidRPr="008B087A">
        <w:rPr>
          <w:rFonts w:eastAsia="Times New Roman" w:cstheme="minorHAnsi"/>
          <w:lang w:eastAsia="en-GB"/>
        </w:rPr>
        <w:t xml:space="preserve"> </w:t>
      </w:r>
      <w:r w:rsidR="004319D3">
        <w:rPr>
          <w:rFonts w:eastAsia="Times New Roman" w:cstheme="minorHAnsi"/>
          <w:lang w:eastAsia="en-GB"/>
        </w:rPr>
        <w:t xml:space="preserve">From this database, we </w:t>
      </w:r>
      <w:r w:rsidRPr="00186CF2">
        <w:rPr>
          <w:rFonts w:eastAsia="Times New Roman" w:cstheme="minorHAnsi"/>
          <w:vanish/>
          <w:lang w:eastAsia="en-GB"/>
        </w:rPr>
        <w:t xml:space="preserve">See </w:t>
      </w:r>
      <w:r w:rsidRPr="008B087A">
        <w:rPr>
          <w:rFonts w:eastAsia="Times New Roman" w:cstheme="minorHAnsi"/>
          <w:vanish/>
          <w:lang w:eastAsia="en-GB"/>
        </w:rPr>
        <w:t>https://www.rcgp.org.uk/clinical-and-research/our-programmes/research-and-surveillance-centre.aspx</w:t>
      </w:r>
      <w:r w:rsidR="0081409E">
        <w:rPr>
          <w:rFonts w:eastAsia="Times New Roman" w:cstheme="minorHAnsi"/>
          <w:vanish/>
          <w:lang w:eastAsia="en-GB"/>
        </w:rPr>
        <w:t>)</w:t>
      </w:r>
      <w:r w:rsidRPr="00186CF2">
        <w:rPr>
          <w:rFonts w:eastAsia="Times New Roman" w:cstheme="minorHAnsi"/>
          <w:vanish/>
          <w:lang w:eastAsia="en-GB"/>
        </w:rPr>
        <w:t>. The representativeness of th</w:t>
      </w:r>
      <w:r w:rsidR="00A4491A">
        <w:rPr>
          <w:rFonts w:eastAsia="Times New Roman" w:cstheme="minorHAnsi"/>
          <w:vanish/>
          <w:lang w:eastAsia="en-GB"/>
        </w:rPr>
        <w:t>ese</w:t>
      </w:r>
      <w:r w:rsidRPr="00186CF2">
        <w:rPr>
          <w:rFonts w:eastAsia="Times New Roman" w:cstheme="minorHAnsi"/>
          <w:vanish/>
          <w:lang w:eastAsia="en-GB"/>
        </w:rPr>
        <w:t xml:space="preserve"> data with respect to the </w:t>
      </w:r>
      <w:commentRangeStart w:id="1"/>
      <w:r w:rsidRPr="00186CF2">
        <w:rPr>
          <w:rFonts w:eastAsia="Times New Roman" w:cstheme="minorHAnsi"/>
          <w:vanish/>
          <w:lang w:eastAsia="en-GB"/>
        </w:rPr>
        <w:t>English</w:t>
      </w:r>
      <w:commentRangeEnd w:id="1"/>
      <w:r w:rsidR="00F04ACF">
        <w:rPr>
          <w:rStyle w:val="CommentReference"/>
        </w:rPr>
        <w:commentReference w:id="1"/>
      </w:r>
      <w:r w:rsidRPr="00186CF2">
        <w:rPr>
          <w:rFonts w:eastAsia="Times New Roman" w:cstheme="minorHAnsi"/>
          <w:vanish/>
          <w:lang w:eastAsia="en-GB"/>
        </w:rPr>
        <w:t xml:space="preserve"> epidemiology has been assessed in [</w:t>
      </w:r>
      <w:hyperlink w:anchor="LyXCite-correa2016royal" w:history="1">
        <w:r w:rsidRPr="008B087A">
          <w:rPr>
            <w:rFonts w:eastAsia="Times New Roman" w:cstheme="minorHAnsi"/>
            <w:vanish/>
            <w:color w:val="0000FF"/>
            <w:u w:val="single"/>
            <w:lang w:eastAsia="en-GB"/>
          </w:rPr>
          <w:t>correa2016royal</w:t>
        </w:r>
      </w:hyperlink>
      <w:r w:rsidRPr="00186CF2">
        <w:rPr>
          <w:rFonts w:eastAsia="Times New Roman" w:cstheme="minorHAnsi"/>
          <w:vanish/>
          <w:lang w:eastAsia="en-GB"/>
        </w:rPr>
        <w:t>]. Also, and relevant to our study, [</w:t>
      </w:r>
      <w:hyperlink w:anchor="LyXCite-hinton2018incidence" w:history="1">
        <w:r w:rsidRPr="008B087A">
          <w:rPr>
            <w:rFonts w:eastAsia="Times New Roman" w:cstheme="minorHAnsi"/>
            <w:vanish/>
            <w:color w:val="0000FF"/>
            <w:u w:val="single"/>
            <w:lang w:eastAsia="en-GB"/>
          </w:rPr>
          <w:t>hinton2018incidence</w:t>
        </w:r>
      </w:hyperlink>
      <w:r w:rsidRPr="00186CF2">
        <w:rPr>
          <w:rFonts w:eastAsia="Times New Roman" w:cstheme="minorHAnsi"/>
          <w:vanish/>
          <w:lang w:eastAsia="en-GB"/>
        </w:rPr>
        <w:t xml:space="preserve">] establishes the representativeness of it with regard to cardiovascular </w:t>
      </w:r>
      <w:commentRangeStart w:id="2"/>
      <w:r w:rsidRPr="00186CF2">
        <w:rPr>
          <w:rFonts w:eastAsia="Times New Roman" w:cstheme="minorHAnsi"/>
          <w:vanish/>
          <w:lang w:eastAsia="en-GB"/>
        </w:rPr>
        <w:t>diseases</w:t>
      </w:r>
      <w:commentRangeEnd w:id="2"/>
      <w:r w:rsidR="008C1465">
        <w:rPr>
          <w:rStyle w:val="CommentReference"/>
        </w:rPr>
        <w:commentReference w:id="2"/>
      </w:r>
      <w:r w:rsidRPr="00186CF2">
        <w:rPr>
          <w:rFonts w:eastAsia="Times New Roman" w:cstheme="minorHAnsi"/>
          <w:vanish/>
          <w:lang w:eastAsia="en-GB"/>
        </w:rPr>
        <w:t>.</w:t>
      </w:r>
    </w:p>
    <w:p w14:paraId="212328D6" w14:textId="4CD4B067" w:rsidR="00E26909" w:rsidRDefault="00E26909" w:rsidP="007144CB">
      <w:pPr>
        <w:spacing w:after="0" w:line="240" w:lineRule="auto"/>
        <w:jc w:val="both"/>
        <w:rPr>
          <w:rFonts w:eastAsia="Times New Roman" w:cstheme="minorHAnsi"/>
          <w:lang w:eastAsia="en-GB"/>
        </w:rPr>
      </w:pPr>
      <w:r>
        <w:rPr>
          <w:rFonts w:eastAsia="Times New Roman" w:cstheme="minorHAnsi"/>
          <w:lang w:eastAsia="en-GB"/>
        </w:rPr>
        <w:t>retrieved</w:t>
      </w:r>
      <w:r w:rsidRPr="00186CF2">
        <w:rPr>
          <w:rFonts w:eastAsia="Times New Roman" w:cstheme="minorHAnsi"/>
          <w:lang w:eastAsia="en-GB"/>
        </w:rPr>
        <w:t xml:space="preserve"> all first prescription episodes for more than 400</w:t>
      </w:r>
      <w:r>
        <w:rPr>
          <w:rFonts w:eastAsia="Times New Roman" w:cstheme="minorHAnsi"/>
          <w:lang w:eastAsia="en-GB"/>
        </w:rPr>
        <w:t>,000</w:t>
      </w:r>
      <w:r w:rsidRPr="00186CF2">
        <w:rPr>
          <w:rFonts w:eastAsia="Times New Roman" w:cstheme="minorHAnsi"/>
          <w:lang w:eastAsia="en-GB"/>
        </w:rPr>
        <w:t xml:space="preserve"> patients</w:t>
      </w:r>
      <w:r>
        <w:rPr>
          <w:rFonts w:eastAsia="Times New Roman" w:cstheme="minorHAnsi"/>
          <w:lang w:eastAsia="en-GB"/>
        </w:rPr>
        <w:t xml:space="preserve">, treated with statins between </w:t>
      </w:r>
      <w:r w:rsidR="00EA60A0">
        <w:rPr>
          <w:rFonts w:eastAsia="Times New Roman" w:cstheme="minorHAnsi"/>
          <w:lang w:eastAsia="en-GB"/>
        </w:rPr>
        <w:t>Q3</w:t>
      </w:r>
      <w:r w:rsidR="003F71FB">
        <w:rPr>
          <w:rFonts w:eastAsia="Times New Roman" w:cstheme="minorHAnsi"/>
          <w:lang w:eastAsia="en-GB"/>
        </w:rPr>
        <w:t>-</w:t>
      </w:r>
      <w:r w:rsidR="00034249">
        <w:rPr>
          <w:rFonts w:eastAsia="Times New Roman" w:cstheme="minorHAnsi"/>
          <w:lang w:eastAsia="en-GB"/>
        </w:rPr>
        <w:t>2003</w:t>
      </w:r>
      <w:r>
        <w:rPr>
          <w:rFonts w:eastAsia="Times New Roman" w:cstheme="minorHAnsi"/>
          <w:lang w:eastAsia="en-GB"/>
        </w:rPr>
        <w:t xml:space="preserve"> and </w:t>
      </w:r>
      <w:r w:rsidR="00EA60A0">
        <w:rPr>
          <w:rFonts w:eastAsia="Times New Roman" w:cstheme="minorHAnsi"/>
          <w:lang w:eastAsia="en-GB"/>
        </w:rPr>
        <w:t>Q4</w:t>
      </w:r>
      <w:r w:rsidR="003F71FB">
        <w:rPr>
          <w:rFonts w:eastAsia="Times New Roman" w:cstheme="minorHAnsi"/>
          <w:lang w:eastAsia="en-GB"/>
        </w:rPr>
        <w:t>-</w:t>
      </w:r>
      <w:r>
        <w:rPr>
          <w:rFonts w:eastAsia="Times New Roman" w:cstheme="minorHAnsi"/>
          <w:lang w:eastAsia="en-GB"/>
        </w:rPr>
        <w:t>2018</w:t>
      </w:r>
      <w:r w:rsidRPr="00186CF2">
        <w:rPr>
          <w:rFonts w:eastAsia="Times New Roman" w:cstheme="minorHAnsi"/>
          <w:lang w:eastAsia="en-GB"/>
        </w:rPr>
        <w:t>.</w:t>
      </w:r>
      <w:r w:rsidR="00466C09" w:rsidRPr="00186CF2" w:rsidDel="00466C09">
        <w:rPr>
          <w:rFonts w:eastAsia="Times New Roman" w:cstheme="minorHAnsi"/>
          <w:lang w:eastAsia="en-GB"/>
        </w:rPr>
        <w:t xml:space="preserve"> </w:t>
      </w:r>
      <w:r w:rsidR="00466C09">
        <w:rPr>
          <w:rFonts w:eastAsia="Times New Roman" w:cstheme="minorHAnsi"/>
          <w:lang w:eastAsia="en-GB"/>
        </w:rPr>
        <w:t>T</w:t>
      </w:r>
      <w:r w:rsidRPr="00186CF2">
        <w:rPr>
          <w:rFonts w:eastAsia="Times New Roman" w:cstheme="minorHAnsi"/>
          <w:lang w:eastAsia="en-GB"/>
        </w:rPr>
        <w:t>his database contains complete information of each prescription issued</w:t>
      </w:r>
      <w:r w:rsidR="00DE1D73">
        <w:rPr>
          <w:rFonts w:eastAsia="Times New Roman" w:cstheme="minorHAnsi"/>
          <w:lang w:eastAsia="en-GB"/>
        </w:rPr>
        <w:t xml:space="preserve"> (</w:t>
      </w:r>
      <w:r w:rsidRPr="00186CF2">
        <w:rPr>
          <w:rFonts w:eastAsia="Times New Roman" w:cstheme="minorHAnsi"/>
          <w:lang w:eastAsia="en-GB"/>
        </w:rPr>
        <w:t>active ingredient, quantity, strength, formulation, and date</w:t>
      </w:r>
      <w:r w:rsidR="00DE1D73">
        <w:rPr>
          <w:rFonts w:eastAsia="Times New Roman" w:cstheme="minorHAnsi"/>
          <w:lang w:eastAsia="en-GB"/>
        </w:rPr>
        <w:t>)</w:t>
      </w:r>
      <w:r w:rsidRPr="00186CF2">
        <w:rPr>
          <w:rFonts w:eastAsia="Times New Roman" w:cstheme="minorHAnsi"/>
          <w:lang w:eastAsia="en-GB"/>
        </w:rPr>
        <w:t xml:space="preserve"> </w:t>
      </w:r>
      <w:r w:rsidR="00646201">
        <w:rPr>
          <w:rFonts w:eastAsia="Times New Roman" w:cstheme="minorHAnsi"/>
          <w:lang w:eastAsia="en-GB"/>
        </w:rPr>
        <w:t xml:space="preserve">as well as </w:t>
      </w:r>
      <w:r w:rsidR="00EE77E0">
        <w:rPr>
          <w:rFonts w:eastAsia="Times New Roman" w:cstheme="minorHAnsi"/>
          <w:lang w:eastAsia="en-GB"/>
        </w:rPr>
        <w:t>an anonymised identity</w:t>
      </w:r>
      <w:r w:rsidR="00646201">
        <w:rPr>
          <w:rFonts w:eastAsia="Times New Roman" w:cstheme="minorHAnsi"/>
          <w:lang w:eastAsia="en-GB"/>
        </w:rPr>
        <w:t xml:space="preserve"> code of the </w:t>
      </w:r>
      <w:r w:rsidRPr="00186CF2">
        <w:rPr>
          <w:rFonts w:eastAsia="Times New Roman" w:cstheme="minorHAnsi"/>
          <w:lang w:eastAsia="en-GB"/>
        </w:rPr>
        <w:t xml:space="preserve">GP practice </w:t>
      </w:r>
      <w:r w:rsidR="00646201">
        <w:rPr>
          <w:rFonts w:eastAsia="Times New Roman" w:cstheme="minorHAnsi"/>
          <w:lang w:eastAsia="en-GB"/>
        </w:rPr>
        <w:t xml:space="preserve">that </w:t>
      </w:r>
      <w:r w:rsidR="00F85C40">
        <w:rPr>
          <w:rFonts w:eastAsia="Times New Roman" w:cstheme="minorHAnsi"/>
          <w:lang w:eastAsia="en-GB"/>
        </w:rPr>
        <w:t>issued the</w:t>
      </w:r>
      <w:r w:rsidR="00646201">
        <w:rPr>
          <w:rFonts w:eastAsia="Times New Roman" w:cstheme="minorHAnsi"/>
          <w:lang w:eastAsia="en-GB"/>
        </w:rPr>
        <w:t xml:space="preserve"> prescription</w:t>
      </w:r>
      <w:r w:rsidRPr="00186CF2">
        <w:rPr>
          <w:rFonts w:eastAsia="Times New Roman" w:cstheme="minorHAnsi"/>
          <w:lang w:eastAsia="en-GB"/>
        </w:rPr>
        <w:t>.</w:t>
      </w:r>
      <w:r>
        <w:rPr>
          <w:rFonts w:eastAsia="Times New Roman" w:cstheme="minorHAnsi"/>
          <w:lang w:eastAsia="en-GB"/>
        </w:rPr>
        <w:t xml:space="preserve"> </w:t>
      </w:r>
    </w:p>
    <w:p w14:paraId="5CE259CE" w14:textId="77777777" w:rsidR="00E26909" w:rsidRPr="00186CF2" w:rsidRDefault="00E26909" w:rsidP="007144CB">
      <w:pPr>
        <w:spacing w:after="0" w:line="240" w:lineRule="auto"/>
        <w:jc w:val="both"/>
        <w:rPr>
          <w:rFonts w:eastAsia="Times New Roman" w:cstheme="minorHAnsi"/>
          <w:lang w:eastAsia="en-GB"/>
        </w:rPr>
      </w:pPr>
    </w:p>
    <w:p w14:paraId="729C1949" w14:textId="159A3B9A" w:rsidR="00E26909" w:rsidRPr="00186CF2" w:rsidRDefault="007219C6" w:rsidP="007144CB">
      <w:pPr>
        <w:spacing w:after="0" w:line="240" w:lineRule="auto"/>
        <w:jc w:val="both"/>
        <w:rPr>
          <w:rFonts w:eastAsia="Times New Roman" w:cstheme="minorHAnsi"/>
          <w:vanish/>
          <w:lang w:eastAsia="en-GB"/>
        </w:rPr>
      </w:pPr>
      <w:r>
        <w:rPr>
          <w:rFonts w:eastAsia="Times New Roman" w:cstheme="minorHAnsi"/>
          <w:lang w:eastAsia="en-GB"/>
        </w:rPr>
        <w:t xml:space="preserve">We also retrieved from </w:t>
      </w:r>
      <w:r w:rsidR="00E26909">
        <w:rPr>
          <w:rFonts w:eastAsia="Times New Roman" w:cstheme="minorHAnsi"/>
          <w:lang w:eastAsia="en-GB"/>
        </w:rPr>
        <w:t xml:space="preserve">the </w:t>
      </w:r>
      <w:r w:rsidR="00E26909" w:rsidRPr="00186CF2">
        <w:rPr>
          <w:rFonts w:eastAsia="Times New Roman" w:cstheme="minorHAnsi"/>
          <w:i/>
          <w:iCs/>
          <w:lang w:eastAsia="en-GB"/>
        </w:rPr>
        <w:t>Prescri</w:t>
      </w:r>
      <w:r w:rsidR="00E26909">
        <w:rPr>
          <w:rFonts w:eastAsia="Times New Roman" w:cstheme="minorHAnsi"/>
          <w:i/>
          <w:iCs/>
          <w:lang w:eastAsia="en-GB"/>
        </w:rPr>
        <w:t xml:space="preserve">ption Cost Analysis (PCA) </w:t>
      </w:r>
      <w:r w:rsidR="00E26909">
        <w:rPr>
          <w:rFonts w:eastAsia="Times New Roman" w:cstheme="minorHAnsi"/>
          <w:iCs/>
          <w:lang w:eastAsia="en-GB"/>
        </w:rPr>
        <w:t>database</w:t>
      </w:r>
      <w:r w:rsidR="00711CEC">
        <w:rPr>
          <w:rFonts w:eastAsia="Times New Roman" w:cstheme="minorHAnsi"/>
          <w:iCs/>
          <w:lang w:eastAsia="en-GB"/>
        </w:rPr>
        <w:t>,</w:t>
      </w:r>
      <w:r w:rsidR="00E26909">
        <w:rPr>
          <w:rFonts w:eastAsia="Times New Roman" w:cstheme="minorHAnsi"/>
          <w:iCs/>
          <w:lang w:eastAsia="en-GB"/>
        </w:rPr>
        <w:t xml:space="preserve"> </w:t>
      </w:r>
      <w:r w:rsidR="00E26909" w:rsidRPr="00186CF2">
        <w:rPr>
          <w:rFonts w:eastAsia="Times New Roman" w:cstheme="minorHAnsi"/>
          <w:lang w:eastAsia="en-GB"/>
        </w:rPr>
        <w:t xml:space="preserve">yearly </w:t>
      </w:r>
      <w:r w:rsidR="00E26909">
        <w:rPr>
          <w:rFonts w:eastAsia="Times New Roman" w:cstheme="minorHAnsi"/>
          <w:lang w:eastAsia="en-GB"/>
        </w:rPr>
        <w:t>statistics</w:t>
      </w:r>
      <w:r w:rsidR="00E26909" w:rsidRPr="00186CF2">
        <w:rPr>
          <w:rFonts w:eastAsia="Times New Roman" w:cstheme="minorHAnsi"/>
          <w:lang w:eastAsia="en-GB"/>
        </w:rPr>
        <w:t xml:space="preserve"> on the total </w:t>
      </w:r>
      <w:r w:rsidR="00E26909">
        <w:rPr>
          <w:rFonts w:eastAsia="Times New Roman" w:cstheme="minorHAnsi"/>
          <w:i/>
          <w:iCs/>
          <w:lang w:eastAsia="en-GB"/>
        </w:rPr>
        <w:t>quantities</w:t>
      </w:r>
      <w:r w:rsidR="00E26909" w:rsidRPr="00186CF2">
        <w:rPr>
          <w:rFonts w:eastAsia="Times New Roman" w:cstheme="minorHAnsi"/>
          <w:lang w:eastAsia="en-GB"/>
        </w:rPr>
        <w:t xml:space="preserve"> of each drug prescribed and dispensed in</w:t>
      </w:r>
      <w:r w:rsidR="00E26909">
        <w:rPr>
          <w:rFonts w:eastAsia="Times New Roman" w:cstheme="minorHAnsi"/>
          <w:lang w:eastAsia="en-GB"/>
        </w:rPr>
        <w:t xml:space="preserve"> </w:t>
      </w:r>
      <w:r w:rsidR="00E26909" w:rsidRPr="00186CF2">
        <w:rPr>
          <w:rFonts w:eastAsia="Times New Roman" w:cstheme="minorHAnsi"/>
          <w:lang w:eastAsia="en-GB"/>
        </w:rPr>
        <w:t>primary care</w:t>
      </w:r>
      <w:r w:rsidR="00E26909">
        <w:rPr>
          <w:rFonts w:eastAsia="Times New Roman" w:cstheme="minorHAnsi"/>
          <w:lang w:eastAsia="en-GB"/>
        </w:rPr>
        <w:t xml:space="preserve"> in England, as well as the corresponding</w:t>
      </w:r>
      <w:r w:rsidR="00E26909" w:rsidRPr="00186CF2">
        <w:rPr>
          <w:rFonts w:eastAsia="Times New Roman" w:cstheme="minorHAnsi"/>
          <w:lang w:eastAsia="en-GB"/>
        </w:rPr>
        <w:t xml:space="preserve"> total </w:t>
      </w:r>
      <w:r w:rsidR="00E26909" w:rsidRPr="00186CF2">
        <w:rPr>
          <w:rFonts w:eastAsia="Times New Roman" w:cstheme="minorHAnsi"/>
          <w:i/>
          <w:iCs/>
          <w:lang w:eastAsia="en-GB"/>
        </w:rPr>
        <w:t>spending</w:t>
      </w:r>
      <w:r w:rsidR="00E26909" w:rsidRPr="00186CF2">
        <w:rPr>
          <w:rFonts w:eastAsia="Times New Roman" w:cstheme="minorHAnsi"/>
          <w:lang w:eastAsia="en-GB"/>
        </w:rPr>
        <w:t>, represented by the net ingredient cost (NIC)</w:t>
      </w:r>
      <w:r w:rsidR="00E26909">
        <w:rPr>
          <w:rFonts w:eastAsia="Times New Roman" w:cstheme="minorHAnsi"/>
          <w:iCs/>
          <w:lang w:eastAsia="en-GB"/>
        </w:rPr>
        <w:t>.</w:t>
      </w:r>
      <w:r w:rsidR="006208EB">
        <w:rPr>
          <w:rFonts w:eastAsia="Times New Roman" w:cstheme="minorHAnsi"/>
          <w:iCs/>
          <w:lang w:eastAsia="en-GB"/>
        </w:rPr>
        <w:fldChar w:fldCharType="begin"/>
      </w:r>
      <w:r w:rsidR="002A6D5F">
        <w:rPr>
          <w:rFonts w:eastAsia="Times New Roman" w:cstheme="minorHAnsi"/>
          <w:iCs/>
          <w:lang w:eastAsia="en-GB"/>
        </w:rPr>
        <w:instrText xml:space="preserve"> ADDIN ZOTERO_ITEM CSL_CITATION {"citationID":"1ezYFIJ8","properties":{"formattedCitation":"\\super 15\\nosupersub{}","plainCitation":"15","noteIndex":0},"citationItems":[{"id":153,"uris":["http://zotero.org/users/4387520/items/ULVTW82Z"],"uri":["http://zotero.org/users/4387520/items/ULVTW82Z"],"itemData":{"id":153,"type":"webpage","abstract":"We’re the national information and technology partner to the health and social care system using digital technology to transform the NHS and social care","container-title":"NHS Digital","language":"en","title":"Prescription Cost Analysis","URL":"https://digital.nhs.uk/data-and-information/publications/statistical/prescription-cost-analysis","accessed":{"date-parts":[["2021",4,13]]}}}],"schema":"https://github.com/citation-style-language/schema/raw/master/csl-citation.json"} </w:instrText>
      </w:r>
      <w:r w:rsidR="006208EB">
        <w:rPr>
          <w:rFonts w:eastAsia="Times New Roman" w:cstheme="minorHAnsi"/>
          <w:iCs/>
          <w:lang w:eastAsia="en-GB"/>
        </w:rPr>
        <w:fldChar w:fldCharType="separate"/>
      </w:r>
      <w:r w:rsidR="002A6D5F" w:rsidRPr="002A6D5F">
        <w:rPr>
          <w:rFonts w:ascii="Calibri" w:hAnsi="Calibri" w:cs="Calibri"/>
          <w:szCs w:val="24"/>
          <w:vertAlign w:val="superscript"/>
        </w:rPr>
        <w:t>15</w:t>
      </w:r>
      <w:r w:rsidR="006208EB">
        <w:rPr>
          <w:rFonts w:eastAsia="Times New Roman" w:cstheme="minorHAnsi"/>
          <w:iCs/>
          <w:lang w:eastAsia="en-GB"/>
        </w:rPr>
        <w:fldChar w:fldCharType="end"/>
      </w:r>
      <w:r w:rsidR="006208EB">
        <w:rPr>
          <w:rFonts w:eastAsia="Times New Roman" w:cstheme="minorHAnsi"/>
          <w:iCs/>
          <w:lang w:eastAsia="en-GB"/>
        </w:rPr>
        <w:t xml:space="preserve"> </w:t>
      </w:r>
      <w:r w:rsidR="006208EB" w:rsidRPr="006208EB">
        <w:rPr>
          <w:rFonts w:eastAsia="Times New Roman" w:cstheme="minorHAnsi"/>
          <w:iCs/>
          <w:lang w:eastAsia="en-GB"/>
        </w:rPr>
        <w:t>Th</w:t>
      </w:r>
      <w:r w:rsidR="00300F0C">
        <w:rPr>
          <w:rFonts w:eastAsia="Times New Roman" w:cstheme="minorHAnsi"/>
          <w:iCs/>
          <w:lang w:eastAsia="en-GB"/>
        </w:rPr>
        <w:t>e latter represents</w:t>
      </w:r>
      <w:r w:rsidR="006208EB" w:rsidRPr="006208EB">
        <w:rPr>
          <w:rFonts w:eastAsia="Times New Roman" w:cstheme="minorHAnsi"/>
          <w:iCs/>
          <w:lang w:eastAsia="en-GB"/>
        </w:rPr>
        <w:t xml:space="preserve"> the basic cost of </w:t>
      </w:r>
      <w:r w:rsidR="00375D99">
        <w:rPr>
          <w:rFonts w:eastAsia="Times New Roman" w:cstheme="minorHAnsi"/>
          <w:iCs/>
          <w:lang w:eastAsia="en-GB"/>
        </w:rPr>
        <w:t>any</w:t>
      </w:r>
      <w:r w:rsidR="006208EB" w:rsidRPr="006208EB">
        <w:rPr>
          <w:rFonts w:eastAsia="Times New Roman" w:cstheme="minorHAnsi"/>
          <w:iCs/>
          <w:lang w:eastAsia="en-GB"/>
        </w:rPr>
        <w:t xml:space="preserve"> drug </w:t>
      </w:r>
      <w:r w:rsidR="007B2528">
        <w:rPr>
          <w:rFonts w:eastAsia="Times New Roman" w:cstheme="minorHAnsi"/>
          <w:iCs/>
          <w:lang w:eastAsia="en-GB"/>
        </w:rPr>
        <w:t>prescribed</w:t>
      </w:r>
      <w:r w:rsidR="006208EB" w:rsidRPr="006208EB">
        <w:rPr>
          <w:rFonts w:eastAsia="Times New Roman" w:cstheme="minorHAnsi"/>
          <w:iCs/>
          <w:lang w:eastAsia="en-GB"/>
        </w:rPr>
        <w:t xml:space="preserve"> in primary care</w:t>
      </w:r>
      <w:r w:rsidR="00300F0C">
        <w:rPr>
          <w:rFonts w:eastAsia="Times New Roman" w:cstheme="minorHAnsi"/>
          <w:iCs/>
          <w:lang w:eastAsia="en-GB"/>
        </w:rPr>
        <w:t xml:space="preserve"> and </w:t>
      </w:r>
      <w:r w:rsidR="006208EB" w:rsidRPr="006208EB">
        <w:rPr>
          <w:rFonts w:eastAsia="Times New Roman" w:cstheme="minorHAnsi"/>
          <w:iCs/>
          <w:lang w:eastAsia="en-GB"/>
        </w:rPr>
        <w:t>is used in Prescription Services reports and other analyses, as it standardises</w:t>
      </w:r>
      <w:r w:rsidR="00300F0C">
        <w:rPr>
          <w:rFonts w:eastAsia="Times New Roman" w:cstheme="minorHAnsi"/>
          <w:iCs/>
          <w:lang w:eastAsia="en-GB"/>
        </w:rPr>
        <w:t xml:space="preserve"> prescribing</w:t>
      </w:r>
      <w:r w:rsidR="006208EB" w:rsidRPr="006208EB">
        <w:rPr>
          <w:rFonts w:eastAsia="Times New Roman" w:cstheme="minorHAnsi"/>
          <w:iCs/>
          <w:lang w:eastAsia="en-GB"/>
        </w:rPr>
        <w:t xml:space="preserve"> cost nationally</w:t>
      </w:r>
      <w:r w:rsidR="00300F0C">
        <w:rPr>
          <w:rFonts w:eastAsia="Times New Roman" w:cstheme="minorHAnsi"/>
          <w:iCs/>
          <w:lang w:eastAsia="en-GB"/>
        </w:rPr>
        <w:t>.</w:t>
      </w:r>
      <w:r w:rsidR="00E26909">
        <w:rPr>
          <w:rFonts w:eastAsia="Times New Roman" w:cstheme="minorHAnsi"/>
          <w:iCs/>
          <w:lang w:eastAsia="en-GB"/>
        </w:rPr>
        <w:t xml:space="preserve"> </w:t>
      </w:r>
      <w:r w:rsidR="00E26909" w:rsidRPr="00186CF2">
        <w:rPr>
          <w:rFonts w:eastAsia="Times New Roman" w:cstheme="minorHAnsi"/>
          <w:vanish/>
          <w:lang w:eastAsia="en-GB"/>
        </w:rPr>
        <w:t>This is the basic cost of a drug as used in primary care. NIC is used in Prescription Services reports and other analyses, as it standardises cost throughout prescribing nationally, and allows comparisons of data from different sources.</w:t>
      </w:r>
    </w:p>
    <w:p w14:paraId="16D304FB" w14:textId="19B5020C" w:rsidR="00E46608" w:rsidRDefault="00E26909" w:rsidP="007144CB">
      <w:pPr>
        <w:spacing w:after="0" w:line="240" w:lineRule="auto"/>
        <w:jc w:val="both"/>
        <w:rPr>
          <w:rFonts w:eastAsia="Times New Roman" w:cstheme="minorHAnsi"/>
          <w:lang w:eastAsia="en-GB"/>
        </w:rPr>
      </w:pPr>
      <w:r w:rsidRPr="00186CF2">
        <w:rPr>
          <w:rFonts w:eastAsia="Times New Roman" w:cstheme="minorHAnsi"/>
          <w:lang w:eastAsia="en-GB"/>
        </w:rPr>
        <w:t xml:space="preserve">By aggregating the total spending </w:t>
      </w:r>
      <w:r w:rsidR="00375D99">
        <w:rPr>
          <w:rFonts w:eastAsia="Times New Roman" w:cstheme="minorHAnsi"/>
          <w:lang w:eastAsia="en-GB"/>
        </w:rPr>
        <w:t>o</w:t>
      </w:r>
      <w:r w:rsidR="00E86992">
        <w:rPr>
          <w:rFonts w:eastAsia="Times New Roman" w:cstheme="minorHAnsi"/>
          <w:lang w:eastAsia="en-GB"/>
        </w:rPr>
        <w:t>f</w:t>
      </w:r>
      <w:r w:rsidR="00375D99">
        <w:rPr>
          <w:rFonts w:eastAsia="Times New Roman" w:cstheme="minorHAnsi"/>
          <w:lang w:eastAsia="en-GB"/>
        </w:rPr>
        <w:t xml:space="preserve"> </w:t>
      </w:r>
      <w:r w:rsidRPr="00186CF2">
        <w:rPr>
          <w:rFonts w:eastAsia="Times New Roman" w:cstheme="minorHAnsi"/>
          <w:lang w:eastAsia="en-GB"/>
        </w:rPr>
        <w:t>each st</w:t>
      </w:r>
      <w:r>
        <w:rPr>
          <w:rFonts w:eastAsia="Times New Roman" w:cstheme="minorHAnsi"/>
          <w:lang w:eastAsia="en-GB"/>
        </w:rPr>
        <w:t>rength of statin</w:t>
      </w:r>
      <w:r w:rsidR="00A91E41">
        <w:rPr>
          <w:rFonts w:eastAsia="Times New Roman" w:cstheme="minorHAnsi"/>
          <w:lang w:eastAsia="en-GB"/>
        </w:rPr>
        <w:t xml:space="preserve"> prescribed</w:t>
      </w:r>
      <w:r>
        <w:rPr>
          <w:rFonts w:eastAsia="Times New Roman" w:cstheme="minorHAnsi"/>
          <w:lang w:eastAsia="en-GB"/>
        </w:rPr>
        <w:t xml:space="preserve"> and divi</w:t>
      </w:r>
      <w:r w:rsidR="008C1465">
        <w:rPr>
          <w:rFonts w:eastAsia="Times New Roman" w:cstheme="minorHAnsi"/>
          <w:lang w:eastAsia="en-GB"/>
        </w:rPr>
        <w:t>di</w:t>
      </w:r>
      <w:r>
        <w:rPr>
          <w:rFonts w:eastAsia="Times New Roman" w:cstheme="minorHAnsi"/>
          <w:lang w:eastAsia="en-GB"/>
        </w:rPr>
        <w:t>ng it</w:t>
      </w:r>
      <w:r w:rsidRPr="00186CF2">
        <w:rPr>
          <w:rFonts w:eastAsia="Times New Roman" w:cstheme="minorHAnsi"/>
          <w:lang w:eastAsia="en-GB"/>
        </w:rPr>
        <w:t xml:space="preserve"> by the </w:t>
      </w:r>
      <w:r>
        <w:rPr>
          <w:rFonts w:eastAsia="Times New Roman" w:cstheme="minorHAnsi"/>
          <w:lang w:eastAsia="en-GB"/>
        </w:rPr>
        <w:t>corresponding</w:t>
      </w:r>
      <w:r w:rsidRPr="00186CF2">
        <w:rPr>
          <w:rFonts w:eastAsia="Times New Roman" w:cstheme="minorHAnsi"/>
          <w:lang w:eastAsia="en-GB"/>
        </w:rPr>
        <w:t xml:space="preserve"> total quantity, we obtain</w:t>
      </w:r>
      <w:r w:rsidR="00F85C40">
        <w:rPr>
          <w:rFonts w:eastAsia="Times New Roman" w:cstheme="minorHAnsi"/>
          <w:lang w:eastAsia="en-GB"/>
        </w:rPr>
        <w:t>ed</w:t>
      </w:r>
      <w:r w:rsidRPr="00186CF2">
        <w:rPr>
          <w:rFonts w:eastAsia="Times New Roman" w:cstheme="minorHAnsi"/>
          <w:lang w:eastAsia="en-GB"/>
        </w:rPr>
        <w:t xml:space="preserve"> a</w:t>
      </w:r>
      <w:r>
        <w:rPr>
          <w:rFonts w:eastAsia="Times New Roman" w:cstheme="minorHAnsi"/>
          <w:lang w:eastAsia="en-GB"/>
        </w:rPr>
        <w:t xml:space="preserve"> measure of the</w:t>
      </w:r>
      <w:r w:rsidRPr="00186CF2">
        <w:rPr>
          <w:rFonts w:eastAsia="Times New Roman" w:cstheme="minorHAnsi"/>
          <w:lang w:eastAsia="en-GB"/>
        </w:rPr>
        <w:t xml:space="preserve"> average acquisition c</w:t>
      </w:r>
      <w:r>
        <w:rPr>
          <w:rFonts w:eastAsia="Times New Roman" w:cstheme="minorHAnsi"/>
          <w:lang w:eastAsia="en-GB"/>
        </w:rPr>
        <w:t xml:space="preserve">ost per strength of each </w:t>
      </w:r>
      <w:r w:rsidR="00A91E41">
        <w:rPr>
          <w:rFonts w:eastAsia="Times New Roman" w:cstheme="minorHAnsi"/>
          <w:lang w:eastAsia="en-GB"/>
        </w:rPr>
        <w:t>s</w:t>
      </w:r>
      <w:r>
        <w:rPr>
          <w:rFonts w:eastAsia="Times New Roman" w:cstheme="minorHAnsi"/>
          <w:lang w:eastAsia="en-GB"/>
        </w:rPr>
        <w:t>tatin</w:t>
      </w:r>
      <w:r w:rsidRPr="00186CF2">
        <w:rPr>
          <w:rFonts w:eastAsia="Times New Roman" w:cstheme="minorHAnsi"/>
          <w:lang w:eastAsia="en-GB"/>
        </w:rPr>
        <w:t xml:space="preserve"> in </w:t>
      </w:r>
      <w:r>
        <w:rPr>
          <w:rFonts w:eastAsia="Times New Roman" w:cstheme="minorHAnsi"/>
          <w:lang w:eastAsia="en-GB"/>
        </w:rPr>
        <w:t>each</w:t>
      </w:r>
      <w:r w:rsidRPr="00186CF2">
        <w:rPr>
          <w:rFonts w:eastAsia="Times New Roman" w:cstheme="minorHAnsi"/>
          <w:lang w:eastAsia="en-GB"/>
        </w:rPr>
        <w:t xml:space="preserve"> year.</w:t>
      </w:r>
      <w:r w:rsidRPr="007B3464">
        <w:rPr>
          <w:rFonts w:eastAsia="Times New Roman" w:cstheme="minorHAnsi"/>
          <w:lang w:eastAsia="en-GB"/>
        </w:rPr>
        <w:t xml:space="preserve"> </w:t>
      </w:r>
      <w:r w:rsidR="00E46608">
        <w:rPr>
          <w:rFonts w:eastAsia="Times New Roman" w:cstheme="minorHAnsi"/>
          <w:lang w:eastAsia="en-GB"/>
        </w:rPr>
        <w:t xml:space="preserve">In Appendix A we compare the </w:t>
      </w:r>
      <w:r w:rsidR="00545528">
        <w:rPr>
          <w:rFonts w:eastAsia="Times New Roman" w:cstheme="minorHAnsi"/>
          <w:lang w:eastAsia="en-GB"/>
        </w:rPr>
        <w:t xml:space="preserve">prescription </w:t>
      </w:r>
      <w:r w:rsidR="00E46608">
        <w:rPr>
          <w:rFonts w:eastAsia="Times New Roman" w:cstheme="minorHAnsi"/>
          <w:lang w:eastAsia="en-GB"/>
        </w:rPr>
        <w:t>data in the PCA dataset to those in the RCGP R&amp;SC dataset to demonstrate that the latter constitutes a representative sample of national prescription</w:t>
      </w:r>
      <w:r w:rsidR="00C4055D">
        <w:rPr>
          <w:rFonts w:eastAsia="Times New Roman" w:cstheme="minorHAnsi"/>
          <w:lang w:eastAsia="en-GB"/>
        </w:rPr>
        <w:t xml:space="preserve"> of statins</w:t>
      </w:r>
      <w:r w:rsidR="00E86992">
        <w:rPr>
          <w:rFonts w:eastAsia="Times New Roman" w:cstheme="minorHAnsi"/>
          <w:lang w:eastAsia="en-GB"/>
        </w:rPr>
        <w:t>, as well</w:t>
      </w:r>
      <w:r w:rsidR="00E46608">
        <w:rPr>
          <w:rFonts w:eastAsia="Times New Roman" w:cstheme="minorHAnsi"/>
          <w:lang w:eastAsia="en-GB"/>
        </w:rPr>
        <w:t xml:space="preserve">. </w:t>
      </w:r>
    </w:p>
    <w:p w14:paraId="11A1961C" w14:textId="6F10CADC" w:rsidR="007219C6" w:rsidRDefault="007219C6" w:rsidP="007144CB">
      <w:pPr>
        <w:spacing w:after="0" w:line="240" w:lineRule="auto"/>
        <w:jc w:val="both"/>
        <w:rPr>
          <w:rFonts w:eastAsia="Times New Roman" w:cstheme="minorHAnsi"/>
          <w:lang w:eastAsia="en-GB"/>
        </w:rPr>
      </w:pPr>
    </w:p>
    <w:p w14:paraId="0C570D61" w14:textId="477986FC" w:rsidR="00BD4F76" w:rsidRPr="00D36B6F" w:rsidRDefault="00655636" w:rsidP="007144CB">
      <w:pPr>
        <w:autoSpaceDE w:val="0"/>
        <w:autoSpaceDN w:val="0"/>
        <w:adjustRightInd w:val="0"/>
        <w:spacing w:after="0" w:line="240" w:lineRule="auto"/>
        <w:jc w:val="both"/>
        <w:rPr>
          <w:rFonts w:cstheme="minorHAnsi"/>
          <w:b/>
          <w:color w:val="000000"/>
        </w:rPr>
      </w:pPr>
      <w:r>
        <w:rPr>
          <w:rFonts w:cstheme="minorHAnsi"/>
          <w:b/>
          <w:color w:val="000000"/>
        </w:rPr>
        <w:t>T</w:t>
      </w:r>
      <w:r w:rsidR="009F0303" w:rsidRPr="00D36B6F">
        <w:rPr>
          <w:rFonts w:cstheme="minorHAnsi"/>
          <w:b/>
          <w:color w:val="000000"/>
        </w:rPr>
        <w:t>rends</w:t>
      </w:r>
      <w:r w:rsidR="0020200A">
        <w:rPr>
          <w:rFonts w:cstheme="minorHAnsi"/>
          <w:b/>
          <w:color w:val="000000"/>
        </w:rPr>
        <w:t xml:space="preserve"> and Heterogeneity</w:t>
      </w:r>
      <w:r w:rsidR="009F0303" w:rsidRPr="00D36B6F">
        <w:rPr>
          <w:rFonts w:cstheme="minorHAnsi"/>
          <w:b/>
          <w:color w:val="000000"/>
        </w:rPr>
        <w:t xml:space="preserve"> in </w:t>
      </w:r>
      <w:r w:rsidR="004A7352">
        <w:rPr>
          <w:rFonts w:cstheme="minorHAnsi"/>
          <w:b/>
          <w:color w:val="000000"/>
        </w:rPr>
        <w:t>Statins</w:t>
      </w:r>
      <w:r w:rsidR="009F0303" w:rsidRPr="00D36B6F">
        <w:rPr>
          <w:rFonts w:cstheme="minorHAnsi"/>
          <w:b/>
          <w:color w:val="000000"/>
        </w:rPr>
        <w:t xml:space="preserve"> Prescription</w:t>
      </w:r>
      <w:r w:rsidR="00D36B6F" w:rsidRPr="00D36B6F">
        <w:rPr>
          <w:rFonts w:cstheme="minorHAnsi"/>
          <w:b/>
          <w:color w:val="000000"/>
        </w:rPr>
        <w:t xml:space="preserve"> </w:t>
      </w:r>
    </w:p>
    <w:p w14:paraId="7376E6C2" w14:textId="6794D892" w:rsidR="00034249" w:rsidRDefault="00BD4F76" w:rsidP="007144CB">
      <w:pPr>
        <w:autoSpaceDE w:val="0"/>
        <w:autoSpaceDN w:val="0"/>
        <w:adjustRightInd w:val="0"/>
        <w:spacing w:after="0" w:line="240" w:lineRule="auto"/>
        <w:jc w:val="both"/>
        <w:rPr>
          <w:rFonts w:cstheme="minorHAnsi"/>
          <w:color w:val="000000"/>
        </w:rPr>
      </w:pPr>
      <w:r>
        <w:rPr>
          <w:rFonts w:cstheme="minorHAnsi"/>
          <w:color w:val="000000"/>
        </w:rPr>
        <w:t xml:space="preserve">Since </w:t>
      </w:r>
      <w:r w:rsidRPr="008B087A">
        <w:rPr>
          <w:rFonts w:cstheme="minorHAnsi"/>
          <w:color w:val="000000"/>
        </w:rPr>
        <w:t xml:space="preserve">2003 the </w:t>
      </w:r>
      <w:r>
        <w:rPr>
          <w:rFonts w:cstheme="minorHAnsi"/>
          <w:color w:val="000000"/>
        </w:rPr>
        <w:t>statins</w:t>
      </w:r>
      <w:r w:rsidRPr="008B087A">
        <w:rPr>
          <w:rFonts w:cstheme="minorHAnsi"/>
          <w:color w:val="000000"/>
        </w:rPr>
        <w:t xml:space="preserve">' market </w:t>
      </w:r>
      <w:r>
        <w:rPr>
          <w:rFonts w:cstheme="minorHAnsi"/>
          <w:color w:val="000000"/>
        </w:rPr>
        <w:t xml:space="preserve">has </w:t>
      </w:r>
      <w:r w:rsidRPr="008B087A">
        <w:rPr>
          <w:rFonts w:cstheme="minorHAnsi"/>
          <w:color w:val="000000"/>
        </w:rPr>
        <w:t>experienc</w:t>
      </w:r>
      <w:r>
        <w:rPr>
          <w:rFonts w:cstheme="minorHAnsi"/>
          <w:color w:val="000000"/>
        </w:rPr>
        <w:t>ed</w:t>
      </w:r>
      <w:r w:rsidRPr="008B087A">
        <w:rPr>
          <w:rFonts w:cstheme="minorHAnsi"/>
          <w:color w:val="000000"/>
        </w:rPr>
        <w:t xml:space="preserve"> </w:t>
      </w:r>
      <w:r w:rsidR="00E71C3F">
        <w:rPr>
          <w:rFonts w:cstheme="minorHAnsi"/>
          <w:color w:val="000000"/>
        </w:rPr>
        <w:t xml:space="preserve">five </w:t>
      </w:r>
      <w:r w:rsidRPr="008B087A">
        <w:rPr>
          <w:rFonts w:cstheme="minorHAnsi"/>
          <w:color w:val="000000"/>
        </w:rPr>
        <w:t xml:space="preserve">exogenous </w:t>
      </w:r>
      <w:r>
        <w:rPr>
          <w:rFonts w:cstheme="minorHAnsi"/>
          <w:color w:val="000000"/>
        </w:rPr>
        <w:t xml:space="preserve">changes </w:t>
      </w:r>
      <w:r w:rsidRPr="008B087A">
        <w:rPr>
          <w:rFonts w:cstheme="minorHAnsi"/>
          <w:color w:val="000000"/>
        </w:rPr>
        <w:t xml:space="preserve">to prices and </w:t>
      </w:r>
      <w:r w:rsidR="007219C6">
        <w:rPr>
          <w:rFonts w:cstheme="minorHAnsi"/>
          <w:color w:val="000000"/>
        </w:rPr>
        <w:t xml:space="preserve">clinical </w:t>
      </w:r>
      <w:r w:rsidR="00E86992">
        <w:rPr>
          <w:rFonts w:cstheme="minorHAnsi"/>
          <w:color w:val="000000"/>
        </w:rPr>
        <w:t>standards</w:t>
      </w:r>
      <w:r w:rsidR="007219C6">
        <w:rPr>
          <w:rFonts w:cstheme="minorHAnsi"/>
          <w:color w:val="000000"/>
        </w:rPr>
        <w:t xml:space="preserve"> </w:t>
      </w:r>
      <w:r w:rsidR="00E71C3F">
        <w:rPr>
          <w:rFonts w:cstheme="minorHAnsi"/>
          <w:color w:val="000000"/>
        </w:rPr>
        <w:t>(</w:t>
      </w:r>
      <w:r w:rsidR="00384A33">
        <w:rPr>
          <w:rFonts w:cstheme="minorHAnsi"/>
          <w:color w:val="000000"/>
        </w:rPr>
        <w:t>i.e.,</w:t>
      </w:r>
      <w:r w:rsidR="00E71C3F">
        <w:rPr>
          <w:rFonts w:cstheme="minorHAnsi"/>
          <w:color w:val="000000"/>
        </w:rPr>
        <w:t xml:space="preserve"> </w:t>
      </w:r>
      <w:r w:rsidR="00A14216">
        <w:rPr>
          <w:rFonts w:cstheme="minorHAnsi"/>
          <w:color w:val="000000"/>
        </w:rPr>
        <w:t xml:space="preserve">in </w:t>
      </w:r>
      <w:r w:rsidR="00E71C3F" w:rsidRPr="008B087A">
        <w:rPr>
          <w:rFonts w:cstheme="minorHAnsi"/>
          <w:color w:val="000000"/>
        </w:rPr>
        <w:t>May 2003, January 2006, May 2008, May 2012</w:t>
      </w:r>
      <w:r w:rsidR="00E71C3F">
        <w:rPr>
          <w:rFonts w:cstheme="minorHAnsi"/>
          <w:color w:val="000000"/>
        </w:rPr>
        <w:t xml:space="preserve"> and May 2014,</w:t>
      </w:r>
      <w:r w:rsidR="00A14216">
        <w:rPr>
          <w:rFonts w:cstheme="minorHAnsi"/>
          <w:color w:val="000000"/>
        </w:rPr>
        <w:t xml:space="preserve"> as explained in the</w:t>
      </w:r>
      <w:r w:rsidR="00E71C3F">
        <w:rPr>
          <w:rFonts w:cstheme="minorHAnsi"/>
          <w:color w:val="000000"/>
        </w:rPr>
        <w:t xml:space="preserve"> Introduction) </w:t>
      </w:r>
      <w:r w:rsidRPr="008B087A">
        <w:rPr>
          <w:rFonts w:cstheme="minorHAnsi"/>
          <w:color w:val="000000"/>
        </w:rPr>
        <w:t>that</w:t>
      </w:r>
      <w:r>
        <w:rPr>
          <w:rFonts w:cstheme="minorHAnsi"/>
          <w:color w:val="000000"/>
        </w:rPr>
        <w:t xml:space="preserve"> may have</w:t>
      </w:r>
      <w:r w:rsidRPr="008B087A">
        <w:rPr>
          <w:rFonts w:cstheme="minorHAnsi"/>
          <w:color w:val="000000"/>
        </w:rPr>
        <w:t xml:space="preserve"> trig</w:t>
      </w:r>
      <w:r w:rsidR="0004255D">
        <w:rPr>
          <w:rFonts w:cstheme="minorHAnsi"/>
          <w:color w:val="000000"/>
        </w:rPr>
        <w:t>gered significant changes in GPs’</w:t>
      </w:r>
      <w:r w:rsidRPr="008B087A">
        <w:rPr>
          <w:rFonts w:cstheme="minorHAnsi"/>
          <w:color w:val="000000"/>
        </w:rPr>
        <w:t xml:space="preserve"> prescribing </w:t>
      </w:r>
      <w:r w:rsidR="0004255D">
        <w:rPr>
          <w:rFonts w:cstheme="minorHAnsi"/>
          <w:color w:val="000000"/>
        </w:rPr>
        <w:t>choice</w:t>
      </w:r>
      <w:r w:rsidR="004A4E0B">
        <w:rPr>
          <w:rFonts w:cstheme="minorHAnsi"/>
          <w:color w:val="000000"/>
        </w:rPr>
        <w:t xml:space="preserve">. </w:t>
      </w:r>
      <w:r w:rsidR="007219C6">
        <w:rPr>
          <w:rFonts w:cstheme="minorHAnsi"/>
          <w:color w:val="000000"/>
        </w:rPr>
        <w:t xml:space="preserve">To document how prescription </w:t>
      </w:r>
      <w:r w:rsidR="00761423">
        <w:rPr>
          <w:rFonts w:cstheme="minorHAnsi"/>
          <w:color w:val="000000"/>
        </w:rPr>
        <w:t>trends</w:t>
      </w:r>
      <w:bookmarkStart w:id="3" w:name="_GoBack"/>
      <w:bookmarkEnd w:id="3"/>
      <w:r w:rsidR="007219C6">
        <w:rPr>
          <w:rFonts w:cstheme="minorHAnsi"/>
          <w:color w:val="000000"/>
        </w:rPr>
        <w:t xml:space="preserve"> change in proximity of th</w:t>
      </w:r>
      <w:r w:rsidR="00E71C3F">
        <w:rPr>
          <w:rFonts w:cstheme="minorHAnsi"/>
          <w:color w:val="000000"/>
        </w:rPr>
        <w:t xml:space="preserve">ose </w:t>
      </w:r>
      <w:r w:rsidR="007219C6">
        <w:rPr>
          <w:rFonts w:cstheme="minorHAnsi"/>
          <w:color w:val="000000"/>
        </w:rPr>
        <w:t xml:space="preserve">events, we </w:t>
      </w:r>
      <w:r w:rsidR="009C1993">
        <w:rPr>
          <w:rFonts w:cstheme="minorHAnsi"/>
          <w:color w:val="000000"/>
        </w:rPr>
        <w:t>plotted the average p</w:t>
      </w:r>
      <w:r w:rsidR="009C1993" w:rsidRPr="00DC492C">
        <w:rPr>
          <w:rFonts w:cstheme="minorHAnsi"/>
          <w:color w:val="000000"/>
        </w:rPr>
        <w:t xml:space="preserve">roportion </w:t>
      </w:r>
      <w:r w:rsidR="009C1993">
        <w:rPr>
          <w:rFonts w:cstheme="minorHAnsi"/>
          <w:color w:val="000000"/>
        </w:rPr>
        <w:t xml:space="preserve">(across the 243 practices in the RCGP R&amp;SC dataset) </w:t>
      </w:r>
      <w:r w:rsidR="009C1993" w:rsidRPr="00DC492C">
        <w:rPr>
          <w:rFonts w:cstheme="minorHAnsi"/>
          <w:color w:val="000000"/>
        </w:rPr>
        <w:t xml:space="preserve">of new patients </w:t>
      </w:r>
      <w:r w:rsidR="009C1993">
        <w:rPr>
          <w:rFonts w:cstheme="minorHAnsi"/>
          <w:color w:val="000000"/>
        </w:rPr>
        <w:t>starting</w:t>
      </w:r>
      <w:r w:rsidR="009C1993" w:rsidRPr="00DC492C">
        <w:rPr>
          <w:rFonts w:cstheme="minorHAnsi"/>
          <w:color w:val="000000"/>
        </w:rPr>
        <w:t xml:space="preserve"> </w:t>
      </w:r>
      <w:r w:rsidR="009C1993">
        <w:rPr>
          <w:rFonts w:cstheme="minorHAnsi"/>
          <w:color w:val="000000"/>
        </w:rPr>
        <w:t xml:space="preserve">with one </w:t>
      </w:r>
      <w:r w:rsidR="009C1993" w:rsidRPr="00DC492C">
        <w:rPr>
          <w:rFonts w:cstheme="minorHAnsi"/>
          <w:color w:val="000000"/>
        </w:rPr>
        <w:t>of the five statins</w:t>
      </w:r>
      <w:r w:rsidR="009C1993">
        <w:rPr>
          <w:rFonts w:cstheme="minorHAnsi"/>
          <w:color w:val="000000"/>
        </w:rPr>
        <w:t xml:space="preserve"> </w:t>
      </w:r>
      <w:r w:rsidR="009C1993" w:rsidRPr="00DC492C">
        <w:rPr>
          <w:rFonts w:cstheme="minorHAnsi"/>
          <w:color w:val="000000"/>
        </w:rPr>
        <w:t>for the period 2004 to 2018</w:t>
      </w:r>
      <w:r w:rsidR="009C1993">
        <w:rPr>
          <w:rFonts w:cstheme="minorHAnsi"/>
          <w:color w:val="000000"/>
        </w:rPr>
        <w:t xml:space="preserve">, as well as </w:t>
      </w:r>
      <w:r w:rsidR="00DC492C">
        <w:rPr>
          <w:rFonts w:cstheme="minorHAnsi"/>
          <w:color w:val="000000"/>
        </w:rPr>
        <w:t xml:space="preserve">the </w:t>
      </w:r>
      <w:r w:rsidR="00DC492C" w:rsidRPr="00DC492C">
        <w:rPr>
          <w:rFonts w:cstheme="minorHAnsi"/>
          <w:color w:val="000000"/>
        </w:rPr>
        <w:t>a</w:t>
      </w:r>
      <w:r w:rsidR="00751391" w:rsidRPr="00DC492C">
        <w:rPr>
          <w:rFonts w:cstheme="minorHAnsi"/>
          <w:color w:val="000000"/>
        </w:rPr>
        <w:t xml:space="preserve">verage </w:t>
      </w:r>
      <w:r w:rsidR="00DC492C" w:rsidRPr="00DC492C">
        <w:rPr>
          <w:rFonts w:cstheme="minorHAnsi"/>
          <w:color w:val="000000"/>
        </w:rPr>
        <w:t>a</w:t>
      </w:r>
      <w:r w:rsidR="00751391" w:rsidRPr="00DC492C">
        <w:rPr>
          <w:rFonts w:cstheme="minorHAnsi"/>
          <w:color w:val="000000"/>
        </w:rPr>
        <w:t xml:space="preserve">cquisition </w:t>
      </w:r>
      <w:r w:rsidR="00DC492C" w:rsidRPr="00DC492C">
        <w:rPr>
          <w:rFonts w:cstheme="minorHAnsi"/>
          <w:color w:val="000000"/>
        </w:rPr>
        <w:t>c</w:t>
      </w:r>
      <w:r w:rsidR="00751391" w:rsidRPr="00DC492C">
        <w:rPr>
          <w:rFonts w:cstheme="minorHAnsi"/>
          <w:color w:val="000000"/>
        </w:rPr>
        <w:t xml:space="preserve">ost per </w:t>
      </w:r>
      <w:r w:rsidR="00DC492C" w:rsidRPr="00DC492C">
        <w:rPr>
          <w:rFonts w:cstheme="minorHAnsi"/>
          <w:color w:val="000000"/>
        </w:rPr>
        <w:t>d</w:t>
      </w:r>
      <w:r w:rsidR="00751391" w:rsidRPr="00DC492C">
        <w:rPr>
          <w:rFonts w:cstheme="minorHAnsi"/>
          <w:color w:val="000000"/>
        </w:rPr>
        <w:t xml:space="preserve">efined </w:t>
      </w:r>
      <w:r w:rsidR="00DC492C" w:rsidRPr="00DC492C">
        <w:rPr>
          <w:rFonts w:cstheme="minorHAnsi"/>
          <w:color w:val="000000"/>
        </w:rPr>
        <w:t>d</w:t>
      </w:r>
      <w:r w:rsidR="00751391" w:rsidRPr="00DC492C">
        <w:rPr>
          <w:rFonts w:cstheme="minorHAnsi"/>
          <w:color w:val="000000"/>
        </w:rPr>
        <w:t xml:space="preserve">aily </w:t>
      </w:r>
      <w:r w:rsidR="00DC492C" w:rsidRPr="00DC492C">
        <w:rPr>
          <w:rFonts w:cstheme="minorHAnsi"/>
          <w:color w:val="000000"/>
        </w:rPr>
        <w:t>d</w:t>
      </w:r>
      <w:r w:rsidR="00751391" w:rsidRPr="00DC492C">
        <w:rPr>
          <w:rFonts w:cstheme="minorHAnsi"/>
          <w:color w:val="000000"/>
        </w:rPr>
        <w:t xml:space="preserve">ose (DDD) </w:t>
      </w:r>
      <w:r w:rsidR="00DC492C" w:rsidRPr="00DC492C">
        <w:rPr>
          <w:rFonts w:cstheme="minorHAnsi"/>
          <w:color w:val="000000"/>
        </w:rPr>
        <w:t xml:space="preserve">for </w:t>
      </w:r>
      <w:r w:rsidR="00751391" w:rsidRPr="00DC492C">
        <w:rPr>
          <w:rFonts w:cstheme="minorHAnsi"/>
          <w:color w:val="000000"/>
        </w:rPr>
        <w:t xml:space="preserve">each </w:t>
      </w:r>
      <w:r w:rsidR="00DC492C" w:rsidRPr="00DC492C">
        <w:rPr>
          <w:rFonts w:cstheme="minorHAnsi"/>
          <w:color w:val="000000"/>
        </w:rPr>
        <w:t xml:space="preserve">statin. </w:t>
      </w:r>
      <w:r w:rsidR="00DC492C">
        <w:rPr>
          <w:rFonts w:cstheme="minorHAnsi"/>
          <w:color w:val="000000"/>
        </w:rPr>
        <w:t>To explore heterogeneity in prescription patterns, we split GP practi</w:t>
      </w:r>
      <w:r w:rsidR="00285D0A">
        <w:rPr>
          <w:rFonts w:cstheme="minorHAnsi"/>
          <w:color w:val="000000"/>
        </w:rPr>
        <w:t>c</w:t>
      </w:r>
      <w:r w:rsidR="00DC492C">
        <w:rPr>
          <w:rFonts w:cstheme="minorHAnsi"/>
          <w:color w:val="000000"/>
        </w:rPr>
        <w:t xml:space="preserve">es in the </w:t>
      </w:r>
      <w:r w:rsidR="009C1993">
        <w:rPr>
          <w:rFonts w:cstheme="minorHAnsi"/>
          <w:color w:val="000000"/>
        </w:rPr>
        <w:t xml:space="preserve">RCGP R&amp;SC </w:t>
      </w:r>
      <w:r w:rsidR="00DC492C">
        <w:rPr>
          <w:rFonts w:cstheme="minorHAnsi"/>
          <w:color w:val="000000"/>
        </w:rPr>
        <w:t xml:space="preserve">dataset into quintiles </w:t>
      </w:r>
      <w:r w:rsidR="00BA491D">
        <w:rPr>
          <w:rFonts w:cstheme="minorHAnsi"/>
          <w:color w:val="000000"/>
        </w:rPr>
        <w:t xml:space="preserve">for every month in the data </w:t>
      </w:r>
      <w:r w:rsidR="00DC492C">
        <w:rPr>
          <w:rFonts w:cstheme="minorHAnsi"/>
          <w:color w:val="000000"/>
        </w:rPr>
        <w:t xml:space="preserve">according to their share of </w:t>
      </w:r>
      <w:r w:rsidR="00DC492C" w:rsidRPr="00A67F1D">
        <w:rPr>
          <w:rFonts w:cstheme="minorHAnsi"/>
          <w:color w:val="000000"/>
        </w:rPr>
        <w:t xml:space="preserve">new patients </w:t>
      </w:r>
      <w:r w:rsidR="00DC492C">
        <w:rPr>
          <w:rFonts w:cstheme="minorHAnsi"/>
          <w:color w:val="000000"/>
        </w:rPr>
        <w:t xml:space="preserve">treated with </w:t>
      </w:r>
      <w:r w:rsidR="000271EC">
        <w:rPr>
          <w:rFonts w:cstheme="minorHAnsi"/>
          <w:color w:val="000000"/>
        </w:rPr>
        <w:t>simv</w:t>
      </w:r>
      <w:r w:rsidR="00DC492C">
        <w:rPr>
          <w:rFonts w:cstheme="minorHAnsi"/>
          <w:color w:val="000000"/>
        </w:rPr>
        <w:t>astatin and plo</w:t>
      </w:r>
      <w:r w:rsidR="008554D4">
        <w:rPr>
          <w:rFonts w:cstheme="minorHAnsi"/>
          <w:color w:val="000000"/>
        </w:rPr>
        <w:t>t</w:t>
      </w:r>
      <w:r w:rsidR="00DC492C">
        <w:rPr>
          <w:rFonts w:cstheme="minorHAnsi"/>
          <w:color w:val="000000"/>
        </w:rPr>
        <w:t>t</w:t>
      </w:r>
      <w:r w:rsidR="008554D4">
        <w:rPr>
          <w:rFonts w:cstheme="minorHAnsi"/>
          <w:color w:val="000000"/>
        </w:rPr>
        <w:t>ed</w:t>
      </w:r>
      <w:r w:rsidR="00DC492C">
        <w:rPr>
          <w:rFonts w:cstheme="minorHAnsi"/>
          <w:color w:val="000000"/>
        </w:rPr>
        <w:t xml:space="preserve"> </w:t>
      </w:r>
      <w:r w:rsidR="008554D4">
        <w:rPr>
          <w:rFonts w:cstheme="minorHAnsi"/>
          <w:color w:val="000000"/>
        </w:rPr>
        <w:t xml:space="preserve">the </w:t>
      </w:r>
      <w:r w:rsidR="00751391" w:rsidRPr="00A67F1D">
        <w:rPr>
          <w:rFonts w:cstheme="minorHAnsi"/>
          <w:color w:val="000000"/>
        </w:rPr>
        <w:t xml:space="preserve">average shares of new patients </w:t>
      </w:r>
      <w:r w:rsidR="00751391">
        <w:rPr>
          <w:rFonts w:cstheme="minorHAnsi"/>
          <w:color w:val="000000"/>
        </w:rPr>
        <w:t xml:space="preserve">treated with </w:t>
      </w:r>
      <w:r w:rsidR="000271EC">
        <w:rPr>
          <w:rFonts w:cstheme="minorHAnsi"/>
          <w:color w:val="000000"/>
        </w:rPr>
        <w:t>simv</w:t>
      </w:r>
      <w:r w:rsidR="00751391">
        <w:rPr>
          <w:rFonts w:cstheme="minorHAnsi"/>
          <w:color w:val="000000"/>
        </w:rPr>
        <w:t xml:space="preserve">astatin </w:t>
      </w:r>
      <w:r w:rsidR="002F7913">
        <w:rPr>
          <w:rFonts w:cstheme="minorHAnsi"/>
          <w:color w:val="000000"/>
        </w:rPr>
        <w:t>in each of the resulting five groups</w:t>
      </w:r>
      <w:r w:rsidR="00DC492C">
        <w:rPr>
          <w:rFonts w:cstheme="minorHAnsi"/>
          <w:color w:val="000000"/>
        </w:rPr>
        <w:t xml:space="preserve">. </w:t>
      </w:r>
      <w:r w:rsidR="00034249">
        <w:rPr>
          <w:rFonts w:cstheme="minorHAnsi"/>
          <w:color w:val="000000"/>
        </w:rPr>
        <w:t xml:space="preserve">Although this offers an insight into the evolution of overall heterogeneity in the data, it does not allow </w:t>
      </w:r>
      <w:r w:rsidR="00EA60A0">
        <w:rPr>
          <w:rFonts w:cstheme="minorHAnsi"/>
          <w:color w:val="000000"/>
        </w:rPr>
        <w:t xml:space="preserve">us </w:t>
      </w:r>
      <w:r w:rsidR="00034249">
        <w:rPr>
          <w:rFonts w:cstheme="minorHAnsi"/>
          <w:color w:val="000000"/>
        </w:rPr>
        <w:t xml:space="preserve">to characterise persistence in GPs’ prescribing choices. Hence, we additionally plot the average share of new patients treated with simvastatin keeping the composition of groups fixed at the quintile computed </w:t>
      </w:r>
      <w:r w:rsidR="0017250B">
        <w:rPr>
          <w:rFonts w:cstheme="minorHAnsi"/>
          <w:color w:val="000000"/>
        </w:rPr>
        <w:t>at</w:t>
      </w:r>
      <w:r w:rsidR="00EA60A0">
        <w:rPr>
          <w:rFonts w:cstheme="minorHAnsi"/>
          <w:color w:val="000000"/>
        </w:rPr>
        <w:t xml:space="preserve"> Q3</w:t>
      </w:r>
      <w:r w:rsidR="003F71FB">
        <w:rPr>
          <w:rFonts w:cstheme="minorHAnsi"/>
          <w:color w:val="000000"/>
        </w:rPr>
        <w:t>-</w:t>
      </w:r>
      <w:r w:rsidR="00EA60A0">
        <w:rPr>
          <w:rFonts w:cstheme="minorHAnsi"/>
          <w:color w:val="000000"/>
        </w:rPr>
        <w:t>2003.</w:t>
      </w:r>
      <w:r w:rsidR="00034249">
        <w:rPr>
          <w:rFonts w:cstheme="minorHAnsi"/>
          <w:color w:val="000000"/>
        </w:rPr>
        <w:t xml:space="preserve">  </w:t>
      </w:r>
    </w:p>
    <w:p w14:paraId="301C98AD" w14:textId="611B1D9E" w:rsidR="00751391" w:rsidRDefault="00751391" w:rsidP="007144CB">
      <w:pPr>
        <w:spacing w:after="0" w:line="240" w:lineRule="auto"/>
        <w:jc w:val="both"/>
        <w:rPr>
          <w:rFonts w:eastAsia="Times New Roman" w:cstheme="minorHAnsi"/>
          <w:lang w:eastAsia="en-GB"/>
        </w:rPr>
      </w:pPr>
    </w:p>
    <w:p w14:paraId="678BE99B" w14:textId="30F60003" w:rsidR="009F0303" w:rsidRPr="009F0303" w:rsidRDefault="0032252C" w:rsidP="007144CB">
      <w:pPr>
        <w:spacing w:after="0" w:line="240" w:lineRule="auto"/>
        <w:rPr>
          <w:rFonts w:cstheme="minorHAnsi"/>
          <w:b/>
          <w:bCs/>
        </w:rPr>
      </w:pPr>
      <w:r>
        <w:rPr>
          <w:rFonts w:cstheme="minorHAnsi"/>
          <w:b/>
          <w:bCs/>
        </w:rPr>
        <w:t xml:space="preserve">Cost savings simulation </w:t>
      </w:r>
    </w:p>
    <w:p w14:paraId="20A644FC" w14:textId="2ED1FE08" w:rsidR="00C019C3" w:rsidRPr="0098535E" w:rsidRDefault="00051634" w:rsidP="007144CB">
      <w:pPr>
        <w:spacing w:after="0" w:line="240" w:lineRule="auto"/>
        <w:jc w:val="both"/>
        <w:rPr>
          <w:rFonts w:cstheme="minorHAnsi"/>
        </w:rPr>
      </w:pPr>
      <w:r>
        <w:rPr>
          <w:rFonts w:cstheme="minorHAnsi"/>
          <w:color w:val="000000"/>
        </w:rPr>
        <w:t>A</w:t>
      </w:r>
      <w:r>
        <w:rPr>
          <w:rFonts w:cstheme="minorHAnsi"/>
        </w:rPr>
        <w:t>ccording to NICE</w:t>
      </w:r>
      <w:r w:rsidR="00F67306">
        <w:rPr>
          <w:rFonts w:cstheme="minorHAnsi"/>
        </w:rPr>
        <w:t>,</w:t>
      </w:r>
      <w:r>
        <w:rPr>
          <w:rFonts w:cstheme="minorHAnsi"/>
        </w:rPr>
        <w:t xml:space="preserve"> all statins are equally effective from a therapeutic point of view</w:t>
      </w:r>
      <w:r w:rsidR="0071697F">
        <w:rPr>
          <w:rFonts w:cstheme="minorHAnsi"/>
        </w:rPr>
        <w:t>. A</w:t>
      </w:r>
      <w:r w:rsidR="00F67306">
        <w:rPr>
          <w:rFonts w:cstheme="minorHAnsi"/>
        </w:rPr>
        <w:t xml:space="preserve">s stated in </w:t>
      </w:r>
      <w:r w:rsidR="003F34BF">
        <w:rPr>
          <w:rFonts w:cstheme="minorHAnsi"/>
        </w:rPr>
        <w:t>TA-94</w:t>
      </w:r>
      <w:r w:rsidR="00F67306">
        <w:rPr>
          <w:rFonts w:cstheme="minorHAnsi"/>
        </w:rPr>
        <w:t xml:space="preserve"> </w:t>
      </w:r>
      <w:r w:rsidR="0071697F">
        <w:rPr>
          <w:rFonts w:cstheme="minorHAnsi"/>
        </w:rPr>
        <w:t xml:space="preserve">introduced in </w:t>
      </w:r>
      <w:r w:rsidR="00F67306">
        <w:rPr>
          <w:rFonts w:cstheme="minorHAnsi"/>
        </w:rPr>
        <w:t>2006</w:t>
      </w:r>
      <w:r w:rsidR="0071697F">
        <w:rPr>
          <w:rFonts w:cstheme="minorHAnsi"/>
        </w:rPr>
        <w:t xml:space="preserve">, </w:t>
      </w:r>
      <w:r w:rsidR="00A91E41" w:rsidRPr="00A91E41">
        <w:rPr>
          <w:rFonts w:cstheme="minorHAnsi"/>
        </w:rPr>
        <w:t>"</w:t>
      </w:r>
      <w:r w:rsidR="00A91E41" w:rsidRPr="009C1993">
        <w:rPr>
          <w:rFonts w:cstheme="minorHAnsi"/>
          <w:i/>
        </w:rPr>
        <w:t xml:space="preserve">from the evidence available </w:t>
      </w:r>
      <w:r w:rsidR="00F67306" w:rsidRPr="009C1993">
        <w:rPr>
          <w:rFonts w:cstheme="minorHAnsi"/>
          <w:i/>
        </w:rPr>
        <w:t>[…] [and]</w:t>
      </w:r>
      <w:r w:rsidR="00A91E41" w:rsidRPr="009C1993">
        <w:rPr>
          <w:rFonts w:cstheme="minorHAnsi"/>
          <w:i/>
        </w:rPr>
        <w:t xml:space="preserve"> for the purpose of initiating therapy, there were no data on clinical events to suggest the superiority of any one Statin over all the others in reducing cardiovascular</w:t>
      </w:r>
      <w:r w:rsidR="00897AF4" w:rsidRPr="009C1993">
        <w:rPr>
          <w:rFonts w:cstheme="minorHAnsi"/>
          <w:i/>
        </w:rPr>
        <w:t xml:space="preserve"> </w:t>
      </w:r>
      <w:r w:rsidR="00A91E41" w:rsidRPr="009C1993">
        <w:rPr>
          <w:rFonts w:cstheme="minorHAnsi"/>
          <w:i/>
        </w:rPr>
        <w:t>events</w:t>
      </w:r>
      <w:r w:rsidR="00A91E41" w:rsidRPr="00A91E41">
        <w:rPr>
          <w:rFonts w:cstheme="minorHAnsi"/>
        </w:rPr>
        <w:t>"</w:t>
      </w:r>
      <w:r w:rsidR="00E86992">
        <w:rPr>
          <w:rFonts w:cstheme="minorHAnsi"/>
        </w:rPr>
        <w:t>.</w:t>
      </w:r>
      <w:r w:rsidR="00A91E41">
        <w:rPr>
          <w:rFonts w:cstheme="minorHAnsi"/>
        </w:rPr>
        <w:fldChar w:fldCharType="begin"/>
      </w:r>
      <w:r w:rsidR="002A6D5F">
        <w:rPr>
          <w:rFonts w:cstheme="minorHAnsi"/>
        </w:rPr>
        <w:instrText xml:space="preserve"> ADDIN ZOTERO_ITEM CSL_CITATION {"citationID":"yKlm91zu","properties":{"formattedCitation":"\\super 10,16\\uc0\\u8211{}20\\nosupersub{}","plainCitation":"10,16–20","noteIndex":0},"citationItems":[{"id":137,"uris":["http://zotero.org/users/4387520/items/29SYHDR5"],"uri":["http://zotero.org/users/4387520/items/29SYHDR5"],"itemData":{"id":137,"type":"webpage","language":"eng","note":"publisher: NICE","title":"Statins for the prevention of cardiovascular events | Guidance | NICE","URL":"https://www.nice.org.uk/guidance/ta94","accessed":{"date-parts":[["2021",4,13]]}}},{"id":18,"uris":["http://zotero.org/users/4387520/items/NWE5GNQ8"],"uri":["http://zotero.org/users/4387520/items/NWE5GNQ8"],"itemData":{"id":18,"type":"article-journal","abstract":"Objectives To determine by how much statins reduce serum concentrations of low density lipoprotein (LDL) cholesterol and incidence of ischaemic heart disease (IHD) events and stroke, according to drug, dose, and duration of treatment.\nDesign Three meta-analyses: 164 short term randomised placebo controlled trials of six statins and LDL cholesterol reduction; 58 randomised trials of cholesterol lowering by any means and IHD events; and nine cohort studies and the same 58 trials on stoke.\nMain outcome measures Reductions in LDL cholesterol according to statin and dose; reduction in IHD events and stroke for a specified reduction in LDL cholesterol.\nResults Reductions in LDL cholesterol (in the 164 trials) were 2.8 mmol/l (60%) with rosuvastatin 80 mg/day, 2.6 mmol/l (55%) with atorvastatin 80 mg/day, 1.8 mmol/l (40%) with atorvastatin 10 mg/day, lovastatin 40 mg/day, simvastatin 40 mg/day, or rosuvastatin 5 mg/day, all from pretreatment concentrations of 4.8 mmol/l. Pravastatin and fluvastatin achieved smaller reductions. In the 58 trials, for an LDL cholesterol reduction of 1.0 mmol/l the risk of IHD events was reduced by 11% in the first year of treatment, 24% in the second year, 33% in years three to five, and by 36% thereafter (P &lt; 0.001 for trend). IHD events were reduced by 20%, 31%, and 51% in trials grouped by LDL cholesterol reduction (means 0.5 mmol/l, 1.0 mmol/l, and 1.6 mmol/l) after results from first two years of treatment were excluded (P &lt; 0.001 for trend). After several years a reduction of 1.8 mmol/l would reduce IHD events by an estimated 61%. Results from the same 58 trials, corroborated by results from the nine cohort studies, show that lowering LDL cholesterol decreases all stroke by 10% for a 1 mmol/l reduction and 17% for a 1.8 mmol/l reduction. Estimates allow for the fact that trials tended to recruit people with vascular disease, among whom the effect of LDL cholesterol reduction on stroke is greater because of their higher risk of thromboembolic stroke (rather than haemorrhagic stroke) compared with people in the general population.\nConclusions Statins can lower LDL cholesterol concentration by an average of 1.8 mmol/l which reduces the risk of IHD events by about 60% and stroke by 17%.","container-title":"BMJ","DOI":"10.1136/bmj.326.7404.1423","ISSN":"0959-8138, 1468-5833","issue":"7404","journalAbbreviation":"BMJ","language":"en","note":"PMID: 12829554","page":"1423","source":"www.bmj.com","title":"Quantifying effect of statins on low density lipoprotein cholesterol, ischaemic heart disease, and stroke: systematic review and meta-analysis","title-short":"Quantifying effect of statins on low density lipoprotein cholesterol, ischaemic heart disease, and stroke","volume":"326","author":[{"family":"Law","given":"M. R."},{"family":"Wald","given":"N. J."},{"family":"Rudnicka","given":"A. R."}],"issued":{"date-parts":[["2003",6,26]]}}},{"id":155,"uris":["http://zotero.org/users/4387520/items/LNYPI9YV"],"uri":["http://zotero.org/users/4387520/items/LNYPI9YV"],"itemData":{"id":155,"type":"article-journal","abstract":"&lt;h2&gt;Summary&lt;/h2&gt;&lt;h3&gt;Background&lt;/h3&gt;&lt;p&gt;Results of previous randomised trials have shown that interventions that lower LDL cholesterol concentrations can significantly reduce the incidence of coronary heart disease (CHD) and other major vascular events in a wide range of individuals. But each separate trial has limited power to assess particular outcomes or particular categories of participant.&lt;/p&gt;&lt;h3&gt;Methods&lt;/h3&gt;&lt;p&gt;A prospective meta-analysis of data from 90 056 individuals in 14 randomised trials of statins was done. Weighted estimates were obtained of effects on different clinical outcomes per 1·0 mmol/L reduction in LDL cholesterol.&lt;/p&gt;&lt;h3&gt;Findings&lt;/h3&gt;&lt;p&gt;During a mean of 5 years, there were 8186 deaths, 14 348 individuals had major vascular events, and 5103 developed cancer. Mean LDL cholesterol differences at 1 year ranged from 0·35 mmol/L to 1·77 mmol/L (mean 1·09) in these trials. There was a 12% proportional reduction in all-cause mortality per mmol/L reduction in LDL cholesterol (rate ratio [RR] 0·88, 95% CI 0·84–0·91; p&lt;0·0001). This reflected a 19% reduction in coronary mortality (0·81, 0·76–0·85; p&lt;0·0001), and non-significant reductions in non-coronary vascular mortality (0·93, 0·83–1·03; p=0·2) and non-vascular mortality (0·95, 0·90–1·01; p=0·1). There were corresponding reductions in myocardial infarction or coronary death (0·77, 0·74–0·80; p&lt;0·0001), in the need for coronary revascularisation (0·76, 0·73–0·80; p&lt;0·0001), in fatal or non-fatal stroke (0·83, 0·78–0·88; p&lt;0·0001), and, combining these, of 21% in any such major vascular event (0·79, 0·77–0·81; p&lt;0·0001). The proportional reduction in major vascular events differed significantly (p&lt;0·0001) according to the absolute reduction in LDL cholesterol achieved, but not otherwise. These benefits were significant within the first year, but were greater in subsequent years. Taking all years together, the overall reduction of about one fifth per mmol/L LDL cholesterol reduction translated into 48 (95% CI 39–57) fewer participants having major vascular events per 1000 among those with pre-existing CHD at baseline, compared with 25 (19–31) per 1000 among participants with no such history. There was no evidence that statins increased the incidence of cancer overall (1·00, 0·95–1·06; p=0·9) or at any particular site.&lt;/p&gt;&lt;h3&gt;Interpretation&lt;/h3&gt;&lt;p&gt;Statin therapy can safely reduce the 5-year incidence of major coronary events, coronary revascularisation, and stroke by about one fifth per mmol/L reduction in LDL cholesterol, largely irrespective of the initial lipid profile or other presenting characteristics. The absolute benefit relates chiefly to an individual's absolute risk of such events and to the absolute reduction in LDL cholesterol achieved. These findings reinforce the need to consider prolonged statin treatment with substantial LDL cholesterol reductions in all patients at high risk of any type of major vascular event.&lt;/p&gt;","container-title":"The Lancet","DOI":"10.1016/S0140-6736(05)67394-1","ISSN":"0140-6736, 1474-547X","issue":"9493","journalAbbreviation":"The Lancet","language":"English","note":"publisher: Elsevier\nPMID: 16214597","page":"1267-1278","source":"www.thelancet.com","title":"Efficacy and safety of cholesterol-lowering treatment: prospective meta-analysis of data from 90 056 participants in 14 randomised trials of statins","title-short":"Efficacy and safety of cholesterol-lowering treatment","volume":"366","issued":{"date-parts":[["2005",10,8]]}}},{"id":13,"uris":["http://zotero.org/users/4387520/items/NMFC3EEU"],"uri":["http://zotero.org/users/4387520/items/NMFC3EEU"],"itemData":{"id":13,"type":"article-journal","abstract":"Using generic simvastatin as first line could save £2bn over five years in England","container-title":"BMJ : British Medical Journal","ISSN":"0959-8138","issue":"7554","journalAbbreviation":"BMJ","note":"PMID: 16763226\nPMCID: PMC1476712","page":"1344-1345","source":"PubMed Central","title":"Switching statins","volume":"332","author":[{"family":"Moon","given":"James C"},{"family":"Bogle","given":"Richard G"}],"issued":{"date-parts":[["2006",6,10]]}}},{"id":10,"uris":["http://zotero.org/users/4387520/items/VNXJ46JU"],"uri":["http://zotero.org/users/4387520/items/VNXJ46JU"],"itemData":{"id":10,"type":"article-journal","container-title":"The Lancet","DOI":"10.1016/S0140-6736(07)60716-8","ISSN":"01406736","issue":"9601","language":"en","page":"1781-1790","source":"Crossref","title":"The safety of statins in clinical practice","volume":"370","author":[{"family":"Armitage","given":"Jane"}],"issued":{"date-parts":[["2007",11]]}}},{"id":158,"uris":["http://zotero.org/users/4387520/items/5KBPAG6D"],"uri":["http://zotero.org/users/4387520/items/5KBPAG6D"],"itemData":{"id":158,"type":"article-journal","abstract":"Despite the inconsistent or weak association between cholesterol and stroke, lowering of cholesterol concentrations with statins reduces the risk of stroke in high-risk populations and in patients with non-cardioembolic stroke or transient ischaemic attack. Statin therapy is the most important advance in stroke prevention since the introduction of aspirin and antihypertensive treatments. Meta-analysis of randomised trials of statins in combination with other preventive strategies, including 165 792 individuals, shows that each 1 mmol/L (39 mg/dL) decrease in LDL cholesterol equates to a reduction in relative risk for stroke of 21·1% (95% CI 6·3–33·5, p=0·009). In secondary prevention of non-cardioembolic stroke, intense reduction of LDL cholesterol by statins also significantly reduced the risk of recurrent stroke (relative risk 0·84, 0·71–0·99, p=0·03) and major cardiovascular events (0·80, 0·69–0·92, p=0·002). Future directions include assessment of a target LDL cholesterol concentration of less than 1·8 mmol/L (70 mg/dL), the effects of triglyceride-lowering therapy alone or in combination with statins, and the effects of treatments to raise HDL cholesterol concentrations.","container-title":"The Lancet Neurology","DOI":"10.1016/S1474-4422(09)70058-4","ISSN":"1474-4422","issue":"5","journalAbbreviation":"The Lancet Neurology","language":"en","page":"453-463","source":"ScienceDirect","title":"Lipid management in the prevention of stroke: review and updated meta-analysis of statins for stroke prevention","title-short":"Lipid management in the prevention of stroke","volume":"8","author":[{"family":"Amarenco","given":"Pierre"},{"family":"Labreuche","given":"Julien"}],"issued":{"date-parts":[["2009",5,1]]}}}],"schema":"https://github.com/citation-style-language/schema/raw/master/csl-citation.json"} </w:instrText>
      </w:r>
      <w:r w:rsidR="00A91E41">
        <w:rPr>
          <w:rFonts w:cstheme="minorHAnsi"/>
        </w:rPr>
        <w:fldChar w:fldCharType="separate"/>
      </w:r>
      <w:r w:rsidR="002A6D5F" w:rsidRPr="002A6D5F">
        <w:rPr>
          <w:rFonts w:ascii="Calibri" w:hAnsi="Calibri" w:cs="Calibri"/>
          <w:szCs w:val="24"/>
          <w:vertAlign w:val="superscript"/>
        </w:rPr>
        <w:t>10,16–20</w:t>
      </w:r>
      <w:r w:rsidR="00A91E41">
        <w:rPr>
          <w:rFonts w:cstheme="minorHAnsi"/>
        </w:rPr>
        <w:fldChar w:fldCharType="end"/>
      </w:r>
      <w:r w:rsidR="0032252C" w:rsidRPr="008B087A">
        <w:rPr>
          <w:rFonts w:eastAsia="Times New Roman" w:cstheme="minorHAnsi"/>
          <w:lang w:eastAsia="en-GB"/>
        </w:rPr>
        <w:t xml:space="preserve"> </w:t>
      </w:r>
      <w:r>
        <w:rPr>
          <w:rFonts w:cstheme="minorHAnsi"/>
        </w:rPr>
        <w:t>U</w:t>
      </w:r>
      <w:r w:rsidR="006F3D3A">
        <w:rPr>
          <w:rFonts w:cstheme="minorHAnsi"/>
        </w:rPr>
        <w:t>nder the assumption that GPs cannot consistently anticipate whether a new patient would benefit from starting treatment with a</w:t>
      </w:r>
      <w:r>
        <w:rPr>
          <w:rFonts w:cstheme="minorHAnsi"/>
        </w:rPr>
        <w:t xml:space="preserve">ny given statin </w:t>
      </w:r>
      <w:r w:rsidR="006F3D3A">
        <w:rPr>
          <w:rFonts w:cstheme="minorHAnsi"/>
        </w:rPr>
        <w:t>different from the one recommended by NICE, we evaluate</w:t>
      </w:r>
      <w:r w:rsidR="00C823AE">
        <w:rPr>
          <w:rFonts w:cstheme="minorHAnsi"/>
        </w:rPr>
        <w:t>d</w:t>
      </w:r>
      <w:r w:rsidR="006F3D3A">
        <w:rPr>
          <w:rFonts w:cstheme="minorHAnsi"/>
        </w:rPr>
        <w:t xml:space="preserve"> prescription decisions according to a cost-minimization criteri</w:t>
      </w:r>
      <w:r>
        <w:rPr>
          <w:rFonts w:cstheme="minorHAnsi"/>
        </w:rPr>
        <w:t>on</w:t>
      </w:r>
      <w:r w:rsidR="006F3D3A">
        <w:rPr>
          <w:rFonts w:cstheme="minorHAnsi"/>
        </w:rPr>
        <w:t xml:space="preserve">. </w:t>
      </w:r>
      <w:r w:rsidR="004A4E0B">
        <w:rPr>
          <w:rFonts w:cstheme="minorHAnsi"/>
        </w:rPr>
        <w:t>Specifically</w:t>
      </w:r>
      <w:r w:rsidR="00F70AAD">
        <w:rPr>
          <w:rFonts w:cstheme="minorHAnsi"/>
        </w:rPr>
        <w:t>, w</w:t>
      </w:r>
      <w:r w:rsidR="006F3D3A">
        <w:rPr>
          <w:rFonts w:eastAsia="Times New Roman" w:cstheme="minorHAnsi"/>
          <w:lang w:eastAsia="en-GB"/>
        </w:rPr>
        <w:t>e quantif</w:t>
      </w:r>
      <w:r w:rsidR="00C823AE">
        <w:rPr>
          <w:rFonts w:eastAsia="Times New Roman" w:cstheme="minorHAnsi"/>
          <w:lang w:eastAsia="en-GB"/>
        </w:rPr>
        <w:t>ied</w:t>
      </w:r>
      <w:r w:rsidR="006F3D3A">
        <w:rPr>
          <w:rFonts w:eastAsia="Times New Roman" w:cstheme="minorHAnsi"/>
          <w:lang w:eastAsia="en-GB"/>
        </w:rPr>
        <w:t xml:space="preserve"> the potential savings for the NHS </w:t>
      </w:r>
      <w:r>
        <w:rPr>
          <w:rFonts w:eastAsia="Times New Roman" w:cstheme="minorHAnsi"/>
          <w:lang w:eastAsia="en-GB"/>
        </w:rPr>
        <w:t xml:space="preserve">by </w:t>
      </w:r>
      <w:r w:rsidR="006F3D3A">
        <w:rPr>
          <w:rFonts w:eastAsia="Times New Roman" w:cstheme="minorHAnsi"/>
          <w:lang w:eastAsia="en-GB"/>
        </w:rPr>
        <w:t>compar</w:t>
      </w:r>
      <w:r>
        <w:rPr>
          <w:rFonts w:eastAsia="Times New Roman" w:cstheme="minorHAnsi"/>
          <w:lang w:eastAsia="en-GB"/>
        </w:rPr>
        <w:t xml:space="preserve">ing </w:t>
      </w:r>
      <w:r w:rsidR="006F3D3A">
        <w:rPr>
          <w:rFonts w:eastAsia="Times New Roman" w:cstheme="minorHAnsi"/>
          <w:lang w:eastAsia="en-GB"/>
        </w:rPr>
        <w:t xml:space="preserve">the </w:t>
      </w:r>
      <w:r w:rsidR="006F3D3A" w:rsidRPr="00A82DC5">
        <w:rPr>
          <w:rFonts w:eastAsia="Times New Roman" w:cstheme="minorHAnsi"/>
          <w:i/>
          <w:iCs/>
          <w:lang w:eastAsia="en-GB"/>
        </w:rPr>
        <w:t>actual cost</w:t>
      </w:r>
      <w:r w:rsidR="006F3D3A">
        <w:rPr>
          <w:rFonts w:eastAsia="Times New Roman" w:cstheme="minorHAnsi"/>
          <w:lang w:eastAsia="en-GB"/>
        </w:rPr>
        <w:t xml:space="preserve"> of the observed prescription decisions with a </w:t>
      </w:r>
      <w:r w:rsidR="006F3D3A" w:rsidRPr="003A2A3E">
        <w:rPr>
          <w:rFonts w:eastAsia="Times New Roman" w:cstheme="minorHAnsi"/>
          <w:i/>
          <w:lang w:eastAsia="en-GB"/>
        </w:rPr>
        <w:t>hypothetical cost</w:t>
      </w:r>
      <w:r w:rsidR="006F3D3A">
        <w:rPr>
          <w:rFonts w:eastAsia="Times New Roman" w:cstheme="minorHAnsi"/>
          <w:lang w:eastAsia="en-GB"/>
        </w:rPr>
        <w:t xml:space="preserve"> constructed by substituting the actual original treatments with a </w:t>
      </w:r>
      <w:r w:rsidR="006F3D3A" w:rsidRPr="00EF7084">
        <w:rPr>
          <w:rFonts w:eastAsia="Times New Roman" w:cstheme="minorHAnsi"/>
          <w:i/>
          <w:iCs/>
          <w:lang w:eastAsia="en-GB"/>
        </w:rPr>
        <w:t>therapeutically similar</w:t>
      </w:r>
      <w:r w:rsidR="006F3D3A">
        <w:rPr>
          <w:rFonts w:eastAsia="Times New Roman" w:cstheme="minorHAnsi"/>
          <w:lang w:eastAsia="en-GB"/>
        </w:rPr>
        <w:t xml:space="preserve"> treatment </w:t>
      </w:r>
      <w:r w:rsidR="00550B69">
        <w:rPr>
          <w:rFonts w:eastAsia="Times New Roman" w:cstheme="minorHAnsi"/>
          <w:lang w:eastAsia="en-GB"/>
        </w:rPr>
        <w:t xml:space="preserve">containing </w:t>
      </w:r>
      <w:r w:rsidR="006F3D3A">
        <w:rPr>
          <w:rFonts w:eastAsia="Times New Roman" w:cstheme="minorHAnsi"/>
          <w:lang w:eastAsia="en-GB"/>
        </w:rPr>
        <w:t xml:space="preserve">either </w:t>
      </w:r>
      <w:r w:rsidR="000271EC">
        <w:rPr>
          <w:rFonts w:eastAsia="Times New Roman" w:cstheme="minorHAnsi"/>
          <w:lang w:eastAsia="en-GB"/>
        </w:rPr>
        <w:t>simv</w:t>
      </w:r>
      <w:r w:rsidR="006F3D3A">
        <w:rPr>
          <w:rFonts w:eastAsia="Times New Roman" w:cstheme="minorHAnsi"/>
          <w:lang w:eastAsia="en-GB"/>
        </w:rPr>
        <w:t>astatin (for prescriptions issued</w:t>
      </w:r>
      <w:r w:rsidR="000271EC">
        <w:rPr>
          <w:rFonts w:eastAsia="Times New Roman" w:cstheme="minorHAnsi"/>
          <w:lang w:eastAsia="en-GB"/>
        </w:rPr>
        <w:t xml:space="preserve"> between 2004 and May 2012) or a</w:t>
      </w:r>
      <w:r w:rsidR="006F3D3A">
        <w:rPr>
          <w:rFonts w:eastAsia="Times New Roman" w:cstheme="minorHAnsi"/>
          <w:lang w:eastAsia="en-GB"/>
        </w:rPr>
        <w:t xml:space="preserve">torvastatin (from May 2012 onwards). </w:t>
      </w:r>
      <w:r w:rsidR="0032252C">
        <w:rPr>
          <w:rFonts w:eastAsia="Times New Roman" w:cstheme="minorHAnsi"/>
          <w:lang w:eastAsia="en-GB"/>
        </w:rPr>
        <w:t xml:space="preserve">By computing the difference between </w:t>
      </w:r>
      <w:r w:rsidR="0032252C">
        <w:rPr>
          <w:rFonts w:eastAsia="Times New Roman" w:cstheme="minorHAnsi"/>
          <w:lang w:eastAsia="en-GB"/>
        </w:rPr>
        <w:lastRenderedPageBreak/>
        <w:t>actual and hypothetic costs, we obtain</w:t>
      </w:r>
      <w:r w:rsidR="00C823AE">
        <w:rPr>
          <w:rFonts w:eastAsia="Times New Roman" w:cstheme="minorHAnsi"/>
          <w:lang w:eastAsia="en-GB"/>
        </w:rPr>
        <w:t>ed</w:t>
      </w:r>
      <w:r w:rsidR="0032252C">
        <w:rPr>
          <w:rFonts w:eastAsia="Times New Roman" w:cstheme="minorHAnsi"/>
          <w:lang w:eastAsia="en-GB"/>
        </w:rPr>
        <w:t xml:space="preserve"> a measure of the potential savings</w:t>
      </w:r>
      <w:r w:rsidR="00EF7084">
        <w:rPr>
          <w:rFonts w:eastAsia="Times New Roman" w:cstheme="minorHAnsi"/>
          <w:lang w:eastAsia="en-GB"/>
        </w:rPr>
        <w:t>,</w:t>
      </w:r>
      <w:r w:rsidR="0032252C">
        <w:rPr>
          <w:rFonts w:eastAsia="Times New Roman" w:cstheme="minorHAnsi"/>
          <w:lang w:eastAsia="en-GB"/>
        </w:rPr>
        <w:t xml:space="preserve"> both in absolute and relative terms. </w:t>
      </w:r>
    </w:p>
    <w:p w14:paraId="0F4C7DA4" w14:textId="77777777" w:rsidR="00C019C3" w:rsidRDefault="00C019C3" w:rsidP="007144CB">
      <w:pPr>
        <w:spacing w:after="0" w:line="240" w:lineRule="auto"/>
        <w:jc w:val="both"/>
        <w:rPr>
          <w:rFonts w:eastAsia="Times New Roman" w:cstheme="minorHAnsi"/>
          <w:lang w:eastAsia="en-GB"/>
        </w:rPr>
      </w:pPr>
    </w:p>
    <w:p w14:paraId="4C654953" w14:textId="0F8EF69E" w:rsidR="004A4E0B" w:rsidRDefault="00C019C3" w:rsidP="007144CB">
      <w:pPr>
        <w:spacing w:after="0" w:line="240" w:lineRule="auto"/>
        <w:jc w:val="both"/>
        <w:rPr>
          <w:rFonts w:eastAsia="Times New Roman" w:cstheme="minorHAnsi"/>
          <w:lang w:eastAsia="en-GB"/>
        </w:rPr>
      </w:pPr>
      <w:r>
        <w:rPr>
          <w:rFonts w:eastAsia="Times New Roman" w:cstheme="minorHAnsi"/>
          <w:lang w:eastAsia="en-GB"/>
        </w:rPr>
        <w:t>The cost</w:t>
      </w:r>
      <w:r w:rsidR="006F3D3A">
        <w:rPr>
          <w:rFonts w:eastAsia="Times New Roman" w:cstheme="minorHAnsi"/>
          <w:lang w:eastAsia="en-GB"/>
        </w:rPr>
        <w:t xml:space="preserve"> simulation </w:t>
      </w:r>
      <w:r w:rsidR="00FC74CD">
        <w:rPr>
          <w:rFonts w:eastAsia="Times New Roman" w:cstheme="minorHAnsi"/>
          <w:lang w:eastAsia="en-GB"/>
        </w:rPr>
        <w:t>was</w:t>
      </w:r>
      <w:r w:rsidR="00F67306">
        <w:rPr>
          <w:rFonts w:eastAsia="Times New Roman" w:cstheme="minorHAnsi"/>
          <w:lang w:eastAsia="en-GB"/>
        </w:rPr>
        <w:t xml:space="preserve"> performed</w:t>
      </w:r>
      <w:r w:rsidR="006F3D3A">
        <w:rPr>
          <w:rFonts w:eastAsia="Times New Roman" w:cstheme="minorHAnsi"/>
          <w:lang w:eastAsia="en-GB"/>
        </w:rPr>
        <w:t xml:space="preserve"> under two different scenarios. In the </w:t>
      </w:r>
      <w:r w:rsidR="006F3D3A" w:rsidRPr="001252B8">
        <w:rPr>
          <w:rFonts w:eastAsia="Times New Roman" w:cstheme="minorHAnsi"/>
          <w:i/>
          <w:lang w:eastAsia="en-GB"/>
        </w:rPr>
        <w:t>first scenario</w:t>
      </w:r>
      <w:r w:rsidR="006F3D3A">
        <w:rPr>
          <w:rFonts w:eastAsia="Times New Roman" w:cstheme="minorHAnsi"/>
          <w:lang w:eastAsia="en-GB"/>
        </w:rPr>
        <w:t xml:space="preserve">, </w:t>
      </w:r>
      <w:r w:rsidR="004645B0">
        <w:rPr>
          <w:rFonts w:eastAsia="Times New Roman" w:cstheme="minorHAnsi"/>
          <w:lang w:eastAsia="en-GB"/>
        </w:rPr>
        <w:t xml:space="preserve">the </w:t>
      </w:r>
      <w:r w:rsidR="006F3D3A">
        <w:rPr>
          <w:rFonts w:eastAsia="Times New Roman" w:cstheme="minorHAnsi"/>
          <w:lang w:eastAsia="en-GB"/>
        </w:rPr>
        <w:t xml:space="preserve">analysis </w:t>
      </w:r>
      <w:r w:rsidR="004645B0">
        <w:rPr>
          <w:rFonts w:eastAsia="Times New Roman" w:cstheme="minorHAnsi"/>
          <w:lang w:eastAsia="en-GB"/>
        </w:rPr>
        <w:t xml:space="preserve">was limited to </w:t>
      </w:r>
      <w:r w:rsidR="006F3D3A">
        <w:rPr>
          <w:rFonts w:eastAsia="Times New Roman" w:cstheme="minorHAnsi"/>
          <w:lang w:eastAsia="en-GB"/>
        </w:rPr>
        <w:t>the first prescription episode (</w:t>
      </w:r>
      <w:r w:rsidR="00384A33">
        <w:rPr>
          <w:rFonts w:eastAsia="Times New Roman" w:cstheme="minorHAnsi"/>
          <w:lang w:eastAsia="en-GB"/>
        </w:rPr>
        <w:t>i.e.,</w:t>
      </w:r>
      <w:r w:rsidR="00AD4592">
        <w:rPr>
          <w:rFonts w:eastAsia="Times New Roman" w:cstheme="minorHAnsi"/>
          <w:lang w:eastAsia="en-GB"/>
        </w:rPr>
        <w:t xml:space="preserve"> the</w:t>
      </w:r>
      <w:r w:rsidR="006F3D3A">
        <w:rPr>
          <w:rFonts w:eastAsia="Times New Roman" w:cstheme="minorHAnsi"/>
          <w:lang w:eastAsia="en-GB"/>
        </w:rPr>
        <w:t xml:space="preserve"> first 28 days of treatment) for patients</w:t>
      </w:r>
      <w:r w:rsidR="00AD4592">
        <w:rPr>
          <w:rFonts w:eastAsia="Times New Roman" w:cstheme="minorHAnsi"/>
          <w:lang w:eastAsia="en-GB"/>
        </w:rPr>
        <w:t xml:space="preserve"> newly</w:t>
      </w:r>
      <w:r w:rsidR="006F3D3A">
        <w:rPr>
          <w:rFonts w:eastAsia="Times New Roman" w:cstheme="minorHAnsi"/>
          <w:lang w:eastAsia="en-GB"/>
        </w:rPr>
        <w:t xml:space="preserve"> treated with statins. By focusing only on the first prescription episode we compare</w:t>
      </w:r>
      <w:r w:rsidR="00AD4592">
        <w:rPr>
          <w:rFonts w:eastAsia="Times New Roman" w:cstheme="minorHAnsi"/>
          <w:lang w:eastAsia="en-GB"/>
        </w:rPr>
        <w:t>d</w:t>
      </w:r>
      <w:r w:rsidR="006F3D3A">
        <w:rPr>
          <w:rFonts w:eastAsia="Times New Roman" w:cstheme="minorHAnsi"/>
          <w:lang w:eastAsia="en-GB"/>
        </w:rPr>
        <w:t xml:space="preserve"> the evolution of the spending on statin treatment</w:t>
      </w:r>
      <w:r w:rsidR="00EF7084">
        <w:rPr>
          <w:rFonts w:eastAsia="Times New Roman" w:cstheme="minorHAnsi"/>
          <w:lang w:eastAsia="en-GB"/>
        </w:rPr>
        <w:t>s</w:t>
      </w:r>
      <w:r w:rsidR="006F3D3A">
        <w:rPr>
          <w:rFonts w:eastAsia="Times New Roman" w:cstheme="minorHAnsi"/>
          <w:lang w:eastAsia="en-GB"/>
        </w:rPr>
        <w:t xml:space="preserve"> using the same unit on analysis</w:t>
      </w:r>
      <w:r w:rsidR="00F67306">
        <w:rPr>
          <w:rFonts w:eastAsia="Times New Roman" w:cstheme="minorHAnsi"/>
          <w:lang w:eastAsia="en-GB"/>
        </w:rPr>
        <w:t xml:space="preserve"> (that is, the cost of the first prescription episode)</w:t>
      </w:r>
      <w:r w:rsidR="006F3D3A">
        <w:rPr>
          <w:rFonts w:eastAsia="Times New Roman" w:cstheme="minorHAnsi"/>
          <w:lang w:eastAsia="en-GB"/>
        </w:rPr>
        <w:t xml:space="preserve"> in different time periods, leaving aside the problem of following patients throughout their drug-treatment history. Clearly, the absolute value of savings obtained by considering only the first prescription episode for new patients is a partial account of the overall potential savings, as patients treated for cardiovascular disease risk will usually be on treatment indefinitely</w:t>
      </w:r>
      <w:r w:rsidR="00AD4592">
        <w:rPr>
          <w:rFonts w:eastAsia="Times New Roman" w:cstheme="minorHAnsi"/>
          <w:lang w:eastAsia="en-GB"/>
        </w:rPr>
        <w:t>.</w:t>
      </w:r>
      <w:r w:rsidR="006F3D3A">
        <w:rPr>
          <w:rFonts w:eastAsia="Times New Roman" w:cstheme="minorHAnsi"/>
          <w:lang w:eastAsia="en-GB"/>
        </w:rPr>
        <w:t xml:space="preserve"> </w:t>
      </w:r>
    </w:p>
    <w:p w14:paraId="02ED7856" w14:textId="77777777" w:rsidR="004A4E0B" w:rsidRDefault="004A4E0B" w:rsidP="007144CB">
      <w:pPr>
        <w:spacing w:after="0" w:line="240" w:lineRule="auto"/>
        <w:jc w:val="both"/>
        <w:rPr>
          <w:rFonts w:eastAsia="Times New Roman" w:cstheme="minorHAnsi"/>
          <w:lang w:eastAsia="en-GB"/>
        </w:rPr>
      </w:pPr>
    </w:p>
    <w:p w14:paraId="20D02BC2" w14:textId="29772C14" w:rsidR="003D11BB" w:rsidRDefault="006F3D3A" w:rsidP="007144CB">
      <w:pPr>
        <w:spacing w:after="0" w:line="240" w:lineRule="auto"/>
        <w:jc w:val="both"/>
        <w:rPr>
          <w:rFonts w:eastAsia="Times New Roman" w:cstheme="minorHAnsi"/>
          <w:lang w:eastAsia="en-GB"/>
        </w:rPr>
      </w:pPr>
      <w:r>
        <w:rPr>
          <w:rFonts w:eastAsia="Times New Roman" w:cstheme="minorHAnsi"/>
          <w:lang w:eastAsia="en-GB"/>
        </w:rPr>
        <w:t>For this reason, we consider</w:t>
      </w:r>
      <w:r w:rsidR="004645B0">
        <w:rPr>
          <w:rFonts w:eastAsia="Times New Roman" w:cstheme="minorHAnsi"/>
          <w:lang w:eastAsia="en-GB"/>
        </w:rPr>
        <w:t>ed</w:t>
      </w:r>
      <w:r>
        <w:rPr>
          <w:rFonts w:eastAsia="Times New Roman" w:cstheme="minorHAnsi"/>
          <w:lang w:eastAsia="en-GB"/>
        </w:rPr>
        <w:t xml:space="preserve"> a </w:t>
      </w:r>
      <w:r w:rsidRPr="00A60608">
        <w:rPr>
          <w:rFonts w:eastAsia="Times New Roman" w:cstheme="minorHAnsi"/>
          <w:i/>
          <w:lang w:eastAsia="en-GB"/>
        </w:rPr>
        <w:t>second scenario</w:t>
      </w:r>
      <w:r>
        <w:rPr>
          <w:rFonts w:eastAsia="Times New Roman" w:cstheme="minorHAnsi"/>
          <w:lang w:eastAsia="en-GB"/>
        </w:rPr>
        <w:t xml:space="preserve"> where we compute</w:t>
      </w:r>
      <w:r w:rsidR="00AD4592">
        <w:rPr>
          <w:rFonts w:eastAsia="Times New Roman" w:cstheme="minorHAnsi"/>
          <w:lang w:eastAsia="en-GB"/>
        </w:rPr>
        <w:t>d</w:t>
      </w:r>
      <w:r>
        <w:rPr>
          <w:rFonts w:eastAsia="Times New Roman" w:cstheme="minorHAnsi"/>
          <w:lang w:eastAsia="en-GB"/>
        </w:rPr>
        <w:t xml:space="preserve"> hypothetical costs and savings if practitioners had changed </w:t>
      </w:r>
      <w:r w:rsidRPr="004D7E57">
        <w:rPr>
          <w:rFonts w:eastAsia="Times New Roman" w:cstheme="minorHAnsi"/>
          <w:i/>
          <w:iCs/>
          <w:lang w:eastAsia="en-GB"/>
        </w:rPr>
        <w:t>all</w:t>
      </w:r>
      <w:r>
        <w:rPr>
          <w:rFonts w:eastAsia="Times New Roman" w:cstheme="minorHAnsi"/>
          <w:lang w:eastAsia="en-GB"/>
        </w:rPr>
        <w:t xml:space="preserve"> drug treatments to ones containing only </w:t>
      </w:r>
      <w:r w:rsidR="000271EC">
        <w:rPr>
          <w:rFonts w:eastAsia="Times New Roman" w:cstheme="minorHAnsi"/>
          <w:lang w:eastAsia="en-GB"/>
        </w:rPr>
        <w:t>simv</w:t>
      </w:r>
      <w:r>
        <w:rPr>
          <w:rFonts w:eastAsia="Times New Roman" w:cstheme="minorHAnsi"/>
          <w:lang w:eastAsia="en-GB"/>
        </w:rPr>
        <w:t>astatin (for those prior to</w:t>
      </w:r>
      <w:r w:rsidR="00D80C47">
        <w:rPr>
          <w:rFonts w:eastAsia="Times New Roman" w:cstheme="minorHAnsi"/>
          <w:lang w:eastAsia="en-GB"/>
        </w:rPr>
        <w:t xml:space="preserve"> May</w:t>
      </w:r>
      <w:r w:rsidR="000271EC">
        <w:rPr>
          <w:rFonts w:eastAsia="Times New Roman" w:cstheme="minorHAnsi"/>
          <w:lang w:eastAsia="en-GB"/>
        </w:rPr>
        <w:t xml:space="preserve"> 2012) and a</w:t>
      </w:r>
      <w:r>
        <w:rPr>
          <w:rFonts w:eastAsia="Times New Roman" w:cstheme="minorHAnsi"/>
          <w:lang w:eastAsia="en-GB"/>
        </w:rPr>
        <w:t>torvastatin (after</w:t>
      </w:r>
      <w:r w:rsidR="00D80C47">
        <w:rPr>
          <w:rFonts w:eastAsia="Times New Roman" w:cstheme="minorHAnsi"/>
          <w:lang w:eastAsia="en-GB"/>
        </w:rPr>
        <w:t xml:space="preserve"> May</w:t>
      </w:r>
      <w:r>
        <w:rPr>
          <w:rFonts w:eastAsia="Times New Roman" w:cstheme="minorHAnsi"/>
          <w:lang w:eastAsia="en-GB"/>
        </w:rPr>
        <w:t xml:space="preserve"> 2012) to </w:t>
      </w:r>
      <w:r w:rsidRPr="001252B8">
        <w:rPr>
          <w:rFonts w:eastAsia="Times New Roman" w:cstheme="minorHAnsi"/>
          <w:i/>
          <w:lang w:eastAsia="en-GB"/>
        </w:rPr>
        <w:t>all</w:t>
      </w:r>
      <w:r>
        <w:rPr>
          <w:rFonts w:eastAsia="Times New Roman" w:cstheme="minorHAnsi"/>
          <w:lang w:eastAsia="en-GB"/>
        </w:rPr>
        <w:t xml:space="preserve"> existing patients (that is, new and on-going patients). This second simulation can be considered an upper bound to the absolute savings under the </w:t>
      </w:r>
      <w:r w:rsidR="0032252C">
        <w:rPr>
          <w:rFonts w:eastAsia="Times New Roman" w:cstheme="minorHAnsi"/>
          <w:lang w:eastAsia="en-GB"/>
        </w:rPr>
        <w:t xml:space="preserve">strong </w:t>
      </w:r>
      <w:r>
        <w:rPr>
          <w:rFonts w:eastAsia="Times New Roman" w:cstheme="minorHAnsi"/>
          <w:lang w:eastAsia="en-GB"/>
        </w:rPr>
        <w:t xml:space="preserve">assumption that existing patients </w:t>
      </w:r>
      <w:r w:rsidR="0032252C">
        <w:rPr>
          <w:rFonts w:eastAsia="Times New Roman" w:cstheme="minorHAnsi"/>
          <w:lang w:eastAsia="en-GB"/>
        </w:rPr>
        <w:t>c</w:t>
      </w:r>
      <w:r w:rsidR="00AD4592">
        <w:rPr>
          <w:rFonts w:eastAsia="Times New Roman" w:cstheme="minorHAnsi"/>
          <w:lang w:eastAsia="en-GB"/>
        </w:rPr>
        <w:t>ould</w:t>
      </w:r>
      <w:r w:rsidR="0032252C">
        <w:rPr>
          <w:rFonts w:eastAsia="Times New Roman" w:cstheme="minorHAnsi"/>
          <w:lang w:eastAsia="en-GB"/>
        </w:rPr>
        <w:t xml:space="preserve"> be </w:t>
      </w:r>
      <w:r>
        <w:rPr>
          <w:rFonts w:eastAsia="Times New Roman" w:cstheme="minorHAnsi"/>
          <w:lang w:eastAsia="en-GB"/>
        </w:rPr>
        <w:t xml:space="preserve">immediately switched to the NICE-recommended treatments, regardless of any medical consideration, patient’s preference or professional decision that </w:t>
      </w:r>
      <w:r w:rsidR="00384A33">
        <w:rPr>
          <w:rFonts w:eastAsia="Times New Roman" w:cstheme="minorHAnsi"/>
          <w:lang w:eastAsia="en-GB"/>
        </w:rPr>
        <w:t>led</w:t>
      </w:r>
      <w:r>
        <w:rPr>
          <w:rFonts w:eastAsia="Times New Roman" w:cstheme="minorHAnsi"/>
          <w:lang w:eastAsia="en-GB"/>
        </w:rPr>
        <w:t xml:space="preserve"> to the observed prescription choices, and that indeed play a role when assigning treatments in </w:t>
      </w:r>
      <w:r w:rsidR="008E0C52">
        <w:rPr>
          <w:rFonts w:eastAsia="Times New Roman" w:cstheme="minorHAnsi"/>
          <w:lang w:eastAsia="en-GB"/>
        </w:rPr>
        <w:t xml:space="preserve">actual </w:t>
      </w:r>
      <w:r>
        <w:rPr>
          <w:rFonts w:eastAsia="Times New Roman" w:cstheme="minorHAnsi"/>
          <w:lang w:eastAsia="en-GB"/>
        </w:rPr>
        <w:t xml:space="preserve">clinical practice. </w:t>
      </w:r>
      <w:r w:rsidR="009E47DE">
        <w:rPr>
          <w:rFonts w:eastAsia="Times New Roman" w:cstheme="minorHAnsi"/>
          <w:lang w:eastAsia="en-GB"/>
        </w:rPr>
        <w:t xml:space="preserve">A detailed explanation of the methodology used for our cost simulation is presented in Appendix </w:t>
      </w:r>
      <w:r w:rsidR="002F796A">
        <w:rPr>
          <w:rFonts w:eastAsia="Times New Roman" w:cstheme="minorHAnsi"/>
          <w:lang w:eastAsia="en-GB"/>
        </w:rPr>
        <w:t>B</w:t>
      </w:r>
      <w:r w:rsidR="00C019C3">
        <w:rPr>
          <w:rFonts w:eastAsia="Times New Roman" w:cstheme="minorHAnsi"/>
          <w:lang w:eastAsia="en-GB"/>
        </w:rPr>
        <w:t xml:space="preserve">. </w:t>
      </w:r>
    </w:p>
    <w:p w14:paraId="5BE0475C" w14:textId="77777777" w:rsidR="00AA7DBA" w:rsidRDefault="00AA7DBA" w:rsidP="007144CB">
      <w:pPr>
        <w:autoSpaceDE w:val="0"/>
        <w:autoSpaceDN w:val="0"/>
        <w:adjustRightInd w:val="0"/>
        <w:spacing w:after="0" w:line="240" w:lineRule="auto"/>
        <w:jc w:val="both"/>
        <w:rPr>
          <w:rFonts w:cstheme="minorHAnsi"/>
          <w:color w:val="000000"/>
        </w:rPr>
      </w:pPr>
    </w:p>
    <w:p w14:paraId="1450098F" w14:textId="2BFF944F" w:rsidR="006F3D3A" w:rsidRDefault="006F3D3A" w:rsidP="007144CB">
      <w:pPr>
        <w:autoSpaceDE w:val="0"/>
        <w:autoSpaceDN w:val="0"/>
        <w:adjustRightInd w:val="0"/>
        <w:spacing w:after="0" w:line="240" w:lineRule="auto"/>
        <w:jc w:val="both"/>
        <w:rPr>
          <w:rFonts w:cstheme="minorHAnsi"/>
          <w:b/>
          <w:bCs/>
          <w:color w:val="000000"/>
        </w:rPr>
      </w:pPr>
      <w:r w:rsidRPr="005A2F6B">
        <w:rPr>
          <w:rFonts w:cstheme="minorHAnsi"/>
          <w:b/>
          <w:bCs/>
          <w:color w:val="000000"/>
        </w:rPr>
        <w:t>RESULTS</w:t>
      </w:r>
    </w:p>
    <w:p w14:paraId="2DF31480" w14:textId="77777777" w:rsidR="002316E3" w:rsidRPr="005A2F6B" w:rsidRDefault="002316E3" w:rsidP="007144CB">
      <w:pPr>
        <w:autoSpaceDE w:val="0"/>
        <w:autoSpaceDN w:val="0"/>
        <w:adjustRightInd w:val="0"/>
        <w:spacing w:after="0" w:line="240" w:lineRule="auto"/>
        <w:jc w:val="both"/>
        <w:rPr>
          <w:rFonts w:cstheme="minorHAnsi"/>
          <w:b/>
          <w:bCs/>
          <w:color w:val="000000"/>
        </w:rPr>
      </w:pPr>
    </w:p>
    <w:p w14:paraId="658F04A9" w14:textId="0B9E1CB8" w:rsidR="002246BC" w:rsidRDefault="00F82652" w:rsidP="007144CB">
      <w:pPr>
        <w:autoSpaceDE w:val="0"/>
        <w:autoSpaceDN w:val="0"/>
        <w:adjustRightInd w:val="0"/>
        <w:spacing w:after="0" w:line="240" w:lineRule="auto"/>
        <w:jc w:val="both"/>
        <w:rPr>
          <w:rFonts w:cstheme="minorHAnsi"/>
          <w:b/>
          <w:color w:val="000000"/>
        </w:rPr>
      </w:pPr>
      <w:r w:rsidRPr="008B087A">
        <w:rPr>
          <w:rFonts w:cstheme="minorHAnsi"/>
          <w:b/>
          <w:color w:val="000000"/>
        </w:rPr>
        <w:t xml:space="preserve">Trends </w:t>
      </w:r>
      <w:r w:rsidR="004A7352">
        <w:rPr>
          <w:rFonts w:cstheme="minorHAnsi"/>
          <w:b/>
          <w:color w:val="000000"/>
        </w:rPr>
        <w:t>in</w:t>
      </w:r>
      <w:r w:rsidR="002E3199" w:rsidRPr="008B087A">
        <w:rPr>
          <w:rFonts w:cstheme="minorHAnsi"/>
          <w:b/>
          <w:color w:val="000000"/>
        </w:rPr>
        <w:t xml:space="preserve"> </w:t>
      </w:r>
      <w:r w:rsidR="007348B1" w:rsidRPr="008B087A">
        <w:rPr>
          <w:rFonts w:cstheme="minorHAnsi"/>
          <w:b/>
          <w:color w:val="000000"/>
        </w:rPr>
        <w:t>Prescription</w:t>
      </w:r>
      <w:r w:rsidR="00E26B0A">
        <w:rPr>
          <w:rFonts w:cstheme="minorHAnsi"/>
          <w:b/>
          <w:color w:val="000000"/>
        </w:rPr>
        <w:t xml:space="preserve"> and Price</w:t>
      </w:r>
    </w:p>
    <w:p w14:paraId="76F862E5" w14:textId="163D1C3A" w:rsidR="00491CCE" w:rsidRDefault="003559CA" w:rsidP="007144CB">
      <w:pPr>
        <w:spacing w:after="0" w:line="240" w:lineRule="auto"/>
        <w:jc w:val="both"/>
        <w:rPr>
          <w:rFonts w:eastAsia="Times New Roman" w:cstheme="minorHAnsi"/>
          <w:vanish/>
          <w:lang w:eastAsia="en-GB"/>
        </w:rPr>
      </w:pPr>
      <w:r>
        <w:rPr>
          <w:rFonts w:eastAsia="Times New Roman" w:cstheme="minorHAnsi"/>
          <w:lang w:eastAsia="en-GB"/>
        </w:rPr>
        <w:t>Figure 1, panel</w:t>
      </w:r>
      <w:r w:rsidR="00591AE6">
        <w:rPr>
          <w:rFonts w:eastAsia="Times New Roman" w:cstheme="minorHAnsi"/>
          <w:lang w:eastAsia="en-GB"/>
        </w:rPr>
        <w:t xml:space="preserve"> </w:t>
      </w:r>
      <w:r>
        <w:rPr>
          <w:rFonts w:eastAsia="Times New Roman" w:cstheme="minorHAnsi"/>
          <w:lang w:eastAsia="en-GB"/>
        </w:rPr>
        <w:t>(a) plots the evolution of the market shares for new patients starting treatment with statins between 2004 and 2018</w:t>
      </w:r>
      <w:r w:rsidR="00B806DF">
        <w:rPr>
          <w:rFonts w:eastAsia="Times New Roman" w:cstheme="minorHAnsi"/>
          <w:lang w:eastAsia="en-GB"/>
        </w:rPr>
        <w:t>, using data from the RCGP R&amp;SC database</w:t>
      </w:r>
      <w:r>
        <w:rPr>
          <w:rFonts w:eastAsia="Times New Roman" w:cstheme="minorHAnsi"/>
          <w:lang w:eastAsia="en-GB"/>
        </w:rPr>
        <w:t>.</w:t>
      </w:r>
      <w:r w:rsidR="00B806DF">
        <w:rPr>
          <w:rFonts w:eastAsia="Times New Roman" w:cstheme="minorHAnsi"/>
          <w:lang w:eastAsia="en-GB"/>
        </w:rPr>
        <w:t xml:space="preserve"> </w:t>
      </w:r>
      <w:r>
        <w:rPr>
          <w:rFonts w:eastAsia="Times New Roman" w:cstheme="minorHAnsi"/>
          <w:lang w:eastAsia="en-GB"/>
        </w:rPr>
        <w:t>In th</w:t>
      </w:r>
      <w:r w:rsidR="00B806DF">
        <w:rPr>
          <w:rFonts w:eastAsia="Times New Roman" w:cstheme="minorHAnsi"/>
          <w:lang w:eastAsia="en-GB"/>
        </w:rPr>
        <w:t>e time window considered</w:t>
      </w:r>
      <w:r>
        <w:rPr>
          <w:rFonts w:eastAsia="Times New Roman" w:cstheme="minorHAnsi"/>
          <w:lang w:eastAsia="en-GB"/>
        </w:rPr>
        <w:t xml:space="preserve">, </w:t>
      </w:r>
      <w:r w:rsidR="000271EC">
        <w:rPr>
          <w:rFonts w:eastAsia="Times New Roman" w:cstheme="minorHAnsi"/>
          <w:lang w:eastAsia="en-GB"/>
        </w:rPr>
        <w:t>s</w:t>
      </w:r>
      <w:r w:rsidR="008D1D69" w:rsidRPr="00EC75D7">
        <w:rPr>
          <w:rFonts w:eastAsia="Times New Roman" w:cstheme="minorHAnsi"/>
          <w:lang w:eastAsia="en-GB"/>
        </w:rPr>
        <w:t>imva</w:t>
      </w:r>
      <w:r w:rsidR="008D1D69">
        <w:rPr>
          <w:rFonts w:eastAsia="Times New Roman" w:cstheme="minorHAnsi"/>
          <w:lang w:eastAsia="en-GB"/>
        </w:rPr>
        <w:t>statin</w:t>
      </w:r>
      <w:r w:rsidR="008D1D69" w:rsidRPr="00EC75D7">
        <w:rPr>
          <w:rFonts w:eastAsia="Times New Roman" w:cstheme="minorHAnsi"/>
          <w:lang w:eastAsia="en-GB"/>
        </w:rPr>
        <w:t xml:space="preserve"> and </w:t>
      </w:r>
      <w:r w:rsidR="00532E7B">
        <w:rPr>
          <w:rFonts w:eastAsia="Times New Roman" w:cstheme="minorHAnsi"/>
          <w:lang w:eastAsia="en-GB"/>
        </w:rPr>
        <w:t>a</w:t>
      </w:r>
      <w:r w:rsidR="008D1D69" w:rsidRPr="00EC75D7">
        <w:rPr>
          <w:rFonts w:eastAsia="Times New Roman" w:cstheme="minorHAnsi"/>
          <w:lang w:eastAsia="en-GB"/>
        </w:rPr>
        <w:t>torva</w:t>
      </w:r>
      <w:r w:rsidR="008D1D69">
        <w:rPr>
          <w:rFonts w:eastAsia="Times New Roman" w:cstheme="minorHAnsi"/>
          <w:lang w:eastAsia="en-GB"/>
        </w:rPr>
        <w:t>statin</w:t>
      </w:r>
      <w:r w:rsidR="008D1D69" w:rsidRPr="00EC75D7">
        <w:rPr>
          <w:rFonts w:eastAsia="Times New Roman" w:cstheme="minorHAnsi"/>
          <w:lang w:eastAsia="en-GB"/>
        </w:rPr>
        <w:t xml:space="preserve"> </w:t>
      </w:r>
      <w:r w:rsidR="007449F8">
        <w:rPr>
          <w:rFonts w:eastAsia="Times New Roman" w:cstheme="minorHAnsi"/>
          <w:lang w:eastAsia="en-GB"/>
        </w:rPr>
        <w:t>we</w:t>
      </w:r>
      <w:r w:rsidR="008D1D69" w:rsidRPr="00EC75D7">
        <w:rPr>
          <w:rFonts w:eastAsia="Times New Roman" w:cstheme="minorHAnsi"/>
          <w:lang w:eastAsia="en-GB"/>
        </w:rPr>
        <w:t>re</w:t>
      </w:r>
      <w:r w:rsidR="00F1598C">
        <w:rPr>
          <w:rFonts w:eastAsia="Times New Roman" w:cstheme="minorHAnsi"/>
          <w:lang w:eastAsia="en-GB"/>
        </w:rPr>
        <w:t xml:space="preserve"> </w:t>
      </w:r>
      <w:r w:rsidR="008D1D69" w:rsidRPr="00EC75D7">
        <w:rPr>
          <w:rFonts w:eastAsia="Times New Roman" w:cstheme="minorHAnsi"/>
          <w:lang w:eastAsia="en-GB"/>
        </w:rPr>
        <w:t xml:space="preserve">the </w:t>
      </w:r>
      <w:r w:rsidR="007449F8">
        <w:rPr>
          <w:rFonts w:eastAsia="Times New Roman" w:cstheme="minorHAnsi"/>
          <w:lang w:eastAsia="en-GB"/>
        </w:rPr>
        <w:t xml:space="preserve">most </w:t>
      </w:r>
      <w:r w:rsidR="00A45733">
        <w:rPr>
          <w:rFonts w:eastAsia="Times New Roman" w:cstheme="minorHAnsi"/>
          <w:lang w:eastAsia="en-GB"/>
        </w:rPr>
        <w:t>frequently</w:t>
      </w:r>
      <w:r w:rsidR="007449F8">
        <w:rPr>
          <w:rFonts w:eastAsia="Times New Roman" w:cstheme="minorHAnsi"/>
          <w:lang w:eastAsia="en-GB"/>
        </w:rPr>
        <w:t xml:space="preserve"> prescribed</w:t>
      </w:r>
      <w:r w:rsidR="008D1D69" w:rsidRPr="00EC75D7">
        <w:rPr>
          <w:rFonts w:eastAsia="Times New Roman" w:cstheme="minorHAnsi"/>
          <w:lang w:eastAsia="en-GB"/>
        </w:rPr>
        <w:t xml:space="preserve"> among the five </w:t>
      </w:r>
      <w:r w:rsidR="008D1D69">
        <w:rPr>
          <w:rFonts w:eastAsia="Times New Roman" w:cstheme="minorHAnsi"/>
          <w:lang w:eastAsia="en-GB"/>
        </w:rPr>
        <w:t>statin</w:t>
      </w:r>
      <w:r w:rsidR="007449F8">
        <w:rPr>
          <w:rFonts w:eastAsia="Times New Roman" w:cstheme="minorHAnsi"/>
          <w:lang w:eastAsia="en-GB"/>
        </w:rPr>
        <w:t>s</w:t>
      </w:r>
      <w:r w:rsidR="00B806DF">
        <w:rPr>
          <w:rFonts w:eastAsia="Times New Roman" w:cstheme="minorHAnsi"/>
          <w:lang w:eastAsia="en-GB"/>
        </w:rPr>
        <w:t>,</w:t>
      </w:r>
      <w:r w:rsidR="008D1D69" w:rsidRPr="00EC75D7">
        <w:rPr>
          <w:rFonts w:eastAsia="Times New Roman" w:cstheme="minorHAnsi"/>
          <w:lang w:eastAsia="en-GB"/>
        </w:rPr>
        <w:t xml:space="preserve"> represent</w:t>
      </w:r>
      <w:r w:rsidR="00F1598C">
        <w:rPr>
          <w:rFonts w:eastAsia="Times New Roman" w:cstheme="minorHAnsi"/>
          <w:lang w:eastAsia="en-GB"/>
        </w:rPr>
        <w:t xml:space="preserve">ing </w:t>
      </w:r>
      <w:r w:rsidR="007449F8">
        <w:rPr>
          <w:rFonts w:eastAsia="Times New Roman" w:cstheme="minorHAnsi"/>
          <w:lang w:eastAsia="en-GB"/>
        </w:rPr>
        <w:t>approximately</w:t>
      </w:r>
      <w:r w:rsidR="008D1D69" w:rsidRPr="00EC75D7">
        <w:rPr>
          <w:rFonts w:eastAsia="Times New Roman" w:cstheme="minorHAnsi"/>
          <w:lang w:eastAsia="en-GB"/>
        </w:rPr>
        <w:t xml:space="preserve"> 96% of all initial prescriptions</w:t>
      </w:r>
      <w:r w:rsidR="008E7C5F">
        <w:rPr>
          <w:rFonts w:eastAsia="Times New Roman" w:cstheme="minorHAnsi"/>
          <w:lang w:eastAsia="en-GB"/>
        </w:rPr>
        <w:t xml:space="preserve">. </w:t>
      </w:r>
      <w:r w:rsidR="002421D4">
        <w:rPr>
          <w:rFonts w:eastAsia="Times New Roman" w:cstheme="minorHAnsi"/>
          <w:lang w:eastAsia="en-GB"/>
        </w:rPr>
        <w:t>The</w:t>
      </w:r>
      <w:r w:rsidR="008E7C5F">
        <w:rPr>
          <w:rFonts w:eastAsia="Times New Roman" w:cstheme="minorHAnsi"/>
          <w:lang w:eastAsia="en-GB"/>
        </w:rPr>
        <w:t xml:space="preserve"> dominance </w:t>
      </w:r>
      <w:r w:rsidR="002421D4">
        <w:rPr>
          <w:rFonts w:eastAsia="Times New Roman" w:cstheme="minorHAnsi"/>
          <w:lang w:eastAsia="en-GB"/>
        </w:rPr>
        <w:t>of</w:t>
      </w:r>
      <w:r w:rsidR="008E7C5F">
        <w:rPr>
          <w:rFonts w:eastAsia="Times New Roman" w:cstheme="minorHAnsi"/>
          <w:lang w:eastAsia="en-GB"/>
        </w:rPr>
        <w:t xml:space="preserve"> these two </w:t>
      </w:r>
      <w:r w:rsidR="002421D4">
        <w:rPr>
          <w:rFonts w:eastAsia="Times New Roman" w:cstheme="minorHAnsi"/>
          <w:lang w:eastAsia="en-GB"/>
        </w:rPr>
        <w:t>drugs</w:t>
      </w:r>
      <w:r w:rsidR="008E7C5F">
        <w:rPr>
          <w:rFonts w:eastAsia="Times New Roman" w:cstheme="minorHAnsi"/>
          <w:lang w:eastAsia="en-GB"/>
        </w:rPr>
        <w:t xml:space="preserve"> </w:t>
      </w:r>
      <w:r w:rsidR="002421D4">
        <w:rPr>
          <w:rFonts w:eastAsia="Times New Roman" w:cstheme="minorHAnsi"/>
          <w:lang w:eastAsia="en-GB"/>
        </w:rPr>
        <w:t xml:space="preserve">in treating CVDs in primary care </w:t>
      </w:r>
      <w:r w:rsidR="008E7C5F">
        <w:rPr>
          <w:rFonts w:eastAsia="Times New Roman" w:cstheme="minorHAnsi"/>
          <w:lang w:eastAsia="en-GB"/>
        </w:rPr>
        <w:t xml:space="preserve">resulted in the evolution of their shares </w:t>
      </w:r>
      <w:r w:rsidR="002421D4">
        <w:rPr>
          <w:rFonts w:eastAsia="Times New Roman" w:cstheme="minorHAnsi"/>
          <w:lang w:eastAsia="en-GB"/>
        </w:rPr>
        <w:t xml:space="preserve">following </w:t>
      </w:r>
      <w:r w:rsidR="008E7C5F">
        <w:rPr>
          <w:rFonts w:eastAsia="Times New Roman" w:cstheme="minorHAnsi"/>
          <w:lang w:eastAsia="en-GB"/>
        </w:rPr>
        <w:t xml:space="preserve">mirror image </w:t>
      </w:r>
      <w:r w:rsidR="002421D4">
        <w:rPr>
          <w:rFonts w:eastAsia="Times New Roman" w:cstheme="minorHAnsi"/>
          <w:lang w:eastAsia="en-GB"/>
        </w:rPr>
        <w:t xml:space="preserve">patterns. </w:t>
      </w:r>
      <w:r w:rsidR="00491CCE">
        <w:rPr>
          <w:rFonts w:eastAsia="Times New Roman" w:cstheme="minorHAnsi"/>
          <w:lang w:eastAsia="en-GB"/>
        </w:rPr>
        <w:t xml:space="preserve"> </w:t>
      </w:r>
    </w:p>
    <w:p w14:paraId="7D3DC37C" w14:textId="77777777" w:rsidR="008C1465" w:rsidRPr="00EC75D7" w:rsidRDefault="008C1465" w:rsidP="007144CB">
      <w:pPr>
        <w:spacing w:after="0" w:line="240" w:lineRule="auto"/>
        <w:jc w:val="both"/>
        <w:rPr>
          <w:rFonts w:eastAsia="Times New Roman" w:cstheme="minorHAnsi"/>
          <w:vanish/>
          <w:lang w:eastAsia="en-GB"/>
        </w:rPr>
      </w:pPr>
    </w:p>
    <w:p w14:paraId="43E2806F" w14:textId="6D034875" w:rsidR="00B7146B" w:rsidRDefault="00B7146B" w:rsidP="007144CB">
      <w:pPr>
        <w:spacing w:after="0" w:line="240" w:lineRule="auto"/>
        <w:jc w:val="both"/>
        <w:rPr>
          <w:rFonts w:eastAsia="Times New Roman" w:cstheme="minorHAnsi"/>
          <w:lang w:eastAsia="en-GB"/>
        </w:rPr>
      </w:pPr>
      <w:r>
        <w:rPr>
          <w:rFonts w:eastAsia="Times New Roman" w:cstheme="minorHAnsi"/>
          <w:lang w:eastAsia="en-GB"/>
        </w:rPr>
        <w:t xml:space="preserve">The </w:t>
      </w:r>
      <w:r w:rsidRPr="00EC75D7">
        <w:rPr>
          <w:rFonts w:eastAsia="Times New Roman" w:cstheme="minorHAnsi"/>
          <w:lang w:eastAsia="en-GB"/>
        </w:rPr>
        <w:t>share</w:t>
      </w:r>
      <w:r>
        <w:rPr>
          <w:rFonts w:eastAsia="Times New Roman" w:cstheme="minorHAnsi"/>
          <w:lang w:eastAsia="en-GB"/>
        </w:rPr>
        <w:t xml:space="preserve"> of s</w:t>
      </w:r>
      <w:r w:rsidRPr="00EC75D7">
        <w:rPr>
          <w:rFonts w:eastAsia="Times New Roman" w:cstheme="minorHAnsi"/>
          <w:lang w:eastAsia="en-GB"/>
        </w:rPr>
        <w:t>imva</w:t>
      </w:r>
      <w:r>
        <w:rPr>
          <w:rFonts w:eastAsia="Times New Roman" w:cstheme="minorHAnsi"/>
          <w:lang w:eastAsia="en-GB"/>
        </w:rPr>
        <w:t>statin</w:t>
      </w:r>
      <w:r w:rsidRPr="00EC75D7">
        <w:rPr>
          <w:rFonts w:eastAsia="Times New Roman" w:cstheme="minorHAnsi"/>
          <w:lang w:eastAsia="en-GB"/>
        </w:rPr>
        <w:t xml:space="preserve"> increase</w:t>
      </w:r>
      <w:r>
        <w:rPr>
          <w:rFonts w:eastAsia="Times New Roman" w:cstheme="minorHAnsi"/>
          <w:lang w:eastAsia="en-GB"/>
        </w:rPr>
        <w:t>d</w:t>
      </w:r>
      <w:r w:rsidRPr="00EC75D7">
        <w:rPr>
          <w:rFonts w:eastAsia="Times New Roman" w:cstheme="minorHAnsi"/>
          <w:lang w:eastAsia="en-GB"/>
        </w:rPr>
        <w:t xml:space="preserve"> rapidly after its patent exp</w:t>
      </w:r>
      <w:r w:rsidRPr="008B087A">
        <w:rPr>
          <w:rFonts w:eastAsia="Times New Roman" w:cstheme="minorHAnsi"/>
          <w:lang w:eastAsia="en-GB"/>
        </w:rPr>
        <w:t>iration in 2003</w:t>
      </w:r>
      <w:r>
        <w:rPr>
          <w:rFonts w:eastAsia="Times New Roman" w:cstheme="minorHAnsi"/>
          <w:lang w:eastAsia="en-GB"/>
        </w:rPr>
        <w:t xml:space="preserve">, from around 50% to more than 90% in May 2008, when NICE published CG-67. While this guideline explicitly recommended simvastatin for treatment initiation, the percentage of new patients prescribed simvastatin stayed constant </w:t>
      </w:r>
      <w:r w:rsidR="008E7C5F">
        <w:rPr>
          <w:rFonts w:eastAsia="Times New Roman" w:cstheme="minorHAnsi"/>
          <w:lang w:eastAsia="en-GB"/>
        </w:rPr>
        <w:t xml:space="preserve">over the next four years up to May 2012, </w:t>
      </w:r>
      <w:r>
        <w:rPr>
          <w:rFonts w:eastAsia="Times New Roman" w:cstheme="minorHAnsi"/>
          <w:lang w:eastAsia="en-GB"/>
        </w:rPr>
        <w:t xml:space="preserve">and, if anything, </w:t>
      </w:r>
      <w:r w:rsidR="008E7C5F">
        <w:rPr>
          <w:rFonts w:eastAsia="Times New Roman" w:cstheme="minorHAnsi"/>
          <w:lang w:eastAsia="en-GB"/>
        </w:rPr>
        <w:t xml:space="preserve">slightly </w:t>
      </w:r>
      <w:r>
        <w:rPr>
          <w:rFonts w:eastAsia="Times New Roman" w:cstheme="minorHAnsi"/>
          <w:lang w:eastAsia="en-GB"/>
        </w:rPr>
        <w:t xml:space="preserve">decreased. We </w:t>
      </w:r>
      <w:r w:rsidR="00313D60">
        <w:rPr>
          <w:rFonts w:eastAsia="Times New Roman" w:cstheme="minorHAnsi"/>
          <w:lang w:eastAsia="en-GB"/>
        </w:rPr>
        <w:t xml:space="preserve">also </w:t>
      </w:r>
      <w:r>
        <w:rPr>
          <w:rFonts w:eastAsia="Times New Roman" w:cstheme="minorHAnsi"/>
          <w:lang w:eastAsia="en-GB"/>
        </w:rPr>
        <w:t xml:space="preserve">note that the introduction of TA-94 in 2006 </w:t>
      </w:r>
      <w:r w:rsidR="008E7C5F">
        <w:rPr>
          <w:rFonts w:eastAsia="Times New Roman" w:cstheme="minorHAnsi"/>
          <w:lang w:eastAsia="en-GB"/>
        </w:rPr>
        <w:t>failed</w:t>
      </w:r>
      <w:r w:rsidR="00313D60">
        <w:rPr>
          <w:rFonts w:eastAsia="Times New Roman" w:cstheme="minorHAnsi"/>
          <w:lang w:eastAsia="en-GB"/>
        </w:rPr>
        <w:t xml:space="preserve"> to</w:t>
      </w:r>
      <w:r>
        <w:rPr>
          <w:rFonts w:eastAsia="Times New Roman" w:cstheme="minorHAnsi"/>
          <w:lang w:eastAsia="en-GB"/>
        </w:rPr>
        <w:t xml:space="preserve"> accelerate the uptake of simvastatin. </w:t>
      </w:r>
      <w:r w:rsidR="008E7C5F">
        <w:rPr>
          <w:rFonts w:eastAsia="Times New Roman" w:cstheme="minorHAnsi"/>
          <w:lang w:eastAsia="en-GB"/>
        </w:rPr>
        <w:t>Upon</w:t>
      </w:r>
      <w:r>
        <w:rPr>
          <w:rFonts w:eastAsia="Times New Roman" w:cstheme="minorHAnsi"/>
          <w:lang w:eastAsia="en-GB"/>
        </w:rPr>
        <w:t xml:space="preserve"> atorvastatin</w:t>
      </w:r>
      <w:r w:rsidR="008E7C5F">
        <w:rPr>
          <w:rFonts w:eastAsia="Times New Roman" w:cstheme="minorHAnsi"/>
          <w:lang w:eastAsia="en-GB"/>
        </w:rPr>
        <w:t xml:space="preserve">’s </w:t>
      </w:r>
      <w:r>
        <w:rPr>
          <w:rFonts w:eastAsia="Times New Roman" w:cstheme="minorHAnsi"/>
          <w:lang w:eastAsia="en-GB"/>
        </w:rPr>
        <w:t xml:space="preserve">patent protection </w:t>
      </w:r>
      <w:r w:rsidR="008E7C5F">
        <w:rPr>
          <w:rFonts w:eastAsia="Times New Roman" w:cstheme="minorHAnsi"/>
          <w:lang w:eastAsia="en-GB"/>
        </w:rPr>
        <w:t xml:space="preserve">expiration </w:t>
      </w:r>
      <w:r>
        <w:rPr>
          <w:rFonts w:eastAsia="Times New Roman" w:cstheme="minorHAnsi"/>
          <w:lang w:eastAsia="en-GB"/>
        </w:rPr>
        <w:t xml:space="preserve">in May 2012, simvastatin’s share started decreasing steadily </w:t>
      </w:r>
      <w:r w:rsidRPr="00EC75D7">
        <w:rPr>
          <w:rFonts w:eastAsia="Times New Roman" w:cstheme="minorHAnsi"/>
          <w:lang w:eastAsia="en-GB"/>
        </w:rPr>
        <w:t xml:space="preserve">from </w:t>
      </w:r>
      <w:r>
        <w:rPr>
          <w:rFonts w:eastAsia="Times New Roman" w:cstheme="minorHAnsi"/>
          <w:lang w:eastAsia="en-GB"/>
        </w:rPr>
        <w:t>around 85</w:t>
      </w:r>
      <w:r w:rsidRPr="008B087A">
        <w:rPr>
          <w:rFonts w:eastAsia="Times New Roman" w:cstheme="minorHAnsi"/>
          <w:lang w:eastAsia="en-GB"/>
        </w:rPr>
        <w:t xml:space="preserve">% </w:t>
      </w:r>
      <w:r w:rsidRPr="00EC75D7">
        <w:rPr>
          <w:rFonts w:eastAsia="Times New Roman" w:cstheme="minorHAnsi"/>
          <w:lang w:eastAsia="en-GB"/>
        </w:rPr>
        <w:t>in 2012</w:t>
      </w:r>
      <w:r>
        <w:rPr>
          <w:rFonts w:eastAsia="Times New Roman" w:cstheme="minorHAnsi"/>
          <w:lang w:eastAsia="en-GB"/>
        </w:rPr>
        <w:t xml:space="preserve"> to around 10% in 2018. Once again, the publication of CG-181 in 2014, updating the recommendation for treatment initiation to atorvastatin, </w:t>
      </w:r>
      <w:r w:rsidR="008E7C5F">
        <w:rPr>
          <w:rFonts w:eastAsia="Times New Roman" w:cstheme="minorHAnsi"/>
          <w:lang w:eastAsia="en-GB"/>
        </w:rPr>
        <w:t xml:space="preserve">had minimal </w:t>
      </w:r>
      <w:r>
        <w:rPr>
          <w:rFonts w:eastAsia="Times New Roman" w:cstheme="minorHAnsi"/>
          <w:lang w:eastAsia="en-GB"/>
        </w:rPr>
        <w:t>effect in speeding up the</w:t>
      </w:r>
      <w:r w:rsidR="00313D60">
        <w:rPr>
          <w:rFonts w:eastAsia="Times New Roman" w:cstheme="minorHAnsi"/>
          <w:lang w:eastAsia="en-GB"/>
        </w:rPr>
        <w:t xml:space="preserve"> declining trend of simvastatin</w:t>
      </w:r>
      <w:r>
        <w:rPr>
          <w:rFonts w:eastAsia="Times New Roman" w:cstheme="minorHAnsi"/>
          <w:lang w:eastAsia="en-GB"/>
        </w:rPr>
        <w:t xml:space="preserve">. </w:t>
      </w:r>
    </w:p>
    <w:p w14:paraId="6EC4C2E2" w14:textId="27BBA10A" w:rsidR="00B76D8B" w:rsidRDefault="00B76D8B" w:rsidP="007144CB">
      <w:pPr>
        <w:spacing w:after="0" w:line="240" w:lineRule="auto"/>
        <w:jc w:val="both"/>
        <w:rPr>
          <w:rFonts w:eastAsia="Times New Roman" w:cstheme="minorHAnsi"/>
          <w:lang w:eastAsia="en-GB"/>
        </w:rPr>
      </w:pPr>
    </w:p>
    <w:p w14:paraId="313C7AC0" w14:textId="77777777" w:rsidR="004820EE" w:rsidRDefault="004820EE" w:rsidP="007144CB">
      <w:pPr>
        <w:spacing w:after="0" w:line="240" w:lineRule="auto"/>
        <w:jc w:val="both"/>
        <w:rPr>
          <w:rFonts w:eastAsia="Times New Roman" w:cstheme="minorHAnsi"/>
          <w:lang w:eastAsia="en-GB"/>
        </w:rPr>
      </w:pPr>
      <w:r w:rsidRPr="0058499E">
        <w:rPr>
          <w:rFonts w:eastAsia="Times New Roman" w:cstheme="minorHAnsi"/>
          <w:lang w:eastAsia="en-GB"/>
        </w:rPr>
        <w:t xml:space="preserve">Figure </w:t>
      </w:r>
      <w:r w:rsidRPr="008B087A">
        <w:rPr>
          <w:rFonts w:eastAsia="Times New Roman" w:cstheme="minorHAnsi"/>
          <w:lang w:eastAsia="en-GB"/>
        </w:rPr>
        <w:t>1, panel (b)</w:t>
      </w:r>
      <w:r>
        <w:rPr>
          <w:rFonts w:eastAsia="Times New Roman" w:cstheme="minorHAnsi"/>
          <w:lang w:eastAsia="en-GB"/>
        </w:rPr>
        <w:t xml:space="preserve"> shows the average acquisition costs </w:t>
      </w:r>
      <w:r w:rsidRPr="0058499E">
        <w:rPr>
          <w:rFonts w:eastAsia="Times New Roman" w:cstheme="minorHAnsi"/>
          <w:lang w:eastAsia="en-GB"/>
        </w:rPr>
        <w:t xml:space="preserve">per daily-defined-dose of each </w:t>
      </w:r>
      <w:r>
        <w:rPr>
          <w:rFonts w:eastAsia="Times New Roman" w:cstheme="minorHAnsi"/>
          <w:lang w:eastAsia="en-GB"/>
        </w:rPr>
        <w:t>Statin</w:t>
      </w:r>
      <w:r w:rsidRPr="0058499E">
        <w:rPr>
          <w:rFonts w:eastAsia="Times New Roman" w:cstheme="minorHAnsi"/>
          <w:lang w:eastAsia="en-GB"/>
        </w:rPr>
        <w:t xml:space="preserve"> over time</w:t>
      </w:r>
      <w:r>
        <w:rPr>
          <w:rFonts w:eastAsia="Times New Roman" w:cstheme="minorHAnsi"/>
          <w:lang w:eastAsia="en-GB"/>
        </w:rPr>
        <w:t>. The figure makes apparent the large drop in the acquisition cost of simvastatin soon after patent expiration of Zocor</w:t>
      </w:r>
      <w:r w:rsidRPr="0058499E">
        <w:rPr>
          <w:rFonts w:eastAsia="Times New Roman" w:cstheme="minorHAnsi"/>
          <w:lang w:eastAsia="en-GB"/>
        </w:rPr>
        <w:t>.</w:t>
      </w:r>
      <w:r>
        <w:rPr>
          <w:rFonts w:eastAsia="Times New Roman" w:cstheme="minorHAnsi"/>
          <w:lang w:eastAsia="en-GB"/>
        </w:rPr>
        <w:fldChar w:fldCharType="begin"/>
      </w:r>
      <w:r>
        <w:rPr>
          <w:rFonts w:eastAsia="Times New Roman" w:cstheme="minorHAnsi"/>
          <w:lang w:eastAsia="en-GB"/>
        </w:rPr>
        <w:instrText xml:space="preserve"> ADDIN ZOTERO_ITEM CSL_CITATION {"citationID":"ZxkGIyMB","properties":{"formattedCitation":"\\super 21\\nosupersub{}","plainCitation":"21","noteIndex":0},"citationItems":[{"id":180,"uris":["http://zotero.org/users/4387520/items/CIIIPBE3"],"uri":["http://zotero.org/users/4387520/items/CIIIPBE3"],"itemData":{"id":180,"type":"webpage","abstract":"Medicinal product regulation and product liability in the UK (England and Wales): overview | Practical Law","container-title":"Practical Law","language":"en-GB","title":"Medicinal product regulation and product liability in the UK (England and Wales): overview","title-short":"Medicinal product regulation and product liability in the UK (England and Wales)","URL":"http://uk.practicallaw.thomsonreuters.com/3-500-9763?transitionType=Default&amp;contextData=(sc.Default)&amp;firstPage=true&amp;bhcp=1","accessed":{"date-parts":[["2021",4,23]]}}}],"schema":"https://github.com/citation-style-language/schema/raw/master/csl-citation.json"} </w:instrText>
      </w:r>
      <w:r>
        <w:rPr>
          <w:rFonts w:eastAsia="Times New Roman" w:cstheme="minorHAnsi"/>
          <w:lang w:eastAsia="en-GB"/>
        </w:rPr>
        <w:fldChar w:fldCharType="separate"/>
      </w:r>
      <w:r w:rsidRPr="002A6D5F">
        <w:rPr>
          <w:rFonts w:ascii="Calibri" w:hAnsi="Calibri" w:cs="Calibri"/>
          <w:szCs w:val="24"/>
          <w:vertAlign w:val="superscript"/>
        </w:rPr>
        <w:t>21</w:t>
      </w:r>
      <w:r>
        <w:rPr>
          <w:rFonts w:eastAsia="Times New Roman" w:cstheme="minorHAnsi"/>
          <w:lang w:eastAsia="en-GB"/>
        </w:rPr>
        <w:fldChar w:fldCharType="end"/>
      </w:r>
      <w:r>
        <w:rPr>
          <w:rFonts w:cstheme="minorHAnsi"/>
          <w:color w:val="000000"/>
        </w:rPr>
        <w:t xml:space="preserve"> Similarly, for atorvastatin a sharp drop in </w:t>
      </w:r>
      <w:r w:rsidRPr="0058499E">
        <w:rPr>
          <w:rFonts w:eastAsia="Times New Roman" w:cstheme="minorHAnsi"/>
          <w:lang w:eastAsia="en-GB"/>
        </w:rPr>
        <w:t>acquisition cos</w:t>
      </w:r>
      <w:r>
        <w:rPr>
          <w:rFonts w:eastAsia="Times New Roman" w:cstheme="minorHAnsi"/>
          <w:lang w:eastAsia="en-GB"/>
        </w:rPr>
        <w:t>t (</w:t>
      </w:r>
      <w:r w:rsidRPr="008B087A">
        <w:rPr>
          <w:rFonts w:cstheme="minorHAnsi"/>
          <w:color w:val="000000"/>
        </w:rPr>
        <w:t xml:space="preserve">to </w:t>
      </w:r>
      <w:r>
        <w:rPr>
          <w:rFonts w:cstheme="minorHAnsi"/>
          <w:color w:val="000000"/>
        </w:rPr>
        <w:t>virtually the same level of s</w:t>
      </w:r>
      <w:r w:rsidRPr="008B087A">
        <w:rPr>
          <w:rFonts w:cstheme="minorHAnsi"/>
          <w:color w:val="000000"/>
        </w:rPr>
        <w:t>imva</w:t>
      </w:r>
      <w:r>
        <w:rPr>
          <w:rFonts w:cstheme="minorHAnsi"/>
          <w:color w:val="000000"/>
        </w:rPr>
        <w:t xml:space="preserve">statin) </w:t>
      </w:r>
      <w:r>
        <w:rPr>
          <w:rFonts w:eastAsia="Times New Roman" w:cstheme="minorHAnsi"/>
          <w:lang w:eastAsia="en-GB"/>
        </w:rPr>
        <w:t>was observed shortly after Lipitor patent expiration.</w:t>
      </w:r>
    </w:p>
    <w:p w14:paraId="2317DF38" w14:textId="4F3AC50C" w:rsidR="008301B5" w:rsidRDefault="008301B5" w:rsidP="007144CB">
      <w:pPr>
        <w:spacing w:line="240" w:lineRule="auto"/>
      </w:pPr>
    </w:p>
    <w:p w14:paraId="2385DF9F" w14:textId="77777777" w:rsidR="007144CB" w:rsidRDefault="007144CB">
      <w: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F3469" w14:paraId="5D751373" w14:textId="77777777" w:rsidTr="00DF3469">
        <w:trPr>
          <w:jc w:val="center"/>
        </w:trPr>
        <w:tc>
          <w:tcPr>
            <w:tcW w:w="9350" w:type="dxa"/>
          </w:tcPr>
          <w:p w14:paraId="4005CFE3" w14:textId="2E70414C" w:rsidR="001E5109" w:rsidRDefault="00DF3469" w:rsidP="007144CB">
            <w:pPr>
              <w:jc w:val="center"/>
              <w:rPr>
                <w:rFonts w:eastAsia="Times New Roman" w:cstheme="minorHAnsi"/>
                <w:lang w:eastAsia="en-GB"/>
              </w:rPr>
            </w:pPr>
            <w:r w:rsidRPr="00B90F86">
              <w:rPr>
                <w:rFonts w:eastAsia="Times New Roman" w:cstheme="minorHAnsi"/>
                <w:b/>
                <w:lang w:eastAsia="en-GB"/>
              </w:rPr>
              <w:lastRenderedPageBreak/>
              <w:t>Figure 1</w:t>
            </w:r>
            <w:r w:rsidRPr="00B90F86">
              <w:rPr>
                <w:rFonts w:eastAsia="Times New Roman" w:cstheme="minorHAnsi"/>
                <w:lang w:eastAsia="en-GB"/>
              </w:rPr>
              <w:t xml:space="preserve">: Trends in the </w:t>
            </w:r>
            <w:r>
              <w:rPr>
                <w:rFonts w:eastAsia="Times New Roman" w:cstheme="minorHAnsi"/>
                <w:lang w:eastAsia="en-GB"/>
              </w:rPr>
              <w:t>Statin</w:t>
            </w:r>
            <w:r w:rsidRPr="00B90F86">
              <w:rPr>
                <w:rFonts w:eastAsia="Times New Roman" w:cstheme="minorHAnsi"/>
                <w:lang w:eastAsia="en-GB"/>
              </w:rPr>
              <w:t xml:space="preserve">s’ </w:t>
            </w:r>
            <w:r w:rsidR="00491CCE">
              <w:rPr>
                <w:rFonts w:eastAsia="Times New Roman" w:cstheme="minorHAnsi"/>
                <w:lang w:eastAsia="en-GB"/>
              </w:rPr>
              <w:t xml:space="preserve">prescribed </w:t>
            </w:r>
            <w:r w:rsidRPr="00B90F86">
              <w:rPr>
                <w:rFonts w:eastAsia="Times New Roman" w:cstheme="minorHAnsi"/>
                <w:lang w:eastAsia="en-GB"/>
              </w:rPr>
              <w:t>for Drug Treatment Initiation</w:t>
            </w:r>
          </w:p>
          <w:p w14:paraId="4F7BDA5D" w14:textId="78A3D3EB" w:rsidR="001E5109" w:rsidRDefault="001E5109" w:rsidP="007144CB">
            <w:pPr>
              <w:jc w:val="center"/>
              <w:rPr>
                <w:rFonts w:eastAsia="Times New Roman" w:cstheme="minorHAnsi"/>
                <w:lang w:eastAsia="en-GB"/>
              </w:rPr>
            </w:pPr>
          </w:p>
        </w:tc>
      </w:tr>
      <w:tr w:rsidR="00DF3469" w14:paraId="0BB6C649" w14:textId="77777777" w:rsidTr="00DF3469">
        <w:trPr>
          <w:jc w:val="center"/>
        </w:trPr>
        <w:tc>
          <w:tcPr>
            <w:tcW w:w="9350" w:type="dxa"/>
          </w:tcPr>
          <w:p w14:paraId="6F7811AB" w14:textId="77777777" w:rsidR="00DF3469" w:rsidRDefault="00DF3469" w:rsidP="007144CB">
            <w:pPr>
              <w:jc w:val="center"/>
              <w:rPr>
                <w:sz w:val="18"/>
                <w:szCs w:val="18"/>
              </w:rPr>
            </w:pPr>
            <w:r w:rsidRPr="00B90F86">
              <w:rPr>
                <w:sz w:val="18"/>
                <w:szCs w:val="18"/>
              </w:rPr>
              <w:t>(a) Proportion of new patients on each drug</w:t>
            </w:r>
          </w:p>
          <w:p w14:paraId="6C4AC6BA" w14:textId="77777777" w:rsidR="00DF3469" w:rsidRDefault="00DF3469" w:rsidP="007144CB">
            <w:pPr>
              <w:jc w:val="center"/>
              <w:rPr>
                <w:rFonts w:eastAsia="Times New Roman" w:cstheme="minorHAnsi"/>
                <w:lang w:eastAsia="en-GB"/>
              </w:rPr>
            </w:pPr>
            <w:r>
              <w:rPr>
                <w:noProof/>
                <w:lang w:eastAsia="en-GB"/>
              </w:rPr>
              <w:drawing>
                <wp:inline distT="0" distB="0" distL="0" distR="0" wp14:anchorId="429FD473" wp14:editId="763842E6">
                  <wp:extent cx="4008120" cy="2912311"/>
                  <wp:effectExtent l="0" t="0" r="0" b="254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a:blip r:embed="rId10"/>
                          <a:stretch>
                            <a:fillRect/>
                          </a:stretch>
                        </pic:blipFill>
                        <pic:spPr>
                          <a:xfrm>
                            <a:off x="0" y="0"/>
                            <a:ext cx="4059987" cy="2949998"/>
                          </a:xfrm>
                          <a:prstGeom prst="rect">
                            <a:avLst/>
                          </a:prstGeom>
                        </pic:spPr>
                      </pic:pic>
                    </a:graphicData>
                  </a:graphic>
                </wp:inline>
              </w:drawing>
            </w:r>
          </w:p>
        </w:tc>
      </w:tr>
      <w:tr w:rsidR="00DF3469" w14:paraId="682B063B" w14:textId="77777777" w:rsidTr="00DF3469">
        <w:trPr>
          <w:jc w:val="center"/>
        </w:trPr>
        <w:tc>
          <w:tcPr>
            <w:tcW w:w="9350" w:type="dxa"/>
          </w:tcPr>
          <w:p w14:paraId="7DE1839B" w14:textId="7BC7EA06" w:rsidR="00DF3469" w:rsidRDefault="00DF3469" w:rsidP="007144CB">
            <w:pPr>
              <w:jc w:val="center"/>
              <w:rPr>
                <w:sz w:val="18"/>
                <w:szCs w:val="18"/>
              </w:rPr>
            </w:pPr>
            <w:r w:rsidRPr="00B90F86">
              <w:rPr>
                <w:sz w:val="18"/>
                <w:szCs w:val="18"/>
              </w:rPr>
              <w:t>(b) Average Acquisition Cost per Defined Daily Dose</w:t>
            </w:r>
            <w:r>
              <w:rPr>
                <w:sz w:val="18"/>
                <w:szCs w:val="18"/>
              </w:rPr>
              <w:t xml:space="preserve"> (DDD) of each drug</w:t>
            </w:r>
          </w:p>
          <w:p w14:paraId="4F82CE23" w14:textId="7738523E" w:rsidR="00DF3469" w:rsidRDefault="00DF3469" w:rsidP="007144CB">
            <w:pPr>
              <w:jc w:val="center"/>
              <w:rPr>
                <w:rFonts w:eastAsia="Times New Roman" w:cstheme="minorHAnsi"/>
                <w:lang w:eastAsia="en-GB"/>
              </w:rPr>
            </w:pPr>
            <w:r>
              <w:rPr>
                <w:noProof/>
                <w:lang w:eastAsia="en-GB"/>
              </w:rPr>
              <w:drawing>
                <wp:inline distT="0" distB="0" distL="0" distR="0" wp14:anchorId="6509ACE6" wp14:editId="46B8176C">
                  <wp:extent cx="4025756" cy="29298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1547" cy="3116051"/>
                          </a:xfrm>
                          <a:prstGeom prst="rect">
                            <a:avLst/>
                          </a:prstGeom>
                        </pic:spPr>
                      </pic:pic>
                    </a:graphicData>
                  </a:graphic>
                </wp:inline>
              </w:drawing>
            </w:r>
          </w:p>
        </w:tc>
      </w:tr>
      <w:tr w:rsidR="00DF3469" w14:paraId="328565D1" w14:textId="77777777" w:rsidTr="00DF3469">
        <w:trPr>
          <w:jc w:val="center"/>
        </w:trPr>
        <w:tc>
          <w:tcPr>
            <w:tcW w:w="9350" w:type="dxa"/>
          </w:tcPr>
          <w:p w14:paraId="559AE664" w14:textId="61980275" w:rsidR="00DF3469" w:rsidRPr="00DF3469" w:rsidRDefault="00DF3469" w:rsidP="007144CB">
            <w:pPr>
              <w:jc w:val="both"/>
              <w:rPr>
                <w:sz w:val="16"/>
                <w:szCs w:val="16"/>
              </w:rPr>
            </w:pPr>
            <w:r w:rsidRPr="003C6FBA">
              <w:rPr>
                <w:i/>
                <w:sz w:val="16"/>
                <w:szCs w:val="16"/>
              </w:rPr>
              <w:t>Notes</w:t>
            </w:r>
            <w:r w:rsidRPr="003C6FBA">
              <w:rPr>
                <w:sz w:val="16"/>
                <w:szCs w:val="16"/>
              </w:rPr>
              <w:t xml:space="preserve">: Panel (a) shows the proportion of new patients starting drug treatment with each </w:t>
            </w:r>
            <w:r>
              <w:rPr>
                <w:sz w:val="16"/>
                <w:szCs w:val="16"/>
              </w:rPr>
              <w:t>statin</w:t>
            </w:r>
            <w:r w:rsidRPr="003C6FBA">
              <w:rPr>
                <w:sz w:val="16"/>
                <w:szCs w:val="16"/>
              </w:rPr>
              <w:t xml:space="preserve"> over time. The main five events are marked with vertical lines and small squares. The</w:t>
            </w:r>
            <w:r w:rsidR="00112A3E">
              <w:rPr>
                <w:sz w:val="16"/>
                <w:szCs w:val="16"/>
              </w:rPr>
              <w:t xml:space="preserve"> two</w:t>
            </w:r>
            <w:r w:rsidRPr="003C6FBA">
              <w:rPr>
                <w:sz w:val="16"/>
                <w:szCs w:val="16"/>
              </w:rPr>
              <w:t xml:space="preserve"> vertical red line</w:t>
            </w:r>
            <w:r w:rsidR="000271EC">
              <w:rPr>
                <w:sz w:val="16"/>
                <w:szCs w:val="16"/>
              </w:rPr>
              <w:t xml:space="preserve">s </w:t>
            </w:r>
            <w:r w:rsidR="00112A3E">
              <w:rPr>
                <w:sz w:val="16"/>
                <w:szCs w:val="16"/>
              </w:rPr>
              <w:t>marks</w:t>
            </w:r>
            <w:r w:rsidR="000271EC">
              <w:rPr>
                <w:sz w:val="16"/>
                <w:szCs w:val="16"/>
              </w:rPr>
              <w:t xml:space="preserve"> </w:t>
            </w:r>
            <w:r w:rsidR="00112A3E">
              <w:rPr>
                <w:sz w:val="16"/>
                <w:szCs w:val="16"/>
              </w:rPr>
              <w:t xml:space="preserve">the patent expiration of </w:t>
            </w:r>
            <w:r w:rsidR="000271EC">
              <w:rPr>
                <w:sz w:val="16"/>
                <w:szCs w:val="16"/>
              </w:rPr>
              <w:t>Zocor</w:t>
            </w:r>
            <w:r w:rsidR="00112A3E">
              <w:rPr>
                <w:sz w:val="16"/>
                <w:szCs w:val="16"/>
              </w:rPr>
              <w:t xml:space="preserve"> (simvastatin)</w:t>
            </w:r>
            <w:r w:rsidR="000271EC">
              <w:rPr>
                <w:sz w:val="16"/>
                <w:szCs w:val="16"/>
              </w:rPr>
              <w:t xml:space="preserve"> and Lipitor</w:t>
            </w:r>
            <w:r w:rsidR="00112A3E">
              <w:rPr>
                <w:sz w:val="16"/>
                <w:szCs w:val="16"/>
              </w:rPr>
              <w:t xml:space="preserve"> (atorvastatin)</w:t>
            </w:r>
            <w:r w:rsidR="000271EC">
              <w:rPr>
                <w:sz w:val="16"/>
                <w:szCs w:val="16"/>
              </w:rPr>
              <w:t xml:space="preserve"> </w:t>
            </w:r>
            <w:r w:rsidRPr="003C6FBA">
              <w:rPr>
                <w:sz w:val="16"/>
                <w:szCs w:val="16"/>
              </w:rPr>
              <w:t>in 2003 and</w:t>
            </w:r>
            <w:r w:rsidR="00112A3E">
              <w:rPr>
                <w:sz w:val="16"/>
                <w:szCs w:val="16"/>
              </w:rPr>
              <w:t xml:space="preserve"> May</w:t>
            </w:r>
            <w:r w:rsidRPr="003C6FBA">
              <w:rPr>
                <w:sz w:val="16"/>
                <w:szCs w:val="16"/>
              </w:rPr>
              <w:t xml:space="preserve"> 2012</w:t>
            </w:r>
            <w:r w:rsidR="00CB5579">
              <w:rPr>
                <w:sz w:val="16"/>
                <w:szCs w:val="16"/>
              </w:rPr>
              <w:t>, respectively</w:t>
            </w:r>
            <w:r w:rsidRPr="003C6FBA">
              <w:rPr>
                <w:sz w:val="16"/>
                <w:szCs w:val="16"/>
              </w:rPr>
              <w:t xml:space="preserve">; and </w:t>
            </w:r>
            <w:r w:rsidR="00CB5579">
              <w:rPr>
                <w:sz w:val="16"/>
                <w:szCs w:val="16"/>
              </w:rPr>
              <w:t xml:space="preserve">the </w:t>
            </w:r>
            <w:r>
              <w:rPr>
                <w:sz w:val="16"/>
                <w:szCs w:val="16"/>
              </w:rPr>
              <w:t>grey</w:t>
            </w:r>
            <w:r w:rsidRPr="003C6FBA">
              <w:rPr>
                <w:sz w:val="16"/>
                <w:szCs w:val="16"/>
              </w:rPr>
              <w:t xml:space="preserve"> vertical lines indicate the publishing date of NICE</w:t>
            </w:r>
            <w:r>
              <w:rPr>
                <w:sz w:val="16"/>
                <w:szCs w:val="16"/>
              </w:rPr>
              <w:t>’s</w:t>
            </w:r>
            <w:r w:rsidRPr="003C6FBA">
              <w:rPr>
                <w:sz w:val="16"/>
                <w:szCs w:val="16"/>
              </w:rPr>
              <w:t xml:space="preserve"> </w:t>
            </w:r>
            <w:r>
              <w:rPr>
                <w:sz w:val="16"/>
                <w:szCs w:val="16"/>
              </w:rPr>
              <w:t xml:space="preserve">statin-related </w:t>
            </w:r>
            <w:r w:rsidRPr="003C6FBA">
              <w:rPr>
                <w:sz w:val="16"/>
                <w:szCs w:val="16"/>
              </w:rPr>
              <w:t xml:space="preserve">national guidance. Panel (b) shows the average acquisition cost per defined daily dose for each </w:t>
            </w:r>
            <w:r>
              <w:rPr>
                <w:sz w:val="16"/>
                <w:szCs w:val="16"/>
              </w:rPr>
              <w:t>statin</w:t>
            </w:r>
            <w:r w:rsidRPr="003C6FBA">
              <w:rPr>
                <w:sz w:val="16"/>
                <w:szCs w:val="16"/>
              </w:rPr>
              <w:t xml:space="preserve"> over time.  </w:t>
            </w:r>
            <w:r w:rsidR="00545528">
              <w:rPr>
                <w:sz w:val="16"/>
                <w:szCs w:val="16"/>
              </w:rPr>
              <w:t xml:space="preserve">Statins’ </w:t>
            </w:r>
            <w:r w:rsidRPr="003C6FBA">
              <w:rPr>
                <w:sz w:val="16"/>
                <w:szCs w:val="16"/>
              </w:rPr>
              <w:t xml:space="preserve">DDDs (or daily strength per day of treatment) </w:t>
            </w:r>
            <w:r w:rsidR="00545528">
              <w:rPr>
                <w:sz w:val="16"/>
                <w:szCs w:val="16"/>
              </w:rPr>
              <w:t>established by the</w:t>
            </w:r>
            <w:r w:rsidRPr="003C6FBA">
              <w:rPr>
                <w:sz w:val="16"/>
                <w:szCs w:val="16"/>
              </w:rPr>
              <w:t xml:space="preserve"> WHO are the following:  </w:t>
            </w:r>
            <w:r w:rsidR="00CB5579">
              <w:rPr>
                <w:sz w:val="16"/>
                <w:szCs w:val="16"/>
              </w:rPr>
              <w:t>for a</w:t>
            </w:r>
            <w:r w:rsidRPr="003C6FBA">
              <w:rPr>
                <w:sz w:val="16"/>
                <w:szCs w:val="16"/>
              </w:rPr>
              <w:t>torva</w:t>
            </w:r>
            <w:r>
              <w:rPr>
                <w:sz w:val="16"/>
                <w:szCs w:val="16"/>
              </w:rPr>
              <w:t>statin</w:t>
            </w:r>
            <w:r w:rsidR="00CB5579">
              <w:rPr>
                <w:sz w:val="16"/>
                <w:szCs w:val="16"/>
              </w:rPr>
              <w:t>,</w:t>
            </w:r>
            <w:r w:rsidRPr="003C6FBA">
              <w:rPr>
                <w:sz w:val="16"/>
                <w:szCs w:val="16"/>
              </w:rPr>
              <w:t xml:space="preserve"> 20 mg; </w:t>
            </w:r>
            <w:r w:rsidR="00CB5579">
              <w:rPr>
                <w:sz w:val="16"/>
                <w:szCs w:val="16"/>
              </w:rPr>
              <w:t>f</w:t>
            </w:r>
            <w:r w:rsidRPr="003C6FBA">
              <w:rPr>
                <w:sz w:val="16"/>
                <w:szCs w:val="16"/>
              </w:rPr>
              <w:t>luva</w:t>
            </w:r>
            <w:r>
              <w:rPr>
                <w:sz w:val="16"/>
                <w:szCs w:val="16"/>
              </w:rPr>
              <w:t>statin</w:t>
            </w:r>
            <w:r w:rsidRPr="003C6FBA">
              <w:rPr>
                <w:sz w:val="16"/>
                <w:szCs w:val="16"/>
              </w:rPr>
              <w:t xml:space="preserve"> 60 mg; </w:t>
            </w:r>
            <w:r w:rsidR="00CB5579">
              <w:rPr>
                <w:sz w:val="16"/>
                <w:szCs w:val="16"/>
              </w:rPr>
              <w:t>p</w:t>
            </w:r>
            <w:r w:rsidRPr="003C6FBA">
              <w:rPr>
                <w:sz w:val="16"/>
                <w:szCs w:val="16"/>
              </w:rPr>
              <w:t>rava</w:t>
            </w:r>
            <w:r>
              <w:rPr>
                <w:sz w:val="16"/>
                <w:szCs w:val="16"/>
              </w:rPr>
              <w:t>statin</w:t>
            </w:r>
            <w:r w:rsidRPr="003C6FBA">
              <w:rPr>
                <w:sz w:val="16"/>
                <w:szCs w:val="16"/>
              </w:rPr>
              <w:t xml:space="preserve"> 30 mg; </w:t>
            </w:r>
            <w:r w:rsidR="00CB5579">
              <w:rPr>
                <w:sz w:val="16"/>
                <w:szCs w:val="16"/>
              </w:rPr>
              <w:t>r</w:t>
            </w:r>
            <w:r w:rsidRPr="003C6FBA">
              <w:rPr>
                <w:sz w:val="16"/>
                <w:szCs w:val="16"/>
              </w:rPr>
              <w:t>osuva</w:t>
            </w:r>
            <w:r>
              <w:rPr>
                <w:sz w:val="16"/>
                <w:szCs w:val="16"/>
              </w:rPr>
              <w:t>statin</w:t>
            </w:r>
            <w:r w:rsidRPr="003C6FBA">
              <w:rPr>
                <w:sz w:val="16"/>
                <w:szCs w:val="16"/>
              </w:rPr>
              <w:t xml:space="preserve"> 1</w:t>
            </w:r>
            <w:r w:rsidR="000271EC">
              <w:rPr>
                <w:sz w:val="16"/>
                <w:szCs w:val="16"/>
              </w:rPr>
              <w:t xml:space="preserve">0 mg; and </w:t>
            </w:r>
            <w:r w:rsidR="00CB5579">
              <w:rPr>
                <w:sz w:val="16"/>
                <w:szCs w:val="16"/>
              </w:rPr>
              <w:t>s</w:t>
            </w:r>
            <w:r w:rsidRPr="003C6FBA">
              <w:rPr>
                <w:sz w:val="16"/>
                <w:szCs w:val="16"/>
              </w:rPr>
              <w:t>imva</w:t>
            </w:r>
            <w:r>
              <w:rPr>
                <w:sz w:val="16"/>
                <w:szCs w:val="16"/>
              </w:rPr>
              <w:t>statin</w:t>
            </w:r>
            <w:r w:rsidRPr="003C6FBA">
              <w:rPr>
                <w:sz w:val="16"/>
                <w:szCs w:val="16"/>
              </w:rPr>
              <w:t xml:space="preserve"> 30 mg. Costs are obtained from Net Ingredient Cost </w:t>
            </w:r>
            <w:r>
              <w:rPr>
                <w:sz w:val="16"/>
                <w:szCs w:val="16"/>
              </w:rPr>
              <w:t xml:space="preserve">figures </w:t>
            </w:r>
            <w:r w:rsidRPr="003C6FBA">
              <w:rPr>
                <w:sz w:val="16"/>
                <w:szCs w:val="16"/>
              </w:rPr>
              <w:t>from</w:t>
            </w:r>
            <w:r>
              <w:rPr>
                <w:sz w:val="16"/>
                <w:szCs w:val="16"/>
              </w:rPr>
              <w:t xml:space="preserve"> PCA</w:t>
            </w:r>
            <w:r w:rsidRPr="003C6FBA">
              <w:rPr>
                <w:sz w:val="16"/>
                <w:szCs w:val="16"/>
              </w:rPr>
              <w:t xml:space="preserve">, and are expressed in constant 2018 GBP using the GDP deflators at market prices, and money GDP from </w:t>
            </w:r>
            <w:hyperlink r:id="rId12" w:history="1">
              <w:r w:rsidRPr="003C6FBA">
                <w:rPr>
                  <w:rStyle w:val="Hyperlink"/>
                  <w:sz w:val="16"/>
                  <w:szCs w:val="16"/>
                </w:rPr>
                <w:t>https://www.gov.uk/government/statistics/gdp-deflators-at-market-prices-and-money-gdp-march-2019-spring-statement</w:t>
              </w:r>
            </w:hyperlink>
            <w:r w:rsidRPr="003C6FBA">
              <w:rPr>
                <w:color w:val="000000"/>
                <w:sz w:val="16"/>
                <w:szCs w:val="16"/>
              </w:rPr>
              <w:t xml:space="preserve">. </w:t>
            </w:r>
            <w:r w:rsidRPr="003C6FBA">
              <w:rPr>
                <w:i/>
                <w:color w:val="000000"/>
                <w:sz w:val="16"/>
                <w:szCs w:val="16"/>
              </w:rPr>
              <w:t>Source</w:t>
            </w:r>
            <w:r w:rsidRPr="003C6FBA">
              <w:rPr>
                <w:color w:val="000000"/>
                <w:sz w:val="16"/>
                <w:szCs w:val="16"/>
              </w:rPr>
              <w:t xml:space="preserve">: Panel (a) from </w:t>
            </w:r>
            <w:r w:rsidRPr="003C6FBA">
              <w:rPr>
                <w:sz w:val="16"/>
                <w:szCs w:val="16"/>
              </w:rPr>
              <w:t xml:space="preserve">RCGP R&amp;SC database, and panel (b) from </w:t>
            </w:r>
            <w:r w:rsidRPr="003C6FBA">
              <w:rPr>
                <w:color w:val="000000"/>
                <w:sz w:val="16"/>
                <w:szCs w:val="16"/>
              </w:rPr>
              <w:t>Prescription Cost Analysis data series.</w:t>
            </w:r>
          </w:p>
        </w:tc>
      </w:tr>
    </w:tbl>
    <w:p w14:paraId="7FFB829E" w14:textId="77777777" w:rsidR="007144CB" w:rsidRDefault="007144CB" w:rsidP="007144CB">
      <w:pPr>
        <w:autoSpaceDE w:val="0"/>
        <w:autoSpaceDN w:val="0"/>
        <w:adjustRightInd w:val="0"/>
        <w:spacing w:after="0" w:line="240" w:lineRule="auto"/>
        <w:jc w:val="both"/>
        <w:rPr>
          <w:rFonts w:cstheme="minorHAnsi"/>
          <w:b/>
          <w:color w:val="000000"/>
        </w:rPr>
      </w:pPr>
    </w:p>
    <w:p w14:paraId="14B9F820" w14:textId="77777777" w:rsidR="007144CB" w:rsidRDefault="007144CB" w:rsidP="007144CB">
      <w:pPr>
        <w:autoSpaceDE w:val="0"/>
        <w:autoSpaceDN w:val="0"/>
        <w:adjustRightInd w:val="0"/>
        <w:spacing w:after="0" w:line="240" w:lineRule="auto"/>
        <w:jc w:val="both"/>
        <w:rPr>
          <w:rFonts w:cstheme="minorHAnsi"/>
          <w:b/>
          <w:color w:val="000000"/>
        </w:rPr>
      </w:pPr>
    </w:p>
    <w:p w14:paraId="2202E1E6" w14:textId="77777777" w:rsidR="007144CB" w:rsidRDefault="007144CB">
      <w:pPr>
        <w:rPr>
          <w:rFonts w:cstheme="minorHAnsi"/>
          <w:b/>
          <w:color w:val="000000"/>
        </w:rPr>
      </w:pPr>
      <w:r>
        <w:rPr>
          <w:rFonts w:cstheme="minorHAnsi"/>
          <w:b/>
          <w:color w:val="000000"/>
        </w:rPr>
        <w:br w:type="page"/>
      </w:r>
    </w:p>
    <w:p w14:paraId="58E003DA" w14:textId="3D708DF6" w:rsidR="00E6099C" w:rsidRDefault="00E6099C" w:rsidP="007144CB">
      <w:pPr>
        <w:autoSpaceDE w:val="0"/>
        <w:autoSpaceDN w:val="0"/>
        <w:adjustRightInd w:val="0"/>
        <w:spacing w:after="0" w:line="240" w:lineRule="auto"/>
        <w:jc w:val="both"/>
        <w:rPr>
          <w:rFonts w:cstheme="minorHAnsi"/>
          <w:b/>
          <w:color w:val="000000"/>
        </w:rPr>
      </w:pPr>
      <w:r>
        <w:rPr>
          <w:rFonts w:cstheme="minorHAnsi"/>
          <w:b/>
          <w:color w:val="000000"/>
        </w:rPr>
        <w:lastRenderedPageBreak/>
        <w:t>Heterogeneity in</w:t>
      </w:r>
      <w:r w:rsidRPr="008B087A">
        <w:rPr>
          <w:rFonts w:cstheme="minorHAnsi"/>
          <w:b/>
          <w:color w:val="000000"/>
        </w:rPr>
        <w:t xml:space="preserve"> Prescription</w:t>
      </w:r>
      <w:r>
        <w:rPr>
          <w:rFonts w:cstheme="minorHAnsi"/>
          <w:b/>
          <w:color w:val="000000"/>
        </w:rPr>
        <w:t xml:space="preserve">s across GP practices  </w:t>
      </w:r>
    </w:p>
    <w:p w14:paraId="5B7D0E87" w14:textId="1680361D" w:rsidR="00B80B9E" w:rsidRDefault="00E6099C" w:rsidP="007144CB">
      <w:pPr>
        <w:spacing w:after="0" w:line="240" w:lineRule="auto"/>
        <w:jc w:val="both"/>
        <w:rPr>
          <w:rFonts w:eastAsia="Times New Roman" w:cstheme="minorHAnsi"/>
          <w:lang w:eastAsia="en-GB"/>
        </w:rPr>
      </w:pPr>
      <w:r w:rsidRPr="00A67F1D">
        <w:rPr>
          <w:rFonts w:cstheme="minorHAnsi"/>
          <w:color w:val="000000"/>
        </w:rPr>
        <w:t xml:space="preserve">Figure </w:t>
      </w:r>
      <w:hyperlink w:anchor="fig_GPheterogeneity" w:history="1">
        <w:r w:rsidRPr="00A67F1D">
          <w:rPr>
            <w:color w:val="000000"/>
          </w:rPr>
          <w:t>2</w:t>
        </w:r>
      </w:hyperlink>
      <w:r>
        <w:rPr>
          <w:rFonts w:cstheme="minorHAnsi"/>
          <w:color w:val="000000"/>
        </w:rPr>
        <w:t xml:space="preserve"> </w:t>
      </w:r>
      <w:r w:rsidR="0059585D">
        <w:rPr>
          <w:rFonts w:cstheme="minorHAnsi"/>
          <w:color w:val="000000"/>
        </w:rPr>
        <w:t xml:space="preserve">panel (a) </w:t>
      </w:r>
      <w:r>
        <w:rPr>
          <w:rFonts w:cstheme="minorHAnsi"/>
          <w:color w:val="000000"/>
        </w:rPr>
        <w:t>presents</w:t>
      </w:r>
      <w:r w:rsidRPr="00A67F1D">
        <w:rPr>
          <w:rFonts w:cstheme="minorHAnsi"/>
          <w:color w:val="000000"/>
        </w:rPr>
        <w:t xml:space="preserve"> average shares of </w:t>
      </w:r>
      <w:r w:rsidRPr="00D340CC">
        <w:rPr>
          <w:rFonts w:cstheme="minorHAnsi"/>
          <w:color w:val="000000"/>
        </w:rPr>
        <w:t xml:space="preserve">new patients </w:t>
      </w:r>
      <w:r w:rsidR="000271EC" w:rsidRPr="00D340CC">
        <w:rPr>
          <w:rFonts w:cstheme="minorHAnsi"/>
          <w:color w:val="000000"/>
        </w:rPr>
        <w:t>treated with s</w:t>
      </w:r>
      <w:r w:rsidRPr="00D340CC">
        <w:rPr>
          <w:rFonts w:cstheme="minorHAnsi"/>
          <w:color w:val="000000"/>
        </w:rPr>
        <w:t xml:space="preserve">imvastatin for each of the five quintiles of the </w:t>
      </w:r>
      <w:r w:rsidR="000D4065" w:rsidRPr="00D340CC">
        <w:rPr>
          <w:rFonts w:cstheme="minorHAnsi"/>
          <w:color w:val="000000"/>
        </w:rPr>
        <w:t>GP</w:t>
      </w:r>
      <w:r w:rsidR="00583BED">
        <w:rPr>
          <w:rFonts w:cstheme="minorHAnsi"/>
          <w:color w:val="000000"/>
        </w:rPr>
        <w:t xml:space="preserve"> practices prescription</w:t>
      </w:r>
      <w:r w:rsidR="000D4065" w:rsidRPr="00D340CC">
        <w:rPr>
          <w:rFonts w:cstheme="minorHAnsi"/>
          <w:color w:val="000000"/>
        </w:rPr>
        <w:t xml:space="preserve"> </w:t>
      </w:r>
      <w:r w:rsidRPr="00D340CC">
        <w:rPr>
          <w:rFonts w:cstheme="minorHAnsi"/>
          <w:color w:val="000000"/>
        </w:rPr>
        <w:t>distribution</w:t>
      </w:r>
      <w:r w:rsidR="008554D4" w:rsidRPr="00D340CC">
        <w:rPr>
          <w:rFonts w:cstheme="minorHAnsi"/>
          <w:color w:val="000000"/>
        </w:rPr>
        <w:t>.</w:t>
      </w:r>
      <w:r w:rsidRPr="00D340CC">
        <w:rPr>
          <w:rFonts w:cstheme="minorHAnsi"/>
          <w:color w:val="000000"/>
        </w:rPr>
        <w:t xml:space="preserve"> The</w:t>
      </w:r>
      <w:r>
        <w:rPr>
          <w:rFonts w:cstheme="minorHAnsi"/>
          <w:color w:val="000000"/>
        </w:rPr>
        <w:t xml:space="preserve"> figure </w:t>
      </w:r>
      <w:r w:rsidR="00981665">
        <w:rPr>
          <w:rFonts w:cstheme="minorHAnsi"/>
          <w:color w:val="000000"/>
        </w:rPr>
        <w:t xml:space="preserve">makes </w:t>
      </w:r>
      <w:r w:rsidR="000B2E34">
        <w:rPr>
          <w:rFonts w:cstheme="minorHAnsi"/>
          <w:color w:val="000000"/>
        </w:rPr>
        <w:t xml:space="preserve">apparent the existence of a </w:t>
      </w:r>
      <w:r w:rsidRPr="008B087A">
        <w:rPr>
          <w:rFonts w:cstheme="minorHAnsi"/>
        </w:rPr>
        <w:t>significant hetero</w:t>
      </w:r>
      <w:r>
        <w:rPr>
          <w:rFonts w:cstheme="minorHAnsi"/>
        </w:rPr>
        <w:t>geneity in prescribing choice</w:t>
      </w:r>
      <w:r w:rsidR="008E0C52">
        <w:rPr>
          <w:rFonts w:cstheme="minorHAnsi"/>
        </w:rPr>
        <w:t>s</w:t>
      </w:r>
      <w:r w:rsidRPr="008B087A">
        <w:rPr>
          <w:rFonts w:cstheme="minorHAnsi"/>
        </w:rPr>
        <w:t xml:space="preserve"> across general practices</w:t>
      </w:r>
      <w:r w:rsidR="00E467D1">
        <w:rPr>
          <w:rFonts w:cstheme="minorHAnsi"/>
        </w:rPr>
        <w:t xml:space="preserve"> during the time window of our study</w:t>
      </w:r>
      <w:r w:rsidR="00947DE5">
        <w:rPr>
          <w:rFonts w:cstheme="minorHAnsi"/>
        </w:rPr>
        <w:t>. At the time of simvastatin patent expiration in May 2003,</w:t>
      </w:r>
      <w:r w:rsidRPr="008B087A">
        <w:rPr>
          <w:rFonts w:eastAsia="Times New Roman" w:cstheme="minorHAnsi"/>
          <w:lang w:eastAsia="en-GB"/>
        </w:rPr>
        <w:t xml:space="preserve"> </w:t>
      </w:r>
      <w:r w:rsidR="006C6A23">
        <w:rPr>
          <w:rFonts w:eastAsia="Times New Roman" w:cstheme="minorHAnsi"/>
          <w:lang w:eastAsia="en-GB"/>
        </w:rPr>
        <w:t xml:space="preserve">the proportion of patients treated with simvastatin </w:t>
      </w:r>
      <w:r w:rsidR="000D4065">
        <w:rPr>
          <w:rFonts w:eastAsia="Times New Roman" w:cstheme="minorHAnsi"/>
          <w:lang w:eastAsia="en-GB"/>
        </w:rPr>
        <w:t xml:space="preserve">ranged from </w:t>
      </w:r>
      <w:r w:rsidR="00947DE5">
        <w:rPr>
          <w:rFonts w:eastAsia="Times New Roman" w:cstheme="minorHAnsi"/>
          <w:lang w:eastAsia="en-GB"/>
        </w:rPr>
        <w:t>less than</w:t>
      </w:r>
      <w:r w:rsidR="006C6A23">
        <w:rPr>
          <w:rFonts w:eastAsia="Times New Roman" w:cstheme="minorHAnsi"/>
          <w:lang w:eastAsia="en-GB"/>
        </w:rPr>
        <w:t xml:space="preserve"> </w:t>
      </w:r>
      <w:r w:rsidR="000D4065">
        <w:rPr>
          <w:rFonts w:eastAsia="Times New Roman" w:cstheme="minorHAnsi"/>
          <w:lang w:eastAsia="en-GB"/>
        </w:rPr>
        <w:t xml:space="preserve">20% </w:t>
      </w:r>
      <w:r w:rsidR="006C6A23">
        <w:rPr>
          <w:rFonts w:eastAsia="Times New Roman" w:cstheme="minorHAnsi"/>
          <w:lang w:eastAsia="en-GB"/>
        </w:rPr>
        <w:t>for GP practices in the bottom qu</w:t>
      </w:r>
      <w:r w:rsidR="00DB413E">
        <w:rPr>
          <w:rFonts w:eastAsia="Times New Roman" w:cstheme="minorHAnsi"/>
          <w:lang w:eastAsia="en-GB"/>
        </w:rPr>
        <w:t>i</w:t>
      </w:r>
      <w:r w:rsidR="006C6A23">
        <w:rPr>
          <w:rFonts w:eastAsia="Times New Roman" w:cstheme="minorHAnsi"/>
          <w:lang w:eastAsia="en-GB"/>
        </w:rPr>
        <w:t xml:space="preserve">ntile </w:t>
      </w:r>
      <w:r w:rsidR="000D4065">
        <w:rPr>
          <w:rFonts w:eastAsia="Times New Roman" w:cstheme="minorHAnsi"/>
          <w:lang w:eastAsia="en-GB"/>
        </w:rPr>
        <w:t xml:space="preserve">to </w:t>
      </w:r>
      <w:r w:rsidR="00947DE5">
        <w:rPr>
          <w:rFonts w:eastAsia="Times New Roman" w:cstheme="minorHAnsi"/>
          <w:lang w:eastAsia="en-GB"/>
        </w:rPr>
        <w:t>more than</w:t>
      </w:r>
      <w:r w:rsidR="006C6A23">
        <w:rPr>
          <w:rFonts w:eastAsia="Times New Roman" w:cstheme="minorHAnsi"/>
          <w:lang w:eastAsia="en-GB"/>
        </w:rPr>
        <w:t xml:space="preserve"> </w:t>
      </w:r>
      <w:r w:rsidR="00947DE5">
        <w:rPr>
          <w:rFonts w:eastAsia="Times New Roman" w:cstheme="minorHAnsi"/>
          <w:lang w:eastAsia="en-GB"/>
        </w:rPr>
        <w:t>80</w:t>
      </w:r>
      <w:r w:rsidR="000D4065">
        <w:rPr>
          <w:rFonts w:eastAsia="Times New Roman" w:cstheme="minorHAnsi"/>
          <w:lang w:eastAsia="en-GB"/>
        </w:rPr>
        <w:t>%</w:t>
      </w:r>
      <w:r w:rsidR="00976765">
        <w:rPr>
          <w:rFonts w:eastAsia="Times New Roman" w:cstheme="minorHAnsi"/>
          <w:lang w:eastAsia="en-GB"/>
        </w:rPr>
        <w:t xml:space="preserve"> for the top qu</w:t>
      </w:r>
      <w:r w:rsidR="00DB413E">
        <w:rPr>
          <w:rFonts w:eastAsia="Times New Roman" w:cstheme="minorHAnsi"/>
          <w:lang w:eastAsia="en-GB"/>
        </w:rPr>
        <w:t>i</w:t>
      </w:r>
      <w:r w:rsidR="00976765">
        <w:rPr>
          <w:rFonts w:eastAsia="Times New Roman" w:cstheme="minorHAnsi"/>
          <w:lang w:eastAsia="en-GB"/>
        </w:rPr>
        <w:t>ntile</w:t>
      </w:r>
      <w:r w:rsidR="00384A33">
        <w:rPr>
          <w:rFonts w:eastAsia="Times New Roman" w:cstheme="minorHAnsi"/>
          <w:lang w:eastAsia="en-GB"/>
        </w:rPr>
        <w:t>.</w:t>
      </w:r>
      <w:r w:rsidR="000D4065">
        <w:rPr>
          <w:rFonts w:eastAsia="Times New Roman" w:cstheme="minorHAnsi"/>
          <w:lang w:eastAsia="en-GB"/>
        </w:rPr>
        <w:t xml:space="preserve"> </w:t>
      </w:r>
      <w:r w:rsidR="001C7581">
        <w:rPr>
          <w:rFonts w:eastAsia="Times New Roman" w:cstheme="minorHAnsi"/>
          <w:lang w:eastAsia="en-GB"/>
        </w:rPr>
        <w:t>T</w:t>
      </w:r>
      <w:r w:rsidR="006C6A23">
        <w:rPr>
          <w:rFonts w:eastAsia="Times New Roman" w:cstheme="minorHAnsi"/>
          <w:lang w:eastAsia="en-GB"/>
        </w:rPr>
        <w:t xml:space="preserve">he </w:t>
      </w:r>
      <w:r w:rsidR="001C7581">
        <w:rPr>
          <w:rFonts w:eastAsia="Times New Roman" w:cstheme="minorHAnsi"/>
          <w:lang w:eastAsia="en-GB"/>
        </w:rPr>
        <w:t xml:space="preserve">period up to 2006 saw an increase in the proportion of new patients treated with simvastatin across all GP practices. </w:t>
      </w:r>
      <w:r w:rsidR="00890E57">
        <w:rPr>
          <w:rFonts w:eastAsia="Times New Roman" w:cstheme="minorHAnsi"/>
          <w:lang w:eastAsia="en-GB"/>
        </w:rPr>
        <w:t xml:space="preserve">At the time of the </w:t>
      </w:r>
      <w:r w:rsidR="005A223D">
        <w:rPr>
          <w:rFonts w:eastAsia="Times New Roman" w:cstheme="minorHAnsi"/>
          <w:lang w:eastAsia="en-GB"/>
        </w:rPr>
        <w:t>TA-94</w:t>
      </w:r>
      <w:r w:rsidR="00890E57">
        <w:rPr>
          <w:rFonts w:eastAsia="Times New Roman" w:cstheme="minorHAnsi"/>
          <w:lang w:eastAsia="en-GB"/>
        </w:rPr>
        <w:t xml:space="preserve"> introduction</w:t>
      </w:r>
      <w:r w:rsidR="005A223D">
        <w:rPr>
          <w:rFonts w:eastAsia="Times New Roman" w:cstheme="minorHAnsi"/>
          <w:lang w:eastAsia="en-GB"/>
        </w:rPr>
        <w:t xml:space="preserve"> in January 2006, </w:t>
      </w:r>
      <w:r w:rsidR="00890E57">
        <w:rPr>
          <w:rFonts w:eastAsia="Times New Roman" w:cstheme="minorHAnsi"/>
          <w:lang w:eastAsia="en-GB"/>
        </w:rPr>
        <w:t xml:space="preserve">the </w:t>
      </w:r>
      <w:r w:rsidR="005A223D">
        <w:rPr>
          <w:rFonts w:eastAsia="Times New Roman" w:cstheme="minorHAnsi"/>
          <w:lang w:eastAsia="en-GB"/>
        </w:rPr>
        <w:t xml:space="preserve">difference </w:t>
      </w:r>
      <w:r w:rsidR="00FC555C">
        <w:rPr>
          <w:rFonts w:eastAsia="Times New Roman" w:cstheme="minorHAnsi"/>
          <w:lang w:eastAsia="en-GB"/>
        </w:rPr>
        <w:t xml:space="preserve">in simvastatin prescription shares </w:t>
      </w:r>
      <w:r w:rsidR="00171B9E">
        <w:rPr>
          <w:rFonts w:eastAsia="Times New Roman" w:cstheme="minorHAnsi"/>
          <w:lang w:eastAsia="en-GB"/>
        </w:rPr>
        <w:t xml:space="preserve">between </w:t>
      </w:r>
      <w:r w:rsidR="00A35BDF">
        <w:rPr>
          <w:rFonts w:eastAsia="Times New Roman" w:cstheme="minorHAnsi"/>
          <w:lang w:eastAsia="en-GB"/>
        </w:rPr>
        <w:t>second</w:t>
      </w:r>
      <w:r w:rsidR="00171B9E">
        <w:rPr>
          <w:rFonts w:eastAsia="Times New Roman" w:cstheme="minorHAnsi"/>
          <w:lang w:eastAsia="en-GB"/>
        </w:rPr>
        <w:t xml:space="preserve"> and </w:t>
      </w:r>
      <w:r w:rsidR="00890E57">
        <w:rPr>
          <w:rFonts w:eastAsia="Times New Roman" w:cstheme="minorHAnsi"/>
          <w:lang w:eastAsia="en-GB"/>
        </w:rPr>
        <w:t xml:space="preserve">fifth </w:t>
      </w:r>
      <w:r w:rsidR="00976765">
        <w:rPr>
          <w:rFonts w:eastAsia="Times New Roman" w:cstheme="minorHAnsi"/>
          <w:lang w:eastAsia="en-GB"/>
        </w:rPr>
        <w:t>qu</w:t>
      </w:r>
      <w:r w:rsidR="00890E57">
        <w:rPr>
          <w:rFonts w:eastAsia="Times New Roman" w:cstheme="minorHAnsi"/>
          <w:lang w:eastAsia="en-GB"/>
        </w:rPr>
        <w:t>i</w:t>
      </w:r>
      <w:r w:rsidR="00976765">
        <w:rPr>
          <w:rFonts w:eastAsia="Times New Roman" w:cstheme="minorHAnsi"/>
          <w:lang w:eastAsia="en-GB"/>
        </w:rPr>
        <w:t>ntile</w:t>
      </w:r>
      <w:r w:rsidR="00541366">
        <w:rPr>
          <w:rFonts w:eastAsia="Times New Roman" w:cstheme="minorHAnsi"/>
          <w:lang w:eastAsia="en-GB"/>
        </w:rPr>
        <w:t>s</w:t>
      </w:r>
      <w:r w:rsidR="00890E57">
        <w:rPr>
          <w:rFonts w:eastAsia="Times New Roman" w:cstheme="minorHAnsi"/>
          <w:lang w:eastAsia="en-GB"/>
        </w:rPr>
        <w:t xml:space="preserve"> is around </w:t>
      </w:r>
      <w:r w:rsidR="00A35BDF">
        <w:rPr>
          <w:rFonts w:eastAsia="Times New Roman" w:cstheme="minorHAnsi"/>
          <w:lang w:eastAsia="en-GB"/>
        </w:rPr>
        <w:t>20</w:t>
      </w:r>
      <w:r w:rsidR="00890E57">
        <w:rPr>
          <w:rFonts w:eastAsia="Times New Roman" w:cstheme="minorHAnsi"/>
          <w:lang w:eastAsia="en-GB"/>
        </w:rPr>
        <w:t xml:space="preserve"> percentage points</w:t>
      </w:r>
      <w:r w:rsidR="00541366">
        <w:rPr>
          <w:rFonts w:eastAsia="Times New Roman" w:cstheme="minorHAnsi"/>
          <w:lang w:eastAsia="en-GB"/>
        </w:rPr>
        <w:t xml:space="preserve">, while </w:t>
      </w:r>
      <w:r w:rsidR="000B2E34">
        <w:rPr>
          <w:rFonts w:eastAsia="Times New Roman" w:cstheme="minorHAnsi"/>
          <w:lang w:eastAsia="en-GB"/>
        </w:rPr>
        <w:t>the</w:t>
      </w:r>
      <w:r w:rsidR="00976765">
        <w:rPr>
          <w:rFonts w:eastAsia="Times New Roman" w:cstheme="minorHAnsi"/>
          <w:lang w:eastAsia="en-GB"/>
        </w:rPr>
        <w:t xml:space="preserve"> difference </w:t>
      </w:r>
      <w:r w:rsidR="005A223D">
        <w:rPr>
          <w:rFonts w:eastAsia="Times New Roman" w:cstheme="minorHAnsi"/>
          <w:lang w:eastAsia="en-GB"/>
        </w:rPr>
        <w:t xml:space="preserve">between </w:t>
      </w:r>
      <w:r w:rsidR="00A35BDF">
        <w:rPr>
          <w:rFonts w:eastAsia="Times New Roman" w:cstheme="minorHAnsi"/>
          <w:lang w:eastAsia="en-GB"/>
        </w:rPr>
        <w:t xml:space="preserve">first and fifth </w:t>
      </w:r>
      <w:r w:rsidR="005A223D">
        <w:rPr>
          <w:rFonts w:eastAsia="Times New Roman" w:cstheme="minorHAnsi"/>
          <w:lang w:eastAsia="en-GB"/>
        </w:rPr>
        <w:t>qu</w:t>
      </w:r>
      <w:r w:rsidR="00A35BDF">
        <w:rPr>
          <w:rFonts w:eastAsia="Times New Roman" w:cstheme="minorHAnsi"/>
          <w:lang w:eastAsia="en-GB"/>
        </w:rPr>
        <w:t>i</w:t>
      </w:r>
      <w:r w:rsidR="005A223D">
        <w:rPr>
          <w:rFonts w:eastAsia="Times New Roman" w:cstheme="minorHAnsi"/>
          <w:lang w:eastAsia="en-GB"/>
        </w:rPr>
        <w:t>ntiles</w:t>
      </w:r>
      <w:r w:rsidR="000B2E34">
        <w:rPr>
          <w:rFonts w:eastAsia="Times New Roman" w:cstheme="minorHAnsi"/>
          <w:lang w:eastAsia="en-GB"/>
        </w:rPr>
        <w:t xml:space="preserve"> is </w:t>
      </w:r>
      <w:r w:rsidR="00A35BDF">
        <w:rPr>
          <w:rFonts w:eastAsia="Times New Roman" w:cstheme="minorHAnsi"/>
          <w:lang w:eastAsia="en-GB"/>
        </w:rPr>
        <w:t xml:space="preserve">still at </w:t>
      </w:r>
      <w:r w:rsidR="000B2E34">
        <w:rPr>
          <w:rFonts w:eastAsia="Times New Roman" w:cstheme="minorHAnsi"/>
          <w:lang w:eastAsia="en-GB"/>
        </w:rPr>
        <w:t>more than 50</w:t>
      </w:r>
      <w:r w:rsidR="00A35BDF">
        <w:rPr>
          <w:rFonts w:eastAsia="Times New Roman" w:cstheme="minorHAnsi"/>
          <w:lang w:eastAsia="en-GB"/>
        </w:rPr>
        <w:t xml:space="preserve"> percentage points</w:t>
      </w:r>
      <w:r w:rsidR="005A223D">
        <w:rPr>
          <w:rFonts w:eastAsia="Times New Roman" w:cstheme="minorHAnsi"/>
          <w:lang w:eastAsia="en-GB"/>
        </w:rPr>
        <w:t>.</w:t>
      </w:r>
      <w:r w:rsidR="001C7581">
        <w:rPr>
          <w:rFonts w:eastAsia="Times New Roman" w:cstheme="minorHAnsi"/>
          <w:lang w:eastAsia="en-GB"/>
        </w:rPr>
        <w:t xml:space="preserve"> </w:t>
      </w:r>
      <w:r w:rsidR="00541366">
        <w:rPr>
          <w:rFonts w:eastAsia="Times New Roman" w:cstheme="minorHAnsi"/>
          <w:lang w:eastAsia="en-GB"/>
        </w:rPr>
        <w:t xml:space="preserve">Following </w:t>
      </w:r>
      <w:r w:rsidRPr="008B087A">
        <w:rPr>
          <w:rFonts w:eastAsia="Times New Roman" w:cstheme="minorHAnsi"/>
          <w:lang w:eastAsia="en-GB"/>
        </w:rPr>
        <w:t xml:space="preserve">the introduction of </w:t>
      </w:r>
      <w:r w:rsidR="003F34BF">
        <w:rPr>
          <w:rFonts w:eastAsia="Times New Roman" w:cstheme="minorHAnsi"/>
          <w:lang w:eastAsia="en-GB"/>
        </w:rPr>
        <w:t>CG-67</w:t>
      </w:r>
      <w:r w:rsidR="001C7581">
        <w:rPr>
          <w:rFonts w:eastAsia="Times New Roman" w:cstheme="minorHAnsi"/>
          <w:lang w:eastAsia="en-GB"/>
        </w:rPr>
        <w:t xml:space="preserve"> in May 2006</w:t>
      </w:r>
      <w:r w:rsidRPr="008B087A">
        <w:rPr>
          <w:rFonts w:eastAsia="Times New Roman" w:cstheme="minorHAnsi"/>
          <w:lang w:eastAsia="en-GB"/>
        </w:rPr>
        <w:t>,</w:t>
      </w:r>
      <w:r w:rsidR="00E467D1">
        <w:rPr>
          <w:rFonts w:eastAsia="Times New Roman" w:cstheme="minorHAnsi"/>
          <w:lang w:eastAsia="en-GB"/>
        </w:rPr>
        <w:t xml:space="preserve"> differences across practices</w:t>
      </w:r>
      <w:r w:rsidR="00FC555C">
        <w:rPr>
          <w:rFonts w:eastAsia="Times New Roman" w:cstheme="minorHAnsi"/>
          <w:lang w:eastAsia="en-GB"/>
        </w:rPr>
        <w:t xml:space="preserve"> fluctuated around </w:t>
      </w:r>
      <w:r w:rsidR="00976765">
        <w:rPr>
          <w:rFonts w:eastAsia="Times New Roman" w:cstheme="minorHAnsi"/>
          <w:lang w:eastAsia="en-GB"/>
        </w:rPr>
        <w:t>25</w:t>
      </w:r>
      <w:r w:rsidR="00541366">
        <w:rPr>
          <w:rFonts w:eastAsia="Times New Roman" w:cstheme="minorHAnsi"/>
          <w:lang w:eastAsia="en-GB"/>
        </w:rPr>
        <w:t xml:space="preserve"> percentage points with </w:t>
      </w:r>
      <w:r w:rsidR="006B7BCA">
        <w:rPr>
          <w:rFonts w:eastAsia="Times New Roman" w:cstheme="minorHAnsi"/>
          <w:lang w:eastAsia="en-GB"/>
        </w:rPr>
        <w:t>most compliant with the NICE guideline</w:t>
      </w:r>
      <w:r w:rsidRPr="008B087A">
        <w:rPr>
          <w:rFonts w:eastAsia="Times New Roman" w:cstheme="minorHAnsi"/>
          <w:lang w:eastAsia="en-GB"/>
        </w:rPr>
        <w:t xml:space="preserve"> </w:t>
      </w:r>
      <w:r w:rsidR="00541366" w:rsidRPr="008B087A">
        <w:rPr>
          <w:rFonts w:eastAsia="Times New Roman" w:cstheme="minorHAnsi"/>
          <w:lang w:eastAsia="en-GB"/>
        </w:rPr>
        <w:t>practices</w:t>
      </w:r>
      <w:r w:rsidR="00541366">
        <w:rPr>
          <w:rFonts w:eastAsia="Times New Roman" w:cstheme="minorHAnsi"/>
          <w:lang w:eastAsia="en-GB"/>
        </w:rPr>
        <w:t xml:space="preserve"> </w:t>
      </w:r>
      <w:r w:rsidRPr="008B087A">
        <w:rPr>
          <w:rFonts w:eastAsia="Times New Roman" w:cstheme="minorHAnsi"/>
          <w:lang w:eastAsia="en-GB"/>
        </w:rPr>
        <w:t>trea</w:t>
      </w:r>
      <w:r w:rsidR="00541366">
        <w:rPr>
          <w:rFonts w:eastAsia="Times New Roman" w:cstheme="minorHAnsi"/>
          <w:lang w:eastAsia="en-GB"/>
        </w:rPr>
        <w:t>ting</w:t>
      </w:r>
      <w:r w:rsidRPr="008B087A">
        <w:rPr>
          <w:rFonts w:eastAsia="Times New Roman" w:cstheme="minorHAnsi"/>
          <w:lang w:eastAsia="en-GB"/>
        </w:rPr>
        <w:t xml:space="preserve"> </w:t>
      </w:r>
      <w:r w:rsidR="0021200C">
        <w:rPr>
          <w:rFonts w:eastAsia="Times New Roman" w:cstheme="minorHAnsi"/>
          <w:lang w:eastAsia="en-GB"/>
        </w:rPr>
        <w:t>almost</w:t>
      </w:r>
      <w:r w:rsidR="0021200C" w:rsidRPr="008B087A">
        <w:rPr>
          <w:rFonts w:eastAsia="Times New Roman" w:cstheme="minorHAnsi"/>
          <w:lang w:eastAsia="en-GB"/>
        </w:rPr>
        <w:t xml:space="preserve"> </w:t>
      </w:r>
      <w:r w:rsidR="0021200C">
        <w:rPr>
          <w:rFonts w:eastAsia="Times New Roman" w:cstheme="minorHAnsi"/>
          <w:lang w:eastAsia="en-GB"/>
        </w:rPr>
        <w:t>all</w:t>
      </w:r>
      <w:r w:rsidRPr="008B087A">
        <w:rPr>
          <w:rFonts w:eastAsia="Times New Roman" w:cstheme="minorHAnsi"/>
          <w:lang w:eastAsia="en-GB"/>
        </w:rPr>
        <w:t xml:space="preserve"> of their </w:t>
      </w:r>
      <w:r>
        <w:rPr>
          <w:rFonts w:eastAsia="Times New Roman" w:cstheme="minorHAnsi"/>
          <w:lang w:eastAsia="en-GB"/>
        </w:rPr>
        <w:t xml:space="preserve">new patients with </w:t>
      </w:r>
      <w:r w:rsidR="00541366">
        <w:rPr>
          <w:rFonts w:eastAsia="Times New Roman" w:cstheme="minorHAnsi"/>
          <w:lang w:eastAsia="en-GB"/>
        </w:rPr>
        <w:t>simvastatin</w:t>
      </w:r>
      <w:r w:rsidRPr="008B087A">
        <w:rPr>
          <w:rFonts w:eastAsia="Times New Roman" w:cstheme="minorHAnsi"/>
          <w:lang w:eastAsia="en-GB"/>
        </w:rPr>
        <w:t xml:space="preserve">, while least compliant </w:t>
      </w:r>
      <w:r w:rsidR="00541366">
        <w:rPr>
          <w:rFonts w:eastAsia="Times New Roman" w:cstheme="minorHAnsi"/>
          <w:lang w:eastAsia="en-GB"/>
        </w:rPr>
        <w:t xml:space="preserve">practices </w:t>
      </w:r>
      <w:r w:rsidR="0021200C">
        <w:rPr>
          <w:rFonts w:eastAsia="Times New Roman" w:cstheme="minorHAnsi"/>
          <w:lang w:eastAsia="en-GB"/>
        </w:rPr>
        <w:t>prescribed simvastatin</w:t>
      </w:r>
      <w:r w:rsidRPr="008B087A">
        <w:rPr>
          <w:rFonts w:eastAsia="Times New Roman" w:cstheme="minorHAnsi"/>
          <w:lang w:eastAsia="en-GB"/>
        </w:rPr>
        <w:t xml:space="preserve"> </w:t>
      </w:r>
      <w:r w:rsidR="00976765">
        <w:rPr>
          <w:rFonts w:eastAsia="Times New Roman" w:cstheme="minorHAnsi"/>
          <w:lang w:eastAsia="en-GB"/>
        </w:rPr>
        <w:t xml:space="preserve">to </w:t>
      </w:r>
      <w:r w:rsidRPr="008B087A">
        <w:rPr>
          <w:rFonts w:eastAsia="Times New Roman" w:cstheme="minorHAnsi"/>
          <w:lang w:eastAsia="en-GB"/>
        </w:rPr>
        <w:t>less than 80</w:t>
      </w:r>
      <w:r w:rsidR="00541366">
        <w:rPr>
          <w:rFonts w:eastAsia="Times New Roman" w:cstheme="minorHAnsi"/>
          <w:lang w:eastAsia="en-GB"/>
        </w:rPr>
        <w:t>%</w:t>
      </w:r>
      <w:r w:rsidRPr="008B087A">
        <w:rPr>
          <w:rFonts w:eastAsia="Times New Roman" w:cstheme="minorHAnsi"/>
          <w:lang w:eastAsia="en-GB"/>
        </w:rPr>
        <w:t xml:space="preserve"> of their patients. </w:t>
      </w:r>
      <w:r w:rsidR="00976765">
        <w:rPr>
          <w:rFonts w:eastAsia="Times New Roman" w:cstheme="minorHAnsi"/>
          <w:lang w:eastAsia="en-GB"/>
        </w:rPr>
        <w:t>H</w:t>
      </w:r>
      <w:r w:rsidR="00BC41C3">
        <w:rPr>
          <w:rFonts w:eastAsia="Times New Roman" w:cstheme="minorHAnsi"/>
          <w:lang w:eastAsia="en-GB"/>
        </w:rPr>
        <w:t>eterogeneity in prescription</w:t>
      </w:r>
      <w:r w:rsidR="00F643B0">
        <w:rPr>
          <w:rFonts w:eastAsia="Times New Roman" w:cstheme="minorHAnsi"/>
          <w:lang w:eastAsia="en-GB"/>
        </w:rPr>
        <w:t xml:space="preserve"> </w:t>
      </w:r>
      <w:r w:rsidR="00976765">
        <w:rPr>
          <w:rFonts w:eastAsia="Times New Roman" w:cstheme="minorHAnsi"/>
          <w:lang w:eastAsia="en-GB"/>
        </w:rPr>
        <w:t xml:space="preserve">increased </w:t>
      </w:r>
      <w:r w:rsidR="00290C2E">
        <w:rPr>
          <w:rFonts w:eastAsia="Times New Roman" w:cstheme="minorHAnsi"/>
          <w:lang w:eastAsia="en-GB"/>
        </w:rPr>
        <w:t xml:space="preserve">again </w:t>
      </w:r>
      <w:r w:rsidR="00FF4840">
        <w:rPr>
          <w:rFonts w:eastAsia="Times New Roman" w:cstheme="minorHAnsi"/>
          <w:lang w:eastAsia="en-GB"/>
        </w:rPr>
        <w:t>following</w:t>
      </w:r>
      <w:r w:rsidR="00E42567">
        <w:rPr>
          <w:rFonts w:eastAsia="Times New Roman" w:cstheme="minorHAnsi"/>
          <w:lang w:eastAsia="en-GB"/>
        </w:rPr>
        <w:t xml:space="preserve"> atorvastatin pate</w:t>
      </w:r>
      <w:r w:rsidR="00F643B0">
        <w:rPr>
          <w:rFonts w:eastAsia="Times New Roman" w:cstheme="minorHAnsi"/>
          <w:lang w:eastAsia="en-GB"/>
        </w:rPr>
        <w:t>nt expiration in May 2012, when</w:t>
      </w:r>
      <w:r w:rsidR="00E42567">
        <w:rPr>
          <w:rFonts w:eastAsia="Times New Roman" w:cstheme="minorHAnsi"/>
          <w:lang w:eastAsia="en-GB"/>
        </w:rPr>
        <w:t xml:space="preserve"> </w:t>
      </w:r>
      <w:r w:rsidR="00FF4840">
        <w:rPr>
          <w:rFonts w:eastAsia="Times New Roman" w:cstheme="minorHAnsi"/>
          <w:lang w:eastAsia="en-GB"/>
        </w:rPr>
        <w:t>the</w:t>
      </w:r>
      <w:r w:rsidR="00E42567">
        <w:rPr>
          <w:rFonts w:eastAsia="Times New Roman" w:cstheme="minorHAnsi"/>
          <w:lang w:eastAsia="en-GB"/>
        </w:rPr>
        <w:t xml:space="preserve"> difference in the share of new patients being prescribed simvastatin between </w:t>
      </w:r>
      <w:r w:rsidR="00E42567" w:rsidRPr="008B087A">
        <w:rPr>
          <w:rFonts w:eastAsia="Times New Roman" w:cstheme="minorHAnsi"/>
          <w:lang w:eastAsia="en-GB"/>
        </w:rPr>
        <w:t xml:space="preserve">top and bottom </w:t>
      </w:r>
      <w:r w:rsidR="00F643B0">
        <w:rPr>
          <w:rFonts w:eastAsia="Times New Roman" w:cstheme="minorHAnsi"/>
          <w:lang w:eastAsia="en-GB"/>
        </w:rPr>
        <w:t xml:space="preserve">quintiles reached about </w:t>
      </w:r>
      <w:r w:rsidR="00FF4840">
        <w:rPr>
          <w:rFonts w:eastAsia="Times New Roman" w:cstheme="minorHAnsi"/>
          <w:lang w:eastAsia="en-GB"/>
        </w:rPr>
        <w:t>50</w:t>
      </w:r>
      <w:r w:rsidR="00541366">
        <w:rPr>
          <w:rFonts w:eastAsia="Times New Roman" w:cstheme="minorHAnsi"/>
          <w:lang w:eastAsia="en-GB"/>
        </w:rPr>
        <w:t xml:space="preserve"> percentage points</w:t>
      </w:r>
      <w:r w:rsidR="00F643B0">
        <w:rPr>
          <w:rFonts w:eastAsia="Times New Roman" w:cstheme="minorHAnsi"/>
          <w:lang w:eastAsia="en-GB"/>
        </w:rPr>
        <w:t>.</w:t>
      </w:r>
      <w:r w:rsidR="00072605">
        <w:rPr>
          <w:rFonts w:eastAsia="Times New Roman" w:cstheme="minorHAnsi"/>
          <w:lang w:eastAsia="en-GB"/>
        </w:rPr>
        <w:t xml:space="preserve"> The </w:t>
      </w:r>
      <w:r w:rsidR="00541366">
        <w:rPr>
          <w:rFonts w:eastAsia="Times New Roman" w:cstheme="minorHAnsi"/>
          <w:lang w:eastAsia="en-GB"/>
        </w:rPr>
        <w:t>subsequent</w:t>
      </w:r>
      <w:r w:rsidR="00072605">
        <w:rPr>
          <w:rFonts w:eastAsia="Times New Roman" w:cstheme="minorHAnsi"/>
          <w:lang w:eastAsia="en-GB"/>
        </w:rPr>
        <w:t xml:space="preserve"> CG-181 </w:t>
      </w:r>
      <w:r w:rsidR="007222B4">
        <w:rPr>
          <w:rFonts w:eastAsia="Times New Roman" w:cstheme="minorHAnsi"/>
          <w:lang w:eastAsia="en-GB"/>
        </w:rPr>
        <w:t xml:space="preserve">further reduced the overall levels of simvastatin prescriptions across the distribution but </w:t>
      </w:r>
      <w:r w:rsidR="00072605">
        <w:rPr>
          <w:rFonts w:eastAsia="Times New Roman" w:cstheme="minorHAnsi"/>
          <w:lang w:eastAsia="en-GB"/>
        </w:rPr>
        <w:t xml:space="preserve">did </w:t>
      </w:r>
      <w:r w:rsidR="00541366">
        <w:rPr>
          <w:rFonts w:eastAsia="Times New Roman" w:cstheme="minorHAnsi"/>
          <w:lang w:eastAsia="en-GB"/>
        </w:rPr>
        <w:t xml:space="preserve">little to </w:t>
      </w:r>
      <w:r w:rsidR="001C7581">
        <w:rPr>
          <w:rFonts w:eastAsia="Times New Roman" w:cstheme="minorHAnsi"/>
          <w:lang w:eastAsia="en-GB"/>
        </w:rPr>
        <w:t>reduc</w:t>
      </w:r>
      <w:r w:rsidR="00541366">
        <w:rPr>
          <w:rFonts w:eastAsia="Times New Roman" w:cstheme="minorHAnsi"/>
          <w:lang w:eastAsia="en-GB"/>
        </w:rPr>
        <w:t xml:space="preserve">e heterogeneity </w:t>
      </w:r>
      <w:r w:rsidR="001C7581">
        <w:rPr>
          <w:rFonts w:eastAsia="Times New Roman" w:cstheme="minorHAnsi"/>
          <w:lang w:eastAsia="en-GB"/>
        </w:rPr>
        <w:t>in the share of patients treated with simvastatin in the following years</w:t>
      </w:r>
      <w:r w:rsidR="00541366">
        <w:rPr>
          <w:rFonts w:eastAsia="Times New Roman" w:cstheme="minorHAnsi"/>
          <w:lang w:eastAsia="en-GB"/>
        </w:rPr>
        <w:t xml:space="preserve">, </w:t>
      </w:r>
      <w:r w:rsidR="007222B4">
        <w:rPr>
          <w:rFonts w:eastAsia="Times New Roman" w:cstheme="minorHAnsi"/>
          <w:lang w:eastAsia="en-GB"/>
        </w:rPr>
        <w:t>with the difference between top and bottom quintiles remaining at</w:t>
      </w:r>
      <w:r w:rsidR="00541366">
        <w:rPr>
          <w:rFonts w:eastAsia="Times New Roman" w:cstheme="minorHAnsi"/>
          <w:lang w:eastAsia="en-GB"/>
        </w:rPr>
        <w:t xml:space="preserve"> about</w:t>
      </w:r>
      <w:r w:rsidR="007222B4">
        <w:rPr>
          <w:rFonts w:eastAsia="Times New Roman" w:cstheme="minorHAnsi"/>
          <w:lang w:eastAsia="en-GB"/>
        </w:rPr>
        <w:t xml:space="preserve"> 25 percentage points</w:t>
      </w:r>
      <w:r w:rsidR="001C7581">
        <w:rPr>
          <w:rFonts w:eastAsia="Times New Roman" w:cstheme="minorHAnsi"/>
          <w:lang w:eastAsia="en-GB"/>
        </w:rPr>
        <w:t>.</w:t>
      </w:r>
    </w:p>
    <w:p w14:paraId="573A6B08" w14:textId="1577DC4A" w:rsidR="00060457" w:rsidRDefault="0059585D" w:rsidP="007144CB">
      <w:pPr>
        <w:spacing w:line="240" w:lineRule="auto"/>
      </w:pPr>
      <w:r>
        <w:rPr>
          <w:rFonts w:eastAsia="Times New Roman" w:cstheme="minorHAnsi"/>
          <w:lang w:eastAsia="en-GB"/>
        </w:rPr>
        <w:t xml:space="preserve">Figure 2 panel (b) tracks the evolution of prescription </w:t>
      </w:r>
      <w:r w:rsidR="007B2AA2">
        <w:rPr>
          <w:rFonts w:eastAsia="Times New Roman" w:cstheme="minorHAnsi"/>
          <w:lang w:eastAsia="en-GB"/>
        </w:rPr>
        <w:t>for five quintiles of GPs as constructed in Q3-2003.</w:t>
      </w:r>
      <w:r w:rsidR="00036522">
        <w:rPr>
          <w:rFonts w:eastAsia="Times New Roman" w:cstheme="minorHAnsi"/>
          <w:lang w:eastAsia="en-GB"/>
        </w:rPr>
        <w:t xml:space="preserve"> The dynamics up to 2006 suggest the uptake of cost-effective prescribing for GPs in the lower quintiles is rather slow. However, t</w:t>
      </w:r>
      <w:r w:rsidR="007B2AA2">
        <w:rPr>
          <w:rFonts w:eastAsia="Times New Roman" w:cstheme="minorHAnsi"/>
          <w:lang w:eastAsia="en-GB"/>
        </w:rPr>
        <w:t xml:space="preserve">he </w:t>
      </w:r>
      <w:r w:rsidR="008D58AE">
        <w:rPr>
          <w:rFonts w:eastAsia="Times New Roman" w:cstheme="minorHAnsi"/>
          <w:lang w:eastAsia="en-GB"/>
        </w:rPr>
        <w:t>disappearance of major differences in prescribing among the five groups from 2007</w:t>
      </w:r>
      <w:r w:rsidR="00036522">
        <w:rPr>
          <w:rFonts w:eastAsia="Times New Roman" w:cstheme="minorHAnsi"/>
          <w:lang w:eastAsia="en-GB"/>
        </w:rPr>
        <w:t xml:space="preserve"> onwards indicates</w:t>
      </w:r>
      <w:r w:rsidR="008D58AE">
        <w:rPr>
          <w:rFonts w:eastAsia="Times New Roman" w:cstheme="minorHAnsi"/>
          <w:lang w:eastAsia="en-GB"/>
        </w:rPr>
        <w:t xml:space="preserve"> that</w:t>
      </w:r>
      <w:r w:rsidR="00036522">
        <w:rPr>
          <w:rFonts w:eastAsia="Times New Roman" w:cstheme="minorHAnsi"/>
          <w:lang w:eastAsia="en-GB"/>
        </w:rPr>
        <w:t xml:space="preserve"> </w:t>
      </w:r>
      <w:r w:rsidR="008D58AE">
        <w:rPr>
          <w:rFonts w:eastAsia="Times New Roman" w:cstheme="minorHAnsi"/>
          <w:lang w:eastAsia="en-GB"/>
        </w:rPr>
        <w:t xml:space="preserve">any </w:t>
      </w:r>
      <w:r w:rsidR="00AA65D3">
        <w:rPr>
          <w:rFonts w:eastAsia="Times New Roman" w:cstheme="minorHAnsi"/>
          <w:lang w:eastAsia="en-GB"/>
        </w:rPr>
        <w:t>given GP practice</w:t>
      </w:r>
      <w:r w:rsidR="008D58AE">
        <w:rPr>
          <w:rFonts w:eastAsia="Times New Roman" w:cstheme="minorHAnsi"/>
          <w:lang w:eastAsia="en-GB"/>
        </w:rPr>
        <w:t xml:space="preserve"> does not systematically deviate from </w:t>
      </w:r>
      <w:r w:rsidR="00F01AED">
        <w:rPr>
          <w:rFonts w:eastAsia="Times New Roman" w:cstheme="minorHAnsi"/>
          <w:lang w:eastAsia="en-GB"/>
        </w:rPr>
        <w:t xml:space="preserve">prescribing </w:t>
      </w:r>
      <w:r w:rsidR="008D58AE">
        <w:rPr>
          <w:rFonts w:eastAsia="Times New Roman" w:cstheme="minorHAnsi"/>
          <w:lang w:eastAsia="en-GB"/>
        </w:rPr>
        <w:t>the</w:t>
      </w:r>
      <w:r w:rsidR="00F01AED">
        <w:rPr>
          <w:rFonts w:eastAsia="Times New Roman" w:cstheme="minorHAnsi"/>
          <w:lang w:eastAsia="en-GB"/>
        </w:rPr>
        <w:t xml:space="preserve"> </w:t>
      </w:r>
      <w:r w:rsidR="008D58AE">
        <w:rPr>
          <w:rFonts w:eastAsia="Times New Roman" w:cstheme="minorHAnsi"/>
          <w:lang w:eastAsia="en-GB"/>
        </w:rPr>
        <w:t xml:space="preserve">cost-effective </w:t>
      </w:r>
      <w:r w:rsidR="00F01AED">
        <w:rPr>
          <w:rFonts w:eastAsia="Times New Roman" w:cstheme="minorHAnsi"/>
          <w:lang w:eastAsia="en-GB"/>
        </w:rPr>
        <w:t>statin</w:t>
      </w:r>
      <w:r w:rsidR="00AA65D3">
        <w:rPr>
          <w:rFonts w:eastAsia="Times New Roman" w:cstheme="minorHAnsi"/>
          <w:lang w:eastAsia="en-GB"/>
        </w:rPr>
        <w:t xml:space="preserve">. These dynamics suggest that the overall heterogeneity observed in panel (a) is due to slow learning and </w:t>
      </w:r>
      <w:r w:rsidR="00FF2732">
        <w:rPr>
          <w:rFonts w:eastAsia="Times New Roman" w:cstheme="minorHAnsi"/>
          <w:lang w:eastAsia="en-GB"/>
        </w:rPr>
        <w:t xml:space="preserve">fluctuation between cost-effective and non-cost-effective </w:t>
      </w:r>
      <w:r w:rsidR="009B6D3B">
        <w:rPr>
          <w:rFonts w:eastAsia="Times New Roman" w:cstheme="minorHAnsi"/>
          <w:lang w:eastAsia="en-GB"/>
        </w:rPr>
        <w:t xml:space="preserve">prescribing. </w:t>
      </w:r>
      <w:r w:rsidR="00AA65D3">
        <w:rPr>
          <w:rFonts w:eastAsia="Times New Roman" w:cstheme="minorHAnsi"/>
          <w:lang w:eastAsia="en-GB"/>
        </w:rPr>
        <w:t xml:space="preserve"> </w:t>
      </w:r>
      <w:r w:rsidR="008D58AE">
        <w:rPr>
          <w:rFonts w:eastAsia="Times New Roman" w:cstheme="minorHAnsi"/>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84A0A" w14:paraId="765FE195" w14:textId="77777777" w:rsidTr="00F47614">
        <w:tc>
          <w:tcPr>
            <w:tcW w:w="9350" w:type="dxa"/>
          </w:tcPr>
          <w:p w14:paraId="4A732777" w14:textId="360E21FB" w:rsidR="00084A0A" w:rsidRDefault="00084A0A" w:rsidP="007144CB">
            <w:pPr>
              <w:jc w:val="center"/>
            </w:pPr>
            <w:r w:rsidRPr="003F1C13">
              <w:rPr>
                <w:b/>
              </w:rPr>
              <w:t>Figure 2</w:t>
            </w:r>
            <w:r w:rsidR="001F086B">
              <w:t>: Heterogeneity in Initial</w:t>
            </w:r>
            <w:r>
              <w:t xml:space="preserve"> Prescriptions at the GP practice level</w:t>
            </w:r>
          </w:p>
          <w:p w14:paraId="52A3F0F6" w14:textId="7A2A790F" w:rsidR="00084A0A" w:rsidRPr="00D356C5" w:rsidRDefault="00084A0A" w:rsidP="007144CB">
            <w:pPr>
              <w:jc w:val="center"/>
            </w:pPr>
          </w:p>
        </w:tc>
      </w:tr>
      <w:tr w:rsidR="00084A0A" w14:paraId="2804884D" w14:textId="77777777" w:rsidTr="00F47614">
        <w:tc>
          <w:tcPr>
            <w:tcW w:w="9350" w:type="dxa"/>
          </w:tcPr>
          <w:p w14:paraId="575E17A0" w14:textId="1ED0AB13" w:rsidR="00084A0A" w:rsidRPr="00467E7C" w:rsidRDefault="000271EC" w:rsidP="00467E7C">
            <w:pPr>
              <w:pStyle w:val="ListParagraph"/>
              <w:numPr>
                <w:ilvl w:val="0"/>
                <w:numId w:val="7"/>
              </w:numPr>
              <w:jc w:val="center"/>
              <w:rPr>
                <w:sz w:val="18"/>
                <w:szCs w:val="18"/>
              </w:rPr>
            </w:pPr>
            <w:r w:rsidRPr="00467E7C">
              <w:rPr>
                <w:sz w:val="18"/>
                <w:szCs w:val="18"/>
              </w:rPr>
              <w:t>Proportion of new patients on S</w:t>
            </w:r>
            <w:r w:rsidR="00084A0A" w:rsidRPr="00467E7C">
              <w:rPr>
                <w:sz w:val="18"/>
                <w:szCs w:val="18"/>
              </w:rPr>
              <w:t>imvastatin</w:t>
            </w:r>
            <w:r w:rsidR="00A97FBF">
              <w:rPr>
                <w:sz w:val="18"/>
                <w:szCs w:val="18"/>
              </w:rPr>
              <w:t xml:space="preserve"> with quantiles calculated quarterly </w:t>
            </w:r>
            <w:r w:rsidR="00060457" w:rsidRPr="00467E7C">
              <w:rPr>
                <w:sz w:val="18"/>
                <w:szCs w:val="18"/>
              </w:rPr>
              <w:t xml:space="preserve"> </w:t>
            </w:r>
          </w:p>
          <w:p w14:paraId="77DA70B4" w14:textId="77777777" w:rsidR="00084A0A" w:rsidRDefault="00084A0A" w:rsidP="007144CB">
            <w:pPr>
              <w:jc w:val="center"/>
              <w:rPr>
                <w:rFonts w:eastAsia="Times New Roman" w:cstheme="minorHAnsi"/>
                <w:b/>
                <w:lang w:eastAsia="en-GB"/>
              </w:rPr>
            </w:pPr>
            <w:r>
              <w:rPr>
                <w:noProof/>
                <w:lang w:eastAsia="en-GB"/>
              </w:rPr>
              <w:drawing>
                <wp:inline distT="0" distB="0" distL="0" distR="0" wp14:anchorId="79213834" wp14:editId="0A76196E">
                  <wp:extent cx="3565924" cy="2595962"/>
                  <wp:effectExtent l="0" t="0" r="0" b="0"/>
                  <wp:docPr id="18" name="Picture 1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10;&#10;Description automatically generated"/>
                          <pic:cNvPicPr/>
                        </pic:nvPicPr>
                        <pic:blipFill>
                          <a:blip r:embed="rId13"/>
                          <a:stretch>
                            <a:fillRect/>
                          </a:stretch>
                        </pic:blipFill>
                        <pic:spPr>
                          <a:xfrm>
                            <a:off x="0" y="0"/>
                            <a:ext cx="3590106" cy="2613566"/>
                          </a:xfrm>
                          <a:prstGeom prst="rect">
                            <a:avLst/>
                          </a:prstGeom>
                        </pic:spPr>
                      </pic:pic>
                    </a:graphicData>
                  </a:graphic>
                </wp:inline>
              </w:drawing>
            </w:r>
          </w:p>
          <w:p w14:paraId="51CC4903" w14:textId="6C126FB9" w:rsidR="00A97FBF" w:rsidRPr="00467E7C" w:rsidRDefault="00060457" w:rsidP="00A97FBF">
            <w:pPr>
              <w:pStyle w:val="ListParagraph"/>
              <w:jc w:val="center"/>
              <w:rPr>
                <w:sz w:val="18"/>
                <w:szCs w:val="18"/>
              </w:rPr>
            </w:pPr>
            <w:r>
              <w:rPr>
                <w:rFonts w:eastAsia="Times New Roman" w:cstheme="minorHAnsi"/>
                <w:bCs/>
                <w:sz w:val="18"/>
                <w:szCs w:val="18"/>
                <w:lang w:eastAsia="en-GB"/>
              </w:rPr>
              <w:t>(b)</w:t>
            </w:r>
            <w:r w:rsidR="007144CB">
              <w:rPr>
                <w:rFonts w:eastAsia="Times New Roman" w:cstheme="minorHAnsi"/>
                <w:bCs/>
                <w:sz w:val="18"/>
                <w:szCs w:val="18"/>
                <w:lang w:eastAsia="en-GB"/>
              </w:rPr>
              <w:t xml:space="preserve"> </w:t>
            </w:r>
            <w:r w:rsidR="00A97FBF" w:rsidRPr="00467E7C">
              <w:rPr>
                <w:sz w:val="18"/>
                <w:szCs w:val="18"/>
              </w:rPr>
              <w:t>Proportion of new patients on Simvastatin</w:t>
            </w:r>
            <w:r w:rsidR="00A97FBF">
              <w:rPr>
                <w:sz w:val="18"/>
                <w:szCs w:val="18"/>
              </w:rPr>
              <w:t xml:space="preserve"> with fixed quantile composition calculated on Q3</w:t>
            </w:r>
            <w:r w:rsidR="003F71FB">
              <w:rPr>
                <w:sz w:val="18"/>
                <w:szCs w:val="18"/>
              </w:rPr>
              <w:t>-</w:t>
            </w:r>
            <w:r w:rsidR="00A97FBF">
              <w:rPr>
                <w:sz w:val="18"/>
                <w:szCs w:val="18"/>
              </w:rPr>
              <w:t>2003</w:t>
            </w:r>
          </w:p>
          <w:p w14:paraId="54195D43" w14:textId="4A1D1E66" w:rsidR="00060457" w:rsidRPr="0093176F" w:rsidRDefault="00060457" w:rsidP="007144CB">
            <w:pPr>
              <w:jc w:val="center"/>
              <w:rPr>
                <w:rFonts w:eastAsia="Times New Roman" w:cstheme="minorHAnsi"/>
                <w:bCs/>
                <w:sz w:val="18"/>
                <w:szCs w:val="18"/>
                <w:lang w:eastAsia="en-GB"/>
              </w:rPr>
            </w:pPr>
          </w:p>
          <w:p w14:paraId="4FBD30C3" w14:textId="7DC3E463" w:rsidR="00060457" w:rsidRDefault="00060457" w:rsidP="007144CB">
            <w:pPr>
              <w:jc w:val="center"/>
              <w:rPr>
                <w:rFonts w:eastAsia="Times New Roman" w:cstheme="minorHAnsi"/>
                <w:b/>
                <w:lang w:eastAsia="en-GB"/>
              </w:rPr>
            </w:pPr>
            <w:r>
              <w:rPr>
                <w:rFonts w:eastAsia="Times New Roman" w:cstheme="minorHAnsi"/>
                <w:b/>
                <w:noProof/>
                <w:lang w:eastAsia="en-GB"/>
              </w:rPr>
              <w:lastRenderedPageBreak/>
              <w:drawing>
                <wp:inline distT="0" distB="0" distL="0" distR="0" wp14:anchorId="5F1DA4C5" wp14:editId="3E6A9952">
                  <wp:extent cx="3581525" cy="2604641"/>
                  <wp:effectExtent l="0" t="0" r="0" b="5715"/>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14"/>
                          <a:stretch>
                            <a:fillRect/>
                          </a:stretch>
                        </pic:blipFill>
                        <pic:spPr>
                          <a:xfrm>
                            <a:off x="0" y="0"/>
                            <a:ext cx="3640988" cy="2647885"/>
                          </a:xfrm>
                          <a:prstGeom prst="rect">
                            <a:avLst/>
                          </a:prstGeom>
                        </pic:spPr>
                      </pic:pic>
                    </a:graphicData>
                  </a:graphic>
                </wp:inline>
              </w:drawing>
            </w:r>
          </w:p>
        </w:tc>
      </w:tr>
      <w:tr w:rsidR="00084A0A" w14:paraId="4A4CA34A" w14:textId="77777777" w:rsidTr="00F47614">
        <w:tc>
          <w:tcPr>
            <w:tcW w:w="9350" w:type="dxa"/>
          </w:tcPr>
          <w:p w14:paraId="0F080DD8" w14:textId="321CF0F2" w:rsidR="009B46CF" w:rsidRDefault="00084A0A" w:rsidP="007144CB">
            <w:pPr>
              <w:jc w:val="both"/>
              <w:rPr>
                <w:sz w:val="16"/>
                <w:szCs w:val="16"/>
              </w:rPr>
            </w:pPr>
            <w:r w:rsidRPr="007327E1">
              <w:rPr>
                <w:i/>
                <w:sz w:val="16"/>
                <w:szCs w:val="16"/>
              </w:rPr>
              <w:lastRenderedPageBreak/>
              <w:t>Notes</w:t>
            </w:r>
            <w:r w:rsidRPr="007327E1">
              <w:rPr>
                <w:sz w:val="16"/>
                <w:szCs w:val="16"/>
              </w:rPr>
              <w:t xml:space="preserve">: </w:t>
            </w:r>
            <w:r w:rsidR="009B46CF">
              <w:rPr>
                <w:sz w:val="16"/>
                <w:szCs w:val="16"/>
              </w:rPr>
              <w:t xml:space="preserve">Panel (a) shows </w:t>
            </w:r>
            <w:r w:rsidR="004F6D55" w:rsidRPr="007327E1">
              <w:rPr>
                <w:sz w:val="16"/>
                <w:szCs w:val="16"/>
              </w:rPr>
              <w:t xml:space="preserve">the average </w:t>
            </w:r>
            <w:r w:rsidR="004F6D55">
              <w:rPr>
                <w:sz w:val="16"/>
                <w:szCs w:val="16"/>
              </w:rPr>
              <w:t>proportion</w:t>
            </w:r>
            <w:r w:rsidR="004F6D55" w:rsidRPr="007327E1">
              <w:rPr>
                <w:sz w:val="16"/>
                <w:szCs w:val="16"/>
              </w:rPr>
              <w:t xml:space="preserve"> of new patients treated wi</w:t>
            </w:r>
            <w:r w:rsidR="004F6D55">
              <w:rPr>
                <w:sz w:val="16"/>
                <w:szCs w:val="16"/>
              </w:rPr>
              <w:t>th s</w:t>
            </w:r>
            <w:r w:rsidR="004F6D55" w:rsidRPr="007327E1">
              <w:rPr>
                <w:sz w:val="16"/>
                <w:szCs w:val="16"/>
              </w:rPr>
              <w:t xml:space="preserve">imvastatin within five </w:t>
            </w:r>
            <w:r w:rsidR="004F6D55">
              <w:rPr>
                <w:sz w:val="16"/>
                <w:szCs w:val="16"/>
              </w:rPr>
              <w:t xml:space="preserve">quintiles </w:t>
            </w:r>
            <w:r w:rsidR="004F6D55" w:rsidRPr="007327E1">
              <w:rPr>
                <w:sz w:val="16"/>
                <w:szCs w:val="16"/>
              </w:rPr>
              <w:t>of G</w:t>
            </w:r>
            <w:r w:rsidR="004F6D55">
              <w:rPr>
                <w:sz w:val="16"/>
                <w:szCs w:val="16"/>
              </w:rPr>
              <w:t>P practices ranked by proportion of s</w:t>
            </w:r>
            <w:r w:rsidR="004F6D55" w:rsidRPr="007327E1">
              <w:rPr>
                <w:sz w:val="16"/>
                <w:szCs w:val="16"/>
              </w:rPr>
              <w:t>imvastatin prescriptions</w:t>
            </w:r>
            <w:r w:rsidR="00F63E45">
              <w:rPr>
                <w:sz w:val="16"/>
                <w:szCs w:val="16"/>
              </w:rPr>
              <w:t xml:space="preserve"> (</w:t>
            </w:r>
            <w:r w:rsidR="00A110CC">
              <w:rPr>
                <w:sz w:val="16"/>
                <w:szCs w:val="16"/>
              </w:rPr>
              <w:t>e.g.</w:t>
            </w:r>
            <w:r w:rsidR="00F63E45" w:rsidRPr="007327E1">
              <w:rPr>
                <w:sz w:val="16"/>
                <w:szCs w:val="16"/>
              </w:rPr>
              <w:t xml:space="preserve">, the top </w:t>
            </w:r>
            <w:r w:rsidR="00F63E45">
              <w:rPr>
                <w:sz w:val="16"/>
                <w:szCs w:val="16"/>
              </w:rPr>
              <w:t>line represents the average proportion</w:t>
            </w:r>
            <w:r w:rsidR="00F63E45" w:rsidRPr="007327E1">
              <w:rPr>
                <w:sz w:val="16"/>
                <w:szCs w:val="16"/>
              </w:rPr>
              <w:t xml:space="preserve"> of p</w:t>
            </w:r>
            <w:r w:rsidR="00F63E45">
              <w:rPr>
                <w:sz w:val="16"/>
                <w:szCs w:val="16"/>
              </w:rPr>
              <w:t>atients initially treated with s</w:t>
            </w:r>
            <w:r w:rsidR="00F63E45" w:rsidRPr="007327E1">
              <w:rPr>
                <w:sz w:val="16"/>
                <w:szCs w:val="16"/>
              </w:rPr>
              <w:t>imvastatin, by the top 20th percent of GP practices</w:t>
            </w:r>
            <w:r w:rsidR="00F63E45">
              <w:rPr>
                <w:sz w:val="16"/>
                <w:szCs w:val="16"/>
              </w:rPr>
              <w:t>, etc.)</w:t>
            </w:r>
            <w:r w:rsidR="004F6D55" w:rsidRPr="007327E1">
              <w:rPr>
                <w:sz w:val="16"/>
                <w:szCs w:val="16"/>
              </w:rPr>
              <w:t>,</w:t>
            </w:r>
            <w:r w:rsidR="004F6D55">
              <w:rPr>
                <w:sz w:val="16"/>
                <w:szCs w:val="16"/>
              </w:rPr>
              <w:t xml:space="preserve"> where the quintiles</w:t>
            </w:r>
            <w:r w:rsidR="00F63E45">
              <w:rPr>
                <w:sz w:val="16"/>
                <w:szCs w:val="16"/>
              </w:rPr>
              <w:t xml:space="preserve"> of practices</w:t>
            </w:r>
            <w:r w:rsidR="004F6D55">
              <w:rPr>
                <w:sz w:val="16"/>
                <w:szCs w:val="16"/>
              </w:rPr>
              <w:t xml:space="preserve"> are </w:t>
            </w:r>
            <w:r w:rsidR="00F63E45">
              <w:rPr>
                <w:sz w:val="16"/>
                <w:szCs w:val="16"/>
              </w:rPr>
              <w:t>obtained separately</w:t>
            </w:r>
            <w:r w:rsidR="004F6D55">
              <w:rPr>
                <w:sz w:val="16"/>
                <w:szCs w:val="16"/>
              </w:rPr>
              <w:t xml:space="preserve"> for each month</w:t>
            </w:r>
            <w:r w:rsidR="00A110CC">
              <w:rPr>
                <w:sz w:val="16"/>
                <w:szCs w:val="16"/>
              </w:rPr>
              <w:t xml:space="preserve"> (i.e., practices in each quantile may be different)</w:t>
            </w:r>
            <w:r w:rsidR="004F6D55">
              <w:rPr>
                <w:sz w:val="16"/>
                <w:szCs w:val="16"/>
              </w:rPr>
              <w:t xml:space="preserve">. </w:t>
            </w:r>
            <w:r w:rsidR="00F63E45">
              <w:rPr>
                <w:sz w:val="16"/>
                <w:szCs w:val="16"/>
              </w:rPr>
              <w:t xml:space="preserve">Panel (b) shows </w:t>
            </w:r>
            <w:r w:rsidR="00F63E45" w:rsidRPr="007327E1">
              <w:rPr>
                <w:sz w:val="16"/>
                <w:szCs w:val="16"/>
              </w:rPr>
              <w:t xml:space="preserve">the average </w:t>
            </w:r>
            <w:r w:rsidR="00F63E45">
              <w:rPr>
                <w:sz w:val="16"/>
                <w:szCs w:val="16"/>
              </w:rPr>
              <w:t>proportion</w:t>
            </w:r>
            <w:r w:rsidR="00F63E45" w:rsidRPr="007327E1">
              <w:rPr>
                <w:sz w:val="16"/>
                <w:szCs w:val="16"/>
              </w:rPr>
              <w:t xml:space="preserve"> of new patients treated wi</w:t>
            </w:r>
            <w:r w:rsidR="00F63E45">
              <w:rPr>
                <w:sz w:val="16"/>
                <w:szCs w:val="16"/>
              </w:rPr>
              <w:t>th s</w:t>
            </w:r>
            <w:r w:rsidR="00F63E45" w:rsidRPr="007327E1">
              <w:rPr>
                <w:sz w:val="16"/>
                <w:szCs w:val="16"/>
              </w:rPr>
              <w:t>imvastatin</w:t>
            </w:r>
            <w:r w:rsidR="00F63E45">
              <w:rPr>
                <w:sz w:val="16"/>
                <w:szCs w:val="16"/>
              </w:rPr>
              <w:t xml:space="preserve"> but for quintiles of practices </w:t>
            </w:r>
            <w:r w:rsidR="00A110CC">
              <w:rPr>
                <w:sz w:val="16"/>
                <w:szCs w:val="16"/>
              </w:rPr>
              <w:t xml:space="preserve">obtained at </w:t>
            </w:r>
            <w:r w:rsidR="0067143D">
              <w:rPr>
                <w:sz w:val="16"/>
                <w:szCs w:val="16"/>
              </w:rPr>
              <w:t>Q3-</w:t>
            </w:r>
            <w:r w:rsidR="00A110CC">
              <w:rPr>
                <w:sz w:val="16"/>
                <w:szCs w:val="16"/>
              </w:rPr>
              <w:t>2003, (i.e., the practices in each quintile are the same).</w:t>
            </w:r>
            <w:r w:rsidR="00A110CC" w:rsidRPr="007327E1">
              <w:rPr>
                <w:i/>
                <w:sz w:val="16"/>
                <w:szCs w:val="16"/>
              </w:rPr>
              <w:t xml:space="preserve"> Source</w:t>
            </w:r>
            <w:r w:rsidR="00A110CC" w:rsidRPr="007327E1">
              <w:rPr>
                <w:sz w:val="16"/>
                <w:szCs w:val="16"/>
              </w:rPr>
              <w:t>: RCGP R&amp;SC database.</w:t>
            </w:r>
          </w:p>
          <w:p w14:paraId="20A1EDD1" w14:textId="77777777" w:rsidR="009B46CF" w:rsidRDefault="009B46CF" w:rsidP="007144CB">
            <w:pPr>
              <w:jc w:val="both"/>
              <w:rPr>
                <w:sz w:val="16"/>
                <w:szCs w:val="16"/>
              </w:rPr>
            </w:pPr>
          </w:p>
          <w:p w14:paraId="50EDB52F" w14:textId="1D2C895C" w:rsidR="00084A0A" w:rsidRPr="00D356C5" w:rsidRDefault="00084A0A" w:rsidP="007144CB">
            <w:pPr>
              <w:jc w:val="both"/>
              <w:rPr>
                <w:sz w:val="16"/>
                <w:szCs w:val="16"/>
              </w:rPr>
            </w:pPr>
          </w:p>
        </w:tc>
      </w:tr>
    </w:tbl>
    <w:p w14:paraId="5F368202" w14:textId="62E42F27" w:rsidR="006B7BCA" w:rsidRDefault="006B7BCA" w:rsidP="007144CB">
      <w:pPr>
        <w:spacing w:after="0" w:line="240" w:lineRule="auto"/>
        <w:jc w:val="both"/>
        <w:rPr>
          <w:rFonts w:eastAsia="Times New Roman" w:cstheme="minorHAnsi"/>
          <w:lang w:eastAsia="en-GB"/>
        </w:rPr>
      </w:pPr>
    </w:p>
    <w:p w14:paraId="66F1E539" w14:textId="7A236B59" w:rsidR="006B7BCA" w:rsidRDefault="006B7BCA" w:rsidP="007144CB">
      <w:pPr>
        <w:spacing w:after="0" w:line="240" w:lineRule="auto"/>
        <w:jc w:val="both"/>
        <w:rPr>
          <w:rFonts w:eastAsia="Times New Roman" w:cstheme="minorHAnsi"/>
          <w:lang w:eastAsia="en-GB"/>
        </w:rPr>
      </w:pPr>
    </w:p>
    <w:p w14:paraId="3BDA21C1" w14:textId="04CCDFBD" w:rsidR="00C44F4A" w:rsidRDefault="00C44F4A" w:rsidP="007144CB">
      <w:pPr>
        <w:spacing w:after="0" w:line="240" w:lineRule="auto"/>
        <w:jc w:val="both"/>
        <w:rPr>
          <w:rFonts w:eastAsia="Times New Roman" w:cstheme="minorHAnsi"/>
          <w:lang w:eastAsia="en-GB"/>
        </w:rPr>
      </w:pPr>
    </w:p>
    <w:p w14:paraId="42B00829" w14:textId="77777777" w:rsidR="00C44F4A" w:rsidRDefault="00C44F4A" w:rsidP="007144CB">
      <w:pPr>
        <w:spacing w:after="0" w:line="240" w:lineRule="auto"/>
        <w:jc w:val="both"/>
        <w:rPr>
          <w:rFonts w:eastAsia="Times New Roman" w:cstheme="minorHAnsi"/>
          <w:lang w:eastAsia="en-GB"/>
        </w:rPr>
      </w:pPr>
    </w:p>
    <w:p w14:paraId="353C366E" w14:textId="77777777" w:rsidR="007144CB" w:rsidRDefault="007144CB" w:rsidP="007144CB">
      <w:pPr>
        <w:spacing w:line="240" w:lineRule="auto"/>
        <w:rPr>
          <w:rFonts w:eastAsia="Times New Roman" w:cstheme="minorHAnsi"/>
          <w:b/>
          <w:bCs/>
          <w:lang w:eastAsia="en-GB"/>
        </w:rPr>
      </w:pPr>
      <w:r>
        <w:rPr>
          <w:rFonts w:eastAsia="Times New Roman" w:cstheme="minorHAnsi"/>
          <w:b/>
          <w:bCs/>
          <w:lang w:eastAsia="en-GB"/>
        </w:rPr>
        <w:br w:type="page"/>
      </w:r>
    </w:p>
    <w:p w14:paraId="524A1CF0" w14:textId="5A2414BB" w:rsidR="00665D98" w:rsidRDefault="00FA4304" w:rsidP="007144CB">
      <w:pPr>
        <w:spacing w:after="0" w:line="240" w:lineRule="auto"/>
        <w:rPr>
          <w:rFonts w:eastAsia="Times New Roman" w:cstheme="minorHAnsi"/>
          <w:b/>
          <w:bCs/>
          <w:lang w:eastAsia="en-GB"/>
        </w:rPr>
      </w:pPr>
      <w:r>
        <w:rPr>
          <w:rFonts w:eastAsia="Times New Roman" w:cstheme="minorHAnsi"/>
          <w:b/>
          <w:bCs/>
          <w:lang w:eastAsia="en-GB"/>
        </w:rPr>
        <w:lastRenderedPageBreak/>
        <w:t>Spending Simulations</w:t>
      </w:r>
      <w:r w:rsidR="004B6512">
        <w:rPr>
          <w:rFonts w:eastAsia="Times New Roman" w:cstheme="minorHAnsi"/>
          <w:b/>
          <w:bCs/>
          <w:lang w:eastAsia="en-GB"/>
        </w:rPr>
        <w:t xml:space="preserve"> </w:t>
      </w:r>
    </w:p>
    <w:p w14:paraId="1A61C922" w14:textId="509E5681" w:rsidR="004B6512" w:rsidRDefault="008779BB" w:rsidP="007144CB">
      <w:pPr>
        <w:spacing w:after="0" w:line="240" w:lineRule="auto"/>
        <w:jc w:val="both"/>
        <w:rPr>
          <w:rFonts w:eastAsia="Times New Roman" w:cstheme="minorHAnsi"/>
          <w:lang w:eastAsia="en-GB"/>
        </w:rPr>
      </w:pPr>
      <w:r>
        <w:rPr>
          <w:rFonts w:eastAsia="Times New Roman" w:cstheme="minorHAnsi"/>
          <w:lang w:eastAsia="en-GB"/>
        </w:rPr>
        <w:t xml:space="preserve">Spending simulation results for the </w:t>
      </w:r>
      <w:r w:rsidR="00B523D9">
        <w:rPr>
          <w:rFonts w:eastAsia="Times New Roman" w:cstheme="minorHAnsi"/>
          <w:lang w:eastAsia="en-GB"/>
        </w:rPr>
        <w:t>‘First Scenario’</w:t>
      </w:r>
      <w:r>
        <w:rPr>
          <w:rFonts w:eastAsia="Times New Roman" w:cstheme="minorHAnsi"/>
          <w:lang w:eastAsia="en-GB"/>
        </w:rPr>
        <w:t>, which consider</w:t>
      </w:r>
      <w:r w:rsidR="00AF16BD">
        <w:rPr>
          <w:rFonts w:eastAsia="Times New Roman" w:cstheme="minorHAnsi"/>
          <w:lang w:eastAsia="en-GB"/>
        </w:rPr>
        <w:t>ed</w:t>
      </w:r>
      <w:r>
        <w:rPr>
          <w:rFonts w:eastAsia="Times New Roman" w:cstheme="minorHAnsi"/>
          <w:lang w:eastAsia="en-GB"/>
        </w:rPr>
        <w:t xml:space="preserve"> only the </w:t>
      </w:r>
      <w:r w:rsidR="00FA4304">
        <w:rPr>
          <w:rFonts w:eastAsia="Times New Roman" w:cstheme="minorHAnsi"/>
          <w:lang w:eastAsia="en-GB"/>
        </w:rPr>
        <w:t>first prescription episode</w:t>
      </w:r>
      <w:r>
        <w:rPr>
          <w:rFonts w:eastAsia="Times New Roman" w:cstheme="minorHAnsi"/>
          <w:lang w:eastAsia="en-GB"/>
        </w:rPr>
        <w:t>,</w:t>
      </w:r>
      <w:r w:rsidR="00920C17">
        <w:rPr>
          <w:rFonts w:eastAsia="Times New Roman" w:cstheme="minorHAnsi"/>
          <w:lang w:eastAsia="en-GB"/>
        </w:rPr>
        <w:t xml:space="preserve"> are </w:t>
      </w:r>
      <w:r>
        <w:rPr>
          <w:rFonts w:eastAsia="Times New Roman" w:cstheme="minorHAnsi"/>
          <w:lang w:eastAsia="en-GB"/>
        </w:rPr>
        <w:t>presented</w:t>
      </w:r>
      <w:r w:rsidR="00920C17">
        <w:rPr>
          <w:rFonts w:eastAsia="Times New Roman" w:cstheme="minorHAnsi"/>
          <w:lang w:eastAsia="en-GB"/>
        </w:rPr>
        <w:t xml:space="preserve"> on the left-hand side panel</w:t>
      </w:r>
      <w:r w:rsidR="00C34F1F">
        <w:rPr>
          <w:rFonts w:eastAsia="Times New Roman" w:cstheme="minorHAnsi"/>
          <w:lang w:eastAsia="en-GB"/>
        </w:rPr>
        <w:t xml:space="preserve"> of Table 1</w:t>
      </w:r>
      <w:r w:rsidR="00FA4304">
        <w:rPr>
          <w:rFonts w:eastAsia="Times New Roman" w:cstheme="minorHAnsi"/>
          <w:lang w:eastAsia="en-GB"/>
        </w:rPr>
        <w:t xml:space="preserve">. </w:t>
      </w:r>
      <w:r w:rsidR="00FA4304" w:rsidRPr="00334E5F">
        <w:rPr>
          <w:rFonts w:eastAsia="Times New Roman" w:cstheme="minorHAnsi"/>
          <w:lang w:eastAsia="en-GB"/>
        </w:rPr>
        <w:t xml:space="preserve">Column (1) </w:t>
      </w:r>
      <w:r>
        <w:rPr>
          <w:rFonts w:eastAsia="Times New Roman" w:cstheme="minorHAnsi"/>
          <w:lang w:eastAsia="en-GB"/>
        </w:rPr>
        <w:t>shows</w:t>
      </w:r>
      <w:r w:rsidR="00FA4304" w:rsidRPr="00334E5F">
        <w:rPr>
          <w:rFonts w:eastAsia="Times New Roman" w:cstheme="minorHAnsi"/>
          <w:lang w:eastAsia="en-GB"/>
        </w:rPr>
        <w:t xml:space="preserve"> the estimated number of new pat</w:t>
      </w:r>
      <w:r w:rsidR="002A0127">
        <w:rPr>
          <w:rFonts w:eastAsia="Times New Roman" w:cstheme="minorHAnsi"/>
          <w:lang w:eastAsia="en-GB"/>
        </w:rPr>
        <w:t xml:space="preserve">ients taking </w:t>
      </w:r>
      <w:r w:rsidR="002B7F89">
        <w:rPr>
          <w:rFonts w:eastAsia="Times New Roman" w:cstheme="minorHAnsi"/>
          <w:lang w:eastAsia="en-GB"/>
        </w:rPr>
        <w:t>statin</w:t>
      </w:r>
      <w:r w:rsidR="002A0127">
        <w:rPr>
          <w:rFonts w:eastAsia="Times New Roman" w:cstheme="minorHAnsi"/>
          <w:lang w:eastAsia="en-GB"/>
        </w:rPr>
        <w:t xml:space="preserve">s </w:t>
      </w:r>
      <w:r w:rsidR="00FA4304" w:rsidRPr="00334E5F">
        <w:rPr>
          <w:rFonts w:eastAsia="Times New Roman" w:cstheme="minorHAnsi"/>
          <w:lang w:eastAsia="en-GB"/>
        </w:rPr>
        <w:t xml:space="preserve">in every year from </w:t>
      </w:r>
      <w:r w:rsidR="0017250B">
        <w:rPr>
          <w:rFonts w:eastAsia="Times New Roman" w:cstheme="minorHAnsi"/>
          <w:lang w:eastAsia="en-GB"/>
        </w:rPr>
        <w:t>Q3-2003</w:t>
      </w:r>
      <w:r w:rsidR="00FA4304" w:rsidRPr="00334E5F">
        <w:rPr>
          <w:rFonts w:eastAsia="Times New Roman" w:cstheme="minorHAnsi"/>
          <w:lang w:eastAsia="en-GB"/>
        </w:rPr>
        <w:t xml:space="preserve"> to</w:t>
      </w:r>
      <w:r w:rsidR="00FA4304">
        <w:rPr>
          <w:rFonts w:eastAsia="Times New Roman" w:cstheme="minorHAnsi"/>
          <w:lang w:eastAsia="en-GB"/>
        </w:rPr>
        <w:t xml:space="preserve"> </w:t>
      </w:r>
      <w:r w:rsidR="0017250B">
        <w:rPr>
          <w:rFonts w:eastAsia="Times New Roman" w:cstheme="minorHAnsi"/>
          <w:lang w:eastAsia="en-GB"/>
        </w:rPr>
        <w:t>Q4-</w:t>
      </w:r>
      <w:r w:rsidR="00FA4304">
        <w:rPr>
          <w:rFonts w:eastAsia="Times New Roman" w:cstheme="minorHAnsi"/>
          <w:lang w:eastAsia="en-GB"/>
        </w:rPr>
        <w:t>2018</w:t>
      </w:r>
      <w:r w:rsidR="00FA4304" w:rsidRPr="00334E5F">
        <w:rPr>
          <w:rFonts w:eastAsia="Times New Roman" w:cstheme="minorHAnsi"/>
          <w:lang w:eastAsia="en-GB"/>
        </w:rPr>
        <w:t>.</w:t>
      </w:r>
      <w:r w:rsidR="00665D98" w:rsidRPr="00334E5F" w:rsidDel="00665D98">
        <w:rPr>
          <w:rFonts w:eastAsia="Times New Roman" w:cstheme="minorHAnsi"/>
          <w:lang w:eastAsia="en-GB"/>
        </w:rPr>
        <w:t xml:space="preserve"> </w:t>
      </w:r>
      <w:r>
        <w:rPr>
          <w:rFonts w:eastAsia="Times New Roman" w:cstheme="minorHAnsi"/>
          <w:lang w:eastAsia="en-GB"/>
        </w:rPr>
        <w:t>We observe</w:t>
      </w:r>
      <w:r w:rsidR="00AF16BD">
        <w:rPr>
          <w:rFonts w:eastAsia="Times New Roman" w:cstheme="minorHAnsi"/>
          <w:lang w:eastAsia="en-GB"/>
        </w:rPr>
        <w:t>d</w:t>
      </w:r>
      <w:r>
        <w:rPr>
          <w:rFonts w:eastAsia="Times New Roman" w:cstheme="minorHAnsi"/>
          <w:lang w:eastAsia="en-GB"/>
        </w:rPr>
        <w:t xml:space="preserve"> </w:t>
      </w:r>
      <w:r w:rsidR="00464DB2">
        <w:rPr>
          <w:rFonts w:eastAsia="Times New Roman" w:cstheme="minorHAnsi"/>
          <w:lang w:eastAsia="en-GB"/>
        </w:rPr>
        <w:t xml:space="preserve">a decrease in </w:t>
      </w:r>
      <w:r w:rsidR="00FA4304" w:rsidRPr="00334E5F">
        <w:rPr>
          <w:rFonts w:eastAsia="Times New Roman" w:cstheme="minorHAnsi"/>
          <w:lang w:eastAsia="en-GB"/>
        </w:rPr>
        <w:t xml:space="preserve">the number of </w:t>
      </w:r>
      <w:r w:rsidR="00464DB2">
        <w:rPr>
          <w:rFonts w:eastAsia="Times New Roman" w:cstheme="minorHAnsi"/>
          <w:lang w:eastAsia="en-GB"/>
        </w:rPr>
        <w:t xml:space="preserve">new </w:t>
      </w:r>
      <w:r w:rsidR="00FA4304" w:rsidRPr="00334E5F">
        <w:rPr>
          <w:rFonts w:eastAsia="Times New Roman" w:cstheme="minorHAnsi"/>
          <w:lang w:eastAsia="en-GB"/>
        </w:rPr>
        <w:t>patients from 1.15 million in 2004 to 782</w:t>
      </w:r>
      <w:r w:rsidR="001461CF">
        <w:rPr>
          <w:rFonts w:eastAsia="Times New Roman" w:cstheme="minorHAnsi"/>
          <w:lang w:eastAsia="en-GB"/>
        </w:rPr>
        <w:t>,000</w:t>
      </w:r>
      <w:r w:rsidR="00FA4304" w:rsidRPr="00334E5F">
        <w:rPr>
          <w:rFonts w:eastAsia="Times New Roman" w:cstheme="minorHAnsi"/>
          <w:lang w:eastAsia="en-GB"/>
        </w:rPr>
        <w:t xml:space="preserve"> in 2018. </w:t>
      </w:r>
      <w:r w:rsidR="001461CF">
        <w:rPr>
          <w:rFonts w:eastAsia="Times New Roman" w:cstheme="minorHAnsi"/>
          <w:lang w:eastAsia="en-GB"/>
        </w:rPr>
        <w:t>T</w:t>
      </w:r>
      <w:r w:rsidR="00FA4304" w:rsidRPr="00334E5F">
        <w:rPr>
          <w:rFonts w:eastAsia="Times New Roman" w:cstheme="minorHAnsi"/>
          <w:lang w:eastAsia="en-GB"/>
        </w:rPr>
        <w:t xml:space="preserve">he total cost of the first prescription episode </w:t>
      </w:r>
      <w:r w:rsidR="00464DB2">
        <w:rPr>
          <w:rFonts w:eastAsia="Times New Roman" w:cstheme="minorHAnsi"/>
          <w:lang w:eastAsia="en-GB"/>
        </w:rPr>
        <w:t>for these new patients decreased</w:t>
      </w:r>
      <w:r w:rsidR="00FA4304" w:rsidRPr="00334E5F">
        <w:rPr>
          <w:rFonts w:eastAsia="Times New Roman" w:cstheme="minorHAnsi"/>
          <w:lang w:eastAsia="en-GB"/>
        </w:rPr>
        <w:t xml:space="preserve"> from £26.9 million in 2004 to £862</w:t>
      </w:r>
      <w:r w:rsidR="00665D98">
        <w:rPr>
          <w:rFonts w:eastAsia="Times New Roman" w:cstheme="minorHAnsi"/>
          <w:lang w:eastAsia="en-GB"/>
        </w:rPr>
        <w:t>,</w:t>
      </w:r>
      <w:r w:rsidR="004B6512">
        <w:rPr>
          <w:rFonts w:eastAsia="Times New Roman" w:cstheme="minorHAnsi"/>
          <w:lang w:eastAsia="en-GB"/>
        </w:rPr>
        <w:t>000</w:t>
      </w:r>
      <w:r w:rsidR="00FA4304" w:rsidRPr="00334E5F">
        <w:rPr>
          <w:rFonts w:eastAsia="Times New Roman" w:cstheme="minorHAnsi"/>
          <w:lang w:eastAsia="en-GB"/>
        </w:rPr>
        <w:t xml:space="preserve"> </w:t>
      </w:r>
      <w:r w:rsidR="002A0127">
        <w:rPr>
          <w:rFonts w:eastAsia="Times New Roman" w:cstheme="minorHAnsi"/>
          <w:lang w:eastAsia="en-GB"/>
        </w:rPr>
        <w:t xml:space="preserve">in </w:t>
      </w:r>
      <w:r w:rsidR="00FA4304" w:rsidRPr="00334E5F">
        <w:rPr>
          <w:rFonts w:eastAsia="Times New Roman" w:cstheme="minorHAnsi"/>
          <w:lang w:eastAsia="en-GB"/>
        </w:rPr>
        <w:t>2018</w:t>
      </w:r>
      <w:r w:rsidR="00606110">
        <w:rPr>
          <w:rFonts w:eastAsia="Times New Roman" w:cstheme="minorHAnsi"/>
          <w:lang w:eastAsia="en-GB"/>
        </w:rPr>
        <w:t xml:space="preserve"> (a 96.8 percentage decrease)</w:t>
      </w:r>
      <w:r w:rsidR="004B6512">
        <w:rPr>
          <w:rFonts w:eastAsia="Times New Roman" w:cstheme="minorHAnsi"/>
          <w:lang w:eastAsia="en-GB"/>
        </w:rPr>
        <w:t xml:space="preserve">, </w:t>
      </w:r>
      <w:r w:rsidR="002A0127">
        <w:rPr>
          <w:rFonts w:eastAsia="Times New Roman" w:cstheme="minorHAnsi"/>
          <w:lang w:eastAsia="en-GB"/>
        </w:rPr>
        <w:t xml:space="preserve">due to </w:t>
      </w:r>
      <w:r w:rsidR="004B6512">
        <w:rPr>
          <w:rFonts w:eastAsia="Times New Roman" w:cstheme="minorHAnsi"/>
          <w:lang w:eastAsia="en-GB"/>
        </w:rPr>
        <w:t xml:space="preserve">the </w:t>
      </w:r>
      <w:r w:rsidR="00464DB2">
        <w:rPr>
          <w:rFonts w:eastAsia="Times New Roman" w:cstheme="minorHAnsi"/>
          <w:lang w:eastAsia="en-GB"/>
        </w:rPr>
        <w:t xml:space="preserve">reduction in the number </w:t>
      </w:r>
      <w:r w:rsidR="002A0127">
        <w:rPr>
          <w:rFonts w:eastAsia="Times New Roman" w:cstheme="minorHAnsi"/>
          <w:lang w:eastAsia="en-GB"/>
        </w:rPr>
        <w:t xml:space="preserve">of new patients </w:t>
      </w:r>
      <w:r w:rsidR="001175B4">
        <w:rPr>
          <w:rFonts w:eastAsia="Times New Roman" w:cstheme="minorHAnsi"/>
          <w:lang w:eastAsia="en-GB"/>
        </w:rPr>
        <w:t>as well as</w:t>
      </w:r>
      <w:r w:rsidR="002A0127">
        <w:rPr>
          <w:rFonts w:eastAsia="Times New Roman" w:cstheme="minorHAnsi"/>
          <w:lang w:eastAsia="en-GB"/>
        </w:rPr>
        <w:t xml:space="preserve"> </w:t>
      </w:r>
      <w:r w:rsidR="00464DB2">
        <w:rPr>
          <w:rFonts w:eastAsia="Times New Roman" w:cstheme="minorHAnsi"/>
          <w:lang w:eastAsia="en-GB"/>
        </w:rPr>
        <w:t xml:space="preserve">the acquisition costs of </w:t>
      </w:r>
      <w:r w:rsidR="002B7F89">
        <w:rPr>
          <w:rFonts w:eastAsia="Times New Roman" w:cstheme="minorHAnsi"/>
          <w:lang w:eastAsia="en-GB"/>
        </w:rPr>
        <w:t>statin</w:t>
      </w:r>
      <w:r w:rsidR="00464DB2">
        <w:rPr>
          <w:rFonts w:eastAsia="Times New Roman" w:cstheme="minorHAnsi"/>
          <w:lang w:eastAsia="en-GB"/>
        </w:rPr>
        <w:t>s</w:t>
      </w:r>
      <w:r w:rsidR="00FA4304" w:rsidRPr="00334E5F">
        <w:rPr>
          <w:rFonts w:eastAsia="Times New Roman" w:cstheme="minorHAnsi"/>
          <w:lang w:eastAsia="en-GB"/>
        </w:rPr>
        <w:t xml:space="preserve">. </w:t>
      </w:r>
    </w:p>
    <w:p w14:paraId="2E64B06C" w14:textId="4145CFB9" w:rsidR="00196B93" w:rsidRPr="003B688A" w:rsidRDefault="00665D98" w:rsidP="007144CB">
      <w:pPr>
        <w:spacing w:after="0" w:line="240" w:lineRule="auto"/>
        <w:jc w:val="both"/>
        <w:rPr>
          <w:rFonts w:eastAsia="Times New Roman" w:cstheme="minorHAnsi"/>
          <w:i/>
          <w:lang w:eastAsia="en-GB"/>
        </w:rPr>
      </w:pPr>
      <w:r>
        <w:rPr>
          <w:rFonts w:eastAsia="Times New Roman" w:cstheme="minorHAnsi"/>
          <w:lang w:eastAsia="en-GB"/>
        </w:rPr>
        <w:t xml:space="preserve"> </w:t>
      </w:r>
    </w:p>
    <w:p w14:paraId="252E0775" w14:textId="16FAD865" w:rsidR="00CC2888" w:rsidRDefault="00FA4304" w:rsidP="007144CB">
      <w:pPr>
        <w:spacing w:after="0" w:line="240" w:lineRule="auto"/>
        <w:jc w:val="both"/>
        <w:outlineLvl w:val="4"/>
        <w:rPr>
          <w:rFonts w:eastAsia="Times New Roman" w:cstheme="minorHAnsi"/>
          <w:b/>
          <w:bCs/>
          <w:lang w:eastAsia="en-GB"/>
        </w:rPr>
      </w:pPr>
      <w:r>
        <w:rPr>
          <w:rFonts w:eastAsia="Times New Roman" w:cstheme="minorHAnsi"/>
          <w:lang w:eastAsia="en-GB"/>
        </w:rPr>
        <w:t xml:space="preserve">Overall, </w:t>
      </w:r>
      <w:r w:rsidR="004B6512">
        <w:rPr>
          <w:rFonts w:eastAsia="Times New Roman" w:cstheme="minorHAnsi"/>
          <w:lang w:eastAsia="en-GB"/>
        </w:rPr>
        <w:t xml:space="preserve">a </w:t>
      </w:r>
      <w:r>
        <w:rPr>
          <w:rFonts w:eastAsia="Times New Roman" w:cstheme="minorHAnsi"/>
          <w:lang w:eastAsia="en-GB"/>
        </w:rPr>
        <w:t xml:space="preserve">saving of </w:t>
      </w:r>
      <w:r w:rsidRPr="00334E5F">
        <w:rPr>
          <w:rFonts w:eastAsia="Times New Roman" w:cstheme="minorHAnsi"/>
          <w:lang w:eastAsia="en-GB"/>
        </w:rPr>
        <w:t>£16.6</w:t>
      </w:r>
      <w:r>
        <w:rPr>
          <w:rFonts w:eastAsia="Times New Roman" w:cstheme="minorHAnsi"/>
          <w:lang w:eastAsia="en-GB"/>
        </w:rPr>
        <w:t>7</w:t>
      </w:r>
      <w:r w:rsidRPr="00334E5F">
        <w:rPr>
          <w:rFonts w:eastAsia="Times New Roman" w:cstheme="minorHAnsi"/>
          <w:lang w:eastAsia="en-GB"/>
        </w:rPr>
        <w:t xml:space="preserve"> </w:t>
      </w:r>
      <w:r w:rsidR="00384A33" w:rsidRPr="00334E5F">
        <w:rPr>
          <w:rFonts w:eastAsia="Times New Roman" w:cstheme="minorHAnsi"/>
          <w:lang w:eastAsia="en-GB"/>
        </w:rPr>
        <w:t>million,</w:t>
      </w:r>
      <w:r w:rsidRPr="00334E5F">
        <w:rPr>
          <w:rFonts w:eastAsia="Times New Roman" w:cstheme="minorHAnsi"/>
          <w:lang w:eastAsia="en-GB"/>
        </w:rPr>
        <w:t xml:space="preserve"> or 21.8 percent of the total actual cost</w:t>
      </w:r>
      <w:r w:rsidR="00FA6504">
        <w:rPr>
          <w:rFonts w:eastAsia="Times New Roman" w:cstheme="minorHAnsi"/>
          <w:lang w:eastAsia="en-GB"/>
        </w:rPr>
        <w:t xml:space="preserve"> </w:t>
      </w:r>
      <w:r w:rsidR="00464DB2">
        <w:rPr>
          <w:rFonts w:eastAsia="Times New Roman" w:cstheme="minorHAnsi"/>
          <w:lang w:eastAsia="en-GB"/>
        </w:rPr>
        <w:t>could have been</w:t>
      </w:r>
      <w:r>
        <w:rPr>
          <w:rFonts w:eastAsia="Times New Roman" w:cstheme="minorHAnsi"/>
          <w:lang w:eastAsia="en-GB"/>
        </w:rPr>
        <w:t xml:space="preserve"> realised</w:t>
      </w:r>
      <w:r w:rsidR="00FA6504">
        <w:rPr>
          <w:rFonts w:eastAsia="Times New Roman" w:cstheme="minorHAnsi"/>
          <w:lang w:eastAsia="en-GB"/>
        </w:rPr>
        <w:t xml:space="preserve"> for the first 28 days of treatment alone</w:t>
      </w:r>
      <w:r>
        <w:rPr>
          <w:rFonts w:eastAsia="Times New Roman" w:cstheme="minorHAnsi"/>
          <w:lang w:eastAsia="en-GB"/>
        </w:rPr>
        <w:t xml:space="preserve"> </w:t>
      </w:r>
      <w:r w:rsidR="000271EC">
        <w:rPr>
          <w:rFonts w:eastAsia="Times New Roman" w:cstheme="minorHAnsi"/>
          <w:lang w:eastAsia="en-GB"/>
        </w:rPr>
        <w:t>if GPs had prescribed s</w:t>
      </w:r>
      <w:r w:rsidR="00464DB2">
        <w:rPr>
          <w:rFonts w:eastAsia="Times New Roman" w:cstheme="minorHAnsi"/>
          <w:lang w:eastAsia="en-GB"/>
        </w:rPr>
        <w:t>imva</w:t>
      </w:r>
      <w:r w:rsidR="002B7F89">
        <w:rPr>
          <w:rFonts w:eastAsia="Times New Roman" w:cstheme="minorHAnsi"/>
          <w:lang w:eastAsia="en-GB"/>
        </w:rPr>
        <w:t>statin</w:t>
      </w:r>
      <w:r w:rsidR="00464DB2">
        <w:rPr>
          <w:rFonts w:eastAsia="Times New Roman" w:cstheme="minorHAnsi"/>
          <w:lang w:eastAsia="en-GB"/>
        </w:rPr>
        <w:t xml:space="preserve"> as </w:t>
      </w:r>
      <w:r>
        <w:rPr>
          <w:rFonts w:eastAsia="Times New Roman" w:cstheme="minorHAnsi"/>
          <w:lang w:eastAsia="en-GB"/>
        </w:rPr>
        <w:t xml:space="preserve">initial drug treatment </w:t>
      </w:r>
      <w:r w:rsidR="00464DB2">
        <w:rPr>
          <w:rFonts w:eastAsia="Times New Roman" w:cstheme="minorHAnsi"/>
          <w:lang w:eastAsia="en-GB"/>
        </w:rPr>
        <w:t xml:space="preserve">before </w:t>
      </w:r>
      <w:r w:rsidR="00F451E3">
        <w:rPr>
          <w:rFonts w:eastAsia="Times New Roman" w:cstheme="minorHAnsi"/>
          <w:lang w:eastAsia="en-GB"/>
        </w:rPr>
        <w:t xml:space="preserve">May </w:t>
      </w:r>
      <w:r w:rsidR="00464DB2">
        <w:rPr>
          <w:rFonts w:eastAsia="Times New Roman" w:cstheme="minorHAnsi"/>
          <w:lang w:eastAsia="en-GB"/>
        </w:rPr>
        <w:t>2012 and</w:t>
      </w:r>
      <w:r w:rsidR="000271EC">
        <w:rPr>
          <w:rFonts w:eastAsia="Times New Roman" w:cstheme="minorHAnsi"/>
          <w:lang w:eastAsia="en-GB"/>
        </w:rPr>
        <w:t xml:space="preserve"> a</w:t>
      </w:r>
      <w:r>
        <w:rPr>
          <w:rFonts w:eastAsia="Times New Roman" w:cstheme="minorHAnsi"/>
          <w:lang w:eastAsia="en-GB"/>
        </w:rPr>
        <w:t>torva</w:t>
      </w:r>
      <w:r w:rsidR="002B7F89">
        <w:rPr>
          <w:rFonts w:eastAsia="Times New Roman" w:cstheme="minorHAnsi"/>
          <w:lang w:eastAsia="en-GB"/>
        </w:rPr>
        <w:t>statin</w:t>
      </w:r>
      <w:r>
        <w:rPr>
          <w:rFonts w:eastAsia="Times New Roman" w:cstheme="minorHAnsi"/>
          <w:lang w:eastAsia="en-GB"/>
        </w:rPr>
        <w:t xml:space="preserve"> </w:t>
      </w:r>
      <w:r w:rsidR="00083952">
        <w:rPr>
          <w:rFonts w:eastAsia="Times New Roman" w:cstheme="minorHAnsi"/>
          <w:lang w:eastAsia="en-GB"/>
        </w:rPr>
        <w:t>after May 2012</w:t>
      </w:r>
      <w:r>
        <w:rPr>
          <w:rFonts w:eastAsia="Times New Roman" w:cstheme="minorHAnsi"/>
          <w:lang w:eastAsia="en-GB"/>
        </w:rPr>
        <w:t>.</w:t>
      </w:r>
      <w:r w:rsidR="00B523D9">
        <w:rPr>
          <w:rFonts w:eastAsia="Times New Roman" w:cstheme="minorHAnsi"/>
          <w:lang w:eastAsia="en-GB"/>
        </w:rPr>
        <w:t xml:space="preserve"> M</w:t>
      </w:r>
      <w:r w:rsidR="00814AD9">
        <w:rPr>
          <w:rFonts w:eastAsia="Times New Roman" w:cstheme="minorHAnsi"/>
          <w:lang w:eastAsia="en-GB"/>
        </w:rPr>
        <w:t xml:space="preserve">ost of the </w:t>
      </w:r>
      <w:r w:rsidR="00100E4C">
        <w:rPr>
          <w:rFonts w:eastAsia="Times New Roman" w:cstheme="minorHAnsi"/>
          <w:lang w:eastAsia="en-GB"/>
        </w:rPr>
        <w:t xml:space="preserve">hypothetical </w:t>
      </w:r>
      <w:r w:rsidR="00814AD9">
        <w:rPr>
          <w:rFonts w:eastAsia="Times New Roman" w:cstheme="minorHAnsi"/>
          <w:lang w:eastAsia="en-GB"/>
        </w:rPr>
        <w:t>savings accru</w:t>
      </w:r>
      <w:r w:rsidR="00100E4C">
        <w:rPr>
          <w:rFonts w:eastAsia="Times New Roman" w:cstheme="minorHAnsi"/>
          <w:lang w:eastAsia="en-GB"/>
        </w:rPr>
        <w:t>e</w:t>
      </w:r>
      <w:r w:rsidR="00AF16BD">
        <w:rPr>
          <w:rFonts w:eastAsia="Times New Roman" w:cstheme="minorHAnsi"/>
          <w:lang w:eastAsia="en-GB"/>
        </w:rPr>
        <w:t>d</w:t>
      </w:r>
      <w:r w:rsidR="00814AD9">
        <w:rPr>
          <w:rFonts w:eastAsia="Times New Roman" w:cstheme="minorHAnsi"/>
          <w:lang w:eastAsia="en-GB"/>
        </w:rPr>
        <w:t xml:space="preserve"> over the period 2008-2012 whe</w:t>
      </w:r>
      <w:r w:rsidR="00DF5353">
        <w:rPr>
          <w:rFonts w:eastAsia="Times New Roman" w:cstheme="minorHAnsi"/>
          <w:lang w:eastAsia="en-GB"/>
        </w:rPr>
        <w:t>n cheap generic version</w:t>
      </w:r>
      <w:r w:rsidR="005C51B6">
        <w:rPr>
          <w:rFonts w:eastAsia="Times New Roman" w:cstheme="minorHAnsi"/>
          <w:lang w:eastAsia="en-GB"/>
        </w:rPr>
        <w:t>s</w:t>
      </w:r>
      <w:r w:rsidR="000271EC">
        <w:rPr>
          <w:rFonts w:eastAsia="Times New Roman" w:cstheme="minorHAnsi"/>
          <w:lang w:eastAsia="en-GB"/>
        </w:rPr>
        <w:t xml:space="preserve"> of s</w:t>
      </w:r>
      <w:r w:rsidR="005923F4">
        <w:rPr>
          <w:rFonts w:eastAsia="Times New Roman" w:cstheme="minorHAnsi"/>
          <w:lang w:eastAsia="en-GB"/>
        </w:rPr>
        <w:t>imva</w:t>
      </w:r>
      <w:r w:rsidR="002B7F89">
        <w:rPr>
          <w:rFonts w:eastAsia="Times New Roman" w:cstheme="minorHAnsi"/>
          <w:lang w:eastAsia="en-GB"/>
        </w:rPr>
        <w:t>statin</w:t>
      </w:r>
      <w:r w:rsidR="005923F4">
        <w:rPr>
          <w:rFonts w:eastAsia="Times New Roman" w:cstheme="minorHAnsi"/>
          <w:lang w:eastAsia="en-GB"/>
        </w:rPr>
        <w:t xml:space="preserve"> </w:t>
      </w:r>
      <w:r w:rsidR="00AF16BD">
        <w:rPr>
          <w:rFonts w:eastAsia="Times New Roman" w:cstheme="minorHAnsi"/>
          <w:lang w:eastAsia="en-GB"/>
        </w:rPr>
        <w:t>became</w:t>
      </w:r>
      <w:r w:rsidR="005923F4">
        <w:rPr>
          <w:rFonts w:eastAsia="Times New Roman" w:cstheme="minorHAnsi"/>
          <w:lang w:eastAsia="en-GB"/>
        </w:rPr>
        <w:t xml:space="preserve"> available on the market </w:t>
      </w:r>
      <w:r w:rsidR="00665D98">
        <w:rPr>
          <w:rFonts w:eastAsia="Times New Roman" w:cstheme="minorHAnsi"/>
          <w:lang w:eastAsia="en-GB"/>
        </w:rPr>
        <w:t xml:space="preserve">and </w:t>
      </w:r>
      <w:r w:rsidR="000271EC">
        <w:rPr>
          <w:rFonts w:eastAsia="Times New Roman" w:cstheme="minorHAnsi"/>
          <w:lang w:eastAsia="en-GB"/>
        </w:rPr>
        <w:t>a</w:t>
      </w:r>
      <w:r w:rsidR="00814AD9">
        <w:rPr>
          <w:rFonts w:eastAsia="Times New Roman" w:cstheme="minorHAnsi"/>
          <w:lang w:eastAsia="en-GB"/>
        </w:rPr>
        <w:t>torva</w:t>
      </w:r>
      <w:r w:rsidR="002B7F89">
        <w:rPr>
          <w:rFonts w:eastAsia="Times New Roman" w:cstheme="minorHAnsi"/>
          <w:lang w:eastAsia="en-GB"/>
        </w:rPr>
        <w:t>statin</w:t>
      </w:r>
      <w:r w:rsidR="00665D98">
        <w:rPr>
          <w:rFonts w:eastAsia="Times New Roman" w:cstheme="minorHAnsi"/>
          <w:lang w:eastAsia="en-GB"/>
        </w:rPr>
        <w:t xml:space="preserve"> </w:t>
      </w:r>
      <w:r w:rsidR="00AF16BD">
        <w:rPr>
          <w:rFonts w:eastAsia="Times New Roman" w:cstheme="minorHAnsi"/>
          <w:lang w:eastAsia="en-GB"/>
        </w:rPr>
        <w:t>wa</w:t>
      </w:r>
      <w:r w:rsidR="005C51B6">
        <w:rPr>
          <w:rFonts w:eastAsia="Times New Roman" w:cstheme="minorHAnsi"/>
          <w:lang w:eastAsia="en-GB"/>
        </w:rPr>
        <w:t xml:space="preserve">s still </w:t>
      </w:r>
      <w:r w:rsidR="00665D98">
        <w:rPr>
          <w:rFonts w:eastAsia="Times New Roman" w:cstheme="minorHAnsi"/>
          <w:lang w:eastAsia="en-GB"/>
        </w:rPr>
        <w:t xml:space="preserve">under </w:t>
      </w:r>
      <w:r w:rsidR="005C51B6">
        <w:rPr>
          <w:rFonts w:eastAsia="Times New Roman" w:cstheme="minorHAnsi"/>
          <w:lang w:eastAsia="en-GB"/>
        </w:rPr>
        <w:t>patent protection</w:t>
      </w:r>
      <w:r w:rsidR="00814AD9">
        <w:rPr>
          <w:rFonts w:eastAsia="Times New Roman" w:cstheme="minorHAnsi"/>
          <w:lang w:eastAsia="en-GB"/>
        </w:rPr>
        <w:t xml:space="preserve">. After May 2012, once </w:t>
      </w:r>
      <w:r w:rsidR="00DF5353">
        <w:rPr>
          <w:rFonts w:eastAsia="Times New Roman" w:cstheme="minorHAnsi"/>
          <w:lang w:eastAsia="en-GB"/>
        </w:rPr>
        <w:t>generic</w:t>
      </w:r>
      <w:r w:rsidR="000271EC">
        <w:rPr>
          <w:rFonts w:eastAsia="Times New Roman" w:cstheme="minorHAnsi"/>
          <w:lang w:eastAsia="en-GB"/>
        </w:rPr>
        <w:t>s of a</w:t>
      </w:r>
      <w:r w:rsidR="00100E4C">
        <w:rPr>
          <w:rFonts w:eastAsia="Times New Roman" w:cstheme="minorHAnsi"/>
          <w:lang w:eastAsia="en-GB"/>
        </w:rPr>
        <w:t>torva</w:t>
      </w:r>
      <w:r w:rsidR="002B7F89">
        <w:rPr>
          <w:rFonts w:eastAsia="Times New Roman" w:cstheme="minorHAnsi"/>
          <w:lang w:eastAsia="en-GB"/>
        </w:rPr>
        <w:t>statin</w:t>
      </w:r>
      <w:r w:rsidR="00100E4C">
        <w:rPr>
          <w:rFonts w:eastAsia="Times New Roman" w:cstheme="minorHAnsi"/>
          <w:lang w:eastAsia="en-GB"/>
        </w:rPr>
        <w:t xml:space="preserve"> also enter</w:t>
      </w:r>
      <w:r w:rsidR="00AF16BD">
        <w:rPr>
          <w:rFonts w:eastAsia="Times New Roman" w:cstheme="minorHAnsi"/>
          <w:lang w:eastAsia="en-GB"/>
        </w:rPr>
        <w:t>ed</w:t>
      </w:r>
      <w:r w:rsidR="00100E4C">
        <w:rPr>
          <w:rFonts w:eastAsia="Times New Roman" w:cstheme="minorHAnsi"/>
          <w:lang w:eastAsia="en-GB"/>
        </w:rPr>
        <w:t xml:space="preserve"> the market</w:t>
      </w:r>
      <w:r w:rsidR="00296B26">
        <w:rPr>
          <w:rFonts w:eastAsia="Times New Roman" w:cstheme="minorHAnsi"/>
          <w:lang w:eastAsia="en-GB"/>
        </w:rPr>
        <w:t>,</w:t>
      </w:r>
      <w:r w:rsidR="00100E4C">
        <w:rPr>
          <w:rFonts w:eastAsia="Times New Roman" w:cstheme="minorHAnsi"/>
          <w:lang w:eastAsia="en-GB"/>
        </w:rPr>
        <w:t xml:space="preserve"> </w:t>
      </w:r>
      <w:r w:rsidR="00B53EDA">
        <w:rPr>
          <w:rFonts w:eastAsia="Times New Roman" w:cstheme="minorHAnsi"/>
          <w:lang w:eastAsia="en-GB"/>
        </w:rPr>
        <w:t xml:space="preserve">hypothetical </w:t>
      </w:r>
      <w:r w:rsidR="005C51B6">
        <w:rPr>
          <w:rFonts w:eastAsia="Times New Roman" w:cstheme="minorHAnsi"/>
          <w:lang w:eastAsia="en-GB"/>
        </w:rPr>
        <w:t>savings</w:t>
      </w:r>
      <w:r w:rsidR="00D97217">
        <w:rPr>
          <w:rFonts w:eastAsia="Times New Roman" w:cstheme="minorHAnsi"/>
          <w:lang w:eastAsia="en-GB"/>
        </w:rPr>
        <w:t xml:space="preserve"> on</w:t>
      </w:r>
      <w:r w:rsidR="00296B26">
        <w:rPr>
          <w:rFonts w:eastAsia="Times New Roman" w:cstheme="minorHAnsi"/>
          <w:lang w:eastAsia="en-GB"/>
        </w:rPr>
        <w:t xml:space="preserve"> first prescription</w:t>
      </w:r>
      <w:r w:rsidR="00DF5353">
        <w:rPr>
          <w:rFonts w:eastAsia="Times New Roman" w:cstheme="minorHAnsi"/>
          <w:lang w:eastAsia="en-GB"/>
        </w:rPr>
        <w:t xml:space="preserve"> episodes </w:t>
      </w:r>
      <w:r w:rsidR="00AF16BD">
        <w:rPr>
          <w:rFonts w:eastAsia="Times New Roman" w:cstheme="minorHAnsi"/>
          <w:lang w:eastAsia="en-GB"/>
        </w:rPr>
        <w:t>we</w:t>
      </w:r>
      <w:r w:rsidR="0096184E">
        <w:rPr>
          <w:rFonts w:eastAsia="Times New Roman" w:cstheme="minorHAnsi"/>
          <w:lang w:eastAsia="en-GB"/>
        </w:rPr>
        <w:t xml:space="preserve">re mainly accredited to </w:t>
      </w:r>
      <w:r w:rsidR="00100E4C">
        <w:rPr>
          <w:rFonts w:eastAsia="Times New Roman" w:cstheme="minorHAnsi"/>
          <w:lang w:eastAsia="en-GB"/>
        </w:rPr>
        <w:t xml:space="preserve">switching from </w:t>
      </w:r>
      <w:r w:rsidR="000271EC">
        <w:rPr>
          <w:rFonts w:eastAsia="Times New Roman" w:cstheme="minorHAnsi"/>
          <w:lang w:eastAsia="en-GB"/>
        </w:rPr>
        <w:t>r</w:t>
      </w:r>
      <w:r w:rsidR="00DF5353">
        <w:rPr>
          <w:rFonts w:eastAsia="Times New Roman" w:cstheme="minorHAnsi"/>
          <w:lang w:eastAsia="en-GB"/>
        </w:rPr>
        <w:t>osuva</w:t>
      </w:r>
      <w:r w:rsidR="002B7F89">
        <w:rPr>
          <w:rFonts w:eastAsia="Times New Roman" w:cstheme="minorHAnsi"/>
          <w:lang w:eastAsia="en-GB"/>
        </w:rPr>
        <w:t>statin</w:t>
      </w:r>
      <w:r w:rsidR="00DF5353">
        <w:rPr>
          <w:rFonts w:eastAsia="Times New Roman" w:cstheme="minorHAnsi"/>
          <w:lang w:eastAsia="en-GB"/>
        </w:rPr>
        <w:t xml:space="preserve"> </w:t>
      </w:r>
      <w:r w:rsidR="000271EC">
        <w:rPr>
          <w:rFonts w:eastAsia="Times New Roman" w:cstheme="minorHAnsi"/>
          <w:lang w:eastAsia="en-GB"/>
        </w:rPr>
        <w:t>to a</w:t>
      </w:r>
      <w:r w:rsidR="00100E4C">
        <w:rPr>
          <w:rFonts w:eastAsia="Times New Roman" w:cstheme="minorHAnsi"/>
          <w:lang w:eastAsia="en-GB"/>
        </w:rPr>
        <w:t>torva</w:t>
      </w:r>
      <w:r w:rsidR="002B7F89">
        <w:rPr>
          <w:rFonts w:eastAsia="Times New Roman" w:cstheme="minorHAnsi"/>
          <w:lang w:eastAsia="en-GB"/>
        </w:rPr>
        <w:t>statin</w:t>
      </w:r>
      <w:r w:rsidR="005C51B6">
        <w:rPr>
          <w:rFonts w:eastAsia="Times New Roman" w:cstheme="minorHAnsi"/>
          <w:lang w:eastAsia="en-GB"/>
        </w:rPr>
        <w:t xml:space="preserve">. However, </w:t>
      </w:r>
      <w:r w:rsidR="00B53EDA">
        <w:rPr>
          <w:rFonts w:eastAsia="Times New Roman" w:cstheme="minorHAnsi"/>
          <w:lang w:eastAsia="en-GB"/>
        </w:rPr>
        <w:t>the</w:t>
      </w:r>
      <w:r w:rsidR="00152073">
        <w:rPr>
          <w:rFonts w:eastAsia="Times New Roman" w:cstheme="minorHAnsi"/>
          <w:lang w:eastAsia="en-GB"/>
        </w:rPr>
        <w:t xml:space="preserve"> implied </w:t>
      </w:r>
      <w:r w:rsidR="005923F4">
        <w:rPr>
          <w:rFonts w:eastAsia="Times New Roman" w:cstheme="minorHAnsi"/>
          <w:lang w:eastAsia="en-GB"/>
        </w:rPr>
        <w:t xml:space="preserve">savings </w:t>
      </w:r>
      <w:r w:rsidR="00AF16BD">
        <w:rPr>
          <w:rFonts w:eastAsia="Times New Roman" w:cstheme="minorHAnsi"/>
          <w:lang w:eastAsia="en-GB"/>
        </w:rPr>
        <w:t>we</w:t>
      </w:r>
      <w:r w:rsidR="00152073">
        <w:rPr>
          <w:rFonts w:eastAsia="Times New Roman" w:cstheme="minorHAnsi"/>
          <w:lang w:eastAsia="en-GB"/>
        </w:rPr>
        <w:t>re</w:t>
      </w:r>
      <w:r w:rsidR="00DC25AC">
        <w:rPr>
          <w:rFonts w:eastAsia="Times New Roman" w:cstheme="minorHAnsi"/>
          <w:lang w:eastAsia="en-GB"/>
        </w:rPr>
        <w:t xml:space="preserve"> </w:t>
      </w:r>
      <w:r w:rsidR="00152073">
        <w:rPr>
          <w:rFonts w:eastAsia="Times New Roman" w:cstheme="minorHAnsi"/>
          <w:lang w:eastAsia="en-GB"/>
        </w:rPr>
        <w:t>not large</w:t>
      </w:r>
      <w:r w:rsidR="00DC25AC">
        <w:rPr>
          <w:rFonts w:eastAsia="Times New Roman" w:cstheme="minorHAnsi"/>
          <w:lang w:eastAsia="en-GB"/>
        </w:rPr>
        <w:t xml:space="preserve"> </w:t>
      </w:r>
      <w:r w:rsidR="00665D98">
        <w:rPr>
          <w:rFonts w:eastAsia="Times New Roman" w:cstheme="minorHAnsi"/>
          <w:lang w:eastAsia="en-GB"/>
        </w:rPr>
        <w:t xml:space="preserve">as </w:t>
      </w:r>
      <w:r w:rsidR="000271EC">
        <w:rPr>
          <w:rFonts w:eastAsia="Times New Roman" w:cstheme="minorHAnsi"/>
          <w:lang w:eastAsia="en-GB"/>
        </w:rPr>
        <w:t>r</w:t>
      </w:r>
      <w:r w:rsidR="00DC25AC">
        <w:rPr>
          <w:rFonts w:eastAsia="Times New Roman" w:cstheme="minorHAnsi"/>
          <w:lang w:eastAsia="en-GB"/>
        </w:rPr>
        <w:t>osuva</w:t>
      </w:r>
      <w:r w:rsidR="002B7F89">
        <w:rPr>
          <w:rFonts w:eastAsia="Times New Roman" w:cstheme="minorHAnsi"/>
          <w:lang w:eastAsia="en-GB"/>
        </w:rPr>
        <w:t>statin</w:t>
      </w:r>
      <w:r w:rsidR="00DC25AC">
        <w:rPr>
          <w:rFonts w:eastAsia="Times New Roman" w:cstheme="minorHAnsi"/>
          <w:lang w:eastAsia="en-GB"/>
        </w:rPr>
        <w:t xml:space="preserve"> </w:t>
      </w:r>
      <w:r w:rsidR="00665D98">
        <w:rPr>
          <w:rFonts w:eastAsia="Times New Roman" w:cstheme="minorHAnsi"/>
          <w:lang w:eastAsia="en-GB"/>
        </w:rPr>
        <w:t xml:space="preserve">only </w:t>
      </w:r>
      <w:r w:rsidR="00AF16BD">
        <w:rPr>
          <w:rFonts w:eastAsia="Times New Roman" w:cstheme="minorHAnsi"/>
          <w:lang w:eastAsia="en-GB"/>
        </w:rPr>
        <w:t xml:space="preserve">held </w:t>
      </w:r>
      <w:r w:rsidR="00665D98">
        <w:rPr>
          <w:rFonts w:eastAsia="Times New Roman" w:cstheme="minorHAnsi"/>
          <w:lang w:eastAsia="en-GB"/>
        </w:rPr>
        <w:t>a small share of the market</w:t>
      </w:r>
      <w:r w:rsidR="00100E4C">
        <w:rPr>
          <w:rFonts w:eastAsia="Times New Roman" w:cstheme="minorHAnsi"/>
          <w:lang w:eastAsia="en-GB"/>
        </w:rPr>
        <w:t>.</w:t>
      </w:r>
      <w:r w:rsidR="00B523D9">
        <w:rPr>
          <w:rFonts w:eastAsia="Times New Roman" w:cstheme="minorHAnsi"/>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1971C9" w14:paraId="354AF61F" w14:textId="77777777" w:rsidTr="00F47614">
        <w:tc>
          <w:tcPr>
            <w:tcW w:w="9360" w:type="dxa"/>
          </w:tcPr>
          <w:p w14:paraId="27B7F1BD" w14:textId="77777777" w:rsidR="00E6099C" w:rsidRDefault="00C34F1F" w:rsidP="007144CB">
            <w:pPr>
              <w:jc w:val="center"/>
            </w:pPr>
            <w:r>
              <w:rPr>
                <w:b/>
              </w:rPr>
              <w:t>Table 1</w:t>
            </w:r>
            <w:r w:rsidR="001971C9">
              <w:t>: S</w:t>
            </w:r>
            <w:r w:rsidR="001971C9" w:rsidRPr="00C8315C">
              <w:t xml:space="preserve">pending </w:t>
            </w:r>
            <w:r w:rsidR="001971C9">
              <w:t>S</w:t>
            </w:r>
            <w:r w:rsidR="001971C9" w:rsidRPr="00C8315C">
              <w:t xml:space="preserve">imulation </w:t>
            </w:r>
            <w:r w:rsidR="001971C9">
              <w:t>E</w:t>
            </w:r>
            <w:r w:rsidR="001971C9" w:rsidRPr="00C8315C">
              <w:t>xercise</w:t>
            </w:r>
          </w:p>
          <w:p w14:paraId="28B7FBFE" w14:textId="5442F4D8" w:rsidR="00792A80" w:rsidRPr="00E6099C" w:rsidRDefault="00792A80" w:rsidP="007144CB">
            <w:pPr>
              <w:jc w:val="center"/>
            </w:pPr>
          </w:p>
        </w:tc>
      </w:tr>
      <w:tr w:rsidR="001971C9" w14:paraId="428582B4" w14:textId="77777777" w:rsidTr="00F47614">
        <w:tc>
          <w:tcPr>
            <w:tcW w:w="9360" w:type="dxa"/>
          </w:tcPr>
          <w:p w14:paraId="17D0DB9B" w14:textId="77777777" w:rsidR="001971C9" w:rsidRDefault="001971C9" w:rsidP="007144CB">
            <w:pPr>
              <w:jc w:val="center"/>
              <w:rPr>
                <w:rFonts w:eastAsia="Times New Roman" w:cstheme="minorHAnsi"/>
                <w:lang w:eastAsia="en-GB"/>
              </w:rPr>
            </w:pPr>
            <w:r w:rsidRPr="00CD5A56">
              <w:rPr>
                <w:noProof/>
                <w:lang w:eastAsia="en-GB"/>
              </w:rPr>
              <w:drawing>
                <wp:inline distT="0" distB="0" distL="0" distR="0" wp14:anchorId="367D738C" wp14:editId="750655BA">
                  <wp:extent cx="5915025" cy="29353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795" cy="2946694"/>
                          </a:xfrm>
                          <a:prstGeom prst="rect">
                            <a:avLst/>
                          </a:prstGeom>
                          <a:noFill/>
                          <a:ln>
                            <a:noFill/>
                          </a:ln>
                        </pic:spPr>
                      </pic:pic>
                    </a:graphicData>
                  </a:graphic>
                </wp:inline>
              </w:drawing>
            </w:r>
          </w:p>
        </w:tc>
      </w:tr>
      <w:tr w:rsidR="001971C9" w14:paraId="2C75990E" w14:textId="77777777" w:rsidTr="00F47614">
        <w:tc>
          <w:tcPr>
            <w:tcW w:w="9360" w:type="dxa"/>
          </w:tcPr>
          <w:p w14:paraId="16F4127A" w14:textId="77777777" w:rsidR="001971C9" w:rsidRPr="00567510" w:rsidRDefault="001971C9" w:rsidP="007144CB">
            <w:pPr>
              <w:jc w:val="both"/>
            </w:pPr>
            <w:r w:rsidRPr="00022BC0">
              <w:rPr>
                <w:i/>
                <w:iCs/>
                <w:sz w:val="18"/>
                <w:szCs w:val="18"/>
              </w:rPr>
              <w:t>Notes</w:t>
            </w:r>
            <w:r>
              <w:rPr>
                <w:sz w:val="18"/>
                <w:szCs w:val="18"/>
              </w:rPr>
              <w:t>.</w:t>
            </w:r>
            <w:r w:rsidRPr="008B0455">
              <w:rPr>
                <w:sz w:val="18"/>
                <w:szCs w:val="18"/>
              </w:rPr>
              <w:t xml:space="preserve"> Cost figures are expressed in constant 2018 GBP using the GDP deflators at market prices, and money GDP from </w:t>
            </w:r>
            <w:hyperlink r:id="rId16" w:history="1">
              <w:r w:rsidRPr="008B0455">
                <w:rPr>
                  <w:rStyle w:val="Hyperlink"/>
                  <w:sz w:val="18"/>
                  <w:szCs w:val="18"/>
                </w:rPr>
                <w:t>https://www.gov.uk/government/statistics/gdp-deflators-at-market-prices-and-money-gdp-march-2019-spring-statement</w:t>
              </w:r>
            </w:hyperlink>
            <w:r w:rsidRPr="008B0455">
              <w:rPr>
                <w:sz w:val="18"/>
                <w:szCs w:val="18"/>
              </w:rPr>
              <w:t>.</w:t>
            </w:r>
          </w:p>
        </w:tc>
      </w:tr>
    </w:tbl>
    <w:p w14:paraId="4B83C78D" w14:textId="72A6BF66" w:rsidR="00846E4A" w:rsidRDefault="00846E4A" w:rsidP="007144CB">
      <w:pPr>
        <w:spacing w:after="0" w:line="240" w:lineRule="auto"/>
        <w:jc w:val="both"/>
        <w:rPr>
          <w:rFonts w:eastAsia="Times New Roman" w:cstheme="minorHAnsi"/>
          <w:b/>
          <w:lang w:eastAsia="en-GB"/>
        </w:rPr>
      </w:pPr>
    </w:p>
    <w:p w14:paraId="02099230" w14:textId="77777777" w:rsidR="00CC2888" w:rsidRDefault="00CC2888" w:rsidP="007144CB">
      <w:pPr>
        <w:spacing w:after="0" w:line="240" w:lineRule="auto"/>
        <w:jc w:val="both"/>
        <w:rPr>
          <w:rFonts w:eastAsia="Times New Roman" w:cstheme="minorHAnsi"/>
          <w:b/>
          <w:lang w:eastAsia="en-GB"/>
        </w:rPr>
      </w:pPr>
    </w:p>
    <w:p w14:paraId="423FCEEE" w14:textId="63A0EBA0" w:rsidR="001971C9" w:rsidRPr="007144CB" w:rsidRDefault="0095553D" w:rsidP="007144CB">
      <w:pPr>
        <w:spacing w:line="240" w:lineRule="auto"/>
        <w:jc w:val="both"/>
      </w:pPr>
      <w:r>
        <w:rPr>
          <w:rFonts w:eastAsia="Times New Roman" w:cstheme="minorHAnsi"/>
          <w:lang w:eastAsia="en-GB"/>
        </w:rPr>
        <w:t xml:space="preserve">Results for the ‘Second Scenario’ regarding total prescriptions for all existing patients are presented in the right-hand side panel of Table 1. </w:t>
      </w:r>
      <w:r>
        <w:t>The total number of patients on treatment every year increased from 3.8 million in 2004 to 7.6 million in 2018. However, the significant drop in price due to generic entries led to a drastic drop in spending over the same period: from just under £1 billion in 2004 to £95 million in 2018, a 90-percentage decrease. Cumulate spending on statins over the period 2004-2018 totalled £6.3 billion and estimated potential savings were £2.8 billion, or 43.9 percent of the actual spending on statins. As previously, large savings could have been obtained in the period 2004-2012 by switching patients from atorvastatin, which was available only as a branded drug, to simvastatin, that was generic.</w:t>
      </w:r>
    </w:p>
    <w:p w14:paraId="3549B4AD" w14:textId="77777777" w:rsidR="002A77F4" w:rsidRDefault="002A77F4" w:rsidP="007144CB">
      <w:pPr>
        <w:spacing w:after="0" w:line="240" w:lineRule="auto"/>
        <w:jc w:val="both"/>
        <w:rPr>
          <w:rFonts w:eastAsia="Times New Roman" w:cstheme="minorHAnsi"/>
          <w:b/>
          <w:lang w:eastAsia="en-GB"/>
        </w:rPr>
      </w:pPr>
    </w:p>
    <w:p w14:paraId="6BB801A8" w14:textId="35B34188" w:rsidR="00A4413B" w:rsidRDefault="00A34330" w:rsidP="007144CB">
      <w:pPr>
        <w:spacing w:after="0" w:line="240" w:lineRule="auto"/>
        <w:jc w:val="both"/>
        <w:rPr>
          <w:rFonts w:eastAsia="Times New Roman" w:cstheme="minorHAnsi"/>
          <w:b/>
          <w:lang w:eastAsia="en-GB"/>
        </w:rPr>
      </w:pPr>
      <w:r>
        <w:rPr>
          <w:rFonts w:eastAsia="Times New Roman" w:cstheme="minorHAnsi"/>
          <w:b/>
          <w:lang w:eastAsia="en-GB"/>
        </w:rPr>
        <w:t>DISCUSSION</w:t>
      </w:r>
    </w:p>
    <w:p w14:paraId="38E5CAE9" w14:textId="77777777" w:rsidR="002316E3" w:rsidRDefault="002316E3" w:rsidP="007144CB">
      <w:pPr>
        <w:spacing w:after="0" w:line="240" w:lineRule="auto"/>
        <w:jc w:val="both"/>
        <w:rPr>
          <w:rFonts w:eastAsia="Times New Roman" w:cstheme="minorHAnsi"/>
          <w:b/>
          <w:lang w:eastAsia="en-GB"/>
        </w:rPr>
      </w:pPr>
    </w:p>
    <w:p w14:paraId="0603DD70" w14:textId="387782E8" w:rsidR="00912FC7" w:rsidRDefault="00083952" w:rsidP="007144CB">
      <w:pPr>
        <w:spacing w:after="0" w:line="240" w:lineRule="auto"/>
        <w:jc w:val="both"/>
        <w:rPr>
          <w:rFonts w:eastAsia="Times New Roman" w:cstheme="minorHAnsi"/>
          <w:lang w:eastAsia="en-GB"/>
        </w:rPr>
      </w:pPr>
      <w:r>
        <w:rPr>
          <w:rFonts w:eastAsia="Times New Roman" w:cstheme="minorHAnsi"/>
          <w:lang w:eastAsia="en-GB"/>
        </w:rPr>
        <w:t xml:space="preserve">In </w:t>
      </w:r>
      <w:r w:rsidR="00C87F51">
        <w:rPr>
          <w:rFonts w:eastAsia="Times New Roman" w:cstheme="minorHAnsi"/>
          <w:lang w:eastAsia="en-GB"/>
        </w:rPr>
        <w:t xml:space="preserve">resource constrained </w:t>
      </w:r>
      <w:r>
        <w:rPr>
          <w:rFonts w:eastAsia="Times New Roman" w:cstheme="minorHAnsi"/>
          <w:lang w:eastAsia="en-GB"/>
        </w:rPr>
        <w:t xml:space="preserve">health care systems promoting cost-effective </w:t>
      </w:r>
      <w:r w:rsidR="00C87F51">
        <w:rPr>
          <w:rFonts w:eastAsia="Times New Roman" w:cstheme="minorHAnsi"/>
          <w:lang w:eastAsia="en-GB"/>
        </w:rPr>
        <w:t>prescribing</w:t>
      </w:r>
      <w:r>
        <w:rPr>
          <w:rFonts w:eastAsia="Times New Roman" w:cstheme="minorHAnsi"/>
          <w:lang w:eastAsia="en-GB"/>
        </w:rPr>
        <w:t xml:space="preserve"> </w:t>
      </w:r>
      <w:r w:rsidR="00C87F51">
        <w:rPr>
          <w:rFonts w:eastAsia="Times New Roman" w:cstheme="minorHAnsi"/>
          <w:lang w:eastAsia="en-GB"/>
        </w:rPr>
        <w:t>behaviour</w:t>
      </w:r>
      <w:r w:rsidR="00993078">
        <w:rPr>
          <w:rFonts w:eastAsia="Times New Roman" w:cstheme="minorHAnsi"/>
          <w:lang w:eastAsia="en-GB"/>
        </w:rPr>
        <w:t xml:space="preserve"> </w:t>
      </w:r>
      <w:r w:rsidR="00C87F51">
        <w:rPr>
          <w:rFonts w:eastAsia="Times New Roman" w:cstheme="minorHAnsi"/>
          <w:lang w:eastAsia="en-GB"/>
        </w:rPr>
        <w:t xml:space="preserve">is </w:t>
      </w:r>
      <w:r w:rsidR="002A428A">
        <w:rPr>
          <w:rFonts w:eastAsia="Times New Roman" w:cstheme="minorHAnsi"/>
          <w:lang w:eastAsia="en-GB"/>
        </w:rPr>
        <w:t>a</w:t>
      </w:r>
      <w:r w:rsidR="002A428A" w:rsidRPr="002A428A">
        <w:rPr>
          <w:rFonts w:eastAsia="Times New Roman" w:cstheme="minorHAnsi"/>
          <w:lang w:eastAsia="en-GB"/>
        </w:rPr>
        <w:t xml:space="preserve">n important component </w:t>
      </w:r>
      <w:r w:rsidR="00C87F51">
        <w:rPr>
          <w:rFonts w:eastAsia="Times New Roman" w:cstheme="minorHAnsi"/>
          <w:lang w:eastAsia="en-GB"/>
        </w:rPr>
        <w:t>of their cost containment strategy</w:t>
      </w:r>
      <w:r w:rsidR="002A428A">
        <w:rPr>
          <w:rFonts w:eastAsia="Times New Roman" w:cstheme="minorHAnsi"/>
          <w:lang w:eastAsia="en-GB"/>
        </w:rPr>
        <w:t xml:space="preserve">. </w:t>
      </w:r>
      <w:r w:rsidR="00C87F51">
        <w:rPr>
          <w:rFonts w:eastAsia="Times New Roman" w:cstheme="minorHAnsi"/>
          <w:lang w:eastAsia="en-GB"/>
        </w:rPr>
        <w:t>U</w:t>
      </w:r>
      <w:r w:rsidR="00BA5612">
        <w:rPr>
          <w:rFonts w:eastAsia="Times New Roman" w:cstheme="minorHAnsi"/>
          <w:lang w:eastAsia="en-GB"/>
        </w:rPr>
        <w:t>s</w:t>
      </w:r>
      <w:r w:rsidR="00C87F51">
        <w:rPr>
          <w:rFonts w:eastAsia="Times New Roman" w:cstheme="minorHAnsi"/>
          <w:lang w:eastAsia="en-GB"/>
        </w:rPr>
        <w:t>ing</w:t>
      </w:r>
      <w:r w:rsidR="00BA5612">
        <w:rPr>
          <w:rFonts w:eastAsia="Times New Roman" w:cstheme="minorHAnsi"/>
          <w:lang w:eastAsia="en-GB"/>
        </w:rPr>
        <w:t xml:space="preserve"> data </w:t>
      </w:r>
      <w:r w:rsidR="00C87F51">
        <w:rPr>
          <w:rFonts w:eastAsia="Times New Roman" w:cstheme="minorHAnsi"/>
          <w:lang w:eastAsia="en-GB"/>
        </w:rPr>
        <w:t>on</w:t>
      </w:r>
      <w:r w:rsidR="00BA5612">
        <w:rPr>
          <w:rFonts w:eastAsia="Times New Roman" w:cstheme="minorHAnsi"/>
          <w:lang w:eastAsia="en-GB"/>
        </w:rPr>
        <w:t xml:space="preserve"> </w:t>
      </w:r>
      <w:r w:rsidR="002B7F89">
        <w:rPr>
          <w:rFonts w:eastAsia="Times New Roman" w:cstheme="minorHAnsi"/>
          <w:lang w:eastAsia="en-GB"/>
        </w:rPr>
        <w:t>statin</w:t>
      </w:r>
      <w:r w:rsidR="00BA5612">
        <w:rPr>
          <w:rFonts w:eastAsia="Times New Roman" w:cstheme="minorHAnsi"/>
          <w:lang w:eastAsia="en-GB"/>
        </w:rPr>
        <w:t>s</w:t>
      </w:r>
      <w:r w:rsidR="00993078">
        <w:rPr>
          <w:rFonts w:eastAsia="Times New Roman" w:cstheme="minorHAnsi"/>
          <w:lang w:eastAsia="en-GB"/>
        </w:rPr>
        <w:t xml:space="preserve"> </w:t>
      </w:r>
      <w:r w:rsidR="00C87F51">
        <w:rPr>
          <w:rFonts w:eastAsia="Times New Roman" w:cstheme="minorHAnsi"/>
          <w:lang w:eastAsia="en-GB"/>
        </w:rPr>
        <w:t xml:space="preserve">we </w:t>
      </w:r>
      <w:r w:rsidR="00BA5612">
        <w:rPr>
          <w:rFonts w:eastAsia="Times New Roman" w:cstheme="minorHAnsi"/>
          <w:lang w:eastAsia="en-GB"/>
        </w:rPr>
        <w:t>investigate</w:t>
      </w:r>
      <w:r w:rsidR="00AF16BD">
        <w:rPr>
          <w:rFonts w:eastAsia="Times New Roman" w:cstheme="minorHAnsi"/>
          <w:lang w:eastAsia="en-GB"/>
        </w:rPr>
        <w:t>d</w:t>
      </w:r>
      <w:r w:rsidR="002A428A">
        <w:rPr>
          <w:rFonts w:eastAsia="Times New Roman" w:cstheme="minorHAnsi"/>
          <w:lang w:eastAsia="en-GB"/>
        </w:rPr>
        <w:t xml:space="preserve"> how GPs</w:t>
      </w:r>
      <w:r w:rsidR="00AF16BD">
        <w:rPr>
          <w:rFonts w:eastAsia="Times New Roman" w:cstheme="minorHAnsi"/>
          <w:lang w:eastAsia="en-GB"/>
        </w:rPr>
        <w:t>'</w:t>
      </w:r>
      <w:r w:rsidR="002A428A">
        <w:rPr>
          <w:rFonts w:eastAsia="Times New Roman" w:cstheme="minorHAnsi"/>
          <w:lang w:eastAsia="en-GB"/>
        </w:rPr>
        <w:t xml:space="preserve"> prescription choice </w:t>
      </w:r>
      <w:r w:rsidR="00C87F51">
        <w:rPr>
          <w:rFonts w:eastAsia="Times New Roman" w:cstheme="minorHAnsi"/>
          <w:lang w:eastAsia="en-GB"/>
        </w:rPr>
        <w:t xml:space="preserve">in England </w:t>
      </w:r>
      <w:r w:rsidR="002A428A">
        <w:rPr>
          <w:rFonts w:eastAsia="Times New Roman" w:cstheme="minorHAnsi"/>
          <w:lang w:eastAsia="en-GB"/>
        </w:rPr>
        <w:t>change</w:t>
      </w:r>
      <w:r w:rsidR="00AF16BD">
        <w:rPr>
          <w:rFonts w:eastAsia="Times New Roman" w:cstheme="minorHAnsi"/>
          <w:lang w:eastAsia="en-GB"/>
        </w:rPr>
        <w:t>d</w:t>
      </w:r>
      <w:r w:rsidR="002A428A">
        <w:rPr>
          <w:rFonts w:eastAsia="Times New Roman" w:cstheme="minorHAnsi"/>
          <w:lang w:eastAsia="en-GB"/>
        </w:rPr>
        <w:t xml:space="preserve"> in the face of </w:t>
      </w:r>
      <w:r w:rsidR="00107749">
        <w:rPr>
          <w:rFonts w:eastAsia="Times New Roman" w:cstheme="minorHAnsi"/>
          <w:lang w:eastAsia="en-GB"/>
        </w:rPr>
        <w:t>(i) a large reduction in the cost of a</w:t>
      </w:r>
      <w:r w:rsidR="002A428A">
        <w:rPr>
          <w:rFonts w:eastAsia="Times New Roman" w:cstheme="minorHAnsi"/>
          <w:lang w:eastAsia="en-GB"/>
        </w:rPr>
        <w:t xml:space="preserve">vailable treatments and </w:t>
      </w:r>
      <w:r w:rsidR="00107749">
        <w:rPr>
          <w:rFonts w:eastAsia="Times New Roman" w:cstheme="minorHAnsi"/>
          <w:lang w:eastAsia="en-GB"/>
        </w:rPr>
        <w:t xml:space="preserve">(ii) the introduction of specific clinical </w:t>
      </w:r>
      <w:r w:rsidR="00FE083B">
        <w:rPr>
          <w:rFonts w:eastAsia="Times New Roman" w:cstheme="minorHAnsi"/>
          <w:lang w:eastAsia="en-GB"/>
        </w:rPr>
        <w:t xml:space="preserve">guidelines. </w:t>
      </w:r>
      <w:r w:rsidR="003F50FA">
        <w:rPr>
          <w:rFonts w:eastAsia="Times New Roman" w:cstheme="minorHAnsi"/>
          <w:lang w:eastAsia="en-GB"/>
        </w:rPr>
        <w:t xml:space="preserve">We </w:t>
      </w:r>
      <w:r w:rsidR="00AF16BD">
        <w:rPr>
          <w:rFonts w:eastAsia="Times New Roman" w:cstheme="minorHAnsi"/>
          <w:lang w:eastAsia="en-GB"/>
        </w:rPr>
        <w:t>demonstrated substantial</w:t>
      </w:r>
      <w:r w:rsidR="00F63916">
        <w:rPr>
          <w:rFonts w:eastAsia="Times New Roman" w:cstheme="minorHAnsi"/>
          <w:lang w:eastAsia="en-GB"/>
        </w:rPr>
        <w:t xml:space="preserve"> increase</w:t>
      </w:r>
      <w:r w:rsidR="00A23ABF">
        <w:rPr>
          <w:rFonts w:eastAsia="Times New Roman" w:cstheme="minorHAnsi"/>
          <w:lang w:eastAsia="en-GB"/>
        </w:rPr>
        <w:t>s</w:t>
      </w:r>
      <w:r w:rsidR="00F63916">
        <w:rPr>
          <w:rFonts w:eastAsia="Times New Roman" w:cstheme="minorHAnsi"/>
          <w:lang w:eastAsia="en-GB"/>
        </w:rPr>
        <w:t xml:space="preserve"> in market shares </w:t>
      </w:r>
      <w:r w:rsidR="00A23ABF">
        <w:rPr>
          <w:rFonts w:eastAsia="Times New Roman" w:cstheme="minorHAnsi"/>
          <w:lang w:eastAsia="en-GB"/>
        </w:rPr>
        <w:t>for</w:t>
      </w:r>
      <w:r w:rsidR="000271EC">
        <w:rPr>
          <w:rFonts w:eastAsia="Times New Roman" w:cstheme="minorHAnsi"/>
          <w:lang w:eastAsia="en-GB"/>
        </w:rPr>
        <w:t xml:space="preserve"> s</w:t>
      </w:r>
      <w:r w:rsidR="00F63916">
        <w:rPr>
          <w:rFonts w:eastAsia="Times New Roman" w:cstheme="minorHAnsi"/>
          <w:lang w:eastAsia="en-GB"/>
        </w:rPr>
        <w:t>imva</w:t>
      </w:r>
      <w:r w:rsidR="002B7F89">
        <w:rPr>
          <w:rFonts w:eastAsia="Times New Roman" w:cstheme="minorHAnsi"/>
          <w:lang w:eastAsia="en-GB"/>
        </w:rPr>
        <w:t>statin</w:t>
      </w:r>
      <w:r w:rsidR="0082487C">
        <w:rPr>
          <w:rFonts w:eastAsia="Times New Roman" w:cstheme="minorHAnsi"/>
          <w:lang w:eastAsia="en-GB"/>
        </w:rPr>
        <w:t xml:space="preserve"> </w:t>
      </w:r>
      <w:r w:rsidR="00A23ABF">
        <w:rPr>
          <w:rFonts w:eastAsia="Times New Roman" w:cstheme="minorHAnsi"/>
          <w:lang w:eastAsia="en-GB"/>
        </w:rPr>
        <w:t>(</w:t>
      </w:r>
      <w:r w:rsidR="0082487C">
        <w:rPr>
          <w:rFonts w:eastAsia="Times New Roman" w:cstheme="minorHAnsi"/>
          <w:lang w:eastAsia="en-GB"/>
        </w:rPr>
        <w:t>from</w:t>
      </w:r>
      <w:r w:rsidR="00B75A02">
        <w:rPr>
          <w:rFonts w:eastAsia="Times New Roman" w:cstheme="minorHAnsi"/>
          <w:lang w:eastAsia="en-GB"/>
        </w:rPr>
        <w:t xml:space="preserve"> 2004</w:t>
      </w:r>
      <w:r w:rsidR="00A23ABF">
        <w:rPr>
          <w:rFonts w:eastAsia="Times New Roman" w:cstheme="minorHAnsi"/>
          <w:lang w:eastAsia="en-GB"/>
        </w:rPr>
        <w:t>)</w:t>
      </w:r>
      <w:r w:rsidR="00B75A02">
        <w:rPr>
          <w:rFonts w:eastAsia="Times New Roman" w:cstheme="minorHAnsi"/>
          <w:lang w:eastAsia="en-GB"/>
        </w:rPr>
        <w:t xml:space="preserve"> </w:t>
      </w:r>
      <w:r w:rsidR="000271EC">
        <w:rPr>
          <w:rFonts w:eastAsia="Times New Roman" w:cstheme="minorHAnsi"/>
          <w:lang w:eastAsia="en-GB"/>
        </w:rPr>
        <w:t>and a</w:t>
      </w:r>
      <w:r w:rsidR="00F63916">
        <w:rPr>
          <w:rFonts w:eastAsia="Times New Roman" w:cstheme="minorHAnsi"/>
          <w:lang w:eastAsia="en-GB"/>
        </w:rPr>
        <w:t>torva</w:t>
      </w:r>
      <w:r w:rsidR="002B7F89">
        <w:rPr>
          <w:rFonts w:eastAsia="Times New Roman" w:cstheme="minorHAnsi"/>
          <w:lang w:eastAsia="en-GB"/>
        </w:rPr>
        <w:t>statin</w:t>
      </w:r>
      <w:r w:rsidR="0082487C">
        <w:rPr>
          <w:rFonts w:eastAsia="Times New Roman" w:cstheme="minorHAnsi"/>
          <w:lang w:eastAsia="en-GB"/>
        </w:rPr>
        <w:t xml:space="preserve"> </w:t>
      </w:r>
      <w:r w:rsidR="00A23ABF">
        <w:rPr>
          <w:rFonts w:eastAsia="Times New Roman" w:cstheme="minorHAnsi"/>
          <w:lang w:eastAsia="en-GB"/>
        </w:rPr>
        <w:t>(</w:t>
      </w:r>
      <w:r w:rsidR="0082487C">
        <w:rPr>
          <w:rFonts w:eastAsia="Times New Roman" w:cstheme="minorHAnsi"/>
          <w:lang w:eastAsia="en-GB"/>
        </w:rPr>
        <w:t>since</w:t>
      </w:r>
      <w:r w:rsidR="00B75A02">
        <w:rPr>
          <w:rFonts w:eastAsia="Times New Roman" w:cstheme="minorHAnsi"/>
          <w:lang w:eastAsia="en-GB"/>
        </w:rPr>
        <w:t xml:space="preserve"> 2012</w:t>
      </w:r>
      <w:r w:rsidR="00A23ABF">
        <w:rPr>
          <w:rFonts w:eastAsia="Times New Roman" w:cstheme="minorHAnsi"/>
          <w:lang w:eastAsia="en-GB"/>
        </w:rPr>
        <w:t>) as their patents expire</w:t>
      </w:r>
      <w:r w:rsidR="00AF16BD">
        <w:rPr>
          <w:rFonts w:eastAsia="Times New Roman" w:cstheme="minorHAnsi"/>
          <w:lang w:eastAsia="en-GB"/>
        </w:rPr>
        <w:t>d</w:t>
      </w:r>
      <w:r w:rsidR="00A23ABF">
        <w:rPr>
          <w:rFonts w:eastAsia="Times New Roman" w:cstheme="minorHAnsi"/>
          <w:lang w:eastAsia="en-GB"/>
        </w:rPr>
        <w:t xml:space="preserve"> and </w:t>
      </w:r>
      <w:r w:rsidR="00F63916">
        <w:rPr>
          <w:rFonts w:eastAsia="Times New Roman" w:cstheme="minorHAnsi"/>
          <w:lang w:eastAsia="en-GB"/>
        </w:rPr>
        <w:t>cheap generics of the</w:t>
      </w:r>
      <w:r w:rsidR="00B75A02">
        <w:rPr>
          <w:rFonts w:eastAsia="Times New Roman" w:cstheme="minorHAnsi"/>
          <w:lang w:eastAsia="en-GB"/>
        </w:rPr>
        <w:t xml:space="preserve"> two </w:t>
      </w:r>
      <w:r w:rsidR="002B5A49">
        <w:rPr>
          <w:rFonts w:eastAsia="Times New Roman" w:cstheme="minorHAnsi"/>
          <w:lang w:eastAsia="en-GB"/>
        </w:rPr>
        <w:t>medicines</w:t>
      </w:r>
      <w:r w:rsidR="00A23ABF">
        <w:rPr>
          <w:rFonts w:eastAsia="Times New Roman" w:cstheme="minorHAnsi"/>
          <w:lang w:eastAsia="en-GB"/>
        </w:rPr>
        <w:t xml:space="preserve"> enter</w:t>
      </w:r>
      <w:r w:rsidR="00AF16BD">
        <w:rPr>
          <w:rFonts w:eastAsia="Times New Roman" w:cstheme="minorHAnsi"/>
          <w:lang w:eastAsia="en-GB"/>
        </w:rPr>
        <w:t>ed</w:t>
      </w:r>
      <w:r w:rsidR="00A23ABF">
        <w:rPr>
          <w:rFonts w:eastAsia="Times New Roman" w:cstheme="minorHAnsi"/>
          <w:lang w:eastAsia="en-GB"/>
        </w:rPr>
        <w:t xml:space="preserve"> the market</w:t>
      </w:r>
      <w:r w:rsidR="00B75A02">
        <w:rPr>
          <w:rFonts w:eastAsia="Times New Roman" w:cstheme="minorHAnsi"/>
          <w:lang w:eastAsia="en-GB"/>
        </w:rPr>
        <w:t xml:space="preserve">, </w:t>
      </w:r>
      <w:r w:rsidR="00A23ABF">
        <w:rPr>
          <w:rFonts w:eastAsia="Times New Roman" w:cstheme="minorHAnsi"/>
          <w:lang w:eastAsia="en-GB"/>
        </w:rPr>
        <w:t xml:space="preserve">but </w:t>
      </w:r>
      <w:r w:rsidR="00B75A02">
        <w:rPr>
          <w:rFonts w:eastAsia="Times New Roman" w:cstheme="minorHAnsi"/>
          <w:lang w:eastAsia="en-GB"/>
        </w:rPr>
        <w:t xml:space="preserve">well before </w:t>
      </w:r>
      <w:r w:rsidR="00F63916">
        <w:rPr>
          <w:rFonts w:eastAsia="Times New Roman" w:cstheme="minorHAnsi"/>
          <w:lang w:eastAsia="en-GB"/>
        </w:rPr>
        <w:t xml:space="preserve">the introduction of NICE guidelines recommending </w:t>
      </w:r>
      <w:r w:rsidR="00B75A02">
        <w:rPr>
          <w:rFonts w:eastAsia="Times New Roman" w:cstheme="minorHAnsi"/>
          <w:lang w:eastAsia="en-GB"/>
        </w:rPr>
        <w:t xml:space="preserve">the use of </w:t>
      </w:r>
      <w:r w:rsidR="000271EC">
        <w:rPr>
          <w:rFonts w:eastAsia="Times New Roman" w:cstheme="minorHAnsi"/>
          <w:lang w:eastAsia="en-GB"/>
        </w:rPr>
        <w:t>s</w:t>
      </w:r>
      <w:r w:rsidR="007B461D">
        <w:rPr>
          <w:rFonts w:eastAsia="Times New Roman" w:cstheme="minorHAnsi"/>
          <w:lang w:eastAsia="en-GB"/>
        </w:rPr>
        <w:t>imva</w:t>
      </w:r>
      <w:r w:rsidR="002B7F89">
        <w:rPr>
          <w:rFonts w:eastAsia="Times New Roman" w:cstheme="minorHAnsi"/>
          <w:lang w:eastAsia="en-GB"/>
        </w:rPr>
        <w:t>statin</w:t>
      </w:r>
      <w:r w:rsidR="000E2D88">
        <w:rPr>
          <w:rFonts w:eastAsia="Times New Roman" w:cstheme="minorHAnsi"/>
          <w:lang w:eastAsia="en-GB"/>
        </w:rPr>
        <w:t>, first,</w:t>
      </w:r>
      <w:r w:rsidR="00993078">
        <w:rPr>
          <w:rFonts w:eastAsia="Times New Roman" w:cstheme="minorHAnsi"/>
          <w:lang w:eastAsia="en-GB"/>
        </w:rPr>
        <w:t xml:space="preserve"> </w:t>
      </w:r>
      <w:r w:rsidR="00F63916">
        <w:rPr>
          <w:rFonts w:eastAsia="Times New Roman" w:cstheme="minorHAnsi"/>
          <w:lang w:eastAsia="en-GB"/>
        </w:rPr>
        <w:t xml:space="preserve">and </w:t>
      </w:r>
      <w:r w:rsidR="000271EC">
        <w:rPr>
          <w:rFonts w:eastAsia="Times New Roman" w:cstheme="minorHAnsi"/>
          <w:lang w:eastAsia="en-GB"/>
        </w:rPr>
        <w:t>a</w:t>
      </w:r>
      <w:r w:rsidR="007B461D">
        <w:rPr>
          <w:rFonts w:eastAsia="Times New Roman" w:cstheme="minorHAnsi"/>
          <w:lang w:eastAsia="en-GB"/>
        </w:rPr>
        <w:t>torva</w:t>
      </w:r>
      <w:r w:rsidR="002B7F89">
        <w:rPr>
          <w:rFonts w:eastAsia="Times New Roman" w:cstheme="minorHAnsi"/>
          <w:lang w:eastAsia="en-GB"/>
        </w:rPr>
        <w:t>statin</w:t>
      </w:r>
      <w:r w:rsidR="00D37127">
        <w:rPr>
          <w:rFonts w:eastAsia="Times New Roman" w:cstheme="minorHAnsi"/>
          <w:lang w:eastAsia="en-GB"/>
        </w:rPr>
        <w:t xml:space="preserve">, </w:t>
      </w:r>
      <w:r w:rsidR="000E2D88">
        <w:rPr>
          <w:rFonts w:eastAsia="Times New Roman" w:cstheme="minorHAnsi"/>
          <w:lang w:eastAsia="en-GB"/>
        </w:rPr>
        <w:t>later on</w:t>
      </w:r>
      <w:r w:rsidR="00F63916">
        <w:rPr>
          <w:rFonts w:eastAsia="Times New Roman" w:cstheme="minorHAnsi"/>
          <w:lang w:eastAsia="en-GB"/>
        </w:rPr>
        <w:t xml:space="preserve">. </w:t>
      </w:r>
    </w:p>
    <w:p w14:paraId="4021644F" w14:textId="77777777" w:rsidR="00912FC7" w:rsidRDefault="00912FC7" w:rsidP="007144CB">
      <w:pPr>
        <w:spacing w:after="0" w:line="240" w:lineRule="auto"/>
        <w:jc w:val="both"/>
        <w:rPr>
          <w:rFonts w:eastAsia="Times New Roman" w:cstheme="minorHAnsi"/>
          <w:lang w:eastAsia="en-GB"/>
        </w:rPr>
      </w:pPr>
    </w:p>
    <w:p w14:paraId="002E01EA" w14:textId="7E118277" w:rsidR="00912FC7" w:rsidRDefault="000E2D88" w:rsidP="007144CB">
      <w:pPr>
        <w:autoSpaceDE w:val="0"/>
        <w:autoSpaceDN w:val="0"/>
        <w:adjustRightInd w:val="0"/>
        <w:spacing w:after="0" w:line="240" w:lineRule="auto"/>
        <w:jc w:val="both"/>
        <w:rPr>
          <w:rFonts w:cstheme="minorHAnsi"/>
          <w:color w:val="000000"/>
        </w:rPr>
      </w:pPr>
      <w:r>
        <w:rPr>
          <w:rFonts w:eastAsia="Times New Roman" w:cstheme="minorHAnsi"/>
          <w:lang w:eastAsia="en-GB"/>
        </w:rPr>
        <w:t>Those trends</w:t>
      </w:r>
      <w:r w:rsidR="00750D6A">
        <w:rPr>
          <w:rFonts w:eastAsia="Times New Roman" w:cstheme="minorHAnsi"/>
          <w:lang w:eastAsia="en-GB"/>
        </w:rPr>
        <w:t xml:space="preserve"> suggest that </w:t>
      </w:r>
      <w:r w:rsidRPr="008B087A">
        <w:rPr>
          <w:rFonts w:cstheme="minorHAnsi"/>
          <w:color w:val="000000"/>
        </w:rPr>
        <w:t xml:space="preserve">practitioners in primary </w:t>
      </w:r>
      <w:r>
        <w:rPr>
          <w:rFonts w:cstheme="minorHAnsi"/>
          <w:color w:val="000000"/>
        </w:rPr>
        <w:t>care are sensitive to the price of alternative treatments</w:t>
      </w:r>
      <w:r w:rsidR="002B5A49">
        <w:rPr>
          <w:rFonts w:cstheme="minorHAnsi"/>
          <w:color w:val="000000"/>
        </w:rPr>
        <w:t xml:space="preserve">, </w:t>
      </w:r>
      <w:r>
        <w:rPr>
          <w:rFonts w:cstheme="minorHAnsi"/>
          <w:color w:val="000000"/>
        </w:rPr>
        <w:t xml:space="preserve">and </w:t>
      </w:r>
      <w:r w:rsidR="00AD72A7">
        <w:rPr>
          <w:rFonts w:cstheme="minorHAnsi"/>
          <w:color w:val="000000"/>
        </w:rPr>
        <w:t xml:space="preserve">that </w:t>
      </w:r>
      <w:r>
        <w:rPr>
          <w:rFonts w:cstheme="minorHAnsi"/>
          <w:color w:val="000000"/>
        </w:rPr>
        <w:t xml:space="preserve">their choices </w:t>
      </w:r>
      <w:r w:rsidR="002B5A49">
        <w:rPr>
          <w:rFonts w:cstheme="minorHAnsi"/>
          <w:color w:val="000000"/>
        </w:rPr>
        <w:t>even</w:t>
      </w:r>
      <w:r w:rsidR="006E18C9">
        <w:rPr>
          <w:rFonts w:cstheme="minorHAnsi"/>
          <w:color w:val="000000"/>
        </w:rPr>
        <w:t xml:space="preserve"> </w:t>
      </w:r>
      <w:r>
        <w:rPr>
          <w:rFonts w:cstheme="minorHAnsi"/>
          <w:color w:val="000000"/>
        </w:rPr>
        <w:t>anticipate</w:t>
      </w:r>
      <w:r w:rsidR="00912FC7">
        <w:rPr>
          <w:rFonts w:cstheme="minorHAnsi"/>
          <w:color w:val="000000"/>
        </w:rPr>
        <w:t xml:space="preserve"> </w:t>
      </w:r>
      <w:r w:rsidRPr="008B087A">
        <w:rPr>
          <w:rFonts w:cstheme="minorHAnsi"/>
          <w:color w:val="000000"/>
        </w:rPr>
        <w:t xml:space="preserve">the recommendation </w:t>
      </w:r>
      <w:r>
        <w:rPr>
          <w:rFonts w:cstheme="minorHAnsi"/>
          <w:color w:val="000000"/>
        </w:rPr>
        <w:t xml:space="preserve">of </w:t>
      </w:r>
      <w:r w:rsidR="00912FC7">
        <w:rPr>
          <w:rFonts w:cstheme="minorHAnsi"/>
          <w:color w:val="000000"/>
        </w:rPr>
        <w:t xml:space="preserve">future </w:t>
      </w:r>
      <w:r w:rsidRPr="008B087A">
        <w:rPr>
          <w:rFonts w:cstheme="minorHAnsi"/>
          <w:color w:val="000000"/>
        </w:rPr>
        <w:t>clinical guideline</w:t>
      </w:r>
      <w:r>
        <w:rPr>
          <w:rFonts w:cstheme="minorHAnsi"/>
          <w:color w:val="000000"/>
        </w:rPr>
        <w:t>s</w:t>
      </w:r>
      <w:r w:rsidR="009E0859">
        <w:rPr>
          <w:rFonts w:cstheme="minorHAnsi"/>
          <w:color w:val="000000"/>
        </w:rPr>
        <w:t>.</w:t>
      </w:r>
      <w:r w:rsidR="00196B93">
        <w:rPr>
          <w:rFonts w:eastAsia="Times New Roman" w:cstheme="minorHAnsi"/>
          <w:lang w:eastAsia="en-GB"/>
        </w:rPr>
        <w:t xml:space="preserve"> </w:t>
      </w:r>
      <w:r w:rsidR="00912FC7">
        <w:rPr>
          <w:rFonts w:eastAsia="Times New Roman" w:cstheme="minorHAnsi"/>
          <w:lang w:eastAsia="en-GB"/>
        </w:rPr>
        <w:t xml:space="preserve">Indeed, </w:t>
      </w:r>
      <w:r w:rsidR="00912FC7">
        <w:rPr>
          <w:rFonts w:cstheme="minorHAnsi"/>
          <w:color w:val="000000"/>
        </w:rPr>
        <w:t xml:space="preserve">it took four years </w:t>
      </w:r>
      <w:r w:rsidR="0024282E">
        <w:rPr>
          <w:rFonts w:cstheme="minorHAnsi"/>
          <w:color w:val="000000"/>
        </w:rPr>
        <w:t xml:space="preserve">from </w:t>
      </w:r>
      <w:r w:rsidR="00912FC7">
        <w:rPr>
          <w:rFonts w:cstheme="minorHAnsi"/>
          <w:color w:val="000000"/>
        </w:rPr>
        <w:t>the generic availa</w:t>
      </w:r>
      <w:r w:rsidR="000271EC">
        <w:rPr>
          <w:rFonts w:cstheme="minorHAnsi"/>
          <w:color w:val="000000"/>
        </w:rPr>
        <w:t>bility of s</w:t>
      </w:r>
      <w:r w:rsidR="00912FC7">
        <w:rPr>
          <w:rFonts w:cstheme="minorHAnsi"/>
          <w:color w:val="000000"/>
        </w:rPr>
        <w:t xml:space="preserve">imvastatin for NICE to explicitly recommend it for treatment initiation, by which point the share of new patients being prescribed the drug was already at 90 percent. Similarly, </w:t>
      </w:r>
      <w:r w:rsidR="000271EC">
        <w:rPr>
          <w:rFonts w:cstheme="minorHAnsi"/>
          <w:color w:val="000000"/>
        </w:rPr>
        <w:t>migration from simvastatin to a</w:t>
      </w:r>
      <w:r w:rsidR="0008624D">
        <w:rPr>
          <w:rFonts w:cstheme="minorHAnsi"/>
          <w:color w:val="000000"/>
        </w:rPr>
        <w:t xml:space="preserve">torvastatin started soon after it became available as </w:t>
      </w:r>
      <w:r w:rsidR="0024282E">
        <w:rPr>
          <w:rFonts w:cstheme="minorHAnsi"/>
          <w:color w:val="000000"/>
        </w:rPr>
        <w:t xml:space="preserve">a </w:t>
      </w:r>
      <w:r w:rsidR="0008624D">
        <w:rPr>
          <w:rFonts w:cstheme="minorHAnsi"/>
          <w:color w:val="000000"/>
        </w:rPr>
        <w:t xml:space="preserve">generic </w:t>
      </w:r>
      <w:r w:rsidR="0024282E">
        <w:rPr>
          <w:rFonts w:cstheme="minorHAnsi"/>
          <w:color w:val="000000"/>
        </w:rPr>
        <w:t>drug</w:t>
      </w:r>
      <w:r w:rsidR="0008624D">
        <w:rPr>
          <w:rFonts w:cstheme="minorHAnsi"/>
          <w:color w:val="000000"/>
        </w:rPr>
        <w:t xml:space="preserve"> in M</w:t>
      </w:r>
      <w:r w:rsidR="000271EC">
        <w:rPr>
          <w:rFonts w:cstheme="minorHAnsi"/>
          <w:color w:val="000000"/>
        </w:rPr>
        <w:t>ay 2012, despite the fact that a</w:t>
      </w:r>
      <w:r w:rsidR="0008624D">
        <w:rPr>
          <w:rFonts w:cstheme="minorHAnsi"/>
          <w:color w:val="000000"/>
        </w:rPr>
        <w:t xml:space="preserve">torvastatin was </w:t>
      </w:r>
      <w:r w:rsidR="0024282E">
        <w:rPr>
          <w:rFonts w:cstheme="minorHAnsi"/>
          <w:color w:val="000000"/>
        </w:rPr>
        <w:t xml:space="preserve">only </w:t>
      </w:r>
      <w:r w:rsidR="0008624D">
        <w:rPr>
          <w:rFonts w:cstheme="minorHAnsi"/>
          <w:color w:val="000000"/>
        </w:rPr>
        <w:t xml:space="preserve">recommended as </w:t>
      </w:r>
      <w:r w:rsidR="0024282E">
        <w:rPr>
          <w:rFonts w:cstheme="minorHAnsi"/>
          <w:color w:val="000000"/>
        </w:rPr>
        <w:t xml:space="preserve">the </w:t>
      </w:r>
      <w:r w:rsidR="0008624D">
        <w:rPr>
          <w:rFonts w:cstheme="minorHAnsi"/>
          <w:color w:val="000000"/>
        </w:rPr>
        <w:t xml:space="preserve">preferred treatment in the </w:t>
      </w:r>
      <w:r w:rsidR="00206382">
        <w:rPr>
          <w:rFonts w:cstheme="minorHAnsi"/>
          <w:color w:val="000000"/>
        </w:rPr>
        <w:t xml:space="preserve">updated </w:t>
      </w:r>
      <w:r w:rsidR="0024282E">
        <w:rPr>
          <w:rFonts w:cstheme="minorHAnsi"/>
          <w:color w:val="000000"/>
        </w:rPr>
        <w:t xml:space="preserve">NICE </w:t>
      </w:r>
      <w:r w:rsidR="0008624D">
        <w:rPr>
          <w:rFonts w:cstheme="minorHAnsi"/>
          <w:color w:val="000000"/>
        </w:rPr>
        <w:t>guideline two years after</w:t>
      </w:r>
      <w:r w:rsidR="0024282E">
        <w:rPr>
          <w:rFonts w:cstheme="minorHAnsi"/>
          <w:color w:val="000000"/>
        </w:rPr>
        <w:t>wards</w:t>
      </w:r>
      <w:r w:rsidR="0008624D">
        <w:rPr>
          <w:rFonts w:cstheme="minorHAnsi"/>
          <w:color w:val="000000"/>
        </w:rPr>
        <w:t>.</w:t>
      </w:r>
    </w:p>
    <w:p w14:paraId="6F63DF4A" w14:textId="77777777" w:rsidR="00B701C7" w:rsidRDefault="00B701C7" w:rsidP="007144CB">
      <w:pPr>
        <w:autoSpaceDE w:val="0"/>
        <w:autoSpaceDN w:val="0"/>
        <w:adjustRightInd w:val="0"/>
        <w:spacing w:after="0" w:line="240" w:lineRule="auto"/>
        <w:jc w:val="both"/>
        <w:rPr>
          <w:rFonts w:cstheme="minorHAnsi"/>
          <w:color w:val="000000"/>
        </w:rPr>
      </w:pPr>
    </w:p>
    <w:p w14:paraId="2AA52782" w14:textId="21673681" w:rsidR="00ED4D10" w:rsidRDefault="00ED4D10" w:rsidP="007144CB">
      <w:pPr>
        <w:autoSpaceDE w:val="0"/>
        <w:autoSpaceDN w:val="0"/>
        <w:adjustRightInd w:val="0"/>
        <w:spacing w:after="0" w:line="240" w:lineRule="auto"/>
        <w:jc w:val="both"/>
        <w:rPr>
          <w:rFonts w:cstheme="minorHAnsi"/>
          <w:color w:val="000000"/>
        </w:rPr>
      </w:pPr>
      <w:r>
        <w:rPr>
          <w:rFonts w:cstheme="minorHAnsi"/>
          <w:color w:val="000000"/>
        </w:rPr>
        <w:t xml:space="preserve">Previous studies have shown that medicine management teams from </w:t>
      </w:r>
      <w:r w:rsidR="00DA0D73">
        <w:rPr>
          <w:rFonts w:cstheme="minorHAnsi"/>
          <w:color w:val="000000"/>
        </w:rPr>
        <w:t xml:space="preserve">CCGs </w:t>
      </w:r>
      <w:r>
        <w:rPr>
          <w:rFonts w:cstheme="minorHAnsi"/>
          <w:color w:val="000000"/>
        </w:rPr>
        <w:t>do play a role in informing and influencing the prescription choices made by the practices and practitioners under their watch.</w:t>
      </w:r>
      <w:r>
        <w:rPr>
          <w:rFonts w:cstheme="minorHAnsi"/>
          <w:color w:val="000000"/>
        </w:rPr>
        <w:fldChar w:fldCharType="begin"/>
      </w:r>
      <w:r>
        <w:rPr>
          <w:rFonts w:cstheme="minorHAnsi"/>
          <w:color w:val="000000"/>
        </w:rPr>
        <w:instrText xml:space="preserve"> ADDIN ZOTERO_ITEM CSL_CITATION {"citationID":"1pooDLzx","properties":{"formattedCitation":"\\super 3\\uc0\\u8211{}5\\nosupersub{}","plainCitation":"3–5","noteIndex":0},"citationItems":[{"id":169,"uris":["http://zotero.org/users/4387520/items/5XAYIVTK"],"uri":["http://zotero.org/users/4387520/items/5XAYIVTK"],"itemData":{"id":169,"type":"article-journal","abstract":"Background and objective: The uptake of new medicines is slower in the UK than in many other countries. Previous research found that cost and price have little influence on general practitioner (GP) behaviour, but recent UK government policy may have heightened cost-consciousness. Focussing on new medicines, this review aimed to explore the determinants of uptake, the causes of geographical variations, and the influence of price, cost and financial incentives on prescribing behaviour. Methods: Two separate searches were conducted on nine electronic databases. Strategy 1, an update of a previous review, used key terms for primary care physicians, uptake, medicines and ‘new’. Strategy 2 focussed on terms relating to incentives and prescribing. Records were screened for eligibility and data from relevant papers were extracted using Bonair and Persson’s typology for determinants of the diffusion of innovation, which classified influences into three groups: actors, structural/environmental characteristics and product characteristics. Results: The searches identified 550 records and 28 studies were included in the updated review. Prescribing of new medicines needs to be understood in the context of individual patient-centred care, which is characterized by stability and continuity. Hospital doctors, pharmaceutical representatives and prescribing advisers are all influential, but GP attitudes towards these actors vary and there are notable differences between high and low prescribers of new pharmaceuticals. Support systems can help provide appropriate guidance and increase the uptake of new medicines by identifying patients who may benefit from pharmaceutical therapy. There is evidence of a shift in GP attitudes towards central policy initiatives, with doctors slowly accepting the need for external scrutiny and national standards. Although cost does appear to inform prescribing decisions, it is typically of lower importance than both safety and efficacy concerns and does not represent a significant barrier to uptake of new medicines. The impact of financial incentives on prescribing behaviour remains unclear, but is unlikely to be straightforward. No evidence exploring the reasons for geographical variations in GP uptake of new medicines was found. Conclusion: General practitioner care has historically been patient-centred, and it is unclear whether and how GPs consider the impact of their decisions upon the wider patient population. Incorporating cost considerations into GP decision making is one way to reflect the broader impact of individual treatment decisions. Current UK government policies use incentives to improve quality and encourage financial responsibility. Although these initiatives may help foster cost-consciousness, there is a risk that unintended consequences may ensue. Therefore, future policy evaluations should assess benefits, harms and costs so that the overall impact is transparent.","container-title":"Journal of Clinical Pharmacy and Therapeutics","DOI":"https://doi.org/10.1111/j.1365-2710.2008.00875.x","ISSN":"1365-2710","issue":"1","language":"en","note":"_eprint: https://onlinelibrary.wiley.com/doi/pdf/10.1111/j.1365-2710.2008.00875.x","page":"1-10","source":"Wiley Online Library","title":"New medicines in primary care: a review of influences on general practitioner prescribing","title-short":"New medicines in primary care","volume":"33","author":[{"family":"Mason","given":"A."}],"issued":{"date-parts":[["2008"]]}}},{"id":9,"uris":["http://zotero.org/users/4387520/items/2CXE6K4L"],"uri":["http://zotero.org/users/4387520/items/2CXE6K4L"],"itemData":{"id":9,"type":"article-journal","abstract":"Background: One of the aims of the National Institute for Clinical Excellence (NICE) is to promote faster access to the best treatments. However, there is no published research on the impact that NICE guidance has had on prescribing decisions. Aims: To explore the attitudes of general practitioners (GPs) to NICE guidance and to investigate any changes in prescribing patterns. Design: Descriptive cross-sectional study. Setting: North Devon Primary Care Trust.\nMethod: Five technology appraisals most likely to impact on GP prescribing were investigated. Prescribing analysis and cost (PACT) data were analysed for changes in prescribing patterns before and after the publication of each technology appraisal. A postal questionnaire, developed from semi-structured interviews, was sent to all GPs within a single primary care trust (PCT) to explore factors that were encouraging or discouraging adherence to NICE guidance.\nResults: PACT data showed that there was an increase in the prescribing of the drugs studied immediately after NICE guidance, with the exception of zanamivir (Relenza® [GlaxoSmithKline]); only one zanamivir inhaler was prescribed during the study period. Although there was an increase in the prescribing of maintenance doses of proton pump inhibitors, there was also an increase in treatment doses. Eighty-one (82.7%) questionnaires were completed and returned. In general, there was a balance between the factors that encouraged and those that discouraged adherence. The main exception was zanamivir, where factors that discouraged adherence greatly exceeded factors that encouraged adherence.\nConclusions: This study showed that NICE guidance in isolation had little impact on GP prescribing. Where the guidance coincided with information from other sources, or personal experience, there was some evidence that technology appraisals triggered an increase in prescribing, but that this was not always sustained. The recommendations of NICE concerning zanamivir were universally rejected and there was evidence that this had undermined confidence in NICE recommendations in general.","container-title":"British Journal of General Practice","language":"en","page":"5","source":"Zotero","title":"An evaluation of the impact of NICE guidance on GP prescribing","author":[{"family":"Wathen","given":"Bernard"},{"family":"Dean","given":"Tara"}],"issued":{"date-parts":[["2004"]]}}},{"id":172,"uris":["http://zotero.org/users/4387520/items/PBXXTMDE"],"uri":["http://zotero.org/users/4387520/items/PBXXTMDE"],"itemData":{"id":172,"type":"article-journal","abstract":"Objective: To explain recent rapid audited change in the uptake of locally implemented, evidence-based clinical guidelines for asthma and angina in primary care., Methods: A case study of primary care in two matched, adjacent districts in Northern England, focusing on a stratified random sample of 49 general practitioners (GPs) from eight primary care groups. Data were collected from three cycles of mainly qualitative interviews carried out at six-monthly intervals, before and after the dissemination of local guidelines and after audit data were gathered. Interviews examined attitudes, awareness and impact of locally disseminated asthma and angina guidelines and the subsequent audit. Audit data on guideline uptake were also available from a parallel study., Results: The rapid increase in guideline uptake observed in both intervention and control groups was not explained by individual practitioners or practice factors. The findings are attributed to GPs' awareness of policies for evidence-based medicine, of new health service institutions and of the clinical governance activities of primary care groups. Behaviour change reflects GPs' decisions about what to record in case notes as well as their clinical decisions, so that findings may reflect changing perceptions about accountability rather than about preferred treatment regimes., Conclusions: Guideline production and dissemination is best seen in the broader context of policy change. Studies of guideline implementation should report before and after data and incorporate significant qualitative components in order to identify important contextual factors.","container-title":"Journal of Health Services Research &amp; Policy","DOI":"10.1258/135581903322029494","ISSN":"1355-8196","issue":"3","journalAbbreviation":"J Health Serv Res Policy","language":"en","note":"publisher: SAGE Publications","page":"149-153","source":"SAGE Journals","title":"General practitioners' uptake of clinical practice guidelines: a qualitative study","title-short":"General practitioners' uptake of clinical practice guidelines","volume":"8","author":[{"literal":"Stephen Harrison, George Dowswell, John Wright"},{"literal":", Ian Russell"},{"literal":"George Dowswell, John Wright"}],"issued":{"date-parts":[["2003",7,1]]}}}],"schema":"https://github.com/citation-style-language/schema/raw/master/csl-citation.json"} </w:instrText>
      </w:r>
      <w:r>
        <w:rPr>
          <w:rFonts w:cstheme="minorHAnsi"/>
          <w:color w:val="000000"/>
        </w:rPr>
        <w:fldChar w:fldCharType="separate"/>
      </w:r>
      <w:r w:rsidRPr="002E25B9">
        <w:rPr>
          <w:rFonts w:ascii="Calibri" w:hAnsi="Calibri" w:cs="Calibri"/>
          <w:szCs w:val="24"/>
          <w:vertAlign w:val="superscript"/>
        </w:rPr>
        <w:t>3–5</w:t>
      </w:r>
      <w:r>
        <w:rPr>
          <w:rFonts w:cstheme="minorHAnsi"/>
          <w:color w:val="000000"/>
        </w:rPr>
        <w:fldChar w:fldCharType="end"/>
      </w:r>
      <w:r>
        <w:rPr>
          <w:rFonts w:cstheme="minorHAnsi"/>
          <w:color w:val="000000"/>
        </w:rPr>
        <w:t xml:space="preserve">  </w:t>
      </w:r>
      <w:r w:rsidR="00A91921">
        <w:rPr>
          <w:rFonts w:cstheme="minorHAnsi"/>
          <w:color w:val="000000"/>
        </w:rPr>
        <w:t>W</w:t>
      </w:r>
      <w:r>
        <w:rPr>
          <w:rFonts w:cstheme="minorHAnsi"/>
          <w:color w:val="000000"/>
        </w:rPr>
        <w:t xml:space="preserve">hether prescriptions are autonomously chosen by </w:t>
      </w:r>
      <w:r w:rsidR="00D01AF3">
        <w:rPr>
          <w:rFonts w:cstheme="minorHAnsi"/>
          <w:color w:val="000000"/>
        </w:rPr>
        <w:t>GPs</w:t>
      </w:r>
      <w:r>
        <w:rPr>
          <w:rFonts w:cstheme="minorHAnsi"/>
          <w:color w:val="000000"/>
        </w:rPr>
        <w:t xml:space="preserve"> or are influenced by the different actors within the primary care sector, our results suggest that ultimately prescribing decisions are more responsive to the acquisition cost of alternative treatments than clinical guidelines.</w:t>
      </w:r>
    </w:p>
    <w:p w14:paraId="2E09CBF1" w14:textId="77777777" w:rsidR="009E0859" w:rsidRDefault="009E0859" w:rsidP="007144CB">
      <w:pPr>
        <w:autoSpaceDE w:val="0"/>
        <w:autoSpaceDN w:val="0"/>
        <w:adjustRightInd w:val="0"/>
        <w:spacing w:after="0" w:line="240" w:lineRule="auto"/>
        <w:jc w:val="both"/>
        <w:rPr>
          <w:rFonts w:eastAsia="Times New Roman" w:cstheme="minorHAnsi"/>
          <w:lang w:eastAsia="en-GB"/>
        </w:rPr>
      </w:pPr>
    </w:p>
    <w:p w14:paraId="2A7B82AF" w14:textId="5999CC8B" w:rsidR="0086218A" w:rsidRDefault="00797BFC" w:rsidP="007144CB">
      <w:pPr>
        <w:spacing w:after="0" w:line="240" w:lineRule="auto"/>
        <w:jc w:val="both"/>
        <w:rPr>
          <w:rFonts w:eastAsia="Times New Roman" w:cstheme="minorHAnsi"/>
          <w:lang w:eastAsia="en-GB"/>
        </w:rPr>
      </w:pPr>
      <w:r>
        <w:rPr>
          <w:rFonts w:eastAsia="Times New Roman" w:cstheme="minorHAnsi"/>
          <w:lang w:eastAsia="en-GB"/>
        </w:rPr>
        <w:t xml:space="preserve">Although </w:t>
      </w:r>
      <w:r>
        <w:rPr>
          <w:rFonts w:cstheme="minorHAnsi"/>
          <w:color w:val="000000"/>
        </w:rPr>
        <w:t>o</w:t>
      </w:r>
      <w:r w:rsidR="00993078">
        <w:rPr>
          <w:rFonts w:cstheme="minorHAnsi"/>
          <w:color w:val="000000"/>
        </w:rPr>
        <w:t xml:space="preserve">ur analysis </w:t>
      </w:r>
      <w:r w:rsidR="000D7B5A">
        <w:rPr>
          <w:rFonts w:cstheme="minorHAnsi"/>
          <w:color w:val="000000"/>
        </w:rPr>
        <w:t xml:space="preserve">shows </w:t>
      </w:r>
      <w:r w:rsidR="00993078">
        <w:rPr>
          <w:rFonts w:cstheme="minorHAnsi"/>
          <w:color w:val="000000"/>
        </w:rPr>
        <w:t xml:space="preserve">that, on average, practitioners </w:t>
      </w:r>
      <w:r>
        <w:rPr>
          <w:rFonts w:cstheme="minorHAnsi"/>
          <w:color w:val="000000"/>
        </w:rPr>
        <w:t>treating patients at risk of cardiovascular events</w:t>
      </w:r>
      <w:r w:rsidDel="00797BFC">
        <w:rPr>
          <w:rFonts w:cstheme="minorHAnsi"/>
          <w:color w:val="000000"/>
        </w:rPr>
        <w:t xml:space="preserve"> </w:t>
      </w:r>
      <w:r w:rsidR="00993078">
        <w:rPr>
          <w:rFonts w:cstheme="minorHAnsi"/>
          <w:color w:val="000000"/>
        </w:rPr>
        <w:t>prescribe</w:t>
      </w:r>
      <w:r w:rsidR="009E0859">
        <w:rPr>
          <w:rFonts w:cstheme="minorHAnsi"/>
          <w:color w:val="000000"/>
        </w:rPr>
        <w:t>d</w:t>
      </w:r>
      <w:r w:rsidR="00993078">
        <w:rPr>
          <w:rFonts w:cstheme="minorHAnsi"/>
          <w:color w:val="000000"/>
        </w:rPr>
        <w:t xml:space="preserve"> cost-effectively</w:t>
      </w:r>
      <w:r>
        <w:rPr>
          <w:rFonts w:cstheme="minorHAnsi"/>
          <w:color w:val="000000"/>
        </w:rPr>
        <w:t xml:space="preserve">, </w:t>
      </w:r>
      <w:r>
        <w:rPr>
          <w:rFonts w:eastAsia="Times New Roman" w:cstheme="minorHAnsi"/>
          <w:lang w:eastAsia="en-GB"/>
        </w:rPr>
        <w:t xml:space="preserve">we also </w:t>
      </w:r>
      <w:r w:rsidR="00AC79FB">
        <w:rPr>
          <w:rFonts w:eastAsia="Times New Roman" w:cstheme="minorHAnsi"/>
          <w:lang w:eastAsia="en-GB"/>
        </w:rPr>
        <w:t xml:space="preserve">identified substantial </w:t>
      </w:r>
      <w:r w:rsidR="00FE083B">
        <w:rPr>
          <w:rFonts w:eastAsia="Times New Roman" w:cstheme="minorHAnsi"/>
          <w:lang w:eastAsia="en-GB"/>
        </w:rPr>
        <w:t>heterogeneity in the use of t</w:t>
      </w:r>
      <w:r w:rsidR="00D37127">
        <w:rPr>
          <w:rFonts w:eastAsia="Times New Roman" w:cstheme="minorHAnsi"/>
          <w:lang w:eastAsia="en-GB"/>
        </w:rPr>
        <w:t xml:space="preserve">he two </w:t>
      </w:r>
      <w:r w:rsidR="009B739C">
        <w:rPr>
          <w:rFonts w:eastAsia="Times New Roman" w:cstheme="minorHAnsi"/>
          <w:lang w:eastAsia="en-GB"/>
        </w:rPr>
        <w:t>medicines</w:t>
      </w:r>
      <w:r w:rsidR="00D37127">
        <w:rPr>
          <w:rFonts w:eastAsia="Times New Roman" w:cstheme="minorHAnsi"/>
          <w:lang w:eastAsia="en-GB"/>
        </w:rPr>
        <w:t xml:space="preserve"> across GP practi</w:t>
      </w:r>
      <w:r w:rsidR="00F1298D">
        <w:rPr>
          <w:rFonts w:eastAsia="Times New Roman" w:cstheme="minorHAnsi"/>
          <w:lang w:eastAsia="en-GB"/>
        </w:rPr>
        <w:t>c</w:t>
      </w:r>
      <w:r w:rsidR="00D37127">
        <w:rPr>
          <w:rFonts w:eastAsia="Times New Roman" w:cstheme="minorHAnsi"/>
          <w:lang w:eastAsia="en-GB"/>
        </w:rPr>
        <w:t>e</w:t>
      </w:r>
      <w:r w:rsidR="007461A5">
        <w:rPr>
          <w:rFonts w:eastAsia="Times New Roman" w:cstheme="minorHAnsi"/>
          <w:lang w:eastAsia="en-GB"/>
        </w:rPr>
        <w:t>s</w:t>
      </w:r>
      <w:r w:rsidR="00AC79FB">
        <w:rPr>
          <w:rFonts w:eastAsia="Times New Roman" w:cstheme="minorHAnsi"/>
          <w:lang w:eastAsia="en-GB"/>
        </w:rPr>
        <w:t xml:space="preserve">, which </w:t>
      </w:r>
      <w:r w:rsidR="002C2735">
        <w:rPr>
          <w:rFonts w:eastAsia="Times New Roman" w:cstheme="minorHAnsi"/>
          <w:lang w:eastAsia="en-GB"/>
        </w:rPr>
        <w:t xml:space="preserve">remains </w:t>
      </w:r>
      <w:r w:rsidR="00A23ABF">
        <w:rPr>
          <w:rFonts w:eastAsia="Times New Roman" w:cstheme="minorHAnsi"/>
          <w:lang w:eastAsia="en-GB"/>
        </w:rPr>
        <w:t>even after the publication of official guidelines</w:t>
      </w:r>
      <w:r w:rsidR="00D37127">
        <w:rPr>
          <w:rFonts w:eastAsia="Times New Roman" w:cstheme="minorHAnsi"/>
          <w:lang w:eastAsia="en-GB"/>
        </w:rPr>
        <w:t>.</w:t>
      </w:r>
      <w:r w:rsidR="00FE7E7A">
        <w:rPr>
          <w:rFonts w:eastAsia="Times New Roman" w:cstheme="minorHAnsi"/>
          <w:lang w:eastAsia="en-GB"/>
        </w:rPr>
        <w:t>.</w:t>
      </w:r>
      <w:r w:rsidR="00F120B2">
        <w:rPr>
          <w:rFonts w:eastAsia="Times New Roman" w:cstheme="minorHAnsi"/>
          <w:lang w:eastAsia="en-GB"/>
        </w:rPr>
        <w:t xml:space="preserve"> Our descriptive analysis indicate</w:t>
      </w:r>
      <w:r w:rsidR="00D9069B">
        <w:rPr>
          <w:rFonts w:eastAsia="Times New Roman" w:cstheme="minorHAnsi"/>
          <w:lang w:eastAsia="en-GB"/>
        </w:rPr>
        <w:t>s</w:t>
      </w:r>
      <w:r w:rsidR="00F120B2">
        <w:rPr>
          <w:rFonts w:eastAsia="Times New Roman" w:cstheme="minorHAnsi"/>
          <w:lang w:eastAsia="en-GB"/>
        </w:rPr>
        <w:t xml:space="preserve"> </w:t>
      </w:r>
      <w:r w:rsidR="00D9069B">
        <w:rPr>
          <w:rFonts w:eastAsia="Times New Roman" w:cstheme="minorHAnsi"/>
          <w:lang w:eastAsia="en-GB"/>
        </w:rPr>
        <w:t>some GPs took longer to adopt cost-effective prescribing</w:t>
      </w:r>
      <w:r w:rsidR="00D7418B">
        <w:rPr>
          <w:rFonts w:eastAsia="Times New Roman" w:cstheme="minorHAnsi"/>
          <w:lang w:eastAsia="en-GB"/>
        </w:rPr>
        <w:t xml:space="preserve"> and some switched in and out of cost-effective prescribing throughout the study period, thus generating large overall heterogeneity.</w:t>
      </w:r>
      <w:r w:rsidR="005C5377">
        <w:rPr>
          <w:rFonts w:eastAsia="Times New Roman" w:cstheme="minorHAnsi"/>
          <w:lang w:eastAsia="en-GB"/>
        </w:rPr>
        <w:t xml:space="preserve">. </w:t>
      </w:r>
      <w:r w:rsidR="00D7418B">
        <w:rPr>
          <w:rFonts w:eastAsia="Times New Roman" w:cstheme="minorHAnsi"/>
          <w:lang w:eastAsia="en-GB"/>
        </w:rPr>
        <w:t xml:space="preserve">A number of explanations can be put forward for such behaviours. </w:t>
      </w:r>
      <w:r w:rsidR="005C5377">
        <w:rPr>
          <w:rFonts w:eastAsia="Times New Roman" w:cstheme="minorHAnsi"/>
          <w:lang w:eastAsia="en-GB"/>
        </w:rPr>
        <w:t>For example, medicolegally, GPs may have felt inhibited to change prescribing habits simply on the basis of cost, without having had guidelines to justify the decision.</w:t>
      </w:r>
      <w:r w:rsidR="001153FB">
        <w:rPr>
          <w:rFonts w:eastAsia="Times New Roman" w:cstheme="minorHAnsi"/>
          <w:lang w:eastAsia="en-GB"/>
        </w:rPr>
        <w:fldChar w:fldCharType="begin"/>
      </w:r>
      <w:r w:rsidR="001153FB">
        <w:rPr>
          <w:rFonts w:eastAsia="Times New Roman" w:cstheme="minorHAnsi"/>
          <w:lang w:eastAsia="en-GB"/>
        </w:rPr>
        <w:instrText xml:space="preserve"> ADDIN ZOTERO_ITEM CSL_CITATION {"citationID":"ONGDWaKY","properties":{"formattedCitation":"\\super 22\\nosupersub{}","plainCitation":"22","noteIndex":0},"citationItems":[{"id":191,"uris":["http://zotero.org/users/4387520/items/IH3XYXS9"],"uri":["http://zotero.org/users/4387520/items/IH3XYXS9"],"itemData":{"id":191,"type":"article","title":"Investigating the prevalence and causes of prescribing errors in general practice: The PRACtICe Study (PRevalence And Causes of prescrIbing errors in general practiCe) A report for the GMC","URL":"https://www.gmc-uk.org/-/media/gmc-site-images/about/investigatingtheprevalenceandcausesofprescribingerrorsingeneralpracticethepracticestudyreoprtmay2012.pdf?la=en&amp;hash=21B05525C5FEF17C832EF985D8636C08E524A6C9","author":[{"literal":"Tony Avery, Nick Barber, Maisoon Ghaleb, Bryony"},{"literal":"Dean Franklin, Sarah Armstrong, Sarah Crowe, Soraya Dhillon, Anette Freyer, Rachel Howard, Cinzia Pezzolesi, Brian Serumaga, Glen Swanwick, Olanrewaju Talabi"}],"issued":{"date-parts":[["2012"]]}}}],"schema":"https://github.com/citation-style-language/schema/raw/master/csl-citation.json"} </w:instrText>
      </w:r>
      <w:r w:rsidR="001153FB">
        <w:rPr>
          <w:rFonts w:eastAsia="Times New Roman" w:cstheme="minorHAnsi"/>
          <w:lang w:eastAsia="en-GB"/>
        </w:rPr>
        <w:fldChar w:fldCharType="separate"/>
      </w:r>
      <w:r w:rsidR="001153FB" w:rsidRPr="001153FB">
        <w:rPr>
          <w:rFonts w:ascii="Calibri" w:hAnsi="Calibri" w:cs="Calibri"/>
          <w:szCs w:val="24"/>
          <w:vertAlign w:val="superscript"/>
        </w:rPr>
        <w:t>22</w:t>
      </w:r>
      <w:r w:rsidR="001153FB">
        <w:rPr>
          <w:rFonts w:eastAsia="Times New Roman" w:cstheme="minorHAnsi"/>
          <w:lang w:eastAsia="en-GB"/>
        </w:rPr>
        <w:fldChar w:fldCharType="end"/>
      </w:r>
      <w:r w:rsidR="00A51095" w:rsidRPr="00A51095">
        <w:rPr>
          <w:rFonts w:eastAsia="Times New Roman" w:cstheme="minorHAnsi"/>
          <w:lang w:eastAsia="en-GB"/>
        </w:rPr>
        <w:t xml:space="preserve"> </w:t>
      </w:r>
      <w:r w:rsidR="00A51095">
        <w:rPr>
          <w:rFonts w:eastAsia="Times New Roman" w:cstheme="minorHAnsi"/>
          <w:lang w:eastAsia="en-GB"/>
        </w:rPr>
        <w:t xml:space="preserve">Equally, GPs and patients’ characteristics, practices’ characteristics (e.g. </w:t>
      </w:r>
      <w:r w:rsidR="00883DFF">
        <w:rPr>
          <w:rFonts w:eastAsia="Times New Roman" w:cstheme="minorHAnsi"/>
          <w:lang w:eastAsia="en-GB"/>
        </w:rPr>
        <w:t xml:space="preserve">practice list size, staff mix, </w:t>
      </w:r>
      <w:r w:rsidR="00A51095">
        <w:rPr>
          <w:rFonts w:eastAsia="Times New Roman" w:cstheme="minorHAnsi"/>
          <w:lang w:eastAsia="en-GB"/>
        </w:rPr>
        <w:t>dispensing</w:t>
      </w:r>
      <w:r w:rsidR="00883DFF">
        <w:rPr>
          <w:rFonts w:eastAsia="Times New Roman" w:cstheme="minorHAnsi"/>
          <w:lang w:eastAsia="en-GB"/>
        </w:rPr>
        <w:t>/non-dispensing status</w:t>
      </w:r>
      <w:r w:rsidR="00A51095">
        <w:rPr>
          <w:rFonts w:eastAsia="Times New Roman" w:cstheme="minorHAnsi"/>
          <w:lang w:eastAsia="en-GB"/>
        </w:rPr>
        <w:t>), geo-social conditions, as well as local CCG prescribing guidelines and monitoring activities may influ</w:t>
      </w:r>
      <w:r w:rsidR="0071081F">
        <w:rPr>
          <w:rFonts w:eastAsia="Times New Roman" w:cstheme="minorHAnsi"/>
          <w:lang w:eastAsia="en-GB"/>
        </w:rPr>
        <w:t>ence prescribing decisions</w:t>
      </w:r>
      <w:r w:rsidR="005C5377">
        <w:rPr>
          <w:rFonts w:eastAsia="Times New Roman" w:cstheme="minorHAnsi"/>
          <w:lang w:eastAsia="en-GB"/>
        </w:rPr>
        <w:t>.</w:t>
      </w:r>
      <w:r w:rsidR="00913D89">
        <w:rPr>
          <w:rFonts w:eastAsia="Times New Roman" w:cstheme="minorHAnsi"/>
          <w:lang w:eastAsia="en-GB"/>
        </w:rPr>
        <w:fldChar w:fldCharType="begin"/>
      </w:r>
      <w:r w:rsidR="001153FB">
        <w:rPr>
          <w:rFonts w:eastAsia="Times New Roman" w:cstheme="minorHAnsi"/>
          <w:lang w:eastAsia="en-GB"/>
        </w:rPr>
        <w:instrText xml:space="preserve"> ADDIN ZOTERO_ITEM CSL_CITATION {"citationID":"uwdrNnn3","properties":{"formattedCitation":"\\super 23\\nosupersub{}","plainCitation":"23","noteIndex":0},"citationItems":[{"id":184,"uris":["http://zotero.org/users/4387520/items/U3WKTBBF"],"uri":["http://zotero.org/users/4387520/items/U3WKTBBF"],"itemData":{"id":184,"type":"article-journal","abstract":"Objectives\n              Approximately one in eight practices in primary care in England are ‘dispensing practices’ with an in-house dispensary providing medication directly to patients. These practices can generate additional income by negotiating lower prices on higher cost drugs, while being reimbursed at a standard rate. They, therefore, have a potential financial conflict of interest around prescribing choices. We aimed to determine whether dispensing practices are more likely to prescribe high-cost options for four commonly prescribed classes of drug where there is no evidence of superiority for high-cost options.\n            \n            \n              Design\n              A list was generated of drugs with high acquisition costs that were no more clinically effective than those with the lowest acquisition costs, for all four classes of drug examined. Data were obtained prescribing of statins, proton pump inhibitors (PPIs), angiotensin receptor blockers (ARBs) and ACE inhibitors (ACEis). Logistic regression was used to calculate ORs for prescribing high-cost options in dispensing practices, adjusting for Index of Multiple Deprivation score, practice list size and the number of doctors at each practice.\n            \n            \n              Setting\n              English primary care.\n            \n            \n              Participants\n              All general practices in England.\n            \n            \n              Main outcome measures\n              Mean cost per dose was calculated separately for dispensing and non-dispensing practices. Dispensing practices can vary in the number of patients they dispense to; we, therefore, additionally compared practices with no dispensing patients, low, medium and high proportions of dispensing patients. Total cost savings were modelled by applying the mean cost per dose from non-dispensing practices to the number of doses prescribed in dispensing practices.\n            \n            \n              Results\n              Dispensing practices were more likely to prescribe high-cost drugs across all classes: statins adjusted OR 1.51 (95% CI 1.49 to 1.53, p&lt;0.0001), PPIs OR 1.11 (95% CI 1.09 to 1.13, p&lt;0.0001), ACEi OR 2.58 (95% CI 2.46 to 2.70, p&lt;0.0001), ARB OR 5.11 (95% CI 5.02 to 5.20, p&lt;0.0001). Mean cost per dose in pence was higher in dispensing practices (statins 7.44 vs 6.27, PPIs 5.57 vs 5.46, ACEi 4.30 vs 4.24, ARB 11.09 vs 8.19). For all drug classes, the more dispensing patients a practice had, the more likely it was to issue a prescription for a high-cost option. Total cost savings in England available from all four classes are £628 875 per month or £7 546 502 per year.\n            \n            \n              Conclusions\n              Doctors in dispensing practices are more likely to prescribe higher cost drugs. This is the largest study ever conducted on dispensing practices, and the first contemporary research suggesting some UK doctors respond to a financial conflict of interest in treatment decisions. The reimbursement system for dispensing practices may generate unintended consequences. Robust routine audit of practices prescribing higher volumes of unnecessarily expensive drugs may help reduce costs.","container-title":"BMJ Open","DOI":"10.1136/bmjopen-2018-026886","ISSN":"2044-6055, 2044-6055","issue":"2","journalAbbreviation":"BMJ Open","language":"en","page":"e026886","source":"DOI.org (Crossref)","title":"Do doctors in dispensing practices with a financial conflict of interest prescribe more expensive drugs? A cross-sectional analysis of English primary care prescribing data","title-short":"Do doctors in dispensing practices with a financial conflict of interest prescribe more expensive drugs?","volume":"9","author":[{"family":"Goldacre","given":"Ben"},{"family":"Reynolds","given":"Carl"},{"family":"Powell-Smith","given":"Anna"},{"family":"Walker","given":"Alex J"},{"family":"Yates","given":"Tom A"},{"family":"Croker","given":"Richard"},{"family":"Smeeth","given":"Liam"}],"issued":{"date-parts":[["2019",2]]}}}],"schema":"https://github.com/citation-style-language/schema/raw/master/csl-citation.json"} </w:instrText>
      </w:r>
      <w:r w:rsidR="00913D89">
        <w:rPr>
          <w:rFonts w:eastAsia="Times New Roman" w:cstheme="minorHAnsi"/>
          <w:lang w:eastAsia="en-GB"/>
        </w:rPr>
        <w:fldChar w:fldCharType="separate"/>
      </w:r>
      <w:r w:rsidR="001153FB" w:rsidRPr="001153FB">
        <w:rPr>
          <w:rFonts w:ascii="Calibri" w:hAnsi="Calibri" w:cs="Calibri"/>
          <w:szCs w:val="24"/>
          <w:vertAlign w:val="superscript"/>
        </w:rPr>
        <w:t>23</w:t>
      </w:r>
      <w:r w:rsidR="00913D89">
        <w:rPr>
          <w:rFonts w:eastAsia="Times New Roman" w:cstheme="minorHAnsi"/>
          <w:lang w:eastAsia="en-GB"/>
        </w:rPr>
        <w:fldChar w:fldCharType="end"/>
      </w:r>
      <w:r w:rsidR="00740B66">
        <w:rPr>
          <w:rFonts w:eastAsia="Times New Roman" w:cstheme="minorHAnsi"/>
          <w:lang w:eastAsia="en-GB"/>
        </w:rPr>
        <w:t xml:space="preserve"> </w:t>
      </w:r>
      <w:r w:rsidR="00204719">
        <w:rPr>
          <w:rFonts w:eastAsia="Times New Roman" w:cstheme="minorHAnsi"/>
          <w:lang w:eastAsia="en-GB"/>
        </w:rPr>
        <w:t xml:space="preserve">Moreover, statins have been widely perceived as causing side effects </w:t>
      </w:r>
      <w:r w:rsidR="00E35A8E">
        <w:rPr>
          <w:rFonts w:eastAsia="Times New Roman" w:cstheme="minorHAnsi"/>
          <w:lang w:eastAsia="en-GB"/>
        </w:rPr>
        <w:t>such as muscle pains (and there was intermittent media coverage</w:t>
      </w:r>
      <w:r w:rsidR="009703E0">
        <w:rPr>
          <w:rFonts w:eastAsia="Times New Roman" w:cstheme="minorHAnsi"/>
          <w:lang w:eastAsia="en-GB"/>
        </w:rPr>
        <w:t xml:space="preserve"> that influenced prescribing behaviour</w:t>
      </w:r>
      <w:r w:rsidR="00E35A8E">
        <w:rPr>
          <w:rFonts w:eastAsia="Times New Roman" w:cstheme="minorHAnsi"/>
          <w:lang w:eastAsia="en-GB"/>
        </w:rPr>
        <w:t>)</w:t>
      </w:r>
      <w:r w:rsidR="002E25B9">
        <w:rPr>
          <w:rFonts w:eastAsia="Times New Roman" w:cstheme="minorHAnsi"/>
          <w:lang w:eastAsia="en-GB"/>
        </w:rPr>
        <w:fldChar w:fldCharType="begin"/>
      </w:r>
      <w:r w:rsidR="001153FB">
        <w:rPr>
          <w:rFonts w:eastAsia="Times New Roman" w:cstheme="minorHAnsi"/>
          <w:lang w:eastAsia="en-GB"/>
        </w:rPr>
        <w:instrText xml:space="preserve"> ADDIN ZOTERO_ITEM CSL_CITATION {"citationID":"ZnLB5SDN","properties":{"formattedCitation":"\\super 24\\nosupersub{}","plainCitation":"24","noteIndex":0},"citationItems":[{"id":177,"uris":["http://zotero.org/users/4387520/items/DQRP4D3R"],"uri":["http://zotero.org/users/4387520/items/DQRP4D3R"],"itemData":{"id":177,"type":"article-journal","abstract":"Objective To quantify how a period of intense media coverage of controversy over the risk:benefit balance of statins affected their use.\nDesign Interrupted time series analysis of prospectively collected electronic data from primary care.\nSetting Clinical Practice Research Datalink (CPRD) in the United Kingdom.\nParticipants Patients newly eligible for or currently taking statins for primary and secondary cardiovascular disease prevention in each month in January 2011-March 2015.\nMain outcome measures Adjusted odds ratios for starting/stopping taking statins after the media coverage (October 2013-March 2014).\nResults There was no evidence that the period of high media coverage was associated with changes in statin initiation among patients with a high recorded risk score for cardiovascular disease (primary prevention) or a recent cardiovascular event (secondary prevention) (odds ratio 0.99 (95% confidence interval 0.87 to 1.13; P=0.92) and 1.04 (0.92 to 1.18; P=0.54), respectively), though there was a decrease in the overall proportion of patients with a recorded risk score. Patients already taking statins were more likely to stop taking them for both primary and secondary prevention after the high media coverage period (1.11 (1.05 to 1.18; P&lt;0.001) and 1.12 (1.04 to 1.21; P=0.003), respectively). Stratified analyses showed that older patients and those with a longer continuous prescription were more likely to stop taking statins after the media coverage. In post hoc analyses, the increased rates of cessation were no longer observed after six months.\nConclusions A period of intense public discussion over the risks:benefit balance of statins, covered widely in the media, was followed by a transient rise in the proportion of people who stopped taking statins. This research highlights the potential for widely covered health stories in the lay media to impact on healthcare related behaviour.","container-title":"BMJ","DOI":"10.1136/bmj.i3283","ISSN":"1756-1833","journalAbbreviation":"BMJ","language":"en","note":"PMID: 27353418","page":"i3283","source":"www.bmj.com","title":"Impact of statin related media coverage on use of statins: interrupted time series analysis with UK primary care data","title-short":"Impact of statin related media coverage on use of statins","volume":"353","author":[{"family":"Matthews","given":"Anthony"},{"family":"Herrett","given":"Emily"},{"family":"Gasparrini","given":"Antonio"},{"family":"Staa","given":"Tjeerd Van"},{"family":"Goldacre","given":"Ben"},{"family":"Smeeth","given":"Liam"},{"family":"Bhaskaran","given":"Krishnan"}],"issued":{"date-parts":[["2016",6,28]]}}}],"schema":"https://github.com/citation-style-language/schema/raw/master/csl-citation.json"} </w:instrText>
      </w:r>
      <w:r w:rsidR="002E25B9">
        <w:rPr>
          <w:rFonts w:eastAsia="Times New Roman" w:cstheme="minorHAnsi"/>
          <w:lang w:eastAsia="en-GB"/>
        </w:rPr>
        <w:fldChar w:fldCharType="separate"/>
      </w:r>
      <w:r w:rsidR="001153FB" w:rsidRPr="001153FB">
        <w:rPr>
          <w:rFonts w:ascii="Calibri" w:hAnsi="Calibri" w:cs="Calibri"/>
          <w:szCs w:val="24"/>
          <w:vertAlign w:val="superscript"/>
        </w:rPr>
        <w:t>24</w:t>
      </w:r>
      <w:r w:rsidR="002E25B9">
        <w:rPr>
          <w:rFonts w:eastAsia="Times New Roman" w:cstheme="minorHAnsi"/>
          <w:lang w:eastAsia="en-GB"/>
        </w:rPr>
        <w:fldChar w:fldCharType="end"/>
      </w:r>
      <w:r w:rsidR="00E35A8E">
        <w:rPr>
          <w:rFonts w:eastAsia="Times New Roman" w:cstheme="minorHAnsi"/>
          <w:lang w:eastAsia="en-GB"/>
        </w:rPr>
        <w:t xml:space="preserve"> </w:t>
      </w:r>
      <w:r w:rsidR="00204719">
        <w:rPr>
          <w:rFonts w:eastAsia="Times New Roman" w:cstheme="minorHAnsi"/>
          <w:lang w:eastAsia="en-GB"/>
        </w:rPr>
        <w:t xml:space="preserve">and GPs and patients may have been reluctant to </w:t>
      </w:r>
      <w:r w:rsidR="001D7446">
        <w:rPr>
          <w:rFonts w:eastAsia="Times New Roman" w:cstheme="minorHAnsi"/>
          <w:lang w:eastAsia="en-GB"/>
        </w:rPr>
        <w:t>switch from one statin to another</w:t>
      </w:r>
      <w:r w:rsidR="00204719">
        <w:rPr>
          <w:rFonts w:eastAsia="Times New Roman" w:cstheme="minorHAnsi"/>
          <w:lang w:eastAsia="en-GB"/>
        </w:rPr>
        <w:t xml:space="preserve"> for fear of inducing adverse events.</w:t>
      </w:r>
      <w:r w:rsidR="00913D89">
        <w:rPr>
          <w:rFonts w:eastAsia="Times New Roman" w:cstheme="minorHAnsi"/>
          <w:lang w:eastAsia="en-GB"/>
        </w:rPr>
        <w:fldChar w:fldCharType="begin"/>
      </w:r>
      <w:r w:rsidR="001153FB">
        <w:rPr>
          <w:rFonts w:eastAsia="Times New Roman" w:cstheme="minorHAnsi"/>
          <w:lang w:eastAsia="en-GB"/>
        </w:rPr>
        <w:instrText xml:space="preserve"> ADDIN ZOTERO_ITEM CSL_CITATION {"citationID":"zo6AeeZo","properties":{"formattedCitation":"\\super 25\\nosupersub{}","plainCitation":"25","noteIndex":0},"citationItems":[{"id":187,"uris":["http://zotero.org/users/4387520/items/KNYMUAYI"],"uri":["http://zotero.org/users/4387520/items/KNYMUAYI"],"itemData":{"id":187,"type":"article-journal","abstract":"Background Statins are effective in preventing cardiovascular disease (CVD) events and are recommended for at-risk individuals but estimated adherence rates are low.\nAim To describe patients’ perspectives, experiences, and attitudes towards taking statins.\nDesign and setting Systematic review of qualitative studies reporting perspectives of patients on statins.\nMethod PsycINFO, CINAHL, Embase, MEDLINE, and PhD dissertations from inception to 6 October 2016 were searched for qualitative studies on adult patients’ perspectives on statins. All text and participant quotations were extracted from each article and analysed by thematic synthesis.\nResults Thirty-two studies involving 888 participants aged 22–93 years across eight countries were included. Seven themes were identified: confidence in prevention (trust in efficacy, minimising long-term catastrophic CVD, taking control, easing anxiety about high cholesterol); routinising into daily life; questioning utility (imperceptible benefits, uncertainties about pharmacological mechanisms); medical distrust (scepticism about overprescribing, pressure to start therapy); threatening health (competing priorities and risks, debilitating side effects, toxicity to body); signifying sickness (fear of perpetual dependence, losing the battle); and financial strain.\nConclusion An expectation that statins could prevent CVD and being able to integrate the statin regimen in daily life facilitated acceptance of statins among patients. However, avoiding the ‘sick’ identity and prolonged dependence on medications, uncertainties about the pharmacological mechanisms, risks to health, side effects, costs, and scepticism about clinicians’ motives for prescribing statins were barriers to uptake. Shared decision making that addresses the risks, reasons for prescribing, patient priorities, and implementing strategies to minimise lifestyle intrusion and manage side effects may improve patient satisfaction and continuation of statins.","container-title":"British Journal of General Practice","DOI":"10.3399/bjgp18X696365","ISSN":"0960-1643, 1478-5242","issue":"671","journalAbbreviation":"Br J Gen Pract","language":"en","note":"publisher: British Journal of General Practice\nsection: Research\nPMID: 29784867","page":"e408-e419","source":"bjgp.org","title":"Patient beliefs and attitudes to taking statins: systematic review of qualitative studies","title-short":"Patient beliefs and attitudes to taking statins","volume":"68","author":[{"family":"Ju","given":"Angela"},{"family":"Hanson","given":"Camilla S."},{"family":"Banks","given":"Emily"},{"family":"Korda","given":"Rosemary"},{"family":"Craig","given":"Jonathan C."},{"family":"Usherwood","given":"Tim"},{"family":"MacDonald","given":"Peter"},{"family":"Tong","given":"Allison"}],"issued":{"date-parts":[["2018",6,1]]}}}],"schema":"https://github.com/citation-style-language/schema/raw/master/csl-citation.json"} </w:instrText>
      </w:r>
      <w:r w:rsidR="00913D89">
        <w:rPr>
          <w:rFonts w:eastAsia="Times New Roman" w:cstheme="minorHAnsi"/>
          <w:lang w:eastAsia="en-GB"/>
        </w:rPr>
        <w:fldChar w:fldCharType="separate"/>
      </w:r>
      <w:r w:rsidR="001153FB" w:rsidRPr="001153FB">
        <w:rPr>
          <w:rFonts w:ascii="Calibri" w:hAnsi="Calibri" w:cs="Calibri"/>
          <w:szCs w:val="24"/>
          <w:vertAlign w:val="superscript"/>
        </w:rPr>
        <w:t>25</w:t>
      </w:r>
      <w:r w:rsidR="00913D89">
        <w:rPr>
          <w:rFonts w:eastAsia="Times New Roman" w:cstheme="minorHAnsi"/>
          <w:lang w:eastAsia="en-GB"/>
        </w:rPr>
        <w:fldChar w:fldCharType="end"/>
      </w:r>
    </w:p>
    <w:p w14:paraId="47D5C6A0" w14:textId="77777777" w:rsidR="0086218A" w:rsidRDefault="0086218A" w:rsidP="007144CB">
      <w:pPr>
        <w:spacing w:after="0" w:line="240" w:lineRule="auto"/>
        <w:jc w:val="both"/>
        <w:rPr>
          <w:rFonts w:eastAsia="Times New Roman" w:cstheme="minorHAnsi"/>
          <w:lang w:eastAsia="en-GB"/>
        </w:rPr>
      </w:pPr>
    </w:p>
    <w:p w14:paraId="6D045F03" w14:textId="0E3140F0" w:rsidR="00144AFB" w:rsidRPr="0066342B" w:rsidRDefault="00196B93" w:rsidP="007144CB">
      <w:pPr>
        <w:spacing w:after="0" w:line="240" w:lineRule="auto"/>
        <w:jc w:val="both"/>
      </w:pPr>
      <w:bookmarkStart w:id="4" w:name="_Hlk81816605"/>
      <w:r>
        <w:rPr>
          <w:rFonts w:eastAsia="Times New Roman" w:cstheme="minorHAnsi"/>
          <w:lang w:eastAsia="en-GB"/>
        </w:rPr>
        <w:t>U</w:t>
      </w:r>
      <w:r w:rsidR="00750D6A">
        <w:rPr>
          <w:rFonts w:cstheme="minorHAnsi"/>
        </w:rPr>
        <w:t xml:space="preserve">nder the plausible assumption that GPs cannot consistently anticipate whether a </w:t>
      </w:r>
      <w:r w:rsidR="00750D6A" w:rsidRPr="0086218A">
        <w:rPr>
          <w:rFonts w:cstheme="minorHAnsi"/>
          <w:i/>
        </w:rPr>
        <w:t>new</w:t>
      </w:r>
      <w:r w:rsidR="00750D6A">
        <w:rPr>
          <w:rFonts w:cstheme="minorHAnsi"/>
        </w:rPr>
        <w:t xml:space="preserve"> patient would benefit from taking a drug </w:t>
      </w:r>
      <w:r w:rsidR="00AC79FB">
        <w:rPr>
          <w:rFonts w:cstheme="minorHAnsi"/>
        </w:rPr>
        <w:t xml:space="preserve">that is </w:t>
      </w:r>
      <w:r w:rsidR="00750D6A">
        <w:rPr>
          <w:rFonts w:cstheme="minorHAnsi"/>
        </w:rPr>
        <w:t>different from the</w:t>
      </w:r>
      <w:r w:rsidR="0086218A">
        <w:rPr>
          <w:rFonts w:cstheme="minorHAnsi"/>
        </w:rPr>
        <w:t xml:space="preserve"> one recommended by NICE, we</w:t>
      </w:r>
      <w:r w:rsidR="00750D6A">
        <w:rPr>
          <w:rFonts w:cstheme="minorHAnsi"/>
        </w:rPr>
        <w:t xml:space="preserve"> evaluate</w:t>
      </w:r>
      <w:r w:rsidR="0086218A">
        <w:rPr>
          <w:rFonts w:cstheme="minorHAnsi"/>
        </w:rPr>
        <w:t>d</w:t>
      </w:r>
      <w:r w:rsidR="00750D6A">
        <w:rPr>
          <w:rFonts w:cstheme="minorHAnsi"/>
        </w:rPr>
        <w:t xml:space="preserve"> prescription </w:t>
      </w:r>
      <w:r w:rsidR="0066342B">
        <w:rPr>
          <w:rFonts w:cstheme="minorHAnsi"/>
        </w:rPr>
        <w:t>choices</w:t>
      </w:r>
      <w:r w:rsidR="00750D6A">
        <w:rPr>
          <w:rFonts w:cstheme="minorHAnsi"/>
        </w:rPr>
        <w:t xml:space="preserve"> in this market according to a cost-minimization criteri</w:t>
      </w:r>
      <w:r>
        <w:rPr>
          <w:rFonts w:cstheme="minorHAnsi"/>
        </w:rPr>
        <w:t>on</w:t>
      </w:r>
      <w:r w:rsidR="00750D6A">
        <w:rPr>
          <w:rFonts w:cstheme="minorHAnsi"/>
        </w:rPr>
        <w:t xml:space="preserve"> where choosing statins other than </w:t>
      </w:r>
      <w:r w:rsidR="000271EC">
        <w:rPr>
          <w:rFonts w:cstheme="minorHAnsi"/>
        </w:rPr>
        <w:t>s</w:t>
      </w:r>
      <w:r w:rsidR="00797BFC">
        <w:rPr>
          <w:rFonts w:cstheme="minorHAnsi"/>
        </w:rPr>
        <w:t>imvastatin</w:t>
      </w:r>
      <w:r w:rsidR="0089763D">
        <w:rPr>
          <w:rFonts w:cstheme="minorHAnsi"/>
        </w:rPr>
        <w:t xml:space="preserve"> (before May 2012)</w:t>
      </w:r>
      <w:r w:rsidR="000271EC">
        <w:rPr>
          <w:rFonts w:cstheme="minorHAnsi"/>
        </w:rPr>
        <w:t xml:space="preserve"> or a</w:t>
      </w:r>
      <w:r w:rsidR="00797BFC">
        <w:rPr>
          <w:rFonts w:cstheme="minorHAnsi"/>
        </w:rPr>
        <w:t>torvastatin</w:t>
      </w:r>
      <w:r w:rsidR="0089763D">
        <w:rPr>
          <w:rFonts w:cstheme="minorHAnsi"/>
        </w:rPr>
        <w:t xml:space="preserve"> (after May 2012)</w:t>
      </w:r>
      <w:r w:rsidR="00797BFC">
        <w:rPr>
          <w:rFonts w:cstheme="minorHAnsi"/>
        </w:rPr>
        <w:t xml:space="preserve"> </w:t>
      </w:r>
      <w:r w:rsidR="00750D6A">
        <w:rPr>
          <w:rFonts w:cstheme="minorHAnsi"/>
        </w:rPr>
        <w:t>can be considered suboptimal</w:t>
      </w:r>
      <w:r>
        <w:rPr>
          <w:rFonts w:cstheme="minorHAnsi"/>
        </w:rPr>
        <w:t xml:space="preserve">. </w:t>
      </w:r>
      <w:bookmarkEnd w:id="4"/>
      <w:r w:rsidR="00C648B4">
        <w:rPr>
          <w:rFonts w:cstheme="minorHAnsi"/>
          <w:color w:val="000000"/>
        </w:rPr>
        <w:t>O</w:t>
      </w:r>
      <w:r w:rsidR="00C648B4" w:rsidRPr="008B087A">
        <w:rPr>
          <w:rFonts w:cstheme="minorHAnsi"/>
          <w:color w:val="000000"/>
        </w:rPr>
        <w:t xml:space="preserve">ur </w:t>
      </w:r>
      <w:r w:rsidR="00C648B4">
        <w:rPr>
          <w:rFonts w:cstheme="minorHAnsi"/>
          <w:color w:val="000000"/>
        </w:rPr>
        <w:t>cost-</w:t>
      </w:r>
      <w:r w:rsidR="00A23ABF">
        <w:rPr>
          <w:rFonts w:cstheme="minorHAnsi"/>
          <w:color w:val="000000"/>
        </w:rPr>
        <w:t xml:space="preserve">savings simulation </w:t>
      </w:r>
      <w:r w:rsidR="00C648B4">
        <w:rPr>
          <w:rFonts w:cstheme="minorHAnsi"/>
          <w:color w:val="000000"/>
        </w:rPr>
        <w:t xml:space="preserve">analysis </w:t>
      </w:r>
      <w:r w:rsidR="00C648B4" w:rsidRPr="008B087A">
        <w:rPr>
          <w:rFonts w:cstheme="minorHAnsi"/>
          <w:color w:val="000000"/>
        </w:rPr>
        <w:t>suggest</w:t>
      </w:r>
      <w:r w:rsidR="005C5377">
        <w:rPr>
          <w:rFonts w:cstheme="minorHAnsi"/>
          <w:color w:val="000000"/>
        </w:rPr>
        <w:t>ed</w:t>
      </w:r>
      <w:r w:rsidR="00C648B4" w:rsidRPr="008B087A">
        <w:rPr>
          <w:rFonts w:cstheme="minorHAnsi"/>
          <w:color w:val="000000"/>
        </w:rPr>
        <w:t xml:space="preserve"> </w:t>
      </w:r>
      <w:r w:rsidR="00C648B4">
        <w:rPr>
          <w:rFonts w:cstheme="minorHAnsi"/>
          <w:color w:val="000000"/>
        </w:rPr>
        <w:t>that</w:t>
      </w:r>
      <w:r w:rsidR="00BC609B">
        <w:rPr>
          <w:rFonts w:cstheme="minorHAnsi"/>
          <w:color w:val="000000"/>
        </w:rPr>
        <w:t xml:space="preserve"> low responsiveness comes at a high </w:t>
      </w:r>
      <w:r w:rsidR="00A23ABF">
        <w:rPr>
          <w:rFonts w:cstheme="minorHAnsi"/>
          <w:color w:val="000000"/>
        </w:rPr>
        <w:t>price</w:t>
      </w:r>
      <w:r w:rsidR="00BC609B">
        <w:rPr>
          <w:rFonts w:cstheme="minorHAnsi"/>
          <w:color w:val="000000"/>
        </w:rPr>
        <w:t xml:space="preserve"> for the NHS</w:t>
      </w:r>
      <w:r w:rsidR="00750D6A">
        <w:rPr>
          <w:rFonts w:cstheme="minorHAnsi"/>
          <w:color w:val="000000"/>
        </w:rPr>
        <w:t>.</w:t>
      </w:r>
      <w:r w:rsidR="00A23ABF">
        <w:rPr>
          <w:rFonts w:cstheme="minorHAnsi"/>
          <w:color w:val="000000"/>
        </w:rPr>
        <w:t xml:space="preserve"> Namely, i</w:t>
      </w:r>
      <w:r w:rsidR="00C648B4">
        <w:rPr>
          <w:rFonts w:cstheme="minorHAnsi"/>
          <w:color w:val="000000"/>
        </w:rPr>
        <w:t>f all new</w:t>
      </w:r>
      <w:r w:rsidR="00C648B4" w:rsidRPr="008B087A">
        <w:rPr>
          <w:rFonts w:cstheme="minorHAnsi"/>
          <w:color w:val="000000"/>
        </w:rPr>
        <w:t xml:space="preserve"> patient</w:t>
      </w:r>
      <w:r w:rsidR="001D7446">
        <w:rPr>
          <w:rFonts w:cstheme="minorHAnsi"/>
          <w:color w:val="000000"/>
        </w:rPr>
        <w:t>s</w:t>
      </w:r>
      <w:r w:rsidR="00C648B4" w:rsidRPr="008B087A">
        <w:rPr>
          <w:rFonts w:cstheme="minorHAnsi"/>
          <w:color w:val="000000"/>
        </w:rPr>
        <w:t xml:space="preserve"> </w:t>
      </w:r>
      <w:r w:rsidR="00C648B4">
        <w:rPr>
          <w:rFonts w:cstheme="minorHAnsi"/>
          <w:color w:val="000000"/>
        </w:rPr>
        <w:t xml:space="preserve">had received the </w:t>
      </w:r>
      <w:r w:rsidR="00C27E6A">
        <w:rPr>
          <w:rFonts w:cstheme="minorHAnsi"/>
          <w:color w:val="000000"/>
        </w:rPr>
        <w:t>most cost-effective treatment (as later</w:t>
      </w:r>
      <w:r w:rsidR="00C648B4">
        <w:rPr>
          <w:rFonts w:cstheme="minorHAnsi"/>
          <w:color w:val="000000"/>
        </w:rPr>
        <w:t xml:space="preserve"> recommended in the </w:t>
      </w:r>
      <w:r w:rsidR="00C648B4" w:rsidRPr="008B087A">
        <w:rPr>
          <w:rFonts w:cstheme="minorHAnsi"/>
          <w:color w:val="000000"/>
        </w:rPr>
        <w:t>guidelines</w:t>
      </w:r>
      <w:r w:rsidR="00C27E6A">
        <w:rPr>
          <w:rFonts w:cstheme="minorHAnsi"/>
          <w:color w:val="000000"/>
        </w:rPr>
        <w:t>)</w:t>
      </w:r>
      <w:r w:rsidR="00C648B4" w:rsidRPr="008B087A">
        <w:rPr>
          <w:rFonts w:cstheme="minorHAnsi"/>
          <w:color w:val="000000"/>
        </w:rPr>
        <w:t xml:space="preserve">, the NHS </w:t>
      </w:r>
      <w:r w:rsidR="00C648B4" w:rsidRPr="00211775">
        <w:rPr>
          <w:rFonts w:eastAsia="Times New Roman" w:cstheme="minorHAnsi"/>
          <w:lang w:eastAsia="en-GB"/>
        </w:rPr>
        <w:t>could have save</w:t>
      </w:r>
      <w:r w:rsidR="00C648B4">
        <w:rPr>
          <w:rFonts w:eastAsia="Times New Roman" w:cstheme="minorHAnsi"/>
          <w:lang w:eastAsia="en-GB"/>
        </w:rPr>
        <w:t>d</w:t>
      </w:r>
      <w:r w:rsidR="00C648B4" w:rsidRPr="00211775">
        <w:rPr>
          <w:rFonts w:eastAsia="Times New Roman" w:cstheme="minorHAnsi"/>
          <w:lang w:eastAsia="en-GB"/>
        </w:rPr>
        <w:t xml:space="preserve"> around 22% of the actual spending</w:t>
      </w:r>
      <w:r w:rsidR="00C648B4" w:rsidRPr="008B087A">
        <w:rPr>
          <w:rFonts w:eastAsia="Times New Roman" w:cstheme="minorHAnsi"/>
          <w:lang w:eastAsia="en-GB"/>
        </w:rPr>
        <w:t xml:space="preserve"> on </w:t>
      </w:r>
      <w:r w:rsidR="00C648B4">
        <w:rPr>
          <w:rFonts w:cstheme="minorHAnsi"/>
          <w:color w:val="000000"/>
        </w:rPr>
        <w:t>initial prescriptions</w:t>
      </w:r>
      <w:r w:rsidR="0086218A">
        <w:rPr>
          <w:rFonts w:cstheme="minorHAnsi"/>
          <w:color w:val="000000"/>
        </w:rPr>
        <w:t>. L</w:t>
      </w:r>
      <w:r w:rsidR="00C648B4">
        <w:rPr>
          <w:rFonts w:eastAsia="Times New Roman" w:cstheme="minorHAnsi"/>
          <w:lang w:eastAsia="en-GB"/>
        </w:rPr>
        <w:t>ooking at all prescriptions for new and on-going patients</w:t>
      </w:r>
      <w:r w:rsidR="0086218A">
        <w:rPr>
          <w:rFonts w:eastAsia="Times New Roman" w:cstheme="minorHAnsi"/>
          <w:lang w:eastAsia="en-GB"/>
        </w:rPr>
        <w:t>,</w:t>
      </w:r>
      <w:r w:rsidR="00A23ABF">
        <w:rPr>
          <w:rFonts w:eastAsia="Times New Roman" w:cstheme="minorHAnsi"/>
          <w:lang w:eastAsia="en-GB"/>
        </w:rPr>
        <w:t xml:space="preserve"> </w:t>
      </w:r>
      <w:r w:rsidR="0086218A">
        <w:rPr>
          <w:rFonts w:eastAsia="Times New Roman" w:cstheme="minorHAnsi"/>
          <w:lang w:eastAsia="en-GB"/>
        </w:rPr>
        <w:t>we compute savings of £2.7bn, mainly between 2004 and 2012</w:t>
      </w:r>
      <w:r w:rsidR="009703E0">
        <w:rPr>
          <w:rFonts w:eastAsia="Times New Roman" w:cstheme="minorHAnsi"/>
          <w:lang w:eastAsia="en-GB"/>
        </w:rPr>
        <w:t>, representing roughly 44 percent of total spending on statins during this period</w:t>
      </w:r>
      <w:r w:rsidR="00C648B4">
        <w:rPr>
          <w:rFonts w:eastAsia="Times New Roman" w:cstheme="minorHAnsi"/>
          <w:lang w:eastAsia="en-GB"/>
        </w:rPr>
        <w:t xml:space="preserve">. </w:t>
      </w:r>
      <w:r w:rsidR="0066342B">
        <w:rPr>
          <w:rFonts w:eastAsia="Times New Roman" w:cstheme="minorHAnsi"/>
          <w:lang w:eastAsia="en-GB"/>
        </w:rPr>
        <w:t>W</w:t>
      </w:r>
      <w:r w:rsidR="0086218A">
        <w:rPr>
          <w:rFonts w:eastAsia="Times New Roman" w:cstheme="minorHAnsi"/>
          <w:lang w:eastAsia="en-GB"/>
        </w:rPr>
        <w:t xml:space="preserve">e </w:t>
      </w:r>
      <w:r w:rsidR="0086218A">
        <w:rPr>
          <w:rFonts w:eastAsia="Times New Roman" w:cstheme="minorHAnsi"/>
          <w:lang w:eastAsia="en-GB"/>
        </w:rPr>
        <w:lastRenderedPageBreak/>
        <w:t>acknowledge that this</w:t>
      </w:r>
      <w:r w:rsidR="00993078">
        <w:rPr>
          <w:rFonts w:eastAsia="Times New Roman" w:cstheme="minorHAnsi"/>
          <w:lang w:eastAsia="en-GB"/>
        </w:rPr>
        <w:t xml:space="preserve"> </w:t>
      </w:r>
      <w:r w:rsidR="00993078">
        <w:t xml:space="preserve">figure is an upper bound of potential savings, based on the </w:t>
      </w:r>
      <w:r w:rsidR="0066342B">
        <w:t xml:space="preserve">strong </w:t>
      </w:r>
      <w:r w:rsidR="00993078">
        <w:t xml:space="preserve">assumption that all existing patients on drug treatment could </w:t>
      </w:r>
      <w:r w:rsidR="000271EC">
        <w:t xml:space="preserve">be </w:t>
      </w:r>
      <w:r w:rsidR="00293A36">
        <w:t xml:space="preserve">seamlessly </w:t>
      </w:r>
      <w:r w:rsidR="000271EC">
        <w:t>switched to</w:t>
      </w:r>
      <w:r w:rsidR="00293A36">
        <w:t xml:space="preserve"> other statins, without considering side effects (e.g. myopathy) or other practicalities (e.g. planned-patient reviews) </w:t>
      </w:r>
      <w:r w:rsidR="0066342B">
        <w:t>.</w:t>
      </w:r>
      <w:r w:rsidR="00293A36">
        <w:t xml:space="preserve"> </w:t>
      </w:r>
      <w:r w:rsidR="009E4A31">
        <w:t xml:space="preserve">Looking at the data, we find that around 7% and 12% of patients are switched </w:t>
      </w:r>
      <w:r w:rsidR="00293A36">
        <w:t xml:space="preserve">to simvastatin and then switched </w:t>
      </w:r>
      <w:r w:rsidR="009E4A31">
        <w:t>away</w:t>
      </w:r>
      <w:r w:rsidR="00293A36">
        <w:t xml:space="preserve"> from </w:t>
      </w:r>
      <w:r w:rsidR="009E4A31">
        <w:t xml:space="preserve">it </w:t>
      </w:r>
      <w:r w:rsidR="00293A36">
        <w:t>in the next 4</w:t>
      </w:r>
      <w:r w:rsidR="009E4A31">
        <w:t xml:space="preserve"> and</w:t>
      </w:r>
      <w:r w:rsidR="00293A36">
        <w:t xml:space="preserve"> 12 months</w:t>
      </w:r>
      <w:r w:rsidR="009E4A31">
        <w:t xml:space="preserve">, respectively. Although this proportion is not insignificant, </w:t>
      </w:r>
      <w:r w:rsidR="0066342B">
        <w:t xml:space="preserve">there is no doubt that large savings </w:t>
      </w:r>
      <w:r w:rsidR="009E4A31">
        <w:t xml:space="preserve">are still present if all GPs follow </w:t>
      </w:r>
      <w:r w:rsidR="0066342B">
        <w:t xml:space="preserve">the example of the most cost-sensitive physicians.    </w:t>
      </w:r>
    </w:p>
    <w:p w14:paraId="2A97FF70" w14:textId="009E2F7F" w:rsidR="00415B50" w:rsidRDefault="00415B50" w:rsidP="007144CB">
      <w:pPr>
        <w:spacing w:after="0" w:line="240" w:lineRule="auto"/>
        <w:jc w:val="both"/>
        <w:rPr>
          <w:rFonts w:eastAsia="Times New Roman" w:cstheme="minorHAnsi"/>
          <w:lang w:eastAsia="en-GB"/>
        </w:rPr>
      </w:pPr>
    </w:p>
    <w:p w14:paraId="2C367E75" w14:textId="7651898C" w:rsidR="00A4413B" w:rsidRDefault="00A23ABF" w:rsidP="007144CB">
      <w:pPr>
        <w:spacing w:after="0" w:line="240" w:lineRule="auto"/>
        <w:jc w:val="both"/>
      </w:pPr>
      <w:r>
        <w:rPr>
          <w:rFonts w:eastAsia="Times New Roman" w:cstheme="minorHAnsi"/>
          <w:lang w:eastAsia="en-GB"/>
        </w:rPr>
        <w:t xml:space="preserve">We anticipate that the experience of statins would be similarly observed </w:t>
      </w:r>
      <w:r w:rsidR="0093238A">
        <w:rPr>
          <w:rFonts w:eastAsia="Times New Roman" w:cstheme="minorHAnsi"/>
          <w:lang w:eastAsia="en-GB"/>
        </w:rPr>
        <w:t xml:space="preserve">in other </w:t>
      </w:r>
      <w:r w:rsidR="003105CC">
        <w:rPr>
          <w:rFonts w:eastAsia="Times New Roman" w:cstheme="minorHAnsi"/>
          <w:lang w:eastAsia="en-GB"/>
        </w:rPr>
        <w:t>therapeutic areas where treatments have similar mode</w:t>
      </w:r>
      <w:r w:rsidR="00610C8D">
        <w:rPr>
          <w:rFonts w:eastAsia="Times New Roman" w:cstheme="minorHAnsi"/>
          <w:lang w:eastAsia="en-GB"/>
        </w:rPr>
        <w:t>s</w:t>
      </w:r>
      <w:r w:rsidR="003105CC">
        <w:rPr>
          <w:rFonts w:eastAsia="Times New Roman" w:cstheme="minorHAnsi"/>
          <w:lang w:eastAsia="en-GB"/>
        </w:rPr>
        <w:t xml:space="preserve"> of action and comparable levels of </w:t>
      </w:r>
      <w:r w:rsidR="00FE7E7A">
        <w:rPr>
          <w:rFonts w:eastAsia="Times New Roman" w:cstheme="minorHAnsi"/>
          <w:lang w:eastAsia="en-GB"/>
        </w:rPr>
        <w:t>efficacy</w:t>
      </w:r>
      <w:r w:rsidR="003105CC">
        <w:rPr>
          <w:rFonts w:eastAsia="Times New Roman" w:cstheme="minorHAnsi"/>
          <w:lang w:eastAsia="en-GB"/>
        </w:rPr>
        <w:t xml:space="preserve">, for instance </w:t>
      </w:r>
      <w:r w:rsidR="002A014F" w:rsidRPr="002A014F">
        <w:rPr>
          <w:rFonts w:eastAsia="Times New Roman" w:cstheme="minorHAnsi"/>
          <w:lang w:eastAsia="en-GB"/>
        </w:rPr>
        <w:t xml:space="preserve">Angiotensin-converting enzyme (ACE) </w:t>
      </w:r>
      <w:r w:rsidR="003105CC">
        <w:rPr>
          <w:rFonts w:eastAsia="Times New Roman" w:cstheme="minorHAnsi"/>
          <w:lang w:eastAsia="en-GB"/>
        </w:rPr>
        <w:t>inhibitors and proton pump inhibitors</w:t>
      </w:r>
      <w:r w:rsidR="00F43211">
        <w:rPr>
          <w:rFonts w:eastAsia="Times New Roman" w:cstheme="minorHAnsi"/>
          <w:lang w:eastAsia="en-GB"/>
        </w:rPr>
        <w:t>.</w:t>
      </w:r>
      <w:r w:rsidR="007B461D">
        <w:rPr>
          <w:rFonts w:eastAsia="Times New Roman" w:cstheme="minorHAnsi"/>
          <w:lang w:eastAsia="en-GB"/>
        </w:rPr>
        <w:t xml:space="preserve"> </w:t>
      </w:r>
      <w:r w:rsidR="003105CC">
        <w:rPr>
          <w:rFonts w:eastAsia="Times New Roman" w:cstheme="minorHAnsi"/>
          <w:lang w:eastAsia="en-GB"/>
        </w:rPr>
        <w:t>Looking ahead, our analysis suggests that</w:t>
      </w:r>
      <w:r>
        <w:rPr>
          <w:rFonts w:eastAsia="Times New Roman" w:cstheme="minorHAnsi"/>
          <w:lang w:eastAsia="en-GB"/>
        </w:rPr>
        <w:t xml:space="preserve"> cost-conscious </w:t>
      </w:r>
      <w:r w:rsidR="0081409E">
        <w:rPr>
          <w:rFonts w:eastAsia="Times New Roman" w:cstheme="minorHAnsi"/>
          <w:lang w:eastAsia="en-GB"/>
        </w:rPr>
        <w:t>centralis</w:t>
      </w:r>
      <w:r w:rsidR="003105CC">
        <w:rPr>
          <w:rFonts w:eastAsia="Times New Roman" w:cstheme="minorHAnsi"/>
          <w:lang w:eastAsia="en-GB"/>
        </w:rPr>
        <w:t>ed public health system</w:t>
      </w:r>
      <w:r>
        <w:rPr>
          <w:rFonts w:eastAsia="Times New Roman" w:cstheme="minorHAnsi"/>
          <w:lang w:eastAsia="en-GB"/>
        </w:rPr>
        <w:t>s</w:t>
      </w:r>
      <w:r w:rsidR="00224319">
        <w:rPr>
          <w:rFonts w:eastAsia="Times New Roman" w:cstheme="minorHAnsi"/>
          <w:lang w:eastAsia="en-GB"/>
        </w:rPr>
        <w:t>,</w:t>
      </w:r>
      <w:r>
        <w:rPr>
          <w:rFonts w:eastAsia="Times New Roman" w:cstheme="minorHAnsi"/>
          <w:lang w:eastAsia="en-GB"/>
        </w:rPr>
        <w:t xml:space="preserve"> could save</w:t>
      </w:r>
      <w:r w:rsidR="0086218A">
        <w:rPr>
          <w:rFonts w:eastAsia="Times New Roman" w:cstheme="minorHAnsi"/>
          <w:lang w:eastAsia="en-GB"/>
        </w:rPr>
        <w:t xml:space="preserve"> substantial sums </w:t>
      </w:r>
      <w:r w:rsidR="003105CC">
        <w:rPr>
          <w:rFonts w:eastAsia="Times New Roman" w:cstheme="minorHAnsi"/>
          <w:lang w:eastAsia="en-GB"/>
        </w:rPr>
        <w:t xml:space="preserve">if new and, whenever possible, on-going patients are </w:t>
      </w:r>
      <w:r>
        <w:rPr>
          <w:rFonts w:eastAsia="Times New Roman" w:cstheme="minorHAnsi"/>
          <w:lang w:eastAsia="en-GB"/>
        </w:rPr>
        <w:t xml:space="preserve">promptly </w:t>
      </w:r>
      <w:r w:rsidR="003105CC">
        <w:rPr>
          <w:rFonts w:eastAsia="Times New Roman" w:cstheme="minorHAnsi"/>
          <w:lang w:eastAsia="en-GB"/>
        </w:rPr>
        <w:t>switched to</w:t>
      </w:r>
      <w:r w:rsidR="000F0161">
        <w:rPr>
          <w:rFonts w:eastAsia="Times New Roman" w:cstheme="minorHAnsi"/>
          <w:lang w:eastAsia="en-GB"/>
        </w:rPr>
        <w:t xml:space="preserve"> cost</w:t>
      </w:r>
      <w:r>
        <w:rPr>
          <w:rFonts w:eastAsia="Times New Roman" w:cstheme="minorHAnsi"/>
          <w:lang w:eastAsia="en-GB"/>
        </w:rPr>
        <w:t>-effective</w:t>
      </w:r>
      <w:r w:rsidR="000F0161">
        <w:rPr>
          <w:rFonts w:eastAsia="Times New Roman" w:cstheme="minorHAnsi"/>
          <w:lang w:eastAsia="en-GB"/>
        </w:rPr>
        <w:t xml:space="preserve"> </w:t>
      </w:r>
      <w:r w:rsidR="007B5661">
        <w:rPr>
          <w:rFonts w:eastAsia="Times New Roman" w:cstheme="minorHAnsi"/>
          <w:lang w:eastAsia="en-GB"/>
        </w:rPr>
        <w:t>alternatives</w:t>
      </w:r>
      <w:r w:rsidR="0093238A">
        <w:rPr>
          <w:rFonts w:eastAsia="Times New Roman" w:cstheme="minorHAnsi"/>
          <w:lang w:eastAsia="en-GB"/>
        </w:rPr>
        <w:t xml:space="preserve">, in particular when the first </w:t>
      </w:r>
      <w:r w:rsidR="007B5661">
        <w:rPr>
          <w:rFonts w:eastAsia="Times New Roman" w:cstheme="minorHAnsi"/>
          <w:lang w:eastAsia="en-GB"/>
        </w:rPr>
        <w:t xml:space="preserve">medicine </w:t>
      </w:r>
      <w:r w:rsidR="0093238A">
        <w:rPr>
          <w:rFonts w:eastAsia="Times New Roman" w:cstheme="minorHAnsi"/>
          <w:lang w:eastAsia="en-GB"/>
        </w:rPr>
        <w:t xml:space="preserve">in a </w:t>
      </w:r>
      <w:r w:rsidR="00333B00">
        <w:rPr>
          <w:rFonts w:eastAsia="Times New Roman" w:cstheme="minorHAnsi"/>
          <w:lang w:eastAsia="en-GB"/>
        </w:rPr>
        <w:t xml:space="preserve">therapeutic </w:t>
      </w:r>
      <w:r w:rsidR="0093238A">
        <w:rPr>
          <w:rFonts w:eastAsia="Times New Roman" w:cstheme="minorHAnsi"/>
          <w:lang w:eastAsia="en-GB"/>
        </w:rPr>
        <w:t>class loses patent protection</w:t>
      </w:r>
      <w:r w:rsidR="00290546">
        <w:rPr>
          <w:rFonts w:eastAsia="Times New Roman" w:cstheme="minorHAnsi"/>
          <w:lang w:eastAsia="en-GB"/>
        </w:rPr>
        <w:t xml:space="preserve">. </w:t>
      </w:r>
      <w:r w:rsidR="00156337">
        <w:rPr>
          <w:rFonts w:eastAsia="Times New Roman" w:cstheme="minorHAnsi"/>
          <w:lang w:eastAsia="en-GB"/>
        </w:rPr>
        <w:t xml:space="preserve">The </w:t>
      </w:r>
      <w:r w:rsidR="00A26FE7">
        <w:rPr>
          <w:rFonts w:eastAsia="Times New Roman" w:cstheme="minorHAnsi"/>
          <w:lang w:eastAsia="en-GB"/>
        </w:rPr>
        <w:t xml:space="preserve">observed </w:t>
      </w:r>
      <w:r w:rsidR="00156337">
        <w:rPr>
          <w:rFonts w:eastAsia="Times New Roman" w:cstheme="minorHAnsi"/>
          <w:lang w:eastAsia="en-GB"/>
        </w:rPr>
        <w:t xml:space="preserve">heterogeneity in prescribing behaviour </w:t>
      </w:r>
      <w:r w:rsidR="00B75A02">
        <w:rPr>
          <w:rFonts w:eastAsia="Times New Roman" w:cstheme="minorHAnsi"/>
          <w:lang w:eastAsia="en-GB"/>
        </w:rPr>
        <w:t xml:space="preserve">suggests that </w:t>
      </w:r>
      <w:r w:rsidR="00156337">
        <w:rPr>
          <w:rFonts w:eastAsia="Times New Roman" w:cstheme="minorHAnsi"/>
          <w:lang w:eastAsia="en-GB"/>
        </w:rPr>
        <w:t>an important step forward towards achieving this go</w:t>
      </w:r>
      <w:r w:rsidR="00F1298D">
        <w:rPr>
          <w:rFonts w:eastAsia="Times New Roman" w:cstheme="minorHAnsi"/>
          <w:lang w:eastAsia="en-GB"/>
        </w:rPr>
        <w:t>al</w:t>
      </w:r>
      <w:r w:rsidR="00156337">
        <w:rPr>
          <w:rFonts w:eastAsia="Times New Roman" w:cstheme="minorHAnsi"/>
          <w:lang w:eastAsia="en-GB"/>
        </w:rPr>
        <w:t xml:space="preserve"> would be </w:t>
      </w:r>
      <w:r w:rsidR="00577903">
        <w:rPr>
          <w:rFonts w:eastAsia="Times New Roman" w:cstheme="minorHAnsi"/>
          <w:lang w:eastAsia="en-GB"/>
        </w:rPr>
        <w:t>a timely</w:t>
      </w:r>
      <w:r w:rsidR="000F0161">
        <w:rPr>
          <w:rFonts w:eastAsia="Times New Roman" w:cstheme="minorHAnsi"/>
          <w:lang w:eastAsia="en-GB"/>
        </w:rPr>
        <w:t xml:space="preserve"> </w:t>
      </w:r>
      <w:r w:rsidR="00156337">
        <w:rPr>
          <w:rFonts w:eastAsia="Times New Roman" w:cstheme="minorHAnsi"/>
          <w:lang w:eastAsia="en-GB"/>
        </w:rPr>
        <w:t>dissemination of best practices</w:t>
      </w:r>
      <w:r w:rsidR="000F0161">
        <w:rPr>
          <w:rFonts w:eastAsia="Times New Roman" w:cstheme="minorHAnsi"/>
          <w:lang w:eastAsia="en-GB"/>
        </w:rPr>
        <w:t>,</w:t>
      </w:r>
      <w:r w:rsidR="00156337">
        <w:rPr>
          <w:rFonts w:eastAsia="Times New Roman" w:cstheme="minorHAnsi"/>
          <w:lang w:eastAsia="en-GB"/>
        </w:rPr>
        <w:t xml:space="preserve"> with the aim of promotin</w:t>
      </w:r>
      <w:r w:rsidR="00E873D2">
        <w:rPr>
          <w:rFonts w:eastAsia="Times New Roman" w:cstheme="minorHAnsi"/>
          <w:lang w:eastAsia="en-GB"/>
        </w:rPr>
        <w:t xml:space="preserve">g </w:t>
      </w:r>
      <w:r>
        <w:rPr>
          <w:rFonts w:eastAsia="Times New Roman" w:cstheme="minorHAnsi"/>
          <w:lang w:eastAsia="en-GB"/>
        </w:rPr>
        <w:t xml:space="preserve">cost-conscious prescribing </w:t>
      </w:r>
      <w:r w:rsidR="00E873D2">
        <w:rPr>
          <w:rFonts w:eastAsia="Times New Roman" w:cstheme="minorHAnsi"/>
          <w:lang w:eastAsia="en-GB"/>
        </w:rPr>
        <w:t>behaviour among</w:t>
      </w:r>
      <w:r>
        <w:rPr>
          <w:rFonts w:eastAsia="Times New Roman" w:cstheme="minorHAnsi"/>
          <w:lang w:eastAsia="en-GB"/>
        </w:rPr>
        <w:t xml:space="preserve"> primary care physicians</w:t>
      </w:r>
      <w:r w:rsidR="00E873D2">
        <w:rPr>
          <w:rFonts w:eastAsia="Times New Roman" w:cstheme="minorHAnsi"/>
          <w:lang w:eastAsia="en-GB"/>
        </w:rPr>
        <w:t>.</w:t>
      </w:r>
      <w:r w:rsidR="005D42BF">
        <w:rPr>
          <w:rFonts w:eastAsia="Times New Roman" w:cstheme="minorHAnsi"/>
          <w:lang w:eastAsia="en-GB"/>
        </w:rPr>
        <w:t xml:space="preserve"> In the UK, where GP practices </w:t>
      </w:r>
      <w:r w:rsidR="00B244A5">
        <w:rPr>
          <w:rFonts w:eastAsia="Times New Roman" w:cstheme="minorHAnsi"/>
          <w:lang w:eastAsia="en-GB"/>
        </w:rPr>
        <w:t>are group</w:t>
      </w:r>
      <w:r w:rsidR="00A14216">
        <w:rPr>
          <w:rFonts w:eastAsia="Times New Roman" w:cstheme="minorHAnsi"/>
          <w:lang w:eastAsia="en-GB"/>
        </w:rPr>
        <w:t>ing</w:t>
      </w:r>
      <w:r w:rsidR="00B244A5">
        <w:rPr>
          <w:rFonts w:eastAsia="Times New Roman" w:cstheme="minorHAnsi"/>
          <w:lang w:eastAsia="en-GB"/>
        </w:rPr>
        <w:t xml:space="preserve"> into Primary Care Networks and there is grow</w:t>
      </w:r>
      <w:r w:rsidR="00E71C3F">
        <w:rPr>
          <w:rFonts w:eastAsia="Times New Roman" w:cstheme="minorHAnsi"/>
          <w:lang w:eastAsia="en-GB"/>
        </w:rPr>
        <w:t xml:space="preserve">ing </w:t>
      </w:r>
      <w:r w:rsidR="005D42BF">
        <w:rPr>
          <w:rFonts w:eastAsia="Times New Roman" w:cstheme="minorHAnsi"/>
          <w:lang w:eastAsia="en-GB"/>
        </w:rPr>
        <w:t>co-working</w:t>
      </w:r>
      <w:r w:rsidR="00B244A5">
        <w:rPr>
          <w:rFonts w:eastAsia="Times New Roman" w:cstheme="minorHAnsi"/>
          <w:lang w:eastAsia="en-GB"/>
        </w:rPr>
        <w:t xml:space="preserve"> and co-location</w:t>
      </w:r>
      <w:r w:rsidR="005D42BF">
        <w:rPr>
          <w:rFonts w:eastAsia="Times New Roman" w:cstheme="minorHAnsi"/>
          <w:lang w:eastAsia="en-GB"/>
        </w:rPr>
        <w:t xml:space="preserve"> with pharmacists, such collaborative efforts are likely to drive future prescribing. </w:t>
      </w:r>
      <w:r w:rsidR="00A14216" w:rsidRPr="00A14216">
        <w:rPr>
          <w:rFonts w:eastAsia="Times New Roman" w:cstheme="minorHAnsi"/>
          <w:lang w:eastAsia="en-GB"/>
        </w:rPr>
        <w:t xml:space="preserve"> </w:t>
      </w:r>
      <w:r w:rsidR="00A14216">
        <w:rPr>
          <w:rFonts w:eastAsia="Times New Roman" w:cstheme="minorHAnsi"/>
          <w:lang w:eastAsia="en-GB"/>
        </w:rPr>
        <w:t>Given GPs limited time available to acquire information on market developments (e.g. new medicines coming into the market or brand-name medicines losing patent protection) across all drug classes they prescribe, there is a</w:t>
      </w:r>
      <w:r w:rsidR="00B4507C">
        <w:rPr>
          <w:rFonts w:eastAsia="Times New Roman" w:cstheme="minorHAnsi"/>
          <w:lang w:eastAsia="en-GB"/>
        </w:rPr>
        <w:t>n important</w:t>
      </w:r>
      <w:r w:rsidR="00A14216">
        <w:rPr>
          <w:rFonts w:eastAsia="Times New Roman" w:cstheme="minorHAnsi"/>
          <w:lang w:eastAsia="en-GB"/>
        </w:rPr>
        <w:t xml:space="preserve"> role for</w:t>
      </w:r>
      <w:r w:rsidR="00456228">
        <w:rPr>
          <w:rFonts w:eastAsia="Times New Roman" w:cstheme="minorHAnsi"/>
          <w:lang w:eastAsia="en-GB"/>
        </w:rPr>
        <w:t xml:space="preserve"> academic detailing as well as</w:t>
      </w:r>
      <w:r w:rsidR="00A14216">
        <w:rPr>
          <w:rFonts w:eastAsia="Times New Roman" w:cstheme="minorHAnsi"/>
          <w:lang w:eastAsia="en-GB"/>
        </w:rPr>
        <w:t xml:space="preserve"> </w:t>
      </w:r>
      <w:r w:rsidR="00B4507C">
        <w:rPr>
          <w:rFonts w:eastAsia="Times New Roman" w:cstheme="minorHAnsi"/>
          <w:lang w:eastAsia="en-GB"/>
        </w:rPr>
        <w:t>online/computerised systems and prompts such as Sc</w:t>
      </w:r>
      <w:r w:rsidR="00BC41C3">
        <w:rPr>
          <w:rFonts w:eastAsia="Times New Roman" w:cstheme="minorHAnsi"/>
          <w:lang w:eastAsia="en-GB"/>
        </w:rPr>
        <w:t>r</w:t>
      </w:r>
      <w:r w:rsidR="00B4507C">
        <w:rPr>
          <w:rFonts w:eastAsia="Times New Roman" w:cstheme="minorHAnsi"/>
          <w:lang w:eastAsia="en-GB"/>
        </w:rPr>
        <w:t>iptSwitch</w:t>
      </w:r>
      <w:r w:rsidR="00B4507C" w:rsidRPr="00582153">
        <w:rPr>
          <w:rFonts w:eastAsia="Times New Roman" w:cstheme="minorHAnsi"/>
          <w:lang w:eastAsia="en-GB"/>
        </w:rPr>
        <w:t>,</w:t>
      </w:r>
      <w:r w:rsidR="00B4507C">
        <w:rPr>
          <w:rFonts w:eastAsia="Times New Roman" w:cstheme="minorHAnsi"/>
          <w:lang w:eastAsia="en-GB"/>
        </w:rPr>
        <w:t xml:space="preserve"> rather than </w:t>
      </w:r>
      <w:r w:rsidR="00A14216">
        <w:rPr>
          <w:rFonts w:eastAsia="Times New Roman" w:cstheme="minorHAnsi"/>
          <w:lang w:eastAsia="en-GB"/>
        </w:rPr>
        <w:t>paper</w:t>
      </w:r>
      <w:r w:rsidR="00B4507C">
        <w:rPr>
          <w:rFonts w:eastAsia="Times New Roman" w:cstheme="minorHAnsi"/>
          <w:lang w:eastAsia="en-GB"/>
        </w:rPr>
        <w:t>-based</w:t>
      </w:r>
      <w:r w:rsidR="00A14216">
        <w:rPr>
          <w:rFonts w:eastAsia="Times New Roman" w:cstheme="minorHAnsi"/>
          <w:lang w:eastAsia="en-GB"/>
        </w:rPr>
        <w:t xml:space="preserve"> (e.g. </w:t>
      </w:r>
      <w:r w:rsidR="00A14216" w:rsidRPr="002B5221">
        <w:rPr>
          <w:rFonts w:eastAsia="Times New Roman" w:cstheme="minorHAnsi"/>
          <w:lang w:eastAsia="en-GB"/>
        </w:rPr>
        <w:t>Prescribing Outlook</w:t>
      </w:r>
      <w:r w:rsidR="00A14216">
        <w:rPr>
          <w:rFonts w:eastAsia="Times New Roman" w:cstheme="minorHAnsi"/>
          <w:lang w:eastAsia="en-GB"/>
        </w:rPr>
        <w:t>)</w:t>
      </w:r>
      <w:r w:rsidR="00D67B5F">
        <w:rPr>
          <w:rFonts w:eastAsia="Times New Roman" w:cstheme="minorHAnsi"/>
          <w:lang w:eastAsia="en-GB"/>
        </w:rPr>
        <w:t xml:space="preserve">, </w:t>
      </w:r>
      <w:r w:rsidR="00C30761">
        <w:rPr>
          <w:rFonts w:eastAsia="Times New Roman" w:cstheme="minorHAnsi"/>
          <w:lang w:eastAsia="en-GB"/>
        </w:rPr>
        <w:t xml:space="preserve">to educate and </w:t>
      </w:r>
      <w:r w:rsidR="00A14216">
        <w:rPr>
          <w:rFonts w:eastAsia="Times New Roman" w:cstheme="minorHAnsi"/>
          <w:lang w:eastAsia="en-GB"/>
        </w:rPr>
        <w:t xml:space="preserve">offer updated advice on </w:t>
      </w:r>
      <w:r w:rsidR="00D67B5F">
        <w:rPr>
          <w:rFonts w:eastAsia="Times New Roman" w:cstheme="minorHAnsi"/>
          <w:lang w:eastAsia="en-GB"/>
        </w:rPr>
        <w:t>cost-effective medicines</w:t>
      </w:r>
      <w:r w:rsidR="00A14216">
        <w:rPr>
          <w:rFonts w:eastAsia="Times New Roman" w:cstheme="minorHAnsi"/>
          <w:lang w:eastAsia="en-GB"/>
        </w:rPr>
        <w:t xml:space="preserve"> while preserving</w:t>
      </w:r>
      <w:r w:rsidR="00A14216" w:rsidRPr="00290546">
        <w:t xml:space="preserve"> </w:t>
      </w:r>
      <w:r w:rsidR="00A14216">
        <w:t>physicians’ freedoms to prescribe and patients’ ability to discuss their preferred choice of treatment.</w:t>
      </w:r>
      <w:r w:rsidR="00342F2E">
        <w:fldChar w:fldCharType="begin"/>
      </w:r>
      <w:r w:rsidR="00342F2E">
        <w:instrText xml:space="preserve"> ADDIN ZOTERO_ITEM CSL_CITATION {"citationID":"vIVgEi5r","properties":{"formattedCitation":"\\super 26\\nosupersub{}","plainCitation":"26","noteIndex":0},"citationItems":[{"id":194,"uris":["http://zotero.org/users/4387520/items/EVUS5VEP"],"uri":["http://zotero.org/users/4387520/items/EVUS5VEP"],"itemData":{"id":194,"type":"article-journal","abstract":"Background General practitioners (GPs) are increasingly pressured to prescribe cost-effectively, due to rising prescribing expenditure and limited budgets. A computerised prescribing substitution application (ScriptSwitch®) provides ‘pop-ups’ of cost-saving drug switches at the point of prescribing. It has been used by some United Kingdom local health commissioning organisations as part of a medicines management strategy.Objective To explore GPs’ views on using this prescribing substitution application in their day-to-day clinical practice.Methods Qualitative study employing face-to-face semi-structured interviews, undertaken with a convenience sample of eight GPs across five practices within one local health commissioning area in the North of England. Interviews were audio-recorded, transcribed verbatim and thematically analysed.Results Six themes were identified including: (1) GPs’ acceptance, (2) the application’s impact, (3) external control, (4) disruption to workflow, (5) GP willingness to switch and (6) patient willingness to switch.Conclusions Clinician, patient and organisational factors were identified which were assumed by GPs to affect the engagement with the application. Despite general acceptance of the application to enhance cost-effective prescribing, its impact was perceived to be limited within the context of existing cost-effective prescribing initiatives. The application’s perceived lack of ‘learning’—e.g. offering the same switch despite the prescriber repeatedly declining this—devalued users’ confidence in it. With patients varying in amenability and acceptance to drug switches, GPs appear to experience tension between considering individual patient choice and wider practice population prescribing priorities. Giving GPs more control in adapting the application to their own local prescribing priorities may enhance its success.","container-title":"Journal of Innovation in Health Informatics","DOI":"10.14236/jhi.v21i1.6","ISSN":"2058-4563","issue":"1","language":"en","note":"number: 1","page":"1-11","source":"hijournal.bcs.org","title":"General practitioners’ views on using a prescribing substitution application (ScriptSwitch®)","volume":"21","author":[{"family":"Hire","given":"Carly"},{"family":"Rushforth","given":"Bruno"}],"issued":{"date-parts":[["2013",10,17]]}}}],"schema":"https://github.com/citation-style-language/schema/raw/master/csl-citation.json"} </w:instrText>
      </w:r>
      <w:r w:rsidR="00342F2E">
        <w:fldChar w:fldCharType="separate"/>
      </w:r>
      <w:r w:rsidR="00342F2E" w:rsidRPr="00342F2E">
        <w:rPr>
          <w:rFonts w:ascii="Calibri" w:hAnsi="Calibri" w:cs="Calibri"/>
          <w:szCs w:val="24"/>
          <w:vertAlign w:val="superscript"/>
        </w:rPr>
        <w:t>26</w:t>
      </w:r>
      <w:r w:rsidR="00342F2E">
        <w:fldChar w:fldCharType="end"/>
      </w:r>
      <w:r w:rsidR="00A51095">
        <w:t xml:space="preserve"> </w:t>
      </w:r>
      <w:r w:rsidR="00FB07BE">
        <w:t xml:space="preserve">It is </w:t>
      </w:r>
      <w:r w:rsidR="000D7BA9">
        <w:t>of note that the recently announced NICE strategy for 2021 to 2026</w:t>
      </w:r>
      <w:r w:rsidR="00006C74">
        <w:t xml:space="preserve"> aims to </w:t>
      </w:r>
      <w:r w:rsidR="00A80DC9">
        <w:t>“p</w:t>
      </w:r>
      <w:r w:rsidR="00006C74" w:rsidRPr="00006C74">
        <w:t>rovide dynamic, living guideline recommendations that are useful, useable and rapidly updated</w:t>
      </w:r>
      <w:r w:rsidR="00A80DC9">
        <w:t>”</w:t>
      </w:r>
      <w:r w:rsidR="00161BD9">
        <w:t xml:space="preserve"> (p. 19)</w:t>
      </w:r>
      <w:r w:rsidR="00006C74">
        <w:t xml:space="preserve"> and to speed up the process of identifying new medicines and disseminating knowledge</w:t>
      </w:r>
      <w:r w:rsidR="00006C74" w:rsidRPr="00006C74">
        <w:t>.</w:t>
      </w:r>
      <w:r w:rsidR="0059496F">
        <w:fldChar w:fldCharType="begin"/>
      </w:r>
      <w:r w:rsidR="00342F2E">
        <w:instrText xml:space="preserve"> ADDIN ZOTERO_ITEM CSL_CITATION {"citationID":"cZrqBcvN","properties":{"formattedCitation":"\\super 27\\nosupersub{}","plainCitation":"27","noteIndex":0},"citationItems":[{"id":193,"uris":["http://zotero.org/users/4387520/items/YAENFIM8"],"uri":["http://zotero.org/users/4387520/items/YAENFIM8"],"itemData":{"id":193,"type":"article-journal","language":"en","page":"35","source":"Zotero","title":"NICE strategy 2021 to 2026: Dynamic, Collaborative, Excellent"}}],"schema":"https://github.com/citation-style-language/schema/raw/master/csl-citation.json"} </w:instrText>
      </w:r>
      <w:r w:rsidR="0059496F">
        <w:fldChar w:fldCharType="separate"/>
      </w:r>
      <w:r w:rsidR="00342F2E" w:rsidRPr="00342F2E">
        <w:rPr>
          <w:rFonts w:ascii="Calibri" w:hAnsi="Calibri" w:cs="Calibri"/>
          <w:szCs w:val="24"/>
          <w:vertAlign w:val="superscript"/>
        </w:rPr>
        <w:t>27</w:t>
      </w:r>
      <w:r w:rsidR="0059496F">
        <w:fldChar w:fldCharType="end"/>
      </w:r>
    </w:p>
    <w:p w14:paraId="131238F5" w14:textId="77777777" w:rsidR="00854E6B" w:rsidRDefault="00854E6B" w:rsidP="007144CB">
      <w:pPr>
        <w:spacing w:after="0" w:line="240" w:lineRule="auto"/>
        <w:jc w:val="both"/>
      </w:pPr>
    </w:p>
    <w:p w14:paraId="1B0CBE46" w14:textId="4116B6F6" w:rsidR="0055604D" w:rsidRPr="002B7D95" w:rsidRDefault="0055604D" w:rsidP="007144CB">
      <w:pPr>
        <w:spacing w:after="0" w:line="240" w:lineRule="auto"/>
        <w:rPr>
          <w:rFonts w:eastAsia="Times New Roman" w:cstheme="minorHAnsi"/>
          <w:b/>
          <w:bCs/>
          <w:lang w:eastAsia="en-GB"/>
        </w:rPr>
      </w:pPr>
      <w:r w:rsidRPr="002B7D95">
        <w:rPr>
          <w:rFonts w:eastAsia="Times New Roman" w:cstheme="minorHAnsi"/>
          <w:b/>
          <w:bCs/>
          <w:lang w:eastAsia="en-GB"/>
        </w:rPr>
        <w:t>Strengths</w:t>
      </w:r>
      <w:r w:rsidR="002B7D95" w:rsidRPr="002B7D95">
        <w:rPr>
          <w:rFonts w:eastAsia="Times New Roman" w:cstheme="minorHAnsi"/>
          <w:b/>
          <w:bCs/>
          <w:lang w:eastAsia="en-GB"/>
        </w:rPr>
        <w:t xml:space="preserve"> and Limitation</w:t>
      </w:r>
      <w:r w:rsidR="005D1277">
        <w:rPr>
          <w:rFonts w:eastAsia="Times New Roman" w:cstheme="minorHAnsi"/>
          <w:b/>
          <w:bCs/>
          <w:lang w:eastAsia="en-GB"/>
        </w:rPr>
        <w:t>s</w:t>
      </w:r>
    </w:p>
    <w:p w14:paraId="260DC6FD" w14:textId="7B836F19" w:rsidR="00A27756" w:rsidRDefault="00DC64E5" w:rsidP="007144CB">
      <w:pPr>
        <w:spacing w:after="0" w:line="240" w:lineRule="auto"/>
        <w:jc w:val="both"/>
      </w:pPr>
      <w:r>
        <w:rPr>
          <w:rFonts w:eastAsia="Times New Roman" w:cstheme="minorHAnsi"/>
          <w:lang w:eastAsia="en-GB"/>
        </w:rPr>
        <w:t>We study</w:t>
      </w:r>
      <w:r w:rsidR="00444557">
        <w:rPr>
          <w:rFonts w:eastAsia="Times New Roman" w:cstheme="minorHAnsi"/>
          <w:lang w:eastAsia="en-GB"/>
        </w:rPr>
        <w:t xml:space="preserve"> prescription dynamics</w:t>
      </w:r>
      <w:r>
        <w:rPr>
          <w:rFonts w:eastAsia="Times New Roman" w:cstheme="minorHAnsi"/>
          <w:lang w:eastAsia="en-GB"/>
        </w:rPr>
        <w:t xml:space="preserve"> of statins, a class of drugs widely prescribed in primary care,</w:t>
      </w:r>
      <w:r w:rsidR="00444557">
        <w:rPr>
          <w:rFonts w:eastAsia="Times New Roman" w:cstheme="minorHAnsi"/>
          <w:lang w:eastAsia="en-GB"/>
        </w:rPr>
        <w:t xml:space="preserve"> using</w:t>
      </w:r>
      <w:r w:rsidR="00444557" w:rsidRPr="002B7D95">
        <w:rPr>
          <w:rFonts w:eastAsia="Times New Roman" w:cstheme="minorHAnsi"/>
          <w:lang w:eastAsia="en-GB"/>
        </w:rPr>
        <w:t xml:space="preserve"> a representative dataset of </w:t>
      </w:r>
      <w:r w:rsidR="00444557">
        <w:rPr>
          <w:rFonts w:eastAsia="Times New Roman" w:cstheme="minorHAnsi"/>
          <w:lang w:eastAsia="en-GB"/>
        </w:rPr>
        <w:t>English practices for the period 2004-2018</w:t>
      </w:r>
      <w:r w:rsidR="00A718F2">
        <w:rPr>
          <w:rFonts w:eastAsia="Times New Roman" w:cstheme="minorHAnsi"/>
          <w:lang w:eastAsia="en-GB"/>
        </w:rPr>
        <w:t xml:space="preserve">, </w:t>
      </w:r>
      <w:r w:rsidR="00444557">
        <w:rPr>
          <w:rFonts w:eastAsia="Times New Roman" w:cstheme="minorHAnsi"/>
          <w:lang w:eastAsia="en-GB"/>
        </w:rPr>
        <w:t>a time window that include</w:t>
      </w:r>
      <w:r w:rsidR="005D1277">
        <w:rPr>
          <w:rFonts w:eastAsia="Times New Roman" w:cstheme="minorHAnsi"/>
          <w:lang w:eastAsia="en-GB"/>
        </w:rPr>
        <w:t>s</w:t>
      </w:r>
      <w:r w:rsidR="00444557">
        <w:rPr>
          <w:rFonts w:eastAsia="Times New Roman" w:cstheme="minorHAnsi"/>
          <w:lang w:eastAsia="en-GB"/>
        </w:rPr>
        <w:t xml:space="preserve"> important changes in the patent protection of brand-name statins and in the statin related NICE guidelines.</w:t>
      </w:r>
      <w:r w:rsidR="00A718F2">
        <w:rPr>
          <w:rFonts w:eastAsia="Times New Roman" w:cstheme="minorHAnsi"/>
          <w:lang w:eastAsia="en-GB"/>
        </w:rPr>
        <w:t xml:space="preserve"> </w:t>
      </w:r>
      <w:r w:rsidR="00A51095">
        <w:rPr>
          <w:rFonts w:eastAsia="Times New Roman" w:cstheme="minorHAnsi"/>
          <w:lang w:eastAsia="en-GB"/>
        </w:rPr>
        <w:t xml:space="preserve">There is no reason to believe that the large forsaken savings we have identified would not generalize to other important therapeutic areas of the English NHS or </w:t>
      </w:r>
      <w:r w:rsidR="00A51095">
        <w:t>to other health care systems. Admittedly, the extent of the savings is an empirical matter and crucially depends on the structure of health care systems, the penetration of generics within them and the incentives of different players in prescribing</w:t>
      </w:r>
      <w:r w:rsidR="00D229C9">
        <w:t>,</w:t>
      </w:r>
      <w:r w:rsidR="00A51095">
        <w:t xml:space="preserve"> </w:t>
      </w:r>
      <w:r w:rsidR="00384A33">
        <w:t>dispensing,</w:t>
      </w:r>
      <w:r w:rsidR="00A51095">
        <w:t xml:space="preserve"> and reimbursing pharmaceutical treatments.</w:t>
      </w:r>
    </w:p>
    <w:p w14:paraId="4E5D422B" w14:textId="77777777" w:rsidR="00444557" w:rsidRDefault="00444557" w:rsidP="007144CB">
      <w:pPr>
        <w:spacing w:after="0" w:line="240" w:lineRule="auto"/>
        <w:jc w:val="both"/>
        <w:rPr>
          <w:rFonts w:eastAsia="Times New Roman" w:cstheme="minorHAnsi"/>
          <w:lang w:eastAsia="en-GB"/>
        </w:rPr>
      </w:pPr>
    </w:p>
    <w:p w14:paraId="33AB300D" w14:textId="48DCC7BC" w:rsidR="00293A36" w:rsidRDefault="00A718F2" w:rsidP="007144CB">
      <w:pPr>
        <w:spacing w:after="0" w:line="240" w:lineRule="auto"/>
        <w:jc w:val="both"/>
      </w:pPr>
      <w:r>
        <w:rPr>
          <w:rFonts w:eastAsia="Times New Roman" w:cstheme="minorHAnsi"/>
          <w:lang w:eastAsia="en-GB"/>
        </w:rPr>
        <w:t>We acknowledge a</w:t>
      </w:r>
      <w:r w:rsidR="00537387">
        <w:rPr>
          <w:rFonts w:eastAsia="Times New Roman" w:cstheme="minorHAnsi"/>
          <w:lang w:eastAsia="en-GB"/>
        </w:rPr>
        <w:t xml:space="preserve"> few </w:t>
      </w:r>
      <w:r>
        <w:rPr>
          <w:rFonts w:eastAsia="Times New Roman" w:cstheme="minorHAnsi"/>
          <w:lang w:eastAsia="en-GB"/>
        </w:rPr>
        <w:t>limitation</w:t>
      </w:r>
      <w:r w:rsidR="00537387">
        <w:rPr>
          <w:rFonts w:eastAsia="Times New Roman" w:cstheme="minorHAnsi"/>
          <w:lang w:eastAsia="en-GB"/>
        </w:rPr>
        <w:t>s</w:t>
      </w:r>
      <w:r>
        <w:rPr>
          <w:rFonts w:eastAsia="Times New Roman" w:cstheme="minorHAnsi"/>
          <w:lang w:eastAsia="en-GB"/>
        </w:rPr>
        <w:t xml:space="preserve"> for this </w:t>
      </w:r>
      <w:r w:rsidR="00444557" w:rsidRPr="002B7D95">
        <w:rPr>
          <w:rFonts w:eastAsia="Times New Roman" w:cstheme="minorHAnsi"/>
          <w:lang w:eastAsia="en-GB"/>
        </w:rPr>
        <w:t>study</w:t>
      </w:r>
      <w:r w:rsidR="00537387">
        <w:rPr>
          <w:rFonts w:eastAsia="Times New Roman" w:cstheme="minorHAnsi"/>
          <w:lang w:eastAsia="en-GB"/>
        </w:rPr>
        <w:t xml:space="preserve">. </w:t>
      </w:r>
      <w:r w:rsidR="00444557" w:rsidRPr="002B7D95">
        <w:rPr>
          <w:rFonts w:eastAsia="Times New Roman" w:cstheme="minorHAnsi"/>
          <w:lang w:eastAsia="en-GB"/>
        </w:rPr>
        <w:t xml:space="preserve"> </w:t>
      </w:r>
      <w:r w:rsidR="00537387">
        <w:rPr>
          <w:rFonts w:eastAsia="Times New Roman" w:cstheme="minorHAnsi"/>
          <w:lang w:eastAsia="en-GB"/>
        </w:rPr>
        <w:t>W</w:t>
      </w:r>
      <w:r w:rsidR="00444557" w:rsidRPr="002B7D95">
        <w:rPr>
          <w:rFonts w:eastAsia="Times New Roman" w:cstheme="minorHAnsi"/>
          <w:lang w:eastAsia="en-GB"/>
        </w:rPr>
        <w:t xml:space="preserve">e only observe a first prescription issued to patients treated in primary care, without being able to account for prescribing influences that come from other settings. For example, patients experiencing a first cardiovascular event may well have received their first statin prescription in secondary care, and such decision might have influenced ongoing prescribing in primary care. However, </w:t>
      </w:r>
      <w:r w:rsidR="00537387">
        <w:rPr>
          <w:rFonts w:eastAsia="Times New Roman" w:cstheme="minorHAnsi"/>
          <w:lang w:eastAsia="en-GB"/>
        </w:rPr>
        <w:t xml:space="preserve">it is unlikely </w:t>
      </w:r>
      <w:r w:rsidR="002776EE">
        <w:rPr>
          <w:rFonts w:eastAsia="Times New Roman" w:cstheme="minorHAnsi"/>
          <w:lang w:eastAsia="en-GB"/>
        </w:rPr>
        <w:t>that this can explain to a large extent</w:t>
      </w:r>
      <w:r w:rsidR="00444557" w:rsidRPr="002B7D95">
        <w:rPr>
          <w:rFonts w:eastAsia="Times New Roman" w:cstheme="minorHAnsi"/>
          <w:lang w:eastAsia="en-GB"/>
        </w:rPr>
        <w:t xml:space="preserve"> the </w:t>
      </w:r>
      <w:r w:rsidR="002776EE">
        <w:rPr>
          <w:rFonts w:eastAsia="Times New Roman" w:cstheme="minorHAnsi"/>
          <w:lang w:eastAsia="en-GB"/>
        </w:rPr>
        <w:t xml:space="preserve">significant </w:t>
      </w:r>
      <w:r w:rsidR="00444557" w:rsidRPr="002B7D95">
        <w:rPr>
          <w:rFonts w:eastAsia="Times New Roman" w:cstheme="minorHAnsi"/>
          <w:lang w:eastAsia="en-GB"/>
        </w:rPr>
        <w:t xml:space="preserve">heterogeneity in prescribing </w:t>
      </w:r>
      <w:r w:rsidR="002776EE">
        <w:rPr>
          <w:rFonts w:eastAsia="Times New Roman" w:cstheme="minorHAnsi"/>
          <w:lang w:eastAsia="en-GB"/>
        </w:rPr>
        <w:t>choices</w:t>
      </w:r>
      <w:r w:rsidR="00444557" w:rsidRPr="002B7D95">
        <w:rPr>
          <w:rFonts w:eastAsia="Times New Roman" w:cstheme="minorHAnsi"/>
          <w:lang w:eastAsia="en-GB"/>
        </w:rPr>
        <w:t xml:space="preserve"> and the </w:t>
      </w:r>
      <w:r w:rsidR="002776EE">
        <w:rPr>
          <w:rFonts w:eastAsia="Times New Roman" w:cstheme="minorHAnsi"/>
          <w:lang w:eastAsia="en-GB"/>
        </w:rPr>
        <w:t>large</w:t>
      </w:r>
      <w:r w:rsidR="00444557" w:rsidRPr="002B7D95">
        <w:rPr>
          <w:rFonts w:eastAsia="Times New Roman" w:cstheme="minorHAnsi"/>
          <w:lang w:eastAsia="en-GB"/>
        </w:rPr>
        <w:t xml:space="preserve"> forsaken savings shown in Table 1. </w:t>
      </w:r>
      <w:r w:rsidR="00883251">
        <w:rPr>
          <w:rFonts w:eastAsia="Times New Roman" w:cstheme="minorHAnsi"/>
          <w:lang w:eastAsia="en-GB"/>
        </w:rPr>
        <w:t xml:space="preserve">Further, </w:t>
      </w:r>
      <w:r w:rsidR="00883251">
        <w:t xml:space="preserve">we have access </w:t>
      </w:r>
      <w:r w:rsidR="00D7615A">
        <w:t xml:space="preserve">only to limited </w:t>
      </w:r>
      <w:r w:rsidR="00883251">
        <w:t xml:space="preserve">data on GP characteristics to examine factors associated with the observed heterogeneity, while analysis of free text accompanying routine clinical data to explore </w:t>
      </w:r>
      <w:r w:rsidR="00883251" w:rsidRPr="002B7D95">
        <w:rPr>
          <w:rFonts w:eastAsia="Times New Roman" w:cstheme="minorHAnsi"/>
          <w:lang w:eastAsia="en-GB"/>
        </w:rPr>
        <w:t>any documented decision points about reasons for statin prescription choice was beyond the scope of</w:t>
      </w:r>
      <w:r w:rsidR="00883251">
        <w:rPr>
          <w:rFonts w:eastAsia="Times New Roman" w:cstheme="minorHAnsi"/>
          <w:lang w:eastAsia="en-GB"/>
        </w:rPr>
        <w:t xml:space="preserve"> this project</w:t>
      </w:r>
      <w:r w:rsidR="00883251">
        <w:t>.</w:t>
      </w:r>
    </w:p>
    <w:p w14:paraId="58E74BBD" w14:textId="7E6EABB5" w:rsidR="009E4A31" w:rsidRDefault="009E4A31" w:rsidP="007144CB">
      <w:pPr>
        <w:spacing w:after="0" w:line="240" w:lineRule="auto"/>
        <w:jc w:val="both"/>
      </w:pPr>
    </w:p>
    <w:p w14:paraId="76BE37C3" w14:textId="77777777" w:rsidR="009E4A31" w:rsidRDefault="009E4A31" w:rsidP="007144CB">
      <w:pPr>
        <w:spacing w:after="0" w:line="240" w:lineRule="auto"/>
        <w:jc w:val="both"/>
      </w:pPr>
    </w:p>
    <w:p w14:paraId="2CF976E7" w14:textId="3116B712" w:rsidR="00DE5A03" w:rsidRDefault="003266D5" w:rsidP="007144CB">
      <w:pPr>
        <w:pStyle w:val="CommentText"/>
        <w:spacing w:after="0"/>
        <w:jc w:val="both"/>
        <w:rPr>
          <w:rFonts w:eastAsia="Times New Roman" w:cstheme="minorHAnsi"/>
          <w:sz w:val="22"/>
          <w:szCs w:val="22"/>
          <w:lang w:eastAsia="en-GB"/>
        </w:rPr>
      </w:pPr>
      <w:r w:rsidRPr="003266D5">
        <w:rPr>
          <w:b/>
        </w:rPr>
        <w:lastRenderedPageBreak/>
        <w:t>CONCLUSIONS</w:t>
      </w:r>
      <w:r w:rsidR="00782568">
        <w:rPr>
          <w:rFonts w:cstheme="minorHAnsi"/>
          <w:color w:val="000000"/>
          <w:sz w:val="22"/>
          <w:szCs w:val="22"/>
          <w:bdr w:val="none" w:sz="0" w:space="0" w:color="auto" w:frame="1"/>
        </w:rPr>
        <w:t xml:space="preserve">The fact that GPs react to prices </w:t>
      </w:r>
      <w:r w:rsidR="0093176F" w:rsidRPr="00435E0A">
        <w:rPr>
          <w:rFonts w:cstheme="minorHAnsi"/>
          <w:color w:val="000000"/>
          <w:sz w:val="22"/>
          <w:szCs w:val="22"/>
          <w:bdr w:val="none" w:sz="0" w:space="0" w:color="auto" w:frame="1"/>
        </w:rPr>
        <w:t>illustrate</w:t>
      </w:r>
      <w:r w:rsidR="00F46E67">
        <w:rPr>
          <w:rFonts w:cstheme="minorHAnsi"/>
          <w:color w:val="000000"/>
          <w:sz w:val="22"/>
          <w:szCs w:val="22"/>
          <w:bdr w:val="none" w:sz="0" w:space="0" w:color="auto" w:frame="1"/>
        </w:rPr>
        <w:t>s</w:t>
      </w:r>
      <w:r w:rsidR="0093176F" w:rsidRPr="00435E0A">
        <w:rPr>
          <w:rFonts w:cstheme="minorHAnsi"/>
          <w:color w:val="000000"/>
          <w:sz w:val="22"/>
          <w:szCs w:val="22"/>
          <w:bdr w:val="none" w:sz="0" w:space="0" w:color="auto" w:frame="1"/>
        </w:rPr>
        <w:t xml:space="preserve"> the strengths of a health care system that pays attention to cost effectiveness</w:t>
      </w:r>
      <w:r w:rsidR="0093176F">
        <w:rPr>
          <w:rFonts w:cstheme="minorHAnsi"/>
          <w:color w:val="000000"/>
          <w:sz w:val="22"/>
          <w:szCs w:val="22"/>
          <w:bdr w:val="none" w:sz="0" w:space="0" w:color="auto" w:frame="1"/>
        </w:rPr>
        <w:t xml:space="preserve">. </w:t>
      </w:r>
      <w:r w:rsidR="00DE5A03">
        <w:rPr>
          <w:rFonts w:cstheme="minorHAnsi"/>
          <w:color w:val="000000"/>
          <w:sz w:val="22"/>
          <w:szCs w:val="22"/>
        </w:rPr>
        <w:t>T</w:t>
      </w:r>
      <w:r w:rsidR="00DE5A03" w:rsidRPr="00F37BA3">
        <w:rPr>
          <w:rFonts w:cstheme="minorHAnsi"/>
          <w:color w:val="000000"/>
          <w:sz w:val="22"/>
          <w:szCs w:val="22"/>
        </w:rPr>
        <w:t>he</w:t>
      </w:r>
      <w:r w:rsidR="00DE5A03">
        <w:rPr>
          <w:rFonts w:cstheme="minorHAnsi"/>
          <w:color w:val="000000"/>
          <w:sz w:val="22"/>
          <w:szCs w:val="22"/>
        </w:rPr>
        <w:t>re</w:t>
      </w:r>
      <w:r w:rsidR="00DE5A03" w:rsidRPr="00F37BA3">
        <w:rPr>
          <w:rFonts w:cstheme="minorHAnsi"/>
          <w:color w:val="000000"/>
          <w:sz w:val="22"/>
          <w:szCs w:val="22"/>
        </w:rPr>
        <w:t xml:space="preserve"> </w:t>
      </w:r>
      <w:r w:rsidR="00DE5A03">
        <w:rPr>
          <w:rFonts w:cstheme="minorHAnsi"/>
          <w:color w:val="000000"/>
          <w:sz w:val="22"/>
          <w:szCs w:val="22"/>
        </w:rPr>
        <w:t xml:space="preserve">is </w:t>
      </w:r>
      <w:r w:rsidR="00DE5A03" w:rsidRPr="00F37BA3">
        <w:rPr>
          <w:rFonts w:cstheme="minorHAnsi"/>
          <w:color w:val="000000"/>
          <w:sz w:val="22"/>
          <w:szCs w:val="22"/>
        </w:rPr>
        <w:t>potential f</w:t>
      </w:r>
      <w:r w:rsidR="00DE5A03">
        <w:rPr>
          <w:rFonts w:cstheme="minorHAnsi"/>
          <w:color w:val="000000"/>
          <w:sz w:val="22"/>
          <w:szCs w:val="22"/>
        </w:rPr>
        <w:t>or large savings for the NHS if</w:t>
      </w:r>
      <w:r w:rsidR="00DE5A03" w:rsidRPr="00F37BA3">
        <w:rPr>
          <w:rFonts w:eastAsia="Times New Roman" w:cstheme="minorHAnsi"/>
          <w:sz w:val="22"/>
          <w:szCs w:val="22"/>
          <w:lang w:eastAsia="en-GB"/>
        </w:rPr>
        <w:t xml:space="preserve"> new and, whenever possible, on-going patients are promptly switched to</w:t>
      </w:r>
      <w:r w:rsidR="00DE5A03">
        <w:rPr>
          <w:rFonts w:eastAsia="Times New Roman" w:cstheme="minorHAnsi"/>
          <w:sz w:val="22"/>
          <w:szCs w:val="22"/>
          <w:lang w:eastAsia="en-GB"/>
        </w:rPr>
        <w:t xml:space="preserve"> the first medicine that becomes available as generic within a therapeutic class where all other medicines have similar efficacy.</w:t>
      </w:r>
      <w:r w:rsidR="00DE5A03" w:rsidRPr="00F37BA3">
        <w:rPr>
          <w:rFonts w:eastAsia="Times New Roman" w:cstheme="minorHAnsi"/>
          <w:sz w:val="22"/>
          <w:szCs w:val="22"/>
          <w:lang w:eastAsia="en-GB"/>
        </w:rPr>
        <w:t xml:space="preserve"> </w:t>
      </w:r>
      <w:r w:rsidR="00EC1E28">
        <w:rPr>
          <w:rFonts w:eastAsia="Times New Roman" w:cstheme="minorHAnsi"/>
          <w:sz w:val="22"/>
          <w:szCs w:val="22"/>
          <w:lang w:eastAsia="en-GB"/>
        </w:rPr>
        <w:t xml:space="preserve">On-going efforts to create a system infrastructure to support and monitor GP prescribing locally could prove effective in </w:t>
      </w:r>
      <w:r w:rsidR="00EC1E28" w:rsidRPr="00EC1E28">
        <w:rPr>
          <w:rFonts w:eastAsia="Times New Roman" w:cstheme="minorHAnsi"/>
          <w:sz w:val="22"/>
          <w:szCs w:val="22"/>
          <w:lang w:eastAsia="en-GB"/>
        </w:rPr>
        <w:t>align</w:t>
      </w:r>
      <w:r w:rsidR="00EC1E28">
        <w:rPr>
          <w:rFonts w:eastAsia="Times New Roman" w:cstheme="minorHAnsi"/>
          <w:sz w:val="22"/>
          <w:szCs w:val="22"/>
          <w:lang w:eastAsia="en-GB"/>
        </w:rPr>
        <w:t>ing</w:t>
      </w:r>
      <w:r w:rsidR="00EC1E28" w:rsidRPr="00EC1E28">
        <w:rPr>
          <w:rFonts w:eastAsia="Times New Roman" w:cstheme="minorHAnsi"/>
          <w:sz w:val="22"/>
          <w:szCs w:val="22"/>
          <w:lang w:eastAsia="en-GB"/>
        </w:rPr>
        <w:t xml:space="preserve"> incentives to select cost-effective treatments while preserving physicians’ freedoms to prescribe and patients’ ability to discuss their preferred choice of treatment</w:t>
      </w:r>
      <w:r w:rsidR="00EC1E28">
        <w:rPr>
          <w:rFonts w:eastAsia="Times New Roman" w:cstheme="minorHAnsi"/>
          <w:sz w:val="22"/>
          <w:szCs w:val="22"/>
          <w:lang w:eastAsia="en-GB"/>
        </w:rPr>
        <w:t>.</w:t>
      </w:r>
      <w:r w:rsidR="0093176F">
        <w:rPr>
          <w:rFonts w:eastAsia="Times New Roman" w:cstheme="minorHAnsi"/>
          <w:sz w:val="22"/>
          <w:szCs w:val="22"/>
          <w:lang w:eastAsia="en-GB"/>
        </w:rPr>
        <w:t xml:space="preserve"> </w:t>
      </w:r>
    </w:p>
    <w:p w14:paraId="5D506546" w14:textId="77777777" w:rsidR="0093176F" w:rsidRDefault="0093176F" w:rsidP="007144CB">
      <w:pPr>
        <w:pStyle w:val="CommentText"/>
        <w:spacing w:after="0"/>
        <w:jc w:val="both"/>
        <w:rPr>
          <w:rFonts w:eastAsia="Times New Roman" w:cstheme="minorHAnsi"/>
          <w:sz w:val="22"/>
          <w:szCs w:val="22"/>
          <w:lang w:eastAsia="en-GB"/>
        </w:rPr>
      </w:pPr>
    </w:p>
    <w:p w14:paraId="53F8ED6A" w14:textId="591F9CB8" w:rsidR="00835DC2" w:rsidRDefault="00835DC2" w:rsidP="007144CB">
      <w:pPr>
        <w:pStyle w:val="CommentText"/>
        <w:spacing w:after="0"/>
        <w:jc w:val="both"/>
        <w:rPr>
          <w:rFonts w:eastAsia="Times New Roman" w:cstheme="minorHAnsi"/>
          <w:sz w:val="22"/>
          <w:szCs w:val="22"/>
          <w:lang w:eastAsia="en-GB"/>
        </w:rPr>
      </w:pPr>
    </w:p>
    <w:p w14:paraId="2CCC3289" w14:textId="219DDEAF" w:rsidR="00835DC2" w:rsidRDefault="00835DC2" w:rsidP="007144CB">
      <w:pPr>
        <w:pStyle w:val="CommentText"/>
        <w:spacing w:after="0"/>
        <w:jc w:val="both"/>
        <w:rPr>
          <w:rFonts w:eastAsia="Times New Roman" w:cstheme="minorHAnsi"/>
          <w:sz w:val="22"/>
          <w:szCs w:val="22"/>
          <w:lang w:eastAsia="en-GB"/>
        </w:rPr>
      </w:pPr>
    </w:p>
    <w:p w14:paraId="4074AAA7" w14:textId="4256CD2F" w:rsidR="00835DC2" w:rsidRDefault="00835DC2" w:rsidP="007144CB">
      <w:pPr>
        <w:pStyle w:val="CommentText"/>
        <w:spacing w:after="0"/>
        <w:jc w:val="both"/>
        <w:rPr>
          <w:rFonts w:eastAsia="Times New Roman" w:cstheme="minorHAnsi"/>
          <w:sz w:val="22"/>
          <w:szCs w:val="22"/>
          <w:lang w:eastAsia="en-GB"/>
        </w:rPr>
      </w:pPr>
    </w:p>
    <w:p w14:paraId="170A4C4F" w14:textId="74377D05" w:rsidR="00835DC2" w:rsidRPr="00840C19" w:rsidRDefault="00835DC2" w:rsidP="007144CB">
      <w:pPr>
        <w:pStyle w:val="CommentText"/>
        <w:spacing w:after="0"/>
        <w:jc w:val="both"/>
        <w:rPr>
          <w:rFonts w:cstheme="minorHAnsi"/>
          <w:color w:val="000000"/>
          <w:sz w:val="22"/>
          <w:szCs w:val="22"/>
        </w:rPr>
      </w:pPr>
      <w:r w:rsidRPr="00840C19">
        <w:rPr>
          <w:rFonts w:cstheme="minorHAnsi"/>
          <w:b/>
          <w:color w:val="000000"/>
          <w:sz w:val="22"/>
          <w:szCs w:val="22"/>
        </w:rPr>
        <w:t>Contributors:</w:t>
      </w:r>
      <w:r w:rsidRPr="00840C19">
        <w:rPr>
          <w:rFonts w:cstheme="minorHAnsi"/>
          <w:color w:val="000000"/>
          <w:sz w:val="22"/>
          <w:szCs w:val="22"/>
        </w:rPr>
        <w:t xml:space="preserve"> MO, EM and CO contributed to the design of t</w:t>
      </w:r>
      <w:r w:rsidR="00000D55">
        <w:rPr>
          <w:rFonts w:cstheme="minorHAnsi"/>
          <w:color w:val="000000"/>
          <w:sz w:val="22"/>
          <w:szCs w:val="22"/>
        </w:rPr>
        <w:t>he study. MO extracted the data and</w:t>
      </w:r>
      <w:r w:rsidRPr="00840C19">
        <w:rPr>
          <w:rFonts w:cstheme="minorHAnsi"/>
          <w:color w:val="000000"/>
          <w:sz w:val="22"/>
          <w:szCs w:val="22"/>
        </w:rPr>
        <w:t xml:space="preserve"> wrote the statistical programmes</w:t>
      </w:r>
      <w:r w:rsidR="00A15FF5">
        <w:rPr>
          <w:rFonts w:cstheme="minorHAnsi"/>
          <w:color w:val="000000"/>
          <w:sz w:val="22"/>
          <w:szCs w:val="22"/>
        </w:rPr>
        <w:t xml:space="preserve">. CO, </w:t>
      </w:r>
      <w:r w:rsidR="00384A33">
        <w:rPr>
          <w:rFonts w:cstheme="minorHAnsi"/>
          <w:color w:val="000000"/>
          <w:sz w:val="22"/>
          <w:szCs w:val="22"/>
        </w:rPr>
        <w:t>EM,</w:t>
      </w:r>
      <w:r w:rsidR="00A15FF5">
        <w:rPr>
          <w:rFonts w:cstheme="minorHAnsi"/>
          <w:color w:val="000000"/>
          <w:sz w:val="22"/>
          <w:szCs w:val="22"/>
        </w:rPr>
        <w:t xml:space="preserve"> and MO </w:t>
      </w:r>
      <w:r w:rsidRPr="00840C19">
        <w:rPr>
          <w:rFonts w:cstheme="minorHAnsi"/>
          <w:color w:val="000000"/>
          <w:sz w:val="22"/>
          <w:szCs w:val="22"/>
        </w:rPr>
        <w:t xml:space="preserve">wrote </w:t>
      </w:r>
      <w:r w:rsidR="00A15FF5">
        <w:rPr>
          <w:rFonts w:cstheme="minorHAnsi"/>
          <w:color w:val="000000"/>
          <w:sz w:val="22"/>
          <w:szCs w:val="22"/>
        </w:rPr>
        <w:t xml:space="preserve">the </w:t>
      </w:r>
      <w:r w:rsidRPr="00840C19">
        <w:rPr>
          <w:rFonts w:cstheme="minorHAnsi"/>
          <w:color w:val="000000"/>
          <w:sz w:val="22"/>
          <w:szCs w:val="22"/>
        </w:rPr>
        <w:t>first draft. All authors contributed to further drafts</w:t>
      </w:r>
      <w:r w:rsidR="000632F1">
        <w:rPr>
          <w:rFonts w:cstheme="minorHAnsi"/>
          <w:color w:val="000000"/>
          <w:sz w:val="22"/>
          <w:szCs w:val="22"/>
        </w:rPr>
        <w:t>, conceptualization</w:t>
      </w:r>
      <w:r w:rsidRPr="00840C19">
        <w:rPr>
          <w:rFonts w:cstheme="minorHAnsi"/>
          <w:color w:val="000000"/>
          <w:sz w:val="22"/>
          <w:szCs w:val="22"/>
        </w:rPr>
        <w:t xml:space="preserve"> and approved the final manuscript. CO is guarantor</w:t>
      </w:r>
      <w:r w:rsidR="00A15FF5">
        <w:rPr>
          <w:rFonts w:cstheme="minorHAnsi"/>
          <w:color w:val="000000"/>
          <w:sz w:val="22"/>
          <w:szCs w:val="22"/>
        </w:rPr>
        <w:t>.</w:t>
      </w:r>
    </w:p>
    <w:p w14:paraId="426B3ACB" w14:textId="539D10B1" w:rsidR="00CC0ACC" w:rsidRDefault="00CC0ACC" w:rsidP="007144CB">
      <w:pPr>
        <w:pStyle w:val="CommentText"/>
        <w:spacing w:after="0"/>
        <w:jc w:val="both"/>
        <w:rPr>
          <w:rFonts w:cstheme="minorHAnsi"/>
          <w:color w:val="000000"/>
          <w:sz w:val="22"/>
          <w:szCs w:val="22"/>
        </w:rPr>
      </w:pPr>
    </w:p>
    <w:p w14:paraId="5086ECB5" w14:textId="55A0F1F0" w:rsidR="00D24184" w:rsidRDefault="00D24184" w:rsidP="007144CB">
      <w:pPr>
        <w:pStyle w:val="CommentText"/>
        <w:spacing w:after="0"/>
        <w:jc w:val="both"/>
        <w:rPr>
          <w:rFonts w:cstheme="minorHAnsi"/>
          <w:color w:val="000000"/>
          <w:sz w:val="22"/>
          <w:szCs w:val="22"/>
        </w:rPr>
      </w:pPr>
      <w:r w:rsidRPr="005A47CE">
        <w:rPr>
          <w:b/>
        </w:rPr>
        <w:t>Competing interests:</w:t>
      </w:r>
      <w:r>
        <w:t xml:space="preserve"> </w:t>
      </w:r>
      <w:r w:rsidRPr="00792A80">
        <w:rPr>
          <w:rFonts w:cstheme="minorHAnsi"/>
          <w:color w:val="000000"/>
          <w:sz w:val="22"/>
          <w:szCs w:val="22"/>
        </w:rPr>
        <w:t xml:space="preserve">All authors declare that they have not received any </w:t>
      </w:r>
      <w:r w:rsidR="000632F1">
        <w:rPr>
          <w:rFonts w:cstheme="minorHAnsi"/>
          <w:color w:val="000000"/>
          <w:sz w:val="22"/>
          <w:szCs w:val="22"/>
        </w:rPr>
        <w:t>funding related to this project and there are is no conflict of interest.</w:t>
      </w:r>
    </w:p>
    <w:p w14:paraId="1A6E54F6" w14:textId="77777777" w:rsidR="000632F1" w:rsidRPr="00840C19" w:rsidRDefault="000632F1" w:rsidP="007144CB">
      <w:pPr>
        <w:pStyle w:val="CommentText"/>
        <w:spacing w:after="0"/>
        <w:jc w:val="both"/>
        <w:rPr>
          <w:rFonts w:cstheme="minorHAnsi"/>
          <w:color w:val="000000"/>
          <w:sz w:val="22"/>
          <w:szCs w:val="22"/>
        </w:rPr>
      </w:pPr>
    </w:p>
    <w:p w14:paraId="14398008" w14:textId="259B224D" w:rsidR="00CC0ACC" w:rsidRPr="00840C19" w:rsidRDefault="00CC0ACC" w:rsidP="007144CB">
      <w:pPr>
        <w:pStyle w:val="CommentText"/>
        <w:spacing w:after="0"/>
        <w:jc w:val="both"/>
        <w:rPr>
          <w:rFonts w:cstheme="minorHAnsi"/>
          <w:color w:val="000000"/>
          <w:sz w:val="22"/>
          <w:szCs w:val="22"/>
        </w:rPr>
      </w:pPr>
      <w:r w:rsidRPr="00840C19">
        <w:rPr>
          <w:rFonts w:cstheme="minorHAnsi"/>
          <w:b/>
          <w:color w:val="000000"/>
          <w:sz w:val="22"/>
          <w:szCs w:val="22"/>
        </w:rPr>
        <w:t>Ethical approval:</w:t>
      </w:r>
      <w:r w:rsidRPr="00840C19">
        <w:rPr>
          <w:rFonts w:cstheme="minorHAnsi"/>
          <w:color w:val="000000"/>
          <w:sz w:val="22"/>
          <w:szCs w:val="22"/>
        </w:rPr>
        <w:t xml:space="preserve"> The </w:t>
      </w:r>
      <w:r w:rsidR="00840C19" w:rsidRPr="00840C19">
        <w:rPr>
          <w:rFonts w:cstheme="minorHAnsi"/>
          <w:color w:val="000000"/>
          <w:sz w:val="22"/>
          <w:szCs w:val="22"/>
        </w:rPr>
        <w:t>study</w:t>
      </w:r>
      <w:r w:rsidRPr="00840C19">
        <w:rPr>
          <w:rFonts w:cstheme="minorHAnsi"/>
          <w:color w:val="000000"/>
          <w:sz w:val="22"/>
          <w:szCs w:val="22"/>
        </w:rPr>
        <w:t xml:space="preserve"> was approved by</w:t>
      </w:r>
      <w:r w:rsidR="00840C19" w:rsidRPr="00840C19">
        <w:rPr>
          <w:rFonts w:cstheme="minorHAnsi"/>
          <w:color w:val="000000"/>
          <w:sz w:val="22"/>
          <w:szCs w:val="22"/>
        </w:rPr>
        <w:t xml:space="preserve"> the Ethics committee of the University of Southampton</w:t>
      </w:r>
      <w:r w:rsidR="00F337BA">
        <w:rPr>
          <w:rFonts w:cstheme="minorHAnsi"/>
          <w:color w:val="000000"/>
          <w:sz w:val="22"/>
          <w:szCs w:val="22"/>
        </w:rPr>
        <w:t xml:space="preserve"> (submission ID 52995)</w:t>
      </w:r>
      <w:r w:rsidR="00840C19" w:rsidRPr="00840C19">
        <w:rPr>
          <w:rFonts w:cstheme="minorHAnsi"/>
          <w:color w:val="000000"/>
          <w:sz w:val="22"/>
          <w:szCs w:val="22"/>
        </w:rPr>
        <w:t xml:space="preserve">. </w:t>
      </w:r>
      <w:r w:rsidR="00E60EC6">
        <w:rPr>
          <w:rFonts w:cstheme="minorHAnsi"/>
          <w:color w:val="000000"/>
          <w:sz w:val="22"/>
          <w:szCs w:val="22"/>
        </w:rPr>
        <w:t>The nature of the research question does not pose threats to the privacy rights of patients and GP practises.</w:t>
      </w:r>
    </w:p>
    <w:p w14:paraId="7F6788AA" w14:textId="77777777" w:rsidR="00840C19" w:rsidRPr="00840C19" w:rsidRDefault="00840C19" w:rsidP="007144CB">
      <w:pPr>
        <w:pStyle w:val="CommentText"/>
        <w:spacing w:after="0"/>
        <w:jc w:val="both"/>
        <w:rPr>
          <w:rFonts w:cstheme="minorHAnsi"/>
          <w:color w:val="000000"/>
          <w:sz w:val="22"/>
          <w:szCs w:val="22"/>
        </w:rPr>
      </w:pPr>
    </w:p>
    <w:p w14:paraId="05011BB7" w14:textId="369218F6" w:rsidR="00CC0ACC" w:rsidRDefault="00CC0ACC" w:rsidP="007144CB">
      <w:pPr>
        <w:pStyle w:val="CommentText"/>
        <w:spacing w:after="0"/>
        <w:jc w:val="both"/>
        <w:rPr>
          <w:rFonts w:cstheme="minorHAnsi"/>
          <w:color w:val="000000"/>
          <w:sz w:val="22"/>
          <w:szCs w:val="22"/>
        </w:rPr>
      </w:pPr>
      <w:r w:rsidRPr="00840C19">
        <w:rPr>
          <w:rFonts w:cstheme="minorHAnsi"/>
          <w:b/>
          <w:color w:val="000000"/>
          <w:sz w:val="22"/>
          <w:szCs w:val="22"/>
        </w:rPr>
        <w:t>Data sharing:</w:t>
      </w:r>
      <w:r w:rsidRPr="00840C19">
        <w:rPr>
          <w:rFonts w:cstheme="minorHAnsi"/>
          <w:color w:val="000000"/>
          <w:sz w:val="22"/>
          <w:szCs w:val="22"/>
        </w:rPr>
        <w:t xml:space="preserve"> The data were obtained from the </w:t>
      </w:r>
      <w:r w:rsidR="00840C19" w:rsidRPr="00840C19">
        <w:rPr>
          <w:rFonts w:eastAsia="Times New Roman" w:cstheme="minorHAnsi"/>
          <w:sz w:val="22"/>
          <w:szCs w:val="22"/>
          <w:lang w:eastAsia="en-GB"/>
        </w:rPr>
        <w:t>Royal College of General Practitioners Research and Surveillance Centre (RCGP R&amp;SC)</w:t>
      </w:r>
      <w:r w:rsidR="00840C19">
        <w:rPr>
          <w:rFonts w:eastAsia="Times New Roman" w:cstheme="minorHAnsi"/>
          <w:sz w:val="22"/>
          <w:szCs w:val="22"/>
          <w:lang w:eastAsia="en-GB"/>
        </w:rPr>
        <w:t xml:space="preserve">. Data were extracted in </w:t>
      </w:r>
      <w:r w:rsidR="00407BD3">
        <w:rPr>
          <w:rFonts w:eastAsia="Times New Roman" w:cstheme="minorHAnsi"/>
          <w:sz w:val="22"/>
          <w:szCs w:val="22"/>
          <w:lang w:eastAsia="en-GB"/>
        </w:rPr>
        <w:t>January 2019</w:t>
      </w:r>
      <w:r w:rsidR="00840C19">
        <w:rPr>
          <w:rFonts w:eastAsia="Times New Roman" w:cstheme="minorHAnsi"/>
          <w:sz w:val="22"/>
          <w:szCs w:val="22"/>
          <w:lang w:eastAsia="en-GB"/>
        </w:rPr>
        <w:t xml:space="preserve"> </w:t>
      </w:r>
      <w:r w:rsidR="00FB135F">
        <w:rPr>
          <w:rFonts w:eastAsia="Times New Roman" w:cstheme="minorHAnsi"/>
          <w:sz w:val="22"/>
          <w:szCs w:val="22"/>
          <w:lang w:eastAsia="en-GB"/>
        </w:rPr>
        <w:t xml:space="preserve">and analysis was performed </w:t>
      </w:r>
      <w:r w:rsidR="00840C19">
        <w:rPr>
          <w:rFonts w:eastAsia="Times New Roman" w:cstheme="minorHAnsi"/>
          <w:sz w:val="22"/>
          <w:szCs w:val="22"/>
          <w:lang w:eastAsia="en-GB"/>
        </w:rPr>
        <w:t>from a laboratory at the University of Surrey</w:t>
      </w:r>
      <w:r w:rsidR="00FB135F">
        <w:rPr>
          <w:rFonts w:eastAsia="Times New Roman" w:cstheme="minorHAnsi"/>
          <w:sz w:val="22"/>
          <w:szCs w:val="22"/>
          <w:lang w:eastAsia="en-GB"/>
        </w:rPr>
        <w:t xml:space="preserve"> through a secure network and remote desktop connection</w:t>
      </w:r>
      <w:r w:rsidR="00840C19">
        <w:rPr>
          <w:rFonts w:eastAsia="Times New Roman" w:cstheme="minorHAnsi"/>
          <w:sz w:val="22"/>
          <w:szCs w:val="22"/>
          <w:lang w:eastAsia="en-GB"/>
        </w:rPr>
        <w:t xml:space="preserve">. </w:t>
      </w:r>
      <w:r w:rsidR="00840C19" w:rsidRPr="00840C19">
        <w:rPr>
          <w:rFonts w:eastAsia="Times New Roman" w:cstheme="minorHAnsi"/>
          <w:sz w:val="22"/>
          <w:szCs w:val="22"/>
          <w:lang w:eastAsia="en-GB"/>
        </w:rPr>
        <w:t>RCGP R&amp;SC</w:t>
      </w:r>
      <w:r w:rsidRPr="00CC0ACC">
        <w:rPr>
          <w:rFonts w:cstheme="minorHAnsi"/>
          <w:color w:val="000000"/>
          <w:sz w:val="22"/>
          <w:szCs w:val="22"/>
        </w:rPr>
        <w:t xml:space="preserve"> data</w:t>
      </w:r>
      <w:r w:rsidR="00840C19">
        <w:rPr>
          <w:rFonts w:cstheme="minorHAnsi"/>
          <w:color w:val="000000"/>
          <w:sz w:val="22"/>
          <w:szCs w:val="22"/>
        </w:rPr>
        <w:t xml:space="preserve"> </w:t>
      </w:r>
      <w:r w:rsidRPr="00CC0ACC">
        <w:rPr>
          <w:rFonts w:cstheme="minorHAnsi"/>
          <w:color w:val="000000"/>
          <w:sz w:val="22"/>
          <w:szCs w:val="22"/>
        </w:rPr>
        <w:t xml:space="preserve">governance and our own license to use </w:t>
      </w:r>
      <w:r w:rsidR="00840C19">
        <w:rPr>
          <w:rFonts w:cstheme="minorHAnsi"/>
          <w:color w:val="000000"/>
          <w:sz w:val="22"/>
          <w:szCs w:val="22"/>
        </w:rPr>
        <w:t xml:space="preserve">those </w:t>
      </w:r>
      <w:r w:rsidRPr="00CC0ACC">
        <w:rPr>
          <w:rFonts w:cstheme="minorHAnsi"/>
          <w:color w:val="000000"/>
          <w:sz w:val="22"/>
          <w:szCs w:val="22"/>
        </w:rPr>
        <w:t>data do not allow us to</w:t>
      </w:r>
      <w:r w:rsidR="00840C19">
        <w:rPr>
          <w:rFonts w:cstheme="minorHAnsi"/>
          <w:color w:val="000000"/>
          <w:sz w:val="22"/>
          <w:szCs w:val="22"/>
        </w:rPr>
        <w:t xml:space="preserve"> </w:t>
      </w:r>
      <w:r w:rsidRPr="00CC0ACC">
        <w:rPr>
          <w:rFonts w:cstheme="minorHAnsi"/>
          <w:color w:val="000000"/>
          <w:sz w:val="22"/>
          <w:szCs w:val="22"/>
        </w:rPr>
        <w:t>distribute or make available patient data directly to other parties.</w:t>
      </w:r>
      <w:r w:rsidR="00840C19">
        <w:rPr>
          <w:rFonts w:cstheme="minorHAnsi"/>
          <w:color w:val="000000"/>
          <w:sz w:val="22"/>
          <w:szCs w:val="22"/>
        </w:rPr>
        <w:t xml:space="preserve"> </w:t>
      </w:r>
      <w:r w:rsidRPr="00CC0ACC">
        <w:rPr>
          <w:rFonts w:cstheme="minorHAnsi"/>
          <w:color w:val="000000"/>
          <w:sz w:val="22"/>
          <w:szCs w:val="22"/>
        </w:rPr>
        <w:t xml:space="preserve">Researchers can apply for data access at </w:t>
      </w:r>
      <w:hyperlink r:id="rId17" w:history="1">
        <w:r w:rsidR="00280C97" w:rsidRPr="000044DE">
          <w:rPr>
            <w:rStyle w:val="Hyperlink"/>
            <w:rFonts w:cstheme="minorHAnsi"/>
            <w:sz w:val="22"/>
            <w:szCs w:val="22"/>
          </w:rPr>
          <w:t>https://www.rcgp.org.uk/clinical-and-research/our-programmes/research-and-surveillance-centre/supporting-research-teams/submit-a-data-request-online-form.aspx</w:t>
        </w:r>
      </w:hyperlink>
      <w:r w:rsidR="00280C97">
        <w:rPr>
          <w:rFonts w:cstheme="minorHAnsi"/>
          <w:color w:val="000000"/>
          <w:sz w:val="22"/>
          <w:szCs w:val="22"/>
        </w:rPr>
        <w:t xml:space="preserve"> </w:t>
      </w:r>
    </w:p>
    <w:p w14:paraId="647F3086" w14:textId="77777777" w:rsidR="00840C19" w:rsidRPr="00CC0ACC" w:rsidRDefault="00840C19" w:rsidP="007144CB">
      <w:pPr>
        <w:pStyle w:val="CommentText"/>
        <w:spacing w:after="0"/>
        <w:jc w:val="both"/>
        <w:rPr>
          <w:rFonts w:cstheme="minorHAnsi"/>
          <w:color w:val="000000"/>
          <w:sz w:val="22"/>
          <w:szCs w:val="22"/>
        </w:rPr>
      </w:pPr>
    </w:p>
    <w:p w14:paraId="4EEC6A72" w14:textId="5395FA66" w:rsidR="00CC0ACC" w:rsidRPr="00F37BA3" w:rsidRDefault="00CC0ACC" w:rsidP="007144CB">
      <w:pPr>
        <w:pStyle w:val="CommentText"/>
        <w:spacing w:after="0"/>
        <w:jc w:val="both"/>
        <w:rPr>
          <w:rFonts w:cstheme="minorHAnsi"/>
          <w:color w:val="000000"/>
          <w:sz w:val="22"/>
          <w:szCs w:val="22"/>
        </w:rPr>
      </w:pPr>
      <w:r w:rsidRPr="00DD7322">
        <w:rPr>
          <w:rFonts w:cstheme="minorHAnsi"/>
          <w:b/>
          <w:color w:val="000000"/>
          <w:sz w:val="22"/>
          <w:szCs w:val="22"/>
        </w:rPr>
        <w:t>Transparency</w:t>
      </w:r>
      <w:r w:rsidR="00DD7322">
        <w:rPr>
          <w:rFonts w:cstheme="minorHAnsi"/>
          <w:color w:val="000000"/>
          <w:sz w:val="22"/>
          <w:szCs w:val="22"/>
        </w:rPr>
        <w:t>: The corresponding</w:t>
      </w:r>
      <w:r w:rsidRPr="00CC0ACC">
        <w:rPr>
          <w:rFonts w:cstheme="minorHAnsi"/>
          <w:color w:val="000000"/>
          <w:sz w:val="22"/>
          <w:szCs w:val="22"/>
        </w:rPr>
        <w:t xml:space="preserve"> author affirms that the manuscript is an</w:t>
      </w:r>
      <w:r w:rsidR="00DD7322">
        <w:rPr>
          <w:rFonts w:cstheme="minorHAnsi"/>
          <w:color w:val="000000"/>
          <w:sz w:val="22"/>
          <w:szCs w:val="22"/>
        </w:rPr>
        <w:t xml:space="preserve"> </w:t>
      </w:r>
      <w:r w:rsidRPr="00CC0ACC">
        <w:rPr>
          <w:rFonts w:cstheme="minorHAnsi"/>
          <w:color w:val="000000"/>
          <w:sz w:val="22"/>
          <w:szCs w:val="22"/>
        </w:rPr>
        <w:t>honest, accurate, and transparent account of the study being reported</w:t>
      </w:r>
      <w:r w:rsidR="00384A33">
        <w:rPr>
          <w:rFonts w:cstheme="minorHAnsi"/>
          <w:color w:val="000000"/>
          <w:sz w:val="22"/>
          <w:szCs w:val="22"/>
        </w:rPr>
        <w:t>, and</w:t>
      </w:r>
      <w:r w:rsidR="00DD7322">
        <w:rPr>
          <w:rFonts w:cstheme="minorHAnsi"/>
          <w:color w:val="000000"/>
          <w:sz w:val="22"/>
          <w:szCs w:val="22"/>
        </w:rPr>
        <w:t xml:space="preserve"> </w:t>
      </w:r>
      <w:r w:rsidRPr="00CC0ACC">
        <w:rPr>
          <w:rFonts w:cstheme="minorHAnsi"/>
          <w:color w:val="000000"/>
          <w:sz w:val="22"/>
          <w:szCs w:val="22"/>
        </w:rPr>
        <w:t xml:space="preserve">that no important aspects of the study have been </w:t>
      </w:r>
      <w:r w:rsidR="00384A33" w:rsidRPr="00CC0ACC">
        <w:rPr>
          <w:rFonts w:cstheme="minorHAnsi"/>
          <w:color w:val="000000"/>
          <w:sz w:val="22"/>
          <w:szCs w:val="22"/>
        </w:rPr>
        <w:t>omitted.</w:t>
      </w:r>
      <w:r w:rsidRPr="00CC0ACC">
        <w:rPr>
          <w:rFonts w:cstheme="minorHAnsi"/>
          <w:color w:val="000000"/>
          <w:sz w:val="22"/>
          <w:szCs w:val="22"/>
        </w:rPr>
        <w:t xml:space="preserve"> </w:t>
      </w:r>
    </w:p>
    <w:p w14:paraId="29E4BEF6" w14:textId="1991CCF9" w:rsidR="00A74529" w:rsidRDefault="00A74529" w:rsidP="007144CB">
      <w:pPr>
        <w:spacing w:after="0" w:line="240" w:lineRule="auto"/>
        <w:jc w:val="both"/>
      </w:pPr>
    </w:p>
    <w:p w14:paraId="09713631" w14:textId="19D1E165" w:rsidR="004D2914" w:rsidRDefault="004D2914" w:rsidP="007144CB">
      <w:pPr>
        <w:spacing w:after="0" w:line="240" w:lineRule="auto"/>
        <w:jc w:val="both"/>
      </w:pPr>
      <w:r w:rsidRPr="004D2914">
        <w:rPr>
          <w:b/>
          <w:bCs/>
        </w:rPr>
        <w:t>Acknowledgements</w:t>
      </w:r>
      <w:r>
        <w:t xml:space="preserve">: </w:t>
      </w:r>
      <w:r w:rsidR="00A81E7E">
        <w:t xml:space="preserve">We would like to thank: </w:t>
      </w:r>
      <w:r>
        <w:t>Patients for allowing their data to be use</w:t>
      </w:r>
      <w:r w:rsidR="00A81E7E">
        <w:t>d for surveillance and research.</w:t>
      </w:r>
      <w:r>
        <w:t xml:space="preserve"> Practices who have agreed to be part of the Oxford RCGP RSC and allow us to extract and used health data for surveillance and research. </w:t>
      </w:r>
      <w:r w:rsidR="00E547EF" w:rsidRPr="00E547EF">
        <w:t xml:space="preserve">Filipa Ferreira (Senior Project Manager) </w:t>
      </w:r>
      <w:r>
        <w:t>from RCGP and from University of Surrey. Apollo Medical Systems for data extraction. Collaboration with EMIS, TPP, In-Practice and Micro-test CMR supplier for facilitating data extraction. Colleagues at Public Health England.</w:t>
      </w:r>
    </w:p>
    <w:p w14:paraId="6F4E36E2" w14:textId="4F7A0714" w:rsidR="00D64790" w:rsidRDefault="00D64790" w:rsidP="007144CB">
      <w:pPr>
        <w:spacing w:after="0" w:line="240" w:lineRule="auto"/>
        <w:rPr>
          <w:rFonts w:eastAsia="Times New Roman" w:cstheme="minorHAnsi"/>
          <w:b/>
          <w:bCs/>
          <w:lang w:eastAsia="en-GB"/>
        </w:rPr>
      </w:pPr>
      <w:r>
        <w:rPr>
          <w:rFonts w:eastAsia="Times New Roman" w:cstheme="minorHAnsi"/>
          <w:b/>
          <w:bCs/>
          <w:lang w:eastAsia="en-GB"/>
        </w:rPr>
        <w:t>REFERENCES</w:t>
      </w:r>
    </w:p>
    <w:p w14:paraId="269C715E" w14:textId="77777777" w:rsidR="00D64790" w:rsidRDefault="00D64790" w:rsidP="007144CB">
      <w:pPr>
        <w:spacing w:after="0" w:line="240" w:lineRule="auto"/>
        <w:outlineLvl w:val="4"/>
        <w:rPr>
          <w:rFonts w:eastAsia="Times New Roman" w:cstheme="minorHAnsi"/>
          <w:b/>
          <w:bCs/>
          <w:lang w:eastAsia="en-GB"/>
        </w:rPr>
      </w:pPr>
    </w:p>
    <w:p w14:paraId="15D3811C" w14:textId="77777777" w:rsidR="00342F2E" w:rsidRPr="00342F2E" w:rsidRDefault="003C59AB" w:rsidP="007144CB">
      <w:pPr>
        <w:pStyle w:val="Bibliography"/>
        <w:rPr>
          <w:rFonts w:ascii="Calibri" w:hAnsi="Calibri" w:cs="Calibri"/>
        </w:rPr>
      </w:pPr>
      <w:r>
        <w:rPr>
          <w:rFonts w:cstheme="minorHAnsi"/>
          <w:b/>
          <w:bCs/>
          <w:shd w:val="clear" w:color="auto" w:fill="FFFFFF"/>
        </w:rPr>
        <w:fldChar w:fldCharType="begin"/>
      </w:r>
      <w:r w:rsidR="00342F2E">
        <w:rPr>
          <w:rFonts w:cstheme="minorHAnsi"/>
          <w:b/>
          <w:bCs/>
          <w:shd w:val="clear" w:color="auto" w:fill="FFFFFF"/>
        </w:rPr>
        <w:instrText xml:space="preserve"> ADDIN ZOTERO_BIBL {"uncited":[],"omitted":[],"custom":[]} CSL_BIBLIOGRAPHY </w:instrText>
      </w:r>
      <w:r>
        <w:rPr>
          <w:rFonts w:cstheme="minorHAnsi"/>
          <w:b/>
          <w:bCs/>
          <w:shd w:val="clear" w:color="auto" w:fill="FFFFFF"/>
        </w:rPr>
        <w:fldChar w:fldCharType="separate"/>
      </w:r>
      <w:r w:rsidR="00342F2E" w:rsidRPr="00342F2E">
        <w:rPr>
          <w:rFonts w:ascii="Calibri" w:hAnsi="Calibri" w:cs="Calibri"/>
        </w:rPr>
        <w:t xml:space="preserve">1. </w:t>
      </w:r>
      <w:r w:rsidR="00342F2E" w:rsidRPr="00342F2E">
        <w:rPr>
          <w:rFonts w:ascii="Calibri" w:hAnsi="Calibri" w:cs="Calibri"/>
        </w:rPr>
        <w:tab/>
        <w:t>Organization WH. Global spending on health: a world in transition. Published online 2019. Accessed April 13, 2021. https://apps.who.int/iris/handle/10665/330357</w:t>
      </w:r>
    </w:p>
    <w:p w14:paraId="6E0CDB4C" w14:textId="77777777" w:rsidR="00342F2E" w:rsidRPr="00342F2E" w:rsidRDefault="00342F2E" w:rsidP="007144CB">
      <w:pPr>
        <w:pStyle w:val="Bibliography"/>
        <w:rPr>
          <w:rFonts w:ascii="Calibri" w:hAnsi="Calibri" w:cs="Calibri"/>
        </w:rPr>
      </w:pPr>
      <w:r w:rsidRPr="00342F2E">
        <w:rPr>
          <w:rFonts w:ascii="Calibri" w:hAnsi="Calibri" w:cs="Calibri"/>
        </w:rPr>
        <w:t xml:space="preserve">2. </w:t>
      </w:r>
      <w:r w:rsidRPr="00342F2E">
        <w:rPr>
          <w:rFonts w:ascii="Calibri" w:hAnsi="Calibri" w:cs="Calibri"/>
        </w:rPr>
        <w:tab/>
        <w:t xml:space="preserve">Dall TM, Gallo PD, Chakrabarti R, West T, Semilla AP, Storm MV. An Aging Population And Growing Disease Burden Will Require A Large And Specialized Health Care Workforce By 2025. </w:t>
      </w:r>
      <w:r w:rsidRPr="00342F2E">
        <w:rPr>
          <w:rFonts w:ascii="Calibri" w:hAnsi="Calibri" w:cs="Calibri"/>
          <w:i/>
          <w:iCs/>
        </w:rPr>
        <w:t>Health Aff (Millwood)</w:t>
      </w:r>
      <w:r w:rsidRPr="00342F2E">
        <w:rPr>
          <w:rFonts w:ascii="Calibri" w:hAnsi="Calibri" w:cs="Calibri"/>
        </w:rPr>
        <w:t>. 2013;32(11):2013-2020. doi:10.1377/hlthaff.2013.0714</w:t>
      </w:r>
    </w:p>
    <w:p w14:paraId="7E45E16D" w14:textId="77777777" w:rsidR="00342F2E" w:rsidRPr="00342F2E" w:rsidRDefault="00342F2E" w:rsidP="007144CB">
      <w:pPr>
        <w:pStyle w:val="Bibliography"/>
        <w:rPr>
          <w:rFonts w:ascii="Calibri" w:hAnsi="Calibri" w:cs="Calibri"/>
        </w:rPr>
      </w:pPr>
      <w:r w:rsidRPr="00342F2E">
        <w:rPr>
          <w:rFonts w:ascii="Calibri" w:hAnsi="Calibri" w:cs="Calibri"/>
        </w:rPr>
        <w:lastRenderedPageBreak/>
        <w:t xml:space="preserve">3. </w:t>
      </w:r>
      <w:r w:rsidRPr="00342F2E">
        <w:rPr>
          <w:rFonts w:ascii="Calibri" w:hAnsi="Calibri" w:cs="Calibri"/>
        </w:rPr>
        <w:tab/>
        <w:t xml:space="preserve">Mason A. New medicines in primary care: a review of influences on general practitioner prescribing. </w:t>
      </w:r>
      <w:r w:rsidRPr="00342F2E">
        <w:rPr>
          <w:rFonts w:ascii="Calibri" w:hAnsi="Calibri" w:cs="Calibri"/>
          <w:i/>
          <w:iCs/>
        </w:rPr>
        <w:t>J Clin Pharm Ther</w:t>
      </w:r>
      <w:r w:rsidRPr="00342F2E">
        <w:rPr>
          <w:rFonts w:ascii="Calibri" w:hAnsi="Calibri" w:cs="Calibri"/>
        </w:rPr>
        <w:t>. 2008;33(1):1-10. doi:https://doi.org/10.1111/j.1365-2710.2008.00875.x</w:t>
      </w:r>
    </w:p>
    <w:p w14:paraId="59E60550" w14:textId="77777777" w:rsidR="00342F2E" w:rsidRPr="00342F2E" w:rsidRDefault="00342F2E" w:rsidP="007144CB">
      <w:pPr>
        <w:pStyle w:val="Bibliography"/>
        <w:rPr>
          <w:rFonts w:ascii="Calibri" w:hAnsi="Calibri" w:cs="Calibri"/>
        </w:rPr>
      </w:pPr>
      <w:r w:rsidRPr="00342F2E">
        <w:rPr>
          <w:rFonts w:ascii="Calibri" w:hAnsi="Calibri" w:cs="Calibri"/>
        </w:rPr>
        <w:t xml:space="preserve">4. </w:t>
      </w:r>
      <w:r w:rsidRPr="00342F2E">
        <w:rPr>
          <w:rFonts w:ascii="Calibri" w:hAnsi="Calibri" w:cs="Calibri"/>
        </w:rPr>
        <w:tab/>
        <w:t xml:space="preserve">Wathen B, Dean T. An evaluation of the impact of NICE guidance on GP prescribing. </w:t>
      </w:r>
      <w:r w:rsidRPr="00342F2E">
        <w:rPr>
          <w:rFonts w:ascii="Calibri" w:hAnsi="Calibri" w:cs="Calibri"/>
          <w:i/>
          <w:iCs/>
        </w:rPr>
        <w:t>Br J Gen Pract</w:t>
      </w:r>
      <w:r w:rsidRPr="00342F2E">
        <w:rPr>
          <w:rFonts w:ascii="Calibri" w:hAnsi="Calibri" w:cs="Calibri"/>
        </w:rPr>
        <w:t>. Published online 2004:5.</w:t>
      </w:r>
    </w:p>
    <w:p w14:paraId="6866AB7F" w14:textId="77777777" w:rsidR="00342F2E" w:rsidRPr="00342F2E" w:rsidRDefault="00342F2E" w:rsidP="007144CB">
      <w:pPr>
        <w:pStyle w:val="Bibliography"/>
        <w:rPr>
          <w:rFonts w:ascii="Calibri" w:hAnsi="Calibri" w:cs="Calibri"/>
        </w:rPr>
      </w:pPr>
      <w:r w:rsidRPr="00342F2E">
        <w:rPr>
          <w:rFonts w:ascii="Calibri" w:hAnsi="Calibri" w:cs="Calibri"/>
        </w:rPr>
        <w:t xml:space="preserve">5. </w:t>
      </w:r>
      <w:r w:rsidRPr="00342F2E">
        <w:rPr>
          <w:rFonts w:ascii="Calibri" w:hAnsi="Calibri" w:cs="Calibri"/>
        </w:rPr>
        <w:tab/>
        <w:t xml:space="preserve">Stephen Harrison, George Dowswell, John Wright, , Ian Russell, George Dowswell, John Wright. General practitioners’ uptake of clinical practice guidelines: a qualitative study. </w:t>
      </w:r>
      <w:r w:rsidRPr="00342F2E">
        <w:rPr>
          <w:rFonts w:ascii="Calibri" w:hAnsi="Calibri" w:cs="Calibri"/>
          <w:i/>
          <w:iCs/>
        </w:rPr>
        <w:t>J Health Serv Res Policy</w:t>
      </w:r>
      <w:r w:rsidRPr="00342F2E">
        <w:rPr>
          <w:rFonts w:ascii="Calibri" w:hAnsi="Calibri" w:cs="Calibri"/>
        </w:rPr>
        <w:t>. 2003;8(3):149-153. doi:10.1258/135581903322029494</w:t>
      </w:r>
    </w:p>
    <w:p w14:paraId="45CE1462" w14:textId="77777777" w:rsidR="00342F2E" w:rsidRPr="00342F2E" w:rsidRDefault="00342F2E" w:rsidP="007144CB">
      <w:pPr>
        <w:pStyle w:val="Bibliography"/>
        <w:rPr>
          <w:rFonts w:ascii="Calibri" w:hAnsi="Calibri" w:cs="Calibri"/>
        </w:rPr>
      </w:pPr>
      <w:r w:rsidRPr="00342F2E">
        <w:rPr>
          <w:rFonts w:ascii="Calibri" w:hAnsi="Calibri" w:cs="Calibri"/>
        </w:rPr>
        <w:t xml:space="preserve">6. </w:t>
      </w:r>
      <w:r w:rsidRPr="00342F2E">
        <w:rPr>
          <w:rFonts w:ascii="Calibri" w:hAnsi="Calibri" w:cs="Calibri"/>
        </w:rPr>
        <w:tab/>
        <w:t xml:space="preserve">Bedson J, Belcher J, Martino OI, et al. The effectiveness of national guidance in changing analgesic prescribing in primary care from 2002 to 2009: An observational database study. </w:t>
      </w:r>
      <w:r w:rsidRPr="00342F2E">
        <w:rPr>
          <w:rFonts w:ascii="Calibri" w:hAnsi="Calibri" w:cs="Calibri"/>
          <w:i/>
          <w:iCs/>
        </w:rPr>
        <w:t>Eur J Pain</w:t>
      </w:r>
      <w:r w:rsidRPr="00342F2E">
        <w:rPr>
          <w:rFonts w:ascii="Calibri" w:hAnsi="Calibri" w:cs="Calibri"/>
        </w:rPr>
        <w:t>. 2013;17(3):434-443. doi:https://doi.org/10.1002/j.1532-2149.2012.00189.x</w:t>
      </w:r>
    </w:p>
    <w:p w14:paraId="0DF0C700" w14:textId="77777777" w:rsidR="00342F2E" w:rsidRPr="00342F2E" w:rsidRDefault="00342F2E" w:rsidP="007144CB">
      <w:pPr>
        <w:pStyle w:val="Bibliography"/>
        <w:rPr>
          <w:rFonts w:ascii="Calibri" w:hAnsi="Calibri" w:cs="Calibri"/>
        </w:rPr>
      </w:pPr>
      <w:r w:rsidRPr="00342F2E">
        <w:rPr>
          <w:rFonts w:ascii="Calibri" w:hAnsi="Calibri" w:cs="Calibri"/>
        </w:rPr>
        <w:t xml:space="preserve">7. </w:t>
      </w:r>
      <w:r w:rsidRPr="00342F2E">
        <w:rPr>
          <w:rFonts w:ascii="Calibri" w:hAnsi="Calibri" w:cs="Calibri"/>
        </w:rPr>
        <w:tab/>
        <w:t xml:space="preserve">Walker AJ, Pretis F, Powell-Smith A, Goldacre B. Variation in responsiveness to warranted behaviour change among NHS clinicians: novel implementation of change detection methods in longitudinal prescribing data. </w:t>
      </w:r>
      <w:r w:rsidRPr="00342F2E">
        <w:rPr>
          <w:rFonts w:ascii="Calibri" w:hAnsi="Calibri" w:cs="Calibri"/>
          <w:i/>
          <w:iCs/>
        </w:rPr>
        <w:t>BMJ</w:t>
      </w:r>
      <w:r w:rsidRPr="00342F2E">
        <w:rPr>
          <w:rFonts w:ascii="Calibri" w:hAnsi="Calibri" w:cs="Calibri"/>
        </w:rPr>
        <w:t>. 2019;367:l5205. doi:10.1136/bmj.l5205</w:t>
      </w:r>
    </w:p>
    <w:p w14:paraId="690F04D8" w14:textId="77777777" w:rsidR="00342F2E" w:rsidRPr="00342F2E" w:rsidRDefault="00342F2E" w:rsidP="007144CB">
      <w:pPr>
        <w:pStyle w:val="Bibliography"/>
        <w:rPr>
          <w:rFonts w:ascii="Calibri" w:hAnsi="Calibri" w:cs="Calibri"/>
        </w:rPr>
      </w:pPr>
      <w:r w:rsidRPr="00342F2E">
        <w:rPr>
          <w:rFonts w:ascii="Calibri" w:hAnsi="Calibri" w:cs="Calibri"/>
        </w:rPr>
        <w:t xml:space="preserve">8. </w:t>
      </w:r>
      <w:r w:rsidRPr="00342F2E">
        <w:rPr>
          <w:rFonts w:ascii="Calibri" w:hAnsi="Calibri" w:cs="Calibri"/>
        </w:rPr>
        <w:tab/>
        <w:t>Health Matters: Preventing cardiovascular disease - Public health matters. Accessed April 13, 2021. https://publichealthmatters.blog.gov.uk/2019/02/14/health-matters-preventing-cardiovascular-disease/</w:t>
      </w:r>
    </w:p>
    <w:p w14:paraId="0039B501" w14:textId="77777777" w:rsidR="00342F2E" w:rsidRPr="00342F2E" w:rsidRDefault="00342F2E" w:rsidP="007144CB">
      <w:pPr>
        <w:pStyle w:val="Bibliography"/>
        <w:rPr>
          <w:rFonts w:ascii="Calibri" w:hAnsi="Calibri" w:cs="Calibri"/>
        </w:rPr>
      </w:pPr>
      <w:r w:rsidRPr="00342F2E">
        <w:rPr>
          <w:rFonts w:ascii="Calibri" w:hAnsi="Calibri" w:cs="Calibri"/>
        </w:rPr>
        <w:t xml:space="preserve">9. </w:t>
      </w:r>
      <w:r w:rsidRPr="00342F2E">
        <w:rPr>
          <w:rFonts w:ascii="Calibri" w:hAnsi="Calibri" w:cs="Calibri"/>
        </w:rPr>
        <w:tab/>
        <w:t xml:space="preserve">Luengo‐Fernández R, Leal J, Gray A, Petersen S, Rayner M. Cost of cardiovascular diseases in the United Kingdom. </w:t>
      </w:r>
      <w:r w:rsidRPr="00342F2E">
        <w:rPr>
          <w:rFonts w:ascii="Calibri" w:hAnsi="Calibri" w:cs="Calibri"/>
          <w:i/>
          <w:iCs/>
        </w:rPr>
        <w:t>Heart</w:t>
      </w:r>
      <w:r w:rsidRPr="00342F2E">
        <w:rPr>
          <w:rFonts w:ascii="Calibri" w:hAnsi="Calibri" w:cs="Calibri"/>
        </w:rPr>
        <w:t>. 2006;92(10):1384. doi:10.1136/hrt.2005.072173</w:t>
      </w:r>
    </w:p>
    <w:p w14:paraId="40E1955F" w14:textId="77777777" w:rsidR="00342F2E" w:rsidRPr="00342F2E" w:rsidRDefault="00342F2E" w:rsidP="007144CB">
      <w:pPr>
        <w:pStyle w:val="Bibliography"/>
        <w:rPr>
          <w:rFonts w:ascii="Calibri" w:hAnsi="Calibri" w:cs="Calibri"/>
        </w:rPr>
      </w:pPr>
      <w:r w:rsidRPr="00342F2E">
        <w:rPr>
          <w:rFonts w:ascii="Calibri" w:hAnsi="Calibri" w:cs="Calibri"/>
        </w:rPr>
        <w:t xml:space="preserve">10. </w:t>
      </w:r>
      <w:r w:rsidRPr="00342F2E">
        <w:rPr>
          <w:rFonts w:ascii="Calibri" w:hAnsi="Calibri" w:cs="Calibri"/>
        </w:rPr>
        <w:tab/>
        <w:t>Statins for the prevention of cardiovascular events | Guidance | NICE. Accessed April 13, 2021. https://www.nice.org.uk/guidance/ta94</w:t>
      </w:r>
    </w:p>
    <w:p w14:paraId="292C2539" w14:textId="77777777" w:rsidR="00342F2E" w:rsidRPr="00342F2E" w:rsidRDefault="00342F2E" w:rsidP="007144CB">
      <w:pPr>
        <w:pStyle w:val="Bibliography"/>
        <w:rPr>
          <w:rFonts w:ascii="Calibri" w:hAnsi="Calibri" w:cs="Calibri"/>
        </w:rPr>
      </w:pPr>
      <w:r w:rsidRPr="00342F2E">
        <w:rPr>
          <w:rFonts w:ascii="Calibri" w:hAnsi="Calibri" w:cs="Calibri"/>
        </w:rPr>
        <w:t xml:space="preserve">11. </w:t>
      </w:r>
      <w:r w:rsidRPr="00342F2E">
        <w:rPr>
          <w:rFonts w:ascii="Calibri" w:hAnsi="Calibri" w:cs="Calibri"/>
        </w:rPr>
        <w:tab/>
        <w:t>Lipid modification: Cardiovascular risk assessment and the modification of blood lipids for the primary and secondary prevention of cardiovascular disease | Guidance | NICE. Accessed April 13, 2021. https://www.nice.org.uk/guidance/cg67</w:t>
      </w:r>
    </w:p>
    <w:p w14:paraId="1D9CB70D" w14:textId="77777777" w:rsidR="00342F2E" w:rsidRPr="00342F2E" w:rsidRDefault="00342F2E" w:rsidP="007144CB">
      <w:pPr>
        <w:pStyle w:val="Bibliography"/>
        <w:rPr>
          <w:rFonts w:ascii="Calibri" w:hAnsi="Calibri" w:cs="Calibri"/>
        </w:rPr>
      </w:pPr>
      <w:r w:rsidRPr="00342F2E">
        <w:rPr>
          <w:rFonts w:ascii="Calibri" w:hAnsi="Calibri" w:cs="Calibri"/>
        </w:rPr>
        <w:t xml:space="preserve">12. </w:t>
      </w:r>
      <w:r w:rsidRPr="00342F2E">
        <w:rPr>
          <w:rFonts w:ascii="Calibri" w:hAnsi="Calibri" w:cs="Calibri"/>
        </w:rPr>
        <w:tab/>
        <w:t>Cardiovascular disease: risk assessment and reduction, including lipid modification | Guidance and guidelines | NICE. Accessed January 13, 2019. https://www.nice.org.uk/guidance/cg181/chapter/appendix-a-grouping-of-statins</w:t>
      </w:r>
    </w:p>
    <w:p w14:paraId="2027422B" w14:textId="77777777" w:rsidR="00342F2E" w:rsidRPr="00342F2E" w:rsidRDefault="00342F2E" w:rsidP="007144CB">
      <w:pPr>
        <w:pStyle w:val="Bibliography"/>
        <w:rPr>
          <w:rFonts w:ascii="Calibri" w:hAnsi="Calibri" w:cs="Calibri"/>
        </w:rPr>
      </w:pPr>
      <w:r w:rsidRPr="00342F2E">
        <w:rPr>
          <w:rFonts w:ascii="Calibri" w:hAnsi="Calibri" w:cs="Calibri"/>
        </w:rPr>
        <w:t xml:space="preserve">13. </w:t>
      </w:r>
      <w:r w:rsidRPr="00342F2E">
        <w:rPr>
          <w:rFonts w:ascii="Calibri" w:hAnsi="Calibri" w:cs="Calibri"/>
        </w:rPr>
        <w:tab/>
        <w:t xml:space="preserve">Correa A, Hinton W, McGovern A, et al. Royal College of General Practitioners Research and Surveillance Centre (RCGP RSC) sentinel network: a cohort profile. </w:t>
      </w:r>
      <w:r w:rsidRPr="00342F2E">
        <w:rPr>
          <w:rFonts w:ascii="Calibri" w:hAnsi="Calibri" w:cs="Calibri"/>
          <w:i/>
          <w:iCs/>
        </w:rPr>
        <w:t>BMJ Open</w:t>
      </w:r>
      <w:r w:rsidRPr="00342F2E">
        <w:rPr>
          <w:rFonts w:ascii="Calibri" w:hAnsi="Calibri" w:cs="Calibri"/>
        </w:rPr>
        <w:t>. 2016;6(4):e011092. doi:10.1136/bmjopen-2016-011092</w:t>
      </w:r>
    </w:p>
    <w:p w14:paraId="1D223A4C" w14:textId="77777777" w:rsidR="00342F2E" w:rsidRPr="00342F2E" w:rsidRDefault="00342F2E" w:rsidP="007144CB">
      <w:pPr>
        <w:pStyle w:val="Bibliography"/>
        <w:rPr>
          <w:rFonts w:ascii="Calibri" w:hAnsi="Calibri" w:cs="Calibri"/>
        </w:rPr>
      </w:pPr>
      <w:r w:rsidRPr="00342F2E">
        <w:rPr>
          <w:rFonts w:ascii="Calibri" w:hAnsi="Calibri" w:cs="Calibri"/>
        </w:rPr>
        <w:t xml:space="preserve">14. </w:t>
      </w:r>
      <w:r w:rsidRPr="00342F2E">
        <w:rPr>
          <w:rFonts w:ascii="Calibri" w:hAnsi="Calibri" w:cs="Calibri"/>
        </w:rPr>
        <w:tab/>
        <w:t xml:space="preserve">Hinton W, McGovern A, Coyle R, et al. Incidence and prevalence of cardiovascular disease in English primary care: a cross-sectional and follow-up study of the Royal College of General Practitioners (RCGP) Research and Surveillance Centre (RSC). </w:t>
      </w:r>
      <w:r w:rsidRPr="00342F2E">
        <w:rPr>
          <w:rFonts w:ascii="Calibri" w:hAnsi="Calibri" w:cs="Calibri"/>
          <w:i/>
          <w:iCs/>
        </w:rPr>
        <w:t>BMJ Open</w:t>
      </w:r>
      <w:r w:rsidRPr="00342F2E">
        <w:rPr>
          <w:rFonts w:ascii="Calibri" w:hAnsi="Calibri" w:cs="Calibri"/>
        </w:rPr>
        <w:t>. 2018;8(8):e020282. doi:10.1136/bmjopen-2017-020282</w:t>
      </w:r>
    </w:p>
    <w:p w14:paraId="452344CF" w14:textId="77777777" w:rsidR="00342F2E" w:rsidRPr="00342F2E" w:rsidRDefault="00342F2E" w:rsidP="007144CB">
      <w:pPr>
        <w:pStyle w:val="Bibliography"/>
        <w:rPr>
          <w:rFonts w:ascii="Calibri" w:hAnsi="Calibri" w:cs="Calibri"/>
        </w:rPr>
      </w:pPr>
      <w:r w:rsidRPr="00342F2E">
        <w:rPr>
          <w:rFonts w:ascii="Calibri" w:hAnsi="Calibri" w:cs="Calibri"/>
        </w:rPr>
        <w:t xml:space="preserve">15. </w:t>
      </w:r>
      <w:r w:rsidRPr="00342F2E">
        <w:rPr>
          <w:rFonts w:ascii="Calibri" w:hAnsi="Calibri" w:cs="Calibri"/>
        </w:rPr>
        <w:tab/>
        <w:t>Prescription Cost Analysis. NHS Digital. Accessed April 13, 2021. https://digital.nhs.uk/data-and-information/publications/statistical/prescription-cost-analysis</w:t>
      </w:r>
    </w:p>
    <w:p w14:paraId="751392CF" w14:textId="77777777" w:rsidR="00342F2E" w:rsidRPr="00342F2E" w:rsidRDefault="00342F2E" w:rsidP="007144CB">
      <w:pPr>
        <w:pStyle w:val="Bibliography"/>
        <w:rPr>
          <w:rFonts w:ascii="Calibri" w:hAnsi="Calibri" w:cs="Calibri"/>
        </w:rPr>
      </w:pPr>
      <w:r w:rsidRPr="00342F2E">
        <w:rPr>
          <w:rFonts w:ascii="Calibri" w:hAnsi="Calibri" w:cs="Calibri"/>
        </w:rPr>
        <w:lastRenderedPageBreak/>
        <w:t xml:space="preserve">16. </w:t>
      </w:r>
      <w:r w:rsidRPr="00342F2E">
        <w:rPr>
          <w:rFonts w:ascii="Calibri" w:hAnsi="Calibri" w:cs="Calibri"/>
        </w:rPr>
        <w:tab/>
        <w:t xml:space="preserve">Law MR, Wald NJ, Rudnicka AR. Quantifying effect of statins on low density lipoprotein cholesterol, ischaemic heart disease, and stroke: systematic review and meta-analysis. </w:t>
      </w:r>
      <w:r w:rsidRPr="00342F2E">
        <w:rPr>
          <w:rFonts w:ascii="Calibri" w:hAnsi="Calibri" w:cs="Calibri"/>
          <w:i/>
          <w:iCs/>
        </w:rPr>
        <w:t>BMJ</w:t>
      </w:r>
      <w:r w:rsidRPr="00342F2E">
        <w:rPr>
          <w:rFonts w:ascii="Calibri" w:hAnsi="Calibri" w:cs="Calibri"/>
        </w:rPr>
        <w:t>. 2003;326(7404):1423. doi:10.1136/bmj.326.7404.1423</w:t>
      </w:r>
    </w:p>
    <w:p w14:paraId="0AF418B2" w14:textId="77777777" w:rsidR="00342F2E" w:rsidRPr="00342F2E" w:rsidRDefault="00342F2E" w:rsidP="007144CB">
      <w:pPr>
        <w:pStyle w:val="Bibliography"/>
        <w:rPr>
          <w:rFonts w:ascii="Calibri" w:hAnsi="Calibri" w:cs="Calibri"/>
        </w:rPr>
      </w:pPr>
      <w:r w:rsidRPr="00342F2E">
        <w:rPr>
          <w:rFonts w:ascii="Calibri" w:hAnsi="Calibri" w:cs="Calibri"/>
        </w:rPr>
        <w:t xml:space="preserve">17. </w:t>
      </w:r>
      <w:r w:rsidRPr="00342F2E">
        <w:rPr>
          <w:rFonts w:ascii="Calibri" w:hAnsi="Calibri" w:cs="Calibri"/>
        </w:rPr>
        <w:tab/>
        <w:t xml:space="preserve">Efficacy and safety of cholesterol-lowering treatment: prospective meta-analysis of data from 90 056 participants in 14 randomised trials of statins. </w:t>
      </w:r>
      <w:r w:rsidRPr="00342F2E">
        <w:rPr>
          <w:rFonts w:ascii="Calibri" w:hAnsi="Calibri" w:cs="Calibri"/>
          <w:i/>
          <w:iCs/>
        </w:rPr>
        <w:t>The Lancet</w:t>
      </w:r>
      <w:r w:rsidRPr="00342F2E">
        <w:rPr>
          <w:rFonts w:ascii="Calibri" w:hAnsi="Calibri" w:cs="Calibri"/>
        </w:rPr>
        <w:t>. 2005;366(9493):1267-1278. doi:10.1016/S0140-6736(05)67394-1</w:t>
      </w:r>
    </w:p>
    <w:p w14:paraId="51642421" w14:textId="77777777" w:rsidR="00342F2E" w:rsidRPr="00342F2E" w:rsidRDefault="00342F2E" w:rsidP="007144CB">
      <w:pPr>
        <w:pStyle w:val="Bibliography"/>
        <w:rPr>
          <w:rFonts w:ascii="Calibri" w:hAnsi="Calibri" w:cs="Calibri"/>
        </w:rPr>
      </w:pPr>
      <w:r w:rsidRPr="00342F2E">
        <w:rPr>
          <w:rFonts w:ascii="Calibri" w:hAnsi="Calibri" w:cs="Calibri"/>
        </w:rPr>
        <w:t xml:space="preserve">18. </w:t>
      </w:r>
      <w:r w:rsidRPr="00342F2E">
        <w:rPr>
          <w:rFonts w:ascii="Calibri" w:hAnsi="Calibri" w:cs="Calibri"/>
        </w:rPr>
        <w:tab/>
        <w:t xml:space="preserve">Moon JC, Bogle RG. Switching statins. </w:t>
      </w:r>
      <w:r w:rsidRPr="00342F2E">
        <w:rPr>
          <w:rFonts w:ascii="Calibri" w:hAnsi="Calibri" w:cs="Calibri"/>
          <w:i/>
          <w:iCs/>
        </w:rPr>
        <w:t>BMJ</w:t>
      </w:r>
      <w:r w:rsidRPr="00342F2E">
        <w:rPr>
          <w:rFonts w:ascii="Calibri" w:hAnsi="Calibri" w:cs="Calibri"/>
        </w:rPr>
        <w:t>. 2006;332(7554):1344-1345.</w:t>
      </w:r>
    </w:p>
    <w:p w14:paraId="09CADA10" w14:textId="77777777" w:rsidR="00342F2E" w:rsidRPr="00342F2E" w:rsidRDefault="00342F2E" w:rsidP="007144CB">
      <w:pPr>
        <w:pStyle w:val="Bibliography"/>
        <w:rPr>
          <w:rFonts w:ascii="Calibri" w:hAnsi="Calibri" w:cs="Calibri"/>
        </w:rPr>
      </w:pPr>
      <w:r w:rsidRPr="00342F2E">
        <w:rPr>
          <w:rFonts w:ascii="Calibri" w:hAnsi="Calibri" w:cs="Calibri"/>
        </w:rPr>
        <w:t xml:space="preserve">19. </w:t>
      </w:r>
      <w:r w:rsidRPr="00342F2E">
        <w:rPr>
          <w:rFonts w:ascii="Calibri" w:hAnsi="Calibri" w:cs="Calibri"/>
        </w:rPr>
        <w:tab/>
        <w:t xml:space="preserve">Armitage J. The safety of statins in clinical practice. </w:t>
      </w:r>
      <w:r w:rsidRPr="00342F2E">
        <w:rPr>
          <w:rFonts w:ascii="Calibri" w:hAnsi="Calibri" w:cs="Calibri"/>
          <w:i/>
          <w:iCs/>
        </w:rPr>
        <w:t>The Lancet</w:t>
      </w:r>
      <w:r w:rsidRPr="00342F2E">
        <w:rPr>
          <w:rFonts w:ascii="Calibri" w:hAnsi="Calibri" w:cs="Calibri"/>
        </w:rPr>
        <w:t>. 2007;370(9601):1781-1790. doi:10.1016/S0140-6736(07)60716-8</w:t>
      </w:r>
    </w:p>
    <w:p w14:paraId="461C43A5" w14:textId="77777777" w:rsidR="00342F2E" w:rsidRPr="00342F2E" w:rsidRDefault="00342F2E" w:rsidP="007144CB">
      <w:pPr>
        <w:pStyle w:val="Bibliography"/>
        <w:rPr>
          <w:rFonts w:ascii="Calibri" w:hAnsi="Calibri" w:cs="Calibri"/>
        </w:rPr>
      </w:pPr>
      <w:r w:rsidRPr="00342F2E">
        <w:rPr>
          <w:rFonts w:ascii="Calibri" w:hAnsi="Calibri" w:cs="Calibri"/>
        </w:rPr>
        <w:t xml:space="preserve">20. </w:t>
      </w:r>
      <w:r w:rsidRPr="00342F2E">
        <w:rPr>
          <w:rFonts w:ascii="Calibri" w:hAnsi="Calibri" w:cs="Calibri"/>
        </w:rPr>
        <w:tab/>
        <w:t xml:space="preserve">Amarenco P, Labreuche J. Lipid management in the prevention of stroke: review and updated meta-analysis of statins for stroke prevention. </w:t>
      </w:r>
      <w:r w:rsidRPr="00342F2E">
        <w:rPr>
          <w:rFonts w:ascii="Calibri" w:hAnsi="Calibri" w:cs="Calibri"/>
          <w:i/>
          <w:iCs/>
        </w:rPr>
        <w:t>Lancet Neurol</w:t>
      </w:r>
      <w:r w:rsidRPr="00342F2E">
        <w:rPr>
          <w:rFonts w:ascii="Calibri" w:hAnsi="Calibri" w:cs="Calibri"/>
        </w:rPr>
        <w:t>. 2009;8(5):453-463. doi:10.1016/S1474-4422(09)70058-4</w:t>
      </w:r>
    </w:p>
    <w:p w14:paraId="455BF4BF" w14:textId="77777777" w:rsidR="00342F2E" w:rsidRPr="00342F2E" w:rsidRDefault="00342F2E" w:rsidP="007144CB">
      <w:pPr>
        <w:pStyle w:val="Bibliography"/>
        <w:rPr>
          <w:rFonts w:ascii="Calibri" w:hAnsi="Calibri" w:cs="Calibri"/>
        </w:rPr>
      </w:pPr>
      <w:r w:rsidRPr="00342F2E">
        <w:rPr>
          <w:rFonts w:ascii="Calibri" w:hAnsi="Calibri" w:cs="Calibri"/>
        </w:rPr>
        <w:t xml:space="preserve">21. </w:t>
      </w:r>
      <w:r w:rsidRPr="00342F2E">
        <w:rPr>
          <w:rFonts w:ascii="Calibri" w:hAnsi="Calibri" w:cs="Calibri"/>
        </w:rPr>
        <w:tab/>
        <w:t>Medicinal product regulation and product liability in the UK (England and Wales): overview. Practical Law. Accessed April 23, 2021. http://uk.practicallaw.thomsonreuters.com/3-500-9763?transitionType=Default&amp;contextData=(sc.Default)&amp;firstPage=true&amp;bhcp=1</w:t>
      </w:r>
    </w:p>
    <w:p w14:paraId="73C91B20" w14:textId="77777777" w:rsidR="00342F2E" w:rsidRPr="00342F2E" w:rsidRDefault="00342F2E" w:rsidP="007144CB">
      <w:pPr>
        <w:pStyle w:val="Bibliography"/>
        <w:rPr>
          <w:rFonts w:ascii="Calibri" w:hAnsi="Calibri" w:cs="Calibri"/>
        </w:rPr>
      </w:pPr>
      <w:r w:rsidRPr="00342F2E">
        <w:rPr>
          <w:rFonts w:ascii="Calibri" w:hAnsi="Calibri" w:cs="Calibri"/>
        </w:rPr>
        <w:t xml:space="preserve">22. </w:t>
      </w:r>
      <w:r w:rsidRPr="00342F2E">
        <w:rPr>
          <w:rFonts w:ascii="Calibri" w:hAnsi="Calibri" w:cs="Calibri"/>
        </w:rPr>
        <w:tab/>
        <w:t>Tony Avery, Nick Barber, Maisoon Ghaleb, Bryony, Dean Franklin, Sarah Armstrong, Sarah Crowe, Soraya Dhillon, Anette Freyer, Rachel Howard, Cinzia Pezzolesi, Brian Serumaga, Glen Swanwick, Olanrewaju Talabi. Investigating the prevalence and causes of prescribing errors in general practice: The PRACtICe Study (PRevalence And Causes of prescrIbing errors in general practiCe) A report for the GMC. Published online 2012. https://www.gmc-uk.org/-/media/gmc-site-images/about/investigatingtheprevalenceandcausesofprescribingerrorsingeneralpracticethepracticestudyreoprtmay2012.pdf?la=en&amp;hash=21B05525C5FEF17C832EF985D8636C08E524A6C9</w:t>
      </w:r>
    </w:p>
    <w:p w14:paraId="05228F5E" w14:textId="77777777" w:rsidR="00342F2E" w:rsidRPr="00342F2E" w:rsidRDefault="00342F2E" w:rsidP="007144CB">
      <w:pPr>
        <w:pStyle w:val="Bibliography"/>
        <w:rPr>
          <w:rFonts w:ascii="Calibri" w:hAnsi="Calibri" w:cs="Calibri"/>
        </w:rPr>
      </w:pPr>
      <w:r w:rsidRPr="00342F2E">
        <w:rPr>
          <w:rFonts w:ascii="Calibri" w:hAnsi="Calibri" w:cs="Calibri"/>
        </w:rPr>
        <w:t xml:space="preserve">23. </w:t>
      </w:r>
      <w:r w:rsidRPr="00342F2E">
        <w:rPr>
          <w:rFonts w:ascii="Calibri" w:hAnsi="Calibri" w:cs="Calibri"/>
        </w:rPr>
        <w:tab/>
        <w:t xml:space="preserve">Goldacre B, Reynolds C, Powell-Smith A, et al. Do doctors in dispensing practices with a financial conflict of interest prescribe more expensive drugs? A cross-sectional analysis of English primary care prescribing data. </w:t>
      </w:r>
      <w:r w:rsidRPr="00342F2E">
        <w:rPr>
          <w:rFonts w:ascii="Calibri" w:hAnsi="Calibri" w:cs="Calibri"/>
          <w:i/>
          <w:iCs/>
        </w:rPr>
        <w:t>BMJ Open</w:t>
      </w:r>
      <w:r w:rsidRPr="00342F2E">
        <w:rPr>
          <w:rFonts w:ascii="Calibri" w:hAnsi="Calibri" w:cs="Calibri"/>
        </w:rPr>
        <w:t>. 2019;9(2):e026886. doi:10.1136/bmjopen-2018-026886</w:t>
      </w:r>
    </w:p>
    <w:p w14:paraId="19E2BCA0" w14:textId="77777777" w:rsidR="00342F2E" w:rsidRPr="00342F2E" w:rsidRDefault="00342F2E" w:rsidP="007144CB">
      <w:pPr>
        <w:pStyle w:val="Bibliography"/>
        <w:rPr>
          <w:rFonts w:ascii="Calibri" w:hAnsi="Calibri" w:cs="Calibri"/>
        </w:rPr>
      </w:pPr>
      <w:r w:rsidRPr="00342F2E">
        <w:rPr>
          <w:rFonts w:ascii="Calibri" w:hAnsi="Calibri" w:cs="Calibri"/>
        </w:rPr>
        <w:t xml:space="preserve">24. </w:t>
      </w:r>
      <w:r w:rsidRPr="00342F2E">
        <w:rPr>
          <w:rFonts w:ascii="Calibri" w:hAnsi="Calibri" w:cs="Calibri"/>
        </w:rPr>
        <w:tab/>
        <w:t xml:space="preserve">Matthews A, Herrett E, Gasparrini A, et al. Impact of statin related media coverage on use of statins: interrupted time series analysis with UK primary care data. </w:t>
      </w:r>
      <w:r w:rsidRPr="00342F2E">
        <w:rPr>
          <w:rFonts w:ascii="Calibri" w:hAnsi="Calibri" w:cs="Calibri"/>
          <w:i/>
          <w:iCs/>
        </w:rPr>
        <w:t>BMJ</w:t>
      </w:r>
      <w:r w:rsidRPr="00342F2E">
        <w:rPr>
          <w:rFonts w:ascii="Calibri" w:hAnsi="Calibri" w:cs="Calibri"/>
        </w:rPr>
        <w:t>. 2016;353:i3283. doi:10.1136/bmj.i3283</w:t>
      </w:r>
    </w:p>
    <w:p w14:paraId="2A6B17CC" w14:textId="77777777" w:rsidR="00342F2E" w:rsidRPr="00342F2E" w:rsidRDefault="00342F2E" w:rsidP="007144CB">
      <w:pPr>
        <w:pStyle w:val="Bibliography"/>
        <w:rPr>
          <w:rFonts w:ascii="Calibri" w:hAnsi="Calibri" w:cs="Calibri"/>
        </w:rPr>
      </w:pPr>
      <w:r w:rsidRPr="00342F2E">
        <w:rPr>
          <w:rFonts w:ascii="Calibri" w:hAnsi="Calibri" w:cs="Calibri"/>
        </w:rPr>
        <w:t xml:space="preserve">25. </w:t>
      </w:r>
      <w:r w:rsidRPr="00342F2E">
        <w:rPr>
          <w:rFonts w:ascii="Calibri" w:hAnsi="Calibri" w:cs="Calibri"/>
        </w:rPr>
        <w:tab/>
        <w:t xml:space="preserve">Ju A, Hanson CS, Banks E, et al. Patient beliefs and attitudes to taking statins: systematic review of qualitative studies. </w:t>
      </w:r>
      <w:r w:rsidRPr="00342F2E">
        <w:rPr>
          <w:rFonts w:ascii="Calibri" w:hAnsi="Calibri" w:cs="Calibri"/>
          <w:i/>
          <w:iCs/>
        </w:rPr>
        <w:t>Br J Gen Pract</w:t>
      </w:r>
      <w:r w:rsidRPr="00342F2E">
        <w:rPr>
          <w:rFonts w:ascii="Calibri" w:hAnsi="Calibri" w:cs="Calibri"/>
        </w:rPr>
        <w:t>. 2018;68(671):e408-e419. doi:10.3399/bjgp18X696365</w:t>
      </w:r>
    </w:p>
    <w:p w14:paraId="697CC67F" w14:textId="77777777" w:rsidR="00342F2E" w:rsidRPr="00342F2E" w:rsidRDefault="00342F2E" w:rsidP="007144CB">
      <w:pPr>
        <w:pStyle w:val="Bibliography"/>
        <w:rPr>
          <w:rFonts w:ascii="Calibri" w:hAnsi="Calibri" w:cs="Calibri"/>
        </w:rPr>
      </w:pPr>
      <w:r w:rsidRPr="00342F2E">
        <w:rPr>
          <w:rFonts w:ascii="Calibri" w:hAnsi="Calibri" w:cs="Calibri"/>
        </w:rPr>
        <w:t xml:space="preserve">26. </w:t>
      </w:r>
      <w:r w:rsidRPr="00342F2E">
        <w:rPr>
          <w:rFonts w:ascii="Calibri" w:hAnsi="Calibri" w:cs="Calibri"/>
        </w:rPr>
        <w:tab/>
        <w:t xml:space="preserve">Hire C, Rushforth B. General practitioners’ views on using a prescribing substitution application (ScriptSwitch®). </w:t>
      </w:r>
      <w:r w:rsidRPr="00342F2E">
        <w:rPr>
          <w:rFonts w:ascii="Calibri" w:hAnsi="Calibri" w:cs="Calibri"/>
          <w:i/>
          <w:iCs/>
        </w:rPr>
        <w:t>J Innov Health Inform</w:t>
      </w:r>
      <w:r w:rsidRPr="00342F2E">
        <w:rPr>
          <w:rFonts w:ascii="Calibri" w:hAnsi="Calibri" w:cs="Calibri"/>
        </w:rPr>
        <w:t>. 2013;21(1):1-11. doi:10.14236/jhi.v21i1.6</w:t>
      </w:r>
    </w:p>
    <w:p w14:paraId="72D7EAB9" w14:textId="77777777" w:rsidR="00342F2E" w:rsidRPr="00342F2E" w:rsidRDefault="00342F2E" w:rsidP="007144CB">
      <w:pPr>
        <w:pStyle w:val="Bibliography"/>
        <w:rPr>
          <w:rFonts w:ascii="Calibri" w:hAnsi="Calibri" w:cs="Calibri"/>
        </w:rPr>
      </w:pPr>
      <w:r w:rsidRPr="00342F2E">
        <w:rPr>
          <w:rFonts w:ascii="Calibri" w:hAnsi="Calibri" w:cs="Calibri"/>
        </w:rPr>
        <w:t xml:space="preserve">27. </w:t>
      </w:r>
      <w:r w:rsidRPr="00342F2E">
        <w:rPr>
          <w:rFonts w:ascii="Calibri" w:hAnsi="Calibri" w:cs="Calibri"/>
        </w:rPr>
        <w:tab/>
        <w:t>NICE strategy 2021 to 2026: Dynamic, Collaborative, Excellent. :35.</w:t>
      </w:r>
    </w:p>
    <w:p w14:paraId="182DE0ED" w14:textId="77777777" w:rsidR="004D2914" w:rsidRDefault="003C59AB" w:rsidP="007144CB">
      <w:pPr>
        <w:spacing w:after="0" w:line="240" w:lineRule="auto"/>
        <w:jc w:val="both"/>
        <w:rPr>
          <w:rFonts w:cstheme="minorHAnsi"/>
          <w:b/>
          <w:bCs/>
          <w:shd w:val="clear" w:color="auto" w:fill="FFFFFF"/>
        </w:rPr>
      </w:pPr>
      <w:r>
        <w:rPr>
          <w:rFonts w:cstheme="minorHAnsi"/>
          <w:b/>
          <w:bCs/>
          <w:shd w:val="clear" w:color="auto" w:fill="FFFFFF"/>
        </w:rPr>
        <w:fldChar w:fldCharType="end"/>
      </w:r>
    </w:p>
    <w:p w14:paraId="21F5C8E2" w14:textId="77777777" w:rsidR="004D2914" w:rsidRDefault="004D2914" w:rsidP="007144CB">
      <w:pPr>
        <w:spacing w:line="240" w:lineRule="auto"/>
        <w:rPr>
          <w:rFonts w:cstheme="minorHAnsi"/>
          <w:b/>
          <w:bCs/>
          <w:shd w:val="clear" w:color="auto" w:fill="FFFFFF"/>
        </w:rPr>
      </w:pPr>
      <w:r>
        <w:rPr>
          <w:rFonts w:cstheme="minorHAnsi"/>
          <w:b/>
          <w:bCs/>
          <w:shd w:val="clear" w:color="auto" w:fill="FFFFFF"/>
        </w:rPr>
        <w:br w:type="page"/>
      </w:r>
    </w:p>
    <w:p w14:paraId="7C01CFD3" w14:textId="331AB09A" w:rsidR="002F796A" w:rsidRDefault="002F796A" w:rsidP="007144CB">
      <w:pPr>
        <w:spacing w:after="0" w:line="240" w:lineRule="auto"/>
        <w:jc w:val="both"/>
        <w:rPr>
          <w:rFonts w:eastAsia="Times New Roman" w:cstheme="minorHAnsi"/>
          <w:b/>
          <w:lang w:eastAsia="en-GB"/>
        </w:rPr>
      </w:pPr>
      <w:r w:rsidRPr="00921CD5">
        <w:rPr>
          <w:rFonts w:eastAsia="Times New Roman" w:cstheme="minorHAnsi"/>
          <w:b/>
          <w:lang w:eastAsia="en-GB"/>
        </w:rPr>
        <w:lastRenderedPageBreak/>
        <w:t>APPENDIX</w:t>
      </w:r>
      <w:r>
        <w:rPr>
          <w:rFonts w:eastAsia="Times New Roman" w:cstheme="minorHAnsi"/>
          <w:b/>
          <w:lang w:eastAsia="en-GB"/>
        </w:rPr>
        <w:t xml:space="preserve"> A</w:t>
      </w:r>
    </w:p>
    <w:p w14:paraId="6C8EC03E" w14:textId="77777777" w:rsidR="002F796A" w:rsidRDefault="002F796A" w:rsidP="007144CB">
      <w:pPr>
        <w:spacing w:after="0" w:line="240" w:lineRule="auto"/>
        <w:jc w:val="both"/>
        <w:rPr>
          <w:rFonts w:eastAsia="Times New Roman" w:cstheme="minorHAnsi"/>
          <w:b/>
          <w:lang w:eastAsia="en-GB"/>
        </w:rPr>
      </w:pPr>
    </w:p>
    <w:p w14:paraId="3B720E9F" w14:textId="77777777" w:rsidR="002F796A" w:rsidRDefault="002F796A" w:rsidP="007144CB">
      <w:pPr>
        <w:spacing w:after="0" w:line="240" w:lineRule="auto"/>
        <w:jc w:val="both"/>
        <w:rPr>
          <w:rFonts w:eastAsia="Times New Roman" w:cstheme="minorHAnsi"/>
          <w:lang w:eastAsia="en-GB"/>
        </w:rPr>
      </w:pPr>
      <w:r>
        <w:rPr>
          <w:rFonts w:eastAsia="Times New Roman" w:cstheme="minorHAnsi"/>
          <w:lang w:eastAsia="en-GB"/>
        </w:rPr>
        <w:t xml:space="preserve">In this Appendix we compare the data in the PCA dataset to those in the RCGP R&amp;SC dataset to demonstrate that the latter constitutes a representative sample of national prescription. One advantage of the PCA database is that prescription data go back to the year 1998. However, the PCA database cannot be used to investigate heterogeneity in prescription choice because data are available only at national level, no at GP practice level. </w:t>
      </w:r>
    </w:p>
    <w:p w14:paraId="21A7CC98" w14:textId="77777777" w:rsidR="002F796A" w:rsidRDefault="002F796A" w:rsidP="007144CB">
      <w:pPr>
        <w:spacing w:after="0" w:line="240" w:lineRule="auto"/>
        <w:jc w:val="both"/>
        <w:rPr>
          <w:rFonts w:cstheme="minorHAnsi"/>
        </w:rPr>
      </w:pPr>
    </w:p>
    <w:p w14:paraId="3D60AD19" w14:textId="382AA055" w:rsidR="002F796A" w:rsidRDefault="002F796A" w:rsidP="007144CB">
      <w:pPr>
        <w:spacing w:after="0" w:line="240" w:lineRule="auto"/>
        <w:jc w:val="both"/>
        <w:rPr>
          <w:rFonts w:cstheme="minorHAnsi"/>
        </w:rPr>
      </w:pPr>
      <w:r>
        <w:rPr>
          <w:rFonts w:cstheme="minorHAnsi"/>
        </w:rPr>
        <w:t>F</w:t>
      </w:r>
      <w:r w:rsidRPr="005042AF">
        <w:rPr>
          <w:rFonts w:cstheme="minorHAnsi"/>
        </w:rPr>
        <w:t>igure</w:t>
      </w:r>
      <w:r>
        <w:rPr>
          <w:rFonts w:cstheme="minorHAnsi"/>
        </w:rPr>
        <w:t xml:space="preserve"> </w:t>
      </w:r>
      <w:r w:rsidR="009703E0">
        <w:rPr>
          <w:rFonts w:cstheme="minorHAnsi"/>
        </w:rPr>
        <w:t>A</w:t>
      </w:r>
      <w:r>
        <w:rPr>
          <w:rFonts w:cstheme="minorHAnsi"/>
        </w:rPr>
        <w:t>1 compares</w:t>
      </w:r>
      <w:r w:rsidRPr="005042AF">
        <w:rPr>
          <w:rFonts w:cstheme="minorHAnsi"/>
        </w:rPr>
        <w:t xml:space="preserve"> the </w:t>
      </w:r>
      <w:r>
        <w:rPr>
          <w:rFonts w:cstheme="minorHAnsi"/>
        </w:rPr>
        <w:t>data over time in our two</w:t>
      </w:r>
      <w:r w:rsidRPr="005042AF">
        <w:rPr>
          <w:rFonts w:cstheme="minorHAnsi"/>
        </w:rPr>
        <w:t xml:space="preserve"> data sources</w:t>
      </w:r>
      <w:r>
        <w:rPr>
          <w:rFonts w:cstheme="minorHAnsi"/>
        </w:rPr>
        <w:t>:</w:t>
      </w:r>
      <w:r w:rsidRPr="005042AF">
        <w:rPr>
          <w:rFonts w:cstheme="minorHAnsi"/>
        </w:rPr>
        <w:t xml:space="preserve"> Panel (a) on the left shows the figures </w:t>
      </w:r>
      <w:r>
        <w:rPr>
          <w:rFonts w:cstheme="minorHAnsi"/>
        </w:rPr>
        <w:t xml:space="preserve">from the </w:t>
      </w:r>
      <w:r w:rsidRPr="005042AF">
        <w:rPr>
          <w:rFonts w:cstheme="minorHAnsi"/>
        </w:rPr>
        <w:t>PCA data</w:t>
      </w:r>
      <w:r>
        <w:rPr>
          <w:rFonts w:cstheme="minorHAnsi"/>
        </w:rPr>
        <w:t>set</w:t>
      </w:r>
      <w:r w:rsidRPr="005042AF">
        <w:rPr>
          <w:rFonts w:cstheme="minorHAnsi"/>
        </w:rPr>
        <w:t xml:space="preserve"> between 1998-2018. Panel (b) on the right shows the figures from RCGP R&amp;SC </w:t>
      </w:r>
      <w:r>
        <w:rPr>
          <w:rFonts w:cstheme="minorHAnsi"/>
        </w:rPr>
        <w:t xml:space="preserve">database </w:t>
      </w:r>
      <w:r w:rsidRPr="005042AF">
        <w:rPr>
          <w:rFonts w:cstheme="minorHAnsi"/>
        </w:rPr>
        <w:t>from 2004-2018. Top panels</w:t>
      </w:r>
      <w:r>
        <w:rPr>
          <w:rFonts w:cstheme="minorHAnsi"/>
        </w:rPr>
        <w:t xml:space="preserve"> display</w:t>
      </w:r>
      <w:r w:rsidRPr="005042AF">
        <w:rPr>
          <w:rFonts w:cstheme="minorHAnsi"/>
        </w:rPr>
        <w:t xml:space="preserve"> </w:t>
      </w:r>
      <w:r>
        <w:rPr>
          <w:rFonts w:cstheme="minorHAnsi"/>
        </w:rPr>
        <w:t xml:space="preserve">the </w:t>
      </w:r>
      <w:r w:rsidRPr="005042AF">
        <w:rPr>
          <w:rFonts w:cstheme="minorHAnsi"/>
        </w:rPr>
        <w:t xml:space="preserve">total </w:t>
      </w:r>
      <w:r>
        <w:rPr>
          <w:rFonts w:cstheme="minorHAnsi"/>
        </w:rPr>
        <w:t xml:space="preserve">quantity </w:t>
      </w:r>
      <w:r w:rsidRPr="005042AF">
        <w:rPr>
          <w:rFonts w:cstheme="minorHAnsi"/>
        </w:rPr>
        <w:t>in terms of daily-defined-doses (DDDs)</w:t>
      </w:r>
      <w:r>
        <w:rPr>
          <w:rFonts w:cstheme="minorHAnsi"/>
        </w:rPr>
        <w:t xml:space="preserve"> while the</w:t>
      </w:r>
      <w:r w:rsidRPr="005042AF">
        <w:rPr>
          <w:rFonts w:cstheme="minorHAnsi"/>
        </w:rPr>
        <w:t xml:space="preserve"> bottom panels</w:t>
      </w:r>
      <w:r>
        <w:rPr>
          <w:rFonts w:cstheme="minorHAnsi"/>
        </w:rPr>
        <w:t xml:space="preserve"> display the shares of each of the five statins in the market</w:t>
      </w:r>
      <w:r w:rsidRPr="005042AF">
        <w:rPr>
          <w:rFonts w:cstheme="minorHAnsi"/>
        </w:rPr>
        <w:t>.</w:t>
      </w:r>
      <w:r>
        <w:rPr>
          <w:rFonts w:cstheme="minorHAnsi"/>
        </w:rPr>
        <w:t xml:space="preserve"> The similarity in the trends reported in panel (a) and (b) confirms that the </w:t>
      </w:r>
      <w:r w:rsidRPr="005042AF">
        <w:rPr>
          <w:rFonts w:cstheme="minorHAnsi"/>
        </w:rPr>
        <w:t xml:space="preserve">RCGP R&amp;SC </w:t>
      </w:r>
      <w:r>
        <w:rPr>
          <w:rFonts w:cstheme="minorHAnsi"/>
        </w:rPr>
        <w:t xml:space="preserve">database is a </w:t>
      </w:r>
      <w:r w:rsidRPr="005042AF">
        <w:rPr>
          <w:rFonts w:cstheme="minorHAnsi"/>
        </w:rPr>
        <w:t>representative sample of</w:t>
      </w:r>
      <w:r>
        <w:rPr>
          <w:rFonts w:cstheme="minorHAnsi"/>
        </w:rPr>
        <w:t xml:space="preserve"> </w:t>
      </w:r>
      <w:r w:rsidRPr="005042AF">
        <w:rPr>
          <w:rFonts w:cstheme="minorHAnsi"/>
        </w:rPr>
        <w:t xml:space="preserve">national </w:t>
      </w:r>
      <w:r>
        <w:rPr>
          <w:rFonts w:cstheme="minorHAnsi"/>
        </w:rPr>
        <w:t>data of statins prescription.</w:t>
      </w:r>
    </w:p>
    <w:p w14:paraId="40DD75AB" w14:textId="77777777" w:rsidR="002F796A" w:rsidRPr="00CB0D2E" w:rsidRDefault="002F796A" w:rsidP="007144CB">
      <w:pPr>
        <w:spacing w:after="0" w:line="240" w:lineRule="auto"/>
        <w:jc w:val="both"/>
        <w:rPr>
          <w:rFonts w:cstheme="minorHAnsi"/>
        </w:rPr>
      </w:pPr>
    </w:p>
    <w:p w14:paraId="0AF7F5F2" w14:textId="77777777" w:rsidR="002F796A" w:rsidRDefault="002F796A" w:rsidP="007144CB">
      <w:pPr>
        <w:spacing w:after="0" w:line="240" w:lineRule="auto"/>
        <w:jc w:val="both"/>
        <w:rPr>
          <w:rFonts w:eastAsia="Times New Roman" w:cstheme="minorHAnsi"/>
          <w:b/>
          <w:lang w:eastAsia="en-GB"/>
        </w:rPr>
      </w:pPr>
    </w:p>
    <w:p w14:paraId="65A2E9B4" w14:textId="7E189210" w:rsidR="002F796A" w:rsidRDefault="002F796A" w:rsidP="007144CB">
      <w:pPr>
        <w:spacing w:after="0" w:line="240" w:lineRule="auto"/>
        <w:jc w:val="center"/>
        <w:rPr>
          <w:rFonts w:eastAsia="Times New Roman" w:cstheme="minorHAnsi"/>
          <w:bCs/>
          <w:lang w:eastAsia="en-GB"/>
        </w:rPr>
      </w:pPr>
      <w:r>
        <w:rPr>
          <w:rFonts w:eastAsia="Times New Roman" w:cstheme="minorHAnsi"/>
          <w:b/>
          <w:lang w:eastAsia="en-GB"/>
        </w:rPr>
        <w:t xml:space="preserve">Figure </w:t>
      </w:r>
      <w:r w:rsidR="00462748">
        <w:rPr>
          <w:rFonts w:eastAsia="Times New Roman" w:cstheme="minorHAnsi"/>
          <w:b/>
          <w:lang w:eastAsia="en-GB"/>
        </w:rPr>
        <w:t>A</w:t>
      </w:r>
      <w:r>
        <w:rPr>
          <w:rFonts w:eastAsia="Times New Roman" w:cstheme="minorHAnsi"/>
          <w:b/>
          <w:lang w:eastAsia="en-GB"/>
        </w:rPr>
        <w:t xml:space="preserve">1: </w:t>
      </w:r>
      <w:r>
        <w:rPr>
          <w:rFonts w:eastAsia="Times New Roman" w:cstheme="minorHAnsi"/>
          <w:bCs/>
          <w:lang w:eastAsia="en-GB"/>
        </w:rPr>
        <w:t>Volume of statin’s prescribed in main data sources</w:t>
      </w:r>
    </w:p>
    <w:p w14:paraId="35EC7F59" w14:textId="77777777" w:rsidR="002F796A" w:rsidRPr="00523AA7" w:rsidRDefault="002F796A" w:rsidP="007144CB">
      <w:pPr>
        <w:spacing w:after="0" w:line="240" w:lineRule="auto"/>
        <w:jc w:val="center"/>
        <w:rPr>
          <w:rFonts w:eastAsia="Times New Roman" w:cstheme="minorHAnsi"/>
          <w:bCs/>
          <w:lang w:eastAsia="en-GB"/>
        </w:rPr>
      </w:pPr>
      <w:r>
        <w:rPr>
          <w:rFonts w:eastAsia="Times New Roman" w:cstheme="minorHAnsi"/>
          <w:bCs/>
          <w:lang w:eastAsia="en-GB"/>
        </w:rPr>
        <w:br/>
        <w:t>(a) Prescription Cost Analysis data</w:t>
      </w:r>
      <w:r>
        <w:rPr>
          <w:rFonts w:eastAsia="Times New Roman" w:cstheme="minorHAnsi"/>
          <w:bCs/>
          <w:lang w:eastAsia="en-GB"/>
        </w:rPr>
        <w:tab/>
      </w:r>
      <w:r>
        <w:rPr>
          <w:rFonts w:eastAsia="Times New Roman" w:cstheme="minorHAnsi"/>
          <w:bCs/>
          <w:lang w:eastAsia="en-GB"/>
        </w:rPr>
        <w:tab/>
      </w:r>
      <w:r>
        <w:rPr>
          <w:rFonts w:eastAsia="Times New Roman" w:cstheme="minorHAnsi"/>
          <w:bCs/>
          <w:lang w:eastAsia="en-GB"/>
        </w:rPr>
        <w:tab/>
        <w:t>(b) RCGP R&amp;SC data</w:t>
      </w:r>
    </w:p>
    <w:p w14:paraId="4CDE54D2" w14:textId="77777777" w:rsidR="002F796A" w:rsidRDefault="002F796A" w:rsidP="007144CB">
      <w:pPr>
        <w:spacing w:after="0" w:line="240" w:lineRule="auto"/>
        <w:jc w:val="both"/>
        <w:rPr>
          <w:rFonts w:eastAsia="Times New Roman" w:cstheme="minorHAnsi"/>
          <w:b/>
          <w:lang w:eastAsia="en-GB"/>
        </w:rPr>
      </w:pPr>
      <w:r>
        <w:rPr>
          <w:rFonts w:eastAsia="Times New Roman" w:cstheme="minorHAnsi"/>
          <w:b/>
          <w:noProof/>
          <w:lang w:eastAsia="en-GB"/>
        </w:rPr>
        <w:drawing>
          <wp:inline distT="0" distB="0" distL="0" distR="0" wp14:anchorId="37AC7004" wp14:editId="6D521FEB">
            <wp:extent cx="5943600" cy="4324985"/>
            <wp:effectExtent l="0" t="0" r="0" b="0"/>
            <wp:docPr id="1" name="Picture 1" descr="Chart, lin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 histogram&#10;&#10;Description automatically generated"/>
                    <pic:cNvPicPr/>
                  </pic:nvPicPr>
                  <pic:blipFill>
                    <a:blip r:embed="rId18"/>
                    <a:stretch>
                      <a:fillRect/>
                    </a:stretch>
                  </pic:blipFill>
                  <pic:spPr>
                    <a:xfrm>
                      <a:off x="0" y="0"/>
                      <a:ext cx="5943600" cy="4324985"/>
                    </a:xfrm>
                    <a:prstGeom prst="rect">
                      <a:avLst/>
                    </a:prstGeom>
                  </pic:spPr>
                </pic:pic>
              </a:graphicData>
            </a:graphic>
          </wp:inline>
        </w:drawing>
      </w:r>
    </w:p>
    <w:p w14:paraId="3F291736" w14:textId="77777777" w:rsidR="002F796A" w:rsidRDefault="002F796A" w:rsidP="007144CB">
      <w:pPr>
        <w:spacing w:after="0" w:line="240" w:lineRule="auto"/>
        <w:jc w:val="both"/>
        <w:rPr>
          <w:rFonts w:eastAsia="Times New Roman" w:cstheme="minorHAnsi"/>
          <w:b/>
          <w:lang w:eastAsia="en-GB"/>
        </w:rPr>
      </w:pPr>
    </w:p>
    <w:p w14:paraId="18878BE4" w14:textId="77777777" w:rsidR="002F796A" w:rsidRDefault="002F796A" w:rsidP="007144CB">
      <w:pPr>
        <w:spacing w:after="0" w:line="240" w:lineRule="auto"/>
        <w:jc w:val="both"/>
        <w:rPr>
          <w:rFonts w:eastAsia="Times New Roman" w:cstheme="minorHAnsi"/>
          <w:b/>
          <w:lang w:eastAsia="en-GB"/>
        </w:rPr>
      </w:pPr>
    </w:p>
    <w:p w14:paraId="61510F0B" w14:textId="77777777" w:rsidR="002F796A" w:rsidRDefault="002F796A" w:rsidP="007144CB">
      <w:pPr>
        <w:spacing w:after="0" w:line="240" w:lineRule="auto"/>
        <w:jc w:val="both"/>
        <w:rPr>
          <w:rFonts w:eastAsia="Times New Roman" w:cstheme="minorHAnsi"/>
          <w:b/>
          <w:lang w:eastAsia="en-GB"/>
        </w:rPr>
      </w:pPr>
    </w:p>
    <w:p w14:paraId="4732601E" w14:textId="551C30FB" w:rsidR="008E0C52" w:rsidRDefault="008E0C52" w:rsidP="007144CB">
      <w:pPr>
        <w:spacing w:after="0" w:line="240" w:lineRule="auto"/>
        <w:jc w:val="both"/>
        <w:rPr>
          <w:rFonts w:eastAsia="Times New Roman" w:cstheme="minorHAnsi"/>
          <w:b/>
          <w:lang w:eastAsia="en-GB"/>
        </w:rPr>
      </w:pPr>
      <w:r>
        <w:rPr>
          <w:rFonts w:eastAsia="Times New Roman" w:cstheme="minorHAnsi"/>
          <w:b/>
          <w:lang w:eastAsia="en-GB"/>
        </w:rPr>
        <w:lastRenderedPageBreak/>
        <w:t xml:space="preserve">APPENDIX </w:t>
      </w:r>
      <w:r w:rsidR="002F796A">
        <w:rPr>
          <w:rFonts w:eastAsia="Times New Roman" w:cstheme="minorHAnsi"/>
          <w:b/>
          <w:lang w:eastAsia="en-GB"/>
        </w:rPr>
        <w:t>B</w:t>
      </w:r>
    </w:p>
    <w:p w14:paraId="25F8C304" w14:textId="77777777" w:rsidR="008E0C52" w:rsidRDefault="008E0C52" w:rsidP="007144CB">
      <w:pPr>
        <w:spacing w:after="0" w:line="240" w:lineRule="auto"/>
        <w:jc w:val="both"/>
        <w:rPr>
          <w:rFonts w:eastAsia="Times New Roman" w:cstheme="minorHAnsi"/>
          <w:b/>
          <w:lang w:eastAsia="en-GB"/>
        </w:rPr>
      </w:pPr>
    </w:p>
    <w:p w14:paraId="79FFF650" w14:textId="027B171D" w:rsidR="00D64790" w:rsidRDefault="00D64790" w:rsidP="007144CB">
      <w:pPr>
        <w:spacing w:after="0" w:line="240" w:lineRule="auto"/>
        <w:jc w:val="both"/>
        <w:rPr>
          <w:rFonts w:eastAsia="Times New Roman" w:cstheme="minorHAnsi"/>
          <w:b/>
          <w:lang w:eastAsia="en-GB"/>
        </w:rPr>
      </w:pPr>
      <w:r>
        <w:rPr>
          <w:rFonts w:eastAsia="Times New Roman" w:cstheme="minorHAnsi"/>
          <w:b/>
          <w:lang w:eastAsia="en-GB"/>
        </w:rPr>
        <w:t>Spending Savings Simulation Exercise Methodology</w:t>
      </w:r>
    </w:p>
    <w:p w14:paraId="4A2B7A5B" w14:textId="6ACA93F9" w:rsidR="00520741" w:rsidRPr="00921CD5" w:rsidRDefault="00520741"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This appendix describes the methodology used for the spending</w:t>
      </w:r>
      <w:r w:rsidR="006851D1" w:rsidRPr="00921CD5">
        <w:rPr>
          <w:rFonts w:eastAsia="Times New Roman" w:cstheme="minorHAnsi"/>
          <w:lang w:eastAsia="en-GB"/>
        </w:rPr>
        <w:t xml:space="preserve"> savings</w:t>
      </w:r>
      <w:r w:rsidRPr="00921CD5">
        <w:rPr>
          <w:rFonts w:eastAsia="Times New Roman" w:cstheme="minorHAnsi"/>
          <w:lang w:eastAsia="en-GB"/>
        </w:rPr>
        <w:t xml:space="preserve"> simulation exercise, by which we estimate the potential savings for the NHS that could have been </w:t>
      </w:r>
      <w:r w:rsidR="000271EC">
        <w:rPr>
          <w:rFonts w:eastAsia="Times New Roman" w:cstheme="minorHAnsi"/>
          <w:lang w:eastAsia="en-GB"/>
        </w:rPr>
        <w:t>achieved if GPs had prescribed s</w:t>
      </w:r>
      <w:r w:rsidRPr="00921CD5">
        <w:rPr>
          <w:rFonts w:eastAsia="Times New Roman" w:cstheme="minorHAnsi"/>
          <w:lang w:eastAsia="en-GB"/>
        </w:rPr>
        <w:t>imva</w:t>
      </w:r>
      <w:r w:rsidR="002B7F89" w:rsidRPr="00921CD5">
        <w:rPr>
          <w:rFonts w:eastAsia="Times New Roman" w:cstheme="minorHAnsi"/>
          <w:lang w:eastAsia="en-GB"/>
        </w:rPr>
        <w:t>statin</w:t>
      </w:r>
      <w:r w:rsidR="000271EC">
        <w:rPr>
          <w:rFonts w:eastAsia="Times New Roman" w:cstheme="minorHAnsi"/>
          <w:lang w:eastAsia="en-GB"/>
        </w:rPr>
        <w:t xml:space="preserve"> or a</w:t>
      </w:r>
      <w:r w:rsidRPr="00921CD5">
        <w:rPr>
          <w:rFonts w:eastAsia="Times New Roman" w:cstheme="minorHAnsi"/>
          <w:lang w:eastAsia="en-GB"/>
        </w:rPr>
        <w:t>torva</w:t>
      </w:r>
      <w:r w:rsidR="002B7F89" w:rsidRPr="00921CD5">
        <w:rPr>
          <w:rFonts w:eastAsia="Times New Roman" w:cstheme="minorHAnsi"/>
          <w:lang w:eastAsia="en-GB"/>
        </w:rPr>
        <w:t>statin</w:t>
      </w:r>
      <w:r w:rsidRPr="00921CD5">
        <w:rPr>
          <w:rFonts w:eastAsia="Times New Roman" w:cstheme="minorHAnsi"/>
          <w:lang w:eastAsia="en-GB"/>
        </w:rPr>
        <w:t xml:space="preserve"> as active ingredients, whenever these two </w:t>
      </w:r>
      <w:r w:rsidR="009B739C">
        <w:rPr>
          <w:rFonts w:eastAsia="Times New Roman" w:cstheme="minorHAnsi"/>
          <w:lang w:eastAsia="en-GB"/>
        </w:rPr>
        <w:t>medicines</w:t>
      </w:r>
      <w:r w:rsidRPr="00921CD5">
        <w:rPr>
          <w:rFonts w:eastAsia="Times New Roman" w:cstheme="minorHAnsi"/>
          <w:lang w:eastAsia="en-GB"/>
        </w:rPr>
        <w:t xml:space="preserve"> were the prescribing standard in this market according</w:t>
      </w:r>
      <w:r w:rsidR="00B76C00" w:rsidRPr="00921CD5">
        <w:rPr>
          <w:rFonts w:eastAsia="Times New Roman" w:cstheme="minorHAnsi"/>
          <w:lang w:eastAsia="en-GB"/>
        </w:rPr>
        <w:t xml:space="preserve"> to the</w:t>
      </w:r>
      <w:r w:rsidRPr="00921CD5">
        <w:rPr>
          <w:rFonts w:eastAsia="Times New Roman" w:cstheme="minorHAnsi"/>
          <w:lang w:eastAsia="en-GB"/>
        </w:rPr>
        <w:t xml:space="preserve"> </w:t>
      </w:r>
      <w:r w:rsidR="00B76C00" w:rsidRPr="00921CD5">
        <w:rPr>
          <w:rFonts w:eastAsia="Times New Roman" w:cstheme="minorHAnsi"/>
          <w:lang w:eastAsia="en-GB"/>
        </w:rPr>
        <w:t>observed preferences of GPs and the recommendations in</w:t>
      </w:r>
      <w:r w:rsidRPr="00921CD5">
        <w:rPr>
          <w:rFonts w:eastAsia="Times New Roman" w:cstheme="minorHAnsi"/>
          <w:lang w:eastAsia="en-GB"/>
        </w:rPr>
        <w:t xml:space="preserve"> national guidance. We start by describing the computations of actual and hypothetical cost for the </w:t>
      </w:r>
      <w:r w:rsidRPr="00921CD5">
        <w:rPr>
          <w:rFonts w:eastAsia="Times New Roman" w:cstheme="minorHAnsi"/>
          <w:bCs/>
          <w:i/>
          <w:iCs/>
          <w:lang w:eastAsia="en-GB"/>
        </w:rPr>
        <w:t>first scenario</w:t>
      </w:r>
      <w:r w:rsidRPr="00921CD5">
        <w:rPr>
          <w:rFonts w:eastAsia="Times New Roman" w:cstheme="minorHAnsi"/>
          <w:lang w:eastAsia="en-GB"/>
        </w:rPr>
        <w:t xml:space="preserve">, in which the analysis </w:t>
      </w:r>
      <w:r w:rsidR="00B84953" w:rsidRPr="00921CD5">
        <w:rPr>
          <w:rFonts w:eastAsia="Times New Roman" w:cstheme="minorHAnsi"/>
          <w:lang w:eastAsia="en-GB"/>
        </w:rPr>
        <w:t xml:space="preserve">refers to </w:t>
      </w:r>
      <w:r w:rsidRPr="00921CD5">
        <w:rPr>
          <w:rFonts w:eastAsia="Times New Roman" w:cstheme="minorHAnsi"/>
          <w:lang w:eastAsia="en-GB"/>
        </w:rPr>
        <w:t xml:space="preserve">the first prescription episode, </w:t>
      </w:r>
      <w:r w:rsidR="00532D94" w:rsidRPr="00921CD5">
        <w:rPr>
          <w:rFonts w:eastAsia="Times New Roman" w:cstheme="minorHAnsi"/>
          <w:lang w:eastAsia="en-GB"/>
        </w:rPr>
        <w:t>i.e.,</w:t>
      </w:r>
      <w:r w:rsidRPr="00921CD5">
        <w:rPr>
          <w:rFonts w:eastAsia="Times New Roman" w:cstheme="minorHAnsi"/>
          <w:lang w:eastAsia="en-GB"/>
        </w:rPr>
        <w:t xml:space="preserve"> the first 28 days of drug treatment, for </w:t>
      </w:r>
      <w:r w:rsidRPr="00921CD5">
        <w:rPr>
          <w:rFonts w:eastAsia="Times New Roman" w:cstheme="minorHAnsi"/>
          <w:i/>
          <w:iCs/>
          <w:lang w:eastAsia="en-GB"/>
        </w:rPr>
        <w:t>new</w:t>
      </w:r>
      <w:r w:rsidRPr="00921CD5">
        <w:rPr>
          <w:rFonts w:eastAsia="Times New Roman" w:cstheme="minorHAnsi"/>
          <w:lang w:eastAsia="en-GB"/>
        </w:rPr>
        <w:t xml:space="preserve"> patients</w:t>
      </w:r>
      <w:r w:rsidR="00B76C00" w:rsidRPr="00921CD5">
        <w:rPr>
          <w:rFonts w:eastAsia="Times New Roman" w:cstheme="minorHAnsi"/>
          <w:lang w:eastAsia="en-GB"/>
        </w:rPr>
        <w:t xml:space="preserve"> only</w:t>
      </w:r>
      <w:r w:rsidRPr="00921CD5">
        <w:rPr>
          <w:rFonts w:eastAsia="Times New Roman" w:cstheme="minorHAnsi"/>
          <w:lang w:eastAsia="en-GB"/>
        </w:rPr>
        <w:t xml:space="preserve">; </w:t>
      </w:r>
      <w:r w:rsidR="00F713C4" w:rsidRPr="00921CD5">
        <w:rPr>
          <w:rFonts w:eastAsia="Times New Roman" w:cstheme="minorHAnsi"/>
          <w:lang w:eastAsia="en-GB"/>
        </w:rPr>
        <w:t xml:space="preserve">and </w:t>
      </w:r>
      <w:r w:rsidRPr="00921CD5">
        <w:rPr>
          <w:rFonts w:eastAsia="Times New Roman" w:cstheme="minorHAnsi"/>
          <w:lang w:eastAsia="en-GB"/>
        </w:rPr>
        <w:t xml:space="preserve">then the </w:t>
      </w:r>
      <w:r w:rsidRPr="00921CD5">
        <w:rPr>
          <w:rFonts w:eastAsia="Times New Roman" w:cstheme="minorHAnsi"/>
          <w:bCs/>
          <w:i/>
          <w:iCs/>
          <w:lang w:eastAsia="en-GB"/>
        </w:rPr>
        <w:t>second scenario</w:t>
      </w:r>
      <w:r w:rsidRPr="00921CD5">
        <w:rPr>
          <w:rFonts w:eastAsia="Times New Roman" w:cstheme="minorHAnsi"/>
          <w:lang w:eastAsia="en-GB"/>
        </w:rPr>
        <w:t xml:space="preserve">, in which we apply the same </w:t>
      </w:r>
      <w:r w:rsidR="00B84953" w:rsidRPr="00921CD5">
        <w:rPr>
          <w:rFonts w:eastAsia="Times New Roman" w:cstheme="minorHAnsi"/>
          <w:lang w:eastAsia="en-GB"/>
        </w:rPr>
        <w:t xml:space="preserve">methodology to </w:t>
      </w:r>
      <w:r w:rsidRPr="00921CD5">
        <w:rPr>
          <w:rFonts w:eastAsia="Times New Roman" w:cstheme="minorHAnsi"/>
          <w:lang w:eastAsia="en-GB"/>
        </w:rPr>
        <w:t>all prescriptions</w:t>
      </w:r>
      <w:r w:rsidR="00B76C00" w:rsidRPr="00921CD5">
        <w:rPr>
          <w:rFonts w:eastAsia="Times New Roman" w:cstheme="minorHAnsi"/>
          <w:lang w:eastAsia="en-GB"/>
        </w:rPr>
        <w:t xml:space="preserve"> issued to</w:t>
      </w:r>
      <w:r w:rsidRPr="00921CD5">
        <w:rPr>
          <w:rFonts w:eastAsia="Times New Roman" w:cstheme="minorHAnsi"/>
          <w:lang w:eastAsia="en-GB"/>
        </w:rPr>
        <w:t xml:space="preserve"> </w:t>
      </w:r>
      <w:r w:rsidR="00E817CE" w:rsidRPr="00921CD5">
        <w:rPr>
          <w:rFonts w:eastAsia="Times New Roman" w:cstheme="minorHAnsi"/>
          <w:i/>
          <w:iCs/>
          <w:lang w:eastAsia="en-GB"/>
        </w:rPr>
        <w:t>all</w:t>
      </w:r>
      <w:r w:rsidR="00E817CE" w:rsidRPr="00921CD5">
        <w:rPr>
          <w:rFonts w:eastAsia="Times New Roman" w:cstheme="minorHAnsi"/>
          <w:lang w:eastAsia="en-GB"/>
        </w:rPr>
        <w:t xml:space="preserve"> existing</w:t>
      </w:r>
      <w:r w:rsidRPr="00921CD5">
        <w:rPr>
          <w:rFonts w:eastAsia="Times New Roman" w:cstheme="minorHAnsi"/>
          <w:lang w:eastAsia="en-GB"/>
        </w:rPr>
        <w:t xml:space="preserve"> patients</w:t>
      </w:r>
      <w:r w:rsidR="00E817CE" w:rsidRPr="00921CD5">
        <w:rPr>
          <w:rFonts w:eastAsia="Times New Roman" w:cstheme="minorHAnsi"/>
          <w:lang w:eastAsia="en-GB"/>
        </w:rPr>
        <w:t xml:space="preserve"> being treated in every period</w:t>
      </w:r>
      <w:r w:rsidRPr="00921CD5">
        <w:rPr>
          <w:rFonts w:eastAsia="Times New Roman" w:cstheme="minorHAnsi"/>
          <w:lang w:eastAsia="en-GB"/>
        </w:rPr>
        <w:t xml:space="preserve">. </w:t>
      </w:r>
    </w:p>
    <w:p w14:paraId="0101E42E" w14:textId="77777777" w:rsidR="00520741" w:rsidRPr="00921CD5" w:rsidRDefault="00520741" w:rsidP="007144CB">
      <w:pPr>
        <w:spacing w:after="0" w:line="240" w:lineRule="auto"/>
        <w:jc w:val="both"/>
        <w:outlineLvl w:val="4"/>
        <w:rPr>
          <w:rFonts w:eastAsia="Times New Roman" w:cstheme="minorHAnsi"/>
          <w:lang w:eastAsia="en-GB"/>
        </w:rPr>
      </w:pPr>
    </w:p>
    <w:p w14:paraId="6ABC740F" w14:textId="385EE8D5" w:rsidR="00921CD5" w:rsidRDefault="00520741" w:rsidP="007144CB">
      <w:pPr>
        <w:spacing w:after="0" w:line="240" w:lineRule="auto"/>
        <w:jc w:val="both"/>
        <w:outlineLvl w:val="4"/>
        <w:rPr>
          <w:rFonts w:eastAsia="Times New Roman" w:cstheme="minorHAnsi"/>
          <w:b/>
          <w:bCs/>
          <w:lang w:eastAsia="en-GB"/>
        </w:rPr>
      </w:pPr>
      <w:r w:rsidRPr="00921CD5">
        <w:rPr>
          <w:rFonts w:eastAsia="Times New Roman" w:cstheme="minorHAnsi"/>
          <w:b/>
          <w:bCs/>
          <w:lang w:eastAsia="en-GB"/>
        </w:rPr>
        <w:t>First scenario</w:t>
      </w:r>
    </w:p>
    <w:p w14:paraId="3D14FB24" w14:textId="3A0FD0AE" w:rsidR="00520741" w:rsidRPr="00921CD5" w:rsidRDefault="00520741"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 xml:space="preserve">To compute actual and hypothetical cost we </w:t>
      </w:r>
      <w:r w:rsidR="00B76C00" w:rsidRPr="00921CD5">
        <w:rPr>
          <w:rFonts w:eastAsia="Times New Roman" w:cstheme="minorHAnsi"/>
          <w:lang w:eastAsia="en-GB"/>
        </w:rPr>
        <w:t xml:space="preserve">use </w:t>
      </w:r>
      <w:r w:rsidRPr="00921CD5">
        <w:rPr>
          <w:rFonts w:eastAsia="Times New Roman" w:cstheme="minorHAnsi"/>
          <w:lang w:eastAsia="en-GB"/>
        </w:rPr>
        <w:t xml:space="preserve">information on </w:t>
      </w:r>
      <w:r w:rsidR="00B76C00" w:rsidRPr="00921CD5">
        <w:rPr>
          <w:rFonts w:eastAsia="Times New Roman" w:cstheme="minorHAnsi"/>
          <w:lang w:eastAsia="en-GB"/>
        </w:rPr>
        <w:t xml:space="preserve">the </w:t>
      </w:r>
      <w:r w:rsidRPr="00921CD5">
        <w:rPr>
          <w:rFonts w:eastAsia="Times New Roman" w:cstheme="minorHAnsi"/>
          <w:lang w:eastAsia="en-GB"/>
        </w:rPr>
        <w:t>number of new patients treated, their initial drug treatment (</w:t>
      </w:r>
      <w:r w:rsidR="00532D94" w:rsidRPr="00921CD5">
        <w:rPr>
          <w:rFonts w:eastAsia="Times New Roman" w:cstheme="minorHAnsi"/>
          <w:lang w:eastAsia="en-GB"/>
        </w:rPr>
        <w:t>i.e.,</w:t>
      </w:r>
      <w:r w:rsidR="00CF5E33" w:rsidRPr="00921CD5">
        <w:rPr>
          <w:rFonts w:eastAsia="Times New Roman" w:cstheme="minorHAnsi"/>
          <w:lang w:eastAsia="en-GB"/>
        </w:rPr>
        <w:t xml:space="preserve"> a specific </w:t>
      </w:r>
      <w:r w:rsidR="002B7F89" w:rsidRPr="00921CD5">
        <w:rPr>
          <w:rFonts w:eastAsia="Times New Roman" w:cstheme="minorHAnsi"/>
          <w:lang w:eastAsia="en-GB"/>
        </w:rPr>
        <w:t>statin</w:t>
      </w:r>
      <w:r w:rsidRPr="00921CD5">
        <w:rPr>
          <w:rFonts w:eastAsia="Times New Roman" w:cstheme="minorHAnsi"/>
          <w:lang w:eastAsia="en-GB"/>
        </w:rPr>
        <w:t xml:space="preserve"> and strength), and a measure of </w:t>
      </w:r>
      <w:r w:rsidR="008904DA" w:rsidRPr="00921CD5">
        <w:rPr>
          <w:rFonts w:eastAsia="Times New Roman" w:cstheme="minorHAnsi"/>
          <w:lang w:eastAsia="en-GB"/>
        </w:rPr>
        <w:t xml:space="preserve">each treatment’s </w:t>
      </w:r>
      <w:r w:rsidRPr="00921CD5">
        <w:rPr>
          <w:rFonts w:eastAsia="Times New Roman" w:cstheme="minorHAnsi"/>
          <w:lang w:eastAsia="en-GB"/>
        </w:rPr>
        <w:t xml:space="preserve">acquisition cost to the NHS per day of treatment. From the RCGP R&amp;SC database, we </w:t>
      </w:r>
      <w:r w:rsidR="00CF5E33" w:rsidRPr="00921CD5">
        <w:rPr>
          <w:rFonts w:eastAsia="Times New Roman" w:cstheme="minorHAnsi"/>
          <w:lang w:eastAsia="en-GB"/>
        </w:rPr>
        <w:t xml:space="preserve">count the number of new </w:t>
      </w:r>
      <w:r w:rsidRPr="00921CD5">
        <w:rPr>
          <w:rFonts w:eastAsia="Times New Roman" w:cstheme="minorHAnsi"/>
          <w:lang w:eastAsia="en-GB"/>
        </w:rPr>
        <w:t xml:space="preserve">patients being prescribed </w:t>
      </w:r>
      <w:r w:rsidR="002B7F89" w:rsidRPr="00921CD5">
        <w:rPr>
          <w:rFonts w:eastAsia="Times New Roman" w:cstheme="minorHAnsi"/>
          <w:lang w:eastAsia="en-GB"/>
        </w:rPr>
        <w:t>statin</w:t>
      </w:r>
      <w:r w:rsidR="00CF5E33" w:rsidRPr="00921CD5">
        <w:rPr>
          <w:rFonts w:eastAsia="Times New Roman" w:cstheme="minorHAnsi"/>
          <w:lang w:eastAsia="en-GB"/>
        </w:rPr>
        <w:t xml:space="preserve"> treatment </w:t>
      </w:r>
      <w:r w:rsidR="00CF5E33" w:rsidRPr="00921CD5">
        <w:rPr>
          <w:rFonts w:eastAsia="Times New Roman" w:cstheme="minorHAnsi"/>
          <w:i/>
          <w:lang w:eastAsia="en-GB"/>
        </w:rPr>
        <w:t>s</w:t>
      </w:r>
      <w:r w:rsidR="00CF5E33" w:rsidRPr="00921CD5">
        <w:rPr>
          <w:rFonts w:eastAsia="Times New Roman" w:cstheme="minorHAnsi"/>
          <w:lang w:eastAsia="en-GB"/>
        </w:rPr>
        <w:t xml:space="preserve"> in period </w:t>
      </w:r>
      <w:r w:rsidR="00CF5E33" w:rsidRPr="00921CD5">
        <w:rPr>
          <w:rFonts w:eastAsia="Times New Roman" w:cstheme="minorHAnsi"/>
          <w:i/>
          <w:lang w:eastAsia="en-GB"/>
        </w:rPr>
        <w:t>t</w:t>
      </w:r>
      <w:r w:rsidR="00CF5E33" w:rsidRPr="00921CD5">
        <w:rPr>
          <w:rFonts w:eastAsia="Times New Roman" w:cstheme="minorHAnsi"/>
          <w:lang w:eastAsia="en-GB"/>
        </w:rPr>
        <w:t xml:space="preserve"> for the first time, denoted by</w:t>
      </w:r>
      <w:r w:rsidRPr="00921CD5">
        <w:rPr>
          <w:rFonts w:eastAsia="Times New Roman" w:cstheme="minorHAnsi"/>
          <w:lang w:eastAsia="en-GB"/>
        </w:rPr>
        <w:t xml:space="preserv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n</m:t>
            </m:r>
          </m:e>
          <m:sub>
            <m:r>
              <w:rPr>
                <w:rFonts w:ascii="Cambria Math" w:eastAsia="Times New Roman" w:hAnsi="Cambria Math" w:cstheme="minorHAnsi"/>
                <w:lang w:eastAsia="en-GB"/>
              </w:rPr>
              <m:t>st</m:t>
            </m:r>
          </m:sub>
        </m:sSub>
      </m:oMath>
      <w:r w:rsidRPr="00921CD5">
        <w:rPr>
          <w:rFonts w:eastAsia="Times New Roman" w:cstheme="minorHAnsi"/>
          <w:lang w:eastAsia="en-GB"/>
        </w:rPr>
        <w:t xml:space="preserve">. </w:t>
      </w:r>
    </w:p>
    <w:p w14:paraId="5E986756" w14:textId="77777777" w:rsidR="00CF5E33" w:rsidRPr="00921CD5" w:rsidRDefault="00CF5E33" w:rsidP="007144CB">
      <w:pPr>
        <w:spacing w:after="0" w:line="240" w:lineRule="auto"/>
        <w:jc w:val="both"/>
        <w:outlineLvl w:val="4"/>
        <w:rPr>
          <w:rFonts w:eastAsia="Times New Roman" w:cstheme="minorHAnsi"/>
          <w:lang w:eastAsia="en-GB"/>
        </w:rPr>
      </w:pPr>
    </w:p>
    <w:p w14:paraId="7624836A" w14:textId="4D3DEFD2" w:rsidR="008904DA" w:rsidRPr="00921CD5" w:rsidRDefault="00520741"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 xml:space="preserve">From the Prescription Cost Analysis (PCA) series, containing data on all </w:t>
      </w:r>
      <w:r w:rsidR="009B739C">
        <w:rPr>
          <w:rFonts w:eastAsia="Times New Roman" w:cstheme="minorHAnsi"/>
          <w:lang w:eastAsia="en-GB"/>
        </w:rPr>
        <w:t>medicines</w:t>
      </w:r>
      <w:r w:rsidRPr="00921CD5">
        <w:rPr>
          <w:rFonts w:eastAsia="Times New Roman" w:cstheme="minorHAnsi"/>
          <w:lang w:eastAsia="en-GB"/>
        </w:rPr>
        <w:t xml:space="preserve"> prescribed and dispensed and their corresponding cost to the NHS at the national level, we retrieve a measure of the actual acquisition cost</w:t>
      </w:r>
      <w:r w:rsidR="00CA4C9D" w:rsidRPr="00921CD5">
        <w:rPr>
          <w:rFonts w:eastAsia="Times New Roman" w:cstheme="minorHAnsi"/>
          <w:lang w:eastAsia="en-GB"/>
        </w:rPr>
        <w:t xml:space="preserve"> of</w:t>
      </w:r>
      <w:r w:rsidRPr="00921CD5">
        <w:rPr>
          <w:rFonts w:eastAsia="Times New Roman" w:cstheme="minorHAnsi"/>
          <w:lang w:eastAsia="en-GB"/>
        </w:rPr>
        <w:t xml:space="preserve"> each </w:t>
      </w:r>
      <w:r w:rsidR="002B7F89" w:rsidRPr="00921CD5">
        <w:rPr>
          <w:rFonts w:eastAsia="Times New Roman" w:cstheme="minorHAnsi"/>
          <w:lang w:eastAsia="en-GB"/>
        </w:rPr>
        <w:t>statin</w:t>
      </w:r>
      <w:r w:rsidR="00CA4C9D" w:rsidRPr="00921CD5">
        <w:rPr>
          <w:rFonts w:eastAsia="Times New Roman" w:cstheme="minorHAnsi"/>
          <w:lang w:eastAsia="en-GB"/>
        </w:rPr>
        <w:t xml:space="preserve"> </w:t>
      </w:r>
      <w:r w:rsidRPr="00921CD5">
        <w:rPr>
          <w:rFonts w:eastAsia="Times New Roman" w:cstheme="minorHAnsi"/>
          <w:lang w:eastAsia="en-GB"/>
        </w:rPr>
        <w:t xml:space="preserve">treatment. To compute </w:t>
      </w:r>
      <w:r w:rsidR="00CA4C9D" w:rsidRPr="00921CD5">
        <w:rPr>
          <w:rFonts w:eastAsia="Times New Roman" w:cstheme="minorHAnsi"/>
          <w:lang w:eastAsia="en-GB"/>
        </w:rPr>
        <w:t>the</w:t>
      </w:r>
      <w:r w:rsidRPr="00921CD5">
        <w:rPr>
          <w:rFonts w:eastAsia="Times New Roman" w:cstheme="minorHAnsi"/>
          <w:lang w:eastAsia="en-GB"/>
        </w:rPr>
        <w:t xml:space="preserve"> average acquisition</w:t>
      </w:r>
      <w:r w:rsidR="00CA4C9D" w:rsidRPr="00921CD5">
        <w:rPr>
          <w:rFonts w:eastAsia="Times New Roman" w:cstheme="minorHAnsi"/>
          <w:lang w:eastAsia="en-GB"/>
        </w:rPr>
        <w:t xml:space="preserve"> cost of treatment </w:t>
      </w:r>
      <w:r w:rsidR="00CA4C9D" w:rsidRPr="00921CD5">
        <w:rPr>
          <w:rFonts w:eastAsia="Times New Roman" w:cstheme="minorHAnsi"/>
          <w:i/>
          <w:lang w:eastAsia="en-GB"/>
        </w:rPr>
        <w:t>s</w:t>
      </w:r>
      <w:r w:rsidR="00CA4C9D" w:rsidRPr="00921CD5">
        <w:rPr>
          <w:rFonts w:eastAsia="Times New Roman" w:cstheme="minorHAnsi"/>
          <w:lang w:eastAsia="en-GB"/>
        </w:rPr>
        <w:t xml:space="preserve"> in period </w:t>
      </w:r>
      <w:r w:rsidR="00532D94" w:rsidRPr="00921CD5">
        <w:rPr>
          <w:rFonts w:eastAsia="Times New Roman" w:cstheme="minorHAnsi"/>
          <w:i/>
          <w:lang w:eastAsia="en-GB"/>
        </w:rPr>
        <w:t>t</w:t>
      </w:r>
      <w:r w:rsidR="00532D94" w:rsidRPr="00921CD5">
        <w:rPr>
          <w:rFonts w:eastAsia="Times New Roman" w:cstheme="minorHAnsi"/>
          <w:lang w:eastAsia="en-GB"/>
        </w:rPr>
        <w:t>,</w:t>
      </w:r>
      <w:r w:rsidR="00CA4C9D" w:rsidRPr="00921CD5">
        <w:rPr>
          <w:rFonts w:eastAsia="Times New Roman" w:cstheme="minorHAnsi"/>
          <w:lang w:eastAsia="en-GB"/>
        </w:rPr>
        <w:t xml:space="preserve"> </w:t>
      </w:r>
      <w:r w:rsidR="008904DA" w:rsidRPr="00921CD5">
        <w:rPr>
          <w:rFonts w:eastAsia="Times New Roman" w:cstheme="minorHAnsi"/>
          <w:lang w:eastAsia="en-GB"/>
        </w:rPr>
        <w:t xml:space="preserve">denoted by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st</m:t>
            </m:r>
          </m:sub>
        </m:sSub>
      </m:oMath>
      <w:r w:rsidR="00CA4C9D" w:rsidRPr="00921CD5">
        <w:rPr>
          <w:rFonts w:eastAsia="Times New Roman" w:cstheme="minorHAnsi"/>
          <w:lang w:eastAsia="en-GB"/>
        </w:rPr>
        <w:t>,</w:t>
      </w:r>
      <w:r w:rsidRPr="00921CD5">
        <w:rPr>
          <w:rFonts w:eastAsia="Times New Roman" w:cstheme="minorHAnsi"/>
          <w:lang w:eastAsia="en-GB"/>
        </w:rPr>
        <w:t xml:space="preserve"> we take the ratio between the Net Ingredient Cost (</w:t>
      </w:r>
      <m:oMath>
        <m:r>
          <w:rPr>
            <w:rFonts w:ascii="Cambria Math" w:eastAsia="Times New Roman" w:hAnsi="Cambria Math" w:cstheme="minorHAnsi"/>
            <w:lang w:eastAsia="en-GB"/>
          </w:rPr>
          <m:t>NI</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st</m:t>
            </m:r>
          </m:sub>
        </m:sSub>
      </m:oMath>
      <w:r w:rsidRPr="00921CD5">
        <w:rPr>
          <w:rFonts w:eastAsia="Times New Roman" w:cstheme="minorHAnsi"/>
          <w:lang w:eastAsia="en-GB"/>
        </w:rPr>
        <w:t>) and the corresponding Total Quantity</w:t>
      </w:r>
      <w:r w:rsidR="00CA4C9D" w:rsidRPr="00921CD5">
        <w:rPr>
          <w:rFonts w:eastAsia="Times New Roman" w:cstheme="minorHAnsi"/>
          <w:lang w:eastAsia="en-GB"/>
        </w:rPr>
        <w:t xml:space="preserv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oMath>
      <w:r w:rsidR="00CA4C9D" w:rsidRPr="00921CD5">
        <w:rPr>
          <w:rFonts w:eastAsia="Times New Roman" w:cstheme="minorHAnsi"/>
          <w:lang w:eastAsia="en-GB"/>
        </w:rPr>
        <w:t>)</w:t>
      </w:r>
      <w:r w:rsidRPr="00921CD5">
        <w:rPr>
          <w:rFonts w:eastAsia="Times New Roman" w:cstheme="minorHAnsi"/>
          <w:lang w:eastAsia="en-GB"/>
        </w:rPr>
        <w:t xml:space="preserve"> prescribed of each different strength of </w:t>
      </w:r>
      <w:r w:rsidR="002B7F89" w:rsidRPr="00921CD5">
        <w:rPr>
          <w:rFonts w:eastAsia="Times New Roman" w:cstheme="minorHAnsi"/>
          <w:lang w:eastAsia="en-GB"/>
        </w:rPr>
        <w:t>statin</w:t>
      </w:r>
      <w:r w:rsidRPr="00921CD5">
        <w:rPr>
          <w:rFonts w:eastAsia="Times New Roman" w:cstheme="minorHAnsi"/>
          <w:lang w:eastAsia="en-GB"/>
        </w:rPr>
        <w:t xml:space="preserve">, that is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st</m:t>
            </m:r>
          </m:sub>
        </m:sSub>
        <m:r>
          <w:rPr>
            <w:rFonts w:ascii="Cambria Math" w:eastAsia="Times New Roman" w:hAnsi="Cambria Math" w:cstheme="minorHAnsi"/>
            <w:lang w:eastAsia="en-GB"/>
          </w:rPr>
          <m:t>=</m:t>
        </m:r>
        <m:f>
          <m:fPr>
            <m:ctrlPr>
              <w:rPr>
                <w:rFonts w:ascii="Cambria Math" w:eastAsia="Times New Roman" w:hAnsi="Cambria Math" w:cstheme="minorHAnsi"/>
                <w:i/>
                <w:lang w:eastAsia="en-GB"/>
              </w:rPr>
            </m:ctrlPr>
          </m:fPr>
          <m:num>
            <m:r>
              <w:rPr>
                <w:rFonts w:ascii="Cambria Math" w:eastAsia="Times New Roman" w:hAnsi="Cambria Math" w:cstheme="minorHAnsi"/>
                <w:lang w:eastAsia="en-GB"/>
              </w:rPr>
              <m:t>NI</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st</m:t>
                </m:r>
              </m:sub>
            </m:sSub>
          </m:num>
          <m:den>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den>
        </m:f>
      </m:oMath>
      <w:r w:rsidRPr="00921CD5">
        <w:rPr>
          <w:rFonts w:eastAsia="Times New Roman" w:cstheme="minorHAnsi"/>
          <w:lang w:eastAsia="en-GB"/>
        </w:rPr>
        <w:t>.</w:t>
      </w:r>
      <w:r w:rsidR="00EB3A1D" w:rsidRPr="00EB3A1D">
        <w:t xml:space="preserve"> </w:t>
      </w:r>
      <w:r w:rsidR="00EB3A1D">
        <w:t>C</w:t>
      </w:r>
      <w:r w:rsidR="00EB3A1D" w:rsidRPr="00EB3A1D">
        <w:rPr>
          <w:rFonts w:eastAsia="Times New Roman" w:cstheme="minorHAnsi"/>
          <w:lang w:eastAsia="en-GB"/>
        </w:rPr>
        <w:t xml:space="preserve">ost figures are </w:t>
      </w:r>
      <w:r w:rsidR="00EB3A1D">
        <w:rPr>
          <w:rFonts w:eastAsia="Times New Roman" w:cstheme="minorHAnsi"/>
          <w:lang w:eastAsia="en-GB"/>
        </w:rPr>
        <w:t xml:space="preserve">then </w:t>
      </w:r>
      <w:r w:rsidR="00EB3A1D" w:rsidRPr="00EB3A1D">
        <w:rPr>
          <w:rFonts w:eastAsia="Times New Roman" w:cstheme="minorHAnsi"/>
          <w:lang w:eastAsia="en-GB"/>
        </w:rPr>
        <w:t>expressed in constant 2018 GBP using the GDP deflators at market prices</w:t>
      </w:r>
      <w:r w:rsidR="00C20C4A">
        <w:rPr>
          <w:rFonts w:eastAsia="Times New Roman" w:cstheme="minorHAnsi"/>
          <w:lang w:eastAsia="en-GB"/>
        </w:rPr>
        <w:t xml:space="preserve"> (see</w:t>
      </w:r>
      <w:r w:rsidR="006851D1" w:rsidRPr="00EB3A1D">
        <w:rPr>
          <w:rFonts w:eastAsia="Times New Roman" w:cstheme="minorHAnsi"/>
          <w:lang w:eastAsia="en-GB"/>
        </w:rPr>
        <w:t xml:space="preserve"> </w:t>
      </w:r>
      <w:hyperlink r:id="rId19" w:history="1">
        <w:r w:rsidR="00EB3A1D" w:rsidRPr="00495886">
          <w:rPr>
            <w:rStyle w:val="Hyperlink"/>
            <w:sz w:val="18"/>
            <w:szCs w:val="18"/>
          </w:rPr>
          <w:t>https://www.gov.uk/government/statistics/gdp-deflators-at-market-prices-and-money-gdp-march-2019-spring-statement</w:t>
        </w:r>
      </w:hyperlink>
      <w:r w:rsidR="00C20C4A">
        <w:rPr>
          <w:rFonts w:eastAsia="Times New Roman" w:cstheme="minorHAnsi"/>
          <w:lang w:eastAsia="en-GB"/>
        </w:rPr>
        <w:t>)</w:t>
      </w:r>
    </w:p>
    <w:p w14:paraId="7C651607" w14:textId="44F2568C" w:rsidR="00E2210D" w:rsidRPr="00921CD5" w:rsidRDefault="00921CD5"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 xml:space="preserve"> </w:t>
      </w:r>
    </w:p>
    <w:p w14:paraId="7B68A3DB" w14:textId="38013167" w:rsidR="00E2210D" w:rsidRPr="00921CD5" w:rsidRDefault="00B65649"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Since d</w:t>
      </w:r>
      <w:r w:rsidR="00520741" w:rsidRPr="00921CD5">
        <w:rPr>
          <w:rFonts w:eastAsia="Times New Roman" w:cstheme="minorHAnsi"/>
          <w:lang w:eastAsia="en-GB"/>
        </w:rPr>
        <w:t xml:space="preserve">ata on the </w:t>
      </w:r>
      <w:r w:rsidR="00520741" w:rsidRPr="00921CD5">
        <w:rPr>
          <w:rFonts w:eastAsia="Times New Roman" w:cstheme="minorHAnsi"/>
          <w:iCs/>
          <w:lang w:eastAsia="en-GB"/>
        </w:rPr>
        <w:t xml:space="preserve">total number of new patients starting treatment on each </w:t>
      </w:r>
      <w:r w:rsidR="002B7F89" w:rsidRPr="00921CD5">
        <w:rPr>
          <w:rFonts w:eastAsia="Times New Roman" w:cstheme="minorHAnsi"/>
          <w:iCs/>
          <w:lang w:eastAsia="en-GB"/>
        </w:rPr>
        <w:t>statin</w:t>
      </w:r>
      <w:r w:rsidR="00520741" w:rsidRPr="00921CD5">
        <w:rPr>
          <w:rFonts w:eastAsia="Times New Roman" w:cstheme="minorHAnsi"/>
          <w:iCs/>
          <w:lang w:eastAsia="en-GB"/>
        </w:rPr>
        <w:t xml:space="preserve"> nationally</w:t>
      </w:r>
      <w:r w:rsidR="00520741" w:rsidRPr="00921CD5">
        <w:rPr>
          <w:rFonts w:eastAsia="Times New Roman" w:cstheme="minorHAnsi"/>
          <w:lang w:eastAsia="en-GB"/>
        </w:rPr>
        <w:t xml:space="preserve"> is not </w:t>
      </w:r>
      <w:r w:rsidRPr="00921CD5">
        <w:rPr>
          <w:rFonts w:eastAsia="Times New Roman" w:cstheme="minorHAnsi"/>
          <w:lang w:eastAsia="en-GB"/>
        </w:rPr>
        <w:t xml:space="preserve">publicly </w:t>
      </w:r>
      <w:r w:rsidR="00520741" w:rsidRPr="00921CD5">
        <w:rPr>
          <w:rFonts w:eastAsia="Times New Roman" w:cstheme="minorHAnsi"/>
          <w:lang w:eastAsia="en-GB"/>
        </w:rPr>
        <w:t>available</w:t>
      </w:r>
      <w:r w:rsidRPr="00921CD5">
        <w:rPr>
          <w:rFonts w:eastAsia="Times New Roman" w:cstheme="minorHAnsi"/>
          <w:lang w:eastAsia="en-GB"/>
        </w:rPr>
        <w:t xml:space="preserve">, we </w:t>
      </w:r>
      <w:r w:rsidR="00E2210D" w:rsidRPr="00921CD5">
        <w:rPr>
          <w:rFonts w:eastAsia="Times New Roman" w:cstheme="minorHAnsi"/>
          <w:lang w:eastAsia="en-GB"/>
        </w:rPr>
        <w:t xml:space="preserve">estimate </w:t>
      </w:r>
      <w:r w:rsidRPr="00921CD5">
        <w:rPr>
          <w:rFonts w:eastAsia="Times New Roman" w:cstheme="minorHAnsi"/>
          <w:lang w:eastAsia="en-GB"/>
        </w:rPr>
        <w:t>such figure by combining</w:t>
      </w:r>
      <w:r w:rsidR="00520741" w:rsidRPr="00921CD5">
        <w:rPr>
          <w:rFonts w:eastAsia="Times New Roman" w:cstheme="minorHAnsi"/>
          <w:lang w:eastAsia="en-GB"/>
        </w:rPr>
        <w:t xml:space="preserve"> information from </w:t>
      </w:r>
      <w:r w:rsidR="006F7CA4" w:rsidRPr="00921CD5">
        <w:rPr>
          <w:rFonts w:eastAsia="Times New Roman" w:cstheme="minorHAnsi"/>
          <w:lang w:eastAsia="en-GB"/>
        </w:rPr>
        <w:t xml:space="preserve">the </w:t>
      </w:r>
      <w:r w:rsidR="00520741" w:rsidRPr="00921CD5">
        <w:rPr>
          <w:rFonts w:eastAsia="Times New Roman" w:cstheme="minorHAnsi"/>
          <w:lang w:eastAsia="en-GB"/>
        </w:rPr>
        <w:t xml:space="preserve">RCGP R&amp;SC database </w:t>
      </w:r>
      <w:r w:rsidR="006F7CA4" w:rsidRPr="00921CD5">
        <w:rPr>
          <w:rFonts w:eastAsia="Times New Roman" w:cstheme="minorHAnsi"/>
          <w:lang w:eastAsia="en-GB"/>
        </w:rPr>
        <w:t>(which is a nationally representative sample of GP practices in England</w:t>
      </w:r>
      <w:r w:rsidR="00520741" w:rsidRPr="00921CD5">
        <w:rPr>
          <w:rFonts w:eastAsia="Times New Roman" w:cstheme="minorHAnsi"/>
          <w:lang w:eastAsia="en-GB"/>
        </w:rPr>
        <w:t xml:space="preserve">) with national aggregated data from the Prescription Cost Analysis series. </w:t>
      </w:r>
      <w:r w:rsidR="006F7CA4" w:rsidRPr="00921CD5">
        <w:rPr>
          <w:rFonts w:eastAsia="Times New Roman" w:cstheme="minorHAnsi"/>
          <w:lang w:eastAsia="en-GB"/>
        </w:rPr>
        <w:t xml:space="preserve">Concretely, we </w:t>
      </w:r>
      <w:r w:rsidR="00E2210D" w:rsidRPr="00921CD5">
        <w:rPr>
          <w:rFonts w:eastAsia="Times New Roman" w:cstheme="minorHAnsi"/>
          <w:lang w:eastAsia="en-GB"/>
        </w:rPr>
        <w:t xml:space="preserve">compute </w:t>
      </w:r>
      <w:r w:rsidR="006F7CA4" w:rsidRPr="00921CD5">
        <w:rPr>
          <w:rFonts w:eastAsia="Times New Roman" w:cstheme="minorHAnsi"/>
          <w:lang w:eastAsia="en-GB"/>
        </w:rPr>
        <w:t>the total number of new patients nationally,</w:t>
      </w:r>
      <w:r w:rsidR="008904DA" w:rsidRPr="00921CD5">
        <w:rPr>
          <w:rFonts w:eastAsia="Times New Roman" w:cstheme="minorHAnsi"/>
          <w:lang w:eastAsia="en-GB"/>
        </w:rPr>
        <w:t xml:space="preserve"> denoted by</w:t>
      </w:r>
      <w:r w:rsidR="006F7CA4" w:rsidRPr="00921CD5">
        <w:rPr>
          <w:rFonts w:eastAsia="Times New Roman" w:cstheme="minorHAnsi"/>
          <w:lang w:eastAsia="en-GB"/>
        </w:rPr>
        <w:t xml:space="preserve"> </w:t>
      </w:r>
      <m:oMath>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oMath>
      <w:r w:rsidR="006F7CA4" w:rsidRPr="00921CD5">
        <w:rPr>
          <w:rFonts w:eastAsia="Times New Roman" w:cstheme="minorHAnsi"/>
          <w:lang w:eastAsia="en-GB"/>
        </w:rPr>
        <w:t xml:space="preserve">, as follows: </w:t>
      </w:r>
      <m:oMath>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st</m:t>
            </m:r>
          </m:sub>
        </m:sSub>
        <m:r>
          <w:rPr>
            <w:rFonts w:ascii="Cambria Math" w:eastAsia="Times New Roman" w:hAnsi="Cambria Math" w:cstheme="minorHAnsi"/>
            <w:lang w:eastAsia="en-GB"/>
          </w:rPr>
          <m:t>=</m:t>
        </m:r>
        <m:f>
          <m:fPr>
            <m:ctrlPr>
              <w:rPr>
                <w:rFonts w:ascii="Cambria Math" w:eastAsia="Times New Roman" w:hAnsi="Cambria Math" w:cstheme="minorHAnsi"/>
                <w:i/>
                <w:lang w:eastAsia="en-GB"/>
              </w:rPr>
            </m:ctrlPr>
          </m:fPr>
          <m:num>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n</m:t>
                </m:r>
              </m:e>
              <m:sub>
                <m:r>
                  <w:rPr>
                    <w:rFonts w:ascii="Cambria Math" w:eastAsia="Times New Roman" w:hAnsi="Cambria Math" w:cstheme="minorHAnsi"/>
                    <w:lang w:eastAsia="en-GB"/>
                  </w:rPr>
                  <m:t>st</m:t>
                </m:r>
              </m:sub>
            </m:sSub>
          </m:num>
          <m:den>
            <m:r>
              <m:rPr>
                <m:sty m:val="p"/>
              </m:rPr>
              <w:rPr>
                <w:rFonts w:ascii="Cambria Math" w:eastAsia="Times New Roman" w:hAnsi="Cambria Math" w:cstheme="minorHAnsi"/>
                <w:lang w:eastAsia="en-GB"/>
              </w:rPr>
              <m:t xml:space="preserve"> </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den>
        </m:f>
        <m:r>
          <w:rPr>
            <w:rFonts w:ascii="Cambria Math" w:eastAsia="Times New Roman" w:hAnsi="Cambria Math" w:cstheme="minorHAnsi"/>
            <w:lang w:eastAsia="en-GB"/>
          </w:rPr>
          <m:t>×</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oMath>
      <w:r w:rsidR="006F7CA4" w:rsidRPr="00921CD5">
        <w:rPr>
          <w:rFonts w:eastAsia="Times New Roman" w:cstheme="minorHAnsi"/>
          <w:lang w:eastAsia="en-GB"/>
        </w:rPr>
        <w:t xml:space="preserve">, where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oMath>
      <w:r w:rsidR="00DC625F" w:rsidRPr="00921CD5">
        <w:rPr>
          <w:rFonts w:eastAsia="Times New Roman" w:cstheme="minorHAnsi"/>
          <w:lang w:eastAsia="en-GB"/>
        </w:rPr>
        <w:t xml:space="preserve"> denotes the total quantit</w:t>
      </w:r>
      <w:r w:rsidR="00C5432B" w:rsidRPr="00921CD5">
        <w:rPr>
          <w:rFonts w:eastAsia="Times New Roman" w:cstheme="minorHAnsi"/>
          <w:lang w:eastAsia="en-GB"/>
        </w:rPr>
        <w:t>y</w:t>
      </w:r>
      <w:r w:rsidR="00DC625F" w:rsidRPr="00921CD5">
        <w:rPr>
          <w:rFonts w:eastAsia="Times New Roman" w:cstheme="minorHAnsi"/>
          <w:lang w:eastAsia="en-GB"/>
        </w:rPr>
        <w:t xml:space="preserve"> of each </w:t>
      </w:r>
      <w:r w:rsidR="002B7F89" w:rsidRPr="00921CD5">
        <w:rPr>
          <w:rFonts w:eastAsia="Times New Roman" w:cstheme="minorHAnsi"/>
          <w:lang w:eastAsia="en-GB"/>
        </w:rPr>
        <w:t>statin</w:t>
      </w:r>
      <w:r w:rsidR="00DC625F" w:rsidRPr="00921CD5">
        <w:rPr>
          <w:rFonts w:eastAsia="Times New Roman" w:cstheme="minorHAnsi"/>
          <w:lang w:eastAsia="en-GB"/>
        </w:rPr>
        <w:t xml:space="preserve"> treatment prescribed in every period in the RCGP R&amp;SC database. </w:t>
      </w:r>
      <w:r w:rsidR="002C1781" w:rsidRPr="00921CD5">
        <w:rPr>
          <w:rFonts w:eastAsia="Times New Roman" w:cstheme="minorHAnsi"/>
          <w:lang w:eastAsia="en-GB"/>
        </w:rPr>
        <w:t>Indeed, since</w:t>
      </w:r>
      <w:r w:rsidR="00DC625F" w:rsidRPr="00921CD5">
        <w:rPr>
          <w:rFonts w:eastAsia="Times New Roman" w:cstheme="minorHAnsi"/>
          <w:lang w:eastAsia="en-GB"/>
        </w:rPr>
        <w:t xml:space="preserve"> the RCGP R&amp;SC sample of </w:t>
      </w:r>
      <w:r w:rsidR="00291CA2" w:rsidRPr="00921CD5">
        <w:rPr>
          <w:rFonts w:eastAsia="Times New Roman" w:cstheme="minorHAnsi"/>
          <w:lang w:eastAsia="en-GB"/>
        </w:rPr>
        <w:t xml:space="preserve">GP </w:t>
      </w:r>
      <w:r w:rsidR="00DC625F" w:rsidRPr="00921CD5">
        <w:rPr>
          <w:rFonts w:eastAsia="Times New Roman" w:cstheme="minorHAnsi"/>
          <w:lang w:eastAsia="en-GB"/>
        </w:rPr>
        <w:t xml:space="preserve">practices is representative of the English general practice sector, then the ratio </w:t>
      </w:r>
      <w:r w:rsidR="00291CA2" w:rsidRPr="00921CD5">
        <w:rPr>
          <w:rFonts w:eastAsia="Times New Roman" w:cstheme="minorHAnsi"/>
          <w:lang w:eastAsia="en-GB"/>
        </w:rPr>
        <w:t>of</w:t>
      </w:r>
      <w:r w:rsidR="00DC625F" w:rsidRPr="00921CD5">
        <w:rPr>
          <w:rFonts w:eastAsia="Times New Roman" w:cstheme="minorHAnsi"/>
          <w:lang w:eastAsia="en-GB"/>
        </w:rPr>
        <w:t xml:space="preserve"> new patients to total quantities</w:t>
      </w:r>
      <w:r w:rsidR="00E2210D" w:rsidRPr="00921CD5">
        <w:rPr>
          <w:rFonts w:eastAsia="Times New Roman" w:cstheme="minorHAnsi"/>
          <w:lang w:eastAsia="en-GB"/>
        </w:rPr>
        <w:t xml:space="preserve"> prescribed</w:t>
      </w:r>
      <w:r w:rsidR="00DC625F" w:rsidRPr="00921CD5">
        <w:rPr>
          <w:rFonts w:eastAsia="Times New Roman" w:cstheme="minorHAnsi"/>
          <w:lang w:eastAsia="en-GB"/>
        </w:rPr>
        <w:t xml:space="preserve"> in both data sources should be equivalent.</w:t>
      </w:r>
      <w:r w:rsidR="006732F6" w:rsidRPr="00921CD5">
        <w:rPr>
          <w:rFonts w:eastAsia="Times New Roman" w:cstheme="minorHAnsi"/>
          <w:lang w:eastAsia="en-GB"/>
        </w:rPr>
        <w:t xml:space="preserve"> </w:t>
      </w:r>
      <w:r w:rsidR="00E2210D" w:rsidRPr="00921CD5">
        <w:rPr>
          <w:rFonts w:eastAsia="Times New Roman" w:cstheme="minorHAnsi"/>
          <w:lang w:eastAsia="en-GB"/>
        </w:rPr>
        <w:t xml:space="preserve">Aggregating </w:t>
      </w:r>
      <m:oMath>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st</m:t>
            </m:r>
          </m:sub>
        </m:sSub>
      </m:oMath>
      <w:r w:rsidR="00E2210D" w:rsidRPr="00921CD5">
        <w:rPr>
          <w:rFonts w:eastAsia="Times New Roman" w:cstheme="minorHAnsi"/>
          <w:lang w:eastAsia="en-GB"/>
        </w:rPr>
        <w:t xml:space="preserve"> over all treatments at the year-level, </w:t>
      </w:r>
      <m:oMath>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t</m:t>
            </m:r>
          </m:sub>
        </m:sSub>
        <m:r>
          <w:rPr>
            <w:rFonts w:ascii="Cambria Math" w:eastAsia="Times New Roman" w:hAnsi="Cambria Math" w:cstheme="minorHAnsi"/>
            <w:lang w:eastAsia="en-GB"/>
          </w:rPr>
          <m:t>=</m:t>
        </m:r>
        <m:nary>
          <m:naryPr>
            <m:chr m:val="∑"/>
            <m:limLoc m:val="subSup"/>
            <m:supHide m:val="1"/>
            <m:ctrlPr>
              <w:rPr>
                <w:rFonts w:ascii="Cambria Math" w:eastAsia="Times New Roman" w:hAnsi="Cambria Math" w:cstheme="minorHAnsi"/>
                <w:i/>
                <w:lang w:eastAsia="en-GB"/>
              </w:rPr>
            </m:ctrlPr>
          </m:naryPr>
          <m:sub>
            <m:r>
              <w:rPr>
                <w:rFonts w:ascii="Cambria Math" w:eastAsia="Times New Roman" w:hAnsi="Cambria Math" w:cstheme="minorHAnsi"/>
                <w:lang w:eastAsia="en-GB"/>
              </w:rPr>
              <m:t>s</m:t>
            </m:r>
          </m:sub>
          <m:sup/>
          <m:e>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st</m:t>
                </m:r>
              </m:sub>
            </m:sSub>
          </m:e>
        </m:nary>
      </m:oMath>
      <w:r w:rsidR="00E2210D" w:rsidRPr="00921CD5">
        <w:rPr>
          <w:rFonts w:eastAsia="Times New Roman" w:cstheme="minorHAnsi"/>
          <w:lang w:eastAsia="en-GB"/>
        </w:rPr>
        <w:t>, results in the figure reported in column (1) of Table 2,</w:t>
      </w:r>
      <w:r w:rsidR="00921CD5" w:rsidRPr="00921CD5">
        <w:rPr>
          <w:rFonts w:eastAsia="Times New Roman" w:cstheme="minorHAnsi"/>
          <w:lang w:eastAsia="en-GB"/>
        </w:rPr>
        <w:t xml:space="preserve"> </w:t>
      </w:r>
      <w:r w:rsidR="00532D94" w:rsidRPr="00921CD5">
        <w:rPr>
          <w:rFonts w:eastAsia="Times New Roman" w:cstheme="minorHAnsi"/>
          <w:lang w:eastAsia="en-GB"/>
        </w:rPr>
        <w:t>i.e.,</w:t>
      </w:r>
      <w:r w:rsidR="00E2210D" w:rsidRPr="00921CD5">
        <w:rPr>
          <w:rFonts w:eastAsia="Times New Roman" w:cstheme="minorHAnsi"/>
          <w:lang w:eastAsia="en-GB"/>
        </w:rPr>
        <w:t xml:space="preserve"> the estimated number of new patients treated with statins in each year.</w:t>
      </w:r>
    </w:p>
    <w:p w14:paraId="0B062A92" w14:textId="77777777" w:rsidR="00E2210D" w:rsidRPr="00921CD5" w:rsidRDefault="00E2210D" w:rsidP="007144CB">
      <w:pPr>
        <w:spacing w:after="0" w:line="240" w:lineRule="auto"/>
        <w:jc w:val="both"/>
        <w:outlineLvl w:val="4"/>
        <w:rPr>
          <w:rFonts w:eastAsia="Times New Roman" w:cstheme="minorHAnsi"/>
          <w:lang w:eastAsia="en-GB"/>
        </w:rPr>
      </w:pPr>
    </w:p>
    <w:p w14:paraId="55C67738" w14:textId="1ED132D4" w:rsidR="005476DD" w:rsidRPr="00921CD5" w:rsidRDefault="006732F6"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Finally, w</w:t>
      </w:r>
      <w:r w:rsidR="00B37C89" w:rsidRPr="00921CD5">
        <w:rPr>
          <w:rFonts w:eastAsia="Times New Roman" w:cstheme="minorHAnsi"/>
          <w:lang w:eastAsia="en-GB"/>
        </w:rPr>
        <w:t xml:space="preserve">e compute the </w:t>
      </w:r>
      <w:r w:rsidR="00520741" w:rsidRPr="00921CD5">
        <w:rPr>
          <w:rFonts w:eastAsia="Times New Roman" w:cstheme="minorHAnsi"/>
          <w:bCs/>
          <w:lang w:eastAsia="en-GB"/>
        </w:rPr>
        <w:t>actual cost</w:t>
      </w:r>
      <w:r w:rsidR="00520741" w:rsidRPr="00921CD5">
        <w:rPr>
          <w:rFonts w:eastAsia="Times New Roman" w:cstheme="minorHAnsi"/>
          <w:lang w:eastAsia="en-GB"/>
        </w:rPr>
        <w:t xml:space="preserve"> of first prescription episode</w:t>
      </w:r>
      <w:r w:rsidR="00E2210D" w:rsidRPr="00921CD5">
        <w:rPr>
          <w:rFonts w:eastAsia="Times New Roman" w:cstheme="minorHAnsi"/>
          <w:lang w:eastAsia="en-GB"/>
        </w:rPr>
        <w:t>s</w:t>
      </w:r>
      <w:r w:rsidR="00520741" w:rsidRPr="00921CD5">
        <w:rPr>
          <w:rFonts w:eastAsia="Times New Roman" w:cstheme="minorHAnsi"/>
          <w:lang w:eastAsia="en-GB"/>
        </w:rPr>
        <w:t xml:space="preserve"> for each </w:t>
      </w:r>
      <w:r w:rsidR="002B7F89" w:rsidRPr="00921CD5">
        <w:rPr>
          <w:rFonts w:eastAsia="Times New Roman" w:cstheme="minorHAnsi"/>
          <w:lang w:eastAsia="en-GB"/>
        </w:rPr>
        <w:t>statin</w:t>
      </w:r>
      <w:r w:rsidR="00520741" w:rsidRPr="00921CD5">
        <w:rPr>
          <w:rFonts w:eastAsia="Times New Roman" w:cstheme="minorHAnsi"/>
          <w:lang w:eastAsia="en-GB"/>
        </w:rPr>
        <w:t xml:space="preserve"> treatment</w:t>
      </w:r>
      <w:r w:rsidR="00DC625F" w:rsidRPr="00921CD5">
        <w:rPr>
          <w:rFonts w:eastAsia="Times New Roman" w:cstheme="minorHAnsi"/>
          <w:lang w:eastAsia="en-GB"/>
        </w:rPr>
        <w:t xml:space="preserve"> </w:t>
      </w:r>
      <w:r w:rsidR="00DC625F" w:rsidRPr="00921CD5">
        <w:rPr>
          <w:rFonts w:eastAsia="Times New Roman" w:cstheme="minorHAnsi"/>
          <w:i/>
          <w:lang w:eastAsia="en-GB"/>
        </w:rPr>
        <w:t>s</w:t>
      </w:r>
      <w:r w:rsidR="00520741" w:rsidRPr="00921CD5">
        <w:rPr>
          <w:rFonts w:eastAsia="Times New Roman" w:cstheme="minorHAnsi"/>
          <w:lang w:eastAsia="en-GB"/>
        </w:rPr>
        <w:t xml:space="preserve"> </w:t>
      </w:r>
      <w:r w:rsidR="00542D99" w:rsidRPr="00921CD5">
        <w:rPr>
          <w:rFonts w:eastAsia="Times New Roman" w:cstheme="minorHAnsi"/>
          <w:lang w:eastAsia="en-GB"/>
        </w:rPr>
        <w:t xml:space="preserve">in every period </w:t>
      </w:r>
      <m:oMath>
        <m:r>
          <w:rPr>
            <w:rFonts w:ascii="Cambria Math" w:eastAsia="Times New Roman" w:hAnsi="Cambria Math" w:cstheme="minorHAnsi"/>
            <w:lang w:eastAsia="en-GB"/>
          </w:rPr>
          <m:t>t</m:t>
        </m:r>
      </m:oMath>
      <w:r w:rsidR="00542D99" w:rsidRPr="00921CD5">
        <w:rPr>
          <w:rFonts w:eastAsia="Times New Roman" w:cstheme="minorHAnsi"/>
          <w:lang w:eastAsia="en-GB"/>
        </w:rPr>
        <w:t xml:space="preserve"> </w:t>
      </w:r>
      <w:r w:rsidR="00DC625F" w:rsidRPr="00921CD5">
        <w:rPr>
          <w:rFonts w:eastAsia="Times New Roman" w:cstheme="minorHAnsi"/>
          <w:lang w:eastAsia="en-GB"/>
        </w:rPr>
        <w:t xml:space="preserve">by multiplying </w:t>
      </w:r>
      <w:r w:rsidR="00520741" w:rsidRPr="00921CD5">
        <w:rPr>
          <w:rFonts w:eastAsia="Times New Roman" w:cstheme="minorHAnsi"/>
          <w:lang w:eastAsia="en-GB"/>
        </w:rPr>
        <w:t>the total number of new patients</w:t>
      </w:r>
      <w:r w:rsidR="00E2210D" w:rsidRPr="00921CD5">
        <w:rPr>
          <w:rFonts w:eastAsia="Times New Roman" w:cstheme="minorHAnsi"/>
          <w:lang w:eastAsia="en-GB"/>
        </w:rPr>
        <w:t xml:space="preserve"> on each treatment</w:t>
      </w:r>
      <w:r w:rsidR="00520741" w:rsidRPr="00921CD5">
        <w:rPr>
          <w:rFonts w:eastAsia="Times New Roman" w:cstheme="minorHAnsi"/>
          <w:lang w:eastAsia="en-GB"/>
        </w:rPr>
        <w:t xml:space="preserve"> </w:t>
      </w:r>
      <m:oMath>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st</m:t>
            </m:r>
          </m:sub>
        </m:sSub>
      </m:oMath>
      <w:r w:rsidR="00DC625F" w:rsidRPr="00921CD5">
        <w:rPr>
          <w:rFonts w:eastAsia="Times New Roman" w:cstheme="minorHAnsi"/>
          <w:lang w:eastAsia="en-GB"/>
        </w:rPr>
        <w:t xml:space="preserve"> </w:t>
      </w:r>
      <w:r w:rsidR="00E2210D" w:rsidRPr="00921CD5">
        <w:rPr>
          <w:rFonts w:eastAsia="Times New Roman" w:cstheme="minorHAnsi"/>
          <w:lang w:eastAsia="en-GB"/>
        </w:rPr>
        <w:t>with</w:t>
      </w:r>
      <w:r w:rsidR="00DC625F" w:rsidRPr="00921CD5">
        <w:rPr>
          <w:rFonts w:eastAsia="Times New Roman" w:cstheme="minorHAnsi"/>
          <w:lang w:eastAsia="en-GB"/>
        </w:rPr>
        <w:t xml:space="preserve"> </w:t>
      </w:r>
      <w:r w:rsidR="00520741" w:rsidRPr="00921CD5">
        <w:rPr>
          <w:rFonts w:eastAsia="Times New Roman" w:cstheme="minorHAnsi"/>
          <w:lang w:eastAsia="en-GB"/>
        </w:rPr>
        <w:t xml:space="preserve">the cost per day of treatment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st</m:t>
            </m:r>
          </m:sub>
        </m:sSub>
      </m:oMath>
      <w:r w:rsidR="00DC625F" w:rsidRPr="00921CD5">
        <w:rPr>
          <w:rFonts w:eastAsia="Times New Roman" w:cstheme="minorHAnsi"/>
          <w:lang w:eastAsia="en-GB"/>
        </w:rPr>
        <w:t xml:space="preserve"> times 28</w:t>
      </w:r>
      <w:r w:rsidR="00E2210D" w:rsidRPr="00921CD5">
        <w:rPr>
          <w:rFonts w:eastAsia="Times New Roman" w:cstheme="minorHAnsi"/>
          <w:lang w:eastAsia="en-GB"/>
        </w:rPr>
        <w:t>, that is</w:t>
      </w:r>
      <w:r w:rsidR="00DC625F" w:rsidRPr="00921CD5">
        <w:rPr>
          <w:rFonts w:eastAsia="Times New Roman" w:cstheme="minorHAnsi"/>
          <w:lang w:eastAsia="en-GB"/>
        </w:rPr>
        <w:t xml:space="preserv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AC</m:t>
            </m:r>
          </m:e>
          <m:sub>
            <m:r>
              <w:rPr>
                <w:rFonts w:ascii="Cambria Math" w:eastAsia="Times New Roman" w:hAnsi="Cambria Math" w:cstheme="minorHAnsi"/>
                <w:lang w:eastAsia="en-GB"/>
              </w:rPr>
              <m:t>st</m:t>
            </m:r>
          </m:sub>
        </m:sSub>
        <m:r>
          <w:rPr>
            <w:rFonts w:ascii="Cambria Math" w:eastAsia="Times New Roman" w:hAnsi="Cambria Math" w:cstheme="minorHAnsi"/>
            <w:lang w:eastAsia="en-GB"/>
          </w:rPr>
          <m:t>=</m:t>
        </m:r>
        <m:r>
          <m:rPr>
            <m:sty m:val="p"/>
          </m:rPr>
          <w:rPr>
            <w:rFonts w:ascii="Cambria Math" w:eastAsia="Times New Roman" w:hAnsi="Cambria Math" w:cstheme="minorHAnsi"/>
            <w:lang w:eastAsia="en-GB"/>
          </w:rPr>
          <m:t xml:space="preserve"> </m:t>
        </m:r>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st</m:t>
            </m:r>
          </m:sub>
        </m:sSub>
        <m:r>
          <w:rPr>
            <w:rFonts w:ascii="Cambria Math" w:eastAsia="Times New Roman" w:hAnsi="Cambria Math" w:cstheme="minorHAnsi"/>
            <w:lang w:eastAsia="en-GB"/>
          </w:rPr>
          <m:t>×</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st</m:t>
            </m:r>
          </m:sub>
        </m:sSub>
        <m:r>
          <w:rPr>
            <w:rFonts w:ascii="Cambria Math" w:eastAsia="Times New Roman" w:hAnsi="Cambria Math" w:cstheme="minorHAnsi"/>
            <w:lang w:eastAsia="en-GB"/>
          </w:rPr>
          <m:t>×28</m:t>
        </m:r>
      </m:oMath>
      <w:r w:rsidR="00E2210D" w:rsidRPr="00921CD5">
        <w:rPr>
          <w:rFonts w:eastAsia="Times New Roman" w:cstheme="minorHAnsi"/>
          <w:lang w:eastAsia="en-GB"/>
        </w:rPr>
        <w:t xml:space="preserve">. Then </w:t>
      </w:r>
      <w:r w:rsidR="00B37C89" w:rsidRPr="00921CD5">
        <w:rPr>
          <w:rFonts w:eastAsia="Times New Roman" w:cstheme="minorHAnsi"/>
          <w:lang w:eastAsia="en-GB"/>
        </w:rPr>
        <w:t xml:space="preserve">we aggregate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AC</m:t>
            </m:r>
          </m:e>
          <m:sub>
            <m:r>
              <w:rPr>
                <w:rFonts w:ascii="Cambria Math" w:eastAsia="Times New Roman" w:hAnsi="Cambria Math" w:cstheme="minorHAnsi"/>
                <w:lang w:eastAsia="en-GB"/>
              </w:rPr>
              <m:t>st</m:t>
            </m:r>
          </m:sub>
        </m:sSub>
      </m:oMath>
      <w:r w:rsidR="00B37C89" w:rsidRPr="00921CD5">
        <w:rPr>
          <w:rFonts w:eastAsia="Times New Roman" w:cstheme="minorHAnsi"/>
          <w:lang w:eastAsia="en-GB"/>
        </w:rPr>
        <w:t xml:space="preserve"> </w:t>
      </w:r>
      <w:r w:rsidR="00520741" w:rsidRPr="00921CD5">
        <w:rPr>
          <w:rFonts w:eastAsia="Times New Roman" w:cstheme="minorHAnsi"/>
          <w:lang w:eastAsia="en-GB"/>
        </w:rPr>
        <w:t>over all treatments at the year-level</w:t>
      </w:r>
      <w:r w:rsidR="00E2210D" w:rsidRPr="00921CD5">
        <w:rPr>
          <w:rFonts w:eastAsia="Times New Roman" w:cstheme="minorHAnsi"/>
          <w:lang w:eastAsia="en-GB"/>
        </w:rPr>
        <w:t>,</w:t>
      </w:r>
      <w:r w:rsidR="00B37C89" w:rsidRPr="00921CD5">
        <w:rPr>
          <w:rFonts w:eastAsia="Times New Roman" w:cstheme="minorHAnsi"/>
          <w:lang w:eastAsia="en-GB"/>
        </w:rPr>
        <w:t xml:space="preserve"> </w:t>
      </w:r>
      <m:oMath>
        <m:r>
          <w:rPr>
            <w:rFonts w:ascii="Cambria Math" w:eastAsia="Times New Roman" w:hAnsi="Cambria Math" w:cstheme="minorHAnsi"/>
            <w:lang w:eastAsia="en-GB"/>
          </w:rPr>
          <m:t>A</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t</m:t>
            </m:r>
          </m:sub>
        </m:sSub>
        <m:r>
          <w:rPr>
            <w:rFonts w:ascii="Cambria Math" w:eastAsia="Times New Roman" w:hAnsi="Cambria Math" w:cstheme="minorHAnsi"/>
            <w:lang w:eastAsia="en-GB"/>
          </w:rPr>
          <m:t>=</m:t>
        </m:r>
        <m:nary>
          <m:naryPr>
            <m:chr m:val="∑"/>
            <m:limLoc m:val="subSup"/>
            <m:supHide m:val="1"/>
            <m:ctrlPr>
              <w:rPr>
                <w:rFonts w:ascii="Cambria Math" w:eastAsia="Times New Roman" w:hAnsi="Cambria Math" w:cstheme="minorHAnsi"/>
                <w:i/>
                <w:lang w:eastAsia="en-GB"/>
              </w:rPr>
            </m:ctrlPr>
          </m:naryPr>
          <m:sub>
            <m:r>
              <w:rPr>
                <w:rFonts w:ascii="Cambria Math" w:eastAsia="Times New Roman" w:hAnsi="Cambria Math" w:cstheme="minorHAnsi"/>
                <w:lang w:eastAsia="en-GB"/>
              </w:rPr>
              <m:t>s</m:t>
            </m:r>
          </m:sub>
          <m:sup/>
          <m:e>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AC</m:t>
                </m:r>
              </m:e>
              <m:sub>
                <m:r>
                  <w:rPr>
                    <w:rFonts w:ascii="Cambria Math" w:eastAsia="Times New Roman" w:hAnsi="Cambria Math" w:cstheme="minorHAnsi"/>
                    <w:lang w:eastAsia="en-GB"/>
                  </w:rPr>
                  <m:t>st</m:t>
                </m:r>
              </m:sub>
            </m:sSub>
          </m:e>
        </m:nary>
      </m:oMath>
      <w:r w:rsidR="00B37C89" w:rsidRPr="00921CD5">
        <w:rPr>
          <w:rFonts w:eastAsia="Times New Roman" w:cstheme="minorHAnsi"/>
          <w:lang w:eastAsia="en-GB"/>
        </w:rPr>
        <w:t>, which is the figure reported in column</w:t>
      </w:r>
      <w:r w:rsidR="005476DD" w:rsidRPr="00921CD5">
        <w:rPr>
          <w:rFonts w:eastAsia="Times New Roman" w:cstheme="minorHAnsi"/>
          <w:lang w:eastAsia="en-GB"/>
        </w:rPr>
        <w:t xml:space="preserve"> (2) of Table 2.</w:t>
      </w:r>
      <w:r w:rsidR="00B37C89" w:rsidRPr="00921CD5">
        <w:rPr>
          <w:rFonts w:eastAsia="Times New Roman" w:cstheme="minorHAnsi"/>
          <w:lang w:eastAsia="en-GB"/>
        </w:rPr>
        <w:t xml:space="preserve"> </w:t>
      </w:r>
    </w:p>
    <w:p w14:paraId="6B8A22B8" w14:textId="77777777" w:rsidR="005476DD" w:rsidRPr="00921CD5" w:rsidRDefault="005476DD" w:rsidP="007144CB">
      <w:pPr>
        <w:spacing w:after="0" w:line="240" w:lineRule="auto"/>
        <w:jc w:val="both"/>
        <w:outlineLvl w:val="4"/>
        <w:rPr>
          <w:rFonts w:eastAsia="Times New Roman" w:cstheme="minorHAnsi"/>
          <w:lang w:eastAsia="en-GB"/>
        </w:rPr>
      </w:pPr>
    </w:p>
    <w:p w14:paraId="418348B9" w14:textId="319D1096" w:rsidR="00520741" w:rsidRPr="00921CD5" w:rsidRDefault="00E65F6B"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As</w:t>
      </w:r>
      <w:r w:rsidR="00520741" w:rsidRPr="00921CD5">
        <w:rPr>
          <w:rFonts w:eastAsia="Times New Roman" w:cstheme="minorHAnsi"/>
          <w:lang w:eastAsia="en-GB"/>
        </w:rPr>
        <w:t xml:space="preserve"> explained above, practitioners</w:t>
      </w:r>
      <w:r w:rsidRPr="00921CD5">
        <w:rPr>
          <w:rFonts w:eastAsia="Times New Roman" w:cstheme="minorHAnsi"/>
          <w:lang w:eastAsia="en-GB"/>
        </w:rPr>
        <w:t>’ preferences</w:t>
      </w:r>
      <w:r w:rsidR="00520741" w:rsidRPr="00921CD5">
        <w:rPr>
          <w:rFonts w:eastAsia="Times New Roman" w:cstheme="minorHAnsi"/>
          <w:lang w:eastAsia="en-GB"/>
        </w:rPr>
        <w:t xml:space="preserve"> when treating patients for CVDs risk </w:t>
      </w:r>
      <w:r w:rsidR="000271EC">
        <w:rPr>
          <w:rFonts w:eastAsia="Times New Roman" w:cstheme="minorHAnsi"/>
          <w:lang w:eastAsia="en-GB"/>
        </w:rPr>
        <w:t>moved towards s</w:t>
      </w:r>
      <w:r w:rsidRPr="00921CD5">
        <w:rPr>
          <w:rFonts w:eastAsia="Times New Roman" w:cstheme="minorHAnsi"/>
          <w:lang w:eastAsia="en-GB"/>
        </w:rPr>
        <w:t>imva</w:t>
      </w:r>
      <w:r w:rsidR="002B7F89" w:rsidRPr="00921CD5">
        <w:rPr>
          <w:rFonts w:eastAsia="Times New Roman" w:cstheme="minorHAnsi"/>
          <w:lang w:eastAsia="en-GB"/>
        </w:rPr>
        <w:t>statin</w:t>
      </w:r>
      <w:r w:rsidRPr="00921CD5">
        <w:rPr>
          <w:rFonts w:eastAsia="Times New Roman" w:cstheme="minorHAnsi"/>
          <w:lang w:eastAsia="en-GB"/>
        </w:rPr>
        <w:t xml:space="preserve"> since</w:t>
      </w:r>
      <w:r w:rsidR="00C30920" w:rsidRPr="00921CD5">
        <w:rPr>
          <w:rFonts w:eastAsia="Times New Roman" w:cstheme="minorHAnsi"/>
          <w:lang w:eastAsia="en-GB"/>
        </w:rPr>
        <w:t xml:space="preserve"> </w:t>
      </w:r>
      <w:r w:rsidR="00520741" w:rsidRPr="00921CD5">
        <w:rPr>
          <w:rFonts w:eastAsia="Times New Roman" w:cstheme="minorHAnsi"/>
          <w:lang w:eastAsia="en-GB"/>
        </w:rPr>
        <w:t xml:space="preserve">its patent expiration (May 2003) </w:t>
      </w:r>
      <w:r w:rsidRPr="00921CD5">
        <w:rPr>
          <w:rFonts w:eastAsia="Times New Roman" w:cstheme="minorHAnsi"/>
          <w:lang w:eastAsia="en-GB"/>
        </w:rPr>
        <w:t xml:space="preserve">until </w:t>
      </w:r>
      <w:r w:rsidR="000271EC">
        <w:rPr>
          <w:rFonts w:eastAsia="Times New Roman" w:cstheme="minorHAnsi"/>
          <w:lang w:eastAsia="en-GB"/>
        </w:rPr>
        <w:t>a</w:t>
      </w:r>
      <w:r w:rsidR="00520741" w:rsidRPr="00921CD5">
        <w:rPr>
          <w:rFonts w:eastAsia="Times New Roman" w:cstheme="minorHAnsi"/>
          <w:lang w:eastAsia="en-GB"/>
        </w:rPr>
        <w:t>torva</w:t>
      </w:r>
      <w:r w:rsidR="002B7F89" w:rsidRPr="00921CD5">
        <w:rPr>
          <w:rFonts w:eastAsia="Times New Roman" w:cstheme="minorHAnsi"/>
          <w:lang w:eastAsia="en-GB"/>
        </w:rPr>
        <w:t>statin</w:t>
      </w:r>
      <w:r w:rsidR="00520741" w:rsidRPr="00921CD5">
        <w:rPr>
          <w:rFonts w:eastAsia="Times New Roman" w:cstheme="minorHAnsi"/>
          <w:lang w:eastAsia="en-GB"/>
        </w:rPr>
        <w:t>’s patent expiration (May 2012); and from the</w:t>
      </w:r>
      <w:r w:rsidR="000271EC">
        <w:rPr>
          <w:rFonts w:eastAsia="Times New Roman" w:cstheme="minorHAnsi"/>
          <w:lang w:eastAsia="en-GB"/>
        </w:rPr>
        <w:t>n onwards, they tended towards a</w:t>
      </w:r>
      <w:r w:rsidR="00520741" w:rsidRPr="00921CD5">
        <w:rPr>
          <w:rFonts w:eastAsia="Times New Roman" w:cstheme="minorHAnsi"/>
          <w:lang w:eastAsia="en-GB"/>
        </w:rPr>
        <w:t>torva</w:t>
      </w:r>
      <w:r w:rsidR="002B7F89" w:rsidRPr="00921CD5">
        <w:rPr>
          <w:rFonts w:eastAsia="Times New Roman" w:cstheme="minorHAnsi"/>
          <w:lang w:eastAsia="en-GB"/>
        </w:rPr>
        <w:t>statin</w:t>
      </w:r>
      <w:r w:rsidR="00520741" w:rsidRPr="00921CD5">
        <w:rPr>
          <w:rFonts w:eastAsia="Times New Roman" w:cstheme="minorHAnsi"/>
          <w:lang w:eastAsia="en-GB"/>
        </w:rPr>
        <w:t xml:space="preserve">. </w:t>
      </w:r>
      <w:r w:rsidRPr="00921CD5">
        <w:rPr>
          <w:rFonts w:eastAsia="Times New Roman" w:cstheme="minorHAnsi"/>
          <w:lang w:eastAsia="en-GB"/>
        </w:rPr>
        <w:t>O</w:t>
      </w:r>
      <w:r w:rsidR="00520741" w:rsidRPr="00921CD5">
        <w:rPr>
          <w:rFonts w:eastAsia="Times New Roman" w:cstheme="minorHAnsi"/>
          <w:lang w:eastAsia="en-GB"/>
        </w:rPr>
        <w:t xml:space="preserve">ur </w:t>
      </w:r>
      <w:r w:rsidRPr="00921CD5">
        <w:rPr>
          <w:rFonts w:eastAsia="Times New Roman" w:cstheme="minorHAnsi"/>
          <w:lang w:eastAsia="en-GB"/>
        </w:rPr>
        <w:t xml:space="preserve">cost </w:t>
      </w:r>
      <w:r w:rsidR="00520741" w:rsidRPr="00921CD5">
        <w:rPr>
          <w:rFonts w:eastAsia="Times New Roman" w:cstheme="minorHAnsi"/>
          <w:lang w:eastAsia="en-GB"/>
        </w:rPr>
        <w:t xml:space="preserve">simulation exercise </w:t>
      </w:r>
      <w:r w:rsidR="00520741" w:rsidRPr="00921CD5">
        <w:rPr>
          <w:rFonts w:eastAsia="Times New Roman" w:cstheme="minorHAnsi"/>
          <w:i/>
          <w:iCs/>
          <w:lang w:eastAsia="en-GB"/>
        </w:rPr>
        <w:t>e</w:t>
      </w:r>
      <w:r w:rsidRPr="00921CD5">
        <w:rPr>
          <w:rFonts w:eastAsia="Times New Roman" w:cstheme="minorHAnsi"/>
          <w:i/>
          <w:iCs/>
          <w:lang w:eastAsia="en-GB"/>
        </w:rPr>
        <w:t>xtremes</w:t>
      </w:r>
      <w:r w:rsidRPr="00921CD5">
        <w:rPr>
          <w:rFonts w:eastAsia="Times New Roman" w:cstheme="minorHAnsi"/>
          <w:lang w:eastAsia="en-GB"/>
        </w:rPr>
        <w:t xml:space="preserve"> this observed behaviour by asking </w:t>
      </w:r>
      <w:r w:rsidR="00520741" w:rsidRPr="00921CD5">
        <w:rPr>
          <w:rFonts w:eastAsia="Times New Roman" w:cstheme="minorHAnsi"/>
          <w:lang w:eastAsia="en-GB"/>
        </w:rPr>
        <w:t xml:space="preserve">what would have been the cost savings if </w:t>
      </w:r>
      <w:r w:rsidRPr="00921CD5">
        <w:rPr>
          <w:rFonts w:eastAsia="Times New Roman" w:cstheme="minorHAnsi"/>
          <w:lang w:eastAsia="en-GB"/>
        </w:rPr>
        <w:t>either</w:t>
      </w:r>
      <w:r w:rsidR="000271EC">
        <w:rPr>
          <w:rFonts w:eastAsia="Times New Roman" w:cstheme="minorHAnsi"/>
          <w:lang w:eastAsia="en-GB"/>
        </w:rPr>
        <w:t xml:space="preserve"> s</w:t>
      </w:r>
      <w:r w:rsidR="00520741" w:rsidRPr="00921CD5">
        <w:rPr>
          <w:rFonts w:eastAsia="Times New Roman" w:cstheme="minorHAnsi"/>
          <w:lang w:eastAsia="en-GB"/>
        </w:rPr>
        <w:t>imva</w:t>
      </w:r>
      <w:r w:rsidR="002B7F89" w:rsidRPr="00921CD5">
        <w:rPr>
          <w:rFonts w:eastAsia="Times New Roman" w:cstheme="minorHAnsi"/>
          <w:lang w:eastAsia="en-GB"/>
        </w:rPr>
        <w:t>statin</w:t>
      </w:r>
      <w:r w:rsidR="000271EC">
        <w:rPr>
          <w:rFonts w:eastAsia="Times New Roman" w:cstheme="minorHAnsi"/>
          <w:lang w:eastAsia="en-GB"/>
        </w:rPr>
        <w:t xml:space="preserve"> or a</w:t>
      </w:r>
      <w:r w:rsidR="00520741" w:rsidRPr="00921CD5">
        <w:rPr>
          <w:rFonts w:eastAsia="Times New Roman" w:cstheme="minorHAnsi"/>
          <w:lang w:eastAsia="en-GB"/>
        </w:rPr>
        <w:t>torva</w:t>
      </w:r>
      <w:r w:rsidR="002B7F89" w:rsidRPr="00921CD5">
        <w:rPr>
          <w:rFonts w:eastAsia="Times New Roman" w:cstheme="minorHAnsi"/>
          <w:lang w:eastAsia="en-GB"/>
        </w:rPr>
        <w:t>statin</w:t>
      </w:r>
      <w:r w:rsidR="00520741" w:rsidRPr="00921CD5">
        <w:rPr>
          <w:rFonts w:eastAsia="Times New Roman" w:cstheme="minorHAnsi"/>
          <w:lang w:eastAsia="en-GB"/>
        </w:rPr>
        <w:t xml:space="preserve"> </w:t>
      </w:r>
      <w:r w:rsidRPr="00921CD5">
        <w:rPr>
          <w:rFonts w:eastAsia="Times New Roman" w:cstheme="minorHAnsi"/>
          <w:lang w:eastAsia="en-GB"/>
        </w:rPr>
        <w:t xml:space="preserve">had been the active ingredients </w:t>
      </w:r>
      <w:r w:rsidR="00520741" w:rsidRPr="00921CD5">
        <w:rPr>
          <w:rFonts w:eastAsia="Times New Roman" w:cstheme="minorHAnsi"/>
          <w:lang w:eastAsia="en-GB"/>
        </w:rPr>
        <w:t>originally prescribed</w:t>
      </w:r>
      <w:r w:rsidRPr="00921CD5">
        <w:rPr>
          <w:rFonts w:eastAsia="Times New Roman" w:cstheme="minorHAnsi"/>
          <w:lang w:eastAsia="en-GB"/>
        </w:rPr>
        <w:t xml:space="preserve"> to new patients,</w:t>
      </w:r>
      <w:r w:rsidR="00520741" w:rsidRPr="00921CD5">
        <w:rPr>
          <w:rFonts w:eastAsia="Times New Roman" w:cstheme="minorHAnsi"/>
          <w:lang w:eastAsia="en-GB"/>
        </w:rPr>
        <w:t xml:space="preserve"> whenever these two </w:t>
      </w:r>
      <w:r w:rsidR="009B739C">
        <w:rPr>
          <w:rFonts w:eastAsia="Times New Roman" w:cstheme="minorHAnsi"/>
          <w:lang w:eastAsia="en-GB"/>
        </w:rPr>
        <w:t>medicines</w:t>
      </w:r>
      <w:r w:rsidR="00520741" w:rsidRPr="00921CD5">
        <w:rPr>
          <w:rFonts w:eastAsia="Times New Roman" w:cstheme="minorHAnsi"/>
          <w:lang w:eastAsia="en-GB"/>
        </w:rPr>
        <w:t xml:space="preserve"> </w:t>
      </w:r>
      <w:r w:rsidR="00520741" w:rsidRPr="00921CD5">
        <w:rPr>
          <w:rFonts w:eastAsia="Times New Roman" w:cstheme="minorHAnsi"/>
          <w:lang w:eastAsia="en-GB"/>
        </w:rPr>
        <w:lastRenderedPageBreak/>
        <w:t>were the prescribing standard in specific periods.</w:t>
      </w:r>
      <w:r w:rsidRPr="00921CD5">
        <w:rPr>
          <w:rFonts w:eastAsia="Times New Roman" w:cstheme="minorHAnsi"/>
          <w:lang w:eastAsia="en-GB"/>
        </w:rPr>
        <w:t xml:space="preserve"> Accordingly, t</w:t>
      </w:r>
      <w:r w:rsidR="00520741" w:rsidRPr="00921CD5">
        <w:rPr>
          <w:rFonts w:eastAsia="Times New Roman" w:cstheme="minorHAnsi"/>
          <w:lang w:eastAsia="en-GB"/>
        </w:rPr>
        <w:t xml:space="preserve">he </w:t>
      </w:r>
      <w:r w:rsidR="00520741" w:rsidRPr="00921CD5">
        <w:rPr>
          <w:rFonts w:eastAsia="Times New Roman" w:cstheme="minorHAnsi"/>
          <w:bCs/>
          <w:lang w:eastAsia="en-GB"/>
        </w:rPr>
        <w:t>hypothetical cost</w:t>
      </w:r>
      <w:r w:rsidRPr="00921CD5">
        <w:rPr>
          <w:rFonts w:eastAsia="Times New Roman" w:cstheme="minorHAnsi"/>
          <w:bCs/>
          <w:lang w:eastAsia="en-GB"/>
        </w:rPr>
        <w:t xml:space="preserve"> </w:t>
      </w:r>
      <w:r w:rsidR="00520741" w:rsidRPr="00921CD5">
        <w:rPr>
          <w:rFonts w:eastAsia="Times New Roman" w:cstheme="minorHAnsi"/>
          <w:lang w:eastAsia="en-GB"/>
        </w:rPr>
        <w:t xml:space="preserve">is constructed by substituting the originally prescribed treatment </w:t>
      </w:r>
      <m:oMath>
        <m:r>
          <w:rPr>
            <w:rFonts w:ascii="Cambria Math" w:eastAsia="Times New Roman" w:hAnsi="Cambria Math" w:cstheme="minorHAnsi"/>
            <w:lang w:eastAsia="en-GB"/>
          </w:rPr>
          <m:t>s</m:t>
        </m:r>
      </m:oMath>
      <w:r w:rsidR="00520741" w:rsidRPr="00921CD5">
        <w:rPr>
          <w:rFonts w:eastAsia="Times New Roman" w:cstheme="minorHAnsi"/>
          <w:lang w:eastAsia="en-GB"/>
        </w:rPr>
        <w:t xml:space="preserve">, with a </w:t>
      </w:r>
      <w:r w:rsidR="00520741" w:rsidRPr="00921CD5">
        <w:rPr>
          <w:rFonts w:eastAsia="Times New Roman" w:cstheme="minorHAnsi"/>
          <w:i/>
          <w:iCs/>
          <w:lang w:eastAsia="en-GB"/>
        </w:rPr>
        <w:t>therapeutically similar</w:t>
      </w:r>
      <w:r w:rsidR="00520741" w:rsidRPr="00921CD5">
        <w:rPr>
          <w:rFonts w:eastAsia="Times New Roman" w:cstheme="minorHAnsi"/>
          <w:lang w:eastAsia="en-GB"/>
        </w:rPr>
        <w:t xml:space="preserve"> one, denoted by </w:t>
      </w:r>
      <m:oMath>
        <m:sSup>
          <m:sSupPr>
            <m:ctrlPr>
              <w:rPr>
                <w:rFonts w:ascii="Cambria Math" w:eastAsia="Times New Roman" w:hAnsi="Cambria Math" w:cstheme="minorHAnsi"/>
                <w:i/>
                <w:lang w:eastAsia="en-GB"/>
              </w:rPr>
            </m:ctrlPr>
          </m:sSupPr>
          <m:e>
            <m:r>
              <w:rPr>
                <w:rFonts w:ascii="Cambria Math" w:eastAsia="Times New Roman" w:hAnsi="Cambria Math" w:cstheme="minorHAnsi"/>
                <w:lang w:eastAsia="en-GB"/>
              </w:rPr>
              <m:t>s</m:t>
            </m:r>
          </m:e>
          <m:sup>
            <m:r>
              <w:rPr>
                <w:rFonts w:ascii="Cambria Math" w:eastAsia="Times New Roman" w:hAnsi="Cambria Math" w:cstheme="minorHAnsi"/>
                <w:lang w:eastAsia="en-GB"/>
              </w:rPr>
              <m:t>*</m:t>
            </m:r>
          </m:sup>
        </m:sSup>
      </m:oMath>
      <w:r w:rsidR="00520741" w:rsidRPr="00921CD5">
        <w:rPr>
          <w:rFonts w:eastAsia="Times New Roman" w:cstheme="minorHAnsi"/>
          <w:lang w:eastAsia="en-GB"/>
        </w:rPr>
        <w:t>,</w:t>
      </w:r>
      <w:r w:rsidRPr="00921CD5">
        <w:rPr>
          <w:rFonts w:eastAsia="Times New Roman" w:cstheme="minorHAnsi"/>
          <w:lang w:eastAsia="en-GB"/>
        </w:rPr>
        <w:t xml:space="preserve"> containing </w:t>
      </w:r>
      <w:r w:rsidR="000271EC">
        <w:rPr>
          <w:rFonts w:eastAsia="Times New Roman" w:cstheme="minorHAnsi"/>
          <w:lang w:eastAsia="en-GB"/>
        </w:rPr>
        <w:t>s</w:t>
      </w:r>
      <w:r w:rsidR="00520741" w:rsidRPr="00921CD5">
        <w:rPr>
          <w:rFonts w:eastAsia="Times New Roman" w:cstheme="minorHAnsi"/>
          <w:lang w:eastAsia="en-GB"/>
        </w:rPr>
        <w:t>imva</w:t>
      </w:r>
      <w:r w:rsidR="002B7F89" w:rsidRPr="00921CD5">
        <w:rPr>
          <w:rFonts w:eastAsia="Times New Roman" w:cstheme="minorHAnsi"/>
          <w:lang w:eastAsia="en-GB"/>
        </w:rPr>
        <w:t>statin</w:t>
      </w:r>
      <w:r w:rsidR="00520741" w:rsidRPr="00921CD5">
        <w:rPr>
          <w:rFonts w:eastAsia="Times New Roman" w:cstheme="minorHAnsi"/>
          <w:lang w:eastAsia="en-GB"/>
        </w:rPr>
        <w:t xml:space="preserve"> for those first-time prescriptions issued between 2004 and May 2012, </w:t>
      </w:r>
      <w:r w:rsidRPr="00921CD5">
        <w:rPr>
          <w:rFonts w:eastAsia="Times New Roman" w:cstheme="minorHAnsi"/>
          <w:lang w:eastAsia="en-GB"/>
        </w:rPr>
        <w:t xml:space="preserve">or </w:t>
      </w:r>
      <w:r w:rsidR="000271EC">
        <w:rPr>
          <w:rFonts w:eastAsia="Times New Roman" w:cstheme="minorHAnsi"/>
          <w:lang w:eastAsia="en-GB"/>
        </w:rPr>
        <w:t>a</w:t>
      </w:r>
      <w:r w:rsidR="00520741" w:rsidRPr="00921CD5">
        <w:rPr>
          <w:rFonts w:eastAsia="Times New Roman" w:cstheme="minorHAnsi"/>
          <w:lang w:eastAsia="en-GB"/>
        </w:rPr>
        <w:t>torva</w:t>
      </w:r>
      <w:r w:rsidR="002B7F89" w:rsidRPr="00921CD5">
        <w:rPr>
          <w:rFonts w:eastAsia="Times New Roman" w:cstheme="minorHAnsi"/>
          <w:lang w:eastAsia="en-GB"/>
        </w:rPr>
        <w:t>statin</w:t>
      </w:r>
      <w:r w:rsidR="00520741" w:rsidRPr="00921CD5">
        <w:rPr>
          <w:rFonts w:eastAsia="Times New Roman" w:cstheme="minorHAnsi"/>
          <w:lang w:eastAsia="en-GB"/>
        </w:rPr>
        <w:t xml:space="preserve"> for those issued after May 2012.</w:t>
      </w:r>
    </w:p>
    <w:p w14:paraId="6489A5C4" w14:textId="77777777" w:rsidR="00520741" w:rsidRPr="00921CD5" w:rsidRDefault="00520741" w:rsidP="007144CB">
      <w:pPr>
        <w:spacing w:after="0" w:line="240" w:lineRule="auto"/>
        <w:jc w:val="both"/>
        <w:outlineLvl w:val="4"/>
        <w:rPr>
          <w:rFonts w:eastAsia="Times New Roman" w:cstheme="minorHAnsi"/>
          <w:lang w:eastAsia="en-GB"/>
        </w:rPr>
      </w:pPr>
    </w:p>
    <w:p w14:paraId="0FA931C3" w14:textId="50A6D6C7" w:rsidR="00520741" w:rsidRPr="00921CD5" w:rsidRDefault="00520741"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The therapeutic similarity</w:t>
      </w:r>
      <w:r w:rsidR="00545D8C" w:rsidRPr="00921CD5">
        <w:rPr>
          <w:rFonts w:eastAsia="Times New Roman" w:cstheme="minorHAnsi"/>
          <w:lang w:eastAsia="en-GB"/>
        </w:rPr>
        <w:t xml:space="preserve"> criteria we use</w:t>
      </w:r>
      <w:r w:rsidRPr="00921CD5">
        <w:rPr>
          <w:rFonts w:eastAsia="Times New Roman" w:cstheme="minorHAnsi"/>
          <w:lang w:eastAsia="en-GB"/>
        </w:rPr>
        <w:t xml:space="preserve"> is based on the ability of each strength </w:t>
      </w:r>
      <w:r w:rsidR="000271EC">
        <w:rPr>
          <w:rFonts w:eastAsia="Times New Roman" w:cstheme="minorHAnsi"/>
          <w:lang w:eastAsia="en-GB"/>
        </w:rPr>
        <w:t>of each drug (</w:t>
      </w:r>
      <w:r w:rsidR="00532D94">
        <w:rPr>
          <w:rFonts w:eastAsia="Times New Roman" w:cstheme="minorHAnsi"/>
          <w:lang w:eastAsia="en-GB"/>
        </w:rPr>
        <w:t>e.g.,</w:t>
      </w:r>
      <w:r w:rsidR="000271EC">
        <w:rPr>
          <w:rFonts w:eastAsia="Times New Roman" w:cstheme="minorHAnsi"/>
          <w:lang w:eastAsia="en-GB"/>
        </w:rPr>
        <w:t xml:space="preserve"> 1 tablet of a</w:t>
      </w:r>
      <w:r w:rsidRPr="00921CD5">
        <w:rPr>
          <w:rFonts w:eastAsia="Times New Roman" w:cstheme="minorHAnsi"/>
          <w:lang w:eastAsia="en-GB"/>
        </w:rPr>
        <w:t>torva</w:t>
      </w:r>
      <w:r w:rsidR="002B7F89" w:rsidRPr="00921CD5">
        <w:rPr>
          <w:rFonts w:eastAsia="Times New Roman" w:cstheme="minorHAnsi"/>
          <w:lang w:eastAsia="en-GB"/>
        </w:rPr>
        <w:t>statin</w:t>
      </w:r>
      <w:r w:rsidR="000271EC">
        <w:rPr>
          <w:rFonts w:eastAsia="Times New Roman" w:cstheme="minorHAnsi"/>
          <w:lang w:eastAsia="en-GB"/>
        </w:rPr>
        <w:t xml:space="preserve"> 20 mg. a day, 1 tablet of s</w:t>
      </w:r>
      <w:r w:rsidRPr="00921CD5">
        <w:rPr>
          <w:rFonts w:eastAsia="Times New Roman" w:cstheme="minorHAnsi"/>
          <w:lang w:eastAsia="en-GB"/>
        </w:rPr>
        <w:t>imva</w:t>
      </w:r>
      <w:r w:rsidR="002B7F89" w:rsidRPr="00921CD5">
        <w:rPr>
          <w:rFonts w:eastAsia="Times New Roman" w:cstheme="minorHAnsi"/>
          <w:lang w:eastAsia="en-GB"/>
        </w:rPr>
        <w:t>statin</w:t>
      </w:r>
      <w:r w:rsidRPr="00921CD5">
        <w:rPr>
          <w:rFonts w:eastAsia="Times New Roman" w:cstheme="minorHAnsi"/>
          <w:lang w:eastAsia="en-GB"/>
        </w:rPr>
        <w:t xml:space="preserve"> 40 mg. a day, etc.) in reducing low-density lipoprotein (LDLP) cholesterol levels per day of treatment</w:t>
      </w:r>
      <w:r w:rsidR="00C5432B" w:rsidRPr="00921CD5">
        <w:rPr>
          <w:rFonts w:eastAsia="Times New Roman" w:cstheme="minorHAnsi"/>
          <w:lang w:eastAsia="en-GB"/>
        </w:rPr>
        <w:t>.</w:t>
      </w:r>
      <w:r w:rsidR="00FC105F">
        <w:rPr>
          <w:rFonts w:eastAsia="Times New Roman" w:cstheme="minorHAnsi"/>
          <w:lang w:eastAsia="en-GB"/>
        </w:rPr>
        <w:t xml:space="preserve"> </w:t>
      </w:r>
      <w:r w:rsidR="00FC105F" w:rsidRPr="00FC105F">
        <w:rPr>
          <w:rFonts w:eastAsia="Times New Roman" w:cstheme="minorHAnsi"/>
          <w:lang w:eastAsia="en-GB"/>
        </w:rPr>
        <w:t xml:space="preserve">The percentage reduction in low density lipoprotein cholesterol is used in NICE’s </w:t>
      </w:r>
      <w:r w:rsidR="003F34BF">
        <w:rPr>
          <w:rFonts w:eastAsia="Times New Roman" w:cstheme="minorHAnsi"/>
          <w:lang w:eastAsia="en-GB"/>
        </w:rPr>
        <w:t>CG-181</w:t>
      </w:r>
      <w:r w:rsidR="00FC105F" w:rsidRPr="00FC105F">
        <w:rPr>
          <w:rFonts w:eastAsia="Times New Roman" w:cstheme="minorHAnsi"/>
          <w:lang w:eastAsia="en-GB"/>
        </w:rPr>
        <w:t xml:space="preserve"> to group the five statins (and each of their corresponding strength</w:t>
      </w:r>
      <w:r w:rsidR="00462748">
        <w:rPr>
          <w:rFonts w:eastAsia="Times New Roman" w:cstheme="minorHAnsi"/>
          <w:lang w:eastAsia="en-GB"/>
        </w:rPr>
        <w:t>s) according to their intensity.</w:t>
      </w:r>
      <w:r w:rsidR="00C5432B" w:rsidRPr="00921CD5">
        <w:rPr>
          <w:rFonts w:eastAsia="Times New Roman" w:cstheme="minorHAnsi"/>
          <w:lang w:eastAsia="en-GB"/>
        </w:rPr>
        <w:t xml:space="preserve"> </w:t>
      </w:r>
      <w:r w:rsidRPr="00921CD5">
        <w:rPr>
          <w:rFonts w:eastAsia="Times New Roman" w:cstheme="minorHAnsi"/>
          <w:lang w:eastAsia="en-GB"/>
        </w:rPr>
        <w:t xml:space="preserve">The relationship between the strengths of the </w:t>
      </w:r>
      <w:r w:rsidR="002B7F89" w:rsidRPr="00921CD5">
        <w:rPr>
          <w:rFonts w:eastAsia="Times New Roman" w:cstheme="minorHAnsi"/>
          <w:lang w:eastAsia="en-GB"/>
        </w:rPr>
        <w:t>statin</w:t>
      </w:r>
      <w:r w:rsidRPr="00921CD5">
        <w:rPr>
          <w:rFonts w:eastAsia="Times New Roman" w:cstheme="minorHAnsi"/>
          <w:lang w:eastAsia="en-GB"/>
        </w:rPr>
        <w:t xml:space="preserve">s and reduction in LDLP cholesterol is stated in NICE's </w:t>
      </w:r>
      <w:r w:rsidR="003F34BF">
        <w:rPr>
          <w:rFonts w:eastAsia="Times New Roman" w:cstheme="minorHAnsi"/>
          <w:lang w:eastAsia="en-GB"/>
        </w:rPr>
        <w:t>CG-181</w:t>
      </w:r>
      <w:r w:rsidRPr="00921CD5">
        <w:rPr>
          <w:rFonts w:eastAsia="Times New Roman" w:cstheme="minorHAnsi"/>
          <w:lang w:eastAsia="en-GB"/>
        </w:rPr>
        <w:t>, which in turn is based on the paper by Law et al. (2003).</w:t>
      </w:r>
      <w:r w:rsidR="00FC105F">
        <w:rPr>
          <w:rFonts w:eastAsia="Times New Roman" w:cstheme="minorHAnsi"/>
          <w:lang w:eastAsia="en-GB"/>
        </w:rPr>
        <w:fldChar w:fldCharType="begin"/>
      </w:r>
      <w:r w:rsidR="002A6D5F">
        <w:rPr>
          <w:rFonts w:eastAsia="Times New Roman" w:cstheme="minorHAnsi"/>
          <w:lang w:eastAsia="en-GB"/>
        </w:rPr>
        <w:instrText xml:space="preserve"> ADDIN ZOTERO_ITEM CSL_CITATION {"citationID":"bqtxQMby","properties":{"formattedCitation":"\\super 16\\nosupersub{}","plainCitation":"16","noteIndex":0},"citationItems":[{"id":18,"uris":["http://zotero.org/users/4387520/items/NWE5GNQ8"],"uri":["http://zotero.org/users/4387520/items/NWE5GNQ8"],"itemData":{"id":18,"type":"article-journal","abstract":"Objectives To determine by how much statins reduce serum concentrations of low density lipoprotein (LDL) cholesterol and incidence of ischaemic heart disease (IHD) events and stroke, according to drug, dose, and duration of treatment.\nDesign Three meta-analyses: 164 short term randomised placebo controlled trials of six statins and LDL cholesterol reduction; 58 randomised trials of cholesterol lowering by any means and IHD events; and nine cohort studies and the same 58 trials on stoke.\nMain outcome measures Reductions in LDL cholesterol according to statin and dose; reduction in IHD events and stroke for a specified reduction in LDL cholesterol.\nResults Reductions in LDL cholesterol (in the 164 trials) were 2.8 mmol/l (60%) with rosuvastatin 80 mg/day, 2.6 mmol/l (55%) with atorvastatin 80 mg/day, 1.8 mmol/l (40%) with atorvastatin 10 mg/day, lovastatin 40 mg/day, simvastatin 40 mg/day, or rosuvastatin 5 mg/day, all from pretreatment concentrations of 4.8 mmol/l. Pravastatin and fluvastatin achieved smaller reductions. In the 58 trials, for an LDL cholesterol reduction of 1.0 mmol/l the risk of IHD events was reduced by 11% in the first year of treatment, 24% in the second year, 33% in years three to five, and by 36% thereafter (P &lt; 0.001 for trend). IHD events were reduced by 20%, 31%, and 51% in trials grouped by LDL cholesterol reduction (means 0.5 mmol/l, 1.0 mmol/l, and 1.6 mmol/l) after results from first two years of treatment were excluded (P &lt; 0.001 for trend). After several years a reduction of 1.8 mmol/l would reduce IHD events by an estimated 61%. Results from the same 58 trials, corroborated by results from the nine cohort studies, show that lowering LDL cholesterol decreases all stroke by 10% for a 1 mmol/l reduction and 17% for a 1.8 mmol/l reduction. Estimates allow for the fact that trials tended to recruit people with vascular disease, among whom the effect of LDL cholesterol reduction on stroke is greater because of their higher risk of thromboembolic stroke (rather than haemorrhagic stroke) compared with people in the general population.\nConclusions Statins can lower LDL cholesterol concentration by an average of 1.8 mmol/l which reduces the risk of IHD events by about 60% and stroke by 17%.","container-title":"BMJ","DOI":"10.1136/bmj.326.7404.1423","ISSN":"0959-8138, 1468-5833","issue":"7404","journalAbbreviation":"BMJ","language":"en","note":"PMID: 12829554","page":"1423","source":"www.bmj.com","title":"Quantifying effect of statins on low density lipoprotein cholesterol, ischaemic heart disease, and stroke: systematic review and meta-analysis","title-short":"Quantifying effect of statins on low density lipoprotein cholesterol, ischaemic heart disease, and stroke","volume":"326","author":[{"family":"Law","given":"M. R."},{"family":"Wald","given":"N. J."},{"family":"Rudnicka","given":"A. R."}],"issued":{"date-parts":[["2003",6,26]]}}}],"schema":"https://github.com/citation-style-language/schema/raw/master/csl-citation.json"} </w:instrText>
      </w:r>
      <w:r w:rsidR="00FC105F">
        <w:rPr>
          <w:rFonts w:eastAsia="Times New Roman" w:cstheme="minorHAnsi"/>
          <w:lang w:eastAsia="en-GB"/>
        </w:rPr>
        <w:fldChar w:fldCharType="separate"/>
      </w:r>
      <w:r w:rsidR="002A6D5F" w:rsidRPr="002A6D5F">
        <w:rPr>
          <w:rFonts w:ascii="Calibri" w:hAnsi="Calibri" w:cs="Calibri"/>
          <w:szCs w:val="24"/>
          <w:vertAlign w:val="superscript"/>
        </w:rPr>
        <w:t>16</w:t>
      </w:r>
      <w:r w:rsidR="00FC105F">
        <w:rPr>
          <w:rFonts w:eastAsia="Times New Roman" w:cstheme="minorHAnsi"/>
          <w:lang w:eastAsia="en-GB"/>
        </w:rPr>
        <w:fldChar w:fldCharType="end"/>
      </w:r>
      <w:r w:rsidRPr="00921CD5">
        <w:rPr>
          <w:rFonts w:eastAsia="Times New Roman" w:cstheme="minorHAnsi"/>
          <w:lang w:eastAsia="en-GB"/>
        </w:rPr>
        <w:t xml:space="preserve"> A reproduction of this inf</w:t>
      </w:r>
      <w:r w:rsidR="00462748">
        <w:rPr>
          <w:rFonts w:eastAsia="Times New Roman" w:cstheme="minorHAnsi"/>
          <w:lang w:eastAsia="en-GB"/>
        </w:rPr>
        <w:t>ormation is presented in Table B</w:t>
      </w:r>
      <w:r w:rsidRPr="00921CD5">
        <w:rPr>
          <w:rFonts w:eastAsia="Times New Roman" w:cstheme="minorHAnsi"/>
          <w:lang w:eastAsia="en-GB"/>
        </w:rPr>
        <w:t xml:space="preserve">1.  </w:t>
      </w:r>
    </w:p>
    <w:p w14:paraId="34D7CD45" w14:textId="77777777" w:rsidR="00520741" w:rsidRPr="00921CD5" w:rsidRDefault="00520741" w:rsidP="007144CB">
      <w:pPr>
        <w:spacing w:after="0" w:line="240" w:lineRule="auto"/>
        <w:jc w:val="both"/>
        <w:outlineLvl w:val="4"/>
        <w:rPr>
          <w:rFonts w:eastAsia="Times New Roman" w:cstheme="minorHAnsi"/>
          <w:lang w:eastAsia="en-GB"/>
        </w:rPr>
      </w:pPr>
    </w:p>
    <w:p w14:paraId="2EA2EC35" w14:textId="7188746A" w:rsidR="00121FC7" w:rsidRPr="00921CD5" w:rsidRDefault="00121FC7" w:rsidP="007144CB">
      <w:pPr>
        <w:spacing w:after="0" w:line="240" w:lineRule="auto"/>
        <w:jc w:val="center"/>
        <w:rPr>
          <w:rFonts w:eastAsia="Times New Roman" w:cstheme="minorHAnsi"/>
          <w:color w:val="000000"/>
          <w:lang w:eastAsia="en-GB"/>
        </w:rPr>
      </w:pPr>
      <w:r w:rsidRPr="00921CD5">
        <w:rPr>
          <w:rFonts w:cstheme="minorHAnsi"/>
          <w:b/>
        </w:rPr>
        <w:t>Tabl</w:t>
      </w:r>
      <w:r w:rsidR="00462748">
        <w:rPr>
          <w:rFonts w:cstheme="minorHAnsi"/>
          <w:b/>
        </w:rPr>
        <w:t>e B</w:t>
      </w:r>
      <w:r w:rsidRPr="00921CD5">
        <w:rPr>
          <w:rFonts w:cstheme="minorHAnsi"/>
          <w:b/>
        </w:rPr>
        <w:t>1</w:t>
      </w:r>
      <w:r w:rsidRPr="00921CD5">
        <w:rPr>
          <w:rFonts w:cstheme="minorHAnsi"/>
        </w:rPr>
        <w:t xml:space="preserve">: Percentage </w:t>
      </w:r>
      <w:r w:rsidRPr="00921CD5">
        <w:rPr>
          <w:rFonts w:eastAsia="Times New Roman" w:cstheme="minorHAnsi"/>
          <w:color w:val="000000"/>
          <w:lang w:eastAsia="en-GB"/>
        </w:rPr>
        <w:t>Reduction in low-density lipoprotein cholesterol</w:t>
      </w:r>
      <w:r w:rsidRPr="00921CD5">
        <w:rPr>
          <w:rFonts w:eastAsia="Times New Roman" w:cstheme="minorHAnsi"/>
          <w:color w:val="000000"/>
          <w:lang w:eastAsia="en-GB"/>
        </w:rPr>
        <w:br/>
      </w:r>
      <w:r w:rsidR="00A26532" w:rsidRPr="00921CD5">
        <w:rPr>
          <w:rFonts w:cstheme="minorHAnsi"/>
          <w:noProof/>
          <w:lang w:eastAsia="en-GB"/>
        </w:rPr>
        <w:drawing>
          <wp:inline distT="0" distB="0" distL="0" distR="0" wp14:anchorId="0B0D9AD8" wp14:editId="58BA7697">
            <wp:extent cx="4099560" cy="12972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040" cy="1303092"/>
                    </a:xfrm>
                    <a:prstGeom prst="rect">
                      <a:avLst/>
                    </a:prstGeom>
                    <a:noFill/>
                    <a:ln>
                      <a:noFill/>
                    </a:ln>
                  </pic:spPr>
                </pic:pic>
              </a:graphicData>
            </a:graphic>
          </wp:inline>
        </w:drawing>
      </w:r>
      <w:r w:rsidR="00A26532" w:rsidRPr="00921CD5">
        <w:rPr>
          <w:rFonts w:eastAsia="Times New Roman" w:cstheme="minorHAnsi"/>
          <w:color w:val="000000"/>
          <w:lang w:eastAsia="en-GB"/>
        </w:rPr>
        <w:br/>
      </w:r>
      <w:r w:rsidR="00C5432B" w:rsidRPr="00921CD5">
        <w:rPr>
          <w:rFonts w:cstheme="minorHAnsi"/>
          <w:i/>
          <w:iCs/>
          <w:sz w:val="16"/>
          <w:szCs w:val="16"/>
        </w:rPr>
        <w:t>Notes</w:t>
      </w:r>
      <w:r w:rsidR="00C5432B" w:rsidRPr="00921CD5">
        <w:rPr>
          <w:rFonts w:cstheme="minorHAnsi"/>
          <w:sz w:val="16"/>
          <w:szCs w:val="16"/>
        </w:rPr>
        <w:t>. 20%-30%: low intensity. 31%-40%: medium intensity. Above 40%: high intensity.</w:t>
      </w:r>
    </w:p>
    <w:p w14:paraId="41530936" w14:textId="299529CC" w:rsidR="00C5432B" w:rsidRPr="00921CD5" w:rsidRDefault="00C5432B" w:rsidP="007144CB">
      <w:pPr>
        <w:spacing w:after="0" w:line="240" w:lineRule="auto"/>
        <w:jc w:val="center"/>
        <w:rPr>
          <w:rFonts w:cstheme="minorHAnsi"/>
        </w:rPr>
      </w:pPr>
    </w:p>
    <w:p w14:paraId="56D71AC5" w14:textId="01AC84EA" w:rsidR="00A26532" w:rsidRDefault="00C5432B"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 xml:space="preserve">To make this operative, for each level of percentage reduction in LDLP cholesterol achieved by the originally prescribed treatment, </w:t>
      </w:r>
      <w:r w:rsidR="00532D94" w:rsidRPr="00921CD5">
        <w:rPr>
          <w:rFonts w:eastAsia="Times New Roman" w:cstheme="minorHAnsi"/>
          <w:lang w:eastAsia="en-GB"/>
        </w:rPr>
        <w:t>i.e.,</w:t>
      </w:r>
      <w:r w:rsidRPr="00921CD5">
        <w:rPr>
          <w:rFonts w:eastAsia="Times New Roman" w:cstheme="minorHAnsi"/>
          <w:lang w:eastAsia="en-GB"/>
        </w:rPr>
        <w:t xml:space="preserve"> a drug-strength pair, we look fo</w:t>
      </w:r>
      <w:r w:rsidR="000271EC">
        <w:rPr>
          <w:rFonts w:eastAsia="Times New Roman" w:cstheme="minorHAnsi"/>
          <w:lang w:eastAsia="en-GB"/>
        </w:rPr>
        <w:t>r the closest strength of both s</w:t>
      </w:r>
      <w:r w:rsidRPr="00921CD5">
        <w:rPr>
          <w:rFonts w:eastAsia="Times New Roman" w:cstheme="minorHAnsi"/>
          <w:lang w:eastAsia="en-GB"/>
        </w:rPr>
        <w:t>imvas</w:t>
      </w:r>
      <w:r w:rsidR="000271EC">
        <w:rPr>
          <w:rFonts w:eastAsia="Times New Roman" w:cstheme="minorHAnsi"/>
          <w:lang w:eastAsia="en-GB"/>
        </w:rPr>
        <w:t>tatin and a</w:t>
      </w:r>
      <w:r w:rsidRPr="00921CD5">
        <w:rPr>
          <w:rFonts w:eastAsia="Times New Roman" w:cstheme="minorHAnsi"/>
          <w:lang w:eastAsia="en-GB"/>
        </w:rPr>
        <w:t>torvastatin that achieves a similar level in LDLP reduction to the originally prescribed one. The correspondence between original treatments and the sub</w:t>
      </w:r>
      <w:r w:rsidR="00462748">
        <w:rPr>
          <w:rFonts w:eastAsia="Times New Roman" w:cstheme="minorHAnsi"/>
          <w:lang w:eastAsia="en-GB"/>
        </w:rPr>
        <w:t>stitutes is presented in Table B</w:t>
      </w:r>
      <w:r w:rsidRPr="00921CD5">
        <w:rPr>
          <w:rFonts w:eastAsia="Times New Roman" w:cstheme="minorHAnsi"/>
          <w:lang w:eastAsia="en-GB"/>
        </w:rPr>
        <w:t>2. Columns (3) and (4) show t</w:t>
      </w:r>
      <w:r w:rsidR="000271EC">
        <w:rPr>
          <w:rFonts w:eastAsia="Times New Roman" w:cstheme="minorHAnsi"/>
          <w:lang w:eastAsia="en-GB"/>
        </w:rPr>
        <w:t>he strength of simvastatin and a</w:t>
      </w:r>
      <w:r w:rsidRPr="00921CD5">
        <w:rPr>
          <w:rFonts w:eastAsia="Times New Roman" w:cstheme="minorHAnsi"/>
          <w:lang w:eastAsia="en-GB"/>
        </w:rPr>
        <w:t xml:space="preserve">torvastatin, respectively, that achieves </w:t>
      </w:r>
      <w:r w:rsidR="00A26532" w:rsidRPr="00921CD5">
        <w:rPr>
          <w:rFonts w:eastAsia="Times New Roman" w:cstheme="minorHAnsi"/>
          <w:lang w:eastAsia="en-GB"/>
        </w:rPr>
        <w:t>the closest</w:t>
      </w:r>
      <w:r w:rsidRPr="00921CD5">
        <w:rPr>
          <w:rFonts w:eastAsia="Times New Roman" w:cstheme="minorHAnsi"/>
          <w:lang w:eastAsia="en-GB"/>
        </w:rPr>
        <w:t xml:space="preserve"> percentage reduction in LDLP cholesterol than the original treatments listed in columns (1) and (2).</w:t>
      </w:r>
      <w:r w:rsidR="00542D99" w:rsidRPr="00921CD5">
        <w:rPr>
          <w:rFonts w:eastAsia="Times New Roman" w:cstheme="minorHAnsi"/>
          <w:lang w:eastAsia="en-GB"/>
        </w:rPr>
        <w:t xml:space="preserve"> For exampl</w:t>
      </w:r>
      <w:r w:rsidR="000271EC">
        <w:rPr>
          <w:rFonts w:eastAsia="Times New Roman" w:cstheme="minorHAnsi"/>
          <w:lang w:eastAsia="en-GB"/>
        </w:rPr>
        <w:t>e, if a patient was prescribed a</w:t>
      </w:r>
      <w:r w:rsidR="00542D99" w:rsidRPr="00921CD5">
        <w:rPr>
          <w:rFonts w:eastAsia="Times New Roman" w:cstheme="minorHAnsi"/>
          <w:lang w:eastAsia="en-GB"/>
        </w:rPr>
        <w:t>torvastatin 10 mg</w:t>
      </w:r>
      <w:r w:rsidR="00022BC0">
        <w:rPr>
          <w:rFonts w:eastAsia="Times New Roman" w:cstheme="minorHAnsi"/>
          <w:lang w:eastAsia="en-GB"/>
        </w:rPr>
        <w:t xml:space="preserve"> a day</w:t>
      </w:r>
      <w:r w:rsidR="00542D99" w:rsidRPr="00921CD5">
        <w:rPr>
          <w:rFonts w:eastAsia="Times New Roman" w:cstheme="minorHAnsi"/>
          <w:lang w:eastAsia="en-GB"/>
        </w:rPr>
        <w:t xml:space="preserve"> for treatment initiation before 2012, the hypothetical prescription for </w:t>
      </w:r>
      <w:r w:rsidR="000271EC">
        <w:rPr>
          <w:rFonts w:eastAsia="Times New Roman" w:cstheme="minorHAnsi"/>
          <w:lang w:eastAsia="en-GB"/>
        </w:rPr>
        <w:t>this patient is a treatment of s</w:t>
      </w:r>
      <w:r w:rsidR="00542D99" w:rsidRPr="00921CD5">
        <w:rPr>
          <w:rFonts w:eastAsia="Times New Roman" w:cstheme="minorHAnsi"/>
          <w:lang w:eastAsia="en-GB"/>
        </w:rPr>
        <w:t>imvastatin 40 mg</w:t>
      </w:r>
      <w:r w:rsidR="00022BC0">
        <w:rPr>
          <w:rFonts w:eastAsia="Times New Roman" w:cstheme="minorHAnsi"/>
          <w:lang w:eastAsia="en-GB"/>
        </w:rPr>
        <w:t xml:space="preserve"> a day</w:t>
      </w:r>
      <w:r w:rsidR="00542D99" w:rsidRPr="00921CD5">
        <w:rPr>
          <w:rFonts w:eastAsia="Times New Roman" w:cstheme="minorHAnsi"/>
          <w:lang w:eastAsia="en-GB"/>
        </w:rPr>
        <w:t>, as both achieve a reduction of 37% in LDLP cholesterol. Second exampl</w:t>
      </w:r>
      <w:r w:rsidR="000271EC">
        <w:rPr>
          <w:rFonts w:eastAsia="Times New Roman" w:cstheme="minorHAnsi"/>
          <w:lang w:eastAsia="en-GB"/>
        </w:rPr>
        <w:t>e, if a patient was prescribed r</w:t>
      </w:r>
      <w:r w:rsidR="00542D99" w:rsidRPr="00921CD5">
        <w:rPr>
          <w:rFonts w:eastAsia="Times New Roman" w:cstheme="minorHAnsi"/>
          <w:lang w:eastAsia="en-GB"/>
        </w:rPr>
        <w:t xml:space="preserve">osuvastatin 10 mg for treatment initiation after 2012, then the hypothetical prescription for </w:t>
      </w:r>
      <w:r w:rsidR="000271EC">
        <w:rPr>
          <w:rFonts w:eastAsia="Times New Roman" w:cstheme="minorHAnsi"/>
          <w:lang w:eastAsia="en-GB"/>
        </w:rPr>
        <w:t>this patient is a treatment of a</w:t>
      </w:r>
      <w:r w:rsidR="00542D99" w:rsidRPr="00921CD5">
        <w:rPr>
          <w:rFonts w:eastAsia="Times New Roman" w:cstheme="minorHAnsi"/>
          <w:lang w:eastAsia="en-GB"/>
        </w:rPr>
        <w:t>torvastatin 20 mg, as both achieve a reduction of 43%.</w:t>
      </w:r>
    </w:p>
    <w:p w14:paraId="729F7A99" w14:textId="77777777" w:rsidR="006F7F62" w:rsidRPr="00921CD5" w:rsidRDefault="006F7F62" w:rsidP="007144CB">
      <w:pPr>
        <w:spacing w:after="0" w:line="240" w:lineRule="auto"/>
        <w:jc w:val="both"/>
        <w:outlineLvl w:val="4"/>
        <w:rPr>
          <w:rFonts w:eastAsia="Times New Roman" w:cstheme="minorHAnsi"/>
          <w:lang w:eastAsia="en-GB"/>
        </w:rPr>
      </w:pPr>
    </w:p>
    <w:p w14:paraId="4AD58C53" w14:textId="67B5C5AA" w:rsidR="00520741" w:rsidRDefault="00462748" w:rsidP="007144CB">
      <w:pPr>
        <w:spacing w:line="240" w:lineRule="auto"/>
        <w:jc w:val="center"/>
        <w:rPr>
          <w:rFonts w:cstheme="minorHAnsi"/>
          <w:color w:val="000000"/>
          <w:sz w:val="16"/>
          <w:szCs w:val="16"/>
        </w:rPr>
      </w:pPr>
      <w:r>
        <w:rPr>
          <w:rFonts w:cstheme="minorHAnsi"/>
          <w:b/>
        </w:rPr>
        <w:lastRenderedPageBreak/>
        <w:t>Table B</w:t>
      </w:r>
      <w:r w:rsidR="00520741" w:rsidRPr="00921CD5">
        <w:rPr>
          <w:rFonts w:cstheme="minorHAnsi"/>
          <w:b/>
        </w:rPr>
        <w:t>2</w:t>
      </w:r>
      <w:r w:rsidR="00121FC7" w:rsidRPr="00921CD5">
        <w:rPr>
          <w:rFonts w:cstheme="minorHAnsi"/>
        </w:rPr>
        <w:t xml:space="preserve">: Correspondence between all </w:t>
      </w:r>
      <w:r w:rsidR="002B7F89" w:rsidRPr="00921CD5">
        <w:rPr>
          <w:rFonts w:cstheme="minorHAnsi"/>
        </w:rPr>
        <w:t>Statin</w:t>
      </w:r>
      <w:r w:rsidR="00121FC7" w:rsidRPr="00921CD5">
        <w:rPr>
          <w:rFonts w:cstheme="minorHAnsi"/>
        </w:rPr>
        <w:t>s’</w:t>
      </w:r>
      <w:r w:rsidR="00520741" w:rsidRPr="00921CD5">
        <w:rPr>
          <w:rFonts w:cstheme="minorHAnsi"/>
        </w:rPr>
        <w:t xml:space="preserve"> treatments based on LDL cholesterol reduction</w:t>
      </w:r>
      <w:r w:rsidR="00520741" w:rsidRPr="00921CD5">
        <w:rPr>
          <w:rFonts w:cstheme="minorHAnsi"/>
        </w:rPr>
        <w:br/>
      </w:r>
      <w:r w:rsidR="00A26532" w:rsidRPr="00921CD5">
        <w:rPr>
          <w:rFonts w:cstheme="minorHAnsi"/>
          <w:noProof/>
          <w:lang w:eastAsia="en-GB"/>
        </w:rPr>
        <w:drawing>
          <wp:inline distT="0" distB="0" distL="0" distR="0" wp14:anchorId="6FC53CAD" wp14:editId="21331BFA">
            <wp:extent cx="2170706" cy="334343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7808" cy="3354373"/>
                    </a:xfrm>
                    <a:prstGeom prst="rect">
                      <a:avLst/>
                    </a:prstGeom>
                    <a:noFill/>
                    <a:ln>
                      <a:noFill/>
                    </a:ln>
                  </pic:spPr>
                </pic:pic>
              </a:graphicData>
            </a:graphic>
          </wp:inline>
        </w:drawing>
      </w:r>
      <w:r w:rsidR="00A26532" w:rsidRPr="00921CD5">
        <w:rPr>
          <w:rFonts w:cstheme="minorHAnsi"/>
        </w:rPr>
        <w:br/>
      </w:r>
      <w:r w:rsidR="00520741" w:rsidRPr="00921CD5">
        <w:rPr>
          <w:rFonts w:cstheme="minorHAnsi"/>
          <w:i/>
          <w:iCs/>
          <w:sz w:val="16"/>
          <w:szCs w:val="16"/>
        </w:rPr>
        <w:t>Notes</w:t>
      </w:r>
      <w:r w:rsidR="00921CD5">
        <w:rPr>
          <w:rFonts w:cstheme="minorHAnsi"/>
          <w:sz w:val="16"/>
          <w:szCs w:val="16"/>
        </w:rPr>
        <w:t>.</w:t>
      </w:r>
      <w:r w:rsidR="00520741" w:rsidRPr="00921CD5">
        <w:rPr>
          <w:rFonts w:cstheme="minorHAnsi"/>
          <w:sz w:val="16"/>
          <w:szCs w:val="16"/>
        </w:rPr>
        <w:t xml:space="preserve"> </w:t>
      </w:r>
      <w:r w:rsidR="00520741" w:rsidRPr="00921CD5">
        <w:rPr>
          <w:rFonts w:cstheme="minorHAnsi"/>
          <w:color w:val="000000"/>
          <w:sz w:val="16"/>
          <w:szCs w:val="16"/>
        </w:rPr>
        <w:t>This table is based on the Grouping from Table A1.</w:t>
      </w:r>
    </w:p>
    <w:p w14:paraId="0A6D64B6" w14:textId="77777777" w:rsidR="006F7F62" w:rsidRPr="00921CD5" w:rsidRDefault="006F7F62" w:rsidP="007144CB">
      <w:pPr>
        <w:spacing w:line="240" w:lineRule="auto"/>
        <w:jc w:val="center"/>
        <w:rPr>
          <w:rFonts w:cstheme="minorHAnsi"/>
        </w:rPr>
      </w:pPr>
    </w:p>
    <w:p w14:paraId="5E2AD9E4" w14:textId="1B001B1D" w:rsidR="00D0605D" w:rsidRDefault="00A26532" w:rsidP="007144CB">
      <w:pPr>
        <w:spacing w:after="0" w:line="240" w:lineRule="auto"/>
        <w:jc w:val="both"/>
        <w:outlineLvl w:val="4"/>
        <w:rPr>
          <w:rFonts w:eastAsia="Times New Roman" w:cstheme="minorHAnsi"/>
          <w:lang w:eastAsia="en-GB"/>
        </w:rPr>
      </w:pPr>
      <w:r w:rsidRPr="00921CD5">
        <w:rPr>
          <w:rFonts w:eastAsia="Times New Roman" w:cstheme="minorHAnsi"/>
          <w:lang w:eastAsia="en-GB"/>
        </w:rPr>
        <w:t xml:space="preserve">Finally, the hypothetical cost is computed by multiplying the total number of new patients times the cost of the therapeutically similar treatments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sSup>
              <m:sSupPr>
                <m:ctrlPr>
                  <w:rPr>
                    <w:rFonts w:ascii="Cambria Math" w:eastAsia="Times New Roman" w:hAnsi="Cambria Math" w:cstheme="minorHAnsi"/>
                    <w:i/>
                    <w:lang w:eastAsia="en-GB"/>
                  </w:rPr>
                </m:ctrlPr>
              </m:sSupPr>
              <m:e>
                <m:r>
                  <w:rPr>
                    <w:rFonts w:ascii="Cambria Math" w:eastAsia="Times New Roman" w:hAnsi="Cambria Math" w:cstheme="minorHAnsi"/>
                    <w:lang w:eastAsia="en-GB"/>
                  </w:rPr>
                  <m:t>s</m:t>
                </m:r>
              </m:e>
              <m:sup>
                <m:r>
                  <w:rPr>
                    <w:rFonts w:ascii="Cambria Math" w:eastAsia="Times New Roman" w:hAnsi="Cambria Math" w:cstheme="minorHAnsi"/>
                    <w:lang w:eastAsia="en-GB"/>
                  </w:rPr>
                  <m:t>*</m:t>
                </m:r>
              </m:sup>
            </m:sSup>
            <m:r>
              <w:rPr>
                <w:rFonts w:ascii="Cambria Math" w:eastAsia="Times New Roman" w:hAnsi="Cambria Math" w:cstheme="minorHAnsi"/>
                <w:lang w:eastAsia="en-GB"/>
              </w:rPr>
              <m:t>t</m:t>
            </m:r>
          </m:sub>
        </m:sSub>
      </m:oMath>
      <w:r w:rsidRPr="00921CD5">
        <w:rPr>
          <w:rFonts w:eastAsia="Times New Roman" w:cstheme="minorHAnsi"/>
          <w:lang w:eastAsia="en-GB"/>
        </w:rPr>
        <w:t xml:space="preserve"> times 28</w:t>
      </w:r>
      <w:r w:rsidR="00921CD5">
        <w:rPr>
          <w:rFonts w:eastAsia="Times New Roman" w:cstheme="minorHAnsi"/>
          <w:lang w:eastAsia="en-GB"/>
        </w:rPr>
        <w:t>, that is</w:t>
      </w:r>
      <w:r w:rsidRPr="00921CD5">
        <w:rPr>
          <w:rFonts w:eastAsia="Times New Roman" w:cstheme="minorHAnsi"/>
          <w:lang w:eastAsia="en-GB"/>
        </w:rPr>
        <w:t xml:space="preserv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HC</m:t>
            </m:r>
          </m:e>
          <m:sub>
            <m:r>
              <w:rPr>
                <w:rFonts w:ascii="Cambria Math" w:eastAsia="Times New Roman" w:hAnsi="Cambria Math" w:cstheme="minorHAnsi"/>
                <w:lang w:eastAsia="en-GB"/>
              </w:rPr>
              <m:t>st</m:t>
            </m:r>
          </m:sub>
        </m:sSub>
        <m:r>
          <w:rPr>
            <w:rFonts w:ascii="Cambria Math" w:eastAsia="Times New Roman" w:hAnsi="Cambria Math" w:cstheme="minorHAnsi"/>
            <w:lang w:eastAsia="en-GB"/>
          </w:rPr>
          <m:t>=</m:t>
        </m:r>
        <m:r>
          <m:rPr>
            <m:sty m:val="p"/>
          </m:rPr>
          <w:rPr>
            <w:rFonts w:ascii="Cambria Math" w:eastAsia="Times New Roman" w:hAnsi="Cambria Math" w:cstheme="minorHAnsi"/>
            <w:lang w:eastAsia="en-GB"/>
          </w:rPr>
          <m:t xml:space="preserve"> </m:t>
        </m:r>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N</m:t>
                </m:r>
              </m:e>
            </m:acc>
          </m:e>
          <m:sub>
            <m:r>
              <w:rPr>
                <w:rFonts w:ascii="Cambria Math" w:eastAsia="Times New Roman" w:hAnsi="Cambria Math" w:cstheme="minorHAnsi"/>
                <w:lang w:eastAsia="en-GB"/>
              </w:rPr>
              <m:t>st</m:t>
            </m:r>
          </m:sub>
        </m:sSub>
        <m:r>
          <w:rPr>
            <w:rFonts w:ascii="Cambria Math" w:eastAsia="Times New Roman" w:hAnsi="Cambria Math" w:cstheme="minorHAnsi"/>
            <w:lang w:eastAsia="en-GB"/>
          </w:rPr>
          <m:t>×</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sSup>
              <m:sSupPr>
                <m:ctrlPr>
                  <w:rPr>
                    <w:rFonts w:ascii="Cambria Math" w:eastAsia="Times New Roman" w:hAnsi="Cambria Math" w:cstheme="minorHAnsi"/>
                    <w:i/>
                    <w:lang w:eastAsia="en-GB"/>
                  </w:rPr>
                </m:ctrlPr>
              </m:sSupPr>
              <m:e>
                <m:r>
                  <w:rPr>
                    <w:rFonts w:ascii="Cambria Math" w:eastAsia="Times New Roman" w:hAnsi="Cambria Math" w:cstheme="minorHAnsi"/>
                    <w:lang w:eastAsia="en-GB"/>
                  </w:rPr>
                  <m:t>s</m:t>
                </m:r>
              </m:e>
              <m:sup>
                <m:r>
                  <w:rPr>
                    <w:rFonts w:ascii="Cambria Math" w:eastAsia="Times New Roman" w:hAnsi="Cambria Math" w:cstheme="minorHAnsi"/>
                    <w:lang w:eastAsia="en-GB"/>
                  </w:rPr>
                  <m:t>*</m:t>
                </m:r>
              </m:sup>
            </m:sSup>
            <m:r>
              <w:rPr>
                <w:rFonts w:ascii="Cambria Math" w:eastAsia="Times New Roman" w:hAnsi="Cambria Math" w:cstheme="minorHAnsi"/>
                <w:lang w:eastAsia="en-GB"/>
              </w:rPr>
              <m:t>t</m:t>
            </m:r>
          </m:sub>
        </m:sSub>
        <m:r>
          <w:rPr>
            <w:rFonts w:ascii="Cambria Math" w:eastAsia="Times New Roman" w:hAnsi="Cambria Math" w:cstheme="minorHAnsi"/>
            <w:lang w:eastAsia="en-GB"/>
          </w:rPr>
          <m:t>×28</m:t>
        </m:r>
      </m:oMath>
      <w:r w:rsidR="00921CD5">
        <w:rPr>
          <w:rFonts w:eastAsia="Times New Roman" w:cstheme="minorHAnsi"/>
          <w:lang w:eastAsia="en-GB"/>
        </w:rPr>
        <w:t xml:space="preserve">. </w:t>
      </w:r>
      <w:r w:rsidR="00921CD5" w:rsidRPr="00921CD5">
        <w:rPr>
          <w:rFonts w:eastAsia="Times New Roman" w:cstheme="minorHAnsi"/>
          <w:lang w:eastAsia="en-GB"/>
        </w:rPr>
        <w:t xml:space="preserve">Then we aggregate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HC</m:t>
            </m:r>
          </m:e>
          <m:sub>
            <m:r>
              <w:rPr>
                <w:rFonts w:ascii="Cambria Math" w:eastAsia="Times New Roman" w:hAnsi="Cambria Math" w:cstheme="minorHAnsi"/>
                <w:lang w:eastAsia="en-GB"/>
              </w:rPr>
              <m:t>st</m:t>
            </m:r>
          </m:sub>
        </m:sSub>
      </m:oMath>
      <w:r w:rsidR="00921CD5" w:rsidRPr="00921CD5">
        <w:rPr>
          <w:rFonts w:eastAsia="Times New Roman" w:cstheme="minorHAnsi"/>
          <w:lang w:eastAsia="en-GB"/>
        </w:rPr>
        <w:t xml:space="preserve"> over all treatments at the year-level, </w:t>
      </w:r>
      <m:oMath>
        <m:r>
          <w:rPr>
            <w:rFonts w:ascii="Cambria Math" w:eastAsia="Times New Roman" w:hAnsi="Cambria Math" w:cstheme="minorHAnsi"/>
            <w:lang w:eastAsia="en-GB"/>
          </w:rPr>
          <m:t>H</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C</m:t>
            </m:r>
          </m:e>
          <m:sub>
            <m:r>
              <w:rPr>
                <w:rFonts w:ascii="Cambria Math" w:eastAsia="Times New Roman" w:hAnsi="Cambria Math" w:cstheme="minorHAnsi"/>
                <w:lang w:eastAsia="en-GB"/>
              </w:rPr>
              <m:t>t</m:t>
            </m:r>
          </m:sub>
        </m:sSub>
        <m:r>
          <w:rPr>
            <w:rFonts w:ascii="Cambria Math" w:eastAsia="Times New Roman" w:hAnsi="Cambria Math" w:cstheme="minorHAnsi"/>
            <w:lang w:eastAsia="en-GB"/>
          </w:rPr>
          <m:t>=</m:t>
        </m:r>
        <m:nary>
          <m:naryPr>
            <m:chr m:val="∑"/>
            <m:limLoc m:val="subSup"/>
            <m:supHide m:val="1"/>
            <m:ctrlPr>
              <w:rPr>
                <w:rFonts w:ascii="Cambria Math" w:eastAsia="Times New Roman" w:hAnsi="Cambria Math" w:cstheme="minorHAnsi"/>
                <w:i/>
                <w:lang w:eastAsia="en-GB"/>
              </w:rPr>
            </m:ctrlPr>
          </m:naryPr>
          <m:sub>
            <m:r>
              <w:rPr>
                <w:rFonts w:ascii="Cambria Math" w:eastAsia="Times New Roman" w:hAnsi="Cambria Math" w:cstheme="minorHAnsi"/>
                <w:lang w:eastAsia="en-GB"/>
              </w:rPr>
              <m:t>s</m:t>
            </m:r>
          </m:sub>
          <m:sup/>
          <m:e>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HC</m:t>
                </m:r>
              </m:e>
              <m:sub>
                <m:r>
                  <w:rPr>
                    <w:rFonts w:ascii="Cambria Math" w:eastAsia="Times New Roman" w:hAnsi="Cambria Math" w:cstheme="minorHAnsi"/>
                    <w:lang w:eastAsia="en-GB"/>
                  </w:rPr>
                  <m:t>st</m:t>
                </m:r>
              </m:sub>
            </m:sSub>
          </m:e>
        </m:nary>
      </m:oMath>
      <w:r w:rsidR="00921CD5" w:rsidRPr="00921CD5">
        <w:rPr>
          <w:rFonts w:eastAsia="Times New Roman" w:cstheme="minorHAnsi"/>
          <w:lang w:eastAsia="en-GB"/>
        </w:rPr>
        <w:t>, which is the figure reported in column (</w:t>
      </w:r>
      <w:r w:rsidR="00921CD5">
        <w:rPr>
          <w:rFonts w:eastAsia="Times New Roman" w:cstheme="minorHAnsi"/>
          <w:lang w:eastAsia="en-GB"/>
        </w:rPr>
        <w:t>3</w:t>
      </w:r>
      <w:r w:rsidR="00921CD5" w:rsidRPr="00921CD5">
        <w:rPr>
          <w:rFonts w:eastAsia="Times New Roman" w:cstheme="minorHAnsi"/>
          <w:lang w:eastAsia="en-GB"/>
        </w:rPr>
        <w:t>) of Table 2.</w:t>
      </w:r>
    </w:p>
    <w:p w14:paraId="6E1CDE4E" w14:textId="77777777" w:rsidR="00921CD5" w:rsidRPr="00921CD5" w:rsidRDefault="00921CD5" w:rsidP="007144CB">
      <w:pPr>
        <w:spacing w:after="0" w:line="240" w:lineRule="auto"/>
        <w:jc w:val="both"/>
        <w:outlineLvl w:val="4"/>
        <w:rPr>
          <w:rFonts w:eastAsia="Times New Roman" w:cstheme="minorHAnsi"/>
          <w:lang w:eastAsia="en-GB"/>
        </w:rPr>
      </w:pPr>
    </w:p>
    <w:p w14:paraId="7D7538DF" w14:textId="2C1711A4" w:rsidR="00520741" w:rsidRPr="00921CD5" w:rsidRDefault="00520741" w:rsidP="007144CB">
      <w:pPr>
        <w:spacing w:after="0" w:line="240" w:lineRule="auto"/>
        <w:jc w:val="both"/>
        <w:outlineLvl w:val="4"/>
        <w:rPr>
          <w:rFonts w:eastAsia="Times New Roman" w:cstheme="minorHAnsi"/>
          <w:b/>
          <w:bCs/>
          <w:lang w:eastAsia="en-GB"/>
        </w:rPr>
      </w:pPr>
      <w:r w:rsidRPr="00921CD5">
        <w:rPr>
          <w:rFonts w:eastAsia="Times New Roman" w:cstheme="minorHAnsi"/>
          <w:b/>
          <w:bCs/>
          <w:lang w:eastAsia="en-GB"/>
        </w:rPr>
        <w:t>Second scenario</w:t>
      </w:r>
    </w:p>
    <w:p w14:paraId="6FEC619F" w14:textId="1B54E9CE" w:rsidR="00D0605D" w:rsidRDefault="00520741" w:rsidP="007144CB">
      <w:pPr>
        <w:spacing w:after="0" w:line="240" w:lineRule="auto"/>
        <w:jc w:val="both"/>
        <w:outlineLvl w:val="4"/>
        <w:rPr>
          <w:rFonts w:eastAsia="Times New Roman" w:cstheme="minorHAnsi"/>
          <w:lang w:eastAsia="en-GB"/>
        </w:rPr>
      </w:pPr>
      <w:r w:rsidRPr="00921CD5">
        <w:rPr>
          <w:rFonts w:cstheme="minorHAnsi"/>
        </w:rPr>
        <w:t xml:space="preserve">The second scenario considers not only first-time prescriptions for new patients, but all prescriptions for </w:t>
      </w:r>
      <w:r w:rsidR="00542D99" w:rsidRPr="00921CD5">
        <w:rPr>
          <w:rFonts w:cstheme="minorHAnsi"/>
        </w:rPr>
        <w:t>all existing</w:t>
      </w:r>
      <w:r w:rsidRPr="00921CD5">
        <w:rPr>
          <w:rFonts w:cstheme="minorHAnsi"/>
        </w:rPr>
        <w:t xml:space="preserve"> patients treated with </w:t>
      </w:r>
      <w:r w:rsidR="002B7F89" w:rsidRPr="00921CD5">
        <w:rPr>
          <w:rFonts w:cstheme="minorHAnsi"/>
        </w:rPr>
        <w:t>statin</w:t>
      </w:r>
      <w:r w:rsidRPr="00921CD5">
        <w:rPr>
          <w:rFonts w:cstheme="minorHAnsi"/>
        </w:rPr>
        <w:t xml:space="preserve">s. </w:t>
      </w:r>
      <w:r w:rsidR="00D0605D" w:rsidRPr="00921CD5">
        <w:rPr>
          <w:rFonts w:cstheme="minorHAnsi"/>
        </w:rPr>
        <w:t>For this</w:t>
      </w:r>
      <w:r w:rsidR="00B212F6" w:rsidRPr="00921CD5">
        <w:rPr>
          <w:rFonts w:cstheme="minorHAnsi"/>
        </w:rPr>
        <w:t xml:space="preserve">, we use the information on total quantity and spending from the PCA database. The actual cost is obtained by aggregating spending on all </w:t>
      </w:r>
      <w:r w:rsidR="002B7F89" w:rsidRPr="00921CD5">
        <w:rPr>
          <w:rFonts w:cstheme="minorHAnsi"/>
        </w:rPr>
        <w:t>statin</w:t>
      </w:r>
      <w:r w:rsidR="00B212F6" w:rsidRPr="00921CD5">
        <w:rPr>
          <w:rFonts w:cstheme="minorHAnsi"/>
        </w:rPr>
        <w:t xml:space="preserve">s </w:t>
      </w:r>
      <w:r w:rsidR="00A13B1C" w:rsidRPr="00921CD5">
        <w:rPr>
          <w:rFonts w:cstheme="minorHAnsi"/>
        </w:rPr>
        <w:t>prescribed in each year. T</w:t>
      </w:r>
      <w:r w:rsidR="00B212F6" w:rsidRPr="00921CD5">
        <w:rPr>
          <w:rFonts w:cstheme="minorHAnsi"/>
        </w:rPr>
        <w:t>he hypothetical cost is computed by replacing the</w:t>
      </w:r>
      <w:r w:rsidR="00C848A4" w:rsidRPr="00921CD5">
        <w:rPr>
          <w:rFonts w:cstheme="minorHAnsi"/>
        </w:rPr>
        <w:t xml:space="preserve"> per unit cost of the original</w:t>
      </w:r>
      <w:r w:rsidR="00B212F6" w:rsidRPr="00921CD5">
        <w:rPr>
          <w:rFonts w:cstheme="minorHAnsi"/>
        </w:rPr>
        <w:t xml:space="preserve"> treatment (</w:t>
      </w:r>
      <w:r w:rsidR="002B7F89" w:rsidRPr="00921CD5">
        <w:rPr>
          <w:rFonts w:cstheme="minorHAnsi"/>
        </w:rPr>
        <w:t>statin</w:t>
      </w:r>
      <w:r w:rsidR="00B212F6" w:rsidRPr="00921CD5">
        <w:rPr>
          <w:rFonts w:cstheme="minorHAnsi"/>
        </w:rPr>
        <w:t>s and strength</w:t>
      </w:r>
      <w:r w:rsidR="00A13B1C" w:rsidRPr="00921CD5">
        <w:rPr>
          <w:rFonts w:cstheme="minorHAnsi"/>
        </w:rPr>
        <w:t>) with the</w:t>
      </w:r>
      <w:r w:rsidR="003346F0" w:rsidRPr="00921CD5">
        <w:rPr>
          <w:rFonts w:cstheme="minorHAnsi"/>
        </w:rPr>
        <w:t xml:space="preserve"> </w:t>
      </w:r>
      <w:r w:rsidR="00C848A4" w:rsidRPr="00921CD5">
        <w:rPr>
          <w:rFonts w:cstheme="minorHAnsi"/>
        </w:rPr>
        <w:t xml:space="preserve">corresponding cost of the </w:t>
      </w:r>
      <w:r w:rsidR="00B212F6" w:rsidRPr="00921CD5">
        <w:rPr>
          <w:rFonts w:cstheme="minorHAnsi"/>
        </w:rPr>
        <w:t>th</w:t>
      </w:r>
      <w:r w:rsidR="00A13B1C" w:rsidRPr="00921CD5">
        <w:rPr>
          <w:rFonts w:cstheme="minorHAnsi"/>
        </w:rPr>
        <w:t xml:space="preserve">erapeutically </w:t>
      </w:r>
      <w:r w:rsidR="003346F0" w:rsidRPr="00921CD5">
        <w:rPr>
          <w:rFonts w:cstheme="minorHAnsi"/>
        </w:rPr>
        <w:t>simila</w:t>
      </w:r>
      <w:r w:rsidR="00A13B1C" w:rsidRPr="00921CD5">
        <w:rPr>
          <w:rFonts w:cstheme="minorHAnsi"/>
        </w:rPr>
        <w:t>r treatment (</w:t>
      </w:r>
      <w:r w:rsidR="00B212F6" w:rsidRPr="00921CD5">
        <w:rPr>
          <w:rFonts w:cstheme="minorHAnsi"/>
        </w:rPr>
        <w:t>eit</w:t>
      </w:r>
      <w:r w:rsidR="000271EC">
        <w:rPr>
          <w:rFonts w:cstheme="minorHAnsi"/>
        </w:rPr>
        <w:t>her s</w:t>
      </w:r>
      <w:r w:rsidR="00A13B1C" w:rsidRPr="00921CD5">
        <w:rPr>
          <w:rFonts w:cstheme="minorHAnsi"/>
        </w:rPr>
        <w:t>imva</w:t>
      </w:r>
      <w:r w:rsidR="002B7F89" w:rsidRPr="00921CD5">
        <w:rPr>
          <w:rFonts w:cstheme="minorHAnsi"/>
        </w:rPr>
        <w:t>statin</w:t>
      </w:r>
      <w:r w:rsidR="000271EC">
        <w:rPr>
          <w:rFonts w:cstheme="minorHAnsi"/>
        </w:rPr>
        <w:t xml:space="preserve"> or a</w:t>
      </w:r>
      <w:r w:rsidR="00A13B1C" w:rsidRPr="00921CD5">
        <w:rPr>
          <w:rFonts w:cstheme="minorHAnsi"/>
        </w:rPr>
        <w:t>torva</w:t>
      </w:r>
      <w:r w:rsidR="002B7F89" w:rsidRPr="00921CD5">
        <w:rPr>
          <w:rFonts w:cstheme="minorHAnsi"/>
        </w:rPr>
        <w:t>statin</w:t>
      </w:r>
      <w:r w:rsidR="00A13B1C" w:rsidRPr="00921CD5">
        <w:rPr>
          <w:rFonts w:cstheme="minorHAnsi"/>
        </w:rPr>
        <w:t>)</w:t>
      </w:r>
      <w:r w:rsidR="00C848A4" w:rsidRPr="00921CD5">
        <w:rPr>
          <w:rFonts w:cstheme="minorHAnsi"/>
        </w:rPr>
        <w:t>, as described above.</w:t>
      </w:r>
      <w:r w:rsidR="00921CD5">
        <w:rPr>
          <w:rFonts w:cstheme="minorHAnsi"/>
        </w:rPr>
        <w:t xml:space="preserve"> </w:t>
      </w:r>
      <w:r w:rsidR="00C848A4" w:rsidRPr="00921CD5">
        <w:rPr>
          <w:rFonts w:cstheme="minorHAnsi"/>
        </w:rPr>
        <w:t>Additionally</w:t>
      </w:r>
      <w:r w:rsidR="00B212F6" w:rsidRPr="00921CD5">
        <w:rPr>
          <w:rFonts w:cstheme="minorHAnsi"/>
        </w:rPr>
        <w:t xml:space="preserve">, </w:t>
      </w:r>
      <w:r w:rsidR="00C848A4" w:rsidRPr="00921CD5">
        <w:rPr>
          <w:rFonts w:cstheme="minorHAnsi"/>
        </w:rPr>
        <w:t xml:space="preserve">to provide an </w:t>
      </w:r>
      <w:r w:rsidR="00B212F6" w:rsidRPr="00921CD5">
        <w:rPr>
          <w:rFonts w:cstheme="minorHAnsi"/>
        </w:rPr>
        <w:t xml:space="preserve">estimate </w:t>
      </w:r>
      <w:r w:rsidR="00C848A4" w:rsidRPr="00921CD5">
        <w:rPr>
          <w:rFonts w:cstheme="minorHAnsi"/>
        </w:rPr>
        <w:t xml:space="preserve">of </w:t>
      </w:r>
      <w:r w:rsidR="00B212F6" w:rsidRPr="00921CD5">
        <w:rPr>
          <w:rFonts w:cstheme="minorHAnsi"/>
        </w:rPr>
        <w:t>the total number of all</w:t>
      </w:r>
      <w:r w:rsidR="00542D99" w:rsidRPr="00921CD5">
        <w:rPr>
          <w:rFonts w:cstheme="minorHAnsi"/>
        </w:rPr>
        <w:t xml:space="preserve"> existing</w:t>
      </w:r>
      <w:r w:rsidR="00B212F6" w:rsidRPr="00921CD5">
        <w:rPr>
          <w:rFonts w:cstheme="minorHAnsi"/>
        </w:rPr>
        <w:t xml:space="preserve"> patie</w:t>
      </w:r>
      <w:r w:rsidR="00C848A4" w:rsidRPr="00921CD5">
        <w:rPr>
          <w:rFonts w:cstheme="minorHAnsi"/>
        </w:rPr>
        <w:t xml:space="preserve">nts treated </w:t>
      </w:r>
      <w:r w:rsidR="002058FC" w:rsidRPr="00921CD5">
        <w:rPr>
          <w:rFonts w:cstheme="minorHAnsi"/>
        </w:rPr>
        <w:t xml:space="preserve">with </w:t>
      </w:r>
      <w:r w:rsidR="002B7F89" w:rsidRPr="00921CD5">
        <w:rPr>
          <w:rFonts w:cstheme="minorHAnsi"/>
        </w:rPr>
        <w:t>statin</w:t>
      </w:r>
      <w:r w:rsidR="002058FC" w:rsidRPr="00921CD5">
        <w:rPr>
          <w:rFonts w:cstheme="minorHAnsi"/>
        </w:rPr>
        <w:t xml:space="preserve">s </w:t>
      </w:r>
      <w:r w:rsidR="00C848A4" w:rsidRPr="00921CD5">
        <w:rPr>
          <w:rFonts w:cstheme="minorHAnsi"/>
        </w:rPr>
        <w:t>in every period,</w:t>
      </w:r>
      <w:r w:rsidR="002058FC" w:rsidRPr="00921CD5">
        <w:rPr>
          <w:rFonts w:cstheme="minorHAnsi"/>
        </w:rPr>
        <w:t xml:space="preserve"> </w:t>
      </w:r>
      <m:oMath>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P</m:t>
                </m:r>
              </m:e>
            </m:acc>
          </m:e>
          <m:sub>
            <m:r>
              <w:rPr>
                <w:rFonts w:ascii="Cambria Math" w:eastAsia="Times New Roman" w:hAnsi="Cambria Math" w:cstheme="minorHAnsi"/>
                <w:lang w:eastAsia="en-GB"/>
              </w:rPr>
              <m:t>t</m:t>
            </m:r>
          </m:sub>
        </m:sSub>
      </m:oMath>
      <w:r w:rsidR="002058FC" w:rsidRPr="00921CD5">
        <w:rPr>
          <w:rFonts w:eastAsiaTheme="minorEastAsia" w:cstheme="minorHAnsi"/>
          <w:lang w:eastAsia="en-GB"/>
        </w:rPr>
        <w:t xml:space="preserve"> (</w:t>
      </w:r>
      <w:r w:rsidR="00C848A4" w:rsidRPr="00921CD5">
        <w:rPr>
          <w:rFonts w:cstheme="minorHAnsi"/>
        </w:rPr>
        <w:t>the figure reported in column (6) of Table 2</w:t>
      </w:r>
      <w:r w:rsidR="002058FC" w:rsidRPr="00921CD5">
        <w:rPr>
          <w:rFonts w:cstheme="minorHAnsi"/>
        </w:rPr>
        <w:t>)</w:t>
      </w:r>
      <w:r w:rsidR="00C848A4" w:rsidRPr="00921CD5">
        <w:rPr>
          <w:rFonts w:cstheme="minorHAnsi"/>
        </w:rPr>
        <w:t xml:space="preserve">, we compute  </w:t>
      </w:r>
      <m:oMath>
        <m:sSub>
          <m:sSubPr>
            <m:ctrlPr>
              <w:rPr>
                <w:rFonts w:ascii="Cambria Math" w:eastAsia="Times New Roman" w:hAnsi="Cambria Math" w:cstheme="minorHAnsi"/>
                <w:i/>
                <w:lang w:eastAsia="en-GB"/>
              </w:rPr>
            </m:ctrlPr>
          </m:sSubPr>
          <m:e>
            <m:acc>
              <m:accPr>
                <m:ctrlPr>
                  <w:rPr>
                    <w:rFonts w:ascii="Cambria Math" w:eastAsia="Times New Roman" w:hAnsi="Cambria Math" w:cstheme="minorHAnsi"/>
                    <w:i/>
                    <w:lang w:eastAsia="en-GB"/>
                  </w:rPr>
                </m:ctrlPr>
              </m:accPr>
              <m:e>
                <m:r>
                  <w:rPr>
                    <w:rFonts w:ascii="Cambria Math" w:eastAsia="Times New Roman" w:hAnsi="Cambria Math" w:cstheme="minorHAnsi"/>
                    <w:lang w:eastAsia="en-GB"/>
                  </w:rPr>
                  <m:t>P</m:t>
                </m:r>
              </m:e>
            </m:acc>
          </m:e>
          <m:sub>
            <m:r>
              <w:rPr>
                <w:rFonts w:ascii="Cambria Math" w:eastAsia="Times New Roman" w:hAnsi="Cambria Math" w:cstheme="minorHAnsi"/>
                <w:lang w:eastAsia="en-GB"/>
              </w:rPr>
              <m:t>t</m:t>
            </m:r>
          </m:sub>
        </m:sSub>
        <m:r>
          <w:rPr>
            <w:rFonts w:ascii="Cambria Math" w:eastAsia="Times New Roman" w:hAnsi="Cambria Math" w:cstheme="minorHAnsi"/>
            <w:lang w:eastAsia="en-GB"/>
          </w:rPr>
          <m:t>=</m:t>
        </m:r>
        <m:nary>
          <m:naryPr>
            <m:chr m:val="∑"/>
            <m:limLoc m:val="subSup"/>
            <m:supHide m:val="1"/>
            <m:ctrlPr>
              <w:rPr>
                <w:rFonts w:ascii="Cambria Math" w:eastAsia="Times New Roman" w:hAnsi="Cambria Math" w:cstheme="minorHAnsi"/>
                <w:i/>
                <w:lang w:eastAsia="en-GB"/>
              </w:rPr>
            </m:ctrlPr>
          </m:naryPr>
          <m:sub>
            <m:r>
              <w:rPr>
                <w:rFonts w:ascii="Cambria Math" w:eastAsia="Times New Roman" w:hAnsi="Cambria Math" w:cstheme="minorHAnsi"/>
                <w:lang w:eastAsia="en-GB"/>
              </w:rPr>
              <m:t>s</m:t>
            </m:r>
          </m:sub>
          <m:sup/>
          <m:e>
            <m:f>
              <m:fPr>
                <m:ctrlPr>
                  <w:rPr>
                    <w:rFonts w:ascii="Cambria Math" w:eastAsia="Times New Roman" w:hAnsi="Cambria Math" w:cstheme="minorHAnsi"/>
                    <w:i/>
                    <w:lang w:eastAsia="en-GB"/>
                  </w:rPr>
                </m:ctrlPr>
              </m:fPr>
              <m:num>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p</m:t>
                    </m:r>
                  </m:e>
                  <m:sub>
                    <m:r>
                      <w:rPr>
                        <w:rFonts w:ascii="Cambria Math" w:eastAsia="Times New Roman" w:hAnsi="Cambria Math" w:cstheme="minorHAnsi"/>
                        <w:lang w:eastAsia="en-GB"/>
                      </w:rPr>
                      <m:t>st</m:t>
                    </m:r>
                  </m:sub>
                </m:sSub>
              </m:num>
              <m:den>
                <m:r>
                  <m:rPr>
                    <m:sty m:val="p"/>
                  </m:rPr>
                  <w:rPr>
                    <w:rFonts w:ascii="Cambria Math" w:eastAsia="Times New Roman" w:hAnsi="Cambria Math" w:cstheme="minorHAnsi"/>
                    <w:lang w:eastAsia="en-GB"/>
                  </w:rPr>
                  <m:t xml:space="preserve"> </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den>
            </m:f>
            <m:r>
              <w:rPr>
                <w:rFonts w:ascii="Cambria Math" w:eastAsia="Times New Roman" w:hAnsi="Cambria Math" w:cstheme="minorHAnsi"/>
                <w:lang w:eastAsia="en-GB"/>
              </w:rPr>
              <m:t>×</m:t>
            </m:r>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Q</m:t>
                </m:r>
              </m:e>
              <m:sub>
                <m:r>
                  <w:rPr>
                    <w:rFonts w:ascii="Cambria Math" w:eastAsia="Times New Roman" w:hAnsi="Cambria Math" w:cstheme="minorHAnsi"/>
                    <w:lang w:eastAsia="en-GB"/>
                  </w:rPr>
                  <m:t>st</m:t>
                </m:r>
              </m:sub>
            </m:sSub>
          </m:e>
        </m:nary>
      </m:oMath>
      <w:r w:rsidR="002058FC" w:rsidRPr="00921CD5">
        <w:rPr>
          <w:rFonts w:eastAsia="Times New Roman" w:cstheme="minorHAnsi"/>
          <w:lang w:eastAsia="en-GB"/>
        </w:rPr>
        <w:t xml:space="preserve">, where </w:t>
      </w:r>
      <m:oMath>
        <m:sSub>
          <m:sSubPr>
            <m:ctrlPr>
              <w:rPr>
                <w:rFonts w:ascii="Cambria Math" w:eastAsia="Times New Roman" w:hAnsi="Cambria Math" w:cstheme="minorHAnsi"/>
                <w:i/>
                <w:lang w:eastAsia="en-GB"/>
              </w:rPr>
            </m:ctrlPr>
          </m:sSubPr>
          <m:e>
            <m:r>
              <w:rPr>
                <w:rFonts w:ascii="Cambria Math" w:eastAsia="Times New Roman" w:hAnsi="Cambria Math" w:cstheme="minorHAnsi"/>
                <w:lang w:eastAsia="en-GB"/>
              </w:rPr>
              <m:t>p</m:t>
            </m:r>
          </m:e>
          <m:sub>
            <m:r>
              <w:rPr>
                <w:rFonts w:ascii="Cambria Math" w:eastAsia="Times New Roman" w:hAnsi="Cambria Math" w:cstheme="minorHAnsi"/>
                <w:lang w:eastAsia="en-GB"/>
              </w:rPr>
              <m:t>st</m:t>
            </m:r>
          </m:sub>
        </m:sSub>
      </m:oMath>
      <w:r w:rsidR="00B212F6" w:rsidRPr="00921CD5">
        <w:rPr>
          <w:rFonts w:cstheme="minorHAnsi"/>
        </w:rPr>
        <w:t xml:space="preserve">  </w:t>
      </w:r>
      <w:r w:rsidR="002058FC" w:rsidRPr="00921CD5">
        <w:rPr>
          <w:rFonts w:cstheme="minorHAnsi"/>
        </w:rPr>
        <w:t xml:space="preserve">denotes the total number of </w:t>
      </w:r>
      <w:r w:rsidR="00542D99" w:rsidRPr="00921CD5">
        <w:rPr>
          <w:rFonts w:cstheme="minorHAnsi"/>
        </w:rPr>
        <w:t xml:space="preserve">all existing </w:t>
      </w:r>
      <w:r w:rsidR="002058FC" w:rsidRPr="00921CD5">
        <w:rPr>
          <w:rFonts w:cstheme="minorHAnsi"/>
        </w:rPr>
        <w:t xml:space="preserve">patients using treatment </w:t>
      </w:r>
      <w:r w:rsidR="002058FC" w:rsidRPr="00921CD5">
        <w:rPr>
          <w:rFonts w:cstheme="minorHAnsi"/>
          <w:i/>
        </w:rPr>
        <w:t xml:space="preserve">s </w:t>
      </w:r>
      <w:r w:rsidR="002058FC" w:rsidRPr="00921CD5">
        <w:rPr>
          <w:rFonts w:cstheme="minorHAnsi"/>
        </w:rPr>
        <w:t xml:space="preserve">at time </w:t>
      </w:r>
      <w:r w:rsidR="002058FC" w:rsidRPr="00921CD5">
        <w:rPr>
          <w:rFonts w:cstheme="minorHAnsi"/>
          <w:i/>
        </w:rPr>
        <w:t>t</w:t>
      </w:r>
      <w:r w:rsidR="002058FC" w:rsidRPr="00921CD5">
        <w:rPr>
          <w:rFonts w:cstheme="minorHAnsi"/>
        </w:rPr>
        <w:t xml:space="preserve"> as reported in the </w:t>
      </w:r>
      <w:r w:rsidR="002058FC" w:rsidRPr="00921CD5">
        <w:rPr>
          <w:rFonts w:eastAsia="Times New Roman" w:cstheme="minorHAnsi"/>
          <w:lang w:eastAsia="en-GB"/>
        </w:rPr>
        <w:t>RCGP R&amp;SC database.</w:t>
      </w:r>
    </w:p>
    <w:p w14:paraId="4C6D522B" w14:textId="18F623ED" w:rsidR="00D64790" w:rsidRDefault="00D64790" w:rsidP="007144CB">
      <w:pPr>
        <w:spacing w:after="0" w:line="240" w:lineRule="auto"/>
        <w:jc w:val="both"/>
        <w:outlineLvl w:val="4"/>
        <w:rPr>
          <w:rFonts w:eastAsia="Times New Roman" w:cstheme="minorHAnsi"/>
          <w:lang w:eastAsia="en-GB"/>
        </w:rPr>
      </w:pPr>
    </w:p>
    <w:bookmarkEnd w:id="0"/>
    <w:p w14:paraId="451F3279" w14:textId="3B5C271B" w:rsidR="00D64790" w:rsidRDefault="00D64790" w:rsidP="007144CB">
      <w:pPr>
        <w:spacing w:line="240" w:lineRule="auto"/>
        <w:rPr>
          <w:rFonts w:eastAsia="Times New Roman" w:cstheme="minorHAnsi"/>
          <w:lang w:eastAsia="en-GB"/>
        </w:rPr>
      </w:pPr>
    </w:p>
    <w:sectPr w:rsidR="00D64790" w:rsidSect="006626DE">
      <w:footerReference w:type="default" r:id="rId22"/>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aul Roderick" w:date="2021-04-28T14:43:00Z" w:initials="PR">
    <w:p w14:paraId="37EBC962" w14:textId="2E457F4B" w:rsidR="0059585D" w:rsidRDefault="0059585D">
      <w:pPr>
        <w:pStyle w:val="CommentText"/>
      </w:pPr>
      <w:r>
        <w:rPr>
          <w:rStyle w:val="CommentReference"/>
        </w:rPr>
        <w:annotationRef/>
      </w:r>
      <w:r>
        <w:t>Population? Meaning of english epi?</w:t>
      </w:r>
    </w:p>
  </w:comment>
  <w:comment w:id="2" w:author="Paul Roderick" w:date="2021-04-08T10:56:00Z" w:initials="PR">
    <w:p w14:paraId="214DDFEA" w14:textId="2F4B6489" w:rsidR="0059585D" w:rsidRDefault="0059585D">
      <w:pPr>
        <w:pStyle w:val="CommentText"/>
      </w:pPr>
      <w:r>
        <w:rPr>
          <w:rStyle w:val="CommentReference"/>
        </w:rPr>
        <w:annotationRef/>
      </w:r>
      <w:r>
        <w:t xml:space="preserve">Suggest rephrase the representativeness as one sentence  </w:t>
      </w:r>
    </w:p>
    <w:p w14:paraId="7A5C95C3" w14:textId="538CB6AD" w:rsidR="0059585D" w:rsidRDefault="0059585D">
      <w:pPr>
        <w:pStyle w:val="CommentText"/>
      </w:pPr>
      <w:r>
        <w:t xml:space="preserve">Not sure what english epidemiology means </w:t>
      </w:r>
    </w:p>
    <w:p w14:paraId="1121F3A1" w14:textId="3BF8F32D" w:rsidR="0059585D" w:rsidRDefault="0059585D">
      <w:pPr>
        <w:pStyle w:val="CommentText"/>
      </w:pPr>
      <w:r>
        <w:t>Rep of english population in terms of socio-demographics and geography?</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EBC962" w15:done="0"/>
  <w15:commentEx w15:paraId="1121F3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EBC962" w16cid:durableId="2433FDE6"/>
  <w16cid:commentId w16cid:paraId="1121F3A1" w16cid:durableId="2419C3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B8384" w14:textId="77777777" w:rsidR="00A5410B" w:rsidRDefault="00A5410B" w:rsidP="00FA503E">
      <w:pPr>
        <w:spacing w:after="0" w:line="240" w:lineRule="auto"/>
      </w:pPr>
      <w:r>
        <w:separator/>
      </w:r>
    </w:p>
  </w:endnote>
  <w:endnote w:type="continuationSeparator" w:id="0">
    <w:p w14:paraId="5AD9289D" w14:textId="77777777" w:rsidR="00A5410B" w:rsidRDefault="00A5410B" w:rsidP="00FA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788990"/>
      <w:docPartObj>
        <w:docPartGallery w:val="Page Numbers (Bottom of Page)"/>
        <w:docPartUnique/>
      </w:docPartObj>
    </w:sdtPr>
    <w:sdtEndPr>
      <w:rPr>
        <w:noProof/>
      </w:rPr>
    </w:sdtEndPr>
    <w:sdtContent>
      <w:p w14:paraId="691CAF69" w14:textId="53FD1452" w:rsidR="0059585D" w:rsidRDefault="0059585D">
        <w:pPr>
          <w:pStyle w:val="Footer"/>
          <w:jc w:val="right"/>
        </w:pPr>
        <w:r>
          <w:fldChar w:fldCharType="begin"/>
        </w:r>
        <w:r>
          <w:instrText xml:space="preserve"> PAGE   \* MERGEFORMAT </w:instrText>
        </w:r>
        <w:r>
          <w:fldChar w:fldCharType="separate"/>
        </w:r>
        <w:r w:rsidR="00761423">
          <w:rPr>
            <w:noProof/>
          </w:rPr>
          <w:t>17</w:t>
        </w:r>
        <w:r>
          <w:rPr>
            <w:noProof/>
          </w:rPr>
          <w:fldChar w:fldCharType="end"/>
        </w:r>
      </w:p>
    </w:sdtContent>
  </w:sdt>
  <w:p w14:paraId="4028BFD2" w14:textId="77777777" w:rsidR="0059585D" w:rsidRDefault="005958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140B" w14:textId="77777777" w:rsidR="00A5410B" w:rsidRDefault="00A5410B" w:rsidP="00FA503E">
      <w:pPr>
        <w:spacing w:after="0" w:line="240" w:lineRule="auto"/>
      </w:pPr>
      <w:r>
        <w:separator/>
      </w:r>
    </w:p>
  </w:footnote>
  <w:footnote w:type="continuationSeparator" w:id="0">
    <w:p w14:paraId="53D81ED4" w14:textId="77777777" w:rsidR="00A5410B" w:rsidRDefault="00A5410B" w:rsidP="00FA50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6B1"/>
    <w:multiLevelType w:val="hybridMultilevel"/>
    <w:tmpl w:val="5746B562"/>
    <w:lvl w:ilvl="0" w:tplc="7B469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9056FB2"/>
    <w:multiLevelType w:val="multilevel"/>
    <w:tmpl w:val="A51A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04884"/>
    <w:multiLevelType w:val="hybridMultilevel"/>
    <w:tmpl w:val="157EC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825B06"/>
    <w:multiLevelType w:val="hybridMultilevel"/>
    <w:tmpl w:val="14C649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F2099E"/>
    <w:multiLevelType w:val="hybridMultilevel"/>
    <w:tmpl w:val="ED603B10"/>
    <w:lvl w:ilvl="0" w:tplc="BBAE9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4C5B2A"/>
    <w:multiLevelType w:val="hybridMultilevel"/>
    <w:tmpl w:val="27122630"/>
    <w:lvl w:ilvl="0" w:tplc="3C8651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F2210"/>
    <w:multiLevelType w:val="hybridMultilevel"/>
    <w:tmpl w:val="F8BA9676"/>
    <w:lvl w:ilvl="0" w:tplc="55088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3F26EF"/>
    <w:multiLevelType w:val="hybridMultilevel"/>
    <w:tmpl w:val="ED603B10"/>
    <w:lvl w:ilvl="0" w:tplc="BBAE9A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Roderick">
    <w15:presenceInfo w15:providerId="AD" w15:userId="S-1-5-21-2015846570-11164191-355810188-4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MbEwsLS0MAcShko6SsGpxcWZ+XkgBYYGtQAUSzF4LQAAAA=="/>
  </w:docVars>
  <w:rsids>
    <w:rsidRoot w:val="00561FED"/>
    <w:rsid w:val="00000D55"/>
    <w:rsid w:val="0000119D"/>
    <w:rsid w:val="00001700"/>
    <w:rsid w:val="00002057"/>
    <w:rsid w:val="00004C46"/>
    <w:rsid w:val="00005101"/>
    <w:rsid w:val="000069E9"/>
    <w:rsid w:val="00006B3D"/>
    <w:rsid w:val="00006C74"/>
    <w:rsid w:val="00007FD1"/>
    <w:rsid w:val="0001016E"/>
    <w:rsid w:val="0001094F"/>
    <w:rsid w:val="00011E12"/>
    <w:rsid w:val="00015BC5"/>
    <w:rsid w:val="000169DB"/>
    <w:rsid w:val="000203C4"/>
    <w:rsid w:val="00020F6B"/>
    <w:rsid w:val="00022BC0"/>
    <w:rsid w:val="00022D36"/>
    <w:rsid w:val="00023086"/>
    <w:rsid w:val="000232FF"/>
    <w:rsid w:val="000235F7"/>
    <w:rsid w:val="00023742"/>
    <w:rsid w:val="00024680"/>
    <w:rsid w:val="000271EC"/>
    <w:rsid w:val="00034249"/>
    <w:rsid w:val="0003560C"/>
    <w:rsid w:val="000361BB"/>
    <w:rsid w:val="00036522"/>
    <w:rsid w:val="0004255D"/>
    <w:rsid w:val="000436E0"/>
    <w:rsid w:val="00051634"/>
    <w:rsid w:val="0005188C"/>
    <w:rsid w:val="00053357"/>
    <w:rsid w:val="00056047"/>
    <w:rsid w:val="00056861"/>
    <w:rsid w:val="00060457"/>
    <w:rsid w:val="00060D6C"/>
    <w:rsid w:val="000632F1"/>
    <w:rsid w:val="00071419"/>
    <w:rsid w:val="000723AB"/>
    <w:rsid w:val="0007246A"/>
    <w:rsid w:val="00072559"/>
    <w:rsid w:val="00072605"/>
    <w:rsid w:val="00083952"/>
    <w:rsid w:val="00084944"/>
    <w:rsid w:val="00084A0A"/>
    <w:rsid w:val="0008624D"/>
    <w:rsid w:val="00093CA1"/>
    <w:rsid w:val="00094D62"/>
    <w:rsid w:val="00095A60"/>
    <w:rsid w:val="000963E6"/>
    <w:rsid w:val="000A1962"/>
    <w:rsid w:val="000B2E34"/>
    <w:rsid w:val="000B4192"/>
    <w:rsid w:val="000B7E67"/>
    <w:rsid w:val="000C160B"/>
    <w:rsid w:val="000C5AFD"/>
    <w:rsid w:val="000C5B7B"/>
    <w:rsid w:val="000C666D"/>
    <w:rsid w:val="000D16C5"/>
    <w:rsid w:val="000D1C11"/>
    <w:rsid w:val="000D2667"/>
    <w:rsid w:val="000D4065"/>
    <w:rsid w:val="000D6AF0"/>
    <w:rsid w:val="000D780F"/>
    <w:rsid w:val="000D7B5A"/>
    <w:rsid w:val="000D7BA9"/>
    <w:rsid w:val="000E01CA"/>
    <w:rsid w:val="000E1B62"/>
    <w:rsid w:val="000E2A5D"/>
    <w:rsid w:val="000E2D88"/>
    <w:rsid w:val="000E3909"/>
    <w:rsid w:val="000E4163"/>
    <w:rsid w:val="000E6BA0"/>
    <w:rsid w:val="000F0161"/>
    <w:rsid w:val="000F3DD5"/>
    <w:rsid w:val="000F6391"/>
    <w:rsid w:val="001007D6"/>
    <w:rsid w:val="00100E4C"/>
    <w:rsid w:val="00100FEE"/>
    <w:rsid w:val="00102B76"/>
    <w:rsid w:val="001059F9"/>
    <w:rsid w:val="00107749"/>
    <w:rsid w:val="0011198B"/>
    <w:rsid w:val="00111AA3"/>
    <w:rsid w:val="00112A3E"/>
    <w:rsid w:val="001136C7"/>
    <w:rsid w:val="00113CF3"/>
    <w:rsid w:val="0011414F"/>
    <w:rsid w:val="0011448D"/>
    <w:rsid w:val="001153BF"/>
    <w:rsid w:val="001153FB"/>
    <w:rsid w:val="00117448"/>
    <w:rsid w:val="001175B4"/>
    <w:rsid w:val="00120E04"/>
    <w:rsid w:val="00121FC7"/>
    <w:rsid w:val="001252B8"/>
    <w:rsid w:val="001257E1"/>
    <w:rsid w:val="0012689F"/>
    <w:rsid w:val="00127742"/>
    <w:rsid w:val="00130842"/>
    <w:rsid w:val="00131D2B"/>
    <w:rsid w:val="001343B4"/>
    <w:rsid w:val="00136EB3"/>
    <w:rsid w:val="00140695"/>
    <w:rsid w:val="00143DF9"/>
    <w:rsid w:val="00144AFB"/>
    <w:rsid w:val="001461CF"/>
    <w:rsid w:val="00146490"/>
    <w:rsid w:val="001513CE"/>
    <w:rsid w:val="00152073"/>
    <w:rsid w:val="00156337"/>
    <w:rsid w:val="0015741B"/>
    <w:rsid w:val="001605BC"/>
    <w:rsid w:val="00161B5F"/>
    <w:rsid w:val="00161BD9"/>
    <w:rsid w:val="00166712"/>
    <w:rsid w:val="00167232"/>
    <w:rsid w:val="00171AD6"/>
    <w:rsid w:val="00171B9E"/>
    <w:rsid w:val="00171EE8"/>
    <w:rsid w:val="0017250B"/>
    <w:rsid w:val="00172F5A"/>
    <w:rsid w:val="001768DA"/>
    <w:rsid w:val="00176AC1"/>
    <w:rsid w:val="00181D2F"/>
    <w:rsid w:val="00182804"/>
    <w:rsid w:val="00183991"/>
    <w:rsid w:val="00186CF2"/>
    <w:rsid w:val="00187002"/>
    <w:rsid w:val="00190699"/>
    <w:rsid w:val="00192F14"/>
    <w:rsid w:val="0019302E"/>
    <w:rsid w:val="00196932"/>
    <w:rsid w:val="00196B93"/>
    <w:rsid w:val="001971AD"/>
    <w:rsid w:val="001971C9"/>
    <w:rsid w:val="001A2B15"/>
    <w:rsid w:val="001A62F7"/>
    <w:rsid w:val="001B12A8"/>
    <w:rsid w:val="001B1757"/>
    <w:rsid w:val="001B3D62"/>
    <w:rsid w:val="001B5117"/>
    <w:rsid w:val="001C0A9F"/>
    <w:rsid w:val="001C4D5E"/>
    <w:rsid w:val="001C6F13"/>
    <w:rsid w:val="001C7581"/>
    <w:rsid w:val="001C7C78"/>
    <w:rsid w:val="001D0A57"/>
    <w:rsid w:val="001D1483"/>
    <w:rsid w:val="001D51AE"/>
    <w:rsid w:val="001D63B2"/>
    <w:rsid w:val="001D681D"/>
    <w:rsid w:val="001D69C5"/>
    <w:rsid w:val="001D7446"/>
    <w:rsid w:val="001E1CA5"/>
    <w:rsid w:val="001E2B36"/>
    <w:rsid w:val="001E3E03"/>
    <w:rsid w:val="001E5109"/>
    <w:rsid w:val="001E5B4E"/>
    <w:rsid w:val="001E7E15"/>
    <w:rsid w:val="001F086B"/>
    <w:rsid w:val="001F2063"/>
    <w:rsid w:val="001F4FA5"/>
    <w:rsid w:val="001F5F04"/>
    <w:rsid w:val="001F79BD"/>
    <w:rsid w:val="001F7F77"/>
    <w:rsid w:val="00200767"/>
    <w:rsid w:val="0020200A"/>
    <w:rsid w:val="002038A0"/>
    <w:rsid w:val="0020393F"/>
    <w:rsid w:val="00204719"/>
    <w:rsid w:val="002058FC"/>
    <w:rsid w:val="00206382"/>
    <w:rsid w:val="00207F74"/>
    <w:rsid w:val="00211775"/>
    <w:rsid w:val="0021200C"/>
    <w:rsid w:val="0021213C"/>
    <w:rsid w:val="002124F0"/>
    <w:rsid w:val="002148E5"/>
    <w:rsid w:val="00214B22"/>
    <w:rsid w:val="00217444"/>
    <w:rsid w:val="002227BD"/>
    <w:rsid w:val="00224319"/>
    <w:rsid w:val="002246BC"/>
    <w:rsid w:val="002264E1"/>
    <w:rsid w:val="00230E2C"/>
    <w:rsid w:val="002316E3"/>
    <w:rsid w:val="002334A7"/>
    <w:rsid w:val="00237AB4"/>
    <w:rsid w:val="0024014F"/>
    <w:rsid w:val="002421D4"/>
    <w:rsid w:val="0024282E"/>
    <w:rsid w:val="0024412D"/>
    <w:rsid w:val="00245BB9"/>
    <w:rsid w:val="00246D4A"/>
    <w:rsid w:val="00251528"/>
    <w:rsid w:val="00251781"/>
    <w:rsid w:val="00252507"/>
    <w:rsid w:val="002570A5"/>
    <w:rsid w:val="00260381"/>
    <w:rsid w:val="0026303F"/>
    <w:rsid w:val="00263DF8"/>
    <w:rsid w:val="00266280"/>
    <w:rsid w:val="00266728"/>
    <w:rsid w:val="00266EC9"/>
    <w:rsid w:val="00271FD5"/>
    <w:rsid w:val="00272711"/>
    <w:rsid w:val="00275552"/>
    <w:rsid w:val="00275801"/>
    <w:rsid w:val="002776EE"/>
    <w:rsid w:val="002803F2"/>
    <w:rsid w:val="00280C97"/>
    <w:rsid w:val="0028487A"/>
    <w:rsid w:val="0028546A"/>
    <w:rsid w:val="00285D0A"/>
    <w:rsid w:val="00286DE2"/>
    <w:rsid w:val="002875B8"/>
    <w:rsid w:val="00290546"/>
    <w:rsid w:val="00290C2E"/>
    <w:rsid w:val="002918D7"/>
    <w:rsid w:val="00291CA2"/>
    <w:rsid w:val="00293A36"/>
    <w:rsid w:val="00293C38"/>
    <w:rsid w:val="002941BA"/>
    <w:rsid w:val="002942BF"/>
    <w:rsid w:val="00294A26"/>
    <w:rsid w:val="002955CE"/>
    <w:rsid w:val="00296B26"/>
    <w:rsid w:val="00296DBB"/>
    <w:rsid w:val="002A0127"/>
    <w:rsid w:val="002A014F"/>
    <w:rsid w:val="002A1E35"/>
    <w:rsid w:val="002A428A"/>
    <w:rsid w:val="002A5F70"/>
    <w:rsid w:val="002A6A72"/>
    <w:rsid w:val="002A6D5F"/>
    <w:rsid w:val="002A77F4"/>
    <w:rsid w:val="002B0B65"/>
    <w:rsid w:val="002B11A1"/>
    <w:rsid w:val="002B354E"/>
    <w:rsid w:val="002B5221"/>
    <w:rsid w:val="002B5A49"/>
    <w:rsid w:val="002B7D95"/>
    <w:rsid w:val="002B7F89"/>
    <w:rsid w:val="002C0F05"/>
    <w:rsid w:val="002C1781"/>
    <w:rsid w:val="002C2735"/>
    <w:rsid w:val="002C47D1"/>
    <w:rsid w:val="002D184A"/>
    <w:rsid w:val="002D3798"/>
    <w:rsid w:val="002D698C"/>
    <w:rsid w:val="002E1B0F"/>
    <w:rsid w:val="002E1F6F"/>
    <w:rsid w:val="002E25B9"/>
    <w:rsid w:val="002E3199"/>
    <w:rsid w:val="002E564F"/>
    <w:rsid w:val="002E6887"/>
    <w:rsid w:val="002F05BF"/>
    <w:rsid w:val="002F1552"/>
    <w:rsid w:val="002F3C2C"/>
    <w:rsid w:val="002F445A"/>
    <w:rsid w:val="002F7913"/>
    <w:rsid w:val="002F796A"/>
    <w:rsid w:val="00300F0C"/>
    <w:rsid w:val="00301805"/>
    <w:rsid w:val="0030207B"/>
    <w:rsid w:val="00306F82"/>
    <w:rsid w:val="00310193"/>
    <w:rsid w:val="003105CC"/>
    <w:rsid w:val="00311CE9"/>
    <w:rsid w:val="00313D60"/>
    <w:rsid w:val="0032252C"/>
    <w:rsid w:val="003231EF"/>
    <w:rsid w:val="00326261"/>
    <w:rsid w:val="003266D5"/>
    <w:rsid w:val="00330643"/>
    <w:rsid w:val="003309D4"/>
    <w:rsid w:val="003323CD"/>
    <w:rsid w:val="00333B00"/>
    <w:rsid w:val="0033413D"/>
    <w:rsid w:val="003346F0"/>
    <w:rsid w:val="003348DF"/>
    <w:rsid w:val="00334918"/>
    <w:rsid w:val="00334E5F"/>
    <w:rsid w:val="0034088E"/>
    <w:rsid w:val="00342559"/>
    <w:rsid w:val="00342F2E"/>
    <w:rsid w:val="00343086"/>
    <w:rsid w:val="00344B7C"/>
    <w:rsid w:val="00344EDC"/>
    <w:rsid w:val="00346C38"/>
    <w:rsid w:val="00353166"/>
    <w:rsid w:val="00355938"/>
    <w:rsid w:val="003559CA"/>
    <w:rsid w:val="00355E67"/>
    <w:rsid w:val="00356411"/>
    <w:rsid w:val="0036169A"/>
    <w:rsid w:val="00362215"/>
    <w:rsid w:val="00365D68"/>
    <w:rsid w:val="00367112"/>
    <w:rsid w:val="00370C47"/>
    <w:rsid w:val="0037207B"/>
    <w:rsid w:val="00372E1F"/>
    <w:rsid w:val="00373517"/>
    <w:rsid w:val="003740DF"/>
    <w:rsid w:val="003745CE"/>
    <w:rsid w:val="00375D99"/>
    <w:rsid w:val="0038010E"/>
    <w:rsid w:val="0038232F"/>
    <w:rsid w:val="00383B3F"/>
    <w:rsid w:val="00384A33"/>
    <w:rsid w:val="0038577E"/>
    <w:rsid w:val="00386C98"/>
    <w:rsid w:val="00386E5F"/>
    <w:rsid w:val="00390793"/>
    <w:rsid w:val="003928C9"/>
    <w:rsid w:val="00394BBC"/>
    <w:rsid w:val="003966CA"/>
    <w:rsid w:val="003A29D7"/>
    <w:rsid w:val="003A2A3E"/>
    <w:rsid w:val="003A2D87"/>
    <w:rsid w:val="003A30F3"/>
    <w:rsid w:val="003B0441"/>
    <w:rsid w:val="003B38F3"/>
    <w:rsid w:val="003B688A"/>
    <w:rsid w:val="003C3396"/>
    <w:rsid w:val="003C59AB"/>
    <w:rsid w:val="003C616F"/>
    <w:rsid w:val="003C69C7"/>
    <w:rsid w:val="003C6FBA"/>
    <w:rsid w:val="003D1139"/>
    <w:rsid w:val="003D11BB"/>
    <w:rsid w:val="003D2A16"/>
    <w:rsid w:val="003D4841"/>
    <w:rsid w:val="003E0985"/>
    <w:rsid w:val="003E3331"/>
    <w:rsid w:val="003E5A68"/>
    <w:rsid w:val="003E6D21"/>
    <w:rsid w:val="003F0456"/>
    <w:rsid w:val="003F1C13"/>
    <w:rsid w:val="003F34BF"/>
    <w:rsid w:val="003F365B"/>
    <w:rsid w:val="003F4138"/>
    <w:rsid w:val="003F4E06"/>
    <w:rsid w:val="003F50FA"/>
    <w:rsid w:val="003F5B5D"/>
    <w:rsid w:val="003F71FB"/>
    <w:rsid w:val="00402DD8"/>
    <w:rsid w:val="004030F3"/>
    <w:rsid w:val="00407BD3"/>
    <w:rsid w:val="00407CEB"/>
    <w:rsid w:val="00411736"/>
    <w:rsid w:val="00413B6E"/>
    <w:rsid w:val="00415B50"/>
    <w:rsid w:val="0042073A"/>
    <w:rsid w:val="004245B5"/>
    <w:rsid w:val="0042564F"/>
    <w:rsid w:val="00427CC8"/>
    <w:rsid w:val="004319D3"/>
    <w:rsid w:val="00433593"/>
    <w:rsid w:val="00435649"/>
    <w:rsid w:val="00436034"/>
    <w:rsid w:val="0044328D"/>
    <w:rsid w:val="00444557"/>
    <w:rsid w:val="00447F3D"/>
    <w:rsid w:val="00453955"/>
    <w:rsid w:val="00456228"/>
    <w:rsid w:val="004567AA"/>
    <w:rsid w:val="004576A7"/>
    <w:rsid w:val="0046035F"/>
    <w:rsid w:val="00462748"/>
    <w:rsid w:val="004645B0"/>
    <w:rsid w:val="00464DB2"/>
    <w:rsid w:val="00466C09"/>
    <w:rsid w:val="0046737F"/>
    <w:rsid w:val="00467E7C"/>
    <w:rsid w:val="00470340"/>
    <w:rsid w:val="00472502"/>
    <w:rsid w:val="00473D6C"/>
    <w:rsid w:val="00475A03"/>
    <w:rsid w:val="00475F2B"/>
    <w:rsid w:val="004804FE"/>
    <w:rsid w:val="004812C1"/>
    <w:rsid w:val="004815AB"/>
    <w:rsid w:val="004820EE"/>
    <w:rsid w:val="004846A7"/>
    <w:rsid w:val="00491CCE"/>
    <w:rsid w:val="00494925"/>
    <w:rsid w:val="00494F6B"/>
    <w:rsid w:val="004952DE"/>
    <w:rsid w:val="00495886"/>
    <w:rsid w:val="004964EE"/>
    <w:rsid w:val="00497662"/>
    <w:rsid w:val="004A15F2"/>
    <w:rsid w:val="004A4E0B"/>
    <w:rsid w:val="004A6DD2"/>
    <w:rsid w:val="004A6EDF"/>
    <w:rsid w:val="004A7352"/>
    <w:rsid w:val="004B5203"/>
    <w:rsid w:val="004B6512"/>
    <w:rsid w:val="004B71D1"/>
    <w:rsid w:val="004C030E"/>
    <w:rsid w:val="004C0886"/>
    <w:rsid w:val="004C3540"/>
    <w:rsid w:val="004C7A77"/>
    <w:rsid w:val="004D0BEC"/>
    <w:rsid w:val="004D2914"/>
    <w:rsid w:val="004D30B3"/>
    <w:rsid w:val="004D5CCD"/>
    <w:rsid w:val="004D71E4"/>
    <w:rsid w:val="004D746A"/>
    <w:rsid w:val="004D79D8"/>
    <w:rsid w:val="004D7E57"/>
    <w:rsid w:val="004E0324"/>
    <w:rsid w:val="004E1ED2"/>
    <w:rsid w:val="004E27F3"/>
    <w:rsid w:val="004E3544"/>
    <w:rsid w:val="004E5C44"/>
    <w:rsid w:val="004F20D3"/>
    <w:rsid w:val="004F24E1"/>
    <w:rsid w:val="004F3C57"/>
    <w:rsid w:val="004F6D55"/>
    <w:rsid w:val="004F7B01"/>
    <w:rsid w:val="0050094E"/>
    <w:rsid w:val="005019D4"/>
    <w:rsid w:val="005020BB"/>
    <w:rsid w:val="005042AF"/>
    <w:rsid w:val="00510FA3"/>
    <w:rsid w:val="00511A21"/>
    <w:rsid w:val="00511FBB"/>
    <w:rsid w:val="0051639B"/>
    <w:rsid w:val="00520741"/>
    <w:rsid w:val="005214E8"/>
    <w:rsid w:val="005226D5"/>
    <w:rsid w:val="00523AA7"/>
    <w:rsid w:val="00525204"/>
    <w:rsid w:val="00525C5B"/>
    <w:rsid w:val="00530112"/>
    <w:rsid w:val="0053298E"/>
    <w:rsid w:val="00532D94"/>
    <w:rsid w:val="00532E7B"/>
    <w:rsid w:val="00533645"/>
    <w:rsid w:val="00537387"/>
    <w:rsid w:val="00540FAF"/>
    <w:rsid w:val="00541366"/>
    <w:rsid w:val="00542D99"/>
    <w:rsid w:val="0054324A"/>
    <w:rsid w:val="0054343E"/>
    <w:rsid w:val="00545528"/>
    <w:rsid w:val="00545CEF"/>
    <w:rsid w:val="00545D8C"/>
    <w:rsid w:val="00545F44"/>
    <w:rsid w:val="005475DB"/>
    <w:rsid w:val="005476DD"/>
    <w:rsid w:val="00550B20"/>
    <w:rsid w:val="00550B69"/>
    <w:rsid w:val="005522AF"/>
    <w:rsid w:val="0055389D"/>
    <w:rsid w:val="00554CB4"/>
    <w:rsid w:val="0055604D"/>
    <w:rsid w:val="00560ECC"/>
    <w:rsid w:val="00561FED"/>
    <w:rsid w:val="00563E09"/>
    <w:rsid w:val="00565F32"/>
    <w:rsid w:val="0056620C"/>
    <w:rsid w:val="005665F7"/>
    <w:rsid w:val="005667E1"/>
    <w:rsid w:val="00567510"/>
    <w:rsid w:val="0057008F"/>
    <w:rsid w:val="00570B37"/>
    <w:rsid w:val="00572C6C"/>
    <w:rsid w:val="005777C5"/>
    <w:rsid w:val="00577903"/>
    <w:rsid w:val="00581E78"/>
    <w:rsid w:val="00582153"/>
    <w:rsid w:val="00583BED"/>
    <w:rsid w:val="0058499E"/>
    <w:rsid w:val="00585849"/>
    <w:rsid w:val="005908BA"/>
    <w:rsid w:val="005910D4"/>
    <w:rsid w:val="0059123D"/>
    <w:rsid w:val="005919C7"/>
    <w:rsid w:val="00591AE6"/>
    <w:rsid w:val="00591CC9"/>
    <w:rsid w:val="005923F4"/>
    <w:rsid w:val="005936C0"/>
    <w:rsid w:val="00593EC9"/>
    <w:rsid w:val="0059496F"/>
    <w:rsid w:val="0059520C"/>
    <w:rsid w:val="0059585D"/>
    <w:rsid w:val="005973EC"/>
    <w:rsid w:val="005A223D"/>
    <w:rsid w:val="005A2F6B"/>
    <w:rsid w:val="005A4EA8"/>
    <w:rsid w:val="005A600D"/>
    <w:rsid w:val="005B0B62"/>
    <w:rsid w:val="005C0E1A"/>
    <w:rsid w:val="005C406D"/>
    <w:rsid w:val="005C4B30"/>
    <w:rsid w:val="005C51B6"/>
    <w:rsid w:val="005C5377"/>
    <w:rsid w:val="005D1277"/>
    <w:rsid w:val="005D22A8"/>
    <w:rsid w:val="005D3690"/>
    <w:rsid w:val="005D42BF"/>
    <w:rsid w:val="005E02BC"/>
    <w:rsid w:val="005E1186"/>
    <w:rsid w:val="005E17D2"/>
    <w:rsid w:val="005E3FD4"/>
    <w:rsid w:val="005E50B2"/>
    <w:rsid w:val="005E7F56"/>
    <w:rsid w:val="005F2B3E"/>
    <w:rsid w:val="005F2C89"/>
    <w:rsid w:val="005F5EF9"/>
    <w:rsid w:val="005F6A2D"/>
    <w:rsid w:val="005F7C33"/>
    <w:rsid w:val="0060152F"/>
    <w:rsid w:val="00603BE3"/>
    <w:rsid w:val="00604BFC"/>
    <w:rsid w:val="00606110"/>
    <w:rsid w:val="006068D1"/>
    <w:rsid w:val="006070C9"/>
    <w:rsid w:val="00607974"/>
    <w:rsid w:val="00610C8D"/>
    <w:rsid w:val="00611A94"/>
    <w:rsid w:val="006126CC"/>
    <w:rsid w:val="00616728"/>
    <w:rsid w:val="00617073"/>
    <w:rsid w:val="006174D5"/>
    <w:rsid w:val="00617ACD"/>
    <w:rsid w:val="006208EB"/>
    <w:rsid w:val="006216B7"/>
    <w:rsid w:val="0062192E"/>
    <w:rsid w:val="00625074"/>
    <w:rsid w:val="00627050"/>
    <w:rsid w:val="0063337B"/>
    <w:rsid w:val="00634DC6"/>
    <w:rsid w:val="0063564A"/>
    <w:rsid w:val="006357A1"/>
    <w:rsid w:val="006358E4"/>
    <w:rsid w:val="00635F57"/>
    <w:rsid w:val="00636480"/>
    <w:rsid w:val="00637DE9"/>
    <w:rsid w:val="00641873"/>
    <w:rsid w:val="00641934"/>
    <w:rsid w:val="00643B56"/>
    <w:rsid w:val="00645105"/>
    <w:rsid w:val="00645430"/>
    <w:rsid w:val="00646201"/>
    <w:rsid w:val="006479CB"/>
    <w:rsid w:val="00651EC0"/>
    <w:rsid w:val="00652C11"/>
    <w:rsid w:val="00652D2C"/>
    <w:rsid w:val="00655636"/>
    <w:rsid w:val="00655C27"/>
    <w:rsid w:val="00657997"/>
    <w:rsid w:val="00657DC1"/>
    <w:rsid w:val="00660FC7"/>
    <w:rsid w:val="006622A0"/>
    <w:rsid w:val="006626DE"/>
    <w:rsid w:val="0066342B"/>
    <w:rsid w:val="00663847"/>
    <w:rsid w:val="00664199"/>
    <w:rsid w:val="00665D98"/>
    <w:rsid w:val="00667D2D"/>
    <w:rsid w:val="0067143D"/>
    <w:rsid w:val="00671A42"/>
    <w:rsid w:val="00672BC3"/>
    <w:rsid w:val="006732F6"/>
    <w:rsid w:val="00674694"/>
    <w:rsid w:val="00677E7B"/>
    <w:rsid w:val="00680F4B"/>
    <w:rsid w:val="006820F6"/>
    <w:rsid w:val="0068484E"/>
    <w:rsid w:val="00684E86"/>
    <w:rsid w:val="006851D1"/>
    <w:rsid w:val="0068521F"/>
    <w:rsid w:val="006866DE"/>
    <w:rsid w:val="0069125C"/>
    <w:rsid w:val="006916BE"/>
    <w:rsid w:val="00693F56"/>
    <w:rsid w:val="00694EE5"/>
    <w:rsid w:val="006966BB"/>
    <w:rsid w:val="0069745B"/>
    <w:rsid w:val="006A061F"/>
    <w:rsid w:val="006A2F89"/>
    <w:rsid w:val="006A42BB"/>
    <w:rsid w:val="006A56A5"/>
    <w:rsid w:val="006A6ECF"/>
    <w:rsid w:val="006B266C"/>
    <w:rsid w:val="006B4A97"/>
    <w:rsid w:val="006B4B4F"/>
    <w:rsid w:val="006B4C3C"/>
    <w:rsid w:val="006B572B"/>
    <w:rsid w:val="006B6884"/>
    <w:rsid w:val="006B7BCA"/>
    <w:rsid w:val="006B7FFC"/>
    <w:rsid w:val="006C0511"/>
    <w:rsid w:val="006C0845"/>
    <w:rsid w:val="006C433E"/>
    <w:rsid w:val="006C6A23"/>
    <w:rsid w:val="006C713A"/>
    <w:rsid w:val="006D009A"/>
    <w:rsid w:val="006D1844"/>
    <w:rsid w:val="006D3173"/>
    <w:rsid w:val="006D45DA"/>
    <w:rsid w:val="006D7EA5"/>
    <w:rsid w:val="006D7FE5"/>
    <w:rsid w:val="006E0E81"/>
    <w:rsid w:val="006E182E"/>
    <w:rsid w:val="006E18C9"/>
    <w:rsid w:val="006E3D78"/>
    <w:rsid w:val="006E4471"/>
    <w:rsid w:val="006E4E9E"/>
    <w:rsid w:val="006E5026"/>
    <w:rsid w:val="006E5614"/>
    <w:rsid w:val="006E6784"/>
    <w:rsid w:val="006E6CA8"/>
    <w:rsid w:val="006F06D8"/>
    <w:rsid w:val="006F0FDE"/>
    <w:rsid w:val="006F3D3A"/>
    <w:rsid w:val="006F3FE5"/>
    <w:rsid w:val="006F6169"/>
    <w:rsid w:val="006F6962"/>
    <w:rsid w:val="006F7CA4"/>
    <w:rsid w:val="006F7F62"/>
    <w:rsid w:val="0070200D"/>
    <w:rsid w:val="00705C19"/>
    <w:rsid w:val="007061B7"/>
    <w:rsid w:val="00707C2D"/>
    <w:rsid w:val="0071081F"/>
    <w:rsid w:val="00711CEC"/>
    <w:rsid w:val="007139B2"/>
    <w:rsid w:val="007144CB"/>
    <w:rsid w:val="007145EC"/>
    <w:rsid w:val="0071697F"/>
    <w:rsid w:val="00717FE6"/>
    <w:rsid w:val="00720C37"/>
    <w:rsid w:val="007219C6"/>
    <w:rsid w:val="007222B4"/>
    <w:rsid w:val="007230B9"/>
    <w:rsid w:val="00723374"/>
    <w:rsid w:val="007304B4"/>
    <w:rsid w:val="00730964"/>
    <w:rsid w:val="0073143D"/>
    <w:rsid w:val="007327E1"/>
    <w:rsid w:val="007339EB"/>
    <w:rsid w:val="007348B1"/>
    <w:rsid w:val="00740269"/>
    <w:rsid w:val="00740B66"/>
    <w:rsid w:val="007449F8"/>
    <w:rsid w:val="007461A5"/>
    <w:rsid w:val="00746A4D"/>
    <w:rsid w:val="00750D6A"/>
    <w:rsid w:val="0075106F"/>
    <w:rsid w:val="00751391"/>
    <w:rsid w:val="007539D2"/>
    <w:rsid w:val="00756029"/>
    <w:rsid w:val="00761423"/>
    <w:rsid w:val="00763976"/>
    <w:rsid w:val="00763C0B"/>
    <w:rsid w:val="0076676A"/>
    <w:rsid w:val="00770BB2"/>
    <w:rsid w:val="007731CE"/>
    <w:rsid w:val="00773A06"/>
    <w:rsid w:val="00776580"/>
    <w:rsid w:val="007810D9"/>
    <w:rsid w:val="00782568"/>
    <w:rsid w:val="00784A5C"/>
    <w:rsid w:val="00785586"/>
    <w:rsid w:val="00792A80"/>
    <w:rsid w:val="00797BFC"/>
    <w:rsid w:val="007A0055"/>
    <w:rsid w:val="007A1D99"/>
    <w:rsid w:val="007A1DBE"/>
    <w:rsid w:val="007B03CD"/>
    <w:rsid w:val="007B06A8"/>
    <w:rsid w:val="007B24FA"/>
    <w:rsid w:val="007B2528"/>
    <w:rsid w:val="007B2AA2"/>
    <w:rsid w:val="007B3464"/>
    <w:rsid w:val="007B385C"/>
    <w:rsid w:val="007B461D"/>
    <w:rsid w:val="007B4F01"/>
    <w:rsid w:val="007B5661"/>
    <w:rsid w:val="007B7288"/>
    <w:rsid w:val="007B797B"/>
    <w:rsid w:val="007C077A"/>
    <w:rsid w:val="007C2228"/>
    <w:rsid w:val="007C3A96"/>
    <w:rsid w:val="007C4439"/>
    <w:rsid w:val="007C5785"/>
    <w:rsid w:val="007C6F4A"/>
    <w:rsid w:val="007D1EDE"/>
    <w:rsid w:val="007D4234"/>
    <w:rsid w:val="007D6238"/>
    <w:rsid w:val="007D767E"/>
    <w:rsid w:val="007E123C"/>
    <w:rsid w:val="007E7523"/>
    <w:rsid w:val="007E7C5D"/>
    <w:rsid w:val="007F145F"/>
    <w:rsid w:val="007F2568"/>
    <w:rsid w:val="007F44AB"/>
    <w:rsid w:val="007F46D5"/>
    <w:rsid w:val="007F4979"/>
    <w:rsid w:val="007F4FF5"/>
    <w:rsid w:val="008004F6"/>
    <w:rsid w:val="00802E10"/>
    <w:rsid w:val="00803847"/>
    <w:rsid w:val="008072AA"/>
    <w:rsid w:val="00813809"/>
    <w:rsid w:val="0081409E"/>
    <w:rsid w:val="008144AE"/>
    <w:rsid w:val="00814AD9"/>
    <w:rsid w:val="00814C15"/>
    <w:rsid w:val="00816578"/>
    <w:rsid w:val="00817267"/>
    <w:rsid w:val="00820B82"/>
    <w:rsid w:val="00822014"/>
    <w:rsid w:val="0082325E"/>
    <w:rsid w:val="0082487C"/>
    <w:rsid w:val="00825061"/>
    <w:rsid w:val="008256F7"/>
    <w:rsid w:val="00825FD8"/>
    <w:rsid w:val="008260D5"/>
    <w:rsid w:val="008301B5"/>
    <w:rsid w:val="00831439"/>
    <w:rsid w:val="00835A06"/>
    <w:rsid w:val="00835DC2"/>
    <w:rsid w:val="00837BE2"/>
    <w:rsid w:val="00840C19"/>
    <w:rsid w:val="00841916"/>
    <w:rsid w:val="008438D3"/>
    <w:rsid w:val="00844B10"/>
    <w:rsid w:val="00846010"/>
    <w:rsid w:val="00846E4A"/>
    <w:rsid w:val="00847D24"/>
    <w:rsid w:val="00850E9D"/>
    <w:rsid w:val="008511F4"/>
    <w:rsid w:val="0085239A"/>
    <w:rsid w:val="008525A3"/>
    <w:rsid w:val="00854E6B"/>
    <w:rsid w:val="008554D4"/>
    <w:rsid w:val="0085558B"/>
    <w:rsid w:val="008570FD"/>
    <w:rsid w:val="0086218A"/>
    <w:rsid w:val="00862244"/>
    <w:rsid w:val="0086239F"/>
    <w:rsid w:val="00862B03"/>
    <w:rsid w:val="00863352"/>
    <w:rsid w:val="00865F98"/>
    <w:rsid w:val="008709E3"/>
    <w:rsid w:val="008733D1"/>
    <w:rsid w:val="00875020"/>
    <w:rsid w:val="008779BB"/>
    <w:rsid w:val="00883251"/>
    <w:rsid w:val="00883DFF"/>
    <w:rsid w:val="00884978"/>
    <w:rsid w:val="008850CD"/>
    <w:rsid w:val="008864D1"/>
    <w:rsid w:val="00886ED3"/>
    <w:rsid w:val="008903B6"/>
    <w:rsid w:val="008904DA"/>
    <w:rsid w:val="00890E57"/>
    <w:rsid w:val="00891403"/>
    <w:rsid w:val="00893C74"/>
    <w:rsid w:val="00894058"/>
    <w:rsid w:val="0089417C"/>
    <w:rsid w:val="0089763D"/>
    <w:rsid w:val="00897877"/>
    <w:rsid w:val="0089790E"/>
    <w:rsid w:val="00897AF4"/>
    <w:rsid w:val="008A29ED"/>
    <w:rsid w:val="008A4B5E"/>
    <w:rsid w:val="008A5B8E"/>
    <w:rsid w:val="008B000C"/>
    <w:rsid w:val="008B0455"/>
    <w:rsid w:val="008B087A"/>
    <w:rsid w:val="008B25A4"/>
    <w:rsid w:val="008B4C10"/>
    <w:rsid w:val="008B5670"/>
    <w:rsid w:val="008C1465"/>
    <w:rsid w:val="008C2122"/>
    <w:rsid w:val="008C6A78"/>
    <w:rsid w:val="008D1D69"/>
    <w:rsid w:val="008D2768"/>
    <w:rsid w:val="008D3321"/>
    <w:rsid w:val="008D3D9B"/>
    <w:rsid w:val="008D431B"/>
    <w:rsid w:val="008D4EB8"/>
    <w:rsid w:val="008D58AE"/>
    <w:rsid w:val="008D64D2"/>
    <w:rsid w:val="008D6DCD"/>
    <w:rsid w:val="008E0C52"/>
    <w:rsid w:val="008E4299"/>
    <w:rsid w:val="008E7456"/>
    <w:rsid w:val="008E7C5F"/>
    <w:rsid w:val="008F2EA7"/>
    <w:rsid w:val="008F347E"/>
    <w:rsid w:val="008F4C2F"/>
    <w:rsid w:val="0090180A"/>
    <w:rsid w:val="00901ADB"/>
    <w:rsid w:val="00902027"/>
    <w:rsid w:val="00902BCF"/>
    <w:rsid w:val="00904C14"/>
    <w:rsid w:val="00910018"/>
    <w:rsid w:val="00910687"/>
    <w:rsid w:val="009127AE"/>
    <w:rsid w:val="00912D1E"/>
    <w:rsid w:val="00912FC7"/>
    <w:rsid w:val="009134D4"/>
    <w:rsid w:val="00913D89"/>
    <w:rsid w:val="009149A5"/>
    <w:rsid w:val="00914DA8"/>
    <w:rsid w:val="00915CC6"/>
    <w:rsid w:val="00916683"/>
    <w:rsid w:val="00920C17"/>
    <w:rsid w:val="00921CD5"/>
    <w:rsid w:val="00922517"/>
    <w:rsid w:val="009279AD"/>
    <w:rsid w:val="00927EC8"/>
    <w:rsid w:val="00930075"/>
    <w:rsid w:val="0093176F"/>
    <w:rsid w:val="009317AD"/>
    <w:rsid w:val="0093238A"/>
    <w:rsid w:val="00933E72"/>
    <w:rsid w:val="0093520A"/>
    <w:rsid w:val="00940091"/>
    <w:rsid w:val="00942422"/>
    <w:rsid w:val="00942E62"/>
    <w:rsid w:val="009432BB"/>
    <w:rsid w:val="009438F4"/>
    <w:rsid w:val="00943B05"/>
    <w:rsid w:val="00944147"/>
    <w:rsid w:val="00945D65"/>
    <w:rsid w:val="0094628A"/>
    <w:rsid w:val="00947DE5"/>
    <w:rsid w:val="009529CF"/>
    <w:rsid w:val="00952F01"/>
    <w:rsid w:val="0095333E"/>
    <w:rsid w:val="0095553D"/>
    <w:rsid w:val="00956C54"/>
    <w:rsid w:val="00956D54"/>
    <w:rsid w:val="00957F27"/>
    <w:rsid w:val="00960352"/>
    <w:rsid w:val="0096184E"/>
    <w:rsid w:val="00964F90"/>
    <w:rsid w:val="009703E0"/>
    <w:rsid w:val="00970511"/>
    <w:rsid w:val="00975FA7"/>
    <w:rsid w:val="00976358"/>
    <w:rsid w:val="00976765"/>
    <w:rsid w:val="00981665"/>
    <w:rsid w:val="00983E0D"/>
    <w:rsid w:val="00985031"/>
    <w:rsid w:val="0098535E"/>
    <w:rsid w:val="00985701"/>
    <w:rsid w:val="009862D1"/>
    <w:rsid w:val="0099052C"/>
    <w:rsid w:val="00992102"/>
    <w:rsid w:val="009929DF"/>
    <w:rsid w:val="00993078"/>
    <w:rsid w:val="009A4585"/>
    <w:rsid w:val="009A5E80"/>
    <w:rsid w:val="009A6147"/>
    <w:rsid w:val="009A6376"/>
    <w:rsid w:val="009A68E5"/>
    <w:rsid w:val="009A6C5D"/>
    <w:rsid w:val="009B1D99"/>
    <w:rsid w:val="009B46CF"/>
    <w:rsid w:val="009B5A9A"/>
    <w:rsid w:val="009B5B67"/>
    <w:rsid w:val="009B5B90"/>
    <w:rsid w:val="009B63CA"/>
    <w:rsid w:val="009B6520"/>
    <w:rsid w:val="009B6995"/>
    <w:rsid w:val="009B6D3B"/>
    <w:rsid w:val="009B701D"/>
    <w:rsid w:val="009B739C"/>
    <w:rsid w:val="009C1993"/>
    <w:rsid w:val="009C2655"/>
    <w:rsid w:val="009C620C"/>
    <w:rsid w:val="009C6EBE"/>
    <w:rsid w:val="009D2638"/>
    <w:rsid w:val="009D28E0"/>
    <w:rsid w:val="009D2A79"/>
    <w:rsid w:val="009D415F"/>
    <w:rsid w:val="009D44B3"/>
    <w:rsid w:val="009D4990"/>
    <w:rsid w:val="009D566E"/>
    <w:rsid w:val="009D5CAE"/>
    <w:rsid w:val="009E04D9"/>
    <w:rsid w:val="009E0859"/>
    <w:rsid w:val="009E0A70"/>
    <w:rsid w:val="009E0B19"/>
    <w:rsid w:val="009E4448"/>
    <w:rsid w:val="009E47DE"/>
    <w:rsid w:val="009E4A31"/>
    <w:rsid w:val="009E5196"/>
    <w:rsid w:val="009E7409"/>
    <w:rsid w:val="009F0303"/>
    <w:rsid w:val="009F2794"/>
    <w:rsid w:val="009F3254"/>
    <w:rsid w:val="009F4112"/>
    <w:rsid w:val="009F4568"/>
    <w:rsid w:val="00A004AB"/>
    <w:rsid w:val="00A00734"/>
    <w:rsid w:val="00A02DF9"/>
    <w:rsid w:val="00A04140"/>
    <w:rsid w:val="00A05443"/>
    <w:rsid w:val="00A110CC"/>
    <w:rsid w:val="00A13B1C"/>
    <w:rsid w:val="00A14216"/>
    <w:rsid w:val="00A15FF5"/>
    <w:rsid w:val="00A2128A"/>
    <w:rsid w:val="00A2149F"/>
    <w:rsid w:val="00A2329A"/>
    <w:rsid w:val="00A23ABF"/>
    <w:rsid w:val="00A26532"/>
    <w:rsid w:val="00A26FE7"/>
    <w:rsid w:val="00A27756"/>
    <w:rsid w:val="00A317EF"/>
    <w:rsid w:val="00A33811"/>
    <w:rsid w:val="00A34330"/>
    <w:rsid w:val="00A35BDF"/>
    <w:rsid w:val="00A408C5"/>
    <w:rsid w:val="00A43780"/>
    <w:rsid w:val="00A4413B"/>
    <w:rsid w:val="00A4491A"/>
    <w:rsid w:val="00A45733"/>
    <w:rsid w:val="00A458FD"/>
    <w:rsid w:val="00A46C6F"/>
    <w:rsid w:val="00A502A7"/>
    <w:rsid w:val="00A509FB"/>
    <w:rsid w:val="00A51095"/>
    <w:rsid w:val="00A5234A"/>
    <w:rsid w:val="00A53A71"/>
    <w:rsid w:val="00A5410B"/>
    <w:rsid w:val="00A555A4"/>
    <w:rsid w:val="00A56FFF"/>
    <w:rsid w:val="00A5743D"/>
    <w:rsid w:val="00A5752F"/>
    <w:rsid w:val="00A60608"/>
    <w:rsid w:val="00A615FB"/>
    <w:rsid w:val="00A65CAC"/>
    <w:rsid w:val="00A67813"/>
    <w:rsid w:val="00A67F1D"/>
    <w:rsid w:val="00A707BB"/>
    <w:rsid w:val="00A7133D"/>
    <w:rsid w:val="00A718F2"/>
    <w:rsid w:val="00A74529"/>
    <w:rsid w:val="00A75C2B"/>
    <w:rsid w:val="00A76D11"/>
    <w:rsid w:val="00A801A6"/>
    <w:rsid w:val="00A80DC9"/>
    <w:rsid w:val="00A81E7E"/>
    <w:rsid w:val="00A831E7"/>
    <w:rsid w:val="00A8594B"/>
    <w:rsid w:val="00A87A7C"/>
    <w:rsid w:val="00A914B1"/>
    <w:rsid w:val="00A91921"/>
    <w:rsid w:val="00A91E41"/>
    <w:rsid w:val="00A93FD8"/>
    <w:rsid w:val="00A95ADE"/>
    <w:rsid w:val="00A97FBF"/>
    <w:rsid w:val="00AA2040"/>
    <w:rsid w:val="00AA21BB"/>
    <w:rsid w:val="00AA2BF0"/>
    <w:rsid w:val="00AA65D3"/>
    <w:rsid w:val="00AA78FA"/>
    <w:rsid w:val="00AA7DBA"/>
    <w:rsid w:val="00AB0AC3"/>
    <w:rsid w:val="00AB1221"/>
    <w:rsid w:val="00AB1BC8"/>
    <w:rsid w:val="00AB27F2"/>
    <w:rsid w:val="00AB6BF0"/>
    <w:rsid w:val="00AC1DC1"/>
    <w:rsid w:val="00AC2292"/>
    <w:rsid w:val="00AC3C33"/>
    <w:rsid w:val="00AC6A59"/>
    <w:rsid w:val="00AC79FB"/>
    <w:rsid w:val="00AD05EE"/>
    <w:rsid w:val="00AD2DFA"/>
    <w:rsid w:val="00AD40EA"/>
    <w:rsid w:val="00AD4592"/>
    <w:rsid w:val="00AD72A7"/>
    <w:rsid w:val="00AE0740"/>
    <w:rsid w:val="00AE17D1"/>
    <w:rsid w:val="00AE4835"/>
    <w:rsid w:val="00AE4DF6"/>
    <w:rsid w:val="00AF16BD"/>
    <w:rsid w:val="00AF7268"/>
    <w:rsid w:val="00AF7814"/>
    <w:rsid w:val="00B003A6"/>
    <w:rsid w:val="00B0073A"/>
    <w:rsid w:val="00B02724"/>
    <w:rsid w:val="00B02BD5"/>
    <w:rsid w:val="00B042DF"/>
    <w:rsid w:val="00B046ED"/>
    <w:rsid w:val="00B05D34"/>
    <w:rsid w:val="00B0699C"/>
    <w:rsid w:val="00B0712C"/>
    <w:rsid w:val="00B078A8"/>
    <w:rsid w:val="00B07CF8"/>
    <w:rsid w:val="00B11627"/>
    <w:rsid w:val="00B130FD"/>
    <w:rsid w:val="00B14F2E"/>
    <w:rsid w:val="00B155DC"/>
    <w:rsid w:val="00B212F6"/>
    <w:rsid w:val="00B21D81"/>
    <w:rsid w:val="00B244A5"/>
    <w:rsid w:val="00B251DD"/>
    <w:rsid w:val="00B25506"/>
    <w:rsid w:val="00B25AA5"/>
    <w:rsid w:val="00B26E55"/>
    <w:rsid w:val="00B278EC"/>
    <w:rsid w:val="00B32953"/>
    <w:rsid w:val="00B343B5"/>
    <w:rsid w:val="00B35690"/>
    <w:rsid w:val="00B377E6"/>
    <w:rsid w:val="00B37AD8"/>
    <w:rsid w:val="00B37C89"/>
    <w:rsid w:val="00B41996"/>
    <w:rsid w:val="00B42A69"/>
    <w:rsid w:val="00B4507C"/>
    <w:rsid w:val="00B45E13"/>
    <w:rsid w:val="00B52106"/>
    <w:rsid w:val="00B523D9"/>
    <w:rsid w:val="00B53EDA"/>
    <w:rsid w:val="00B56AAE"/>
    <w:rsid w:val="00B60428"/>
    <w:rsid w:val="00B628A2"/>
    <w:rsid w:val="00B65649"/>
    <w:rsid w:val="00B65A2D"/>
    <w:rsid w:val="00B65A8D"/>
    <w:rsid w:val="00B667F8"/>
    <w:rsid w:val="00B701C7"/>
    <w:rsid w:val="00B70F48"/>
    <w:rsid w:val="00B7146B"/>
    <w:rsid w:val="00B75A02"/>
    <w:rsid w:val="00B76266"/>
    <w:rsid w:val="00B76C00"/>
    <w:rsid w:val="00B76D8B"/>
    <w:rsid w:val="00B806DF"/>
    <w:rsid w:val="00B80B9E"/>
    <w:rsid w:val="00B8219C"/>
    <w:rsid w:val="00B84953"/>
    <w:rsid w:val="00B86A63"/>
    <w:rsid w:val="00B871AD"/>
    <w:rsid w:val="00B90F86"/>
    <w:rsid w:val="00B93D74"/>
    <w:rsid w:val="00B93F78"/>
    <w:rsid w:val="00BA491D"/>
    <w:rsid w:val="00BA5612"/>
    <w:rsid w:val="00BA7BB9"/>
    <w:rsid w:val="00BB1CE5"/>
    <w:rsid w:val="00BB3E0B"/>
    <w:rsid w:val="00BB7262"/>
    <w:rsid w:val="00BC072C"/>
    <w:rsid w:val="00BC1512"/>
    <w:rsid w:val="00BC4166"/>
    <w:rsid w:val="00BC41C3"/>
    <w:rsid w:val="00BC434C"/>
    <w:rsid w:val="00BC4A55"/>
    <w:rsid w:val="00BC5341"/>
    <w:rsid w:val="00BC609B"/>
    <w:rsid w:val="00BD0B77"/>
    <w:rsid w:val="00BD142D"/>
    <w:rsid w:val="00BD199B"/>
    <w:rsid w:val="00BD318C"/>
    <w:rsid w:val="00BD4F76"/>
    <w:rsid w:val="00BD6936"/>
    <w:rsid w:val="00BE03C8"/>
    <w:rsid w:val="00BE0713"/>
    <w:rsid w:val="00BE0F3F"/>
    <w:rsid w:val="00BE2917"/>
    <w:rsid w:val="00BF014E"/>
    <w:rsid w:val="00BF2552"/>
    <w:rsid w:val="00BF3C50"/>
    <w:rsid w:val="00BF52DC"/>
    <w:rsid w:val="00BF714E"/>
    <w:rsid w:val="00BF73EA"/>
    <w:rsid w:val="00C00B0F"/>
    <w:rsid w:val="00C0169F"/>
    <w:rsid w:val="00C019C3"/>
    <w:rsid w:val="00C03386"/>
    <w:rsid w:val="00C03581"/>
    <w:rsid w:val="00C0446A"/>
    <w:rsid w:val="00C07195"/>
    <w:rsid w:val="00C075FD"/>
    <w:rsid w:val="00C11691"/>
    <w:rsid w:val="00C201D4"/>
    <w:rsid w:val="00C20C4A"/>
    <w:rsid w:val="00C20E2A"/>
    <w:rsid w:val="00C21001"/>
    <w:rsid w:val="00C2385D"/>
    <w:rsid w:val="00C23BB4"/>
    <w:rsid w:val="00C27E6A"/>
    <w:rsid w:val="00C3023C"/>
    <w:rsid w:val="00C30761"/>
    <w:rsid w:val="00C30920"/>
    <w:rsid w:val="00C324D2"/>
    <w:rsid w:val="00C34F1F"/>
    <w:rsid w:val="00C35D4C"/>
    <w:rsid w:val="00C36AA9"/>
    <w:rsid w:val="00C4055D"/>
    <w:rsid w:val="00C41B0F"/>
    <w:rsid w:val="00C437DA"/>
    <w:rsid w:val="00C43DFF"/>
    <w:rsid w:val="00C44F4A"/>
    <w:rsid w:val="00C5004C"/>
    <w:rsid w:val="00C500A5"/>
    <w:rsid w:val="00C50B17"/>
    <w:rsid w:val="00C526A3"/>
    <w:rsid w:val="00C52A61"/>
    <w:rsid w:val="00C53B91"/>
    <w:rsid w:val="00C5432B"/>
    <w:rsid w:val="00C5599D"/>
    <w:rsid w:val="00C56203"/>
    <w:rsid w:val="00C56B17"/>
    <w:rsid w:val="00C6125B"/>
    <w:rsid w:val="00C614BC"/>
    <w:rsid w:val="00C61C39"/>
    <w:rsid w:val="00C61DC7"/>
    <w:rsid w:val="00C64848"/>
    <w:rsid w:val="00C648B4"/>
    <w:rsid w:val="00C64F44"/>
    <w:rsid w:val="00C66E5A"/>
    <w:rsid w:val="00C67DE7"/>
    <w:rsid w:val="00C72573"/>
    <w:rsid w:val="00C8013C"/>
    <w:rsid w:val="00C823AE"/>
    <w:rsid w:val="00C837B9"/>
    <w:rsid w:val="00C848A4"/>
    <w:rsid w:val="00C85C37"/>
    <w:rsid w:val="00C85CAB"/>
    <w:rsid w:val="00C8602F"/>
    <w:rsid w:val="00C8741D"/>
    <w:rsid w:val="00C87A8E"/>
    <w:rsid w:val="00C87D7C"/>
    <w:rsid w:val="00C87F51"/>
    <w:rsid w:val="00C9076F"/>
    <w:rsid w:val="00C908CD"/>
    <w:rsid w:val="00C92802"/>
    <w:rsid w:val="00C97767"/>
    <w:rsid w:val="00CA1C1E"/>
    <w:rsid w:val="00CA2E48"/>
    <w:rsid w:val="00CA3C6B"/>
    <w:rsid w:val="00CA4C9D"/>
    <w:rsid w:val="00CA623D"/>
    <w:rsid w:val="00CB0D2E"/>
    <w:rsid w:val="00CB5579"/>
    <w:rsid w:val="00CC0ACC"/>
    <w:rsid w:val="00CC16EB"/>
    <w:rsid w:val="00CC2888"/>
    <w:rsid w:val="00CC357E"/>
    <w:rsid w:val="00CC35F1"/>
    <w:rsid w:val="00CC4457"/>
    <w:rsid w:val="00CC791C"/>
    <w:rsid w:val="00CD01E8"/>
    <w:rsid w:val="00CD0211"/>
    <w:rsid w:val="00CD4539"/>
    <w:rsid w:val="00CD51A4"/>
    <w:rsid w:val="00CD5A56"/>
    <w:rsid w:val="00CE26E6"/>
    <w:rsid w:val="00CE2DDC"/>
    <w:rsid w:val="00CE48D9"/>
    <w:rsid w:val="00CE5DED"/>
    <w:rsid w:val="00CE778C"/>
    <w:rsid w:val="00CF1111"/>
    <w:rsid w:val="00CF2E47"/>
    <w:rsid w:val="00CF35CA"/>
    <w:rsid w:val="00CF3DC1"/>
    <w:rsid w:val="00CF5E33"/>
    <w:rsid w:val="00CF7ECF"/>
    <w:rsid w:val="00D00AE4"/>
    <w:rsid w:val="00D01AF3"/>
    <w:rsid w:val="00D033C0"/>
    <w:rsid w:val="00D04BD7"/>
    <w:rsid w:val="00D0605D"/>
    <w:rsid w:val="00D062CA"/>
    <w:rsid w:val="00D1057F"/>
    <w:rsid w:val="00D10C1D"/>
    <w:rsid w:val="00D117A4"/>
    <w:rsid w:val="00D12E4D"/>
    <w:rsid w:val="00D17F2D"/>
    <w:rsid w:val="00D214C3"/>
    <w:rsid w:val="00D21E88"/>
    <w:rsid w:val="00D21F97"/>
    <w:rsid w:val="00D229C9"/>
    <w:rsid w:val="00D238FD"/>
    <w:rsid w:val="00D23BC1"/>
    <w:rsid w:val="00D24184"/>
    <w:rsid w:val="00D24E50"/>
    <w:rsid w:val="00D252DE"/>
    <w:rsid w:val="00D340CC"/>
    <w:rsid w:val="00D356C5"/>
    <w:rsid w:val="00D36B6F"/>
    <w:rsid w:val="00D37127"/>
    <w:rsid w:val="00D37AA6"/>
    <w:rsid w:val="00D403C6"/>
    <w:rsid w:val="00D41203"/>
    <w:rsid w:val="00D434BF"/>
    <w:rsid w:val="00D4402D"/>
    <w:rsid w:val="00D44D3C"/>
    <w:rsid w:val="00D44EEF"/>
    <w:rsid w:val="00D46AF9"/>
    <w:rsid w:val="00D50A16"/>
    <w:rsid w:val="00D51420"/>
    <w:rsid w:val="00D64790"/>
    <w:rsid w:val="00D67B5F"/>
    <w:rsid w:val="00D70FF7"/>
    <w:rsid w:val="00D71B20"/>
    <w:rsid w:val="00D73800"/>
    <w:rsid w:val="00D73F97"/>
    <w:rsid w:val="00D7418B"/>
    <w:rsid w:val="00D7615A"/>
    <w:rsid w:val="00D80C47"/>
    <w:rsid w:val="00D81E9A"/>
    <w:rsid w:val="00D82A80"/>
    <w:rsid w:val="00D864CB"/>
    <w:rsid w:val="00D905A0"/>
    <w:rsid w:val="00D9069B"/>
    <w:rsid w:val="00D91CF9"/>
    <w:rsid w:val="00D91F7D"/>
    <w:rsid w:val="00D93792"/>
    <w:rsid w:val="00D9464E"/>
    <w:rsid w:val="00D94EEA"/>
    <w:rsid w:val="00D97217"/>
    <w:rsid w:val="00D9735F"/>
    <w:rsid w:val="00D977CF"/>
    <w:rsid w:val="00DA0D73"/>
    <w:rsid w:val="00DA0E82"/>
    <w:rsid w:val="00DA15D5"/>
    <w:rsid w:val="00DA1C93"/>
    <w:rsid w:val="00DA3FBD"/>
    <w:rsid w:val="00DB0ADD"/>
    <w:rsid w:val="00DB1394"/>
    <w:rsid w:val="00DB379B"/>
    <w:rsid w:val="00DB3CA5"/>
    <w:rsid w:val="00DB413E"/>
    <w:rsid w:val="00DB440C"/>
    <w:rsid w:val="00DB5912"/>
    <w:rsid w:val="00DB5E35"/>
    <w:rsid w:val="00DB6456"/>
    <w:rsid w:val="00DC0473"/>
    <w:rsid w:val="00DC0BF9"/>
    <w:rsid w:val="00DC0EDC"/>
    <w:rsid w:val="00DC25AC"/>
    <w:rsid w:val="00DC2BF1"/>
    <w:rsid w:val="00DC492C"/>
    <w:rsid w:val="00DC625F"/>
    <w:rsid w:val="00DC64E5"/>
    <w:rsid w:val="00DC789C"/>
    <w:rsid w:val="00DC79F9"/>
    <w:rsid w:val="00DD72AE"/>
    <w:rsid w:val="00DD7322"/>
    <w:rsid w:val="00DD7D13"/>
    <w:rsid w:val="00DE007E"/>
    <w:rsid w:val="00DE1D73"/>
    <w:rsid w:val="00DE5A03"/>
    <w:rsid w:val="00DE7B85"/>
    <w:rsid w:val="00DE7C41"/>
    <w:rsid w:val="00DF13C7"/>
    <w:rsid w:val="00DF1A0D"/>
    <w:rsid w:val="00DF3469"/>
    <w:rsid w:val="00DF5178"/>
    <w:rsid w:val="00DF5353"/>
    <w:rsid w:val="00DF7392"/>
    <w:rsid w:val="00DF7FB3"/>
    <w:rsid w:val="00E019BA"/>
    <w:rsid w:val="00E04168"/>
    <w:rsid w:val="00E07443"/>
    <w:rsid w:val="00E0790B"/>
    <w:rsid w:val="00E07946"/>
    <w:rsid w:val="00E15771"/>
    <w:rsid w:val="00E21883"/>
    <w:rsid w:val="00E2210D"/>
    <w:rsid w:val="00E238B3"/>
    <w:rsid w:val="00E2682C"/>
    <w:rsid w:val="00E26909"/>
    <w:rsid w:val="00E26B0A"/>
    <w:rsid w:val="00E31CBD"/>
    <w:rsid w:val="00E330C6"/>
    <w:rsid w:val="00E35A8E"/>
    <w:rsid w:val="00E37B86"/>
    <w:rsid w:val="00E413FA"/>
    <w:rsid w:val="00E42567"/>
    <w:rsid w:val="00E433AF"/>
    <w:rsid w:val="00E433C9"/>
    <w:rsid w:val="00E440FB"/>
    <w:rsid w:val="00E450DE"/>
    <w:rsid w:val="00E45A15"/>
    <w:rsid w:val="00E45B72"/>
    <w:rsid w:val="00E4630C"/>
    <w:rsid w:val="00E46608"/>
    <w:rsid w:val="00E467D1"/>
    <w:rsid w:val="00E47AC9"/>
    <w:rsid w:val="00E50E9E"/>
    <w:rsid w:val="00E52740"/>
    <w:rsid w:val="00E547EF"/>
    <w:rsid w:val="00E54CB1"/>
    <w:rsid w:val="00E57730"/>
    <w:rsid w:val="00E6099C"/>
    <w:rsid w:val="00E60EC6"/>
    <w:rsid w:val="00E63C1A"/>
    <w:rsid w:val="00E6572A"/>
    <w:rsid w:val="00E65F6B"/>
    <w:rsid w:val="00E66BDF"/>
    <w:rsid w:val="00E677EE"/>
    <w:rsid w:val="00E7029F"/>
    <w:rsid w:val="00E71481"/>
    <w:rsid w:val="00E71C3F"/>
    <w:rsid w:val="00E73941"/>
    <w:rsid w:val="00E75588"/>
    <w:rsid w:val="00E7666F"/>
    <w:rsid w:val="00E80AF9"/>
    <w:rsid w:val="00E817CE"/>
    <w:rsid w:val="00E83F52"/>
    <w:rsid w:val="00E86992"/>
    <w:rsid w:val="00E86FDA"/>
    <w:rsid w:val="00E873D2"/>
    <w:rsid w:val="00E87A40"/>
    <w:rsid w:val="00E905E5"/>
    <w:rsid w:val="00E93BC4"/>
    <w:rsid w:val="00E93BDF"/>
    <w:rsid w:val="00E94AAF"/>
    <w:rsid w:val="00E95A81"/>
    <w:rsid w:val="00E96AEA"/>
    <w:rsid w:val="00E96C0B"/>
    <w:rsid w:val="00EA0888"/>
    <w:rsid w:val="00EA2E5C"/>
    <w:rsid w:val="00EA434D"/>
    <w:rsid w:val="00EA60A0"/>
    <w:rsid w:val="00EB119D"/>
    <w:rsid w:val="00EB1715"/>
    <w:rsid w:val="00EB185A"/>
    <w:rsid w:val="00EB3A1D"/>
    <w:rsid w:val="00EB3BFB"/>
    <w:rsid w:val="00EB4FBA"/>
    <w:rsid w:val="00EB5D54"/>
    <w:rsid w:val="00EB788A"/>
    <w:rsid w:val="00EB7AFB"/>
    <w:rsid w:val="00EC1E28"/>
    <w:rsid w:val="00EC75D7"/>
    <w:rsid w:val="00ED16BA"/>
    <w:rsid w:val="00ED32BF"/>
    <w:rsid w:val="00ED3AE4"/>
    <w:rsid w:val="00ED4D10"/>
    <w:rsid w:val="00ED5193"/>
    <w:rsid w:val="00ED7CD8"/>
    <w:rsid w:val="00EE1B0A"/>
    <w:rsid w:val="00EE1E3D"/>
    <w:rsid w:val="00EE362C"/>
    <w:rsid w:val="00EE3AC2"/>
    <w:rsid w:val="00EE77E0"/>
    <w:rsid w:val="00EE7BA4"/>
    <w:rsid w:val="00EF0B3A"/>
    <w:rsid w:val="00EF4243"/>
    <w:rsid w:val="00EF5A4D"/>
    <w:rsid w:val="00EF6D9F"/>
    <w:rsid w:val="00EF6EAF"/>
    <w:rsid w:val="00EF7084"/>
    <w:rsid w:val="00F015B7"/>
    <w:rsid w:val="00F01AED"/>
    <w:rsid w:val="00F04ACF"/>
    <w:rsid w:val="00F05E77"/>
    <w:rsid w:val="00F07A79"/>
    <w:rsid w:val="00F120B2"/>
    <w:rsid w:val="00F1298D"/>
    <w:rsid w:val="00F13B3A"/>
    <w:rsid w:val="00F1598C"/>
    <w:rsid w:val="00F15AF3"/>
    <w:rsid w:val="00F15F42"/>
    <w:rsid w:val="00F301A9"/>
    <w:rsid w:val="00F3333F"/>
    <w:rsid w:val="00F337BA"/>
    <w:rsid w:val="00F33F3E"/>
    <w:rsid w:val="00F37011"/>
    <w:rsid w:val="00F37BA3"/>
    <w:rsid w:val="00F4038D"/>
    <w:rsid w:val="00F43211"/>
    <w:rsid w:val="00F451E3"/>
    <w:rsid w:val="00F45644"/>
    <w:rsid w:val="00F45905"/>
    <w:rsid w:val="00F45B3D"/>
    <w:rsid w:val="00F46E67"/>
    <w:rsid w:val="00F47614"/>
    <w:rsid w:val="00F53CB1"/>
    <w:rsid w:val="00F60DD1"/>
    <w:rsid w:val="00F63916"/>
    <w:rsid w:val="00F63E45"/>
    <w:rsid w:val="00F63E67"/>
    <w:rsid w:val="00F643B0"/>
    <w:rsid w:val="00F6575C"/>
    <w:rsid w:val="00F66919"/>
    <w:rsid w:val="00F67306"/>
    <w:rsid w:val="00F70AAD"/>
    <w:rsid w:val="00F71113"/>
    <w:rsid w:val="00F713C4"/>
    <w:rsid w:val="00F71857"/>
    <w:rsid w:val="00F740F4"/>
    <w:rsid w:val="00F74FF8"/>
    <w:rsid w:val="00F7527D"/>
    <w:rsid w:val="00F76302"/>
    <w:rsid w:val="00F77247"/>
    <w:rsid w:val="00F802D0"/>
    <w:rsid w:val="00F8118B"/>
    <w:rsid w:val="00F81DE8"/>
    <w:rsid w:val="00F82652"/>
    <w:rsid w:val="00F832F7"/>
    <w:rsid w:val="00F846D1"/>
    <w:rsid w:val="00F85C40"/>
    <w:rsid w:val="00F90A3A"/>
    <w:rsid w:val="00F92C0F"/>
    <w:rsid w:val="00F93D15"/>
    <w:rsid w:val="00F9542B"/>
    <w:rsid w:val="00F977DF"/>
    <w:rsid w:val="00FA35DE"/>
    <w:rsid w:val="00FA3CAD"/>
    <w:rsid w:val="00FA4304"/>
    <w:rsid w:val="00FA503E"/>
    <w:rsid w:val="00FA516E"/>
    <w:rsid w:val="00FA6504"/>
    <w:rsid w:val="00FB04B8"/>
    <w:rsid w:val="00FB07BE"/>
    <w:rsid w:val="00FB135F"/>
    <w:rsid w:val="00FB2054"/>
    <w:rsid w:val="00FB3E18"/>
    <w:rsid w:val="00FC105F"/>
    <w:rsid w:val="00FC2B77"/>
    <w:rsid w:val="00FC42AD"/>
    <w:rsid w:val="00FC555C"/>
    <w:rsid w:val="00FC5B7B"/>
    <w:rsid w:val="00FC744A"/>
    <w:rsid w:val="00FC74CD"/>
    <w:rsid w:val="00FC7817"/>
    <w:rsid w:val="00FD1466"/>
    <w:rsid w:val="00FD6049"/>
    <w:rsid w:val="00FE0316"/>
    <w:rsid w:val="00FE05BF"/>
    <w:rsid w:val="00FE083B"/>
    <w:rsid w:val="00FE3663"/>
    <w:rsid w:val="00FE52A3"/>
    <w:rsid w:val="00FE5910"/>
    <w:rsid w:val="00FE79EC"/>
    <w:rsid w:val="00FE7E7A"/>
    <w:rsid w:val="00FF1236"/>
    <w:rsid w:val="00FF172F"/>
    <w:rsid w:val="00FF177C"/>
    <w:rsid w:val="00FF2732"/>
    <w:rsid w:val="00FF29D4"/>
    <w:rsid w:val="00FF3FEE"/>
    <w:rsid w:val="00FF4840"/>
    <w:rsid w:val="00FF4F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DAA07B"/>
  <w15:docId w15:val="{87AC1AEF-B51A-4613-A2B4-1084E70D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44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626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26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A502A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695"/>
    <w:pPr>
      <w:ind w:left="720"/>
      <w:contextualSpacing/>
    </w:pPr>
  </w:style>
  <w:style w:type="character" w:styleId="CommentReference">
    <w:name w:val="annotation reference"/>
    <w:basedOn w:val="DefaultParagraphFont"/>
    <w:uiPriority w:val="99"/>
    <w:semiHidden/>
    <w:unhideWhenUsed/>
    <w:rsid w:val="00B046ED"/>
    <w:rPr>
      <w:sz w:val="16"/>
      <w:szCs w:val="16"/>
    </w:rPr>
  </w:style>
  <w:style w:type="paragraph" w:styleId="CommentText">
    <w:name w:val="annotation text"/>
    <w:basedOn w:val="Normal"/>
    <w:link w:val="CommentTextChar"/>
    <w:uiPriority w:val="99"/>
    <w:unhideWhenUsed/>
    <w:rsid w:val="00B046ED"/>
    <w:pPr>
      <w:spacing w:line="240" w:lineRule="auto"/>
    </w:pPr>
    <w:rPr>
      <w:sz w:val="20"/>
      <w:szCs w:val="20"/>
    </w:rPr>
  </w:style>
  <w:style w:type="character" w:customStyle="1" w:styleId="CommentTextChar">
    <w:name w:val="Comment Text Char"/>
    <w:basedOn w:val="DefaultParagraphFont"/>
    <w:link w:val="CommentText"/>
    <w:uiPriority w:val="99"/>
    <w:rsid w:val="00B046ED"/>
    <w:rPr>
      <w:sz w:val="20"/>
      <w:szCs w:val="20"/>
    </w:rPr>
  </w:style>
  <w:style w:type="paragraph" w:styleId="CommentSubject">
    <w:name w:val="annotation subject"/>
    <w:basedOn w:val="CommentText"/>
    <w:next w:val="CommentText"/>
    <w:link w:val="CommentSubjectChar"/>
    <w:uiPriority w:val="99"/>
    <w:semiHidden/>
    <w:unhideWhenUsed/>
    <w:rsid w:val="00B046ED"/>
    <w:rPr>
      <w:b/>
      <w:bCs/>
    </w:rPr>
  </w:style>
  <w:style w:type="character" w:customStyle="1" w:styleId="CommentSubjectChar">
    <w:name w:val="Comment Subject Char"/>
    <w:basedOn w:val="CommentTextChar"/>
    <w:link w:val="CommentSubject"/>
    <w:uiPriority w:val="99"/>
    <w:semiHidden/>
    <w:rsid w:val="00B046ED"/>
    <w:rPr>
      <w:b/>
      <w:bCs/>
      <w:sz w:val="20"/>
      <w:szCs w:val="20"/>
    </w:rPr>
  </w:style>
  <w:style w:type="paragraph" w:styleId="BalloonText">
    <w:name w:val="Balloon Text"/>
    <w:basedOn w:val="Normal"/>
    <w:link w:val="BalloonTextChar"/>
    <w:uiPriority w:val="99"/>
    <w:semiHidden/>
    <w:unhideWhenUsed/>
    <w:rsid w:val="00B04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ED"/>
    <w:rPr>
      <w:rFonts w:ascii="Segoe UI" w:hAnsi="Segoe UI" w:cs="Segoe UI"/>
      <w:sz w:val="18"/>
      <w:szCs w:val="18"/>
    </w:rPr>
  </w:style>
  <w:style w:type="paragraph" w:styleId="FootnoteText">
    <w:name w:val="footnote text"/>
    <w:basedOn w:val="Normal"/>
    <w:link w:val="FootnoteTextChar"/>
    <w:uiPriority w:val="99"/>
    <w:semiHidden/>
    <w:unhideWhenUsed/>
    <w:rsid w:val="00FA5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03E"/>
    <w:rPr>
      <w:sz w:val="20"/>
      <w:szCs w:val="20"/>
    </w:rPr>
  </w:style>
  <w:style w:type="character" w:styleId="FootnoteReference">
    <w:name w:val="footnote reference"/>
    <w:basedOn w:val="DefaultParagraphFont"/>
    <w:uiPriority w:val="99"/>
    <w:semiHidden/>
    <w:unhideWhenUsed/>
    <w:rsid w:val="00FA503E"/>
    <w:rPr>
      <w:vertAlign w:val="superscript"/>
    </w:rPr>
  </w:style>
  <w:style w:type="character" w:customStyle="1" w:styleId="footlabel">
    <w:name w:val="foot_label"/>
    <w:basedOn w:val="DefaultParagraphFont"/>
    <w:rsid w:val="00EC75D7"/>
    <w:rPr>
      <w:b/>
      <w:bCs/>
      <w:sz w:val="20"/>
      <w:szCs w:val="20"/>
      <w:u w:val="single"/>
      <w:vertAlign w:val="superscript"/>
    </w:rPr>
  </w:style>
  <w:style w:type="character" w:styleId="Hyperlink">
    <w:name w:val="Hyperlink"/>
    <w:basedOn w:val="DefaultParagraphFont"/>
    <w:uiPriority w:val="99"/>
    <w:unhideWhenUsed/>
    <w:rsid w:val="00EC75D7"/>
    <w:rPr>
      <w:color w:val="0000FF"/>
      <w:u w:val="single"/>
    </w:rPr>
  </w:style>
  <w:style w:type="character" w:customStyle="1" w:styleId="flexurl">
    <w:name w:val="flex_url"/>
    <w:basedOn w:val="DefaultParagraphFont"/>
    <w:rsid w:val="00186CF2"/>
    <w:rPr>
      <w:rFonts w:ascii="Courier New" w:hAnsi="Courier New" w:cs="Courier New" w:hint="default"/>
    </w:rPr>
  </w:style>
  <w:style w:type="character" w:customStyle="1" w:styleId="Heading5Char">
    <w:name w:val="Heading 5 Char"/>
    <w:basedOn w:val="DefaultParagraphFont"/>
    <w:link w:val="Heading5"/>
    <w:uiPriority w:val="9"/>
    <w:rsid w:val="00A502A7"/>
    <w:rPr>
      <w:rFonts w:ascii="Times New Roman" w:eastAsia="Times New Roman" w:hAnsi="Times New Roman" w:cs="Times New Roman"/>
      <w:b/>
      <w:bCs/>
      <w:sz w:val="20"/>
      <w:szCs w:val="20"/>
      <w:lang w:eastAsia="en-GB"/>
    </w:rPr>
  </w:style>
  <w:style w:type="character" w:customStyle="1" w:styleId="Heading2Char">
    <w:name w:val="Heading 2 Char"/>
    <w:basedOn w:val="DefaultParagraphFont"/>
    <w:link w:val="Heading2"/>
    <w:uiPriority w:val="9"/>
    <w:semiHidden/>
    <w:rsid w:val="006626D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626DE"/>
    <w:rPr>
      <w:rFonts w:asciiTheme="majorHAnsi" w:eastAsiaTheme="majorEastAsia" w:hAnsiTheme="majorHAnsi" w:cstheme="majorBidi"/>
      <w:color w:val="1F4D78" w:themeColor="accent1" w:themeShade="7F"/>
      <w:sz w:val="24"/>
      <w:szCs w:val="24"/>
    </w:rPr>
  </w:style>
  <w:style w:type="character" w:customStyle="1" w:styleId="sectionlabel">
    <w:name w:val="section_label"/>
    <w:basedOn w:val="DefaultParagraphFont"/>
    <w:rsid w:val="006626DE"/>
  </w:style>
  <w:style w:type="character" w:customStyle="1" w:styleId="subsectionlabel">
    <w:name w:val="subsection_label"/>
    <w:basedOn w:val="DefaultParagraphFont"/>
    <w:rsid w:val="006626DE"/>
  </w:style>
  <w:style w:type="paragraph" w:styleId="Header">
    <w:name w:val="header"/>
    <w:basedOn w:val="Normal"/>
    <w:link w:val="HeaderChar"/>
    <w:uiPriority w:val="99"/>
    <w:unhideWhenUsed/>
    <w:rsid w:val="0068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E86"/>
  </w:style>
  <w:style w:type="paragraph" w:styleId="Footer">
    <w:name w:val="footer"/>
    <w:basedOn w:val="Normal"/>
    <w:link w:val="FooterChar"/>
    <w:uiPriority w:val="99"/>
    <w:unhideWhenUsed/>
    <w:rsid w:val="0068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E86"/>
  </w:style>
  <w:style w:type="paragraph" w:styleId="Revision">
    <w:name w:val="Revision"/>
    <w:hidden/>
    <w:uiPriority w:val="99"/>
    <w:semiHidden/>
    <w:rsid w:val="00663847"/>
    <w:pPr>
      <w:spacing w:after="0" w:line="240" w:lineRule="auto"/>
    </w:pPr>
  </w:style>
  <w:style w:type="character" w:customStyle="1" w:styleId="UnresolvedMention1">
    <w:name w:val="Unresolved Mention1"/>
    <w:basedOn w:val="DefaultParagraphFont"/>
    <w:uiPriority w:val="99"/>
    <w:semiHidden/>
    <w:unhideWhenUsed/>
    <w:rsid w:val="008B0455"/>
    <w:rPr>
      <w:color w:val="605E5C"/>
      <w:shd w:val="clear" w:color="auto" w:fill="E1DFDD"/>
    </w:rPr>
  </w:style>
  <w:style w:type="character" w:customStyle="1" w:styleId="UnresolvedMention2">
    <w:name w:val="Unresolved Mention2"/>
    <w:basedOn w:val="DefaultParagraphFont"/>
    <w:uiPriority w:val="99"/>
    <w:semiHidden/>
    <w:unhideWhenUsed/>
    <w:rsid w:val="00E2210D"/>
    <w:rPr>
      <w:color w:val="605E5C"/>
      <w:shd w:val="clear" w:color="auto" w:fill="E1DFDD"/>
    </w:rPr>
  </w:style>
  <w:style w:type="character" w:styleId="PlaceholderText">
    <w:name w:val="Placeholder Text"/>
    <w:basedOn w:val="DefaultParagraphFont"/>
    <w:uiPriority w:val="99"/>
    <w:semiHidden/>
    <w:rsid w:val="00542D99"/>
    <w:rPr>
      <w:color w:val="808080"/>
    </w:rPr>
  </w:style>
  <w:style w:type="table" w:styleId="TableGrid">
    <w:name w:val="Table Grid"/>
    <w:basedOn w:val="TableNormal"/>
    <w:uiPriority w:val="39"/>
    <w:rsid w:val="00AA7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2329A"/>
    <w:pPr>
      <w:tabs>
        <w:tab w:val="left" w:pos="504"/>
      </w:tabs>
      <w:spacing w:after="240" w:line="240" w:lineRule="auto"/>
      <w:ind w:left="504" w:hanging="504"/>
    </w:pPr>
  </w:style>
  <w:style w:type="character" w:styleId="FollowedHyperlink">
    <w:name w:val="FollowedHyperlink"/>
    <w:basedOn w:val="DefaultParagraphFont"/>
    <w:uiPriority w:val="99"/>
    <w:semiHidden/>
    <w:unhideWhenUsed/>
    <w:rsid w:val="00FF4F79"/>
    <w:rPr>
      <w:color w:val="954F72" w:themeColor="followedHyperlink"/>
      <w:u w:val="single"/>
    </w:rPr>
  </w:style>
  <w:style w:type="character" w:customStyle="1" w:styleId="UnresolvedMention3">
    <w:name w:val="Unresolved Mention3"/>
    <w:basedOn w:val="DefaultParagraphFont"/>
    <w:uiPriority w:val="99"/>
    <w:semiHidden/>
    <w:unhideWhenUsed/>
    <w:rsid w:val="00BF714E"/>
    <w:rPr>
      <w:color w:val="605E5C"/>
      <w:shd w:val="clear" w:color="auto" w:fill="E1DFDD"/>
    </w:rPr>
  </w:style>
  <w:style w:type="character" w:customStyle="1" w:styleId="Heading1Char">
    <w:name w:val="Heading 1 Char"/>
    <w:basedOn w:val="DefaultParagraphFont"/>
    <w:link w:val="Heading1"/>
    <w:uiPriority w:val="9"/>
    <w:rsid w:val="0011448D"/>
    <w:rPr>
      <w:rFonts w:asciiTheme="majorHAnsi" w:eastAsiaTheme="majorEastAsia" w:hAnsiTheme="majorHAnsi" w:cstheme="majorBidi"/>
      <w:color w:val="2E74B5" w:themeColor="accent1" w:themeShade="BF"/>
      <w:sz w:val="32"/>
      <w:szCs w:val="32"/>
    </w:rPr>
  </w:style>
  <w:style w:type="paragraph" w:styleId="DocumentMap">
    <w:name w:val="Document Map"/>
    <w:basedOn w:val="Normal"/>
    <w:link w:val="DocumentMapChar"/>
    <w:uiPriority w:val="99"/>
    <w:semiHidden/>
    <w:unhideWhenUsed/>
    <w:rsid w:val="000D1C1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1C11"/>
    <w:rPr>
      <w:rFonts w:ascii="Lucida Grande" w:hAnsi="Lucida Grande" w:cs="Lucida Grande"/>
      <w:sz w:val="24"/>
      <w:szCs w:val="24"/>
    </w:rPr>
  </w:style>
  <w:style w:type="character" w:customStyle="1" w:styleId="UnresolvedMention4">
    <w:name w:val="Unresolved Mention4"/>
    <w:basedOn w:val="DefaultParagraphFont"/>
    <w:uiPriority w:val="99"/>
    <w:semiHidden/>
    <w:unhideWhenUsed/>
    <w:rsid w:val="00280C97"/>
    <w:rPr>
      <w:color w:val="605E5C"/>
      <w:shd w:val="clear" w:color="auto" w:fill="E1DFDD"/>
    </w:rPr>
  </w:style>
  <w:style w:type="paragraph" w:styleId="NormalWeb">
    <w:name w:val="Normal (Web)"/>
    <w:basedOn w:val="Normal"/>
    <w:uiPriority w:val="99"/>
    <w:semiHidden/>
    <w:unhideWhenUsed/>
    <w:rsid w:val="00280C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B0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5283">
      <w:bodyDiv w:val="1"/>
      <w:marLeft w:val="0"/>
      <w:marRight w:val="0"/>
      <w:marTop w:val="0"/>
      <w:marBottom w:val="0"/>
      <w:divBdr>
        <w:top w:val="none" w:sz="0" w:space="0" w:color="auto"/>
        <w:left w:val="none" w:sz="0" w:space="0" w:color="auto"/>
        <w:bottom w:val="none" w:sz="0" w:space="0" w:color="auto"/>
        <w:right w:val="none" w:sz="0" w:space="0" w:color="auto"/>
      </w:divBdr>
      <w:divsChild>
        <w:div w:id="1442917379">
          <w:marLeft w:val="0"/>
          <w:marRight w:val="0"/>
          <w:marTop w:val="0"/>
          <w:marBottom w:val="240"/>
          <w:divBdr>
            <w:top w:val="none" w:sz="0" w:space="0" w:color="auto"/>
            <w:left w:val="none" w:sz="0" w:space="0" w:color="auto"/>
            <w:bottom w:val="none" w:sz="0" w:space="0" w:color="auto"/>
            <w:right w:val="none" w:sz="0" w:space="0" w:color="auto"/>
          </w:divBdr>
        </w:div>
      </w:divsChild>
    </w:div>
    <w:div w:id="31224713">
      <w:bodyDiv w:val="1"/>
      <w:marLeft w:val="0"/>
      <w:marRight w:val="0"/>
      <w:marTop w:val="0"/>
      <w:marBottom w:val="0"/>
      <w:divBdr>
        <w:top w:val="none" w:sz="0" w:space="0" w:color="auto"/>
        <w:left w:val="none" w:sz="0" w:space="0" w:color="auto"/>
        <w:bottom w:val="none" w:sz="0" w:space="0" w:color="auto"/>
        <w:right w:val="none" w:sz="0" w:space="0" w:color="auto"/>
      </w:divBdr>
    </w:div>
    <w:div w:id="78795945">
      <w:bodyDiv w:val="1"/>
      <w:marLeft w:val="0"/>
      <w:marRight w:val="0"/>
      <w:marTop w:val="0"/>
      <w:marBottom w:val="0"/>
      <w:divBdr>
        <w:top w:val="none" w:sz="0" w:space="0" w:color="auto"/>
        <w:left w:val="none" w:sz="0" w:space="0" w:color="auto"/>
        <w:bottom w:val="none" w:sz="0" w:space="0" w:color="auto"/>
        <w:right w:val="none" w:sz="0" w:space="0" w:color="auto"/>
      </w:divBdr>
      <w:divsChild>
        <w:div w:id="503670237">
          <w:marLeft w:val="0"/>
          <w:marRight w:val="0"/>
          <w:marTop w:val="0"/>
          <w:marBottom w:val="240"/>
          <w:divBdr>
            <w:top w:val="none" w:sz="0" w:space="0" w:color="auto"/>
            <w:left w:val="none" w:sz="0" w:space="0" w:color="auto"/>
            <w:bottom w:val="none" w:sz="0" w:space="0" w:color="auto"/>
            <w:right w:val="none" w:sz="0" w:space="0" w:color="auto"/>
          </w:divBdr>
        </w:div>
      </w:divsChild>
    </w:div>
    <w:div w:id="246303357">
      <w:bodyDiv w:val="1"/>
      <w:marLeft w:val="0"/>
      <w:marRight w:val="0"/>
      <w:marTop w:val="0"/>
      <w:marBottom w:val="0"/>
      <w:divBdr>
        <w:top w:val="none" w:sz="0" w:space="0" w:color="auto"/>
        <w:left w:val="none" w:sz="0" w:space="0" w:color="auto"/>
        <w:bottom w:val="none" w:sz="0" w:space="0" w:color="auto"/>
        <w:right w:val="none" w:sz="0" w:space="0" w:color="auto"/>
      </w:divBdr>
    </w:div>
    <w:div w:id="275601967">
      <w:bodyDiv w:val="1"/>
      <w:marLeft w:val="0"/>
      <w:marRight w:val="0"/>
      <w:marTop w:val="0"/>
      <w:marBottom w:val="0"/>
      <w:divBdr>
        <w:top w:val="none" w:sz="0" w:space="0" w:color="auto"/>
        <w:left w:val="none" w:sz="0" w:space="0" w:color="auto"/>
        <w:bottom w:val="none" w:sz="0" w:space="0" w:color="auto"/>
        <w:right w:val="none" w:sz="0" w:space="0" w:color="auto"/>
      </w:divBdr>
    </w:div>
    <w:div w:id="347681226">
      <w:bodyDiv w:val="1"/>
      <w:marLeft w:val="0"/>
      <w:marRight w:val="0"/>
      <w:marTop w:val="0"/>
      <w:marBottom w:val="0"/>
      <w:divBdr>
        <w:top w:val="none" w:sz="0" w:space="0" w:color="auto"/>
        <w:left w:val="none" w:sz="0" w:space="0" w:color="auto"/>
        <w:bottom w:val="none" w:sz="0" w:space="0" w:color="auto"/>
        <w:right w:val="none" w:sz="0" w:space="0" w:color="auto"/>
      </w:divBdr>
      <w:divsChild>
        <w:div w:id="1469014114">
          <w:marLeft w:val="0"/>
          <w:marRight w:val="0"/>
          <w:marTop w:val="0"/>
          <w:marBottom w:val="240"/>
          <w:divBdr>
            <w:top w:val="none" w:sz="0" w:space="0" w:color="auto"/>
            <w:left w:val="none" w:sz="0" w:space="0" w:color="auto"/>
            <w:bottom w:val="none" w:sz="0" w:space="0" w:color="auto"/>
            <w:right w:val="none" w:sz="0" w:space="0" w:color="auto"/>
          </w:divBdr>
        </w:div>
        <w:div w:id="1142502844">
          <w:marLeft w:val="0"/>
          <w:marRight w:val="0"/>
          <w:marTop w:val="0"/>
          <w:marBottom w:val="240"/>
          <w:divBdr>
            <w:top w:val="none" w:sz="0" w:space="0" w:color="auto"/>
            <w:left w:val="none" w:sz="0" w:space="0" w:color="auto"/>
            <w:bottom w:val="none" w:sz="0" w:space="0" w:color="auto"/>
            <w:right w:val="none" w:sz="0" w:space="0" w:color="auto"/>
          </w:divBdr>
        </w:div>
      </w:divsChild>
    </w:div>
    <w:div w:id="380600071">
      <w:bodyDiv w:val="1"/>
      <w:marLeft w:val="0"/>
      <w:marRight w:val="0"/>
      <w:marTop w:val="0"/>
      <w:marBottom w:val="0"/>
      <w:divBdr>
        <w:top w:val="none" w:sz="0" w:space="0" w:color="auto"/>
        <w:left w:val="none" w:sz="0" w:space="0" w:color="auto"/>
        <w:bottom w:val="none" w:sz="0" w:space="0" w:color="auto"/>
        <w:right w:val="none" w:sz="0" w:space="0" w:color="auto"/>
      </w:divBdr>
    </w:div>
    <w:div w:id="431164309">
      <w:bodyDiv w:val="1"/>
      <w:marLeft w:val="0"/>
      <w:marRight w:val="0"/>
      <w:marTop w:val="0"/>
      <w:marBottom w:val="0"/>
      <w:divBdr>
        <w:top w:val="none" w:sz="0" w:space="0" w:color="auto"/>
        <w:left w:val="none" w:sz="0" w:space="0" w:color="auto"/>
        <w:bottom w:val="none" w:sz="0" w:space="0" w:color="auto"/>
        <w:right w:val="none" w:sz="0" w:space="0" w:color="auto"/>
      </w:divBdr>
      <w:divsChild>
        <w:div w:id="1519611909">
          <w:marLeft w:val="0"/>
          <w:marRight w:val="0"/>
          <w:marTop w:val="0"/>
          <w:marBottom w:val="240"/>
          <w:divBdr>
            <w:top w:val="none" w:sz="0" w:space="0" w:color="auto"/>
            <w:left w:val="none" w:sz="0" w:space="0" w:color="auto"/>
            <w:bottom w:val="none" w:sz="0" w:space="0" w:color="auto"/>
            <w:right w:val="none" w:sz="0" w:space="0" w:color="auto"/>
          </w:divBdr>
        </w:div>
      </w:divsChild>
    </w:div>
    <w:div w:id="431514481">
      <w:bodyDiv w:val="1"/>
      <w:marLeft w:val="0"/>
      <w:marRight w:val="0"/>
      <w:marTop w:val="0"/>
      <w:marBottom w:val="0"/>
      <w:divBdr>
        <w:top w:val="none" w:sz="0" w:space="0" w:color="auto"/>
        <w:left w:val="none" w:sz="0" w:space="0" w:color="auto"/>
        <w:bottom w:val="none" w:sz="0" w:space="0" w:color="auto"/>
        <w:right w:val="none" w:sz="0" w:space="0" w:color="auto"/>
      </w:divBdr>
      <w:divsChild>
        <w:div w:id="574629614">
          <w:marLeft w:val="0"/>
          <w:marRight w:val="0"/>
          <w:marTop w:val="0"/>
          <w:marBottom w:val="240"/>
          <w:divBdr>
            <w:top w:val="none" w:sz="0" w:space="0" w:color="auto"/>
            <w:left w:val="none" w:sz="0" w:space="0" w:color="auto"/>
            <w:bottom w:val="none" w:sz="0" w:space="0" w:color="auto"/>
            <w:right w:val="none" w:sz="0" w:space="0" w:color="auto"/>
          </w:divBdr>
          <w:divsChild>
            <w:div w:id="1454597174">
              <w:marLeft w:val="0"/>
              <w:marRight w:val="0"/>
              <w:marTop w:val="0"/>
              <w:marBottom w:val="0"/>
              <w:divBdr>
                <w:top w:val="none" w:sz="0" w:space="0" w:color="auto"/>
                <w:left w:val="none" w:sz="0" w:space="0" w:color="auto"/>
                <w:bottom w:val="none" w:sz="0" w:space="0" w:color="auto"/>
                <w:right w:val="none" w:sz="0" w:space="0" w:color="auto"/>
              </w:divBdr>
              <w:divsChild>
                <w:div w:id="15802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859">
      <w:bodyDiv w:val="1"/>
      <w:marLeft w:val="0"/>
      <w:marRight w:val="0"/>
      <w:marTop w:val="0"/>
      <w:marBottom w:val="0"/>
      <w:divBdr>
        <w:top w:val="none" w:sz="0" w:space="0" w:color="auto"/>
        <w:left w:val="none" w:sz="0" w:space="0" w:color="auto"/>
        <w:bottom w:val="none" w:sz="0" w:space="0" w:color="auto"/>
        <w:right w:val="none" w:sz="0" w:space="0" w:color="auto"/>
      </w:divBdr>
      <w:divsChild>
        <w:div w:id="897741356">
          <w:marLeft w:val="0"/>
          <w:marRight w:val="0"/>
          <w:marTop w:val="0"/>
          <w:marBottom w:val="240"/>
          <w:divBdr>
            <w:top w:val="none" w:sz="0" w:space="0" w:color="auto"/>
            <w:left w:val="none" w:sz="0" w:space="0" w:color="auto"/>
            <w:bottom w:val="none" w:sz="0" w:space="0" w:color="auto"/>
            <w:right w:val="none" w:sz="0" w:space="0" w:color="auto"/>
          </w:divBdr>
        </w:div>
      </w:divsChild>
    </w:div>
    <w:div w:id="508982718">
      <w:bodyDiv w:val="1"/>
      <w:marLeft w:val="0"/>
      <w:marRight w:val="0"/>
      <w:marTop w:val="0"/>
      <w:marBottom w:val="0"/>
      <w:divBdr>
        <w:top w:val="none" w:sz="0" w:space="0" w:color="auto"/>
        <w:left w:val="none" w:sz="0" w:space="0" w:color="auto"/>
        <w:bottom w:val="none" w:sz="0" w:space="0" w:color="auto"/>
        <w:right w:val="none" w:sz="0" w:space="0" w:color="auto"/>
      </w:divBdr>
    </w:div>
    <w:div w:id="551042674">
      <w:bodyDiv w:val="1"/>
      <w:marLeft w:val="0"/>
      <w:marRight w:val="0"/>
      <w:marTop w:val="0"/>
      <w:marBottom w:val="0"/>
      <w:divBdr>
        <w:top w:val="none" w:sz="0" w:space="0" w:color="auto"/>
        <w:left w:val="none" w:sz="0" w:space="0" w:color="auto"/>
        <w:bottom w:val="none" w:sz="0" w:space="0" w:color="auto"/>
        <w:right w:val="none" w:sz="0" w:space="0" w:color="auto"/>
      </w:divBdr>
    </w:div>
    <w:div w:id="726226473">
      <w:bodyDiv w:val="1"/>
      <w:marLeft w:val="0"/>
      <w:marRight w:val="0"/>
      <w:marTop w:val="0"/>
      <w:marBottom w:val="0"/>
      <w:divBdr>
        <w:top w:val="none" w:sz="0" w:space="0" w:color="auto"/>
        <w:left w:val="none" w:sz="0" w:space="0" w:color="auto"/>
        <w:bottom w:val="none" w:sz="0" w:space="0" w:color="auto"/>
        <w:right w:val="none" w:sz="0" w:space="0" w:color="auto"/>
      </w:divBdr>
      <w:divsChild>
        <w:div w:id="676076634">
          <w:marLeft w:val="0"/>
          <w:marRight w:val="0"/>
          <w:marTop w:val="0"/>
          <w:marBottom w:val="0"/>
          <w:divBdr>
            <w:top w:val="none" w:sz="0" w:space="0" w:color="auto"/>
            <w:left w:val="none" w:sz="0" w:space="0" w:color="auto"/>
            <w:bottom w:val="none" w:sz="0" w:space="0" w:color="auto"/>
            <w:right w:val="none" w:sz="0" w:space="0" w:color="auto"/>
          </w:divBdr>
        </w:div>
      </w:divsChild>
    </w:div>
    <w:div w:id="757754389">
      <w:bodyDiv w:val="1"/>
      <w:marLeft w:val="0"/>
      <w:marRight w:val="0"/>
      <w:marTop w:val="0"/>
      <w:marBottom w:val="0"/>
      <w:divBdr>
        <w:top w:val="none" w:sz="0" w:space="0" w:color="auto"/>
        <w:left w:val="none" w:sz="0" w:space="0" w:color="auto"/>
        <w:bottom w:val="none" w:sz="0" w:space="0" w:color="auto"/>
        <w:right w:val="none" w:sz="0" w:space="0" w:color="auto"/>
      </w:divBdr>
      <w:divsChild>
        <w:div w:id="2120097688">
          <w:marLeft w:val="0"/>
          <w:marRight w:val="0"/>
          <w:marTop w:val="0"/>
          <w:marBottom w:val="0"/>
          <w:divBdr>
            <w:top w:val="none" w:sz="0" w:space="0" w:color="auto"/>
            <w:left w:val="none" w:sz="0" w:space="0" w:color="auto"/>
            <w:bottom w:val="none" w:sz="0" w:space="0" w:color="auto"/>
            <w:right w:val="none" w:sz="0" w:space="0" w:color="auto"/>
          </w:divBdr>
          <w:divsChild>
            <w:div w:id="1017268846">
              <w:marLeft w:val="0"/>
              <w:marRight w:val="0"/>
              <w:marTop w:val="0"/>
              <w:marBottom w:val="0"/>
              <w:divBdr>
                <w:top w:val="none" w:sz="0" w:space="0" w:color="auto"/>
                <w:left w:val="none" w:sz="0" w:space="0" w:color="auto"/>
                <w:bottom w:val="none" w:sz="0" w:space="0" w:color="auto"/>
                <w:right w:val="none" w:sz="0" w:space="0" w:color="auto"/>
              </w:divBdr>
              <w:divsChild>
                <w:div w:id="5328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2586">
      <w:bodyDiv w:val="1"/>
      <w:marLeft w:val="0"/>
      <w:marRight w:val="0"/>
      <w:marTop w:val="0"/>
      <w:marBottom w:val="0"/>
      <w:divBdr>
        <w:top w:val="none" w:sz="0" w:space="0" w:color="auto"/>
        <w:left w:val="none" w:sz="0" w:space="0" w:color="auto"/>
        <w:bottom w:val="none" w:sz="0" w:space="0" w:color="auto"/>
        <w:right w:val="none" w:sz="0" w:space="0" w:color="auto"/>
      </w:divBdr>
      <w:divsChild>
        <w:div w:id="845629775">
          <w:marLeft w:val="0"/>
          <w:marRight w:val="0"/>
          <w:marTop w:val="0"/>
          <w:marBottom w:val="240"/>
          <w:divBdr>
            <w:top w:val="none" w:sz="0" w:space="0" w:color="auto"/>
            <w:left w:val="none" w:sz="0" w:space="0" w:color="auto"/>
            <w:bottom w:val="none" w:sz="0" w:space="0" w:color="auto"/>
            <w:right w:val="none" w:sz="0" w:space="0" w:color="auto"/>
          </w:divBdr>
        </w:div>
        <w:div w:id="2090149859">
          <w:marLeft w:val="0"/>
          <w:marRight w:val="0"/>
          <w:marTop w:val="0"/>
          <w:marBottom w:val="240"/>
          <w:divBdr>
            <w:top w:val="none" w:sz="0" w:space="0" w:color="auto"/>
            <w:left w:val="none" w:sz="0" w:space="0" w:color="auto"/>
            <w:bottom w:val="none" w:sz="0" w:space="0" w:color="auto"/>
            <w:right w:val="none" w:sz="0" w:space="0" w:color="auto"/>
          </w:divBdr>
        </w:div>
      </w:divsChild>
    </w:div>
    <w:div w:id="844442529">
      <w:bodyDiv w:val="1"/>
      <w:marLeft w:val="0"/>
      <w:marRight w:val="0"/>
      <w:marTop w:val="0"/>
      <w:marBottom w:val="0"/>
      <w:divBdr>
        <w:top w:val="none" w:sz="0" w:space="0" w:color="auto"/>
        <w:left w:val="none" w:sz="0" w:space="0" w:color="auto"/>
        <w:bottom w:val="none" w:sz="0" w:space="0" w:color="auto"/>
        <w:right w:val="none" w:sz="0" w:space="0" w:color="auto"/>
      </w:divBdr>
      <w:divsChild>
        <w:div w:id="40636251">
          <w:marLeft w:val="0"/>
          <w:marRight w:val="0"/>
          <w:marTop w:val="0"/>
          <w:marBottom w:val="240"/>
          <w:divBdr>
            <w:top w:val="none" w:sz="0" w:space="0" w:color="auto"/>
            <w:left w:val="none" w:sz="0" w:space="0" w:color="auto"/>
            <w:bottom w:val="none" w:sz="0" w:space="0" w:color="auto"/>
            <w:right w:val="none" w:sz="0" w:space="0" w:color="auto"/>
          </w:divBdr>
        </w:div>
      </w:divsChild>
    </w:div>
    <w:div w:id="994527493">
      <w:bodyDiv w:val="1"/>
      <w:marLeft w:val="0"/>
      <w:marRight w:val="0"/>
      <w:marTop w:val="0"/>
      <w:marBottom w:val="0"/>
      <w:divBdr>
        <w:top w:val="none" w:sz="0" w:space="0" w:color="auto"/>
        <w:left w:val="none" w:sz="0" w:space="0" w:color="auto"/>
        <w:bottom w:val="none" w:sz="0" w:space="0" w:color="auto"/>
        <w:right w:val="none" w:sz="0" w:space="0" w:color="auto"/>
      </w:divBdr>
      <w:divsChild>
        <w:div w:id="439228115">
          <w:marLeft w:val="0"/>
          <w:marRight w:val="0"/>
          <w:marTop w:val="0"/>
          <w:marBottom w:val="240"/>
          <w:divBdr>
            <w:top w:val="none" w:sz="0" w:space="0" w:color="auto"/>
            <w:left w:val="none" w:sz="0" w:space="0" w:color="auto"/>
            <w:bottom w:val="none" w:sz="0" w:space="0" w:color="auto"/>
            <w:right w:val="none" w:sz="0" w:space="0" w:color="auto"/>
          </w:divBdr>
        </w:div>
      </w:divsChild>
    </w:div>
    <w:div w:id="1051032421">
      <w:bodyDiv w:val="1"/>
      <w:marLeft w:val="0"/>
      <w:marRight w:val="0"/>
      <w:marTop w:val="0"/>
      <w:marBottom w:val="0"/>
      <w:divBdr>
        <w:top w:val="none" w:sz="0" w:space="0" w:color="auto"/>
        <w:left w:val="none" w:sz="0" w:space="0" w:color="auto"/>
        <w:bottom w:val="none" w:sz="0" w:space="0" w:color="auto"/>
        <w:right w:val="none" w:sz="0" w:space="0" w:color="auto"/>
      </w:divBdr>
      <w:divsChild>
        <w:div w:id="1071349727">
          <w:marLeft w:val="0"/>
          <w:marRight w:val="0"/>
          <w:marTop w:val="0"/>
          <w:marBottom w:val="240"/>
          <w:divBdr>
            <w:top w:val="none" w:sz="0" w:space="0" w:color="auto"/>
            <w:left w:val="none" w:sz="0" w:space="0" w:color="auto"/>
            <w:bottom w:val="none" w:sz="0" w:space="0" w:color="auto"/>
            <w:right w:val="none" w:sz="0" w:space="0" w:color="auto"/>
          </w:divBdr>
        </w:div>
      </w:divsChild>
    </w:div>
    <w:div w:id="1054625935">
      <w:bodyDiv w:val="1"/>
      <w:marLeft w:val="0"/>
      <w:marRight w:val="0"/>
      <w:marTop w:val="0"/>
      <w:marBottom w:val="0"/>
      <w:divBdr>
        <w:top w:val="none" w:sz="0" w:space="0" w:color="auto"/>
        <w:left w:val="none" w:sz="0" w:space="0" w:color="auto"/>
        <w:bottom w:val="none" w:sz="0" w:space="0" w:color="auto"/>
        <w:right w:val="none" w:sz="0" w:space="0" w:color="auto"/>
      </w:divBdr>
      <w:divsChild>
        <w:div w:id="665204051">
          <w:marLeft w:val="0"/>
          <w:marRight w:val="0"/>
          <w:marTop w:val="0"/>
          <w:marBottom w:val="240"/>
          <w:divBdr>
            <w:top w:val="none" w:sz="0" w:space="0" w:color="auto"/>
            <w:left w:val="none" w:sz="0" w:space="0" w:color="auto"/>
            <w:bottom w:val="none" w:sz="0" w:space="0" w:color="auto"/>
            <w:right w:val="none" w:sz="0" w:space="0" w:color="auto"/>
          </w:divBdr>
        </w:div>
      </w:divsChild>
    </w:div>
    <w:div w:id="1136293665">
      <w:bodyDiv w:val="1"/>
      <w:marLeft w:val="0"/>
      <w:marRight w:val="0"/>
      <w:marTop w:val="0"/>
      <w:marBottom w:val="0"/>
      <w:divBdr>
        <w:top w:val="none" w:sz="0" w:space="0" w:color="auto"/>
        <w:left w:val="none" w:sz="0" w:space="0" w:color="auto"/>
        <w:bottom w:val="none" w:sz="0" w:space="0" w:color="auto"/>
        <w:right w:val="none" w:sz="0" w:space="0" w:color="auto"/>
      </w:divBdr>
      <w:divsChild>
        <w:div w:id="800877732">
          <w:marLeft w:val="0"/>
          <w:marRight w:val="0"/>
          <w:marTop w:val="0"/>
          <w:marBottom w:val="240"/>
          <w:divBdr>
            <w:top w:val="none" w:sz="0" w:space="0" w:color="auto"/>
            <w:left w:val="none" w:sz="0" w:space="0" w:color="auto"/>
            <w:bottom w:val="none" w:sz="0" w:space="0" w:color="auto"/>
            <w:right w:val="none" w:sz="0" w:space="0" w:color="auto"/>
          </w:divBdr>
        </w:div>
        <w:div w:id="16738930">
          <w:marLeft w:val="0"/>
          <w:marRight w:val="0"/>
          <w:marTop w:val="0"/>
          <w:marBottom w:val="240"/>
          <w:divBdr>
            <w:top w:val="none" w:sz="0" w:space="0" w:color="auto"/>
            <w:left w:val="none" w:sz="0" w:space="0" w:color="auto"/>
            <w:bottom w:val="none" w:sz="0" w:space="0" w:color="auto"/>
            <w:right w:val="none" w:sz="0" w:space="0" w:color="auto"/>
          </w:divBdr>
        </w:div>
      </w:divsChild>
    </w:div>
    <w:div w:id="1165781563">
      <w:bodyDiv w:val="1"/>
      <w:marLeft w:val="0"/>
      <w:marRight w:val="0"/>
      <w:marTop w:val="0"/>
      <w:marBottom w:val="0"/>
      <w:divBdr>
        <w:top w:val="none" w:sz="0" w:space="0" w:color="auto"/>
        <w:left w:val="none" w:sz="0" w:space="0" w:color="auto"/>
        <w:bottom w:val="none" w:sz="0" w:space="0" w:color="auto"/>
        <w:right w:val="none" w:sz="0" w:space="0" w:color="auto"/>
      </w:divBdr>
      <w:divsChild>
        <w:div w:id="725572478">
          <w:marLeft w:val="0"/>
          <w:marRight w:val="0"/>
          <w:marTop w:val="0"/>
          <w:marBottom w:val="240"/>
          <w:divBdr>
            <w:top w:val="none" w:sz="0" w:space="0" w:color="auto"/>
            <w:left w:val="none" w:sz="0" w:space="0" w:color="auto"/>
            <w:bottom w:val="none" w:sz="0" w:space="0" w:color="auto"/>
            <w:right w:val="none" w:sz="0" w:space="0" w:color="auto"/>
          </w:divBdr>
        </w:div>
        <w:div w:id="116489490">
          <w:marLeft w:val="0"/>
          <w:marRight w:val="0"/>
          <w:marTop w:val="0"/>
          <w:marBottom w:val="240"/>
          <w:divBdr>
            <w:top w:val="none" w:sz="0" w:space="0" w:color="auto"/>
            <w:left w:val="none" w:sz="0" w:space="0" w:color="auto"/>
            <w:bottom w:val="none" w:sz="0" w:space="0" w:color="auto"/>
            <w:right w:val="none" w:sz="0" w:space="0" w:color="auto"/>
          </w:divBdr>
        </w:div>
        <w:div w:id="977688187">
          <w:marLeft w:val="0"/>
          <w:marRight w:val="0"/>
          <w:marTop w:val="0"/>
          <w:marBottom w:val="240"/>
          <w:divBdr>
            <w:top w:val="none" w:sz="0" w:space="0" w:color="auto"/>
            <w:left w:val="none" w:sz="0" w:space="0" w:color="auto"/>
            <w:bottom w:val="none" w:sz="0" w:space="0" w:color="auto"/>
            <w:right w:val="none" w:sz="0" w:space="0" w:color="auto"/>
          </w:divBdr>
        </w:div>
        <w:div w:id="1055466644">
          <w:marLeft w:val="0"/>
          <w:marRight w:val="0"/>
          <w:marTop w:val="0"/>
          <w:marBottom w:val="240"/>
          <w:divBdr>
            <w:top w:val="none" w:sz="0" w:space="0" w:color="auto"/>
            <w:left w:val="none" w:sz="0" w:space="0" w:color="auto"/>
            <w:bottom w:val="none" w:sz="0" w:space="0" w:color="auto"/>
            <w:right w:val="none" w:sz="0" w:space="0" w:color="auto"/>
          </w:divBdr>
        </w:div>
      </w:divsChild>
    </w:div>
    <w:div w:id="1227571761">
      <w:bodyDiv w:val="1"/>
      <w:marLeft w:val="0"/>
      <w:marRight w:val="0"/>
      <w:marTop w:val="0"/>
      <w:marBottom w:val="0"/>
      <w:divBdr>
        <w:top w:val="none" w:sz="0" w:space="0" w:color="auto"/>
        <w:left w:val="none" w:sz="0" w:space="0" w:color="auto"/>
        <w:bottom w:val="none" w:sz="0" w:space="0" w:color="auto"/>
        <w:right w:val="none" w:sz="0" w:space="0" w:color="auto"/>
      </w:divBdr>
      <w:divsChild>
        <w:div w:id="955402500">
          <w:marLeft w:val="0"/>
          <w:marRight w:val="0"/>
          <w:marTop w:val="0"/>
          <w:marBottom w:val="240"/>
          <w:divBdr>
            <w:top w:val="none" w:sz="0" w:space="0" w:color="auto"/>
            <w:left w:val="none" w:sz="0" w:space="0" w:color="auto"/>
            <w:bottom w:val="none" w:sz="0" w:space="0" w:color="auto"/>
            <w:right w:val="none" w:sz="0" w:space="0" w:color="auto"/>
          </w:divBdr>
        </w:div>
      </w:divsChild>
    </w:div>
    <w:div w:id="1260135162">
      <w:bodyDiv w:val="1"/>
      <w:marLeft w:val="0"/>
      <w:marRight w:val="0"/>
      <w:marTop w:val="0"/>
      <w:marBottom w:val="0"/>
      <w:divBdr>
        <w:top w:val="none" w:sz="0" w:space="0" w:color="auto"/>
        <w:left w:val="none" w:sz="0" w:space="0" w:color="auto"/>
        <w:bottom w:val="none" w:sz="0" w:space="0" w:color="auto"/>
        <w:right w:val="none" w:sz="0" w:space="0" w:color="auto"/>
      </w:divBdr>
      <w:divsChild>
        <w:div w:id="1829861159">
          <w:marLeft w:val="0"/>
          <w:marRight w:val="0"/>
          <w:marTop w:val="0"/>
          <w:marBottom w:val="0"/>
          <w:divBdr>
            <w:top w:val="none" w:sz="0" w:space="0" w:color="auto"/>
            <w:left w:val="none" w:sz="0" w:space="0" w:color="auto"/>
            <w:bottom w:val="none" w:sz="0" w:space="0" w:color="auto"/>
            <w:right w:val="none" w:sz="0" w:space="0" w:color="auto"/>
          </w:divBdr>
          <w:divsChild>
            <w:div w:id="1488128520">
              <w:marLeft w:val="0"/>
              <w:marRight w:val="0"/>
              <w:marTop w:val="0"/>
              <w:marBottom w:val="0"/>
              <w:divBdr>
                <w:top w:val="none" w:sz="0" w:space="0" w:color="auto"/>
                <w:left w:val="none" w:sz="0" w:space="0" w:color="auto"/>
                <w:bottom w:val="none" w:sz="0" w:space="0" w:color="auto"/>
                <w:right w:val="none" w:sz="0" w:space="0" w:color="auto"/>
              </w:divBdr>
              <w:divsChild>
                <w:div w:id="1277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4575">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2">
          <w:marLeft w:val="0"/>
          <w:marRight w:val="0"/>
          <w:marTop w:val="0"/>
          <w:marBottom w:val="240"/>
          <w:divBdr>
            <w:top w:val="none" w:sz="0" w:space="0" w:color="auto"/>
            <w:left w:val="none" w:sz="0" w:space="0" w:color="auto"/>
            <w:bottom w:val="none" w:sz="0" w:space="0" w:color="auto"/>
            <w:right w:val="none" w:sz="0" w:space="0" w:color="auto"/>
          </w:divBdr>
        </w:div>
      </w:divsChild>
    </w:div>
    <w:div w:id="1305041956">
      <w:bodyDiv w:val="1"/>
      <w:marLeft w:val="0"/>
      <w:marRight w:val="0"/>
      <w:marTop w:val="0"/>
      <w:marBottom w:val="0"/>
      <w:divBdr>
        <w:top w:val="none" w:sz="0" w:space="0" w:color="auto"/>
        <w:left w:val="none" w:sz="0" w:space="0" w:color="auto"/>
        <w:bottom w:val="none" w:sz="0" w:space="0" w:color="auto"/>
        <w:right w:val="none" w:sz="0" w:space="0" w:color="auto"/>
      </w:divBdr>
      <w:divsChild>
        <w:div w:id="21522618">
          <w:marLeft w:val="0"/>
          <w:marRight w:val="0"/>
          <w:marTop w:val="0"/>
          <w:marBottom w:val="240"/>
          <w:divBdr>
            <w:top w:val="none" w:sz="0" w:space="0" w:color="auto"/>
            <w:left w:val="none" w:sz="0" w:space="0" w:color="auto"/>
            <w:bottom w:val="none" w:sz="0" w:space="0" w:color="auto"/>
            <w:right w:val="none" w:sz="0" w:space="0" w:color="auto"/>
          </w:divBdr>
          <w:divsChild>
            <w:div w:id="1545021139">
              <w:marLeft w:val="0"/>
              <w:marRight w:val="0"/>
              <w:marTop w:val="0"/>
              <w:marBottom w:val="0"/>
              <w:divBdr>
                <w:top w:val="none" w:sz="0" w:space="0" w:color="auto"/>
                <w:left w:val="none" w:sz="0" w:space="0" w:color="auto"/>
                <w:bottom w:val="none" w:sz="0" w:space="0" w:color="auto"/>
                <w:right w:val="none" w:sz="0" w:space="0" w:color="auto"/>
              </w:divBdr>
              <w:divsChild>
                <w:div w:id="13766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393208">
      <w:bodyDiv w:val="1"/>
      <w:marLeft w:val="0"/>
      <w:marRight w:val="0"/>
      <w:marTop w:val="0"/>
      <w:marBottom w:val="0"/>
      <w:divBdr>
        <w:top w:val="none" w:sz="0" w:space="0" w:color="auto"/>
        <w:left w:val="none" w:sz="0" w:space="0" w:color="auto"/>
        <w:bottom w:val="none" w:sz="0" w:space="0" w:color="auto"/>
        <w:right w:val="none" w:sz="0" w:space="0" w:color="auto"/>
      </w:divBdr>
      <w:divsChild>
        <w:div w:id="916012401">
          <w:marLeft w:val="0"/>
          <w:marRight w:val="0"/>
          <w:marTop w:val="0"/>
          <w:marBottom w:val="240"/>
          <w:divBdr>
            <w:top w:val="none" w:sz="0" w:space="0" w:color="auto"/>
            <w:left w:val="none" w:sz="0" w:space="0" w:color="auto"/>
            <w:bottom w:val="none" w:sz="0" w:space="0" w:color="auto"/>
            <w:right w:val="none" w:sz="0" w:space="0" w:color="auto"/>
          </w:divBdr>
        </w:div>
        <w:div w:id="1015768523">
          <w:marLeft w:val="0"/>
          <w:marRight w:val="0"/>
          <w:marTop w:val="0"/>
          <w:marBottom w:val="240"/>
          <w:divBdr>
            <w:top w:val="none" w:sz="0" w:space="0" w:color="auto"/>
            <w:left w:val="none" w:sz="0" w:space="0" w:color="auto"/>
            <w:bottom w:val="none" w:sz="0" w:space="0" w:color="auto"/>
            <w:right w:val="none" w:sz="0" w:space="0" w:color="auto"/>
          </w:divBdr>
        </w:div>
      </w:divsChild>
    </w:div>
    <w:div w:id="1352877440">
      <w:bodyDiv w:val="1"/>
      <w:marLeft w:val="0"/>
      <w:marRight w:val="0"/>
      <w:marTop w:val="0"/>
      <w:marBottom w:val="0"/>
      <w:divBdr>
        <w:top w:val="none" w:sz="0" w:space="0" w:color="auto"/>
        <w:left w:val="none" w:sz="0" w:space="0" w:color="auto"/>
        <w:bottom w:val="none" w:sz="0" w:space="0" w:color="auto"/>
        <w:right w:val="none" w:sz="0" w:space="0" w:color="auto"/>
      </w:divBdr>
      <w:divsChild>
        <w:div w:id="199786230">
          <w:marLeft w:val="0"/>
          <w:marRight w:val="0"/>
          <w:marTop w:val="0"/>
          <w:marBottom w:val="240"/>
          <w:divBdr>
            <w:top w:val="none" w:sz="0" w:space="0" w:color="auto"/>
            <w:left w:val="none" w:sz="0" w:space="0" w:color="auto"/>
            <w:bottom w:val="none" w:sz="0" w:space="0" w:color="auto"/>
            <w:right w:val="none" w:sz="0" w:space="0" w:color="auto"/>
          </w:divBdr>
        </w:div>
      </w:divsChild>
    </w:div>
    <w:div w:id="1418332380">
      <w:bodyDiv w:val="1"/>
      <w:marLeft w:val="0"/>
      <w:marRight w:val="0"/>
      <w:marTop w:val="0"/>
      <w:marBottom w:val="0"/>
      <w:divBdr>
        <w:top w:val="none" w:sz="0" w:space="0" w:color="auto"/>
        <w:left w:val="none" w:sz="0" w:space="0" w:color="auto"/>
        <w:bottom w:val="none" w:sz="0" w:space="0" w:color="auto"/>
        <w:right w:val="none" w:sz="0" w:space="0" w:color="auto"/>
      </w:divBdr>
      <w:divsChild>
        <w:div w:id="1889682402">
          <w:marLeft w:val="0"/>
          <w:marRight w:val="0"/>
          <w:marTop w:val="0"/>
          <w:marBottom w:val="240"/>
          <w:divBdr>
            <w:top w:val="none" w:sz="0" w:space="0" w:color="auto"/>
            <w:left w:val="none" w:sz="0" w:space="0" w:color="auto"/>
            <w:bottom w:val="none" w:sz="0" w:space="0" w:color="auto"/>
            <w:right w:val="none" w:sz="0" w:space="0" w:color="auto"/>
          </w:divBdr>
        </w:div>
      </w:divsChild>
    </w:div>
    <w:div w:id="1483739957">
      <w:bodyDiv w:val="1"/>
      <w:marLeft w:val="0"/>
      <w:marRight w:val="0"/>
      <w:marTop w:val="0"/>
      <w:marBottom w:val="0"/>
      <w:divBdr>
        <w:top w:val="none" w:sz="0" w:space="0" w:color="auto"/>
        <w:left w:val="none" w:sz="0" w:space="0" w:color="auto"/>
        <w:bottom w:val="none" w:sz="0" w:space="0" w:color="auto"/>
        <w:right w:val="none" w:sz="0" w:space="0" w:color="auto"/>
      </w:divBdr>
      <w:divsChild>
        <w:div w:id="539129431">
          <w:marLeft w:val="0"/>
          <w:marRight w:val="0"/>
          <w:marTop w:val="0"/>
          <w:marBottom w:val="240"/>
          <w:divBdr>
            <w:top w:val="none" w:sz="0" w:space="0" w:color="auto"/>
            <w:left w:val="none" w:sz="0" w:space="0" w:color="auto"/>
            <w:bottom w:val="none" w:sz="0" w:space="0" w:color="auto"/>
            <w:right w:val="none" w:sz="0" w:space="0" w:color="auto"/>
          </w:divBdr>
          <w:divsChild>
            <w:div w:id="1583292903">
              <w:marLeft w:val="0"/>
              <w:marRight w:val="0"/>
              <w:marTop w:val="0"/>
              <w:marBottom w:val="0"/>
              <w:divBdr>
                <w:top w:val="none" w:sz="0" w:space="0" w:color="auto"/>
                <w:left w:val="none" w:sz="0" w:space="0" w:color="auto"/>
                <w:bottom w:val="none" w:sz="0" w:space="0" w:color="auto"/>
                <w:right w:val="none" w:sz="0" w:space="0" w:color="auto"/>
              </w:divBdr>
              <w:divsChild>
                <w:div w:id="6189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8215">
          <w:marLeft w:val="0"/>
          <w:marRight w:val="0"/>
          <w:marTop w:val="0"/>
          <w:marBottom w:val="240"/>
          <w:divBdr>
            <w:top w:val="none" w:sz="0" w:space="0" w:color="auto"/>
            <w:left w:val="none" w:sz="0" w:space="0" w:color="auto"/>
            <w:bottom w:val="none" w:sz="0" w:space="0" w:color="auto"/>
            <w:right w:val="none" w:sz="0" w:space="0" w:color="auto"/>
          </w:divBdr>
        </w:div>
      </w:divsChild>
    </w:div>
    <w:div w:id="1484931424">
      <w:bodyDiv w:val="1"/>
      <w:marLeft w:val="0"/>
      <w:marRight w:val="0"/>
      <w:marTop w:val="0"/>
      <w:marBottom w:val="0"/>
      <w:divBdr>
        <w:top w:val="none" w:sz="0" w:space="0" w:color="auto"/>
        <w:left w:val="none" w:sz="0" w:space="0" w:color="auto"/>
        <w:bottom w:val="none" w:sz="0" w:space="0" w:color="auto"/>
        <w:right w:val="none" w:sz="0" w:space="0" w:color="auto"/>
      </w:divBdr>
      <w:divsChild>
        <w:div w:id="1486504855">
          <w:marLeft w:val="0"/>
          <w:marRight w:val="0"/>
          <w:marTop w:val="0"/>
          <w:marBottom w:val="0"/>
          <w:divBdr>
            <w:top w:val="none" w:sz="0" w:space="0" w:color="auto"/>
            <w:left w:val="none" w:sz="0" w:space="0" w:color="auto"/>
            <w:bottom w:val="none" w:sz="0" w:space="0" w:color="auto"/>
            <w:right w:val="none" w:sz="0" w:space="0" w:color="auto"/>
          </w:divBdr>
          <w:divsChild>
            <w:div w:id="1371422453">
              <w:marLeft w:val="0"/>
              <w:marRight w:val="0"/>
              <w:marTop w:val="0"/>
              <w:marBottom w:val="0"/>
              <w:divBdr>
                <w:top w:val="none" w:sz="0" w:space="0" w:color="auto"/>
                <w:left w:val="none" w:sz="0" w:space="0" w:color="auto"/>
                <w:bottom w:val="none" w:sz="0" w:space="0" w:color="auto"/>
                <w:right w:val="none" w:sz="0" w:space="0" w:color="auto"/>
              </w:divBdr>
              <w:divsChild>
                <w:div w:id="1302269375">
                  <w:marLeft w:val="0"/>
                  <w:marRight w:val="0"/>
                  <w:marTop w:val="0"/>
                  <w:marBottom w:val="0"/>
                  <w:divBdr>
                    <w:top w:val="none" w:sz="0" w:space="0" w:color="auto"/>
                    <w:left w:val="none" w:sz="0" w:space="0" w:color="auto"/>
                    <w:bottom w:val="none" w:sz="0" w:space="0" w:color="auto"/>
                    <w:right w:val="none" w:sz="0" w:space="0" w:color="auto"/>
                  </w:divBdr>
                  <w:divsChild>
                    <w:div w:id="20260518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537858185">
          <w:marLeft w:val="0"/>
          <w:marRight w:val="0"/>
          <w:marTop w:val="0"/>
          <w:marBottom w:val="0"/>
          <w:divBdr>
            <w:top w:val="none" w:sz="0" w:space="0" w:color="auto"/>
            <w:left w:val="none" w:sz="0" w:space="0" w:color="auto"/>
            <w:bottom w:val="none" w:sz="0" w:space="0" w:color="auto"/>
            <w:right w:val="none" w:sz="0" w:space="0" w:color="auto"/>
          </w:divBdr>
          <w:divsChild>
            <w:div w:id="2039812925">
              <w:marLeft w:val="0"/>
              <w:marRight w:val="0"/>
              <w:marTop w:val="0"/>
              <w:marBottom w:val="0"/>
              <w:divBdr>
                <w:top w:val="none" w:sz="0" w:space="0" w:color="auto"/>
                <w:left w:val="none" w:sz="0" w:space="0" w:color="auto"/>
                <w:bottom w:val="none" w:sz="0" w:space="0" w:color="auto"/>
                <w:right w:val="none" w:sz="0" w:space="0" w:color="auto"/>
              </w:divBdr>
              <w:divsChild>
                <w:div w:id="358445">
                  <w:marLeft w:val="0"/>
                  <w:marRight w:val="0"/>
                  <w:marTop w:val="0"/>
                  <w:marBottom w:val="0"/>
                  <w:divBdr>
                    <w:top w:val="none" w:sz="0" w:space="0" w:color="auto"/>
                    <w:left w:val="none" w:sz="0" w:space="0" w:color="auto"/>
                    <w:bottom w:val="none" w:sz="0" w:space="0" w:color="auto"/>
                    <w:right w:val="none" w:sz="0" w:space="0" w:color="auto"/>
                  </w:divBdr>
                  <w:divsChild>
                    <w:div w:id="2133596282">
                      <w:marLeft w:val="0"/>
                      <w:marRight w:val="0"/>
                      <w:marTop w:val="0"/>
                      <w:marBottom w:val="0"/>
                      <w:divBdr>
                        <w:top w:val="none" w:sz="0" w:space="0" w:color="auto"/>
                        <w:left w:val="none" w:sz="0" w:space="0" w:color="auto"/>
                        <w:bottom w:val="none" w:sz="0" w:space="0" w:color="auto"/>
                        <w:right w:val="none" w:sz="0" w:space="0" w:color="auto"/>
                      </w:divBdr>
                      <w:divsChild>
                        <w:div w:id="2115707860">
                          <w:marLeft w:val="0"/>
                          <w:marRight w:val="0"/>
                          <w:marTop w:val="100"/>
                          <w:marBottom w:val="100"/>
                          <w:divBdr>
                            <w:top w:val="none" w:sz="0" w:space="0" w:color="auto"/>
                            <w:left w:val="none" w:sz="0" w:space="0" w:color="auto"/>
                            <w:bottom w:val="none" w:sz="0" w:space="0" w:color="auto"/>
                            <w:right w:val="none" w:sz="0" w:space="0" w:color="auto"/>
                          </w:divBdr>
                          <w:divsChild>
                            <w:div w:id="689600660">
                              <w:marLeft w:val="0"/>
                              <w:marRight w:val="0"/>
                              <w:marTop w:val="0"/>
                              <w:marBottom w:val="0"/>
                              <w:divBdr>
                                <w:top w:val="none" w:sz="0" w:space="0" w:color="auto"/>
                                <w:left w:val="none" w:sz="0" w:space="0" w:color="auto"/>
                                <w:bottom w:val="none" w:sz="0" w:space="0" w:color="auto"/>
                                <w:right w:val="none" w:sz="0" w:space="0" w:color="auto"/>
                              </w:divBdr>
                              <w:divsChild>
                                <w:div w:id="4375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100996">
      <w:bodyDiv w:val="1"/>
      <w:marLeft w:val="0"/>
      <w:marRight w:val="0"/>
      <w:marTop w:val="0"/>
      <w:marBottom w:val="0"/>
      <w:divBdr>
        <w:top w:val="none" w:sz="0" w:space="0" w:color="auto"/>
        <w:left w:val="none" w:sz="0" w:space="0" w:color="auto"/>
        <w:bottom w:val="none" w:sz="0" w:space="0" w:color="auto"/>
        <w:right w:val="none" w:sz="0" w:space="0" w:color="auto"/>
      </w:divBdr>
      <w:divsChild>
        <w:div w:id="682560338">
          <w:marLeft w:val="0"/>
          <w:marRight w:val="0"/>
          <w:marTop w:val="0"/>
          <w:marBottom w:val="240"/>
          <w:divBdr>
            <w:top w:val="none" w:sz="0" w:space="0" w:color="auto"/>
            <w:left w:val="none" w:sz="0" w:space="0" w:color="auto"/>
            <w:bottom w:val="none" w:sz="0" w:space="0" w:color="auto"/>
            <w:right w:val="none" w:sz="0" w:space="0" w:color="auto"/>
          </w:divBdr>
        </w:div>
      </w:divsChild>
    </w:div>
    <w:div w:id="1603030301">
      <w:bodyDiv w:val="1"/>
      <w:marLeft w:val="0"/>
      <w:marRight w:val="0"/>
      <w:marTop w:val="0"/>
      <w:marBottom w:val="0"/>
      <w:divBdr>
        <w:top w:val="none" w:sz="0" w:space="0" w:color="auto"/>
        <w:left w:val="none" w:sz="0" w:space="0" w:color="auto"/>
        <w:bottom w:val="none" w:sz="0" w:space="0" w:color="auto"/>
        <w:right w:val="none" w:sz="0" w:space="0" w:color="auto"/>
      </w:divBdr>
      <w:divsChild>
        <w:div w:id="92434028">
          <w:marLeft w:val="0"/>
          <w:marRight w:val="0"/>
          <w:marTop w:val="0"/>
          <w:marBottom w:val="240"/>
          <w:divBdr>
            <w:top w:val="none" w:sz="0" w:space="0" w:color="auto"/>
            <w:left w:val="none" w:sz="0" w:space="0" w:color="auto"/>
            <w:bottom w:val="none" w:sz="0" w:space="0" w:color="auto"/>
            <w:right w:val="none" w:sz="0" w:space="0" w:color="auto"/>
          </w:divBdr>
        </w:div>
      </w:divsChild>
    </w:div>
    <w:div w:id="1619798847">
      <w:bodyDiv w:val="1"/>
      <w:marLeft w:val="0"/>
      <w:marRight w:val="0"/>
      <w:marTop w:val="0"/>
      <w:marBottom w:val="0"/>
      <w:divBdr>
        <w:top w:val="none" w:sz="0" w:space="0" w:color="auto"/>
        <w:left w:val="none" w:sz="0" w:space="0" w:color="auto"/>
        <w:bottom w:val="none" w:sz="0" w:space="0" w:color="auto"/>
        <w:right w:val="none" w:sz="0" w:space="0" w:color="auto"/>
      </w:divBdr>
      <w:divsChild>
        <w:div w:id="88622674">
          <w:marLeft w:val="0"/>
          <w:marRight w:val="0"/>
          <w:marTop w:val="0"/>
          <w:marBottom w:val="0"/>
          <w:divBdr>
            <w:top w:val="none" w:sz="0" w:space="0" w:color="auto"/>
            <w:left w:val="none" w:sz="0" w:space="0" w:color="auto"/>
            <w:bottom w:val="none" w:sz="0" w:space="0" w:color="auto"/>
            <w:right w:val="none" w:sz="0" w:space="0" w:color="auto"/>
          </w:divBdr>
          <w:divsChild>
            <w:div w:id="856892392">
              <w:marLeft w:val="0"/>
              <w:marRight w:val="0"/>
              <w:marTop w:val="0"/>
              <w:marBottom w:val="0"/>
              <w:divBdr>
                <w:top w:val="none" w:sz="0" w:space="0" w:color="auto"/>
                <w:left w:val="none" w:sz="0" w:space="0" w:color="auto"/>
                <w:bottom w:val="none" w:sz="0" w:space="0" w:color="auto"/>
                <w:right w:val="none" w:sz="0" w:space="0" w:color="auto"/>
              </w:divBdr>
              <w:divsChild>
                <w:div w:id="1299066104">
                  <w:marLeft w:val="0"/>
                  <w:marRight w:val="0"/>
                  <w:marTop w:val="0"/>
                  <w:marBottom w:val="0"/>
                  <w:divBdr>
                    <w:top w:val="none" w:sz="0" w:space="0" w:color="auto"/>
                    <w:left w:val="none" w:sz="0" w:space="0" w:color="auto"/>
                    <w:bottom w:val="none" w:sz="0" w:space="0" w:color="auto"/>
                    <w:right w:val="none" w:sz="0" w:space="0" w:color="auto"/>
                  </w:divBdr>
                  <w:divsChild>
                    <w:div w:id="17048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95110">
      <w:bodyDiv w:val="1"/>
      <w:marLeft w:val="0"/>
      <w:marRight w:val="0"/>
      <w:marTop w:val="0"/>
      <w:marBottom w:val="0"/>
      <w:divBdr>
        <w:top w:val="none" w:sz="0" w:space="0" w:color="auto"/>
        <w:left w:val="none" w:sz="0" w:space="0" w:color="auto"/>
        <w:bottom w:val="none" w:sz="0" w:space="0" w:color="auto"/>
        <w:right w:val="none" w:sz="0" w:space="0" w:color="auto"/>
      </w:divBdr>
    </w:div>
    <w:div w:id="1845247200">
      <w:bodyDiv w:val="1"/>
      <w:marLeft w:val="0"/>
      <w:marRight w:val="0"/>
      <w:marTop w:val="0"/>
      <w:marBottom w:val="0"/>
      <w:divBdr>
        <w:top w:val="none" w:sz="0" w:space="0" w:color="auto"/>
        <w:left w:val="none" w:sz="0" w:space="0" w:color="auto"/>
        <w:bottom w:val="none" w:sz="0" w:space="0" w:color="auto"/>
        <w:right w:val="none" w:sz="0" w:space="0" w:color="auto"/>
      </w:divBdr>
      <w:divsChild>
        <w:div w:id="1466386840">
          <w:marLeft w:val="0"/>
          <w:marRight w:val="0"/>
          <w:marTop w:val="0"/>
          <w:marBottom w:val="240"/>
          <w:divBdr>
            <w:top w:val="none" w:sz="0" w:space="0" w:color="auto"/>
            <w:left w:val="none" w:sz="0" w:space="0" w:color="auto"/>
            <w:bottom w:val="none" w:sz="0" w:space="0" w:color="auto"/>
            <w:right w:val="none" w:sz="0" w:space="0" w:color="auto"/>
          </w:divBdr>
        </w:div>
      </w:divsChild>
    </w:div>
    <w:div w:id="1879735978">
      <w:bodyDiv w:val="1"/>
      <w:marLeft w:val="0"/>
      <w:marRight w:val="0"/>
      <w:marTop w:val="0"/>
      <w:marBottom w:val="0"/>
      <w:divBdr>
        <w:top w:val="none" w:sz="0" w:space="0" w:color="auto"/>
        <w:left w:val="none" w:sz="0" w:space="0" w:color="auto"/>
        <w:bottom w:val="none" w:sz="0" w:space="0" w:color="auto"/>
        <w:right w:val="none" w:sz="0" w:space="0" w:color="auto"/>
      </w:divBdr>
      <w:divsChild>
        <w:div w:id="414207458">
          <w:marLeft w:val="0"/>
          <w:marRight w:val="0"/>
          <w:marTop w:val="0"/>
          <w:marBottom w:val="240"/>
          <w:divBdr>
            <w:top w:val="none" w:sz="0" w:space="0" w:color="auto"/>
            <w:left w:val="none" w:sz="0" w:space="0" w:color="auto"/>
            <w:bottom w:val="none" w:sz="0" w:space="0" w:color="auto"/>
            <w:right w:val="none" w:sz="0" w:space="0" w:color="auto"/>
          </w:divBdr>
        </w:div>
      </w:divsChild>
    </w:div>
    <w:div w:id="1919749443">
      <w:bodyDiv w:val="1"/>
      <w:marLeft w:val="0"/>
      <w:marRight w:val="0"/>
      <w:marTop w:val="0"/>
      <w:marBottom w:val="0"/>
      <w:divBdr>
        <w:top w:val="none" w:sz="0" w:space="0" w:color="auto"/>
        <w:left w:val="none" w:sz="0" w:space="0" w:color="auto"/>
        <w:bottom w:val="none" w:sz="0" w:space="0" w:color="auto"/>
        <w:right w:val="none" w:sz="0" w:space="0" w:color="auto"/>
      </w:divBdr>
      <w:divsChild>
        <w:div w:id="2018460614">
          <w:marLeft w:val="0"/>
          <w:marRight w:val="0"/>
          <w:marTop w:val="0"/>
          <w:marBottom w:val="240"/>
          <w:divBdr>
            <w:top w:val="none" w:sz="0" w:space="0" w:color="auto"/>
            <w:left w:val="none" w:sz="0" w:space="0" w:color="auto"/>
            <w:bottom w:val="none" w:sz="0" w:space="0" w:color="auto"/>
            <w:right w:val="none" w:sz="0" w:space="0" w:color="auto"/>
          </w:divBdr>
          <w:divsChild>
            <w:div w:id="1041707158">
              <w:marLeft w:val="0"/>
              <w:marRight w:val="0"/>
              <w:marTop w:val="0"/>
              <w:marBottom w:val="0"/>
              <w:divBdr>
                <w:top w:val="none" w:sz="0" w:space="0" w:color="auto"/>
                <w:left w:val="none" w:sz="0" w:space="0" w:color="auto"/>
                <w:bottom w:val="none" w:sz="0" w:space="0" w:color="auto"/>
                <w:right w:val="none" w:sz="0" w:space="0" w:color="auto"/>
              </w:divBdr>
              <w:divsChild>
                <w:div w:id="381639271">
                  <w:marLeft w:val="0"/>
                  <w:marRight w:val="0"/>
                  <w:marTop w:val="0"/>
                  <w:marBottom w:val="0"/>
                  <w:divBdr>
                    <w:top w:val="none" w:sz="0" w:space="0" w:color="auto"/>
                    <w:left w:val="none" w:sz="0" w:space="0" w:color="auto"/>
                    <w:bottom w:val="none" w:sz="0" w:space="0" w:color="auto"/>
                    <w:right w:val="none" w:sz="0" w:space="0" w:color="auto"/>
                  </w:divBdr>
                </w:div>
              </w:divsChild>
            </w:div>
            <w:div w:id="471480484">
              <w:marLeft w:val="0"/>
              <w:marRight w:val="0"/>
              <w:marTop w:val="0"/>
              <w:marBottom w:val="0"/>
              <w:divBdr>
                <w:top w:val="none" w:sz="0" w:space="0" w:color="auto"/>
                <w:left w:val="none" w:sz="0" w:space="0" w:color="auto"/>
                <w:bottom w:val="none" w:sz="0" w:space="0" w:color="auto"/>
                <w:right w:val="none" w:sz="0" w:space="0" w:color="auto"/>
              </w:divBdr>
              <w:divsChild>
                <w:div w:id="18459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451">
          <w:marLeft w:val="0"/>
          <w:marRight w:val="0"/>
          <w:marTop w:val="0"/>
          <w:marBottom w:val="240"/>
          <w:divBdr>
            <w:top w:val="none" w:sz="0" w:space="0" w:color="auto"/>
            <w:left w:val="none" w:sz="0" w:space="0" w:color="auto"/>
            <w:bottom w:val="none" w:sz="0" w:space="0" w:color="auto"/>
            <w:right w:val="none" w:sz="0" w:space="0" w:color="auto"/>
          </w:divBdr>
          <w:divsChild>
            <w:div w:id="738136689">
              <w:marLeft w:val="0"/>
              <w:marRight w:val="0"/>
              <w:marTop w:val="0"/>
              <w:marBottom w:val="0"/>
              <w:divBdr>
                <w:top w:val="none" w:sz="0" w:space="0" w:color="auto"/>
                <w:left w:val="none" w:sz="0" w:space="0" w:color="auto"/>
                <w:bottom w:val="none" w:sz="0" w:space="0" w:color="auto"/>
                <w:right w:val="none" w:sz="0" w:space="0" w:color="auto"/>
              </w:divBdr>
              <w:divsChild>
                <w:div w:id="503711232">
                  <w:marLeft w:val="0"/>
                  <w:marRight w:val="0"/>
                  <w:marTop w:val="0"/>
                  <w:marBottom w:val="0"/>
                  <w:divBdr>
                    <w:top w:val="none" w:sz="0" w:space="0" w:color="auto"/>
                    <w:left w:val="none" w:sz="0" w:space="0" w:color="auto"/>
                    <w:bottom w:val="none" w:sz="0" w:space="0" w:color="auto"/>
                    <w:right w:val="none" w:sz="0" w:space="0" w:color="auto"/>
                  </w:divBdr>
                </w:div>
              </w:divsChild>
            </w:div>
            <w:div w:id="1488672634">
              <w:marLeft w:val="0"/>
              <w:marRight w:val="0"/>
              <w:marTop w:val="0"/>
              <w:marBottom w:val="0"/>
              <w:divBdr>
                <w:top w:val="none" w:sz="0" w:space="0" w:color="auto"/>
                <w:left w:val="none" w:sz="0" w:space="0" w:color="auto"/>
                <w:bottom w:val="none" w:sz="0" w:space="0" w:color="auto"/>
                <w:right w:val="none" w:sz="0" w:space="0" w:color="auto"/>
              </w:divBdr>
              <w:divsChild>
                <w:div w:id="206845027">
                  <w:marLeft w:val="0"/>
                  <w:marRight w:val="0"/>
                  <w:marTop w:val="0"/>
                  <w:marBottom w:val="0"/>
                  <w:divBdr>
                    <w:top w:val="none" w:sz="0" w:space="0" w:color="auto"/>
                    <w:left w:val="none" w:sz="0" w:space="0" w:color="auto"/>
                    <w:bottom w:val="none" w:sz="0" w:space="0" w:color="auto"/>
                    <w:right w:val="none" w:sz="0" w:space="0" w:color="auto"/>
                  </w:divBdr>
                </w:div>
              </w:divsChild>
            </w:div>
            <w:div w:id="1273590482">
              <w:marLeft w:val="0"/>
              <w:marRight w:val="0"/>
              <w:marTop w:val="0"/>
              <w:marBottom w:val="0"/>
              <w:divBdr>
                <w:top w:val="none" w:sz="0" w:space="0" w:color="auto"/>
                <w:left w:val="none" w:sz="0" w:space="0" w:color="auto"/>
                <w:bottom w:val="none" w:sz="0" w:space="0" w:color="auto"/>
                <w:right w:val="none" w:sz="0" w:space="0" w:color="auto"/>
              </w:divBdr>
              <w:divsChild>
                <w:div w:id="377901397">
                  <w:marLeft w:val="0"/>
                  <w:marRight w:val="0"/>
                  <w:marTop w:val="0"/>
                  <w:marBottom w:val="0"/>
                  <w:divBdr>
                    <w:top w:val="none" w:sz="0" w:space="0" w:color="auto"/>
                    <w:left w:val="none" w:sz="0" w:space="0" w:color="auto"/>
                    <w:bottom w:val="none" w:sz="0" w:space="0" w:color="auto"/>
                    <w:right w:val="none" w:sz="0" w:space="0" w:color="auto"/>
                  </w:divBdr>
                </w:div>
              </w:divsChild>
            </w:div>
            <w:div w:id="338432666">
              <w:marLeft w:val="0"/>
              <w:marRight w:val="0"/>
              <w:marTop w:val="0"/>
              <w:marBottom w:val="0"/>
              <w:divBdr>
                <w:top w:val="none" w:sz="0" w:space="0" w:color="auto"/>
                <w:left w:val="none" w:sz="0" w:space="0" w:color="auto"/>
                <w:bottom w:val="none" w:sz="0" w:space="0" w:color="auto"/>
                <w:right w:val="none" w:sz="0" w:space="0" w:color="auto"/>
              </w:divBdr>
              <w:divsChild>
                <w:div w:id="20603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7511">
          <w:marLeft w:val="0"/>
          <w:marRight w:val="0"/>
          <w:marTop w:val="0"/>
          <w:marBottom w:val="240"/>
          <w:divBdr>
            <w:top w:val="none" w:sz="0" w:space="0" w:color="auto"/>
            <w:left w:val="none" w:sz="0" w:space="0" w:color="auto"/>
            <w:bottom w:val="none" w:sz="0" w:space="0" w:color="auto"/>
            <w:right w:val="none" w:sz="0" w:space="0" w:color="auto"/>
          </w:divBdr>
          <w:divsChild>
            <w:div w:id="1240287190">
              <w:marLeft w:val="0"/>
              <w:marRight w:val="0"/>
              <w:marTop w:val="0"/>
              <w:marBottom w:val="0"/>
              <w:divBdr>
                <w:top w:val="none" w:sz="0" w:space="0" w:color="auto"/>
                <w:left w:val="none" w:sz="0" w:space="0" w:color="auto"/>
                <w:bottom w:val="none" w:sz="0" w:space="0" w:color="auto"/>
                <w:right w:val="none" w:sz="0" w:space="0" w:color="auto"/>
              </w:divBdr>
              <w:divsChild>
                <w:div w:id="1317606790">
                  <w:marLeft w:val="0"/>
                  <w:marRight w:val="0"/>
                  <w:marTop w:val="0"/>
                  <w:marBottom w:val="0"/>
                  <w:divBdr>
                    <w:top w:val="none" w:sz="0" w:space="0" w:color="auto"/>
                    <w:left w:val="none" w:sz="0" w:space="0" w:color="auto"/>
                    <w:bottom w:val="none" w:sz="0" w:space="0" w:color="auto"/>
                    <w:right w:val="none" w:sz="0" w:space="0" w:color="auto"/>
                  </w:divBdr>
                </w:div>
              </w:divsChild>
            </w:div>
            <w:div w:id="659575510">
              <w:marLeft w:val="0"/>
              <w:marRight w:val="0"/>
              <w:marTop w:val="0"/>
              <w:marBottom w:val="0"/>
              <w:divBdr>
                <w:top w:val="none" w:sz="0" w:space="0" w:color="auto"/>
                <w:left w:val="none" w:sz="0" w:space="0" w:color="auto"/>
                <w:bottom w:val="none" w:sz="0" w:space="0" w:color="auto"/>
                <w:right w:val="none" w:sz="0" w:space="0" w:color="auto"/>
              </w:divBdr>
              <w:divsChild>
                <w:div w:id="14616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97133">
      <w:bodyDiv w:val="1"/>
      <w:marLeft w:val="0"/>
      <w:marRight w:val="0"/>
      <w:marTop w:val="0"/>
      <w:marBottom w:val="0"/>
      <w:divBdr>
        <w:top w:val="none" w:sz="0" w:space="0" w:color="auto"/>
        <w:left w:val="none" w:sz="0" w:space="0" w:color="auto"/>
        <w:bottom w:val="none" w:sz="0" w:space="0" w:color="auto"/>
        <w:right w:val="none" w:sz="0" w:space="0" w:color="auto"/>
      </w:divBdr>
      <w:divsChild>
        <w:div w:id="1816725507">
          <w:marLeft w:val="0"/>
          <w:marRight w:val="0"/>
          <w:marTop w:val="0"/>
          <w:marBottom w:val="240"/>
          <w:divBdr>
            <w:top w:val="none" w:sz="0" w:space="0" w:color="auto"/>
            <w:left w:val="none" w:sz="0" w:space="0" w:color="auto"/>
            <w:bottom w:val="none" w:sz="0" w:space="0" w:color="auto"/>
            <w:right w:val="none" w:sz="0" w:space="0" w:color="auto"/>
          </w:divBdr>
        </w:div>
        <w:div w:id="1994211581">
          <w:marLeft w:val="0"/>
          <w:marRight w:val="0"/>
          <w:marTop w:val="0"/>
          <w:marBottom w:val="240"/>
          <w:divBdr>
            <w:top w:val="none" w:sz="0" w:space="0" w:color="auto"/>
            <w:left w:val="none" w:sz="0" w:space="0" w:color="auto"/>
            <w:bottom w:val="none" w:sz="0" w:space="0" w:color="auto"/>
            <w:right w:val="none" w:sz="0" w:space="0" w:color="auto"/>
          </w:divBdr>
        </w:div>
        <w:div w:id="1272593038">
          <w:marLeft w:val="0"/>
          <w:marRight w:val="0"/>
          <w:marTop w:val="0"/>
          <w:marBottom w:val="240"/>
          <w:divBdr>
            <w:top w:val="none" w:sz="0" w:space="0" w:color="auto"/>
            <w:left w:val="none" w:sz="0" w:space="0" w:color="auto"/>
            <w:bottom w:val="none" w:sz="0" w:space="0" w:color="auto"/>
            <w:right w:val="none" w:sz="0" w:space="0" w:color="auto"/>
          </w:divBdr>
        </w:div>
      </w:divsChild>
    </w:div>
    <w:div w:id="2004234944">
      <w:bodyDiv w:val="1"/>
      <w:marLeft w:val="0"/>
      <w:marRight w:val="0"/>
      <w:marTop w:val="0"/>
      <w:marBottom w:val="0"/>
      <w:divBdr>
        <w:top w:val="none" w:sz="0" w:space="0" w:color="auto"/>
        <w:left w:val="none" w:sz="0" w:space="0" w:color="auto"/>
        <w:bottom w:val="none" w:sz="0" w:space="0" w:color="auto"/>
        <w:right w:val="none" w:sz="0" w:space="0" w:color="auto"/>
      </w:divBdr>
      <w:divsChild>
        <w:div w:id="1429305716">
          <w:marLeft w:val="0"/>
          <w:marRight w:val="0"/>
          <w:marTop w:val="0"/>
          <w:marBottom w:val="240"/>
          <w:divBdr>
            <w:top w:val="none" w:sz="0" w:space="0" w:color="auto"/>
            <w:left w:val="none" w:sz="0" w:space="0" w:color="auto"/>
            <w:bottom w:val="none" w:sz="0" w:space="0" w:color="auto"/>
            <w:right w:val="none" w:sz="0" w:space="0" w:color="auto"/>
          </w:divBdr>
        </w:div>
      </w:divsChild>
    </w:div>
    <w:div w:id="2023623355">
      <w:bodyDiv w:val="1"/>
      <w:marLeft w:val="0"/>
      <w:marRight w:val="0"/>
      <w:marTop w:val="0"/>
      <w:marBottom w:val="0"/>
      <w:divBdr>
        <w:top w:val="none" w:sz="0" w:space="0" w:color="auto"/>
        <w:left w:val="none" w:sz="0" w:space="0" w:color="auto"/>
        <w:bottom w:val="none" w:sz="0" w:space="0" w:color="auto"/>
        <w:right w:val="none" w:sz="0" w:space="0" w:color="auto"/>
      </w:divBdr>
      <w:divsChild>
        <w:div w:id="1561596232">
          <w:marLeft w:val="0"/>
          <w:marRight w:val="0"/>
          <w:marTop w:val="0"/>
          <w:marBottom w:val="240"/>
          <w:divBdr>
            <w:top w:val="none" w:sz="0" w:space="0" w:color="auto"/>
            <w:left w:val="none" w:sz="0" w:space="0" w:color="auto"/>
            <w:bottom w:val="none" w:sz="0" w:space="0" w:color="auto"/>
            <w:right w:val="none" w:sz="0" w:space="0" w:color="auto"/>
          </w:divBdr>
        </w:div>
      </w:divsChild>
    </w:div>
    <w:div w:id="2112973365">
      <w:bodyDiv w:val="1"/>
      <w:marLeft w:val="0"/>
      <w:marRight w:val="0"/>
      <w:marTop w:val="0"/>
      <w:marBottom w:val="0"/>
      <w:divBdr>
        <w:top w:val="none" w:sz="0" w:space="0" w:color="auto"/>
        <w:left w:val="none" w:sz="0" w:space="0" w:color="auto"/>
        <w:bottom w:val="none" w:sz="0" w:space="0" w:color="auto"/>
        <w:right w:val="none" w:sz="0" w:space="0" w:color="auto"/>
      </w:divBdr>
      <w:divsChild>
        <w:div w:id="938951701">
          <w:marLeft w:val="0"/>
          <w:marRight w:val="0"/>
          <w:marTop w:val="0"/>
          <w:marBottom w:val="240"/>
          <w:divBdr>
            <w:top w:val="none" w:sz="0" w:space="0" w:color="auto"/>
            <w:left w:val="none" w:sz="0" w:space="0" w:color="auto"/>
            <w:bottom w:val="none" w:sz="0" w:space="0" w:color="auto"/>
            <w:right w:val="none" w:sz="0" w:space="0" w:color="auto"/>
          </w:divBdr>
        </w:div>
      </w:divsChild>
    </w:div>
    <w:div w:id="2138915764">
      <w:bodyDiv w:val="1"/>
      <w:marLeft w:val="0"/>
      <w:marRight w:val="0"/>
      <w:marTop w:val="0"/>
      <w:marBottom w:val="0"/>
      <w:divBdr>
        <w:top w:val="none" w:sz="0" w:space="0" w:color="auto"/>
        <w:left w:val="none" w:sz="0" w:space="0" w:color="auto"/>
        <w:bottom w:val="none" w:sz="0" w:space="0" w:color="auto"/>
        <w:right w:val="none" w:sz="0" w:space="0" w:color="auto"/>
      </w:divBdr>
      <w:divsChild>
        <w:div w:id="1222250093">
          <w:marLeft w:val="0"/>
          <w:marRight w:val="0"/>
          <w:marTop w:val="0"/>
          <w:marBottom w:val="240"/>
          <w:divBdr>
            <w:top w:val="none" w:sz="0" w:space="0" w:color="auto"/>
            <w:left w:val="none" w:sz="0" w:space="0" w:color="auto"/>
            <w:bottom w:val="none" w:sz="0" w:space="0" w:color="auto"/>
            <w:right w:val="none" w:sz="0" w:space="0" w:color="auto"/>
          </w:divBdr>
        </w:div>
      </w:divsChild>
    </w:div>
    <w:div w:id="2140108330">
      <w:bodyDiv w:val="1"/>
      <w:marLeft w:val="0"/>
      <w:marRight w:val="0"/>
      <w:marTop w:val="0"/>
      <w:marBottom w:val="0"/>
      <w:divBdr>
        <w:top w:val="none" w:sz="0" w:space="0" w:color="auto"/>
        <w:left w:val="none" w:sz="0" w:space="0" w:color="auto"/>
        <w:bottom w:val="none" w:sz="0" w:space="0" w:color="auto"/>
        <w:right w:val="none" w:sz="0" w:space="0" w:color="auto"/>
      </w:divBdr>
      <w:divsChild>
        <w:div w:id="8253559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6.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s://www.gov.uk/government/statistics/gdp-deflators-at-market-prices-and-money-gdp-march-2019-spring-statement" TargetMode="External"/><Relationship Id="rId17" Type="http://schemas.openxmlformats.org/officeDocument/2006/relationships/hyperlink" Target="https://www.rcgp.org.uk/clinical-and-research/our-programmes/research-and-surveillance-centre/supporting-research-teams/submit-a-data-request-online-form.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statistics/gdp-deflators-at-market-prices-and-money-gdp-march-2019-spring-statement"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ov.uk/government/statistics/gdp-deflators-at-market-prices-and-money-gdp-march-2019-spring-statement"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D2E2-6555-4071-9E7E-0D57951D8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17379</Words>
  <Characters>99062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Ornaghi</dc:creator>
  <cp:keywords/>
  <dc:description/>
  <cp:lastModifiedBy>Carmine Ornaghi</cp:lastModifiedBy>
  <cp:revision>3</cp:revision>
  <cp:lastPrinted>2021-04-13T11:19:00Z</cp:lastPrinted>
  <dcterms:created xsi:type="dcterms:W3CDTF">2021-10-06T13:05:00Z</dcterms:created>
  <dcterms:modified xsi:type="dcterms:W3CDTF">2021-10-06T13:11:00Z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id="rcbxirqM"/&gt;&lt;style id="http://www.zotero.org/styles/american-medical-association"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