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E421E" w14:textId="194E7BF8" w:rsidR="00B84BF0" w:rsidRPr="00C909CF" w:rsidRDefault="00681D4C" w:rsidP="00C909CF">
      <w:pPr>
        <w:pStyle w:val="NoSpacing"/>
        <w:tabs>
          <w:tab w:val="left" w:pos="1560"/>
        </w:tabs>
        <w:spacing w:line="480" w:lineRule="auto"/>
        <w:jc w:val="center"/>
        <w:rPr>
          <w:rFonts w:ascii="Garamond" w:hAnsi="Garamond"/>
          <w:b/>
          <w:sz w:val="36"/>
          <w:szCs w:val="24"/>
        </w:rPr>
      </w:pPr>
      <w:r w:rsidRPr="009E00D2">
        <w:rPr>
          <w:rFonts w:ascii="Garamond" w:hAnsi="Garamond"/>
          <w:b/>
          <w:sz w:val="36"/>
          <w:szCs w:val="24"/>
        </w:rPr>
        <w:t xml:space="preserve">The </w:t>
      </w:r>
      <w:r w:rsidR="00AA5AC8" w:rsidRPr="009E00D2">
        <w:rPr>
          <w:rFonts w:ascii="Garamond" w:hAnsi="Garamond"/>
          <w:b/>
          <w:sz w:val="36"/>
          <w:szCs w:val="24"/>
        </w:rPr>
        <w:t xml:space="preserve">COVID-19 </w:t>
      </w:r>
      <w:r w:rsidRPr="009E00D2">
        <w:rPr>
          <w:rFonts w:ascii="Garamond" w:hAnsi="Garamond"/>
          <w:b/>
          <w:sz w:val="36"/>
          <w:szCs w:val="24"/>
        </w:rPr>
        <w:t xml:space="preserve">black swan </w:t>
      </w:r>
      <w:r w:rsidR="00AA5AC8" w:rsidRPr="009E00D2">
        <w:rPr>
          <w:rFonts w:ascii="Garamond" w:hAnsi="Garamond"/>
          <w:b/>
          <w:sz w:val="36"/>
          <w:szCs w:val="24"/>
        </w:rPr>
        <w:t xml:space="preserve">crisis: </w:t>
      </w:r>
      <w:r w:rsidRPr="009E00D2">
        <w:rPr>
          <w:rFonts w:ascii="Garamond" w:hAnsi="Garamond"/>
          <w:b/>
          <w:sz w:val="36"/>
          <w:szCs w:val="24"/>
        </w:rPr>
        <w:t xml:space="preserve">Reaction and recovery of various </w:t>
      </w:r>
      <w:r w:rsidR="00F861E9" w:rsidRPr="009E00D2">
        <w:rPr>
          <w:rFonts w:ascii="Garamond" w:hAnsi="Garamond"/>
          <w:b/>
          <w:sz w:val="36"/>
          <w:szCs w:val="24"/>
        </w:rPr>
        <w:t xml:space="preserve">financial </w:t>
      </w:r>
      <w:r w:rsidR="00AA5AC8" w:rsidRPr="009E00D2">
        <w:rPr>
          <w:rFonts w:ascii="Garamond" w:hAnsi="Garamond"/>
          <w:b/>
          <w:sz w:val="36"/>
          <w:szCs w:val="24"/>
        </w:rPr>
        <w:t>market</w:t>
      </w:r>
      <w:r w:rsidR="002753E7" w:rsidRPr="009E00D2">
        <w:rPr>
          <w:rFonts w:ascii="Garamond" w:hAnsi="Garamond"/>
          <w:b/>
          <w:sz w:val="36"/>
          <w:szCs w:val="24"/>
        </w:rPr>
        <w:t>s</w:t>
      </w:r>
      <w:r w:rsidR="00C909CF">
        <w:rPr>
          <w:rFonts w:ascii="Garamond" w:hAnsi="Garamond"/>
          <w:b/>
          <w:sz w:val="36"/>
          <w:szCs w:val="24"/>
        </w:rPr>
        <w:t>.</w:t>
      </w:r>
    </w:p>
    <w:p w14:paraId="1BC68FF6" w14:textId="77777777" w:rsidR="00B84BF0" w:rsidRPr="0072104F" w:rsidRDefault="00B84BF0" w:rsidP="00AA5AC8">
      <w:pPr>
        <w:pStyle w:val="NoSpacing"/>
        <w:spacing w:line="480" w:lineRule="auto"/>
        <w:rPr>
          <w:rFonts w:ascii="Garamond" w:hAnsi="Garamond"/>
          <w:sz w:val="24"/>
          <w:szCs w:val="24"/>
          <w:lang w:val="fr-FR"/>
        </w:rPr>
      </w:pPr>
    </w:p>
    <w:p w14:paraId="68497D91" w14:textId="381F69DA" w:rsidR="00B84BF0" w:rsidRDefault="00B84BF0" w:rsidP="00AA5AC8">
      <w:pPr>
        <w:pStyle w:val="NoSpacing"/>
        <w:spacing w:line="480" w:lineRule="auto"/>
        <w:rPr>
          <w:rFonts w:ascii="Garamond" w:hAnsi="Garamond"/>
          <w:sz w:val="24"/>
          <w:szCs w:val="24"/>
          <w:lang w:val="fr-FR"/>
        </w:rPr>
      </w:pPr>
    </w:p>
    <w:p w14:paraId="282C92BC" w14:textId="77777777" w:rsidR="00C13349" w:rsidRPr="0072104F" w:rsidRDefault="00C13349" w:rsidP="00AA5AC8">
      <w:pPr>
        <w:pStyle w:val="NoSpacing"/>
        <w:spacing w:line="480" w:lineRule="auto"/>
        <w:rPr>
          <w:rFonts w:ascii="Garamond" w:hAnsi="Garamond"/>
          <w:sz w:val="24"/>
          <w:szCs w:val="24"/>
          <w:lang w:val="fr-FR"/>
        </w:rPr>
      </w:pPr>
    </w:p>
    <w:p w14:paraId="06199ADE" w14:textId="210CBF74" w:rsidR="00AA5AC8" w:rsidRPr="009E00D2" w:rsidRDefault="00B84BF0" w:rsidP="00B84BF0">
      <w:pPr>
        <w:pStyle w:val="NoSpacing"/>
        <w:spacing w:line="480" w:lineRule="auto"/>
        <w:jc w:val="center"/>
        <w:rPr>
          <w:rFonts w:ascii="Garamond" w:hAnsi="Garamond"/>
          <w:b/>
          <w:bCs/>
          <w:sz w:val="24"/>
          <w:szCs w:val="24"/>
          <w:lang w:val="fr-FR"/>
        </w:rPr>
      </w:pPr>
      <w:r w:rsidRPr="009E00D2">
        <w:rPr>
          <w:rFonts w:ascii="Garamond" w:hAnsi="Garamond"/>
          <w:b/>
          <w:bCs/>
          <w:sz w:val="24"/>
          <w:szCs w:val="24"/>
          <w:lang w:val="fr-FR"/>
        </w:rPr>
        <w:t>Abstract</w:t>
      </w:r>
    </w:p>
    <w:p w14:paraId="57592006" w14:textId="79F70150" w:rsidR="009F64B9" w:rsidRPr="009E00D2" w:rsidRDefault="009F64B9" w:rsidP="00AA5AC8">
      <w:pPr>
        <w:pStyle w:val="NoSpacing"/>
        <w:spacing w:line="480" w:lineRule="auto"/>
        <w:jc w:val="center"/>
        <w:rPr>
          <w:rFonts w:ascii="Garamond" w:hAnsi="Garamond"/>
          <w:sz w:val="24"/>
          <w:szCs w:val="24"/>
          <w:lang w:val="fr-FR"/>
        </w:rPr>
      </w:pPr>
    </w:p>
    <w:p w14:paraId="13FA50D4" w14:textId="3116FBFA" w:rsidR="006001B5" w:rsidRPr="009E00D2" w:rsidRDefault="00B84BF0" w:rsidP="007A4B66">
      <w:pPr>
        <w:pStyle w:val="NoSpacing"/>
        <w:spacing w:line="480" w:lineRule="auto"/>
        <w:jc w:val="both"/>
        <w:rPr>
          <w:rFonts w:ascii="Garamond" w:hAnsi="Garamond"/>
          <w:sz w:val="24"/>
          <w:szCs w:val="24"/>
        </w:rPr>
      </w:pPr>
      <w:r w:rsidRPr="009E00D2">
        <w:rPr>
          <w:rFonts w:ascii="Garamond" w:hAnsi="Garamond"/>
          <w:sz w:val="24"/>
          <w:szCs w:val="24"/>
        </w:rPr>
        <w:t xml:space="preserve">This paper examines </w:t>
      </w:r>
      <w:r w:rsidR="00342D9F">
        <w:rPr>
          <w:rFonts w:ascii="Garamond" w:hAnsi="Garamond"/>
          <w:sz w:val="24"/>
          <w:szCs w:val="24"/>
        </w:rPr>
        <w:t xml:space="preserve">and compares </w:t>
      </w:r>
      <w:r w:rsidRPr="009E00D2">
        <w:rPr>
          <w:rFonts w:ascii="Garamond" w:hAnsi="Garamond"/>
          <w:sz w:val="24"/>
          <w:szCs w:val="24"/>
        </w:rPr>
        <w:t>financial market reaction</w:t>
      </w:r>
      <w:r w:rsidR="00AD5466">
        <w:rPr>
          <w:rFonts w:ascii="Garamond" w:hAnsi="Garamond"/>
          <w:sz w:val="24"/>
          <w:szCs w:val="24"/>
        </w:rPr>
        <w:t xml:space="preserve"> and recovery of four broad classes of financial assets – </w:t>
      </w:r>
      <w:r w:rsidR="00AD5466" w:rsidRPr="009E00D2">
        <w:rPr>
          <w:rFonts w:ascii="Garamond" w:hAnsi="Garamond"/>
          <w:sz w:val="24"/>
          <w:szCs w:val="24"/>
        </w:rPr>
        <w:t>equity indexes, precious metals, 10-year benchmark bonds and cryptocurrencies</w:t>
      </w:r>
      <w:r w:rsidR="00AD5466">
        <w:rPr>
          <w:rFonts w:ascii="Garamond" w:hAnsi="Garamond"/>
          <w:sz w:val="24"/>
          <w:szCs w:val="24"/>
        </w:rPr>
        <w:t xml:space="preserve">, </w:t>
      </w:r>
      <w:r w:rsidRPr="009E00D2">
        <w:rPr>
          <w:rFonts w:ascii="Garamond" w:hAnsi="Garamond"/>
          <w:sz w:val="24"/>
          <w:szCs w:val="24"/>
        </w:rPr>
        <w:t xml:space="preserve">to </w:t>
      </w:r>
      <w:r w:rsidR="00AD5466">
        <w:rPr>
          <w:rFonts w:ascii="Garamond" w:hAnsi="Garamond"/>
          <w:sz w:val="24"/>
          <w:szCs w:val="24"/>
        </w:rPr>
        <w:t xml:space="preserve">the </w:t>
      </w:r>
      <w:r w:rsidRPr="009E00D2">
        <w:rPr>
          <w:rFonts w:ascii="Garamond" w:hAnsi="Garamond"/>
          <w:sz w:val="24"/>
          <w:szCs w:val="24"/>
        </w:rPr>
        <w:t>COVID-19 pandemic</w:t>
      </w:r>
      <w:r w:rsidR="00AD5466">
        <w:rPr>
          <w:rFonts w:ascii="Garamond" w:hAnsi="Garamond"/>
          <w:sz w:val="24"/>
          <w:szCs w:val="24"/>
        </w:rPr>
        <w:t xml:space="preserve">. </w:t>
      </w:r>
      <w:r w:rsidR="002F0906" w:rsidRPr="002F0906">
        <w:rPr>
          <w:rFonts w:ascii="Garamond" w:hAnsi="Garamond"/>
          <w:color w:val="FF0000"/>
          <w:sz w:val="24"/>
          <w:szCs w:val="24"/>
        </w:rPr>
        <w:t xml:space="preserve">The data set comprises daily observations of close prices in the selected markets </w:t>
      </w:r>
      <w:r w:rsidR="00D40505">
        <w:rPr>
          <w:rFonts w:ascii="Garamond" w:hAnsi="Garamond"/>
          <w:color w:val="FF0000"/>
          <w:sz w:val="24"/>
          <w:szCs w:val="24"/>
        </w:rPr>
        <w:t xml:space="preserve">from </w:t>
      </w:r>
      <w:r w:rsidR="009563FF" w:rsidRPr="009563FF">
        <w:rPr>
          <w:rFonts w:ascii="Garamond" w:hAnsi="Garamond"/>
          <w:color w:val="FF0000"/>
          <w:sz w:val="24"/>
          <w:szCs w:val="24"/>
        </w:rPr>
        <w:t>17</w:t>
      </w:r>
      <w:r w:rsidR="009563FF">
        <w:rPr>
          <w:rFonts w:ascii="Garamond" w:hAnsi="Garamond"/>
          <w:color w:val="FF0000"/>
          <w:sz w:val="24"/>
          <w:szCs w:val="24"/>
        </w:rPr>
        <w:t>-</w:t>
      </w:r>
      <w:r w:rsidR="009563FF" w:rsidRPr="009563FF">
        <w:rPr>
          <w:rFonts w:ascii="Garamond" w:hAnsi="Garamond"/>
          <w:color w:val="FF0000"/>
          <w:sz w:val="24"/>
          <w:szCs w:val="24"/>
        </w:rPr>
        <w:t>04</w:t>
      </w:r>
      <w:r w:rsidR="009563FF">
        <w:rPr>
          <w:rFonts w:ascii="Garamond" w:hAnsi="Garamond"/>
          <w:color w:val="FF0000"/>
          <w:sz w:val="24"/>
          <w:szCs w:val="24"/>
        </w:rPr>
        <w:t>-</w:t>
      </w:r>
      <w:r w:rsidR="009563FF" w:rsidRPr="009563FF">
        <w:rPr>
          <w:rFonts w:ascii="Garamond" w:hAnsi="Garamond"/>
          <w:color w:val="FF0000"/>
          <w:sz w:val="24"/>
          <w:szCs w:val="24"/>
        </w:rPr>
        <w:t>2018</w:t>
      </w:r>
      <w:r w:rsidR="002F0906" w:rsidRPr="002F0906">
        <w:rPr>
          <w:rFonts w:ascii="Garamond" w:hAnsi="Garamond"/>
          <w:color w:val="FF0000"/>
          <w:sz w:val="24"/>
          <w:szCs w:val="24"/>
        </w:rPr>
        <w:t xml:space="preserve"> to 20-06-2021</w:t>
      </w:r>
      <w:r w:rsidR="002F0906">
        <w:rPr>
          <w:rFonts w:ascii="Garamond" w:hAnsi="Garamond"/>
          <w:sz w:val="24"/>
          <w:szCs w:val="24"/>
        </w:rPr>
        <w:t xml:space="preserve">. </w:t>
      </w:r>
      <w:r w:rsidR="00AD5466">
        <w:rPr>
          <w:rFonts w:ascii="Garamond" w:hAnsi="Garamond"/>
          <w:sz w:val="24"/>
          <w:szCs w:val="24"/>
        </w:rPr>
        <w:t>U</w:t>
      </w:r>
      <w:r w:rsidR="00342D9F">
        <w:rPr>
          <w:rFonts w:ascii="Garamond" w:hAnsi="Garamond"/>
          <w:sz w:val="24"/>
          <w:szCs w:val="24"/>
        </w:rPr>
        <w:t>sing the Y</w:t>
      </w:r>
      <w:r w:rsidR="00AD5466">
        <w:rPr>
          <w:rFonts w:ascii="Garamond" w:hAnsi="Garamond"/>
          <w:sz w:val="24"/>
          <w:szCs w:val="24"/>
        </w:rPr>
        <w:t xml:space="preserve">ang and Zhao (2020) </w:t>
      </w:r>
      <w:r w:rsidR="00EA038C" w:rsidRPr="00EA038C">
        <w:rPr>
          <w:rFonts w:ascii="Garamond" w:hAnsi="Garamond"/>
          <w:color w:val="FF0000"/>
          <w:sz w:val="24"/>
          <w:szCs w:val="24"/>
        </w:rPr>
        <w:t xml:space="preserve">and </w:t>
      </w:r>
      <w:proofErr w:type="spellStart"/>
      <w:r w:rsidR="00EA038C" w:rsidRPr="00EA038C">
        <w:rPr>
          <w:rFonts w:ascii="Garamond" w:hAnsi="Garamond"/>
          <w:color w:val="FF0000"/>
          <w:sz w:val="24"/>
          <w:szCs w:val="24"/>
        </w:rPr>
        <w:t>Koenker</w:t>
      </w:r>
      <w:proofErr w:type="spellEnd"/>
      <w:r w:rsidR="00EA038C" w:rsidRPr="00EA038C">
        <w:rPr>
          <w:rFonts w:ascii="Garamond" w:hAnsi="Garamond"/>
          <w:color w:val="FF0000"/>
          <w:sz w:val="24"/>
          <w:szCs w:val="24"/>
        </w:rPr>
        <w:t xml:space="preserve"> and Xiao (2004) </w:t>
      </w:r>
      <w:r w:rsidR="00AD5466">
        <w:rPr>
          <w:rFonts w:ascii="Garamond" w:hAnsi="Garamond"/>
          <w:sz w:val="24"/>
          <w:szCs w:val="24"/>
        </w:rPr>
        <w:t>quantile unit-root test</w:t>
      </w:r>
      <w:r w:rsidR="00342D9F">
        <w:rPr>
          <w:rFonts w:ascii="Garamond" w:hAnsi="Garamond"/>
          <w:sz w:val="24"/>
          <w:szCs w:val="24"/>
        </w:rPr>
        <w:t>s</w:t>
      </w:r>
      <w:r w:rsidR="00AD5466">
        <w:rPr>
          <w:rFonts w:ascii="Garamond" w:hAnsi="Garamond"/>
          <w:sz w:val="24"/>
          <w:szCs w:val="24"/>
        </w:rPr>
        <w:t xml:space="preserve"> </w:t>
      </w:r>
      <w:r w:rsidR="00342D9F">
        <w:rPr>
          <w:rFonts w:ascii="Garamond" w:hAnsi="Garamond"/>
          <w:sz w:val="24"/>
          <w:szCs w:val="24"/>
        </w:rPr>
        <w:t>for</w:t>
      </w:r>
      <w:r w:rsidR="00AD5466">
        <w:rPr>
          <w:rFonts w:ascii="Garamond" w:hAnsi="Garamond"/>
          <w:sz w:val="24"/>
          <w:szCs w:val="24"/>
        </w:rPr>
        <w:t xml:space="preserve"> return persistence, </w:t>
      </w:r>
      <w:r w:rsidR="00342D9F">
        <w:rPr>
          <w:rFonts w:ascii="Garamond" w:hAnsi="Garamond"/>
          <w:sz w:val="24"/>
          <w:szCs w:val="24"/>
        </w:rPr>
        <w:t>we find heterogeneity</w:t>
      </w:r>
      <w:r w:rsidR="00CD34C3">
        <w:rPr>
          <w:rFonts w:ascii="Garamond" w:hAnsi="Garamond"/>
          <w:sz w:val="24"/>
          <w:szCs w:val="24"/>
        </w:rPr>
        <w:t xml:space="preserve"> in</w:t>
      </w:r>
      <w:r w:rsidR="00342D9F">
        <w:rPr>
          <w:rFonts w:ascii="Garamond" w:hAnsi="Garamond"/>
          <w:sz w:val="24"/>
          <w:szCs w:val="24"/>
        </w:rPr>
        <w:t xml:space="preserve"> reactions and recovery patterns not only across asset classes, but also within them. </w:t>
      </w:r>
      <w:r w:rsidRPr="009E00D2">
        <w:rPr>
          <w:rFonts w:ascii="Garamond" w:hAnsi="Garamond"/>
          <w:sz w:val="24"/>
          <w:szCs w:val="24"/>
        </w:rPr>
        <w:t xml:space="preserve"> </w:t>
      </w:r>
      <w:r w:rsidR="00342D9F">
        <w:rPr>
          <w:rFonts w:ascii="Garamond" w:hAnsi="Garamond"/>
          <w:sz w:val="24"/>
          <w:szCs w:val="24"/>
        </w:rPr>
        <w:t xml:space="preserve">Specifically, we find strong potential for mean reversion in equity markets even at high levels of shocks. While gold offers limited mean reversion, platinum shows very strong resistance to the COVID. Government bonds show small declines in value to the COVID in addition </w:t>
      </w:r>
      <w:r w:rsidR="00CD34C3">
        <w:rPr>
          <w:rFonts w:ascii="Garamond" w:hAnsi="Garamond"/>
          <w:sz w:val="24"/>
          <w:szCs w:val="24"/>
        </w:rPr>
        <w:t xml:space="preserve">to </w:t>
      </w:r>
      <w:r w:rsidR="00342D9F">
        <w:rPr>
          <w:rFonts w:ascii="Garamond" w:hAnsi="Garamond"/>
          <w:sz w:val="24"/>
          <w:szCs w:val="24"/>
        </w:rPr>
        <w:t>high persistence</w:t>
      </w:r>
      <w:r w:rsidR="00CD34C3">
        <w:rPr>
          <w:rFonts w:ascii="Garamond" w:hAnsi="Garamond"/>
          <w:sz w:val="24"/>
          <w:szCs w:val="24"/>
        </w:rPr>
        <w:t>. C</w:t>
      </w:r>
      <w:r w:rsidR="00342D9F">
        <w:rPr>
          <w:rFonts w:ascii="Garamond" w:hAnsi="Garamond"/>
          <w:sz w:val="24"/>
          <w:szCs w:val="24"/>
        </w:rPr>
        <w:t xml:space="preserve">ryptocurrencies, as a group, turn out to be the riskiest in the long-term, with more than a 50% decline in value coupled with high degrees of persistence. Our results raise questions as to the safe haven characteristics of the </w:t>
      </w:r>
      <w:proofErr w:type="gramStart"/>
      <w:r w:rsidR="00342D9F">
        <w:rPr>
          <w:rFonts w:ascii="Garamond" w:hAnsi="Garamond"/>
          <w:sz w:val="24"/>
          <w:szCs w:val="24"/>
        </w:rPr>
        <w:t>newly-popular</w:t>
      </w:r>
      <w:proofErr w:type="gramEnd"/>
      <w:r w:rsidR="00342D9F">
        <w:rPr>
          <w:rFonts w:ascii="Garamond" w:hAnsi="Garamond"/>
          <w:sz w:val="24"/>
          <w:szCs w:val="24"/>
        </w:rPr>
        <w:t xml:space="preserve"> Bitcoin. Our</w:t>
      </w:r>
      <w:r w:rsidR="005D13CD" w:rsidRPr="009E00D2">
        <w:rPr>
          <w:rFonts w:ascii="Garamond" w:hAnsi="Garamond"/>
          <w:sz w:val="24"/>
          <w:szCs w:val="24"/>
        </w:rPr>
        <w:t xml:space="preserve"> findings are useful for policy makers and investors </w:t>
      </w:r>
      <w:r w:rsidR="00342D9F">
        <w:rPr>
          <w:rFonts w:ascii="Garamond" w:hAnsi="Garamond"/>
          <w:sz w:val="24"/>
          <w:szCs w:val="24"/>
        </w:rPr>
        <w:t xml:space="preserve">through a better understanding of differences in the potential for mean reversion provided by different asset classes. </w:t>
      </w:r>
    </w:p>
    <w:p w14:paraId="42901E74" w14:textId="2DED3311" w:rsidR="00B84BF0" w:rsidRPr="009E00D2" w:rsidRDefault="00B84BF0" w:rsidP="007A4B66">
      <w:pPr>
        <w:pStyle w:val="NoSpacing"/>
        <w:spacing w:line="480" w:lineRule="auto"/>
        <w:jc w:val="both"/>
        <w:rPr>
          <w:rFonts w:ascii="Garamond" w:hAnsi="Garamond"/>
          <w:sz w:val="24"/>
          <w:szCs w:val="24"/>
        </w:rPr>
      </w:pPr>
    </w:p>
    <w:p w14:paraId="558A4F0C" w14:textId="77777777" w:rsidR="00681D4C" w:rsidRPr="009E00D2" w:rsidRDefault="00681D4C" w:rsidP="009F64B9">
      <w:pPr>
        <w:pStyle w:val="NoSpacing"/>
        <w:spacing w:line="480" w:lineRule="auto"/>
        <w:rPr>
          <w:rFonts w:ascii="Garamond" w:hAnsi="Garamond"/>
          <w:b/>
          <w:bCs/>
          <w:sz w:val="24"/>
          <w:szCs w:val="24"/>
        </w:rPr>
      </w:pPr>
    </w:p>
    <w:p w14:paraId="3C00250B" w14:textId="770369DB" w:rsidR="00943696" w:rsidRPr="00C909CF" w:rsidRDefault="00B84BF0" w:rsidP="009F64B9">
      <w:pPr>
        <w:pStyle w:val="NoSpacing"/>
        <w:spacing w:line="480" w:lineRule="auto"/>
        <w:rPr>
          <w:rFonts w:ascii="Garamond" w:hAnsi="Garamond"/>
          <w:b/>
          <w:bCs/>
          <w:sz w:val="24"/>
          <w:szCs w:val="24"/>
        </w:rPr>
      </w:pPr>
      <w:r w:rsidRPr="009E00D2">
        <w:rPr>
          <w:rFonts w:ascii="Garamond" w:hAnsi="Garamond"/>
          <w:b/>
          <w:bCs/>
          <w:sz w:val="24"/>
          <w:szCs w:val="24"/>
        </w:rPr>
        <w:t>Keywords</w:t>
      </w:r>
      <w:r w:rsidRPr="009E00D2">
        <w:rPr>
          <w:rFonts w:ascii="Garamond" w:hAnsi="Garamond"/>
          <w:sz w:val="24"/>
          <w:szCs w:val="24"/>
        </w:rPr>
        <w:t xml:space="preserve">: </w:t>
      </w:r>
      <w:r w:rsidR="005D13CD" w:rsidRPr="009E00D2">
        <w:rPr>
          <w:rFonts w:ascii="Garamond" w:hAnsi="Garamond"/>
          <w:sz w:val="24"/>
          <w:szCs w:val="24"/>
        </w:rPr>
        <w:t>COVID-19 reaction and recovery, quantile unit root test, cryptocurrencies, precious metals.</w:t>
      </w:r>
      <w:r w:rsidR="005D13CD" w:rsidRPr="009E00D2">
        <w:rPr>
          <w:rFonts w:ascii="Garamond" w:hAnsi="Garamond"/>
          <w:i/>
          <w:iCs/>
          <w:sz w:val="24"/>
          <w:szCs w:val="24"/>
        </w:rPr>
        <w:t xml:space="preserve"> </w:t>
      </w:r>
    </w:p>
    <w:p w14:paraId="55712CA4" w14:textId="56F43062" w:rsidR="00BB727E" w:rsidRPr="008915F4" w:rsidRDefault="005D13CD" w:rsidP="00BB727E">
      <w:pPr>
        <w:pStyle w:val="NoSpacing"/>
        <w:numPr>
          <w:ilvl w:val="0"/>
          <w:numId w:val="9"/>
        </w:numPr>
        <w:spacing w:line="480" w:lineRule="auto"/>
        <w:rPr>
          <w:rFonts w:ascii="Garamond" w:hAnsi="Garamond"/>
          <w:b/>
          <w:bCs/>
          <w:sz w:val="24"/>
          <w:szCs w:val="24"/>
        </w:rPr>
      </w:pPr>
      <w:r w:rsidRPr="009E00D2">
        <w:rPr>
          <w:rFonts w:ascii="Garamond" w:hAnsi="Garamond"/>
          <w:b/>
          <w:bCs/>
          <w:sz w:val="24"/>
          <w:szCs w:val="24"/>
        </w:rPr>
        <w:lastRenderedPageBreak/>
        <w:t>Introduction</w:t>
      </w:r>
    </w:p>
    <w:p w14:paraId="2B84D100" w14:textId="65DEFAE9" w:rsidR="0003232E" w:rsidRDefault="005D13CD" w:rsidP="00D52DB6">
      <w:pPr>
        <w:pStyle w:val="NoSpacing"/>
        <w:spacing w:line="480" w:lineRule="auto"/>
        <w:ind w:firstLine="709"/>
        <w:jc w:val="both"/>
        <w:rPr>
          <w:rFonts w:ascii="Garamond" w:hAnsi="Garamond"/>
          <w:sz w:val="24"/>
          <w:szCs w:val="24"/>
        </w:rPr>
      </w:pPr>
      <w:r w:rsidRPr="009E00D2">
        <w:rPr>
          <w:rFonts w:ascii="Garamond" w:hAnsi="Garamond"/>
          <w:sz w:val="24"/>
          <w:szCs w:val="24"/>
        </w:rPr>
        <w:t xml:space="preserve">The rapidly escalated COVID-19 </w:t>
      </w:r>
      <w:r w:rsidR="00236D3A" w:rsidRPr="009E00D2">
        <w:rPr>
          <w:rFonts w:ascii="Garamond" w:hAnsi="Garamond"/>
          <w:sz w:val="24"/>
          <w:szCs w:val="24"/>
        </w:rPr>
        <w:t xml:space="preserve">crisis </w:t>
      </w:r>
      <w:r w:rsidR="002B47A4">
        <w:rPr>
          <w:rFonts w:ascii="Garamond" w:hAnsi="Garamond"/>
          <w:sz w:val="24"/>
          <w:szCs w:val="24"/>
        </w:rPr>
        <w:t xml:space="preserve">is a classic example of a health crisis that gradually transformed into an economic one. The exponential increase in the number of </w:t>
      </w:r>
      <w:r w:rsidR="00D371C9">
        <w:rPr>
          <w:rFonts w:ascii="Garamond" w:hAnsi="Garamond"/>
          <w:sz w:val="24"/>
          <w:szCs w:val="24"/>
        </w:rPr>
        <w:t xml:space="preserve">positive </w:t>
      </w:r>
      <w:r w:rsidR="002B47A4">
        <w:rPr>
          <w:rFonts w:ascii="Garamond" w:hAnsi="Garamond"/>
          <w:sz w:val="24"/>
          <w:szCs w:val="24"/>
        </w:rPr>
        <w:t xml:space="preserve">cases </w:t>
      </w:r>
      <w:r w:rsidR="00D371C9">
        <w:rPr>
          <w:rFonts w:ascii="Garamond" w:hAnsi="Garamond"/>
          <w:sz w:val="24"/>
          <w:szCs w:val="24"/>
        </w:rPr>
        <w:t xml:space="preserve">and deaths worldwide have </w:t>
      </w:r>
      <w:r w:rsidR="002B47A4">
        <w:rPr>
          <w:rFonts w:ascii="Garamond" w:hAnsi="Garamond"/>
          <w:sz w:val="24"/>
          <w:szCs w:val="24"/>
        </w:rPr>
        <w:t xml:space="preserve">prompted </w:t>
      </w:r>
      <w:r w:rsidR="004B411F">
        <w:rPr>
          <w:rFonts w:ascii="Garamond" w:hAnsi="Garamond"/>
          <w:sz w:val="24"/>
          <w:szCs w:val="24"/>
        </w:rPr>
        <w:t>drastic measures from governments in the form of</w:t>
      </w:r>
      <w:r w:rsidR="004B411F" w:rsidRPr="00EB7B80">
        <w:rPr>
          <w:rFonts w:ascii="Garamond" w:hAnsi="Garamond"/>
          <w:sz w:val="24"/>
          <w:szCs w:val="24"/>
        </w:rPr>
        <w:t xml:space="preserve"> q</w:t>
      </w:r>
      <w:r w:rsidR="004B411F">
        <w:rPr>
          <w:rFonts w:ascii="Garamond" w:hAnsi="Garamond"/>
          <w:sz w:val="24"/>
          <w:szCs w:val="24"/>
        </w:rPr>
        <w:t xml:space="preserve">uarantine, travel restrictions and </w:t>
      </w:r>
      <w:r w:rsidR="004B411F" w:rsidRPr="00EB7B80">
        <w:rPr>
          <w:rFonts w:ascii="Garamond" w:hAnsi="Garamond"/>
          <w:sz w:val="24"/>
          <w:szCs w:val="24"/>
        </w:rPr>
        <w:t xml:space="preserve">remote working, </w:t>
      </w:r>
      <w:r w:rsidR="004B411F">
        <w:rPr>
          <w:rFonts w:ascii="Garamond" w:hAnsi="Garamond"/>
          <w:sz w:val="24"/>
          <w:szCs w:val="24"/>
        </w:rPr>
        <w:t>with an aim</w:t>
      </w:r>
      <w:r w:rsidR="004B411F" w:rsidRPr="00EB7B80">
        <w:rPr>
          <w:rFonts w:ascii="Garamond" w:hAnsi="Garamond"/>
          <w:sz w:val="24"/>
          <w:szCs w:val="24"/>
        </w:rPr>
        <w:t xml:space="preserve"> to </w:t>
      </w:r>
      <w:r w:rsidR="004B411F">
        <w:rPr>
          <w:rFonts w:ascii="Garamond" w:hAnsi="Garamond"/>
          <w:sz w:val="24"/>
          <w:szCs w:val="24"/>
        </w:rPr>
        <w:t>flatten</w:t>
      </w:r>
      <w:r w:rsidR="004B411F" w:rsidRPr="00EB7B80">
        <w:rPr>
          <w:rFonts w:ascii="Garamond" w:hAnsi="Garamond"/>
          <w:sz w:val="24"/>
          <w:szCs w:val="24"/>
        </w:rPr>
        <w:t xml:space="preserve"> the curve of the </w:t>
      </w:r>
      <w:r w:rsidR="004B411F">
        <w:rPr>
          <w:rFonts w:ascii="Garamond" w:hAnsi="Garamond"/>
          <w:sz w:val="24"/>
          <w:szCs w:val="24"/>
        </w:rPr>
        <w:t xml:space="preserve">spread of the </w:t>
      </w:r>
      <w:r w:rsidR="004B411F" w:rsidRPr="00EB7B80">
        <w:rPr>
          <w:rFonts w:ascii="Garamond" w:hAnsi="Garamond"/>
          <w:sz w:val="24"/>
          <w:szCs w:val="24"/>
        </w:rPr>
        <w:t>virus</w:t>
      </w:r>
      <w:r w:rsidR="004B411F">
        <w:rPr>
          <w:rFonts w:ascii="Garamond" w:hAnsi="Garamond"/>
          <w:sz w:val="24"/>
          <w:szCs w:val="24"/>
        </w:rPr>
        <w:t xml:space="preserve"> </w:t>
      </w:r>
      <w:r w:rsidR="004B411F" w:rsidRPr="00EB7B80">
        <w:rPr>
          <w:rFonts w:ascii="Garamond" w:hAnsi="Garamond"/>
          <w:sz w:val="24"/>
          <w:szCs w:val="24"/>
        </w:rPr>
        <w:t>(Goodell, 2020; Yarovaya et al.</w:t>
      </w:r>
      <w:r w:rsidR="004B411F">
        <w:rPr>
          <w:rFonts w:ascii="Garamond" w:hAnsi="Garamond"/>
          <w:sz w:val="24"/>
          <w:szCs w:val="24"/>
        </w:rPr>
        <w:t>, 2020a). While the</w:t>
      </w:r>
      <w:r w:rsidR="004B411F" w:rsidRPr="00EB7B80">
        <w:rPr>
          <w:rFonts w:ascii="Garamond" w:hAnsi="Garamond"/>
          <w:sz w:val="24"/>
          <w:szCs w:val="24"/>
        </w:rPr>
        <w:t xml:space="preserve">se measures </w:t>
      </w:r>
      <w:r w:rsidR="004B411F">
        <w:rPr>
          <w:rFonts w:ascii="Garamond" w:hAnsi="Garamond"/>
          <w:sz w:val="24"/>
          <w:szCs w:val="24"/>
        </w:rPr>
        <w:t>may have helped in</w:t>
      </w:r>
      <w:r w:rsidR="004B411F" w:rsidRPr="00EB7B80">
        <w:rPr>
          <w:rFonts w:ascii="Garamond" w:hAnsi="Garamond"/>
          <w:sz w:val="24"/>
          <w:szCs w:val="24"/>
        </w:rPr>
        <w:t xml:space="preserve"> slow</w:t>
      </w:r>
      <w:r w:rsidR="004B411F">
        <w:rPr>
          <w:rFonts w:ascii="Garamond" w:hAnsi="Garamond"/>
          <w:sz w:val="24"/>
          <w:szCs w:val="24"/>
        </w:rPr>
        <w:t>ing</w:t>
      </w:r>
      <w:r w:rsidR="004B411F" w:rsidRPr="00EB7B80">
        <w:rPr>
          <w:rFonts w:ascii="Garamond" w:hAnsi="Garamond"/>
          <w:sz w:val="24"/>
          <w:szCs w:val="24"/>
        </w:rPr>
        <w:t xml:space="preserve"> down the spread of </w:t>
      </w:r>
      <w:r w:rsidR="004B411F">
        <w:rPr>
          <w:rFonts w:ascii="Garamond" w:hAnsi="Garamond"/>
          <w:sz w:val="24"/>
          <w:szCs w:val="24"/>
        </w:rPr>
        <w:t xml:space="preserve">the virus globally, their </w:t>
      </w:r>
      <w:r w:rsidR="004B411F" w:rsidRPr="00EB7B80">
        <w:rPr>
          <w:rFonts w:ascii="Garamond" w:hAnsi="Garamond"/>
          <w:sz w:val="24"/>
          <w:szCs w:val="24"/>
        </w:rPr>
        <w:t xml:space="preserve">economic </w:t>
      </w:r>
      <w:r w:rsidR="004B411F">
        <w:rPr>
          <w:rFonts w:ascii="Garamond" w:hAnsi="Garamond"/>
          <w:sz w:val="24"/>
          <w:szCs w:val="24"/>
        </w:rPr>
        <w:t xml:space="preserve">impact has been devastating. </w:t>
      </w:r>
      <w:r w:rsidR="009C6AFD">
        <w:rPr>
          <w:rFonts w:ascii="Garamond" w:hAnsi="Garamond"/>
          <w:sz w:val="24"/>
          <w:szCs w:val="24"/>
        </w:rPr>
        <w:t xml:space="preserve">In addition to a </w:t>
      </w:r>
      <w:r w:rsidR="002B47A4">
        <w:rPr>
          <w:rFonts w:ascii="Garamond" w:hAnsi="Garamond"/>
          <w:sz w:val="24"/>
          <w:szCs w:val="24"/>
        </w:rPr>
        <w:t xml:space="preserve">slowdown in </w:t>
      </w:r>
      <w:r w:rsidR="009C6AFD">
        <w:rPr>
          <w:rFonts w:ascii="Garamond" w:hAnsi="Garamond"/>
          <w:sz w:val="24"/>
          <w:szCs w:val="24"/>
        </w:rPr>
        <w:t>businesses and commerce, t</w:t>
      </w:r>
      <w:r w:rsidR="002B47A4">
        <w:rPr>
          <w:rFonts w:ascii="Garamond" w:hAnsi="Garamond"/>
          <w:sz w:val="24"/>
          <w:szCs w:val="24"/>
        </w:rPr>
        <w:t xml:space="preserve">he </w:t>
      </w:r>
      <w:r w:rsidR="00FC3B27">
        <w:rPr>
          <w:rFonts w:ascii="Garamond" w:hAnsi="Garamond"/>
          <w:sz w:val="24"/>
          <w:szCs w:val="24"/>
        </w:rPr>
        <w:t xml:space="preserve">unprecedented </w:t>
      </w:r>
      <w:r w:rsidR="002B47A4">
        <w:rPr>
          <w:rFonts w:ascii="Garamond" w:hAnsi="Garamond"/>
          <w:sz w:val="24"/>
          <w:szCs w:val="24"/>
        </w:rPr>
        <w:t xml:space="preserve">uncertainty that surrounds the </w:t>
      </w:r>
      <w:r w:rsidR="00FC3B27">
        <w:rPr>
          <w:rFonts w:ascii="Garamond" w:hAnsi="Garamond"/>
          <w:sz w:val="24"/>
          <w:szCs w:val="24"/>
        </w:rPr>
        <w:t>strain of virus</w:t>
      </w:r>
      <w:r w:rsidR="002B47A4">
        <w:rPr>
          <w:rFonts w:ascii="Garamond" w:hAnsi="Garamond"/>
          <w:sz w:val="24"/>
          <w:szCs w:val="24"/>
        </w:rPr>
        <w:t xml:space="preserve"> has engulfed global financial markets in panic. </w:t>
      </w:r>
      <w:r w:rsidR="00FF5D48">
        <w:rPr>
          <w:rFonts w:ascii="Garamond" w:hAnsi="Garamond"/>
          <w:sz w:val="24"/>
          <w:szCs w:val="24"/>
        </w:rPr>
        <w:t xml:space="preserve">As production has slowed down and demand slashed, central banks globally have resorted to extreme monetary and fiscal policy measures to prevent a global recession of the kind witnessed in 2008. In March 2020, the IMF came out with its expectation of the COVID crisis ending up ‘at </w:t>
      </w:r>
      <w:r w:rsidR="00F55402">
        <w:rPr>
          <w:rFonts w:ascii="Garamond" w:hAnsi="Garamond"/>
          <w:sz w:val="24"/>
          <w:szCs w:val="24"/>
        </w:rPr>
        <w:t>least</w:t>
      </w:r>
      <w:r w:rsidR="00FF5D48">
        <w:rPr>
          <w:rFonts w:ascii="Garamond" w:hAnsi="Garamond"/>
          <w:sz w:val="24"/>
          <w:szCs w:val="24"/>
        </w:rPr>
        <w:t xml:space="preserve"> as bad’ as that of 2008, only to recover in 2021 (Georgieva, 2020)</w:t>
      </w:r>
      <w:r w:rsidR="009A31C2">
        <w:rPr>
          <w:rFonts w:ascii="Garamond" w:hAnsi="Garamond"/>
          <w:sz w:val="24"/>
          <w:szCs w:val="24"/>
        </w:rPr>
        <w:t xml:space="preserve">. </w:t>
      </w:r>
    </w:p>
    <w:p w14:paraId="67C03CBD" w14:textId="0FC63C7F" w:rsidR="005842DF" w:rsidRDefault="0003232E" w:rsidP="00D52DB6">
      <w:pPr>
        <w:pStyle w:val="NoSpacing"/>
        <w:spacing w:line="480" w:lineRule="auto"/>
        <w:ind w:firstLine="709"/>
        <w:jc w:val="both"/>
        <w:rPr>
          <w:rFonts w:ascii="Garamond" w:hAnsi="Garamond"/>
          <w:sz w:val="24"/>
          <w:szCs w:val="24"/>
        </w:rPr>
      </w:pPr>
      <w:r>
        <w:rPr>
          <w:rFonts w:ascii="Garamond" w:hAnsi="Garamond"/>
          <w:sz w:val="24"/>
          <w:szCs w:val="24"/>
        </w:rPr>
        <w:t>The impact of COVID has affected global financial markets almost across all dimensions</w:t>
      </w:r>
      <w:r w:rsidR="00FC3B27">
        <w:rPr>
          <w:rFonts w:ascii="Garamond" w:hAnsi="Garamond"/>
          <w:sz w:val="24"/>
          <w:szCs w:val="24"/>
        </w:rPr>
        <w:t>, ranging</w:t>
      </w:r>
      <w:r>
        <w:rPr>
          <w:rFonts w:ascii="Garamond" w:hAnsi="Garamond"/>
          <w:sz w:val="24"/>
          <w:szCs w:val="24"/>
        </w:rPr>
        <w:t xml:space="preserve"> </w:t>
      </w:r>
      <w:r w:rsidR="00FC3B27">
        <w:rPr>
          <w:rFonts w:ascii="Garamond" w:hAnsi="Garamond"/>
          <w:sz w:val="24"/>
          <w:szCs w:val="24"/>
        </w:rPr>
        <w:t>f</w:t>
      </w:r>
      <w:r>
        <w:rPr>
          <w:rFonts w:ascii="Garamond" w:hAnsi="Garamond"/>
          <w:sz w:val="24"/>
          <w:szCs w:val="24"/>
        </w:rPr>
        <w:t>rom traditional financial assets such as equities, bonds and precious metals to the more contemporary asset classes such as cryptocurren</w:t>
      </w:r>
      <w:r w:rsidR="00FC3B27">
        <w:rPr>
          <w:rFonts w:ascii="Garamond" w:hAnsi="Garamond"/>
          <w:sz w:val="24"/>
          <w:szCs w:val="24"/>
        </w:rPr>
        <w:t>cies.</w:t>
      </w:r>
      <w:r w:rsidR="001C553B">
        <w:rPr>
          <w:rStyle w:val="FootnoteReference"/>
          <w:rFonts w:ascii="Garamond" w:hAnsi="Garamond"/>
          <w:sz w:val="24"/>
          <w:szCs w:val="24"/>
        </w:rPr>
        <w:footnoteReference w:id="1"/>
      </w:r>
      <w:r>
        <w:rPr>
          <w:rFonts w:ascii="Garamond" w:hAnsi="Garamond"/>
          <w:sz w:val="24"/>
          <w:szCs w:val="24"/>
        </w:rPr>
        <w:t xml:space="preserve"> </w:t>
      </w:r>
      <w:r w:rsidR="00FC3B27">
        <w:rPr>
          <w:rFonts w:ascii="Garamond" w:hAnsi="Garamond"/>
          <w:sz w:val="24"/>
          <w:szCs w:val="24"/>
        </w:rPr>
        <w:t xml:space="preserve">For instance, </w:t>
      </w:r>
      <w:r>
        <w:rPr>
          <w:rFonts w:ascii="Garamond" w:hAnsi="Garamond"/>
          <w:sz w:val="24"/>
          <w:szCs w:val="24"/>
        </w:rPr>
        <w:t xml:space="preserve">while global stock markets lost about USD 6 trillion in merely a week </w:t>
      </w:r>
      <w:r w:rsidR="00FC3B27">
        <w:rPr>
          <w:rFonts w:ascii="Garamond" w:hAnsi="Garamond"/>
          <w:sz w:val="24"/>
          <w:szCs w:val="24"/>
        </w:rPr>
        <w:t>between</w:t>
      </w:r>
      <w:r>
        <w:rPr>
          <w:rFonts w:ascii="Garamond" w:hAnsi="Garamond"/>
          <w:sz w:val="24"/>
          <w:szCs w:val="24"/>
        </w:rPr>
        <w:t xml:space="preserve"> February 24 to 28, 2020, the U.S. S&amp;P 500 lost about USD 5 trillion in the same week, as investors </w:t>
      </w:r>
      <w:r w:rsidR="00FC3B27">
        <w:rPr>
          <w:rFonts w:ascii="Garamond" w:hAnsi="Garamond"/>
          <w:sz w:val="24"/>
          <w:szCs w:val="24"/>
        </w:rPr>
        <w:t>began to dump</w:t>
      </w:r>
      <w:r>
        <w:rPr>
          <w:rFonts w:ascii="Garamond" w:hAnsi="Garamond"/>
          <w:sz w:val="24"/>
          <w:szCs w:val="24"/>
        </w:rPr>
        <w:t xml:space="preserve"> their holdings in pessimism (Peterson and </w:t>
      </w:r>
      <w:proofErr w:type="spellStart"/>
      <w:r>
        <w:rPr>
          <w:rFonts w:ascii="Garamond" w:hAnsi="Garamond"/>
          <w:sz w:val="24"/>
          <w:szCs w:val="24"/>
        </w:rPr>
        <w:t>Thankom</w:t>
      </w:r>
      <w:proofErr w:type="spellEnd"/>
      <w:r>
        <w:rPr>
          <w:rFonts w:ascii="Garamond" w:hAnsi="Garamond"/>
          <w:sz w:val="24"/>
          <w:szCs w:val="24"/>
        </w:rPr>
        <w:t xml:space="preserve">, 2020). </w:t>
      </w:r>
      <w:r w:rsidR="005842DF">
        <w:rPr>
          <w:rFonts w:ascii="Garamond" w:hAnsi="Garamond"/>
          <w:sz w:val="24"/>
          <w:szCs w:val="24"/>
        </w:rPr>
        <w:t>In addition, geographical stock indices such as Japan’s NIKKEI225, UK’s FTSE, France’s CAC 40, Portugal’s PsI-20, Europe’s EURO STOXX and Israel’s TA125 have all lost between 30 to 42 percent of their value following the COVID-induced panic (Table 1 in paper). Just as with reactivity, recovery in these indices is also different. For instance, on April 10, 2020, the cutoff date chosen for this study, recovery rates varied between 15 to 27% of the lowest value observed</w:t>
      </w:r>
      <w:r w:rsidR="00FC3B27">
        <w:rPr>
          <w:rFonts w:ascii="Garamond" w:hAnsi="Garamond"/>
          <w:sz w:val="24"/>
          <w:szCs w:val="24"/>
        </w:rPr>
        <w:t xml:space="preserve"> </w:t>
      </w:r>
      <w:proofErr w:type="gramStart"/>
      <w:r w:rsidR="00FC3B27">
        <w:rPr>
          <w:rFonts w:ascii="Garamond" w:hAnsi="Garamond"/>
          <w:sz w:val="24"/>
          <w:szCs w:val="24"/>
        </w:rPr>
        <w:t>as a result of</w:t>
      </w:r>
      <w:proofErr w:type="gramEnd"/>
      <w:r w:rsidR="00FC3B27">
        <w:rPr>
          <w:rFonts w:ascii="Garamond" w:hAnsi="Garamond"/>
          <w:sz w:val="24"/>
          <w:szCs w:val="24"/>
        </w:rPr>
        <w:t xml:space="preserve"> the panic</w:t>
      </w:r>
      <w:r w:rsidR="005842DF">
        <w:rPr>
          <w:rFonts w:ascii="Garamond" w:hAnsi="Garamond"/>
          <w:sz w:val="24"/>
          <w:szCs w:val="24"/>
        </w:rPr>
        <w:t xml:space="preserve">. </w:t>
      </w:r>
    </w:p>
    <w:p w14:paraId="6F280F52" w14:textId="0C07EF31" w:rsidR="00DC621F" w:rsidRDefault="0003232E" w:rsidP="00D52DB6">
      <w:pPr>
        <w:pStyle w:val="NoSpacing"/>
        <w:spacing w:line="480" w:lineRule="auto"/>
        <w:ind w:firstLine="709"/>
        <w:jc w:val="both"/>
        <w:rPr>
          <w:rFonts w:ascii="Garamond" w:hAnsi="Garamond"/>
          <w:sz w:val="24"/>
          <w:szCs w:val="24"/>
        </w:rPr>
      </w:pPr>
      <w:r>
        <w:rPr>
          <w:rFonts w:ascii="Garamond" w:hAnsi="Garamond"/>
          <w:sz w:val="24"/>
          <w:szCs w:val="24"/>
        </w:rPr>
        <w:lastRenderedPageBreak/>
        <w:t>P</w:t>
      </w:r>
      <w:r w:rsidR="005F0650">
        <w:rPr>
          <w:rFonts w:ascii="Garamond" w:hAnsi="Garamond"/>
          <w:sz w:val="24"/>
          <w:szCs w:val="24"/>
        </w:rPr>
        <w:t xml:space="preserve">recious metals </w:t>
      </w:r>
      <w:r>
        <w:rPr>
          <w:rFonts w:ascii="Garamond" w:hAnsi="Garamond"/>
          <w:sz w:val="24"/>
          <w:szCs w:val="24"/>
        </w:rPr>
        <w:t xml:space="preserve">too </w:t>
      </w:r>
      <w:r w:rsidR="005F0650">
        <w:rPr>
          <w:rFonts w:ascii="Garamond" w:hAnsi="Garamond"/>
          <w:sz w:val="24"/>
          <w:szCs w:val="24"/>
        </w:rPr>
        <w:t xml:space="preserve">suffered a strong reaction to the COVID. While gold prices plummeted only to recover </w:t>
      </w:r>
      <w:proofErr w:type="gramStart"/>
      <w:r w:rsidR="005F0650">
        <w:rPr>
          <w:rFonts w:ascii="Garamond" w:hAnsi="Garamond"/>
          <w:sz w:val="24"/>
          <w:szCs w:val="24"/>
        </w:rPr>
        <w:t>as a result of</w:t>
      </w:r>
      <w:proofErr w:type="gramEnd"/>
      <w:r w:rsidR="005F0650">
        <w:rPr>
          <w:rFonts w:ascii="Garamond" w:hAnsi="Garamond"/>
          <w:sz w:val="24"/>
          <w:szCs w:val="24"/>
        </w:rPr>
        <w:t xml:space="preserve"> strong demand for financial investment, silver witnessed its lowest price in 11 years owing to poor industrial demand. Similarly, a sharp decline in auto sales globally severely affected prices for the platinum group metals, or PGM as well (S&amp;P Global, 2020).  </w:t>
      </w:r>
      <w:r w:rsidR="005842DF">
        <w:rPr>
          <w:rFonts w:ascii="Garamond" w:hAnsi="Garamond"/>
          <w:sz w:val="24"/>
          <w:szCs w:val="24"/>
        </w:rPr>
        <w:t>While platinum, rhodium and iridium suffered the worst shock in values (all exceeding 40% of their pre-pandemic highest values), ruthenium and osmium displayed surprising resistance to the pandemic with barely any fall in value. As with stock ma</w:t>
      </w:r>
      <w:r w:rsidR="00FC3B27">
        <w:rPr>
          <w:rFonts w:ascii="Garamond" w:hAnsi="Garamond"/>
          <w:sz w:val="24"/>
          <w:szCs w:val="24"/>
        </w:rPr>
        <w:t>rk</w:t>
      </w:r>
      <w:r w:rsidR="005842DF">
        <w:rPr>
          <w:rFonts w:ascii="Garamond" w:hAnsi="Garamond"/>
          <w:sz w:val="24"/>
          <w:szCs w:val="24"/>
        </w:rPr>
        <w:t>et indices, recovery rates differ significantly</w:t>
      </w:r>
      <w:r w:rsidR="00FC3B27">
        <w:rPr>
          <w:rFonts w:ascii="Garamond" w:hAnsi="Garamond"/>
          <w:sz w:val="24"/>
          <w:szCs w:val="24"/>
        </w:rPr>
        <w:t>,</w:t>
      </w:r>
      <w:r w:rsidR="005842DF">
        <w:rPr>
          <w:rFonts w:ascii="Garamond" w:hAnsi="Garamond"/>
          <w:sz w:val="24"/>
          <w:szCs w:val="24"/>
        </w:rPr>
        <w:t xml:space="preserve"> with the slowest for osmium as on April 10, 2020 and the highest for </w:t>
      </w:r>
      <w:r w:rsidR="00DC621F">
        <w:rPr>
          <w:rFonts w:ascii="Garamond" w:hAnsi="Garamond"/>
          <w:sz w:val="24"/>
          <w:szCs w:val="24"/>
        </w:rPr>
        <w:t xml:space="preserve">rhodium at 75% of the pandemic bottom value. </w:t>
      </w:r>
    </w:p>
    <w:p w14:paraId="32E46B1E" w14:textId="7BE7E489" w:rsidR="00DC621F" w:rsidRDefault="00DC621F" w:rsidP="00D52DB6">
      <w:pPr>
        <w:pStyle w:val="NoSpacing"/>
        <w:spacing w:line="480" w:lineRule="auto"/>
        <w:ind w:firstLine="709"/>
        <w:jc w:val="both"/>
        <w:rPr>
          <w:rFonts w:ascii="Garamond" w:hAnsi="Garamond"/>
          <w:sz w:val="24"/>
          <w:szCs w:val="24"/>
        </w:rPr>
      </w:pPr>
      <w:r>
        <w:rPr>
          <w:rFonts w:ascii="Garamond" w:hAnsi="Garamond"/>
          <w:sz w:val="24"/>
          <w:szCs w:val="24"/>
        </w:rPr>
        <w:t xml:space="preserve">Even </w:t>
      </w:r>
      <w:r w:rsidR="00FC3B27">
        <w:rPr>
          <w:rFonts w:ascii="Garamond" w:hAnsi="Garamond"/>
          <w:sz w:val="24"/>
          <w:szCs w:val="24"/>
        </w:rPr>
        <w:t xml:space="preserve">10-year </w:t>
      </w:r>
      <w:r>
        <w:rPr>
          <w:rFonts w:ascii="Garamond" w:hAnsi="Garamond"/>
          <w:sz w:val="24"/>
          <w:szCs w:val="24"/>
        </w:rPr>
        <w:t xml:space="preserve">government or treasury bonds, which are traditionally known for their ‘risk-free’ properties are affected to various degrees due to the pandemic. While all four bonds considered in this study – German, US, French and UK bonds suffer decline in bond values between 5.50 and 6.5%, recovery rates as on April 10 </w:t>
      </w:r>
      <w:proofErr w:type="gramStart"/>
      <w:r>
        <w:rPr>
          <w:rFonts w:ascii="Garamond" w:hAnsi="Garamond"/>
          <w:sz w:val="24"/>
          <w:szCs w:val="24"/>
        </w:rPr>
        <w:t>lag behind</w:t>
      </w:r>
      <w:proofErr w:type="gramEnd"/>
      <w:r>
        <w:rPr>
          <w:rFonts w:ascii="Garamond" w:hAnsi="Garamond"/>
          <w:sz w:val="24"/>
          <w:szCs w:val="24"/>
        </w:rPr>
        <w:t xml:space="preserve"> drastically (see Table 1). </w:t>
      </w:r>
    </w:p>
    <w:p w14:paraId="26BE268E" w14:textId="6A7D93DA" w:rsidR="003248B4" w:rsidRDefault="003248B4" w:rsidP="003248B4">
      <w:pPr>
        <w:pStyle w:val="NoSpacing"/>
        <w:spacing w:line="480" w:lineRule="auto"/>
        <w:ind w:firstLine="709"/>
        <w:jc w:val="both"/>
        <w:rPr>
          <w:rFonts w:ascii="Garamond" w:hAnsi="Garamond"/>
          <w:sz w:val="24"/>
          <w:szCs w:val="24"/>
        </w:rPr>
      </w:pPr>
      <w:r>
        <w:rPr>
          <w:rFonts w:ascii="Garamond" w:hAnsi="Garamond"/>
          <w:sz w:val="24"/>
          <w:szCs w:val="24"/>
        </w:rPr>
        <w:t>Cryptocurrencies</w:t>
      </w:r>
      <w:r w:rsidR="006F6A4A">
        <w:rPr>
          <w:rFonts w:ascii="Garamond" w:hAnsi="Garamond"/>
          <w:sz w:val="24"/>
          <w:szCs w:val="24"/>
        </w:rPr>
        <w:t xml:space="preserve">, known for their high volatility and uncertain </w:t>
      </w:r>
      <w:proofErr w:type="spellStart"/>
      <w:r w:rsidR="006F6A4A">
        <w:rPr>
          <w:rFonts w:ascii="Garamond" w:hAnsi="Garamond"/>
          <w:sz w:val="24"/>
          <w:szCs w:val="24"/>
        </w:rPr>
        <w:t>behaviour</w:t>
      </w:r>
      <w:proofErr w:type="spellEnd"/>
      <w:r w:rsidR="006F6A4A">
        <w:rPr>
          <w:rFonts w:ascii="Garamond" w:hAnsi="Garamond"/>
          <w:sz w:val="24"/>
          <w:szCs w:val="24"/>
        </w:rPr>
        <w:t xml:space="preserve"> have been documented to possess significant hedging, </w:t>
      </w:r>
      <w:proofErr w:type="gramStart"/>
      <w:r w:rsidR="006F6A4A">
        <w:rPr>
          <w:rFonts w:ascii="Garamond" w:hAnsi="Garamond"/>
          <w:sz w:val="24"/>
          <w:szCs w:val="24"/>
        </w:rPr>
        <w:t>diversifier</w:t>
      </w:r>
      <w:proofErr w:type="gramEnd"/>
      <w:r w:rsidR="006F6A4A">
        <w:rPr>
          <w:rFonts w:ascii="Garamond" w:hAnsi="Garamond"/>
          <w:sz w:val="24"/>
          <w:szCs w:val="24"/>
        </w:rPr>
        <w:t xml:space="preserve"> and safe-haven properties against various other classes of assets. In fact, several studies refer to the Bitcoin, the largest cryptocurrency by trading volume, as the ‘new gold’ in terms of its </w:t>
      </w:r>
      <w:r w:rsidR="006F6A4A" w:rsidRPr="00D86E88">
        <w:rPr>
          <w:rFonts w:ascii="Garamond" w:hAnsi="Garamond"/>
          <w:sz w:val="24"/>
          <w:szCs w:val="24"/>
        </w:rPr>
        <w:t>safe-haven characteristics</w:t>
      </w:r>
      <w:r w:rsidR="006F6A4A">
        <w:rPr>
          <w:rFonts w:ascii="Garamond" w:hAnsi="Garamond"/>
          <w:sz w:val="24"/>
          <w:szCs w:val="24"/>
        </w:rPr>
        <w:t>. Quite contrary to expectation, this rather new class of financial assets is also</w:t>
      </w:r>
      <w:r>
        <w:rPr>
          <w:rFonts w:ascii="Garamond" w:hAnsi="Garamond"/>
          <w:sz w:val="24"/>
          <w:szCs w:val="24"/>
        </w:rPr>
        <w:t xml:space="preserve"> hugely impacted by the COVID crisis, with declines in value exceeding 50% for the three main cryptocurrencies by trading volume – Bitcoin, Ethereum and Litecoin. </w:t>
      </w:r>
      <w:r w:rsidR="006F6A4A">
        <w:rPr>
          <w:rFonts w:ascii="Garamond" w:hAnsi="Garamond"/>
          <w:sz w:val="24"/>
          <w:szCs w:val="24"/>
        </w:rPr>
        <w:t xml:space="preserve">This has sparked new investigation into the role of cryptocurrencies as safe havens in turbulent times. For instance, </w:t>
      </w:r>
      <w:r w:rsidR="00263E86">
        <w:rPr>
          <w:rFonts w:ascii="Garamond" w:hAnsi="Garamond"/>
          <w:sz w:val="24"/>
          <w:szCs w:val="24"/>
        </w:rPr>
        <w:t>despite that cryptocurrencies can enhance portfolio return (</w:t>
      </w:r>
      <w:proofErr w:type="spellStart"/>
      <w:r w:rsidR="00263E86">
        <w:rPr>
          <w:rFonts w:ascii="Garamond" w:hAnsi="Garamond"/>
          <w:sz w:val="24"/>
          <w:szCs w:val="24"/>
        </w:rPr>
        <w:t>Matkovskyy</w:t>
      </w:r>
      <w:proofErr w:type="spellEnd"/>
      <w:r w:rsidR="00263E86">
        <w:rPr>
          <w:rFonts w:ascii="Garamond" w:hAnsi="Garamond"/>
          <w:sz w:val="24"/>
          <w:szCs w:val="24"/>
        </w:rPr>
        <w:t xml:space="preserve"> et al, </w:t>
      </w:r>
      <w:r w:rsidR="00E23888">
        <w:rPr>
          <w:rFonts w:ascii="Garamond" w:hAnsi="Garamond"/>
          <w:sz w:val="24"/>
          <w:szCs w:val="24"/>
        </w:rPr>
        <w:t>2021</w:t>
      </w:r>
      <w:r w:rsidR="00263E86">
        <w:rPr>
          <w:rFonts w:ascii="Garamond" w:hAnsi="Garamond"/>
          <w:sz w:val="24"/>
          <w:szCs w:val="24"/>
        </w:rPr>
        <w:t xml:space="preserve">), </w:t>
      </w:r>
      <w:r w:rsidRPr="009A48A9">
        <w:rPr>
          <w:rFonts w:ascii="Garamond" w:hAnsi="Garamond"/>
          <w:sz w:val="24"/>
          <w:szCs w:val="24"/>
        </w:rPr>
        <w:t>Co</w:t>
      </w:r>
      <w:r>
        <w:rPr>
          <w:rFonts w:ascii="Garamond" w:hAnsi="Garamond"/>
          <w:sz w:val="24"/>
          <w:szCs w:val="24"/>
        </w:rPr>
        <w:t>n</w:t>
      </w:r>
      <w:r w:rsidRPr="009A48A9">
        <w:rPr>
          <w:rFonts w:ascii="Garamond" w:hAnsi="Garamond"/>
          <w:sz w:val="24"/>
          <w:szCs w:val="24"/>
        </w:rPr>
        <w:t xml:space="preserve">lon and McGee (2020) </w:t>
      </w:r>
      <w:r>
        <w:rPr>
          <w:rFonts w:ascii="Garamond" w:hAnsi="Garamond"/>
          <w:sz w:val="24"/>
          <w:szCs w:val="24"/>
        </w:rPr>
        <w:t>document</w:t>
      </w:r>
      <w:r w:rsidRPr="009A48A9">
        <w:rPr>
          <w:rFonts w:ascii="Garamond" w:hAnsi="Garamond"/>
          <w:sz w:val="24"/>
          <w:szCs w:val="24"/>
        </w:rPr>
        <w:t xml:space="preserve"> </w:t>
      </w:r>
      <w:r>
        <w:rPr>
          <w:rFonts w:ascii="Garamond" w:hAnsi="Garamond"/>
          <w:sz w:val="24"/>
          <w:szCs w:val="24"/>
        </w:rPr>
        <w:t>t</w:t>
      </w:r>
      <w:r w:rsidR="00FC3B27">
        <w:rPr>
          <w:rFonts w:ascii="Garamond" w:hAnsi="Garamond"/>
          <w:sz w:val="24"/>
          <w:szCs w:val="24"/>
        </w:rPr>
        <w:t xml:space="preserve">he riskiness of the Bitcoin in times of the COVID crisis. They find that </w:t>
      </w:r>
      <w:r>
        <w:rPr>
          <w:rFonts w:ascii="Garamond" w:hAnsi="Garamond"/>
          <w:sz w:val="24"/>
          <w:szCs w:val="24"/>
        </w:rPr>
        <w:t>even a small allocation of the Bitcoin to a S&amp;P500 portfolio</w:t>
      </w:r>
      <w:r w:rsidR="00FC3B27">
        <w:rPr>
          <w:rFonts w:ascii="Garamond" w:hAnsi="Garamond"/>
          <w:sz w:val="24"/>
          <w:szCs w:val="24"/>
        </w:rPr>
        <w:t xml:space="preserve"> adds significantly to downside risk</w:t>
      </w:r>
      <w:r>
        <w:rPr>
          <w:rFonts w:ascii="Garamond" w:hAnsi="Garamond"/>
          <w:sz w:val="24"/>
          <w:szCs w:val="24"/>
        </w:rPr>
        <w:t xml:space="preserve">. </w:t>
      </w:r>
      <w:r w:rsidR="006F6A4A">
        <w:rPr>
          <w:rFonts w:ascii="Garamond" w:hAnsi="Garamond"/>
          <w:sz w:val="24"/>
          <w:szCs w:val="24"/>
        </w:rPr>
        <w:t xml:space="preserve">In a similar vein, Conlon et al. (2020) document that both Bitcoin and Ethereum fail to act as safe havens for international equity markets in general. </w:t>
      </w:r>
    </w:p>
    <w:p w14:paraId="13F717DA" w14:textId="5BAD7E3E" w:rsidR="005D141C" w:rsidRDefault="00B22D9B" w:rsidP="005D141C">
      <w:pPr>
        <w:pStyle w:val="NoSpacing"/>
        <w:spacing w:line="480" w:lineRule="auto"/>
        <w:ind w:firstLine="709"/>
        <w:jc w:val="both"/>
        <w:rPr>
          <w:rFonts w:ascii="Garamond" w:hAnsi="Garamond"/>
          <w:sz w:val="24"/>
          <w:szCs w:val="24"/>
        </w:rPr>
      </w:pPr>
      <w:r>
        <w:rPr>
          <w:rFonts w:ascii="Garamond" w:hAnsi="Garamond"/>
          <w:sz w:val="24"/>
          <w:szCs w:val="24"/>
        </w:rPr>
        <w:lastRenderedPageBreak/>
        <w:t xml:space="preserve">In the light of the stark differences in both reactivity and recovery of the various financial assets to the same COVID shock, it becomes interesting to examine the potential for each of these classes to bounce to recovery, i.e. </w:t>
      </w:r>
      <w:r w:rsidR="007462B0">
        <w:rPr>
          <w:rFonts w:ascii="Garamond" w:hAnsi="Garamond"/>
          <w:sz w:val="24"/>
          <w:szCs w:val="24"/>
        </w:rPr>
        <w:t>revert to o</w:t>
      </w:r>
      <w:r>
        <w:rPr>
          <w:rFonts w:ascii="Garamond" w:hAnsi="Garamond"/>
          <w:sz w:val="24"/>
          <w:szCs w:val="24"/>
        </w:rPr>
        <w:t xml:space="preserve">riginal values post the impact of shock. </w:t>
      </w:r>
      <w:r w:rsidR="005D141C">
        <w:rPr>
          <w:rFonts w:ascii="Garamond" w:hAnsi="Garamond"/>
          <w:sz w:val="24"/>
          <w:szCs w:val="24"/>
        </w:rPr>
        <w:t xml:space="preserve">This is an important question since it can help investors and market participants understand the risk characteristics of the various asset classes better. The COVID-19 represents an extraordinary shock of unexpected magnitude. No wonder it has been likened to a ‘black swan’ event for the financial markets by some academics. Even when such shocks may be rare, they happen and given the uncertainty they create, they pose the perfect setting to investigate both return and investor </w:t>
      </w:r>
      <w:proofErr w:type="spellStart"/>
      <w:r w:rsidR="005D141C">
        <w:rPr>
          <w:rFonts w:ascii="Garamond" w:hAnsi="Garamond"/>
          <w:sz w:val="24"/>
          <w:szCs w:val="24"/>
        </w:rPr>
        <w:t>behaviour</w:t>
      </w:r>
      <w:proofErr w:type="spellEnd"/>
      <w:r w:rsidR="005D141C">
        <w:rPr>
          <w:rFonts w:ascii="Garamond" w:hAnsi="Garamond"/>
          <w:sz w:val="24"/>
          <w:szCs w:val="24"/>
        </w:rPr>
        <w:t xml:space="preserve"> in such times. </w:t>
      </w:r>
    </w:p>
    <w:p w14:paraId="5471D635" w14:textId="3ED0FE90" w:rsidR="00960AEF" w:rsidRPr="00C13349" w:rsidRDefault="005D141C" w:rsidP="002E3A18">
      <w:pPr>
        <w:pStyle w:val="NoSpacing"/>
        <w:spacing w:line="480" w:lineRule="auto"/>
        <w:ind w:firstLine="708"/>
        <w:jc w:val="both"/>
        <w:rPr>
          <w:rFonts w:ascii="Garamond" w:hAnsi="Garamond"/>
          <w:sz w:val="24"/>
          <w:szCs w:val="24"/>
        </w:rPr>
      </w:pPr>
      <w:r>
        <w:rPr>
          <w:rFonts w:ascii="Garamond" w:hAnsi="Garamond"/>
          <w:sz w:val="24"/>
          <w:szCs w:val="24"/>
        </w:rPr>
        <w:t xml:space="preserve">Tendency towards recovery to original values </w:t>
      </w:r>
      <w:r w:rsidR="007462B0">
        <w:rPr>
          <w:rFonts w:ascii="Garamond" w:hAnsi="Garamond"/>
          <w:sz w:val="24"/>
          <w:szCs w:val="24"/>
        </w:rPr>
        <w:t xml:space="preserve">raises the important </w:t>
      </w:r>
      <w:r w:rsidR="004148A3">
        <w:rPr>
          <w:rFonts w:ascii="Garamond" w:hAnsi="Garamond"/>
          <w:sz w:val="24"/>
          <w:szCs w:val="24"/>
        </w:rPr>
        <w:t>issue</w:t>
      </w:r>
      <w:r w:rsidR="007462B0">
        <w:rPr>
          <w:rFonts w:ascii="Garamond" w:hAnsi="Garamond"/>
          <w:sz w:val="24"/>
          <w:szCs w:val="24"/>
        </w:rPr>
        <w:t xml:space="preserve"> of return persistence, which refers to the stationarity associated with an asset return series. </w:t>
      </w:r>
      <w:r w:rsidR="004148A3">
        <w:rPr>
          <w:rFonts w:ascii="Garamond" w:hAnsi="Garamond"/>
          <w:sz w:val="24"/>
          <w:szCs w:val="24"/>
        </w:rPr>
        <w:t>High return</w:t>
      </w:r>
      <w:r w:rsidR="007462B0">
        <w:rPr>
          <w:rFonts w:ascii="Garamond" w:hAnsi="Garamond"/>
          <w:sz w:val="24"/>
          <w:szCs w:val="24"/>
        </w:rPr>
        <w:t xml:space="preserve"> persistence is associated with long memory </w:t>
      </w:r>
      <w:proofErr w:type="spellStart"/>
      <w:r w:rsidR="007462B0">
        <w:rPr>
          <w:rFonts w:ascii="Garamond" w:hAnsi="Garamond"/>
          <w:sz w:val="24"/>
          <w:szCs w:val="24"/>
        </w:rPr>
        <w:t>behaviour</w:t>
      </w:r>
      <w:proofErr w:type="spellEnd"/>
      <w:r w:rsidR="007462B0">
        <w:rPr>
          <w:rFonts w:ascii="Garamond" w:hAnsi="Garamond"/>
          <w:sz w:val="24"/>
          <w:szCs w:val="24"/>
        </w:rPr>
        <w:t xml:space="preserve"> in the return series, thereby making it difficult for the series to return to its long-term equilibrium </w:t>
      </w:r>
      <w:r w:rsidR="004148A3">
        <w:rPr>
          <w:rFonts w:ascii="Garamond" w:hAnsi="Garamond"/>
          <w:sz w:val="24"/>
          <w:szCs w:val="24"/>
        </w:rPr>
        <w:t>value, post-</w:t>
      </w:r>
      <w:r w:rsidR="007462B0">
        <w:rPr>
          <w:rFonts w:ascii="Garamond" w:hAnsi="Garamond"/>
          <w:sz w:val="24"/>
          <w:szCs w:val="24"/>
        </w:rPr>
        <w:t xml:space="preserve">shock. </w:t>
      </w:r>
      <w:proofErr w:type="spellStart"/>
      <w:r w:rsidR="00C95F9D" w:rsidRPr="00C95F9D">
        <w:rPr>
          <w:rFonts w:ascii="Garamond" w:hAnsi="Garamond"/>
          <w:sz w:val="24"/>
          <w:szCs w:val="24"/>
        </w:rPr>
        <w:t>Barkoulas</w:t>
      </w:r>
      <w:proofErr w:type="spellEnd"/>
      <w:r w:rsidR="00C95F9D" w:rsidRPr="00C95F9D">
        <w:rPr>
          <w:rFonts w:ascii="Garamond" w:hAnsi="Garamond"/>
          <w:sz w:val="24"/>
          <w:szCs w:val="24"/>
        </w:rPr>
        <w:t xml:space="preserve"> and Baum (1996) </w:t>
      </w:r>
      <w:r w:rsidR="00C95F9D">
        <w:rPr>
          <w:rFonts w:ascii="Garamond" w:hAnsi="Garamond"/>
          <w:sz w:val="24"/>
          <w:szCs w:val="24"/>
        </w:rPr>
        <w:t>show</w:t>
      </w:r>
      <w:r w:rsidR="00C95F9D" w:rsidRPr="00C95F9D">
        <w:rPr>
          <w:rFonts w:ascii="Garamond" w:hAnsi="Garamond"/>
          <w:sz w:val="24"/>
          <w:szCs w:val="24"/>
        </w:rPr>
        <w:t xml:space="preserve"> that long memory processes in financial time series </w:t>
      </w:r>
      <w:r w:rsidR="00C95F9D">
        <w:rPr>
          <w:rFonts w:ascii="Garamond" w:hAnsi="Garamond"/>
          <w:sz w:val="24"/>
          <w:szCs w:val="24"/>
        </w:rPr>
        <w:t xml:space="preserve">could potentially </w:t>
      </w:r>
      <w:r w:rsidR="00C95F9D" w:rsidRPr="00C95F9D">
        <w:rPr>
          <w:rFonts w:ascii="Garamond" w:hAnsi="Garamond"/>
          <w:sz w:val="24"/>
          <w:szCs w:val="24"/>
        </w:rPr>
        <w:t>invalidate conclusions based on almost all conventional techniques in asset pricing models</w:t>
      </w:r>
      <w:r w:rsidR="00C95F9D">
        <w:rPr>
          <w:rFonts w:ascii="Garamond" w:hAnsi="Garamond"/>
          <w:sz w:val="24"/>
          <w:szCs w:val="24"/>
        </w:rPr>
        <w:t xml:space="preserve"> that </w:t>
      </w:r>
      <w:proofErr w:type="gramStart"/>
      <w:r w:rsidR="00C95F9D">
        <w:rPr>
          <w:rFonts w:ascii="Garamond" w:hAnsi="Garamond"/>
          <w:sz w:val="24"/>
          <w:szCs w:val="24"/>
        </w:rPr>
        <w:t xml:space="preserve">are based on </w:t>
      </w:r>
      <w:r w:rsidR="00C95F9D" w:rsidRPr="00C95F9D">
        <w:rPr>
          <w:rFonts w:ascii="Garamond" w:hAnsi="Garamond"/>
          <w:sz w:val="24"/>
          <w:szCs w:val="24"/>
        </w:rPr>
        <w:t>the assumption</w:t>
      </w:r>
      <w:proofErr w:type="gramEnd"/>
      <w:r w:rsidR="00C95F9D" w:rsidRPr="00C95F9D">
        <w:rPr>
          <w:rFonts w:ascii="Garamond" w:hAnsi="Garamond"/>
          <w:sz w:val="24"/>
          <w:szCs w:val="24"/>
        </w:rPr>
        <w:t xml:space="preserve"> of E</w:t>
      </w:r>
      <w:r w:rsidR="00C95F9D">
        <w:rPr>
          <w:rFonts w:ascii="Garamond" w:hAnsi="Garamond"/>
          <w:sz w:val="24"/>
          <w:szCs w:val="24"/>
        </w:rPr>
        <w:t>fficiency</w:t>
      </w:r>
      <w:r w:rsidR="005A7A71">
        <w:rPr>
          <w:rFonts w:ascii="Garamond" w:hAnsi="Garamond"/>
          <w:sz w:val="24"/>
          <w:szCs w:val="24"/>
        </w:rPr>
        <w:t>-</w:t>
      </w:r>
      <w:r w:rsidR="00C95F9D" w:rsidRPr="00C95F9D">
        <w:rPr>
          <w:rFonts w:ascii="Garamond" w:hAnsi="Garamond"/>
          <w:sz w:val="24"/>
          <w:szCs w:val="24"/>
        </w:rPr>
        <w:t>M</w:t>
      </w:r>
      <w:r w:rsidR="00C95F9D">
        <w:rPr>
          <w:rFonts w:ascii="Garamond" w:hAnsi="Garamond"/>
          <w:sz w:val="24"/>
          <w:szCs w:val="24"/>
        </w:rPr>
        <w:t>arket</w:t>
      </w:r>
      <w:r w:rsidR="005A7A71">
        <w:rPr>
          <w:rFonts w:ascii="Garamond" w:hAnsi="Garamond"/>
          <w:sz w:val="24"/>
          <w:szCs w:val="24"/>
        </w:rPr>
        <w:t>-</w:t>
      </w:r>
      <w:r w:rsidR="00C95F9D" w:rsidRPr="00C95F9D">
        <w:rPr>
          <w:rFonts w:ascii="Garamond" w:hAnsi="Garamond"/>
          <w:sz w:val="24"/>
          <w:szCs w:val="24"/>
        </w:rPr>
        <w:t>H</w:t>
      </w:r>
      <w:r w:rsidR="00C95F9D">
        <w:rPr>
          <w:rFonts w:ascii="Garamond" w:hAnsi="Garamond"/>
          <w:sz w:val="24"/>
          <w:szCs w:val="24"/>
        </w:rPr>
        <w:t>ypothesis</w:t>
      </w:r>
      <w:r w:rsidR="005A7A71">
        <w:rPr>
          <w:rFonts w:ascii="Garamond" w:hAnsi="Garamond"/>
          <w:sz w:val="24"/>
          <w:szCs w:val="24"/>
        </w:rPr>
        <w:t>-</w:t>
      </w:r>
      <w:r w:rsidR="00C95F9D" w:rsidRPr="00C95F9D">
        <w:rPr>
          <w:rFonts w:ascii="Garamond" w:hAnsi="Garamond"/>
          <w:sz w:val="24"/>
          <w:szCs w:val="24"/>
        </w:rPr>
        <w:t>consistent Gaussian distributions.</w:t>
      </w:r>
      <w:r w:rsidR="00C95F9D">
        <w:rPr>
          <w:rFonts w:ascii="Garamond" w:hAnsi="Garamond"/>
          <w:sz w:val="24"/>
          <w:szCs w:val="24"/>
        </w:rPr>
        <w:t xml:space="preserve"> </w:t>
      </w:r>
      <w:r w:rsidR="007462B0">
        <w:rPr>
          <w:rFonts w:ascii="Garamond" w:hAnsi="Garamond"/>
          <w:sz w:val="24"/>
          <w:szCs w:val="24"/>
        </w:rPr>
        <w:t xml:space="preserve">Mean reversion, on the other hand, refers to the tendency of a return series to revert to its long-term ‘normal’. </w:t>
      </w:r>
      <w:r w:rsidR="002E3A18">
        <w:rPr>
          <w:rFonts w:ascii="Garamond" w:hAnsi="Garamond"/>
          <w:sz w:val="24"/>
          <w:szCs w:val="24"/>
        </w:rPr>
        <w:t>Thus, t</w:t>
      </w:r>
      <w:r w:rsidR="002E3A18" w:rsidRPr="002E3A18">
        <w:rPr>
          <w:rFonts w:ascii="Garamond" w:hAnsi="Garamond"/>
          <w:sz w:val="24"/>
          <w:szCs w:val="24"/>
        </w:rPr>
        <w:t>here is a relationship between persistence and mean reversion (Marques 2004).</w:t>
      </w:r>
      <w:r w:rsidR="002E3A18">
        <w:rPr>
          <w:rFonts w:ascii="Garamond" w:hAnsi="Garamond"/>
          <w:sz w:val="24"/>
          <w:szCs w:val="24"/>
        </w:rPr>
        <w:t xml:space="preserve"> </w:t>
      </w:r>
      <w:r w:rsidR="007462B0">
        <w:rPr>
          <w:rFonts w:ascii="Garamond" w:hAnsi="Garamond"/>
          <w:sz w:val="24"/>
          <w:szCs w:val="24"/>
        </w:rPr>
        <w:t xml:space="preserve">Higher mean reversion is typically associated with lower risk and uncertainty </w:t>
      </w:r>
      <w:r w:rsidR="0008081D">
        <w:rPr>
          <w:rFonts w:ascii="Garamond" w:hAnsi="Garamond"/>
          <w:sz w:val="24"/>
          <w:szCs w:val="24"/>
        </w:rPr>
        <w:t xml:space="preserve">in the long-run through the </w:t>
      </w:r>
      <w:r w:rsidR="007462B0">
        <w:rPr>
          <w:rFonts w:ascii="Garamond" w:hAnsi="Garamond"/>
          <w:sz w:val="24"/>
          <w:szCs w:val="24"/>
        </w:rPr>
        <w:t xml:space="preserve">ability </w:t>
      </w:r>
      <w:r w:rsidR="0008081D">
        <w:rPr>
          <w:rFonts w:ascii="Garamond" w:hAnsi="Garamond"/>
          <w:sz w:val="24"/>
          <w:szCs w:val="24"/>
        </w:rPr>
        <w:t xml:space="preserve">of the asset returns </w:t>
      </w:r>
      <w:r w:rsidR="007462B0">
        <w:rPr>
          <w:rFonts w:ascii="Garamond" w:hAnsi="Garamond"/>
          <w:sz w:val="24"/>
          <w:szCs w:val="24"/>
        </w:rPr>
        <w:t>to auto-correct</w:t>
      </w:r>
      <w:r w:rsidR="0008081D">
        <w:rPr>
          <w:rFonts w:ascii="Garamond" w:hAnsi="Garamond"/>
          <w:sz w:val="24"/>
          <w:szCs w:val="24"/>
        </w:rPr>
        <w:t xml:space="preserve"> over time</w:t>
      </w:r>
      <w:r w:rsidR="0008081D" w:rsidRPr="00D12D08">
        <w:rPr>
          <w:rFonts w:ascii="Garamond" w:hAnsi="Garamond"/>
          <w:sz w:val="24"/>
          <w:szCs w:val="24"/>
        </w:rPr>
        <w:t xml:space="preserve">. </w:t>
      </w:r>
      <w:r w:rsidR="00263E86">
        <w:rPr>
          <w:rFonts w:ascii="Garamond" w:hAnsi="Garamond"/>
          <w:sz w:val="24"/>
          <w:szCs w:val="24"/>
        </w:rPr>
        <w:t>I</w:t>
      </w:r>
      <w:r w:rsidR="00960AEF" w:rsidRPr="00D12D08">
        <w:rPr>
          <w:rFonts w:ascii="Garamond" w:hAnsi="Garamond"/>
          <w:sz w:val="24"/>
          <w:szCs w:val="24"/>
        </w:rPr>
        <w:t xml:space="preserve">nvestors </w:t>
      </w:r>
      <w:r w:rsidR="00960AEF" w:rsidRPr="00C13349">
        <w:rPr>
          <w:rFonts w:ascii="Garamond" w:hAnsi="Garamond"/>
          <w:sz w:val="24"/>
          <w:szCs w:val="24"/>
          <w:lang w:val="en-GB"/>
        </w:rPr>
        <w:t xml:space="preserve">with relative risk aversion greater than one intend to invest more in stocks that exhibit mean-reverting characteristics (Samuelson, </w:t>
      </w:r>
      <w:r w:rsidR="00D12D08" w:rsidRPr="00C13349">
        <w:rPr>
          <w:rFonts w:ascii="Garamond" w:hAnsi="Garamond"/>
          <w:sz w:val="24"/>
          <w:szCs w:val="24"/>
          <w:lang w:val="en-GB"/>
        </w:rPr>
        <w:t>1988).</w:t>
      </w:r>
      <w:r w:rsidR="002E3A18" w:rsidRPr="002E3A18">
        <w:t xml:space="preserve"> </w:t>
      </w:r>
    </w:p>
    <w:p w14:paraId="6F6CC7E9" w14:textId="2681EB36" w:rsidR="00715136" w:rsidRDefault="0008081D">
      <w:pPr>
        <w:pStyle w:val="NoSpacing"/>
        <w:spacing w:line="480" w:lineRule="auto"/>
        <w:ind w:firstLine="709"/>
        <w:jc w:val="both"/>
        <w:rPr>
          <w:rFonts w:ascii="Garamond" w:hAnsi="Garamond"/>
          <w:sz w:val="24"/>
          <w:szCs w:val="24"/>
        </w:rPr>
      </w:pPr>
      <w:r>
        <w:rPr>
          <w:rFonts w:ascii="Garamond" w:hAnsi="Garamond"/>
          <w:sz w:val="24"/>
          <w:szCs w:val="24"/>
        </w:rPr>
        <w:t>Mean rev</w:t>
      </w:r>
      <w:r w:rsidR="0064104C">
        <w:rPr>
          <w:rFonts w:ascii="Garamond" w:hAnsi="Garamond"/>
          <w:sz w:val="24"/>
          <w:szCs w:val="24"/>
        </w:rPr>
        <w:t xml:space="preserve">ersion in stock markets is </w:t>
      </w:r>
      <w:r>
        <w:rPr>
          <w:rFonts w:ascii="Garamond" w:hAnsi="Garamond"/>
          <w:sz w:val="24"/>
          <w:szCs w:val="24"/>
        </w:rPr>
        <w:t>well-documented (</w:t>
      </w:r>
      <w:proofErr w:type="spellStart"/>
      <w:r>
        <w:rPr>
          <w:rFonts w:ascii="Garamond" w:hAnsi="Garamond"/>
          <w:sz w:val="24"/>
          <w:szCs w:val="24"/>
        </w:rPr>
        <w:t>Fama</w:t>
      </w:r>
      <w:proofErr w:type="spellEnd"/>
      <w:r>
        <w:rPr>
          <w:rFonts w:ascii="Garamond" w:hAnsi="Garamond"/>
          <w:sz w:val="24"/>
          <w:szCs w:val="24"/>
        </w:rPr>
        <w:t xml:space="preserve"> and French, 1988; </w:t>
      </w:r>
      <w:proofErr w:type="spellStart"/>
      <w:r>
        <w:rPr>
          <w:rFonts w:ascii="Garamond" w:hAnsi="Garamond"/>
          <w:sz w:val="24"/>
          <w:szCs w:val="24"/>
        </w:rPr>
        <w:t>Balvers</w:t>
      </w:r>
      <w:proofErr w:type="spellEnd"/>
      <w:r>
        <w:rPr>
          <w:rFonts w:ascii="Garamond" w:hAnsi="Garamond"/>
          <w:sz w:val="24"/>
          <w:szCs w:val="24"/>
        </w:rPr>
        <w:t xml:space="preserve"> et al., 2000, among others</w:t>
      </w:r>
      <w:r w:rsidR="00412983">
        <w:rPr>
          <w:rFonts w:ascii="Garamond" w:hAnsi="Garamond"/>
          <w:sz w:val="24"/>
          <w:szCs w:val="24"/>
        </w:rPr>
        <w:t>) and the speed of mean reversion is impacted by extreme events like the Great Depression (Poterba and Summers, 1988) and the Cold War (</w:t>
      </w:r>
      <w:proofErr w:type="spellStart"/>
      <w:r w:rsidR="00412983" w:rsidRPr="00644E26">
        <w:rPr>
          <w:rFonts w:ascii="Garamond" w:hAnsi="Garamond"/>
          <w:sz w:val="24"/>
          <w:szCs w:val="24"/>
        </w:rPr>
        <w:t>Spierdijk</w:t>
      </w:r>
      <w:proofErr w:type="spellEnd"/>
      <w:r w:rsidR="00412983" w:rsidRPr="00644E26">
        <w:rPr>
          <w:rFonts w:ascii="Garamond" w:hAnsi="Garamond"/>
          <w:sz w:val="24"/>
          <w:szCs w:val="24"/>
        </w:rPr>
        <w:t xml:space="preserve"> et al., 2012).</w:t>
      </w:r>
      <w:r w:rsidR="000C5D19">
        <w:rPr>
          <w:rFonts w:ascii="Garamond" w:hAnsi="Garamond"/>
          <w:sz w:val="24"/>
          <w:szCs w:val="24"/>
        </w:rPr>
        <w:t xml:space="preserve"> R</w:t>
      </w:r>
      <w:r w:rsidR="0004202B">
        <w:rPr>
          <w:rFonts w:ascii="Garamond" w:hAnsi="Garamond"/>
          <w:sz w:val="24"/>
          <w:szCs w:val="24"/>
        </w:rPr>
        <w:t>esults on the mean-reversion characteristics of precious metals</w:t>
      </w:r>
      <w:r w:rsidR="005D141C">
        <w:rPr>
          <w:rFonts w:ascii="Garamond" w:hAnsi="Garamond"/>
          <w:sz w:val="24"/>
          <w:szCs w:val="24"/>
        </w:rPr>
        <w:t xml:space="preserve"> and cryptocurrencies</w:t>
      </w:r>
      <w:r w:rsidR="0004202B">
        <w:rPr>
          <w:rFonts w:ascii="Garamond" w:hAnsi="Garamond"/>
          <w:sz w:val="24"/>
          <w:szCs w:val="24"/>
        </w:rPr>
        <w:t xml:space="preserve"> are rather mixed. </w:t>
      </w:r>
    </w:p>
    <w:p w14:paraId="3025A6B4" w14:textId="19B77312" w:rsidR="000C5D19" w:rsidRDefault="007462B0" w:rsidP="007667B2">
      <w:pPr>
        <w:pStyle w:val="NoSpacing"/>
        <w:spacing w:line="480" w:lineRule="auto"/>
        <w:ind w:firstLine="709"/>
        <w:jc w:val="both"/>
        <w:rPr>
          <w:rFonts w:ascii="Garamond" w:hAnsi="Garamond"/>
          <w:sz w:val="24"/>
          <w:szCs w:val="24"/>
        </w:rPr>
      </w:pPr>
      <w:r>
        <w:rPr>
          <w:rFonts w:ascii="Garamond" w:hAnsi="Garamond"/>
          <w:sz w:val="24"/>
          <w:szCs w:val="24"/>
        </w:rPr>
        <w:lastRenderedPageBreak/>
        <w:t xml:space="preserve">This paper </w:t>
      </w:r>
      <w:r w:rsidR="00EB7B80" w:rsidRPr="00EB7B80">
        <w:rPr>
          <w:rFonts w:ascii="Garamond" w:hAnsi="Garamond"/>
          <w:sz w:val="24"/>
          <w:szCs w:val="24"/>
        </w:rPr>
        <w:t xml:space="preserve">provides </w:t>
      </w:r>
      <w:r w:rsidR="005F0650">
        <w:rPr>
          <w:rFonts w:ascii="Garamond" w:hAnsi="Garamond"/>
          <w:sz w:val="24"/>
          <w:szCs w:val="24"/>
        </w:rPr>
        <w:t xml:space="preserve">the </w:t>
      </w:r>
      <w:r w:rsidR="00EB7B80" w:rsidRPr="00EB7B80">
        <w:rPr>
          <w:rFonts w:ascii="Garamond" w:hAnsi="Garamond"/>
          <w:sz w:val="24"/>
          <w:szCs w:val="24"/>
        </w:rPr>
        <w:t xml:space="preserve">first empirical evidence on reaction and recovery patterns </w:t>
      </w:r>
      <w:r w:rsidR="005D141C">
        <w:rPr>
          <w:rFonts w:ascii="Garamond" w:hAnsi="Garamond"/>
          <w:sz w:val="24"/>
          <w:szCs w:val="24"/>
        </w:rPr>
        <w:t xml:space="preserve">in the financial markets </w:t>
      </w:r>
      <w:r w:rsidR="004B411F">
        <w:rPr>
          <w:rFonts w:ascii="Garamond" w:hAnsi="Garamond"/>
          <w:sz w:val="24"/>
          <w:szCs w:val="24"/>
        </w:rPr>
        <w:t xml:space="preserve">to the COVID crisis </w:t>
      </w:r>
      <w:r w:rsidR="00EB7B80" w:rsidRPr="00EB7B80">
        <w:rPr>
          <w:rFonts w:ascii="Garamond" w:hAnsi="Garamond"/>
          <w:sz w:val="24"/>
          <w:szCs w:val="24"/>
        </w:rPr>
        <w:t xml:space="preserve">for </w:t>
      </w:r>
      <w:r w:rsidR="005D141C">
        <w:rPr>
          <w:rFonts w:ascii="Garamond" w:hAnsi="Garamond"/>
          <w:sz w:val="24"/>
          <w:szCs w:val="24"/>
        </w:rPr>
        <w:t xml:space="preserve">four different asset classes </w:t>
      </w:r>
      <w:r w:rsidR="00C70FD6">
        <w:rPr>
          <w:rFonts w:ascii="Garamond" w:hAnsi="Garamond"/>
          <w:sz w:val="24"/>
          <w:szCs w:val="24"/>
        </w:rPr>
        <w:t>–</w:t>
      </w:r>
      <w:r w:rsidR="005D141C">
        <w:rPr>
          <w:rFonts w:ascii="Garamond" w:hAnsi="Garamond"/>
          <w:sz w:val="24"/>
          <w:szCs w:val="24"/>
        </w:rPr>
        <w:t xml:space="preserve"> </w:t>
      </w:r>
      <w:r w:rsidR="00EB7B80" w:rsidRPr="00EB7B80">
        <w:rPr>
          <w:rFonts w:ascii="Garamond" w:hAnsi="Garamond"/>
          <w:sz w:val="24"/>
          <w:szCs w:val="24"/>
        </w:rPr>
        <w:t>equit</w:t>
      </w:r>
      <w:r w:rsidR="00C70FD6">
        <w:rPr>
          <w:rFonts w:ascii="Garamond" w:hAnsi="Garamond"/>
          <w:sz w:val="24"/>
          <w:szCs w:val="24"/>
        </w:rPr>
        <w:t>y indices</w:t>
      </w:r>
      <w:r w:rsidR="00EB7B80" w:rsidRPr="00EB7B80">
        <w:rPr>
          <w:rFonts w:ascii="Garamond" w:hAnsi="Garamond"/>
          <w:sz w:val="24"/>
          <w:szCs w:val="24"/>
        </w:rPr>
        <w:t>, precious metals</w:t>
      </w:r>
      <w:r w:rsidR="00C70FD6">
        <w:rPr>
          <w:rFonts w:ascii="Garamond" w:hAnsi="Garamond"/>
          <w:sz w:val="24"/>
          <w:szCs w:val="24"/>
        </w:rPr>
        <w:t xml:space="preserve">, </w:t>
      </w:r>
      <w:r w:rsidR="00C70FD6" w:rsidRPr="009E00D2">
        <w:rPr>
          <w:rFonts w:ascii="Garamond" w:hAnsi="Garamond"/>
          <w:sz w:val="24"/>
          <w:szCs w:val="24"/>
        </w:rPr>
        <w:t>10-year benchmark bonds</w:t>
      </w:r>
      <w:r w:rsidR="00EB7B80" w:rsidRPr="00EB7B80">
        <w:rPr>
          <w:rFonts w:ascii="Garamond" w:hAnsi="Garamond"/>
          <w:sz w:val="24"/>
          <w:szCs w:val="24"/>
        </w:rPr>
        <w:t xml:space="preserve"> and </w:t>
      </w:r>
      <w:r w:rsidR="00AF25E2">
        <w:rPr>
          <w:rFonts w:ascii="Garamond" w:hAnsi="Garamond"/>
          <w:sz w:val="24"/>
          <w:szCs w:val="24"/>
        </w:rPr>
        <w:t>cryptocurrencies</w:t>
      </w:r>
      <w:r w:rsidR="00DD65BF">
        <w:rPr>
          <w:rFonts w:ascii="Garamond" w:hAnsi="Garamond"/>
          <w:sz w:val="24"/>
          <w:szCs w:val="24"/>
        </w:rPr>
        <w:t xml:space="preserve"> covering </w:t>
      </w:r>
      <w:r w:rsidR="00DD65BF" w:rsidRPr="009E00D2">
        <w:rPr>
          <w:rFonts w:ascii="Garamond" w:hAnsi="Garamond"/>
          <w:sz w:val="24"/>
          <w:szCs w:val="24"/>
        </w:rPr>
        <w:t>15 equity indices, four bond benchmark indices, nine precious metals, and three popular cryptocurrencies, Bitcoin, Ethereum and Litecoin.</w:t>
      </w:r>
      <w:r w:rsidR="00AF25E2">
        <w:rPr>
          <w:rFonts w:ascii="Garamond" w:hAnsi="Garamond"/>
          <w:sz w:val="24"/>
          <w:szCs w:val="24"/>
        </w:rPr>
        <w:t>.</w:t>
      </w:r>
      <w:r w:rsidR="00EB7B80" w:rsidRPr="00EB7B80">
        <w:rPr>
          <w:rFonts w:ascii="Garamond" w:hAnsi="Garamond"/>
          <w:sz w:val="24"/>
          <w:szCs w:val="24"/>
        </w:rPr>
        <w:t xml:space="preserve"> Specifically, we aim to </w:t>
      </w:r>
      <w:r w:rsidR="004B411F">
        <w:rPr>
          <w:rFonts w:ascii="Garamond" w:hAnsi="Garamond"/>
          <w:sz w:val="24"/>
          <w:szCs w:val="24"/>
        </w:rPr>
        <w:t xml:space="preserve">investigate the safety net associated with these different asset classes in terms of dealing with the unexpected shock of the crisis and eventually bouncing back to normal levels. In some sense, we attempt to investigate their individual </w:t>
      </w:r>
      <w:proofErr w:type="gramStart"/>
      <w:r w:rsidR="004B411F">
        <w:rPr>
          <w:rFonts w:ascii="Garamond" w:hAnsi="Garamond"/>
          <w:sz w:val="24"/>
          <w:szCs w:val="24"/>
        </w:rPr>
        <w:t>safe haven</w:t>
      </w:r>
      <w:proofErr w:type="gramEnd"/>
      <w:r w:rsidR="004B411F">
        <w:rPr>
          <w:rFonts w:ascii="Garamond" w:hAnsi="Garamond"/>
          <w:sz w:val="24"/>
          <w:szCs w:val="24"/>
        </w:rPr>
        <w:t xml:space="preserve"> characteristics in times of extreme turbulence of the kind depicted by the COVID. </w:t>
      </w:r>
      <w:r w:rsidR="00DD65BF">
        <w:rPr>
          <w:rFonts w:ascii="Garamond" w:hAnsi="Garamond"/>
          <w:sz w:val="24"/>
          <w:szCs w:val="24"/>
        </w:rPr>
        <w:t xml:space="preserve">To the best of our knowledge, this is the first paper that investigates return persistence for financial markets </w:t>
      </w:r>
      <w:proofErr w:type="gramStart"/>
      <w:r w:rsidR="00DD65BF">
        <w:rPr>
          <w:rFonts w:ascii="Garamond" w:hAnsi="Garamond"/>
          <w:sz w:val="24"/>
          <w:szCs w:val="24"/>
        </w:rPr>
        <w:t>in light of</w:t>
      </w:r>
      <w:proofErr w:type="gramEnd"/>
      <w:r w:rsidR="00DD65BF">
        <w:rPr>
          <w:rFonts w:ascii="Garamond" w:hAnsi="Garamond"/>
          <w:sz w:val="24"/>
          <w:szCs w:val="24"/>
        </w:rPr>
        <w:t xml:space="preserve"> the COVID crisis.</w:t>
      </w:r>
    </w:p>
    <w:p w14:paraId="060C9D72" w14:textId="240424FF" w:rsidR="00EB7B80" w:rsidRDefault="00EB7B80" w:rsidP="00072A47">
      <w:pPr>
        <w:pStyle w:val="NoSpacing"/>
        <w:spacing w:line="480" w:lineRule="auto"/>
        <w:ind w:firstLine="709"/>
        <w:jc w:val="both"/>
        <w:rPr>
          <w:rFonts w:ascii="Garamond" w:hAnsi="Garamond"/>
          <w:sz w:val="24"/>
          <w:szCs w:val="24"/>
        </w:rPr>
      </w:pPr>
      <w:r w:rsidRPr="00EB7B80">
        <w:rPr>
          <w:rFonts w:ascii="Garamond" w:hAnsi="Garamond"/>
          <w:sz w:val="24"/>
          <w:szCs w:val="24"/>
        </w:rPr>
        <w:t>For this purpose, we use</w:t>
      </w:r>
      <w:r w:rsidR="004B411F">
        <w:rPr>
          <w:rFonts w:ascii="Garamond" w:hAnsi="Garamond"/>
          <w:sz w:val="24"/>
          <w:szCs w:val="24"/>
        </w:rPr>
        <w:t xml:space="preserve"> the contemporary</w:t>
      </w:r>
      <w:r w:rsidRPr="00EB7B80">
        <w:rPr>
          <w:rFonts w:ascii="Garamond" w:hAnsi="Garamond"/>
          <w:sz w:val="24"/>
          <w:szCs w:val="24"/>
        </w:rPr>
        <w:t xml:space="preserve"> quantile </w:t>
      </w:r>
      <w:r w:rsidR="00072A47" w:rsidRPr="00072A47">
        <w:rPr>
          <w:rFonts w:ascii="Garamond" w:hAnsi="Garamond"/>
          <w:sz w:val="24"/>
          <w:szCs w:val="24"/>
        </w:rPr>
        <w:t>nonlinear unit root test with</w:t>
      </w:r>
      <w:r w:rsidR="00072A47">
        <w:rPr>
          <w:rFonts w:ascii="Garamond" w:hAnsi="Garamond"/>
          <w:sz w:val="24"/>
          <w:szCs w:val="24"/>
        </w:rPr>
        <w:t xml:space="preserve"> </w:t>
      </w:r>
      <w:r w:rsidR="00072A47" w:rsidRPr="00072A47">
        <w:rPr>
          <w:rFonts w:ascii="Garamond" w:hAnsi="Garamond"/>
          <w:sz w:val="24"/>
          <w:szCs w:val="24"/>
        </w:rPr>
        <w:t>covariates</w:t>
      </w:r>
      <w:r w:rsidR="00072A47" w:rsidRPr="00072A47" w:rsidDel="002E3A18">
        <w:rPr>
          <w:rFonts w:ascii="Garamond" w:hAnsi="Garamond"/>
          <w:sz w:val="24"/>
          <w:szCs w:val="24"/>
        </w:rPr>
        <w:t xml:space="preserve"> </w:t>
      </w:r>
      <w:r w:rsidR="000C5D19">
        <w:rPr>
          <w:rFonts w:ascii="Garamond" w:hAnsi="Garamond"/>
          <w:sz w:val="24"/>
          <w:szCs w:val="24"/>
        </w:rPr>
        <w:t xml:space="preserve">of </w:t>
      </w:r>
      <w:r w:rsidRPr="00EB7B80">
        <w:rPr>
          <w:rFonts w:ascii="Garamond" w:hAnsi="Garamond"/>
          <w:sz w:val="24"/>
          <w:szCs w:val="24"/>
        </w:rPr>
        <w:t>Yang &amp; Zhao</w:t>
      </w:r>
      <w:r w:rsidR="000C5D19">
        <w:rPr>
          <w:rFonts w:ascii="Garamond" w:hAnsi="Garamond"/>
          <w:sz w:val="24"/>
          <w:szCs w:val="24"/>
        </w:rPr>
        <w:t xml:space="preserve"> (</w:t>
      </w:r>
      <w:r w:rsidRPr="00EB7B80">
        <w:rPr>
          <w:rFonts w:ascii="Garamond" w:hAnsi="Garamond"/>
          <w:sz w:val="24"/>
          <w:szCs w:val="24"/>
        </w:rPr>
        <w:t>2020</w:t>
      </w:r>
      <w:r w:rsidR="000C5D19">
        <w:rPr>
          <w:rFonts w:ascii="Garamond" w:hAnsi="Garamond"/>
          <w:sz w:val="24"/>
          <w:szCs w:val="24"/>
        </w:rPr>
        <w:t xml:space="preserve">) </w:t>
      </w:r>
      <w:r w:rsidR="004B411F">
        <w:rPr>
          <w:rFonts w:ascii="Garamond" w:hAnsi="Garamond"/>
          <w:sz w:val="24"/>
          <w:szCs w:val="24"/>
        </w:rPr>
        <w:t xml:space="preserve">which enables us to identify </w:t>
      </w:r>
      <w:r w:rsidRPr="00EB7B80">
        <w:rPr>
          <w:rFonts w:ascii="Garamond" w:hAnsi="Garamond"/>
          <w:sz w:val="24"/>
          <w:szCs w:val="24"/>
        </w:rPr>
        <w:t xml:space="preserve">asymmetries in both the distribution of asset shocks </w:t>
      </w:r>
      <w:r w:rsidR="004B411F">
        <w:rPr>
          <w:rFonts w:ascii="Garamond" w:hAnsi="Garamond"/>
          <w:sz w:val="24"/>
          <w:szCs w:val="24"/>
        </w:rPr>
        <w:t>as well as its</w:t>
      </w:r>
      <w:r w:rsidRPr="00EB7B80">
        <w:rPr>
          <w:rFonts w:ascii="Garamond" w:hAnsi="Garamond"/>
          <w:sz w:val="24"/>
          <w:szCs w:val="24"/>
        </w:rPr>
        <w:t xml:space="preserve"> impact on asset mean reverting behavior in a simple, intuitive and yet effective way (Nikolaou</w:t>
      </w:r>
      <w:r w:rsidR="009C562D">
        <w:rPr>
          <w:rFonts w:ascii="Garamond" w:hAnsi="Garamond"/>
          <w:sz w:val="24"/>
          <w:szCs w:val="24"/>
        </w:rPr>
        <w:t>,</w:t>
      </w:r>
      <w:r w:rsidRPr="00EB7B80">
        <w:rPr>
          <w:rFonts w:ascii="Garamond" w:hAnsi="Garamond"/>
          <w:sz w:val="24"/>
          <w:szCs w:val="24"/>
        </w:rPr>
        <w:t xml:space="preserve"> 2008).</w:t>
      </w:r>
      <w:r w:rsidR="000C5D19">
        <w:rPr>
          <w:rFonts w:ascii="Garamond" w:hAnsi="Garamond"/>
          <w:sz w:val="24"/>
          <w:szCs w:val="24"/>
        </w:rPr>
        <w:t xml:space="preserve"> </w:t>
      </w:r>
    </w:p>
    <w:p w14:paraId="69617A68" w14:textId="3382A1B9" w:rsidR="00C70FD6" w:rsidRPr="0053561B" w:rsidRDefault="00C70FD6" w:rsidP="00072A47">
      <w:pPr>
        <w:pStyle w:val="NoSpacing"/>
        <w:spacing w:line="480" w:lineRule="auto"/>
        <w:ind w:firstLine="709"/>
        <w:jc w:val="both"/>
        <w:rPr>
          <w:rFonts w:ascii="Garamond" w:hAnsi="Garamond"/>
          <w:sz w:val="24"/>
          <w:szCs w:val="24"/>
          <w:lang w:val="en-GB"/>
        </w:rPr>
      </w:pPr>
      <w:r>
        <w:rPr>
          <w:rFonts w:ascii="Garamond" w:hAnsi="Garamond"/>
          <w:sz w:val="24"/>
          <w:szCs w:val="24"/>
        </w:rPr>
        <w:t xml:space="preserve">Our </w:t>
      </w:r>
      <w:r w:rsidR="00155B8B">
        <w:rPr>
          <w:rFonts w:ascii="Garamond" w:hAnsi="Garamond"/>
          <w:sz w:val="24"/>
          <w:szCs w:val="24"/>
        </w:rPr>
        <w:t xml:space="preserve">empirical </w:t>
      </w:r>
      <w:r>
        <w:rPr>
          <w:rFonts w:ascii="Garamond" w:hAnsi="Garamond"/>
          <w:sz w:val="24"/>
          <w:szCs w:val="24"/>
        </w:rPr>
        <w:t xml:space="preserve">results indicate </w:t>
      </w:r>
      <w:r w:rsidR="00072A47" w:rsidRPr="00072A47">
        <w:rPr>
          <w:rFonts w:ascii="Garamond" w:hAnsi="Garamond"/>
          <w:sz w:val="24"/>
          <w:szCs w:val="24"/>
        </w:rPr>
        <w:t>not constant unit root processes</w:t>
      </w:r>
      <w:r w:rsidR="00072A47">
        <w:rPr>
          <w:rFonts w:ascii="Garamond" w:hAnsi="Garamond"/>
          <w:sz w:val="24"/>
          <w:szCs w:val="24"/>
        </w:rPr>
        <w:t xml:space="preserve"> in the selected financial assets’ time series, implying</w:t>
      </w:r>
      <w:r w:rsidR="00072A47" w:rsidRPr="00072A47">
        <w:rPr>
          <w:rFonts w:ascii="Garamond" w:hAnsi="Garamond"/>
          <w:sz w:val="24"/>
          <w:szCs w:val="24"/>
        </w:rPr>
        <w:t xml:space="preserve"> </w:t>
      </w:r>
      <w:r w:rsidR="00072A47">
        <w:rPr>
          <w:rFonts w:ascii="Garamond" w:hAnsi="Garamond"/>
          <w:sz w:val="24"/>
          <w:szCs w:val="24"/>
        </w:rPr>
        <w:t xml:space="preserve">high </w:t>
      </w:r>
      <w:r>
        <w:rPr>
          <w:rFonts w:ascii="Garamond" w:hAnsi="Garamond"/>
          <w:sz w:val="24"/>
          <w:szCs w:val="24"/>
        </w:rPr>
        <w:t xml:space="preserve">heterogeneity in mean reversion not only across different asset groups, but also within each group. Overall, </w:t>
      </w:r>
      <w:r w:rsidRPr="006F5984">
        <w:rPr>
          <w:rFonts w:ascii="Garamond" w:hAnsi="Garamond"/>
          <w:sz w:val="24"/>
          <w:szCs w:val="24"/>
        </w:rPr>
        <w:t xml:space="preserve">equity markets tend to bounce back to long-run normal values even </w:t>
      </w:r>
      <w:r w:rsidR="00B92AA4">
        <w:rPr>
          <w:rFonts w:ascii="Garamond" w:hAnsi="Garamond"/>
          <w:sz w:val="24"/>
          <w:szCs w:val="24"/>
        </w:rPr>
        <w:t xml:space="preserve">at very high degrees of </w:t>
      </w:r>
      <w:proofErr w:type="gramStart"/>
      <w:r w:rsidR="00B92AA4">
        <w:rPr>
          <w:rFonts w:ascii="Garamond" w:hAnsi="Garamond"/>
          <w:sz w:val="24"/>
          <w:szCs w:val="24"/>
        </w:rPr>
        <w:t>shock..</w:t>
      </w:r>
      <w:proofErr w:type="gramEnd"/>
      <w:r w:rsidR="00B92AA4">
        <w:rPr>
          <w:rFonts w:ascii="Garamond" w:hAnsi="Garamond"/>
          <w:sz w:val="24"/>
          <w:szCs w:val="24"/>
        </w:rPr>
        <w:t xml:space="preserve"> </w:t>
      </w:r>
      <w:r>
        <w:rPr>
          <w:rFonts w:ascii="Garamond" w:hAnsi="Garamond"/>
          <w:sz w:val="24"/>
          <w:szCs w:val="24"/>
          <w:lang w:val="en-GB"/>
        </w:rPr>
        <w:t>Government</w:t>
      </w:r>
      <w:r w:rsidRPr="006F5984">
        <w:rPr>
          <w:rFonts w:ascii="Garamond" w:hAnsi="Garamond"/>
          <w:sz w:val="24"/>
          <w:szCs w:val="24"/>
          <w:lang w:val="en-GB"/>
        </w:rPr>
        <w:t xml:space="preserve"> bonds display high persistence.</w:t>
      </w:r>
      <w:r>
        <w:rPr>
          <w:rFonts w:ascii="Garamond" w:hAnsi="Garamond"/>
          <w:sz w:val="24"/>
          <w:szCs w:val="24"/>
          <w:lang w:val="en-GB"/>
        </w:rPr>
        <w:t xml:space="preserve"> Among all asset classes analysed, cryptocurrency demonstrate the worst ability</w:t>
      </w:r>
      <w:r w:rsidRPr="006F5984">
        <w:rPr>
          <w:rFonts w:ascii="Garamond" w:hAnsi="Garamond"/>
          <w:sz w:val="24"/>
          <w:szCs w:val="24"/>
          <w:lang w:val="en-GB"/>
        </w:rPr>
        <w:t xml:space="preserve"> to revert to normal values</w:t>
      </w:r>
      <w:r>
        <w:rPr>
          <w:rFonts w:ascii="Garamond" w:hAnsi="Garamond"/>
          <w:sz w:val="24"/>
          <w:szCs w:val="24"/>
          <w:lang w:val="en-GB"/>
        </w:rPr>
        <w:t>, especially</w:t>
      </w:r>
      <w:r w:rsidRPr="006F5984">
        <w:rPr>
          <w:rFonts w:ascii="Garamond" w:hAnsi="Garamond"/>
          <w:sz w:val="24"/>
          <w:szCs w:val="24"/>
          <w:lang w:val="en-GB"/>
        </w:rPr>
        <w:t xml:space="preserve"> at very high levels of shock</w:t>
      </w:r>
      <w:r>
        <w:rPr>
          <w:rFonts w:ascii="Garamond" w:hAnsi="Garamond"/>
          <w:sz w:val="24"/>
          <w:szCs w:val="24"/>
          <w:lang w:val="en-GB"/>
        </w:rPr>
        <w:t xml:space="preserve">. These results are particularly interesting </w:t>
      </w:r>
      <w:r w:rsidR="00B92AA4">
        <w:rPr>
          <w:rFonts w:ascii="Garamond" w:hAnsi="Garamond"/>
          <w:sz w:val="24"/>
          <w:szCs w:val="24"/>
          <w:lang w:val="en-GB"/>
        </w:rPr>
        <w:t xml:space="preserve">given the fact </w:t>
      </w:r>
      <w:r>
        <w:rPr>
          <w:rFonts w:ascii="Garamond" w:hAnsi="Garamond"/>
          <w:sz w:val="24"/>
          <w:szCs w:val="24"/>
          <w:lang w:val="en-GB"/>
        </w:rPr>
        <w:t xml:space="preserve">that </w:t>
      </w:r>
      <w:r w:rsidR="00B92AA4">
        <w:rPr>
          <w:rFonts w:ascii="Garamond" w:hAnsi="Garamond"/>
          <w:sz w:val="24"/>
          <w:szCs w:val="24"/>
          <w:lang w:val="en-GB"/>
        </w:rPr>
        <w:t xml:space="preserve">a mere quick look </w:t>
      </w:r>
      <w:r>
        <w:rPr>
          <w:rFonts w:ascii="Garamond" w:hAnsi="Garamond"/>
          <w:sz w:val="24"/>
          <w:szCs w:val="24"/>
          <w:lang w:val="en-GB"/>
        </w:rPr>
        <w:t>at cryptocurrencies prices</w:t>
      </w:r>
      <w:r w:rsidR="00B92AA4">
        <w:rPr>
          <w:rFonts w:ascii="Garamond" w:hAnsi="Garamond"/>
          <w:sz w:val="24"/>
          <w:szCs w:val="24"/>
          <w:lang w:val="en-GB"/>
        </w:rPr>
        <w:t xml:space="preserve"> suggest both the </w:t>
      </w:r>
      <w:r w:rsidRPr="0053561B">
        <w:rPr>
          <w:rFonts w:ascii="Garamond" w:hAnsi="Garamond"/>
          <w:sz w:val="24"/>
          <w:szCs w:val="24"/>
          <w:lang w:val="en-GB"/>
        </w:rPr>
        <w:t>highest reactivity and recovery rates among the financial assets studied</w:t>
      </w:r>
      <w:r w:rsidR="00B92AA4">
        <w:rPr>
          <w:rFonts w:ascii="Garamond" w:hAnsi="Garamond"/>
          <w:sz w:val="24"/>
          <w:szCs w:val="24"/>
          <w:lang w:val="en-GB"/>
        </w:rPr>
        <w:t xml:space="preserve"> that could be misleading</w:t>
      </w:r>
      <w:r w:rsidRPr="0053561B">
        <w:rPr>
          <w:rFonts w:ascii="Garamond" w:hAnsi="Garamond"/>
          <w:sz w:val="24"/>
          <w:szCs w:val="24"/>
          <w:lang w:val="en-GB"/>
        </w:rPr>
        <w:t>.</w:t>
      </w:r>
      <w:r>
        <w:rPr>
          <w:rFonts w:ascii="Garamond" w:hAnsi="Garamond"/>
          <w:sz w:val="24"/>
          <w:szCs w:val="24"/>
          <w:lang w:val="en-GB"/>
        </w:rPr>
        <w:t xml:space="preserve"> Therefore, our </w:t>
      </w:r>
      <w:r w:rsidR="00B92AA4">
        <w:rPr>
          <w:rFonts w:ascii="Garamond" w:hAnsi="Garamond"/>
          <w:sz w:val="24"/>
          <w:szCs w:val="24"/>
          <w:lang w:val="en-GB"/>
        </w:rPr>
        <w:t xml:space="preserve">test </w:t>
      </w:r>
      <w:r>
        <w:rPr>
          <w:rFonts w:ascii="Garamond" w:hAnsi="Garamond"/>
          <w:sz w:val="24"/>
          <w:szCs w:val="24"/>
          <w:lang w:val="en-GB"/>
        </w:rPr>
        <w:t xml:space="preserve">results offer </w:t>
      </w:r>
      <w:r w:rsidR="00B92AA4">
        <w:rPr>
          <w:rFonts w:ascii="Garamond" w:hAnsi="Garamond"/>
          <w:sz w:val="24"/>
          <w:szCs w:val="24"/>
          <w:lang w:val="en-GB"/>
        </w:rPr>
        <w:t xml:space="preserve">valuable </w:t>
      </w:r>
      <w:r>
        <w:rPr>
          <w:rFonts w:ascii="Garamond" w:hAnsi="Garamond"/>
          <w:sz w:val="24"/>
          <w:szCs w:val="24"/>
          <w:lang w:val="en-GB"/>
        </w:rPr>
        <w:t xml:space="preserve">insights </w:t>
      </w:r>
      <w:r w:rsidR="00B92AA4">
        <w:rPr>
          <w:rFonts w:ascii="Garamond" w:hAnsi="Garamond"/>
          <w:sz w:val="24"/>
          <w:szCs w:val="24"/>
          <w:lang w:val="en-GB"/>
        </w:rPr>
        <w:t xml:space="preserve">into mean reversion behaviour </w:t>
      </w:r>
      <w:r>
        <w:rPr>
          <w:rFonts w:ascii="Garamond" w:hAnsi="Garamond"/>
          <w:sz w:val="24"/>
          <w:szCs w:val="24"/>
          <w:lang w:val="en-GB"/>
        </w:rPr>
        <w:t xml:space="preserve">that </w:t>
      </w:r>
      <w:r w:rsidR="00B92AA4">
        <w:rPr>
          <w:rFonts w:ascii="Garamond" w:hAnsi="Garamond"/>
          <w:sz w:val="24"/>
          <w:szCs w:val="24"/>
          <w:lang w:val="en-GB"/>
        </w:rPr>
        <w:t>can</w:t>
      </w:r>
      <w:r>
        <w:rPr>
          <w:rFonts w:ascii="Garamond" w:hAnsi="Garamond"/>
          <w:sz w:val="24"/>
          <w:szCs w:val="24"/>
          <w:lang w:val="en-GB"/>
        </w:rPr>
        <w:t xml:space="preserve">not be extracted </w:t>
      </w:r>
      <w:r w:rsidR="00B92AA4">
        <w:rPr>
          <w:rFonts w:ascii="Garamond" w:hAnsi="Garamond"/>
          <w:sz w:val="24"/>
          <w:szCs w:val="24"/>
          <w:lang w:val="en-GB"/>
        </w:rPr>
        <w:t xml:space="preserve">merely </w:t>
      </w:r>
      <w:r>
        <w:rPr>
          <w:rFonts w:ascii="Garamond" w:hAnsi="Garamond"/>
          <w:sz w:val="24"/>
          <w:szCs w:val="24"/>
          <w:lang w:val="en-GB"/>
        </w:rPr>
        <w:t>by</w:t>
      </w:r>
      <w:r w:rsidR="00B92AA4">
        <w:rPr>
          <w:rFonts w:ascii="Garamond" w:hAnsi="Garamond"/>
          <w:sz w:val="24"/>
          <w:szCs w:val="24"/>
          <w:lang w:val="en-GB"/>
        </w:rPr>
        <w:t xml:space="preserve"> a</w:t>
      </w:r>
      <w:r>
        <w:rPr>
          <w:rFonts w:ascii="Garamond" w:hAnsi="Garamond"/>
          <w:sz w:val="24"/>
          <w:szCs w:val="24"/>
          <w:lang w:val="en-GB"/>
        </w:rPr>
        <w:t xml:space="preserve"> superficial monitoring of the price levels</w:t>
      </w:r>
      <w:r w:rsidR="00B92AA4">
        <w:rPr>
          <w:rFonts w:ascii="Garamond" w:hAnsi="Garamond"/>
          <w:sz w:val="24"/>
          <w:szCs w:val="24"/>
          <w:lang w:val="en-GB"/>
        </w:rPr>
        <w:t>, thereby</w:t>
      </w:r>
      <w:r>
        <w:rPr>
          <w:rFonts w:ascii="Garamond" w:hAnsi="Garamond"/>
          <w:sz w:val="24"/>
          <w:szCs w:val="24"/>
          <w:lang w:val="en-GB"/>
        </w:rPr>
        <w:t xml:space="preserve"> providing additional value to the broad range of practitioners, </w:t>
      </w:r>
      <w:proofErr w:type="gramStart"/>
      <w:r>
        <w:rPr>
          <w:rFonts w:ascii="Garamond" w:hAnsi="Garamond"/>
          <w:sz w:val="24"/>
          <w:szCs w:val="24"/>
          <w:lang w:val="en-GB"/>
        </w:rPr>
        <w:t>investors</w:t>
      </w:r>
      <w:proofErr w:type="gramEnd"/>
      <w:r>
        <w:rPr>
          <w:rFonts w:ascii="Garamond" w:hAnsi="Garamond"/>
          <w:sz w:val="24"/>
          <w:szCs w:val="24"/>
          <w:lang w:val="en-GB"/>
        </w:rPr>
        <w:t xml:space="preserve"> and financial regulators. </w:t>
      </w:r>
    </w:p>
    <w:p w14:paraId="5BA1E49C" w14:textId="4D64380F" w:rsidR="00C70FD6" w:rsidRPr="009E00D2" w:rsidRDefault="00C70FD6" w:rsidP="00C70FD6">
      <w:pPr>
        <w:pStyle w:val="NoSpacing"/>
        <w:spacing w:line="480" w:lineRule="auto"/>
        <w:ind w:firstLine="709"/>
        <w:jc w:val="both"/>
        <w:rPr>
          <w:rFonts w:ascii="Garamond" w:hAnsi="Garamond"/>
          <w:sz w:val="24"/>
          <w:szCs w:val="24"/>
        </w:rPr>
      </w:pPr>
      <w:r w:rsidRPr="009E00D2">
        <w:rPr>
          <w:rFonts w:ascii="Garamond" w:hAnsi="Garamond"/>
          <w:sz w:val="24"/>
          <w:szCs w:val="24"/>
        </w:rPr>
        <w:lastRenderedPageBreak/>
        <w:t xml:space="preserve">This paper contributes to the existing literature in two main ways. First, it highlights the </w:t>
      </w:r>
      <w:r w:rsidR="00B92AA4">
        <w:rPr>
          <w:rFonts w:ascii="Garamond" w:hAnsi="Garamond"/>
          <w:sz w:val="24"/>
          <w:szCs w:val="24"/>
        </w:rPr>
        <w:t xml:space="preserve">heterogeneity in reaction, </w:t>
      </w:r>
      <w:proofErr w:type="gramStart"/>
      <w:r w:rsidR="00B92AA4">
        <w:rPr>
          <w:rFonts w:ascii="Garamond" w:hAnsi="Garamond"/>
          <w:sz w:val="24"/>
          <w:szCs w:val="24"/>
        </w:rPr>
        <w:t>recovery</w:t>
      </w:r>
      <w:proofErr w:type="gramEnd"/>
      <w:r w:rsidR="00B92AA4">
        <w:rPr>
          <w:rFonts w:ascii="Garamond" w:hAnsi="Garamond"/>
          <w:sz w:val="24"/>
          <w:szCs w:val="24"/>
        </w:rPr>
        <w:t xml:space="preserve"> and mean reversion of four </w:t>
      </w:r>
      <w:r w:rsidRPr="009E00D2">
        <w:rPr>
          <w:rFonts w:ascii="Garamond" w:hAnsi="Garamond"/>
          <w:sz w:val="24"/>
          <w:szCs w:val="24"/>
        </w:rPr>
        <w:t>different asset classes</w:t>
      </w:r>
      <w:r w:rsidR="00B92AA4">
        <w:rPr>
          <w:rFonts w:ascii="Garamond" w:hAnsi="Garamond"/>
          <w:sz w:val="24"/>
          <w:szCs w:val="24"/>
        </w:rPr>
        <w:t xml:space="preserve"> to the COVID crisis</w:t>
      </w:r>
      <w:r>
        <w:rPr>
          <w:rFonts w:ascii="Garamond" w:hAnsi="Garamond"/>
          <w:sz w:val="24"/>
          <w:szCs w:val="24"/>
        </w:rPr>
        <w:t>, providing</w:t>
      </w:r>
      <w:r w:rsidRPr="009E00D2">
        <w:rPr>
          <w:rFonts w:ascii="Garamond" w:hAnsi="Garamond"/>
          <w:sz w:val="24"/>
          <w:szCs w:val="24"/>
        </w:rPr>
        <w:t xml:space="preserve"> novel empirical evidence on </w:t>
      </w:r>
      <w:r w:rsidR="00B92AA4">
        <w:rPr>
          <w:rFonts w:ascii="Garamond" w:hAnsi="Garamond"/>
          <w:sz w:val="24"/>
          <w:szCs w:val="24"/>
        </w:rPr>
        <w:t xml:space="preserve">the financial consequences </w:t>
      </w:r>
      <w:r w:rsidRPr="009E00D2">
        <w:rPr>
          <w:rFonts w:ascii="Garamond" w:hAnsi="Garamond"/>
          <w:sz w:val="24"/>
          <w:szCs w:val="24"/>
        </w:rPr>
        <w:t>of the pandemic</w:t>
      </w:r>
      <w:r>
        <w:rPr>
          <w:rFonts w:ascii="Garamond" w:hAnsi="Garamond"/>
          <w:sz w:val="24"/>
          <w:szCs w:val="24"/>
        </w:rPr>
        <w:t xml:space="preserve">. </w:t>
      </w:r>
      <w:r w:rsidRPr="009E00D2">
        <w:rPr>
          <w:rFonts w:ascii="Garamond" w:hAnsi="Garamond"/>
          <w:sz w:val="24"/>
          <w:szCs w:val="24"/>
        </w:rPr>
        <w:t xml:space="preserve">Second, </w:t>
      </w:r>
      <w:r w:rsidR="00B92AA4">
        <w:rPr>
          <w:rFonts w:ascii="Garamond" w:hAnsi="Garamond"/>
          <w:sz w:val="24"/>
          <w:szCs w:val="24"/>
        </w:rPr>
        <w:t xml:space="preserve">we provide novel evidence on the safe haven characteristics of popular assets such as gold and the Bitcoin by documenting their poor performance </w:t>
      </w:r>
      <w:r w:rsidR="00D75497">
        <w:rPr>
          <w:rFonts w:ascii="Garamond" w:hAnsi="Garamond"/>
          <w:sz w:val="24"/>
          <w:szCs w:val="24"/>
        </w:rPr>
        <w:t xml:space="preserve">in terms </w:t>
      </w:r>
      <w:proofErr w:type="gramStart"/>
      <w:r w:rsidR="00D75497">
        <w:rPr>
          <w:rFonts w:ascii="Garamond" w:hAnsi="Garamond"/>
          <w:sz w:val="24"/>
          <w:szCs w:val="24"/>
        </w:rPr>
        <w:t>of</w:t>
      </w:r>
      <w:r w:rsidR="00B92AA4">
        <w:rPr>
          <w:rFonts w:ascii="Garamond" w:hAnsi="Garamond"/>
          <w:sz w:val="24"/>
          <w:szCs w:val="24"/>
        </w:rPr>
        <w:t xml:space="preserve"> </w:t>
      </w:r>
      <w:r w:rsidR="00D75497">
        <w:rPr>
          <w:rFonts w:ascii="Garamond" w:hAnsi="Garamond"/>
          <w:sz w:val="24"/>
          <w:szCs w:val="24"/>
        </w:rPr>
        <w:t xml:space="preserve"> </w:t>
      </w:r>
      <w:r w:rsidR="00B92AA4">
        <w:rPr>
          <w:rFonts w:ascii="Garamond" w:hAnsi="Garamond"/>
          <w:sz w:val="24"/>
          <w:szCs w:val="24"/>
        </w:rPr>
        <w:t>response</w:t>
      </w:r>
      <w:proofErr w:type="gramEnd"/>
      <w:r w:rsidR="00B92AA4">
        <w:rPr>
          <w:rFonts w:ascii="Garamond" w:hAnsi="Garamond"/>
          <w:sz w:val="24"/>
          <w:szCs w:val="24"/>
        </w:rPr>
        <w:t xml:space="preserve"> to this pandemic. </w:t>
      </w:r>
      <w:r w:rsidR="009037E9">
        <w:rPr>
          <w:rFonts w:ascii="Garamond" w:hAnsi="Garamond"/>
          <w:sz w:val="24"/>
          <w:szCs w:val="24"/>
        </w:rPr>
        <w:t xml:space="preserve">We believe that our results will be of practical use to investors, practitioners and </w:t>
      </w:r>
      <w:proofErr w:type="gramStart"/>
      <w:r w:rsidR="009037E9">
        <w:rPr>
          <w:rFonts w:ascii="Garamond" w:hAnsi="Garamond"/>
          <w:sz w:val="24"/>
          <w:szCs w:val="24"/>
        </w:rPr>
        <w:t>policy-makers</w:t>
      </w:r>
      <w:proofErr w:type="gramEnd"/>
      <w:r w:rsidR="009037E9">
        <w:rPr>
          <w:rFonts w:ascii="Garamond" w:hAnsi="Garamond"/>
          <w:sz w:val="24"/>
          <w:szCs w:val="24"/>
        </w:rPr>
        <w:t xml:space="preserve"> alike in better understanding not only the economic consequences of COVID-19, but also make wiser portfolio decisions to minimize downside risk. </w:t>
      </w:r>
    </w:p>
    <w:p w14:paraId="6CCC2609" w14:textId="2880039A" w:rsidR="00C70FD6" w:rsidRPr="009E00D2" w:rsidRDefault="00C70FD6" w:rsidP="00C70FD6">
      <w:pPr>
        <w:pStyle w:val="NoSpacing"/>
        <w:spacing w:line="480" w:lineRule="auto"/>
        <w:ind w:firstLine="709"/>
        <w:jc w:val="both"/>
        <w:rPr>
          <w:rFonts w:ascii="Garamond" w:hAnsi="Garamond"/>
          <w:sz w:val="24"/>
          <w:szCs w:val="24"/>
        </w:rPr>
      </w:pPr>
      <w:r w:rsidRPr="009E00D2">
        <w:rPr>
          <w:rFonts w:ascii="Garamond" w:hAnsi="Garamond"/>
          <w:sz w:val="24"/>
          <w:szCs w:val="24"/>
        </w:rPr>
        <w:t>The remainder of this paper is organised as follows. Section 2</w:t>
      </w:r>
      <w:r>
        <w:rPr>
          <w:rFonts w:ascii="Garamond" w:hAnsi="Garamond"/>
          <w:sz w:val="24"/>
          <w:szCs w:val="24"/>
        </w:rPr>
        <w:t xml:space="preserve"> provides </w:t>
      </w:r>
      <w:r w:rsidR="009037E9">
        <w:rPr>
          <w:rFonts w:ascii="Garamond" w:hAnsi="Garamond"/>
          <w:sz w:val="24"/>
          <w:szCs w:val="24"/>
        </w:rPr>
        <w:t xml:space="preserve">a </w:t>
      </w:r>
      <w:r>
        <w:rPr>
          <w:rFonts w:ascii="Garamond" w:hAnsi="Garamond"/>
          <w:sz w:val="24"/>
          <w:szCs w:val="24"/>
        </w:rPr>
        <w:t>brief theoretical background</w:t>
      </w:r>
      <w:r w:rsidR="009037E9">
        <w:rPr>
          <w:rFonts w:ascii="Garamond" w:hAnsi="Garamond"/>
          <w:sz w:val="24"/>
          <w:szCs w:val="24"/>
        </w:rPr>
        <w:t xml:space="preserve"> of </w:t>
      </w:r>
      <w:r>
        <w:rPr>
          <w:rFonts w:ascii="Garamond" w:hAnsi="Garamond"/>
          <w:sz w:val="24"/>
          <w:szCs w:val="24"/>
        </w:rPr>
        <w:t xml:space="preserve">recent COVID-19 papers, and </w:t>
      </w:r>
      <w:r w:rsidR="009037E9">
        <w:rPr>
          <w:rFonts w:ascii="Garamond" w:hAnsi="Garamond"/>
          <w:sz w:val="24"/>
          <w:szCs w:val="24"/>
        </w:rPr>
        <w:t xml:space="preserve">relevant </w:t>
      </w:r>
      <w:r>
        <w:rPr>
          <w:rFonts w:ascii="Garamond" w:hAnsi="Garamond"/>
          <w:sz w:val="24"/>
          <w:szCs w:val="24"/>
        </w:rPr>
        <w:t xml:space="preserve">literature on </w:t>
      </w:r>
      <w:r w:rsidR="009037E9">
        <w:rPr>
          <w:rFonts w:ascii="Garamond" w:hAnsi="Garamond"/>
          <w:sz w:val="24"/>
          <w:szCs w:val="24"/>
        </w:rPr>
        <w:t>asset mean reversion.</w:t>
      </w:r>
      <w:r>
        <w:rPr>
          <w:rFonts w:ascii="Garamond" w:hAnsi="Garamond"/>
          <w:sz w:val="24"/>
          <w:szCs w:val="24"/>
        </w:rPr>
        <w:t xml:space="preserve"> Section 3</w:t>
      </w:r>
      <w:r w:rsidRPr="009E00D2">
        <w:rPr>
          <w:rFonts w:ascii="Garamond" w:hAnsi="Garamond"/>
          <w:sz w:val="24"/>
          <w:szCs w:val="24"/>
        </w:rPr>
        <w:t xml:space="preserve"> explains </w:t>
      </w:r>
      <w:r w:rsidR="009037E9">
        <w:rPr>
          <w:rFonts w:ascii="Garamond" w:hAnsi="Garamond"/>
          <w:sz w:val="24"/>
          <w:szCs w:val="24"/>
        </w:rPr>
        <w:t xml:space="preserve">the </w:t>
      </w:r>
      <w:r w:rsidRPr="009E00D2">
        <w:rPr>
          <w:rFonts w:ascii="Garamond" w:hAnsi="Garamond"/>
          <w:sz w:val="24"/>
          <w:szCs w:val="24"/>
        </w:rPr>
        <w:t xml:space="preserve">dataset used in this analysis and </w:t>
      </w:r>
      <w:r w:rsidR="009037E9">
        <w:rPr>
          <w:rFonts w:ascii="Garamond" w:hAnsi="Garamond"/>
          <w:sz w:val="24"/>
          <w:szCs w:val="24"/>
        </w:rPr>
        <w:t>discusses</w:t>
      </w:r>
      <w:r w:rsidRPr="009E00D2">
        <w:rPr>
          <w:rFonts w:ascii="Garamond" w:hAnsi="Garamond"/>
          <w:sz w:val="24"/>
          <w:szCs w:val="24"/>
        </w:rPr>
        <w:t xml:space="preserve"> price dynamics in the </w:t>
      </w:r>
      <w:r w:rsidR="009037E9">
        <w:rPr>
          <w:rFonts w:ascii="Garamond" w:hAnsi="Garamond"/>
          <w:sz w:val="24"/>
          <w:szCs w:val="24"/>
        </w:rPr>
        <w:t xml:space="preserve">four asset classes </w:t>
      </w:r>
      <w:r w:rsidRPr="009E00D2">
        <w:rPr>
          <w:rFonts w:ascii="Garamond" w:hAnsi="Garamond"/>
          <w:sz w:val="24"/>
          <w:szCs w:val="24"/>
        </w:rPr>
        <w:t xml:space="preserve">before and during the pandemic. Section </w:t>
      </w:r>
      <w:r>
        <w:rPr>
          <w:rFonts w:ascii="Garamond" w:hAnsi="Garamond"/>
          <w:sz w:val="24"/>
          <w:szCs w:val="24"/>
        </w:rPr>
        <w:t>4</w:t>
      </w:r>
      <w:r w:rsidRPr="009E00D2">
        <w:rPr>
          <w:rFonts w:ascii="Garamond" w:hAnsi="Garamond"/>
          <w:sz w:val="24"/>
          <w:szCs w:val="24"/>
        </w:rPr>
        <w:t xml:space="preserve"> explains </w:t>
      </w:r>
      <w:r w:rsidR="009037E9">
        <w:rPr>
          <w:rFonts w:ascii="Garamond" w:hAnsi="Garamond"/>
          <w:sz w:val="24"/>
          <w:szCs w:val="24"/>
        </w:rPr>
        <w:t xml:space="preserve">the </w:t>
      </w:r>
      <w:r w:rsidRPr="009E00D2">
        <w:rPr>
          <w:rFonts w:ascii="Garamond" w:hAnsi="Garamond"/>
          <w:sz w:val="24"/>
          <w:szCs w:val="24"/>
        </w:rPr>
        <w:t>methodology employed</w:t>
      </w:r>
      <w:r w:rsidR="009037E9">
        <w:rPr>
          <w:rFonts w:ascii="Garamond" w:hAnsi="Garamond"/>
          <w:sz w:val="24"/>
          <w:szCs w:val="24"/>
        </w:rPr>
        <w:t>.</w:t>
      </w:r>
      <w:r w:rsidRPr="009E00D2">
        <w:rPr>
          <w:rFonts w:ascii="Garamond" w:hAnsi="Garamond"/>
          <w:sz w:val="24"/>
          <w:szCs w:val="24"/>
        </w:rPr>
        <w:t xml:space="preserve"> Section </w:t>
      </w:r>
      <w:r>
        <w:rPr>
          <w:rFonts w:ascii="Garamond" w:hAnsi="Garamond"/>
          <w:sz w:val="24"/>
          <w:szCs w:val="24"/>
        </w:rPr>
        <w:t>5</w:t>
      </w:r>
      <w:r w:rsidRPr="009E00D2">
        <w:rPr>
          <w:rFonts w:ascii="Garamond" w:hAnsi="Garamond"/>
          <w:sz w:val="24"/>
          <w:szCs w:val="24"/>
        </w:rPr>
        <w:t xml:space="preserve"> discusses empirical results, while Section </w:t>
      </w:r>
      <w:r>
        <w:rPr>
          <w:rFonts w:ascii="Garamond" w:hAnsi="Garamond"/>
          <w:sz w:val="24"/>
          <w:szCs w:val="24"/>
        </w:rPr>
        <w:t>6</w:t>
      </w:r>
      <w:r w:rsidRPr="009E00D2">
        <w:rPr>
          <w:rFonts w:ascii="Garamond" w:hAnsi="Garamond"/>
          <w:sz w:val="24"/>
          <w:szCs w:val="24"/>
        </w:rPr>
        <w:t xml:space="preserve"> concludes </w:t>
      </w:r>
      <w:r w:rsidR="009037E9">
        <w:rPr>
          <w:rFonts w:ascii="Garamond" w:hAnsi="Garamond"/>
          <w:sz w:val="24"/>
          <w:szCs w:val="24"/>
        </w:rPr>
        <w:t xml:space="preserve">with </w:t>
      </w:r>
      <w:r w:rsidRPr="009E00D2">
        <w:rPr>
          <w:rFonts w:ascii="Garamond" w:hAnsi="Garamond"/>
          <w:sz w:val="24"/>
          <w:szCs w:val="24"/>
        </w:rPr>
        <w:t xml:space="preserve">some policy and practical implications. </w:t>
      </w:r>
    </w:p>
    <w:p w14:paraId="57302787" w14:textId="77777777" w:rsidR="0053561B" w:rsidRPr="00EB7B80" w:rsidRDefault="0053561B" w:rsidP="00EB7B80">
      <w:pPr>
        <w:pStyle w:val="NoSpacing"/>
        <w:spacing w:line="480" w:lineRule="auto"/>
        <w:jc w:val="both"/>
        <w:rPr>
          <w:rFonts w:ascii="Garamond" w:hAnsi="Garamond"/>
          <w:b/>
          <w:bCs/>
          <w:sz w:val="24"/>
          <w:szCs w:val="24"/>
        </w:rPr>
      </w:pPr>
    </w:p>
    <w:p w14:paraId="75EE6D68" w14:textId="19E9F71B" w:rsidR="00053F8F" w:rsidRDefault="00EB7B80" w:rsidP="00EB7B80">
      <w:pPr>
        <w:pStyle w:val="NoSpacing"/>
        <w:spacing w:line="480" w:lineRule="auto"/>
        <w:jc w:val="both"/>
        <w:rPr>
          <w:rFonts w:ascii="Garamond" w:hAnsi="Garamond"/>
          <w:b/>
          <w:bCs/>
          <w:sz w:val="24"/>
          <w:szCs w:val="24"/>
        </w:rPr>
      </w:pPr>
      <w:r w:rsidRPr="00EB7B80">
        <w:rPr>
          <w:rFonts w:ascii="Garamond" w:hAnsi="Garamond"/>
          <w:b/>
          <w:bCs/>
          <w:sz w:val="24"/>
          <w:szCs w:val="24"/>
        </w:rPr>
        <w:t>2. Background Literature</w:t>
      </w:r>
    </w:p>
    <w:p w14:paraId="3C3B3987" w14:textId="251CD11D" w:rsidR="009037E9" w:rsidRPr="002E3A18" w:rsidRDefault="009037E9" w:rsidP="007667B2">
      <w:pPr>
        <w:pStyle w:val="NoSpacing"/>
        <w:spacing w:line="480" w:lineRule="auto"/>
        <w:jc w:val="both"/>
        <w:rPr>
          <w:rFonts w:ascii="Garamond" w:hAnsi="Garamond"/>
          <w:i/>
          <w:sz w:val="24"/>
          <w:szCs w:val="24"/>
        </w:rPr>
      </w:pPr>
      <w:r w:rsidRPr="002E3A18">
        <w:rPr>
          <w:rFonts w:ascii="Garamond" w:hAnsi="Garamond"/>
          <w:i/>
          <w:sz w:val="24"/>
          <w:szCs w:val="24"/>
        </w:rPr>
        <w:t xml:space="preserve">2.1 Black swans and </w:t>
      </w:r>
      <w:r w:rsidR="004E1092">
        <w:rPr>
          <w:rFonts w:ascii="Garamond" w:hAnsi="Garamond"/>
          <w:i/>
          <w:sz w:val="24"/>
          <w:szCs w:val="24"/>
        </w:rPr>
        <w:t>financial markets</w:t>
      </w:r>
    </w:p>
    <w:p w14:paraId="3C40EAA5" w14:textId="6B0AD713" w:rsidR="007667B2" w:rsidRDefault="006B7FED" w:rsidP="004E1D6B">
      <w:pPr>
        <w:pStyle w:val="NoSpacing"/>
        <w:spacing w:line="480" w:lineRule="auto"/>
        <w:jc w:val="both"/>
        <w:rPr>
          <w:rFonts w:ascii="Garamond" w:hAnsi="Garamond"/>
          <w:sz w:val="24"/>
          <w:szCs w:val="24"/>
        </w:rPr>
      </w:pPr>
      <w:r w:rsidRPr="006B7FED">
        <w:rPr>
          <w:rFonts w:ascii="Garamond" w:hAnsi="Garamond"/>
          <w:sz w:val="24"/>
          <w:szCs w:val="24"/>
        </w:rPr>
        <w:t xml:space="preserve">The term “Black swan” first introduced by </w:t>
      </w:r>
      <w:proofErr w:type="spellStart"/>
      <w:r w:rsidRPr="006B7FED">
        <w:rPr>
          <w:rFonts w:ascii="Garamond" w:hAnsi="Garamond"/>
          <w:sz w:val="24"/>
          <w:szCs w:val="24"/>
        </w:rPr>
        <w:t>Taleb</w:t>
      </w:r>
      <w:proofErr w:type="spellEnd"/>
      <w:r w:rsidRPr="006B7FED">
        <w:rPr>
          <w:rFonts w:ascii="Garamond" w:hAnsi="Garamond"/>
          <w:sz w:val="24"/>
          <w:szCs w:val="24"/>
        </w:rPr>
        <w:t xml:space="preserve"> (2007) rapidly become popular metaphor for unexpected and unprecedented events affecting stock market</w:t>
      </w:r>
      <w:r w:rsidR="000A23A1">
        <w:rPr>
          <w:rFonts w:ascii="Garamond" w:hAnsi="Garamond"/>
          <w:sz w:val="24"/>
          <w:szCs w:val="24"/>
        </w:rPr>
        <w:t>s</w:t>
      </w:r>
      <w:r w:rsidRPr="006B7FED">
        <w:rPr>
          <w:rFonts w:ascii="Garamond" w:hAnsi="Garamond"/>
          <w:sz w:val="24"/>
          <w:szCs w:val="24"/>
        </w:rPr>
        <w:t xml:space="preserve">. </w:t>
      </w:r>
      <w:proofErr w:type="spellStart"/>
      <w:r w:rsidRPr="006B7FED">
        <w:rPr>
          <w:rFonts w:ascii="Garamond" w:hAnsi="Garamond"/>
          <w:sz w:val="24"/>
          <w:szCs w:val="24"/>
        </w:rPr>
        <w:t>Taleb</w:t>
      </w:r>
      <w:proofErr w:type="spellEnd"/>
      <w:r w:rsidRPr="006B7FED">
        <w:rPr>
          <w:rFonts w:ascii="Garamond" w:hAnsi="Garamond"/>
          <w:sz w:val="24"/>
          <w:szCs w:val="24"/>
        </w:rPr>
        <w:t xml:space="preserve"> defines black swan as event that simultaneously has three following attributes: (</w:t>
      </w:r>
      <w:proofErr w:type="spellStart"/>
      <w:r w:rsidRPr="006B7FED">
        <w:rPr>
          <w:rFonts w:ascii="Garamond" w:hAnsi="Garamond"/>
          <w:sz w:val="24"/>
          <w:szCs w:val="24"/>
        </w:rPr>
        <w:t>i</w:t>
      </w:r>
      <w:proofErr w:type="spellEnd"/>
      <w:r w:rsidRPr="006B7FED">
        <w:rPr>
          <w:rFonts w:ascii="Garamond" w:hAnsi="Garamond"/>
          <w:sz w:val="24"/>
          <w:szCs w:val="24"/>
        </w:rPr>
        <w:t xml:space="preserve">) it is an outlier, as it lies outside the realm of regular expectations, because nothing in the past can convincingly point to its possibility; (ii) it carries an extreme impact; (iii) in spite of its outlier status, human nature makes us concoct explanations for its occurrence after the fact, making it explainable and predictable. </w:t>
      </w:r>
      <w:r w:rsidR="009037E9">
        <w:rPr>
          <w:rFonts w:ascii="Garamond" w:hAnsi="Garamond"/>
          <w:sz w:val="24"/>
          <w:szCs w:val="24"/>
        </w:rPr>
        <w:t xml:space="preserve">The </w:t>
      </w:r>
      <w:r w:rsidR="00BC388E">
        <w:rPr>
          <w:rFonts w:ascii="Garamond" w:hAnsi="Garamond"/>
          <w:sz w:val="24"/>
          <w:szCs w:val="24"/>
        </w:rPr>
        <w:t xml:space="preserve">hedging and </w:t>
      </w:r>
      <w:proofErr w:type="gramStart"/>
      <w:r w:rsidR="00BC388E">
        <w:rPr>
          <w:rFonts w:ascii="Garamond" w:hAnsi="Garamond"/>
          <w:sz w:val="24"/>
          <w:szCs w:val="24"/>
        </w:rPr>
        <w:t>safe haven</w:t>
      </w:r>
      <w:proofErr w:type="gramEnd"/>
      <w:r w:rsidR="00BC388E">
        <w:rPr>
          <w:rFonts w:ascii="Garamond" w:hAnsi="Garamond"/>
          <w:sz w:val="24"/>
          <w:szCs w:val="24"/>
        </w:rPr>
        <w:t xml:space="preserve"> properties of various financial assets in the wake of several </w:t>
      </w:r>
      <w:r w:rsidR="009037E9">
        <w:rPr>
          <w:rFonts w:ascii="Garamond" w:hAnsi="Garamond"/>
          <w:sz w:val="24"/>
          <w:szCs w:val="24"/>
        </w:rPr>
        <w:t>black swan events has been the subject of much research.</w:t>
      </w:r>
    </w:p>
    <w:p w14:paraId="4F12EDBD" w14:textId="13EC37D9" w:rsidR="006B7FED" w:rsidRDefault="007667B2" w:rsidP="002E3A18">
      <w:pPr>
        <w:pStyle w:val="NoSpacing"/>
        <w:spacing w:line="480" w:lineRule="auto"/>
        <w:ind w:firstLine="708"/>
        <w:jc w:val="both"/>
        <w:rPr>
          <w:rFonts w:ascii="Garamond" w:hAnsi="Garamond"/>
          <w:sz w:val="24"/>
          <w:szCs w:val="24"/>
        </w:rPr>
      </w:pPr>
      <w:r>
        <w:rPr>
          <w:rFonts w:ascii="Garamond" w:hAnsi="Garamond"/>
          <w:sz w:val="24"/>
          <w:szCs w:val="24"/>
        </w:rPr>
        <w:t>Considering t</w:t>
      </w:r>
      <w:r w:rsidR="006B7FED" w:rsidRPr="006B7FED">
        <w:rPr>
          <w:rFonts w:ascii="Garamond" w:hAnsi="Garamond"/>
          <w:sz w:val="24"/>
          <w:szCs w:val="24"/>
        </w:rPr>
        <w:t>he global financial crisis</w:t>
      </w:r>
      <w:r>
        <w:rPr>
          <w:rFonts w:ascii="Garamond" w:hAnsi="Garamond"/>
          <w:sz w:val="24"/>
          <w:szCs w:val="24"/>
        </w:rPr>
        <w:t xml:space="preserve"> (hereafter, GFC) of 2008 </w:t>
      </w:r>
      <w:r w:rsidR="006B7FED" w:rsidRPr="006B7FED">
        <w:rPr>
          <w:rFonts w:ascii="Garamond" w:hAnsi="Garamond"/>
          <w:sz w:val="24"/>
          <w:szCs w:val="24"/>
        </w:rPr>
        <w:t>as a black swan event</w:t>
      </w:r>
      <w:r>
        <w:rPr>
          <w:rFonts w:ascii="Garamond" w:hAnsi="Garamond"/>
          <w:sz w:val="24"/>
          <w:szCs w:val="24"/>
        </w:rPr>
        <w:t xml:space="preserve">, </w:t>
      </w:r>
      <w:proofErr w:type="spellStart"/>
      <w:r w:rsidR="006B7FED" w:rsidRPr="006B7FED">
        <w:rPr>
          <w:rFonts w:ascii="Garamond" w:hAnsi="Garamond"/>
          <w:sz w:val="24"/>
          <w:szCs w:val="24"/>
        </w:rPr>
        <w:t>Hilal</w:t>
      </w:r>
      <w:proofErr w:type="spellEnd"/>
      <w:r w:rsidR="006B7FED" w:rsidRPr="006B7FED">
        <w:rPr>
          <w:rFonts w:ascii="Garamond" w:hAnsi="Garamond"/>
          <w:sz w:val="24"/>
          <w:szCs w:val="24"/>
        </w:rPr>
        <w:t xml:space="preserve"> et al (2011)</w:t>
      </w:r>
      <w:r>
        <w:rPr>
          <w:rFonts w:ascii="Garamond" w:hAnsi="Garamond"/>
          <w:sz w:val="24"/>
          <w:szCs w:val="24"/>
        </w:rPr>
        <w:t xml:space="preserve"> investigate the</w:t>
      </w:r>
      <w:r w:rsidR="006B7FED" w:rsidRPr="006B7FED">
        <w:rPr>
          <w:rFonts w:ascii="Garamond" w:hAnsi="Garamond"/>
          <w:sz w:val="24"/>
          <w:szCs w:val="24"/>
        </w:rPr>
        <w:t xml:space="preserve"> hedging </w:t>
      </w:r>
      <w:r>
        <w:rPr>
          <w:rFonts w:ascii="Garamond" w:hAnsi="Garamond"/>
          <w:sz w:val="24"/>
          <w:szCs w:val="24"/>
        </w:rPr>
        <w:t xml:space="preserve">properties of </w:t>
      </w:r>
      <w:r w:rsidRPr="006B7FED">
        <w:rPr>
          <w:rFonts w:ascii="Garamond" w:hAnsi="Garamond"/>
          <w:sz w:val="24"/>
          <w:szCs w:val="24"/>
        </w:rPr>
        <w:t>VIX futures</w:t>
      </w:r>
      <w:r>
        <w:rPr>
          <w:rFonts w:ascii="Garamond" w:hAnsi="Garamond"/>
          <w:sz w:val="24"/>
          <w:szCs w:val="24"/>
        </w:rPr>
        <w:t xml:space="preserve"> </w:t>
      </w:r>
      <w:r w:rsidR="006B7FED" w:rsidRPr="006B7FED">
        <w:rPr>
          <w:rFonts w:ascii="Garamond" w:hAnsi="Garamond"/>
          <w:sz w:val="24"/>
          <w:szCs w:val="24"/>
        </w:rPr>
        <w:t xml:space="preserve">against </w:t>
      </w:r>
      <w:r>
        <w:rPr>
          <w:rFonts w:ascii="Garamond" w:hAnsi="Garamond"/>
          <w:sz w:val="24"/>
          <w:szCs w:val="24"/>
        </w:rPr>
        <w:t xml:space="preserve">the </w:t>
      </w:r>
      <w:r w:rsidR="006B7FED" w:rsidRPr="006B7FED">
        <w:rPr>
          <w:rFonts w:ascii="Garamond" w:hAnsi="Garamond"/>
          <w:sz w:val="24"/>
          <w:szCs w:val="24"/>
        </w:rPr>
        <w:t>S</w:t>
      </w:r>
      <w:r>
        <w:rPr>
          <w:rFonts w:ascii="Garamond" w:hAnsi="Garamond"/>
          <w:sz w:val="24"/>
          <w:szCs w:val="24"/>
        </w:rPr>
        <w:t>&amp;</w:t>
      </w:r>
      <w:r w:rsidR="006B7FED" w:rsidRPr="006B7FED">
        <w:rPr>
          <w:rFonts w:ascii="Garamond" w:hAnsi="Garamond"/>
          <w:sz w:val="24"/>
          <w:szCs w:val="24"/>
        </w:rPr>
        <w:t>P500</w:t>
      </w:r>
      <w:r>
        <w:rPr>
          <w:rFonts w:ascii="Garamond" w:hAnsi="Garamond"/>
          <w:sz w:val="24"/>
          <w:szCs w:val="24"/>
        </w:rPr>
        <w:t xml:space="preserve">. </w:t>
      </w:r>
      <w:r w:rsidR="006B7FED" w:rsidRPr="006B7FED">
        <w:rPr>
          <w:rFonts w:ascii="Garamond" w:hAnsi="Garamond"/>
          <w:sz w:val="24"/>
          <w:szCs w:val="24"/>
        </w:rPr>
        <w:t xml:space="preserve"> </w:t>
      </w:r>
      <w:proofErr w:type="spellStart"/>
      <w:r w:rsidR="006B7FED" w:rsidRPr="006B7FED">
        <w:rPr>
          <w:rFonts w:ascii="Garamond" w:hAnsi="Garamond"/>
          <w:sz w:val="24"/>
          <w:szCs w:val="24"/>
        </w:rPr>
        <w:t>Bekiros</w:t>
      </w:r>
      <w:proofErr w:type="spellEnd"/>
      <w:r w:rsidR="006B7FED" w:rsidRPr="006B7FED">
        <w:rPr>
          <w:rFonts w:ascii="Garamond" w:hAnsi="Garamond"/>
          <w:sz w:val="24"/>
          <w:szCs w:val="24"/>
        </w:rPr>
        <w:t xml:space="preserve"> et al. </w:t>
      </w:r>
      <w:r w:rsidR="006B7FED" w:rsidRPr="006B7FED">
        <w:rPr>
          <w:rFonts w:ascii="Garamond" w:hAnsi="Garamond"/>
          <w:sz w:val="24"/>
          <w:szCs w:val="24"/>
        </w:rPr>
        <w:lastRenderedPageBreak/>
        <w:t xml:space="preserve">(2017) </w:t>
      </w:r>
      <w:proofErr w:type="spellStart"/>
      <w:r w:rsidR="006B7FED" w:rsidRPr="006B7FED">
        <w:rPr>
          <w:rFonts w:ascii="Garamond" w:hAnsi="Garamond"/>
          <w:sz w:val="24"/>
          <w:szCs w:val="24"/>
        </w:rPr>
        <w:t>analyse</w:t>
      </w:r>
      <w:proofErr w:type="spellEnd"/>
      <w:r w:rsidR="006B7FED" w:rsidRPr="006B7FED">
        <w:rPr>
          <w:rFonts w:ascii="Garamond" w:hAnsi="Garamond"/>
          <w:sz w:val="24"/>
          <w:szCs w:val="24"/>
        </w:rPr>
        <w:t xml:space="preserve"> the impact of black swan events on hedging and diversification properties of gold, exploring the dynamic linkages between gold and BRIC stock market during the GFC. Krupa and Jones (2013) discuss several historical disruptions and technological innovation in energy markets using black swan theory. Taylor and Williams (2009) and Olson et al. (2012) considered the increase in the US-LIBOR spread in August 7, 2007 as a black swan event in money market, while Lin and Tsai (2019) analy</w:t>
      </w:r>
      <w:r w:rsidR="00C84A71">
        <w:rPr>
          <w:rFonts w:ascii="Garamond" w:hAnsi="Garamond"/>
          <w:sz w:val="24"/>
          <w:szCs w:val="24"/>
        </w:rPr>
        <w:t>z</w:t>
      </w:r>
      <w:r w:rsidR="006B7FED" w:rsidRPr="006B7FED">
        <w:rPr>
          <w:rFonts w:ascii="Garamond" w:hAnsi="Garamond"/>
          <w:sz w:val="24"/>
          <w:szCs w:val="24"/>
        </w:rPr>
        <w:t>e Chin</w:t>
      </w:r>
      <w:r w:rsidR="000A23A1">
        <w:rPr>
          <w:rFonts w:ascii="Garamond" w:hAnsi="Garamond"/>
          <w:sz w:val="24"/>
          <w:szCs w:val="24"/>
        </w:rPr>
        <w:t>a’s</w:t>
      </w:r>
      <w:r w:rsidR="006B7FED" w:rsidRPr="006B7FED">
        <w:rPr>
          <w:rFonts w:ascii="Garamond" w:hAnsi="Garamond"/>
          <w:sz w:val="24"/>
          <w:szCs w:val="24"/>
        </w:rPr>
        <w:t xml:space="preserve"> stock market crash on 24th August 2015 </w:t>
      </w:r>
      <w:r w:rsidR="00AF25E2">
        <w:rPr>
          <w:rFonts w:ascii="Garamond" w:hAnsi="Garamond"/>
          <w:sz w:val="24"/>
          <w:szCs w:val="24"/>
        </w:rPr>
        <w:t>us</w:t>
      </w:r>
      <w:r w:rsidR="006B7FED" w:rsidRPr="006B7FED">
        <w:rPr>
          <w:rFonts w:ascii="Garamond" w:hAnsi="Garamond"/>
          <w:sz w:val="24"/>
          <w:szCs w:val="24"/>
        </w:rPr>
        <w:t xml:space="preserve">ing same metaphor. Wang et al. (2019) investigate the effect of </w:t>
      </w:r>
      <w:r>
        <w:rPr>
          <w:rFonts w:ascii="Garamond" w:hAnsi="Garamond"/>
          <w:sz w:val="24"/>
          <w:szCs w:val="24"/>
        </w:rPr>
        <w:t xml:space="preserve">a </w:t>
      </w:r>
      <w:r w:rsidR="006B7FED" w:rsidRPr="006B7FED">
        <w:rPr>
          <w:rFonts w:ascii="Garamond" w:hAnsi="Garamond"/>
          <w:sz w:val="24"/>
          <w:szCs w:val="24"/>
        </w:rPr>
        <w:t xml:space="preserve">Federal policy change on Japanese gold future prices </w:t>
      </w:r>
      <w:r>
        <w:rPr>
          <w:rFonts w:ascii="Garamond" w:hAnsi="Garamond"/>
          <w:sz w:val="24"/>
          <w:szCs w:val="24"/>
        </w:rPr>
        <w:t xml:space="preserve">and find that a negative </w:t>
      </w:r>
      <w:r w:rsidR="006B7FED" w:rsidRPr="006B7FED">
        <w:rPr>
          <w:rFonts w:ascii="Garamond" w:hAnsi="Garamond"/>
          <w:sz w:val="24"/>
          <w:szCs w:val="24"/>
        </w:rPr>
        <w:t xml:space="preserve">black swan event </w:t>
      </w:r>
      <w:r>
        <w:rPr>
          <w:rFonts w:ascii="Garamond" w:hAnsi="Garamond"/>
          <w:sz w:val="24"/>
          <w:szCs w:val="24"/>
        </w:rPr>
        <w:t>causes a</w:t>
      </w:r>
      <w:r w:rsidR="006B7FED" w:rsidRPr="006B7FED">
        <w:rPr>
          <w:rFonts w:ascii="Garamond" w:hAnsi="Garamond"/>
          <w:sz w:val="24"/>
          <w:szCs w:val="24"/>
        </w:rPr>
        <w:t xml:space="preserve"> short-term decline in gold future prices. </w:t>
      </w:r>
    </w:p>
    <w:p w14:paraId="68273E65" w14:textId="77777777" w:rsidR="002E3A18" w:rsidRDefault="002E3A18" w:rsidP="002E3A18">
      <w:pPr>
        <w:pStyle w:val="NoSpacing"/>
        <w:spacing w:line="480" w:lineRule="auto"/>
        <w:ind w:firstLine="708"/>
        <w:jc w:val="both"/>
        <w:rPr>
          <w:rFonts w:ascii="Garamond" w:hAnsi="Garamond"/>
          <w:sz w:val="24"/>
          <w:szCs w:val="24"/>
        </w:rPr>
      </w:pPr>
    </w:p>
    <w:p w14:paraId="35E1CA6B" w14:textId="18C77E7A" w:rsidR="009151F6" w:rsidRPr="002E3A18" w:rsidRDefault="009151F6" w:rsidP="004E1D6B">
      <w:pPr>
        <w:pStyle w:val="NoSpacing"/>
        <w:spacing w:line="480" w:lineRule="auto"/>
        <w:jc w:val="both"/>
        <w:rPr>
          <w:rFonts w:ascii="Garamond" w:hAnsi="Garamond"/>
          <w:i/>
          <w:sz w:val="24"/>
          <w:szCs w:val="24"/>
        </w:rPr>
      </w:pPr>
      <w:r>
        <w:rPr>
          <w:rFonts w:ascii="Garamond" w:hAnsi="Garamond"/>
          <w:i/>
          <w:sz w:val="24"/>
          <w:szCs w:val="24"/>
        </w:rPr>
        <w:t>2.</w:t>
      </w:r>
      <w:r w:rsidR="00D75497" w:rsidDel="00D75497">
        <w:rPr>
          <w:rFonts w:ascii="Garamond" w:hAnsi="Garamond"/>
          <w:i/>
          <w:sz w:val="24"/>
          <w:szCs w:val="24"/>
        </w:rPr>
        <w:t xml:space="preserve"> </w:t>
      </w:r>
      <w:r>
        <w:rPr>
          <w:rFonts w:ascii="Garamond" w:hAnsi="Garamond"/>
          <w:i/>
          <w:sz w:val="24"/>
          <w:szCs w:val="24"/>
        </w:rPr>
        <w:t>2. COVID-19 and financial markets</w:t>
      </w:r>
    </w:p>
    <w:p w14:paraId="16835814" w14:textId="5C047623" w:rsidR="006B7FED" w:rsidRPr="002C5946" w:rsidRDefault="000A23A1" w:rsidP="00F4118B">
      <w:pPr>
        <w:pStyle w:val="NoSpacing"/>
        <w:spacing w:line="480" w:lineRule="auto"/>
        <w:jc w:val="both"/>
        <w:rPr>
          <w:rFonts w:ascii="Garamond" w:hAnsi="Garamond"/>
          <w:color w:val="FF0000"/>
          <w:sz w:val="24"/>
          <w:szCs w:val="24"/>
        </w:rPr>
      </w:pPr>
      <w:r>
        <w:rPr>
          <w:rFonts w:ascii="Garamond" w:hAnsi="Garamond"/>
          <w:sz w:val="24"/>
          <w:szCs w:val="24"/>
        </w:rPr>
        <w:t>Yarovaya et al. (2020b) employ</w:t>
      </w:r>
      <w:r w:rsidR="00343373">
        <w:rPr>
          <w:rFonts w:ascii="Garamond" w:hAnsi="Garamond"/>
          <w:sz w:val="24"/>
          <w:szCs w:val="24"/>
        </w:rPr>
        <w:t xml:space="preserve"> the</w:t>
      </w:r>
      <w:r>
        <w:rPr>
          <w:rFonts w:ascii="Garamond" w:hAnsi="Garamond"/>
          <w:sz w:val="24"/>
          <w:szCs w:val="24"/>
        </w:rPr>
        <w:t xml:space="preserve"> term ‘black swan’ for </w:t>
      </w:r>
      <w:r w:rsidR="00343373">
        <w:rPr>
          <w:rFonts w:ascii="Garamond" w:hAnsi="Garamond"/>
          <w:sz w:val="24"/>
          <w:szCs w:val="24"/>
        </w:rPr>
        <w:t xml:space="preserve">the </w:t>
      </w:r>
      <w:r>
        <w:rPr>
          <w:rFonts w:ascii="Garamond" w:hAnsi="Garamond"/>
          <w:sz w:val="24"/>
          <w:szCs w:val="24"/>
        </w:rPr>
        <w:t xml:space="preserve">COVID-19 pandemics </w:t>
      </w:r>
      <w:r w:rsidR="00343373">
        <w:rPr>
          <w:rFonts w:ascii="Garamond" w:hAnsi="Garamond"/>
          <w:sz w:val="24"/>
          <w:szCs w:val="24"/>
        </w:rPr>
        <w:t xml:space="preserve">and analyze </w:t>
      </w:r>
      <w:r>
        <w:rPr>
          <w:rFonts w:ascii="Garamond" w:hAnsi="Garamond"/>
          <w:sz w:val="24"/>
          <w:szCs w:val="24"/>
        </w:rPr>
        <w:t>its impact on herding behavior in cryptocurrency markets. They claim that for relatively immature and inefficient cryptocurrency market</w:t>
      </w:r>
      <w:r w:rsidR="00AF25E2">
        <w:rPr>
          <w:rFonts w:ascii="Garamond" w:hAnsi="Garamond"/>
          <w:sz w:val="24"/>
          <w:szCs w:val="24"/>
        </w:rPr>
        <w:t>s</w:t>
      </w:r>
      <w:r w:rsidR="00343373">
        <w:rPr>
          <w:rFonts w:ascii="Garamond" w:hAnsi="Garamond"/>
          <w:sz w:val="24"/>
          <w:szCs w:val="24"/>
        </w:rPr>
        <w:t>,</w:t>
      </w:r>
      <w:r>
        <w:rPr>
          <w:rFonts w:ascii="Garamond" w:hAnsi="Garamond"/>
          <w:sz w:val="24"/>
          <w:szCs w:val="24"/>
        </w:rPr>
        <w:t xml:space="preserve"> the COVID-19 is the first major macroeconomic shock, </w:t>
      </w:r>
      <w:r w:rsidR="00343373">
        <w:rPr>
          <w:rFonts w:ascii="Garamond" w:hAnsi="Garamond"/>
          <w:sz w:val="24"/>
          <w:szCs w:val="24"/>
        </w:rPr>
        <w:t>which justifies</w:t>
      </w:r>
      <w:r>
        <w:rPr>
          <w:rFonts w:ascii="Garamond" w:hAnsi="Garamond"/>
          <w:sz w:val="24"/>
          <w:szCs w:val="24"/>
        </w:rPr>
        <w:t xml:space="preserve"> the use of black swan metaphor</w:t>
      </w:r>
      <w:r w:rsidR="00343373">
        <w:rPr>
          <w:rFonts w:ascii="Garamond" w:hAnsi="Garamond"/>
          <w:sz w:val="24"/>
          <w:szCs w:val="24"/>
        </w:rPr>
        <w:t xml:space="preserve">. They find that while </w:t>
      </w:r>
      <w:r w:rsidR="00AF25E2">
        <w:rPr>
          <w:rFonts w:ascii="Garamond" w:hAnsi="Garamond"/>
          <w:sz w:val="24"/>
          <w:szCs w:val="24"/>
        </w:rPr>
        <w:t>cryptocurrency</w:t>
      </w:r>
      <w:r w:rsidRPr="000A23A1">
        <w:rPr>
          <w:rFonts w:ascii="Garamond" w:hAnsi="Garamond"/>
          <w:sz w:val="24"/>
          <w:szCs w:val="24"/>
        </w:rPr>
        <w:t xml:space="preserve"> herding is contingent </w:t>
      </w:r>
      <w:r w:rsidR="00343373">
        <w:rPr>
          <w:rFonts w:ascii="Garamond" w:hAnsi="Garamond"/>
          <w:sz w:val="24"/>
          <w:szCs w:val="24"/>
        </w:rPr>
        <w:t>upon market movements, the</w:t>
      </w:r>
      <w:r w:rsidRPr="000A23A1">
        <w:rPr>
          <w:rFonts w:ascii="Garamond" w:hAnsi="Garamond"/>
          <w:sz w:val="24"/>
          <w:szCs w:val="24"/>
        </w:rPr>
        <w:t xml:space="preserve"> COVID-19 pandemic</w:t>
      </w:r>
      <w:r w:rsidR="00343373">
        <w:rPr>
          <w:rFonts w:ascii="Garamond" w:hAnsi="Garamond"/>
          <w:sz w:val="24"/>
          <w:szCs w:val="24"/>
        </w:rPr>
        <w:t xml:space="preserve"> does not end up amplifying herding </w:t>
      </w:r>
      <w:proofErr w:type="spellStart"/>
      <w:r w:rsidR="00343373">
        <w:rPr>
          <w:rFonts w:ascii="Garamond" w:hAnsi="Garamond"/>
          <w:sz w:val="24"/>
          <w:szCs w:val="24"/>
        </w:rPr>
        <w:t>behaviour</w:t>
      </w:r>
      <w:proofErr w:type="spellEnd"/>
      <w:r w:rsidR="00343373">
        <w:rPr>
          <w:rFonts w:ascii="Garamond" w:hAnsi="Garamond"/>
          <w:sz w:val="24"/>
          <w:szCs w:val="24"/>
        </w:rPr>
        <w:t xml:space="preserve"> </w:t>
      </w:r>
      <w:r w:rsidR="00AF25E2">
        <w:rPr>
          <w:rFonts w:ascii="Garamond" w:hAnsi="Garamond"/>
          <w:sz w:val="24"/>
          <w:szCs w:val="24"/>
        </w:rPr>
        <w:t>(Yarovaya et al. 2020b)</w:t>
      </w:r>
      <w:r w:rsidRPr="000A23A1">
        <w:rPr>
          <w:rFonts w:ascii="Garamond" w:hAnsi="Garamond"/>
          <w:sz w:val="24"/>
          <w:szCs w:val="24"/>
        </w:rPr>
        <w:t>.</w:t>
      </w:r>
      <w:r w:rsidR="009A48A9" w:rsidRPr="009A48A9">
        <w:t xml:space="preserve"> </w:t>
      </w:r>
      <w:r w:rsidR="009A48A9" w:rsidRPr="009A48A9">
        <w:rPr>
          <w:rFonts w:ascii="Garamond" w:hAnsi="Garamond"/>
          <w:sz w:val="24"/>
          <w:szCs w:val="24"/>
        </w:rPr>
        <w:t xml:space="preserve">Corbet et al. (2020b) analyze the flight to safety properties of gold and cryptocurrencies during the COVID-19 pandemic, and the results suggest that cryptocurrencies are </w:t>
      </w:r>
      <w:r w:rsidR="00343373">
        <w:rPr>
          <w:rFonts w:ascii="Garamond" w:hAnsi="Garamond"/>
          <w:sz w:val="24"/>
          <w:szCs w:val="24"/>
        </w:rPr>
        <w:t xml:space="preserve">in fact </w:t>
      </w:r>
      <w:r w:rsidR="009A48A9" w:rsidRPr="009A48A9">
        <w:rPr>
          <w:rFonts w:ascii="Garamond" w:hAnsi="Garamond"/>
          <w:sz w:val="24"/>
          <w:szCs w:val="24"/>
        </w:rPr>
        <w:t>not acting as safe have</w:t>
      </w:r>
      <w:r w:rsidR="00343373">
        <w:rPr>
          <w:rFonts w:ascii="Garamond" w:hAnsi="Garamond"/>
          <w:sz w:val="24"/>
          <w:szCs w:val="24"/>
        </w:rPr>
        <w:t>ns</w:t>
      </w:r>
      <w:r w:rsidR="009A48A9" w:rsidRPr="009A48A9">
        <w:rPr>
          <w:rFonts w:ascii="Garamond" w:hAnsi="Garamond"/>
          <w:sz w:val="24"/>
          <w:szCs w:val="24"/>
        </w:rPr>
        <w:t xml:space="preserve">, but </w:t>
      </w:r>
      <w:r w:rsidR="00343373">
        <w:rPr>
          <w:rFonts w:ascii="Garamond" w:hAnsi="Garamond"/>
          <w:sz w:val="24"/>
          <w:szCs w:val="24"/>
        </w:rPr>
        <w:t>instead amplifying</w:t>
      </w:r>
      <w:r w:rsidR="009A48A9" w:rsidRPr="009A48A9">
        <w:rPr>
          <w:rFonts w:ascii="Garamond" w:hAnsi="Garamond"/>
          <w:sz w:val="24"/>
          <w:szCs w:val="24"/>
        </w:rPr>
        <w:t xml:space="preserve"> the financial contagion</w:t>
      </w:r>
      <w:r w:rsidR="00343373">
        <w:rPr>
          <w:rFonts w:ascii="Garamond" w:hAnsi="Garamond"/>
          <w:sz w:val="24"/>
          <w:szCs w:val="24"/>
        </w:rPr>
        <w:t xml:space="preserve"> caused by it</w:t>
      </w:r>
      <w:r w:rsidR="009A48A9" w:rsidRPr="009A48A9">
        <w:rPr>
          <w:rFonts w:ascii="Garamond" w:hAnsi="Garamond"/>
          <w:sz w:val="24"/>
          <w:szCs w:val="24"/>
        </w:rPr>
        <w:t xml:space="preserve">. </w:t>
      </w:r>
      <w:r w:rsidR="000F3CEE" w:rsidRPr="000F3CEE">
        <w:rPr>
          <w:rFonts w:ascii="Garamond" w:hAnsi="Garamond"/>
          <w:color w:val="FF0000"/>
          <w:sz w:val="24"/>
          <w:szCs w:val="24"/>
        </w:rPr>
        <w:t xml:space="preserve">Jalan, </w:t>
      </w:r>
      <w:proofErr w:type="spellStart"/>
      <w:r w:rsidR="000F3CEE" w:rsidRPr="000F3CEE">
        <w:rPr>
          <w:rFonts w:ascii="Garamond" w:hAnsi="Garamond"/>
          <w:color w:val="FF0000"/>
          <w:sz w:val="24"/>
          <w:szCs w:val="24"/>
        </w:rPr>
        <w:t>Matkovskyy</w:t>
      </w:r>
      <w:proofErr w:type="spellEnd"/>
      <w:r w:rsidR="000F3CEE" w:rsidRPr="000F3CEE">
        <w:rPr>
          <w:rFonts w:ascii="Garamond" w:hAnsi="Garamond"/>
          <w:color w:val="FF0000"/>
          <w:sz w:val="24"/>
          <w:szCs w:val="24"/>
        </w:rPr>
        <w:t xml:space="preserve">, Yarovaya (2020) </w:t>
      </w:r>
      <w:r w:rsidR="009A419C">
        <w:rPr>
          <w:rFonts w:ascii="Garamond" w:hAnsi="Garamond"/>
          <w:color w:val="FF0000"/>
          <w:sz w:val="24"/>
          <w:szCs w:val="24"/>
        </w:rPr>
        <w:t>document</w:t>
      </w:r>
      <w:r w:rsidR="000F3CEE" w:rsidRPr="000F3CEE">
        <w:rPr>
          <w:rFonts w:ascii="Garamond" w:hAnsi="Garamond"/>
          <w:color w:val="FF0000"/>
          <w:sz w:val="24"/>
          <w:szCs w:val="24"/>
        </w:rPr>
        <w:t xml:space="preserve"> that during the COVID-19 pandemic, gold-backed cryptocurrencies were susceptible to volatility transmitted from gold markets</w:t>
      </w:r>
      <w:r w:rsidR="00564DEF">
        <w:rPr>
          <w:rFonts w:ascii="Garamond" w:hAnsi="Garamond"/>
          <w:color w:val="FF0000"/>
          <w:sz w:val="24"/>
          <w:szCs w:val="24"/>
        </w:rPr>
        <w:t>. Though</w:t>
      </w:r>
      <w:r w:rsidR="000F3CEE" w:rsidRPr="000F3CEE">
        <w:rPr>
          <w:rFonts w:ascii="Garamond" w:hAnsi="Garamond"/>
          <w:color w:val="FF0000"/>
          <w:sz w:val="24"/>
          <w:szCs w:val="24"/>
        </w:rPr>
        <w:t xml:space="preserve">, unlike gold, this type of </w:t>
      </w:r>
      <w:r w:rsidR="00564DEF">
        <w:rPr>
          <w:rFonts w:ascii="Garamond" w:hAnsi="Garamond"/>
          <w:color w:val="FF0000"/>
          <w:sz w:val="24"/>
          <w:szCs w:val="24"/>
        </w:rPr>
        <w:t xml:space="preserve">the </w:t>
      </w:r>
      <w:r w:rsidR="000F3CEE" w:rsidRPr="000F3CEE">
        <w:rPr>
          <w:rFonts w:ascii="Garamond" w:hAnsi="Garamond"/>
          <w:color w:val="FF0000"/>
          <w:sz w:val="24"/>
          <w:szCs w:val="24"/>
        </w:rPr>
        <w:t xml:space="preserve">crypto assets was unable to quickly recover from the COVID-19 shock. </w:t>
      </w:r>
      <w:r w:rsidR="007074FE">
        <w:rPr>
          <w:rFonts w:ascii="Garamond" w:hAnsi="Garamond"/>
          <w:sz w:val="24"/>
          <w:szCs w:val="24"/>
        </w:rPr>
        <w:t>Goodell (2020) highlights</w:t>
      </w:r>
      <w:r w:rsidR="009151F6" w:rsidRPr="00AF25E2">
        <w:rPr>
          <w:rFonts w:ascii="Garamond" w:hAnsi="Garamond"/>
          <w:sz w:val="24"/>
          <w:szCs w:val="24"/>
        </w:rPr>
        <w:t xml:space="preserve"> several avenues for COVID-19 research in Finance, contrasting the COVID-19 crisi</w:t>
      </w:r>
      <w:r w:rsidR="009151F6">
        <w:rPr>
          <w:rFonts w:ascii="Garamond" w:hAnsi="Garamond"/>
          <w:sz w:val="24"/>
          <w:szCs w:val="24"/>
        </w:rPr>
        <w:t>s with previous pandemics.</w:t>
      </w:r>
      <w:r w:rsidR="002C5946" w:rsidRPr="002C5946">
        <w:t xml:space="preserve"> </w:t>
      </w:r>
      <w:proofErr w:type="spellStart"/>
      <w:r w:rsidR="002C5946" w:rsidRPr="002C5946">
        <w:rPr>
          <w:rFonts w:ascii="Garamond" w:hAnsi="Garamond"/>
          <w:color w:val="FF0000"/>
          <w:sz w:val="24"/>
          <w:szCs w:val="24"/>
        </w:rPr>
        <w:t>Katsiampa</w:t>
      </w:r>
      <w:proofErr w:type="spellEnd"/>
      <w:r w:rsidR="002C5946" w:rsidRPr="002C5946">
        <w:rPr>
          <w:rFonts w:ascii="Garamond" w:hAnsi="Garamond"/>
          <w:color w:val="FF0000"/>
          <w:sz w:val="24"/>
          <w:szCs w:val="24"/>
        </w:rPr>
        <w:t xml:space="preserve">, Yarovaya and </w:t>
      </w:r>
      <w:proofErr w:type="spellStart"/>
      <w:r w:rsidR="002C5946" w:rsidRPr="002C5946">
        <w:rPr>
          <w:rFonts w:ascii="Garamond" w:hAnsi="Garamond"/>
          <w:color w:val="FF0000"/>
          <w:sz w:val="24"/>
          <w:szCs w:val="24"/>
        </w:rPr>
        <w:t>Zięba</w:t>
      </w:r>
      <w:proofErr w:type="spellEnd"/>
      <w:r w:rsidR="002C5946" w:rsidRPr="002C5946">
        <w:rPr>
          <w:rFonts w:ascii="Garamond" w:hAnsi="Garamond"/>
          <w:color w:val="FF0000"/>
          <w:sz w:val="24"/>
          <w:szCs w:val="24"/>
        </w:rPr>
        <w:t xml:space="preserve"> (2021) study co-movements and correlations between Bitcoin and thirty-one of the most-tradable crypto assets during the COVID19 period using high-frequency data. They document changes in patterns of co-movements and correlations during this period. Le, Yarovaya and Nasir (2021) </w:t>
      </w:r>
      <w:r w:rsidR="00C50EE2">
        <w:rPr>
          <w:rFonts w:ascii="Garamond" w:hAnsi="Garamond"/>
          <w:color w:val="FF0000"/>
          <w:sz w:val="24"/>
          <w:szCs w:val="24"/>
        </w:rPr>
        <w:t xml:space="preserve">analyze </w:t>
      </w:r>
      <w:r w:rsidR="002C5946" w:rsidRPr="002C5946">
        <w:rPr>
          <w:rFonts w:ascii="Garamond" w:hAnsi="Garamond"/>
          <w:color w:val="FF0000"/>
          <w:sz w:val="24"/>
          <w:szCs w:val="24"/>
        </w:rPr>
        <w:t xml:space="preserve">the </w:t>
      </w:r>
      <w:r w:rsidR="002C5946" w:rsidRPr="002C5946">
        <w:rPr>
          <w:rFonts w:ascii="Garamond" w:hAnsi="Garamond"/>
          <w:color w:val="FF0000"/>
          <w:sz w:val="24"/>
          <w:szCs w:val="24"/>
        </w:rPr>
        <w:lastRenderedPageBreak/>
        <w:t xml:space="preserve">spillover effect between Fintech stocks and other financial assets (gold, Bitcoin, a global equity index, crude oil, and the US Dollar) during the COVID-19 period and </w:t>
      </w:r>
      <w:r w:rsidR="002428EB">
        <w:rPr>
          <w:rFonts w:ascii="Garamond" w:hAnsi="Garamond"/>
          <w:color w:val="FF0000"/>
          <w:sz w:val="24"/>
          <w:szCs w:val="24"/>
        </w:rPr>
        <w:t>demonstrate</w:t>
      </w:r>
      <w:r w:rsidR="002C5946" w:rsidRPr="002C5946">
        <w:rPr>
          <w:rFonts w:ascii="Garamond" w:hAnsi="Garamond"/>
          <w:color w:val="FF0000"/>
          <w:sz w:val="24"/>
          <w:szCs w:val="24"/>
        </w:rPr>
        <w:t xml:space="preserve"> that volatility transmission across asset classes was exacerbated</w:t>
      </w:r>
      <w:r w:rsidR="008E1879">
        <w:rPr>
          <w:rFonts w:ascii="Garamond" w:hAnsi="Garamond"/>
          <w:color w:val="FF0000"/>
          <w:sz w:val="24"/>
          <w:szCs w:val="24"/>
        </w:rPr>
        <w:t xml:space="preserve"> during COVID-19</w:t>
      </w:r>
      <w:r w:rsidR="002C5946" w:rsidRPr="002C5946">
        <w:rPr>
          <w:rFonts w:ascii="Garamond" w:hAnsi="Garamond"/>
          <w:color w:val="FF0000"/>
          <w:sz w:val="24"/>
          <w:szCs w:val="24"/>
        </w:rPr>
        <w:t>.</w:t>
      </w:r>
      <w:r w:rsidR="00E10B55">
        <w:rPr>
          <w:rFonts w:ascii="Garamond" w:hAnsi="Garamond"/>
          <w:color w:val="FF0000"/>
          <w:sz w:val="24"/>
          <w:szCs w:val="24"/>
        </w:rPr>
        <w:t xml:space="preserve"> The similar </w:t>
      </w:r>
      <w:r w:rsidR="00B52047">
        <w:rPr>
          <w:rFonts w:ascii="Garamond" w:hAnsi="Garamond"/>
          <w:color w:val="FF0000"/>
          <w:sz w:val="24"/>
          <w:szCs w:val="24"/>
        </w:rPr>
        <w:t xml:space="preserve">is </w:t>
      </w:r>
      <w:r w:rsidR="002E6841">
        <w:rPr>
          <w:rFonts w:ascii="Garamond" w:hAnsi="Garamond"/>
          <w:color w:val="FF0000"/>
          <w:sz w:val="24"/>
          <w:szCs w:val="24"/>
        </w:rPr>
        <w:t xml:space="preserve">also </w:t>
      </w:r>
      <w:r w:rsidR="00B52047">
        <w:rPr>
          <w:rFonts w:ascii="Garamond" w:hAnsi="Garamond"/>
          <w:color w:val="FF0000"/>
          <w:sz w:val="24"/>
          <w:szCs w:val="24"/>
        </w:rPr>
        <w:t xml:space="preserve">documented in Yarovaya, </w:t>
      </w:r>
      <w:proofErr w:type="spellStart"/>
      <w:r w:rsidR="00B52047" w:rsidRPr="00B52047">
        <w:rPr>
          <w:rFonts w:ascii="Garamond" w:hAnsi="Garamond"/>
          <w:color w:val="FF0000"/>
          <w:sz w:val="24"/>
          <w:szCs w:val="24"/>
        </w:rPr>
        <w:t>Elsayed</w:t>
      </w:r>
      <w:proofErr w:type="spellEnd"/>
      <w:r w:rsidR="00B52047">
        <w:rPr>
          <w:rFonts w:ascii="Garamond" w:hAnsi="Garamond"/>
          <w:color w:val="FF0000"/>
          <w:sz w:val="24"/>
          <w:szCs w:val="24"/>
        </w:rPr>
        <w:t xml:space="preserve">, </w:t>
      </w:r>
      <w:proofErr w:type="spellStart"/>
      <w:r w:rsidR="006F7806" w:rsidRPr="006F7806">
        <w:rPr>
          <w:rFonts w:ascii="Garamond" w:hAnsi="Garamond"/>
          <w:color w:val="FF0000"/>
          <w:sz w:val="24"/>
          <w:szCs w:val="24"/>
        </w:rPr>
        <w:t>Hammoudeh</w:t>
      </w:r>
      <w:proofErr w:type="spellEnd"/>
      <w:r w:rsidR="006F7806">
        <w:rPr>
          <w:rFonts w:ascii="Garamond" w:hAnsi="Garamond"/>
          <w:color w:val="FF0000"/>
          <w:sz w:val="24"/>
          <w:szCs w:val="24"/>
        </w:rPr>
        <w:t xml:space="preserve"> (2021).</w:t>
      </w:r>
    </w:p>
    <w:p w14:paraId="5B622383" w14:textId="52AA5556" w:rsidR="001567D5" w:rsidRDefault="00AF25E2" w:rsidP="006B7FED">
      <w:pPr>
        <w:pStyle w:val="NoSpacing"/>
        <w:spacing w:line="480" w:lineRule="auto"/>
        <w:ind w:firstLine="709"/>
        <w:jc w:val="both"/>
        <w:rPr>
          <w:rFonts w:ascii="Garamond" w:hAnsi="Garamond"/>
          <w:color w:val="FF0000"/>
          <w:sz w:val="24"/>
          <w:szCs w:val="24"/>
        </w:rPr>
      </w:pPr>
      <w:r>
        <w:rPr>
          <w:rFonts w:ascii="Garamond" w:hAnsi="Garamond"/>
          <w:sz w:val="24"/>
          <w:szCs w:val="24"/>
        </w:rPr>
        <w:t>For mature financial markets</w:t>
      </w:r>
      <w:r w:rsidR="00C96AE9">
        <w:rPr>
          <w:rFonts w:ascii="Garamond" w:hAnsi="Garamond"/>
          <w:sz w:val="24"/>
          <w:szCs w:val="24"/>
        </w:rPr>
        <w:t>,</w:t>
      </w:r>
      <w:r>
        <w:rPr>
          <w:rFonts w:ascii="Garamond" w:hAnsi="Garamond"/>
          <w:sz w:val="24"/>
          <w:szCs w:val="24"/>
        </w:rPr>
        <w:t xml:space="preserve"> </w:t>
      </w:r>
      <w:r w:rsidR="006B7FED" w:rsidRPr="006B7FED">
        <w:rPr>
          <w:rFonts w:ascii="Garamond" w:hAnsi="Garamond"/>
          <w:sz w:val="24"/>
          <w:szCs w:val="24"/>
        </w:rPr>
        <w:t>Sharif et al. (2020) investigate</w:t>
      </w:r>
      <w:r w:rsidR="00C96AE9">
        <w:rPr>
          <w:rFonts w:ascii="Garamond" w:hAnsi="Garamond"/>
          <w:sz w:val="24"/>
          <w:szCs w:val="24"/>
        </w:rPr>
        <w:t xml:space="preserve"> </w:t>
      </w:r>
      <w:r w:rsidR="006B7FED" w:rsidRPr="006B7FED">
        <w:rPr>
          <w:rFonts w:ascii="Garamond" w:hAnsi="Garamond"/>
          <w:sz w:val="24"/>
          <w:szCs w:val="24"/>
        </w:rPr>
        <w:t>the reaction of the US stock markets to both COVID-19 and oil shocks in first quarter of 2020</w:t>
      </w:r>
      <w:r w:rsidR="00C96AE9">
        <w:rPr>
          <w:rFonts w:ascii="Garamond" w:hAnsi="Garamond"/>
          <w:sz w:val="24"/>
          <w:szCs w:val="24"/>
        </w:rPr>
        <w:t xml:space="preserve">. They show </w:t>
      </w:r>
      <w:r w:rsidR="006B7FED" w:rsidRPr="006B7FED">
        <w:rPr>
          <w:rFonts w:ascii="Garamond" w:hAnsi="Garamond"/>
          <w:sz w:val="24"/>
          <w:szCs w:val="24"/>
        </w:rPr>
        <w:t xml:space="preserve">that stock markets </w:t>
      </w:r>
      <w:r w:rsidR="00C96AE9">
        <w:rPr>
          <w:rFonts w:ascii="Garamond" w:hAnsi="Garamond"/>
          <w:sz w:val="24"/>
          <w:szCs w:val="24"/>
        </w:rPr>
        <w:t xml:space="preserve">ended up </w:t>
      </w:r>
      <w:r w:rsidR="006B7FED" w:rsidRPr="006B7FED">
        <w:rPr>
          <w:rFonts w:ascii="Garamond" w:hAnsi="Garamond"/>
          <w:sz w:val="24"/>
          <w:szCs w:val="24"/>
        </w:rPr>
        <w:t>react</w:t>
      </w:r>
      <w:r w:rsidR="00C96AE9">
        <w:rPr>
          <w:rFonts w:ascii="Garamond" w:hAnsi="Garamond"/>
          <w:sz w:val="24"/>
          <w:szCs w:val="24"/>
        </w:rPr>
        <w:t>ing</w:t>
      </w:r>
      <w:r w:rsidR="006B7FED" w:rsidRPr="006B7FED">
        <w:rPr>
          <w:rFonts w:ascii="Garamond" w:hAnsi="Garamond"/>
          <w:sz w:val="24"/>
          <w:szCs w:val="24"/>
        </w:rPr>
        <w:t xml:space="preserve"> more severely to the </w:t>
      </w:r>
      <w:r w:rsidR="00C96AE9">
        <w:rPr>
          <w:rFonts w:ascii="Garamond" w:hAnsi="Garamond"/>
          <w:sz w:val="24"/>
          <w:szCs w:val="24"/>
        </w:rPr>
        <w:t xml:space="preserve">oil price crash than </w:t>
      </w:r>
      <w:r w:rsidR="006B7FED" w:rsidRPr="006B7FED">
        <w:rPr>
          <w:rFonts w:ascii="Garamond" w:hAnsi="Garamond"/>
          <w:sz w:val="24"/>
          <w:szCs w:val="24"/>
        </w:rPr>
        <w:t>to the pandemic. Corbet et al. (2020</w:t>
      </w:r>
      <w:r w:rsidR="00623ADB">
        <w:rPr>
          <w:rFonts w:ascii="Garamond" w:hAnsi="Garamond"/>
          <w:sz w:val="24"/>
          <w:szCs w:val="24"/>
        </w:rPr>
        <w:t>a</w:t>
      </w:r>
      <w:r w:rsidR="006B7FED" w:rsidRPr="006B7FED">
        <w:rPr>
          <w:rFonts w:ascii="Garamond" w:hAnsi="Garamond"/>
          <w:sz w:val="24"/>
          <w:szCs w:val="24"/>
        </w:rPr>
        <w:t>) d</w:t>
      </w:r>
      <w:r w:rsidR="00C96AE9">
        <w:rPr>
          <w:rFonts w:ascii="Garamond" w:hAnsi="Garamond"/>
          <w:sz w:val="24"/>
          <w:szCs w:val="24"/>
        </w:rPr>
        <w:t xml:space="preserve">ocument a </w:t>
      </w:r>
      <w:r w:rsidR="006B7FED" w:rsidRPr="006B7FED">
        <w:rPr>
          <w:rFonts w:ascii="Garamond" w:hAnsi="Garamond"/>
          <w:sz w:val="24"/>
          <w:szCs w:val="24"/>
        </w:rPr>
        <w:t xml:space="preserve">negative </w:t>
      </w:r>
      <w:r w:rsidR="00C96AE9">
        <w:rPr>
          <w:rFonts w:ascii="Garamond" w:hAnsi="Garamond"/>
          <w:sz w:val="24"/>
          <w:szCs w:val="24"/>
        </w:rPr>
        <w:t xml:space="preserve">impact </w:t>
      </w:r>
      <w:r w:rsidR="009151F6">
        <w:rPr>
          <w:rFonts w:ascii="Garamond" w:hAnsi="Garamond"/>
          <w:sz w:val="24"/>
          <w:szCs w:val="24"/>
        </w:rPr>
        <w:t>of COVID-19 on the</w:t>
      </w:r>
      <w:r w:rsidR="00C96AE9">
        <w:rPr>
          <w:rFonts w:ascii="Garamond" w:hAnsi="Garamond"/>
          <w:sz w:val="24"/>
          <w:szCs w:val="24"/>
        </w:rPr>
        <w:t xml:space="preserve"> stock prices of </w:t>
      </w:r>
      <w:r w:rsidR="006B7FED" w:rsidRPr="006B7FED">
        <w:rPr>
          <w:rFonts w:ascii="Garamond" w:hAnsi="Garamond"/>
          <w:sz w:val="24"/>
          <w:szCs w:val="24"/>
        </w:rPr>
        <w:t xml:space="preserve">companies </w:t>
      </w:r>
      <w:r w:rsidR="00C96AE9">
        <w:rPr>
          <w:rFonts w:ascii="Garamond" w:hAnsi="Garamond"/>
          <w:sz w:val="24"/>
          <w:szCs w:val="24"/>
        </w:rPr>
        <w:t>containing</w:t>
      </w:r>
      <w:r w:rsidR="006B7FED" w:rsidRPr="006B7FED">
        <w:rPr>
          <w:rFonts w:ascii="Garamond" w:hAnsi="Garamond"/>
          <w:sz w:val="24"/>
          <w:szCs w:val="24"/>
        </w:rPr>
        <w:t xml:space="preserve"> ‘corona’ in their </w:t>
      </w:r>
      <w:proofErr w:type="gramStart"/>
      <w:r w:rsidR="006B7FED" w:rsidRPr="006B7FED">
        <w:rPr>
          <w:rFonts w:ascii="Garamond" w:hAnsi="Garamond"/>
          <w:sz w:val="24"/>
          <w:szCs w:val="24"/>
        </w:rPr>
        <w:t>names,</w:t>
      </w:r>
      <w:r w:rsidR="00C96AE9">
        <w:rPr>
          <w:rFonts w:ascii="Garamond" w:hAnsi="Garamond"/>
          <w:sz w:val="24"/>
          <w:szCs w:val="24"/>
        </w:rPr>
        <w:t xml:space="preserve"> </w:t>
      </w:r>
      <w:r w:rsidR="009151F6">
        <w:rPr>
          <w:rFonts w:ascii="Garamond" w:hAnsi="Garamond"/>
          <w:sz w:val="24"/>
          <w:szCs w:val="24"/>
        </w:rPr>
        <w:t>and</w:t>
      </w:r>
      <w:proofErr w:type="gramEnd"/>
      <w:r w:rsidR="009151F6">
        <w:rPr>
          <w:rFonts w:ascii="Garamond" w:hAnsi="Garamond"/>
          <w:sz w:val="24"/>
          <w:szCs w:val="24"/>
        </w:rPr>
        <w:t xml:space="preserve"> compare this anomaly to the </w:t>
      </w:r>
      <w:r w:rsidR="006B7FED" w:rsidRPr="006B7FED">
        <w:rPr>
          <w:rFonts w:ascii="Garamond" w:hAnsi="Garamond"/>
          <w:sz w:val="24"/>
          <w:szCs w:val="24"/>
        </w:rPr>
        <w:t xml:space="preserve">Dot.com crisis. </w:t>
      </w:r>
      <w:proofErr w:type="spellStart"/>
      <w:r w:rsidRPr="00AF25E2">
        <w:rPr>
          <w:rFonts w:ascii="Garamond" w:hAnsi="Garamond"/>
          <w:sz w:val="24"/>
          <w:szCs w:val="24"/>
        </w:rPr>
        <w:t>Gormsen</w:t>
      </w:r>
      <w:proofErr w:type="spellEnd"/>
      <w:r w:rsidRPr="00AF25E2">
        <w:rPr>
          <w:rFonts w:ascii="Garamond" w:hAnsi="Garamond"/>
          <w:sz w:val="24"/>
          <w:szCs w:val="24"/>
        </w:rPr>
        <w:t xml:space="preserve"> and </w:t>
      </w:r>
      <w:proofErr w:type="spellStart"/>
      <w:r w:rsidRPr="00AF25E2">
        <w:rPr>
          <w:rFonts w:ascii="Garamond" w:hAnsi="Garamond"/>
          <w:sz w:val="24"/>
          <w:szCs w:val="24"/>
        </w:rPr>
        <w:t>Koijen</w:t>
      </w:r>
      <w:proofErr w:type="spellEnd"/>
      <w:r w:rsidRPr="00AF25E2">
        <w:rPr>
          <w:rFonts w:ascii="Garamond" w:hAnsi="Garamond"/>
          <w:sz w:val="24"/>
          <w:szCs w:val="24"/>
        </w:rPr>
        <w:t xml:space="preserve"> (2020) </w:t>
      </w:r>
      <w:proofErr w:type="spellStart"/>
      <w:r w:rsidRPr="00AF25E2">
        <w:rPr>
          <w:rFonts w:ascii="Garamond" w:hAnsi="Garamond"/>
          <w:sz w:val="24"/>
          <w:szCs w:val="24"/>
        </w:rPr>
        <w:t>analyse</w:t>
      </w:r>
      <w:proofErr w:type="spellEnd"/>
      <w:r w:rsidRPr="00AF25E2">
        <w:rPr>
          <w:rFonts w:ascii="Garamond" w:hAnsi="Garamond"/>
          <w:sz w:val="24"/>
          <w:szCs w:val="24"/>
        </w:rPr>
        <w:t xml:space="preserve"> </w:t>
      </w:r>
      <w:r w:rsidR="007074FE">
        <w:rPr>
          <w:rFonts w:ascii="Garamond" w:hAnsi="Garamond"/>
          <w:sz w:val="24"/>
          <w:szCs w:val="24"/>
        </w:rPr>
        <w:t xml:space="preserve">the </w:t>
      </w:r>
      <w:r w:rsidRPr="00AF25E2">
        <w:rPr>
          <w:rFonts w:ascii="Garamond" w:hAnsi="Garamond"/>
          <w:sz w:val="24"/>
          <w:szCs w:val="24"/>
        </w:rPr>
        <w:t xml:space="preserve">stock market response to COVID-19 news starting with </w:t>
      </w:r>
      <w:r w:rsidR="007074FE">
        <w:rPr>
          <w:rFonts w:ascii="Garamond" w:hAnsi="Garamond"/>
          <w:sz w:val="24"/>
          <w:szCs w:val="24"/>
        </w:rPr>
        <w:t xml:space="preserve">the </w:t>
      </w:r>
      <w:r w:rsidRPr="00AF25E2">
        <w:rPr>
          <w:rFonts w:ascii="Garamond" w:hAnsi="Garamond"/>
          <w:sz w:val="24"/>
          <w:szCs w:val="24"/>
        </w:rPr>
        <w:t>initial outbreak of the virus in China.</w:t>
      </w:r>
      <w:r w:rsidR="009B5808">
        <w:rPr>
          <w:rFonts w:ascii="Garamond" w:hAnsi="Garamond"/>
          <w:sz w:val="24"/>
          <w:szCs w:val="24"/>
        </w:rPr>
        <w:t xml:space="preserve"> </w:t>
      </w:r>
      <w:proofErr w:type="spellStart"/>
      <w:r w:rsidR="009F62EF">
        <w:rPr>
          <w:rFonts w:ascii="Garamond" w:hAnsi="Garamond"/>
          <w:sz w:val="24"/>
          <w:szCs w:val="24"/>
        </w:rPr>
        <w:t>Ramel</w:t>
      </w:r>
      <w:r w:rsidR="00623ADB">
        <w:rPr>
          <w:rFonts w:ascii="Garamond" w:hAnsi="Garamond"/>
          <w:sz w:val="24"/>
          <w:szCs w:val="24"/>
        </w:rPr>
        <w:t>l</w:t>
      </w:r>
      <w:r w:rsidR="009F62EF">
        <w:rPr>
          <w:rFonts w:ascii="Garamond" w:hAnsi="Garamond"/>
          <w:sz w:val="24"/>
          <w:szCs w:val="24"/>
        </w:rPr>
        <w:t>i</w:t>
      </w:r>
      <w:proofErr w:type="spellEnd"/>
      <w:r w:rsidR="009F62EF">
        <w:rPr>
          <w:rFonts w:ascii="Garamond" w:hAnsi="Garamond"/>
          <w:sz w:val="24"/>
          <w:szCs w:val="24"/>
        </w:rPr>
        <w:t xml:space="preserve"> and Wagner (2020) further explore the stock market reaction to news and stories related to the COVID-19 providing early evidence of the market reaction to the pandemic.</w:t>
      </w:r>
      <w:r w:rsidR="00C10BCA">
        <w:rPr>
          <w:rFonts w:ascii="Garamond" w:hAnsi="Garamond"/>
          <w:sz w:val="24"/>
          <w:szCs w:val="24"/>
        </w:rPr>
        <w:t xml:space="preserve"> </w:t>
      </w:r>
    </w:p>
    <w:p w14:paraId="2361DE19" w14:textId="7E2B7818" w:rsidR="00A470B2" w:rsidRPr="0086471A" w:rsidRDefault="00A470B2" w:rsidP="006B7FED">
      <w:pPr>
        <w:pStyle w:val="NoSpacing"/>
        <w:spacing w:line="480" w:lineRule="auto"/>
        <w:ind w:firstLine="709"/>
        <w:jc w:val="both"/>
        <w:rPr>
          <w:rFonts w:ascii="Garamond" w:hAnsi="Garamond"/>
          <w:color w:val="FF0000"/>
          <w:sz w:val="24"/>
          <w:szCs w:val="24"/>
        </w:rPr>
      </w:pPr>
    </w:p>
    <w:p w14:paraId="6F887717" w14:textId="384BDECB" w:rsidR="00893E23" w:rsidRPr="002E3A18" w:rsidRDefault="00893E23" w:rsidP="002E3A18">
      <w:pPr>
        <w:pStyle w:val="NoSpacing"/>
        <w:spacing w:line="480" w:lineRule="auto"/>
        <w:jc w:val="both"/>
        <w:rPr>
          <w:rFonts w:ascii="Garamond" w:hAnsi="Garamond"/>
          <w:i/>
          <w:sz w:val="24"/>
          <w:szCs w:val="24"/>
        </w:rPr>
      </w:pPr>
      <w:r>
        <w:rPr>
          <w:rFonts w:ascii="Garamond" w:hAnsi="Garamond"/>
          <w:i/>
          <w:sz w:val="24"/>
          <w:szCs w:val="24"/>
        </w:rPr>
        <w:t>2.</w:t>
      </w:r>
      <w:r w:rsidR="00D75497">
        <w:rPr>
          <w:rFonts w:ascii="Garamond" w:hAnsi="Garamond"/>
          <w:i/>
          <w:sz w:val="24"/>
          <w:szCs w:val="24"/>
        </w:rPr>
        <w:t>3</w:t>
      </w:r>
      <w:r>
        <w:rPr>
          <w:rFonts w:ascii="Garamond" w:hAnsi="Garamond"/>
          <w:i/>
          <w:sz w:val="24"/>
          <w:szCs w:val="24"/>
        </w:rPr>
        <w:t>. Mean reversion in financial markets</w:t>
      </w:r>
    </w:p>
    <w:p w14:paraId="2501F35E" w14:textId="1919CF4D" w:rsidR="000A754D" w:rsidRPr="000A754D" w:rsidRDefault="000A754D" w:rsidP="0082320F">
      <w:pPr>
        <w:pStyle w:val="NoSpacing"/>
        <w:spacing w:line="480" w:lineRule="auto"/>
        <w:ind w:firstLine="708"/>
        <w:jc w:val="both"/>
        <w:rPr>
          <w:rFonts w:ascii="Garamond" w:hAnsi="Garamond"/>
          <w:color w:val="FF0000"/>
          <w:sz w:val="24"/>
          <w:szCs w:val="24"/>
        </w:rPr>
      </w:pPr>
      <w:r w:rsidRPr="000A754D">
        <w:rPr>
          <w:rFonts w:ascii="Garamond" w:hAnsi="Garamond"/>
          <w:color w:val="FF0000"/>
          <w:sz w:val="24"/>
          <w:szCs w:val="24"/>
        </w:rPr>
        <w:t xml:space="preserve">The presence of mean reversion, i.e. when the null hypothesis of a unit root is rejected, </w:t>
      </w:r>
      <w:r w:rsidR="00B37723" w:rsidRPr="000A754D">
        <w:rPr>
          <w:rFonts w:ascii="Garamond" w:hAnsi="Garamond"/>
          <w:color w:val="FF0000"/>
          <w:sz w:val="24"/>
          <w:szCs w:val="24"/>
        </w:rPr>
        <w:t>implies that</w:t>
      </w:r>
      <w:r w:rsidRPr="000A754D">
        <w:rPr>
          <w:rFonts w:ascii="Garamond" w:hAnsi="Garamond"/>
          <w:color w:val="FF0000"/>
          <w:sz w:val="24"/>
          <w:szCs w:val="24"/>
        </w:rPr>
        <w:t xml:space="preserve"> shocks are not accumulated. Literature document that mean-reverting </w:t>
      </w:r>
      <w:proofErr w:type="spellStart"/>
      <w:r w:rsidRPr="000A754D">
        <w:rPr>
          <w:rFonts w:ascii="Garamond" w:hAnsi="Garamond"/>
          <w:color w:val="FF0000"/>
          <w:sz w:val="24"/>
          <w:szCs w:val="24"/>
        </w:rPr>
        <w:t>behaviour</w:t>
      </w:r>
      <w:proofErr w:type="spellEnd"/>
      <w:r w:rsidRPr="000A754D">
        <w:rPr>
          <w:rFonts w:ascii="Garamond" w:hAnsi="Garamond"/>
          <w:color w:val="FF0000"/>
          <w:sz w:val="24"/>
          <w:szCs w:val="24"/>
        </w:rPr>
        <w:t xml:space="preserve"> is a function of numerous factors that can lead to further pricing abnormalities and potential disruption such as market efficiency and company performance (Jalan, </w:t>
      </w:r>
      <w:proofErr w:type="spellStart"/>
      <w:r w:rsidRPr="000A754D">
        <w:rPr>
          <w:rFonts w:ascii="Garamond" w:hAnsi="Garamond"/>
          <w:color w:val="FF0000"/>
          <w:sz w:val="24"/>
          <w:szCs w:val="24"/>
        </w:rPr>
        <w:t>Matkovskyy</w:t>
      </w:r>
      <w:proofErr w:type="spellEnd"/>
      <w:r w:rsidRPr="000A754D">
        <w:rPr>
          <w:rFonts w:ascii="Garamond" w:hAnsi="Garamond"/>
          <w:color w:val="FF0000"/>
          <w:sz w:val="24"/>
          <w:szCs w:val="24"/>
        </w:rPr>
        <w:t xml:space="preserve">, </w:t>
      </w:r>
      <w:proofErr w:type="spellStart"/>
      <w:r w:rsidRPr="000A754D">
        <w:rPr>
          <w:rFonts w:ascii="Garamond" w:hAnsi="Garamond"/>
          <w:color w:val="FF0000"/>
          <w:sz w:val="24"/>
          <w:szCs w:val="24"/>
        </w:rPr>
        <w:t>Poti</w:t>
      </w:r>
      <w:proofErr w:type="spellEnd"/>
      <w:r w:rsidRPr="000A754D">
        <w:rPr>
          <w:rFonts w:ascii="Garamond" w:hAnsi="Garamond"/>
          <w:color w:val="FF0000"/>
          <w:sz w:val="24"/>
          <w:szCs w:val="24"/>
        </w:rPr>
        <w:t xml:space="preserve"> 2021). Also, as Forbes (1996) document the presence of mean reversion suggests pricing irregularities that are inconsistent with equilibrium asset pricing models.</w:t>
      </w:r>
    </w:p>
    <w:p w14:paraId="770A1D84" w14:textId="560F5378" w:rsidR="00362CB2" w:rsidRDefault="005D63CD" w:rsidP="0082320F">
      <w:pPr>
        <w:pStyle w:val="NoSpacing"/>
        <w:spacing w:line="480" w:lineRule="auto"/>
        <w:ind w:firstLine="708"/>
        <w:jc w:val="both"/>
        <w:rPr>
          <w:rFonts w:ascii="Garamond" w:hAnsi="Garamond"/>
          <w:sz w:val="24"/>
          <w:szCs w:val="24"/>
        </w:rPr>
      </w:pPr>
      <w:r>
        <w:rPr>
          <w:rFonts w:ascii="Garamond" w:hAnsi="Garamond"/>
          <w:sz w:val="24"/>
          <w:szCs w:val="24"/>
        </w:rPr>
        <w:t xml:space="preserve">There is substantial literature on the mean reversion properties of various asset classes. Mean reversion in stock markets is well-documented. Starting with </w:t>
      </w:r>
      <w:proofErr w:type="spellStart"/>
      <w:r>
        <w:rPr>
          <w:rFonts w:ascii="Garamond" w:hAnsi="Garamond"/>
          <w:sz w:val="24"/>
          <w:szCs w:val="24"/>
        </w:rPr>
        <w:t>Fama</w:t>
      </w:r>
      <w:proofErr w:type="spellEnd"/>
      <w:r>
        <w:rPr>
          <w:rFonts w:ascii="Garamond" w:hAnsi="Garamond"/>
          <w:sz w:val="24"/>
          <w:szCs w:val="24"/>
        </w:rPr>
        <w:t xml:space="preserve"> and French (1988), m</w:t>
      </w:r>
      <w:r w:rsidR="008E75A2">
        <w:rPr>
          <w:rFonts w:ascii="Garamond" w:hAnsi="Garamond"/>
          <w:sz w:val="24"/>
          <w:szCs w:val="24"/>
        </w:rPr>
        <w:t xml:space="preserve">ean reversion </w:t>
      </w:r>
      <w:r>
        <w:rPr>
          <w:rFonts w:ascii="Garamond" w:hAnsi="Garamond"/>
          <w:sz w:val="24"/>
          <w:szCs w:val="24"/>
        </w:rPr>
        <w:t>has been documented for various stock markets and indices over time (</w:t>
      </w:r>
      <w:proofErr w:type="spellStart"/>
      <w:r w:rsidR="008E75A2">
        <w:rPr>
          <w:rFonts w:ascii="Garamond" w:hAnsi="Garamond"/>
          <w:sz w:val="24"/>
          <w:szCs w:val="24"/>
        </w:rPr>
        <w:t>Balvers</w:t>
      </w:r>
      <w:proofErr w:type="spellEnd"/>
      <w:r w:rsidR="008E75A2">
        <w:rPr>
          <w:rFonts w:ascii="Garamond" w:hAnsi="Garamond"/>
          <w:sz w:val="24"/>
          <w:szCs w:val="24"/>
        </w:rPr>
        <w:t xml:space="preserve"> et al.</w:t>
      </w:r>
      <w:r>
        <w:rPr>
          <w:rFonts w:ascii="Garamond" w:hAnsi="Garamond"/>
          <w:sz w:val="24"/>
          <w:szCs w:val="24"/>
        </w:rPr>
        <w:t xml:space="preserve">, </w:t>
      </w:r>
      <w:r w:rsidR="008E75A2">
        <w:rPr>
          <w:rFonts w:ascii="Garamond" w:hAnsi="Garamond"/>
          <w:sz w:val="24"/>
          <w:szCs w:val="24"/>
        </w:rPr>
        <w:t>2000</w:t>
      </w:r>
      <w:r>
        <w:rPr>
          <w:rFonts w:ascii="Garamond" w:hAnsi="Garamond"/>
          <w:sz w:val="24"/>
          <w:szCs w:val="24"/>
        </w:rPr>
        <w:t xml:space="preserve">; </w:t>
      </w:r>
      <w:proofErr w:type="spellStart"/>
      <w:r w:rsidR="00362CB2">
        <w:rPr>
          <w:rFonts w:ascii="Garamond" w:hAnsi="Garamond"/>
          <w:sz w:val="24"/>
          <w:szCs w:val="24"/>
        </w:rPr>
        <w:t>Gropp</w:t>
      </w:r>
      <w:proofErr w:type="spellEnd"/>
      <w:r w:rsidR="00362CB2">
        <w:rPr>
          <w:rFonts w:ascii="Garamond" w:hAnsi="Garamond"/>
          <w:sz w:val="24"/>
          <w:szCs w:val="24"/>
        </w:rPr>
        <w:t xml:space="preserve">, 2004; </w:t>
      </w:r>
      <w:r w:rsidR="008E75A2">
        <w:rPr>
          <w:rFonts w:ascii="Garamond" w:hAnsi="Garamond"/>
          <w:sz w:val="24"/>
          <w:szCs w:val="24"/>
        </w:rPr>
        <w:t>Gil-Alana et al. 201</w:t>
      </w:r>
      <w:r>
        <w:rPr>
          <w:rFonts w:ascii="Garamond" w:hAnsi="Garamond"/>
          <w:sz w:val="24"/>
          <w:szCs w:val="24"/>
        </w:rPr>
        <w:t>5;</w:t>
      </w:r>
      <w:r w:rsidR="008E75A2">
        <w:rPr>
          <w:rFonts w:ascii="Garamond" w:hAnsi="Garamond"/>
          <w:sz w:val="24"/>
          <w:szCs w:val="24"/>
        </w:rPr>
        <w:t xml:space="preserve"> Adebola et al.</w:t>
      </w:r>
      <w:r>
        <w:rPr>
          <w:rFonts w:ascii="Garamond" w:hAnsi="Garamond"/>
          <w:sz w:val="24"/>
          <w:szCs w:val="24"/>
        </w:rPr>
        <w:t xml:space="preserve">, </w:t>
      </w:r>
      <w:r w:rsidR="008E75A2">
        <w:rPr>
          <w:rFonts w:ascii="Garamond" w:hAnsi="Garamond"/>
          <w:sz w:val="24"/>
          <w:szCs w:val="24"/>
        </w:rPr>
        <w:t>2019</w:t>
      </w:r>
      <w:r>
        <w:rPr>
          <w:rFonts w:ascii="Garamond" w:hAnsi="Garamond"/>
          <w:sz w:val="24"/>
          <w:szCs w:val="24"/>
        </w:rPr>
        <w:t>;</w:t>
      </w:r>
      <w:r w:rsidR="008E75A2">
        <w:rPr>
          <w:rFonts w:ascii="Garamond" w:hAnsi="Garamond"/>
          <w:sz w:val="24"/>
          <w:szCs w:val="24"/>
        </w:rPr>
        <w:t xml:space="preserve"> Corbet and </w:t>
      </w:r>
      <w:proofErr w:type="spellStart"/>
      <w:r w:rsidR="008E75A2">
        <w:rPr>
          <w:rFonts w:ascii="Garamond" w:hAnsi="Garamond"/>
          <w:sz w:val="24"/>
          <w:szCs w:val="24"/>
        </w:rPr>
        <w:t>Katsiampa</w:t>
      </w:r>
      <w:proofErr w:type="spellEnd"/>
      <w:r>
        <w:rPr>
          <w:rFonts w:ascii="Garamond" w:hAnsi="Garamond"/>
          <w:sz w:val="24"/>
          <w:szCs w:val="24"/>
        </w:rPr>
        <w:t xml:space="preserve">, </w:t>
      </w:r>
      <w:r w:rsidR="008E75A2">
        <w:rPr>
          <w:rFonts w:ascii="Garamond" w:hAnsi="Garamond"/>
          <w:sz w:val="24"/>
          <w:szCs w:val="24"/>
        </w:rPr>
        <w:t xml:space="preserve">2020, </w:t>
      </w:r>
      <w:r>
        <w:rPr>
          <w:rFonts w:ascii="Garamond" w:hAnsi="Garamond"/>
          <w:sz w:val="24"/>
          <w:szCs w:val="24"/>
        </w:rPr>
        <w:t>among others</w:t>
      </w:r>
      <w:r w:rsidR="00362CB2">
        <w:rPr>
          <w:rFonts w:ascii="Garamond" w:hAnsi="Garamond"/>
          <w:sz w:val="24"/>
          <w:szCs w:val="24"/>
        </w:rPr>
        <w:t>)</w:t>
      </w:r>
      <w:r w:rsidR="00155B8B">
        <w:rPr>
          <w:rFonts w:ascii="Garamond" w:hAnsi="Garamond"/>
          <w:sz w:val="24"/>
          <w:szCs w:val="24"/>
        </w:rPr>
        <w:t>.</w:t>
      </w:r>
      <w:r>
        <w:rPr>
          <w:rFonts w:ascii="Garamond" w:hAnsi="Garamond"/>
          <w:sz w:val="24"/>
          <w:szCs w:val="24"/>
        </w:rPr>
        <w:t xml:space="preserve"> </w:t>
      </w:r>
      <w:r w:rsidR="00362CB2" w:rsidRPr="009E00D2">
        <w:rPr>
          <w:rFonts w:ascii="Garamond" w:hAnsi="Garamond"/>
          <w:sz w:val="24"/>
          <w:szCs w:val="24"/>
          <w:lang w:val="en-GB"/>
        </w:rPr>
        <w:t xml:space="preserve">Mukherji (2011) shows that, although mean reversion in stock returns has weakened in recent decades, it persists, particularly for small company </w:t>
      </w:r>
      <w:r w:rsidR="00362CB2" w:rsidRPr="00627F62">
        <w:rPr>
          <w:rFonts w:ascii="Garamond" w:hAnsi="Garamond"/>
          <w:sz w:val="24"/>
          <w:szCs w:val="24"/>
          <w:lang w:val="en-GB"/>
        </w:rPr>
        <w:t>stocks.</w:t>
      </w:r>
      <w:r w:rsidR="00BC383A" w:rsidRPr="00627F62">
        <w:rPr>
          <w:rFonts w:ascii="Garamond" w:hAnsi="Garamond"/>
          <w:sz w:val="24"/>
          <w:szCs w:val="24"/>
        </w:rPr>
        <w:t xml:space="preserve"> </w:t>
      </w:r>
      <w:r w:rsidR="00BC383A" w:rsidRPr="00627F62">
        <w:rPr>
          <w:rFonts w:ascii="Garamond" w:hAnsi="Garamond"/>
          <w:color w:val="FF0000"/>
          <w:sz w:val="24"/>
          <w:szCs w:val="24"/>
          <w:lang w:val="en-GB"/>
        </w:rPr>
        <w:t>Nasir and Morgan (2018)</w:t>
      </w:r>
      <w:r w:rsidR="0050412F" w:rsidRPr="00627F62">
        <w:rPr>
          <w:rFonts w:ascii="Garamond" w:hAnsi="Garamond"/>
          <w:color w:val="FF0000"/>
          <w:sz w:val="24"/>
          <w:szCs w:val="24"/>
        </w:rPr>
        <w:t xml:space="preserve"> discuss </w:t>
      </w:r>
      <w:r w:rsidR="0050412F" w:rsidRPr="00627F62">
        <w:rPr>
          <w:rFonts w:ascii="Garamond" w:hAnsi="Garamond"/>
          <w:color w:val="FF0000"/>
          <w:sz w:val="24"/>
          <w:szCs w:val="24"/>
          <w:lang w:val="en-GB"/>
        </w:rPr>
        <w:lastRenderedPageBreak/>
        <w:t>practical contradiction regarding central bank policy and the problem of unit roots</w:t>
      </w:r>
      <w:r w:rsidR="00BC383A" w:rsidRPr="00627F62">
        <w:rPr>
          <w:rFonts w:ascii="Garamond" w:hAnsi="Garamond"/>
          <w:color w:val="FF0000"/>
          <w:sz w:val="24"/>
          <w:szCs w:val="24"/>
          <w:lang w:val="en-GB"/>
        </w:rPr>
        <w:t>.</w:t>
      </w:r>
      <w:r w:rsidR="0082320F" w:rsidRPr="0050412F">
        <w:rPr>
          <w:rFonts w:ascii="Garamond" w:hAnsi="Garamond"/>
          <w:color w:val="FF0000"/>
          <w:sz w:val="24"/>
          <w:szCs w:val="24"/>
          <w:lang w:val="en-GB"/>
        </w:rPr>
        <w:t xml:space="preserve"> </w:t>
      </w:r>
      <w:proofErr w:type="spellStart"/>
      <w:r w:rsidR="0082320F" w:rsidRPr="009E00D2">
        <w:rPr>
          <w:rFonts w:ascii="Garamond" w:hAnsi="Garamond"/>
          <w:sz w:val="24"/>
          <w:szCs w:val="24"/>
          <w:lang w:val="en-GB"/>
        </w:rPr>
        <w:t>Gropp</w:t>
      </w:r>
      <w:proofErr w:type="spellEnd"/>
      <w:r w:rsidR="0082320F" w:rsidRPr="009E00D2">
        <w:rPr>
          <w:rFonts w:ascii="Garamond" w:hAnsi="Garamond"/>
          <w:sz w:val="24"/>
          <w:szCs w:val="24"/>
          <w:lang w:val="en-GB"/>
        </w:rPr>
        <w:t xml:space="preserve"> (2004) using a panel method with equal</w:t>
      </w:r>
      <w:r w:rsidR="0082320F" w:rsidRPr="009E00D2">
        <w:rPr>
          <w:rFonts w:ascii="Times New Roman" w:hAnsi="Times New Roman" w:cs="Times New Roman"/>
          <w:sz w:val="24"/>
          <w:szCs w:val="24"/>
          <w:lang w:val="en-GB"/>
        </w:rPr>
        <w:t>‐</w:t>
      </w:r>
      <w:r w:rsidR="0082320F" w:rsidRPr="009E00D2">
        <w:rPr>
          <w:rFonts w:ascii="Garamond" w:hAnsi="Garamond"/>
          <w:sz w:val="24"/>
          <w:szCs w:val="24"/>
          <w:lang w:val="en-GB"/>
        </w:rPr>
        <w:t>weighted industry portfolios, finds evidence of mean reversion for NYSE and NASDAQ stocks during the periods 1926–1998, 1963–1998, and 1973–1998, respectively.</w:t>
      </w:r>
    </w:p>
    <w:p w14:paraId="44AF3EC9" w14:textId="51B70024" w:rsidR="00362CB2" w:rsidRDefault="00362CB2" w:rsidP="00362CB2">
      <w:pPr>
        <w:pStyle w:val="NoSpacing"/>
        <w:spacing w:line="480" w:lineRule="auto"/>
        <w:ind w:firstLine="708"/>
        <w:jc w:val="both"/>
        <w:rPr>
          <w:rFonts w:ascii="Garamond" w:hAnsi="Garamond"/>
          <w:sz w:val="24"/>
          <w:szCs w:val="24"/>
        </w:rPr>
      </w:pPr>
      <w:r>
        <w:rPr>
          <w:rFonts w:ascii="Garamond" w:hAnsi="Garamond"/>
          <w:sz w:val="24"/>
          <w:szCs w:val="24"/>
        </w:rPr>
        <w:t xml:space="preserve">The role of </w:t>
      </w:r>
      <w:r w:rsidR="00412983">
        <w:rPr>
          <w:rFonts w:ascii="Garamond" w:hAnsi="Garamond"/>
          <w:sz w:val="24"/>
          <w:szCs w:val="24"/>
        </w:rPr>
        <w:t xml:space="preserve">political and economic environments and </w:t>
      </w:r>
      <w:r>
        <w:rPr>
          <w:rFonts w:ascii="Garamond" w:hAnsi="Garamond"/>
          <w:sz w:val="24"/>
          <w:szCs w:val="24"/>
        </w:rPr>
        <w:t xml:space="preserve">extreme events on the speed of mean reversion has also been documented (Kim et al., 1991; Poterba and Summers, 1988). </w:t>
      </w:r>
      <w:r w:rsidR="005D63CD" w:rsidRPr="00644E26">
        <w:rPr>
          <w:rFonts w:ascii="Garamond" w:hAnsi="Garamond"/>
          <w:sz w:val="24"/>
          <w:szCs w:val="24"/>
        </w:rPr>
        <w:t>For international equity markets over the period 1990-2009, very high speeds of mean reversion are observed during times of high uncertainty such as the World War II, the Cold War and the Energy Crisis of 1979 and Black Monday in 1987 (</w:t>
      </w:r>
      <w:proofErr w:type="spellStart"/>
      <w:r w:rsidR="005D63CD" w:rsidRPr="00644E26">
        <w:rPr>
          <w:rFonts w:ascii="Garamond" w:hAnsi="Garamond"/>
          <w:sz w:val="24"/>
          <w:szCs w:val="24"/>
        </w:rPr>
        <w:t>Spierdijk</w:t>
      </w:r>
      <w:proofErr w:type="spellEnd"/>
      <w:r w:rsidR="005D63CD" w:rsidRPr="00644E26">
        <w:rPr>
          <w:rFonts w:ascii="Garamond" w:hAnsi="Garamond"/>
          <w:sz w:val="24"/>
          <w:szCs w:val="24"/>
        </w:rPr>
        <w:t xml:space="preserve"> et al., 2012).</w:t>
      </w:r>
      <w:r w:rsidR="005D63CD">
        <w:rPr>
          <w:rFonts w:ascii="Garamond" w:hAnsi="Garamond"/>
          <w:sz w:val="24"/>
          <w:szCs w:val="24"/>
        </w:rPr>
        <w:t xml:space="preserve"> </w:t>
      </w:r>
    </w:p>
    <w:p w14:paraId="108B14CE" w14:textId="562F404A" w:rsidR="00362CB2" w:rsidRPr="002E3A18" w:rsidRDefault="00362CB2">
      <w:pPr>
        <w:pStyle w:val="NoSpacing"/>
        <w:spacing w:line="480" w:lineRule="auto"/>
        <w:ind w:firstLine="708"/>
        <w:jc w:val="both"/>
        <w:rPr>
          <w:rFonts w:ascii="Garamond" w:hAnsi="Garamond"/>
          <w:sz w:val="24"/>
          <w:szCs w:val="24"/>
          <w:lang w:val="en-GB"/>
        </w:rPr>
      </w:pPr>
      <w:r>
        <w:rPr>
          <w:rFonts w:ascii="Garamond" w:hAnsi="Garamond"/>
          <w:sz w:val="24"/>
          <w:szCs w:val="24"/>
        </w:rPr>
        <w:t xml:space="preserve">In terms of international (non-US equity indices), </w:t>
      </w:r>
      <w:r>
        <w:rPr>
          <w:rFonts w:ascii="Garamond" w:hAnsi="Garamond"/>
          <w:sz w:val="24"/>
          <w:szCs w:val="24"/>
          <w:lang w:val="en-GB"/>
        </w:rPr>
        <w:t xml:space="preserve">Borges (2010) </w:t>
      </w:r>
      <w:r w:rsidR="00A4619B">
        <w:rPr>
          <w:rFonts w:ascii="Garamond" w:hAnsi="Garamond"/>
          <w:sz w:val="24"/>
          <w:szCs w:val="24"/>
          <w:lang w:val="en-GB"/>
        </w:rPr>
        <w:t xml:space="preserve">documents persistence in equity returns in France, Germany, </w:t>
      </w:r>
      <w:proofErr w:type="gramStart"/>
      <w:r w:rsidR="00A4619B">
        <w:rPr>
          <w:rFonts w:ascii="Garamond" w:hAnsi="Garamond"/>
          <w:sz w:val="24"/>
          <w:szCs w:val="24"/>
          <w:lang w:val="en-GB"/>
        </w:rPr>
        <w:t>UK</w:t>
      </w:r>
      <w:proofErr w:type="gramEnd"/>
      <w:r w:rsidR="00A4619B">
        <w:rPr>
          <w:rFonts w:ascii="Garamond" w:hAnsi="Garamond"/>
          <w:sz w:val="24"/>
          <w:szCs w:val="24"/>
          <w:lang w:val="en-GB"/>
        </w:rPr>
        <w:t xml:space="preserve"> and Spain. Similar findings of persistence are documented by </w:t>
      </w:r>
      <w:proofErr w:type="spellStart"/>
      <w:r w:rsidR="00A4619B" w:rsidRPr="009E00D2">
        <w:rPr>
          <w:rFonts w:ascii="Garamond" w:hAnsi="Garamond"/>
          <w:sz w:val="24"/>
          <w:szCs w:val="24"/>
          <w:lang w:val="en-GB"/>
        </w:rPr>
        <w:t>Caporale</w:t>
      </w:r>
      <w:proofErr w:type="spellEnd"/>
      <w:r w:rsidR="00A4619B" w:rsidRPr="009E00D2">
        <w:rPr>
          <w:rFonts w:ascii="Garamond" w:hAnsi="Garamond"/>
          <w:sz w:val="24"/>
          <w:szCs w:val="24"/>
          <w:lang w:val="en-GB"/>
        </w:rPr>
        <w:t xml:space="preserve"> et al. (2020) </w:t>
      </w:r>
      <w:r w:rsidR="00A4619B">
        <w:rPr>
          <w:rFonts w:ascii="Garamond" w:hAnsi="Garamond"/>
          <w:sz w:val="24"/>
          <w:szCs w:val="24"/>
          <w:lang w:val="en-GB"/>
        </w:rPr>
        <w:t xml:space="preserve">for the </w:t>
      </w:r>
      <w:r w:rsidR="00A4619B" w:rsidRPr="009E00D2">
        <w:rPr>
          <w:rFonts w:ascii="Garamond" w:hAnsi="Garamond"/>
          <w:sz w:val="24"/>
          <w:szCs w:val="24"/>
          <w:lang w:val="en-GB"/>
        </w:rPr>
        <w:t>FTSE100, DAX30, CAC40, IBEX35 and FTSE MIB40</w:t>
      </w:r>
      <w:r w:rsidR="00A4619B">
        <w:rPr>
          <w:rFonts w:ascii="Garamond" w:hAnsi="Garamond"/>
          <w:sz w:val="24"/>
          <w:szCs w:val="24"/>
          <w:lang w:val="en-GB"/>
        </w:rPr>
        <w:t xml:space="preserve"> indices. </w:t>
      </w:r>
      <w:r w:rsidR="0082320F">
        <w:rPr>
          <w:rFonts w:ascii="Garamond" w:hAnsi="Garamond"/>
          <w:sz w:val="24"/>
          <w:szCs w:val="24"/>
          <w:lang w:val="en-GB"/>
        </w:rPr>
        <w:t>Gil-Alana (2006), shows that for the DAX, FTSE100, S&amp;P500, CAC40 and Nikkei, the null hypothesis of unit root cannot be rejected, implying persistence</w:t>
      </w:r>
      <w:r w:rsidR="00462DCE">
        <w:rPr>
          <w:rFonts w:ascii="Garamond" w:hAnsi="Garamond"/>
          <w:sz w:val="24"/>
          <w:szCs w:val="24"/>
          <w:lang w:val="en-GB"/>
        </w:rPr>
        <w:t xml:space="preserve"> in returns</w:t>
      </w:r>
      <w:r w:rsidR="0082320F">
        <w:rPr>
          <w:rFonts w:ascii="Garamond" w:hAnsi="Garamond"/>
          <w:sz w:val="24"/>
          <w:szCs w:val="24"/>
          <w:lang w:val="en-GB"/>
        </w:rPr>
        <w:t>.</w:t>
      </w:r>
      <w:r w:rsidR="00DD65BF">
        <w:rPr>
          <w:rFonts w:ascii="Garamond" w:hAnsi="Garamond"/>
          <w:sz w:val="24"/>
          <w:szCs w:val="24"/>
          <w:lang w:val="en-GB"/>
        </w:rPr>
        <w:t xml:space="preserve"> </w:t>
      </w:r>
      <w:r w:rsidRPr="009E00D2">
        <w:rPr>
          <w:rFonts w:ascii="Garamond" w:hAnsi="Garamond"/>
          <w:sz w:val="24"/>
          <w:szCs w:val="24"/>
        </w:rPr>
        <w:t>Poon (1996) document</w:t>
      </w:r>
      <w:r>
        <w:rPr>
          <w:rFonts w:ascii="Garamond" w:hAnsi="Garamond"/>
          <w:sz w:val="24"/>
          <w:szCs w:val="24"/>
        </w:rPr>
        <w:t>s</w:t>
      </w:r>
      <w:r w:rsidRPr="009E00D2">
        <w:rPr>
          <w:rFonts w:ascii="Garamond" w:hAnsi="Garamond"/>
          <w:sz w:val="24"/>
          <w:szCs w:val="24"/>
        </w:rPr>
        <w:t xml:space="preserve"> no evidence of </w:t>
      </w:r>
      <w:r w:rsidR="009348EE">
        <w:rPr>
          <w:rFonts w:ascii="Garamond" w:hAnsi="Garamond"/>
          <w:sz w:val="24"/>
          <w:szCs w:val="24"/>
        </w:rPr>
        <w:t xml:space="preserve">mean </w:t>
      </w:r>
      <w:r w:rsidRPr="009E00D2">
        <w:rPr>
          <w:rFonts w:ascii="Garamond" w:hAnsi="Garamond"/>
          <w:sz w:val="24"/>
          <w:szCs w:val="24"/>
        </w:rPr>
        <w:t>reversion in the UK stock market</w:t>
      </w:r>
      <w:r w:rsidR="009348EE">
        <w:rPr>
          <w:rFonts w:ascii="Garamond" w:hAnsi="Garamond"/>
          <w:sz w:val="24"/>
          <w:szCs w:val="24"/>
        </w:rPr>
        <w:t>. Sauer and Chen (1996) analyze</w:t>
      </w:r>
      <w:r w:rsidRPr="009E00D2">
        <w:rPr>
          <w:rFonts w:ascii="Garamond" w:hAnsi="Garamond"/>
          <w:sz w:val="24"/>
          <w:szCs w:val="24"/>
        </w:rPr>
        <w:t xml:space="preserve"> </w:t>
      </w:r>
      <w:r w:rsidR="009348EE">
        <w:rPr>
          <w:rFonts w:ascii="Garamond" w:hAnsi="Garamond"/>
          <w:sz w:val="24"/>
          <w:szCs w:val="24"/>
        </w:rPr>
        <w:t>UK</w:t>
      </w:r>
      <w:r w:rsidRPr="009E00D2">
        <w:rPr>
          <w:rFonts w:ascii="Garamond" w:hAnsi="Garamond"/>
          <w:sz w:val="24"/>
          <w:szCs w:val="24"/>
        </w:rPr>
        <w:t xml:space="preserve"> stock market total returns over the period 1919 through 1990</w:t>
      </w:r>
      <w:r w:rsidR="009348EE">
        <w:rPr>
          <w:rFonts w:ascii="Garamond" w:hAnsi="Garamond"/>
          <w:sz w:val="24"/>
          <w:szCs w:val="24"/>
        </w:rPr>
        <w:t xml:space="preserve"> and</w:t>
      </w:r>
      <w:r w:rsidRPr="009E00D2">
        <w:rPr>
          <w:rFonts w:ascii="Garamond" w:hAnsi="Garamond"/>
          <w:sz w:val="24"/>
          <w:szCs w:val="24"/>
        </w:rPr>
        <w:t xml:space="preserve"> document statistically significant mean reversion only during the pre</w:t>
      </w:r>
      <w:r w:rsidRPr="009E00D2">
        <w:rPr>
          <w:rFonts w:ascii="Times New Roman" w:hAnsi="Times New Roman" w:cs="Times New Roman"/>
          <w:sz w:val="24"/>
          <w:szCs w:val="24"/>
        </w:rPr>
        <w:t>‐</w:t>
      </w:r>
      <w:r w:rsidRPr="009E00D2">
        <w:rPr>
          <w:rFonts w:ascii="Garamond" w:hAnsi="Garamond"/>
          <w:sz w:val="24"/>
          <w:szCs w:val="24"/>
        </w:rPr>
        <w:t>war sub</w:t>
      </w:r>
      <w:r w:rsidR="009348EE">
        <w:rPr>
          <w:rFonts w:ascii="Garamond" w:hAnsi="Garamond"/>
          <w:sz w:val="24"/>
          <w:szCs w:val="24"/>
        </w:rPr>
        <w:t>-</w:t>
      </w:r>
      <w:r w:rsidRPr="009E00D2">
        <w:rPr>
          <w:rFonts w:ascii="Garamond" w:hAnsi="Garamond"/>
          <w:sz w:val="24"/>
          <w:szCs w:val="24"/>
        </w:rPr>
        <w:t xml:space="preserve">period. </w:t>
      </w:r>
    </w:p>
    <w:p w14:paraId="7088870D" w14:textId="5BE92D93" w:rsidR="00405E61" w:rsidRPr="009E00D2" w:rsidRDefault="005D63CD" w:rsidP="00405E61">
      <w:pPr>
        <w:pStyle w:val="NoSpacing"/>
        <w:spacing w:line="480" w:lineRule="auto"/>
        <w:ind w:firstLine="708"/>
        <w:jc w:val="both"/>
        <w:rPr>
          <w:rFonts w:ascii="Garamond" w:hAnsi="Garamond"/>
          <w:sz w:val="24"/>
          <w:szCs w:val="24"/>
          <w:lang w:val="en-GB"/>
        </w:rPr>
      </w:pPr>
      <w:r w:rsidRPr="005D63CD">
        <w:rPr>
          <w:rFonts w:ascii="Garamond" w:hAnsi="Garamond"/>
          <w:sz w:val="24"/>
          <w:szCs w:val="24"/>
        </w:rPr>
        <w:t>Results on the mean-reversion characteristics of precious metals are rather mixed</w:t>
      </w:r>
      <w:r w:rsidR="0022312E">
        <w:rPr>
          <w:rFonts w:ascii="Garamond" w:hAnsi="Garamond"/>
          <w:sz w:val="24"/>
          <w:szCs w:val="24"/>
        </w:rPr>
        <w:t xml:space="preserve">, with the greatest </w:t>
      </w:r>
      <w:r w:rsidR="00EE454E">
        <w:rPr>
          <w:rFonts w:ascii="Garamond" w:hAnsi="Garamond"/>
          <w:sz w:val="24"/>
          <w:szCs w:val="24"/>
        </w:rPr>
        <w:t>contradiction in findings for gold</w:t>
      </w:r>
      <w:r w:rsidRPr="005D63CD">
        <w:rPr>
          <w:rFonts w:ascii="Garamond" w:hAnsi="Garamond"/>
          <w:sz w:val="24"/>
          <w:szCs w:val="24"/>
        </w:rPr>
        <w:t xml:space="preserve">. </w:t>
      </w:r>
      <w:r w:rsidR="00405E61">
        <w:rPr>
          <w:rFonts w:ascii="Garamond" w:hAnsi="Garamond"/>
          <w:sz w:val="24"/>
          <w:szCs w:val="24"/>
          <w:lang w:val="en-GB"/>
        </w:rPr>
        <w:t>Cheung and Lai (1993) document evidence of unstable long-term memory behaviour in gold returns.</w:t>
      </w:r>
      <w:r w:rsidR="00405E61" w:rsidRPr="005D63CD">
        <w:rPr>
          <w:rFonts w:ascii="Garamond" w:hAnsi="Garamond"/>
          <w:sz w:val="24"/>
          <w:szCs w:val="24"/>
        </w:rPr>
        <w:t xml:space="preserve"> </w:t>
      </w:r>
      <w:r w:rsidR="00EE454E">
        <w:rPr>
          <w:rFonts w:ascii="Garamond" w:hAnsi="Garamond"/>
          <w:sz w:val="24"/>
          <w:szCs w:val="24"/>
          <w:lang w:val="en-GB"/>
        </w:rPr>
        <w:t xml:space="preserve">Adebola et al. (2019) </w:t>
      </w:r>
      <w:r w:rsidR="00EE454E" w:rsidRPr="009E00D2">
        <w:rPr>
          <w:rFonts w:ascii="Garamond" w:hAnsi="Garamond"/>
          <w:sz w:val="24"/>
          <w:szCs w:val="24"/>
          <w:lang w:val="en-GB"/>
        </w:rPr>
        <w:t>find</w:t>
      </w:r>
      <w:r w:rsidR="00EE454E">
        <w:rPr>
          <w:rFonts w:ascii="Garamond" w:hAnsi="Garamond"/>
          <w:sz w:val="24"/>
          <w:szCs w:val="24"/>
          <w:lang w:val="en-GB"/>
        </w:rPr>
        <w:t>s</w:t>
      </w:r>
      <w:r w:rsidR="00EE454E" w:rsidRPr="009E00D2">
        <w:rPr>
          <w:rFonts w:ascii="Garamond" w:hAnsi="Garamond"/>
          <w:sz w:val="24"/>
          <w:szCs w:val="24"/>
          <w:lang w:val="en-GB"/>
        </w:rPr>
        <w:t xml:space="preserve"> some evidence of mean reversion in gold prices</w:t>
      </w:r>
      <w:r w:rsidR="00EE454E">
        <w:rPr>
          <w:rFonts w:ascii="Garamond" w:hAnsi="Garamond"/>
          <w:sz w:val="24"/>
          <w:szCs w:val="24"/>
          <w:lang w:val="en-GB"/>
        </w:rPr>
        <w:t>, while</w:t>
      </w:r>
      <w:r w:rsidR="00EE454E" w:rsidRPr="009E00D2">
        <w:rPr>
          <w:rFonts w:ascii="Garamond" w:hAnsi="Garamond"/>
          <w:sz w:val="24"/>
          <w:szCs w:val="24"/>
          <w:lang w:val="en-GB"/>
        </w:rPr>
        <w:t xml:space="preserve"> </w:t>
      </w:r>
      <w:proofErr w:type="spellStart"/>
      <w:r w:rsidR="00EE454E">
        <w:rPr>
          <w:rFonts w:ascii="Garamond" w:hAnsi="Garamond"/>
          <w:sz w:val="24"/>
          <w:szCs w:val="24"/>
          <w:lang w:val="en-GB"/>
        </w:rPr>
        <w:t>Uludag</w:t>
      </w:r>
      <w:proofErr w:type="spellEnd"/>
      <w:r w:rsidR="00EE454E">
        <w:rPr>
          <w:rFonts w:ascii="Garamond" w:hAnsi="Garamond"/>
          <w:sz w:val="24"/>
          <w:szCs w:val="24"/>
          <w:lang w:val="en-GB"/>
        </w:rPr>
        <w:t xml:space="preserve"> et al. (2014) document moderate evidence in favour of mean-aversion of gold. </w:t>
      </w:r>
      <w:r w:rsidRPr="002E3A18">
        <w:rPr>
          <w:rFonts w:ascii="Garamond" w:hAnsi="Garamond"/>
          <w:sz w:val="24"/>
          <w:szCs w:val="24"/>
        </w:rPr>
        <w:t xml:space="preserve">Urquhart (2015) investigates the mean reversion properties of gold, </w:t>
      </w:r>
      <w:proofErr w:type="gramStart"/>
      <w:r w:rsidRPr="002E3A18">
        <w:rPr>
          <w:rFonts w:ascii="Garamond" w:hAnsi="Garamond"/>
          <w:sz w:val="24"/>
          <w:szCs w:val="24"/>
        </w:rPr>
        <w:t>silver</w:t>
      </w:r>
      <w:proofErr w:type="gramEnd"/>
      <w:r w:rsidRPr="002E3A18">
        <w:rPr>
          <w:rFonts w:ascii="Garamond" w:hAnsi="Garamond"/>
          <w:sz w:val="24"/>
          <w:szCs w:val="24"/>
        </w:rPr>
        <w:t xml:space="preserve"> and platinum over the period January 1987 to September 2014. Using different statistical techniques, he finds that each metal goes through phases of predictability and unpredictability. The paper concludes that of the three metals studied, platinum is the most predictable. </w:t>
      </w:r>
      <w:r w:rsidR="00EE454E">
        <w:rPr>
          <w:rFonts w:ascii="Garamond" w:hAnsi="Garamond"/>
          <w:sz w:val="24"/>
          <w:szCs w:val="24"/>
          <w:lang w:val="en-GB"/>
        </w:rPr>
        <w:t xml:space="preserve">Gil-Alana et al. (2015) </w:t>
      </w:r>
      <w:r w:rsidR="00EE454E" w:rsidRPr="009E00D2">
        <w:rPr>
          <w:rFonts w:ascii="Garamond" w:hAnsi="Garamond"/>
          <w:sz w:val="24"/>
          <w:szCs w:val="24"/>
          <w:lang w:val="en-GB"/>
        </w:rPr>
        <w:t>document</w:t>
      </w:r>
      <w:r w:rsidR="00EE454E">
        <w:rPr>
          <w:rFonts w:ascii="Garamond" w:hAnsi="Garamond"/>
          <w:sz w:val="24"/>
          <w:szCs w:val="24"/>
          <w:lang w:val="en-GB"/>
        </w:rPr>
        <w:t>s</w:t>
      </w:r>
      <w:r w:rsidR="00EE454E" w:rsidRPr="009E00D2">
        <w:rPr>
          <w:rFonts w:ascii="Garamond" w:hAnsi="Garamond"/>
          <w:sz w:val="24"/>
          <w:szCs w:val="24"/>
          <w:lang w:val="en-GB"/>
        </w:rPr>
        <w:t xml:space="preserve"> persistence across time for gold, </w:t>
      </w:r>
      <w:proofErr w:type="gramStart"/>
      <w:r w:rsidR="00EE454E" w:rsidRPr="009E00D2">
        <w:rPr>
          <w:rFonts w:ascii="Garamond" w:hAnsi="Garamond"/>
          <w:sz w:val="24"/>
          <w:szCs w:val="24"/>
          <w:lang w:val="en-GB"/>
        </w:rPr>
        <w:t>rhodium</w:t>
      </w:r>
      <w:proofErr w:type="gramEnd"/>
      <w:r w:rsidR="00EE454E" w:rsidRPr="009E00D2">
        <w:rPr>
          <w:rFonts w:ascii="Garamond" w:hAnsi="Garamond"/>
          <w:sz w:val="24"/>
          <w:szCs w:val="24"/>
          <w:lang w:val="en-GB"/>
        </w:rPr>
        <w:t xml:space="preserve"> and palladium</w:t>
      </w:r>
      <w:r w:rsidR="00EE454E">
        <w:rPr>
          <w:rFonts w:ascii="Garamond" w:hAnsi="Garamond"/>
          <w:sz w:val="24"/>
          <w:szCs w:val="24"/>
          <w:lang w:val="en-GB"/>
        </w:rPr>
        <w:t xml:space="preserve"> due to structural breaks. </w:t>
      </w:r>
      <w:r w:rsidRPr="002E3A18">
        <w:rPr>
          <w:rFonts w:ascii="Garamond" w:hAnsi="Garamond"/>
          <w:sz w:val="24"/>
          <w:szCs w:val="24"/>
        </w:rPr>
        <w:t xml:space="preserve">Lucey </w:t>
      </w:r>
      <w:r w:rsidRPr="002E3A18">
        <w:rPr>
          <w:rFonts w:ascii="Garamond" w:hAnsi="Garamond"/>
          <w:sz w:val="24"/>
          <w:szCs w:val="24"/>
        </w:rPr>
        <w:lastRenderedPageBreak/>
        <w:t xml:space="preserve">and Li (2015) investigate the </w:t>
      </w:r>
      <w:proofErr w:type="gramStart"/>
      <w:r w:rsidRPr="002E3A18">
        <w:rPr>
          <w:rFonts w:ascii="Garamond" w:hAnsi="Garamond"/>
          <w:sz w:val="24"/>
          <w:szCs w:val="24"/>
        </w:rPr>
        <w:t>safe haven</w:t>
      </w:r>
      <w:proofErr w:type="gramEnd"/>
      <w:r w:rsidRPr="002E3A18">
        <w:rPr>
          <w:rFonts w:ascii="Garamond" w:hAnsi="Garamond"/>
          <w:sz w:val="24"/>
          <w:szCs w:val="24"/>
        </w:rPr>
        <w:t xml:space="preserve"> properties of gold, silver, platinum and palladium for the U.S. They find that for some periods of time, silver, </w:t>
      </w:r>
      <w:proofErr w:type="gramStart"/>
      <w:r w:rsidRPr="002E3A18">
        <w:rPr>
          <w:rFonts w:ascii="Garamond" w:hAnsi="Garamond"/>
          <w:sz w:val="24"/>
          <w:szCs w:val="24"/>
        </w:rPr>
        <w:t>platinum</w:t>
      </w:r>
      <w:proofErr w:type="gramEnd"/>
      <w:r w:rsidRPr="002E3A18">
        <w:rPr>
          <w:rFonts w:ascii="Garamond" w:hAnsi="Garamond"/>
          <w:sz w:val="24"/>
          <w:szCs w:val="24"/>
        </w:rPr>
        <w:t xml:space="preserve"> and palladium act as safe havens (high mean reversion) while gold does not.</w:t>
      </w:r>
      <w:r>
        <w:rPr>
          <w:rFonts w:ascii="Garamond" w:hAnsi="Garamond"/>
          <w:sz w:val="24"/>
          <w:szCs w:val="24"/>
        </w:rPr>
        <w:t xml:space="preserve"> </w:t>
      </w:r>
      <w:proofErr w:type="spellStart"/>
      <w:r w:rsidR="00405E61">
        <w:rPr>
          <w:rFonts w:ascii="Garamond" w:hAnsi="Garamond"/>
          <w:sz w:val="24"/>
          <w:szCs w:val="24"/>
          <w:lang w:val="en-GB"/>
        </w:rPr>
        <w:t>Adewuyi</w:t>
      </w:r>
      <w:proofErr w:type="spellEnd"/>
      <w:r w:rsidR="00405E61">
        <w:rPr>
          <w:rFonts w:ascii="Garamond" w:hAnsi="Garamond"/>
          <w:sz w:val="24"/>
          <w:szCs w:val="24"/>
          <w:lang w:val="en-GB"/>
        </w:rPr>
        <w:t xml:space="preserve"> et al (2020) use linearity structures of metal prices with structural breaks and find evidence of stationarity for gold, palladium, </w:t>
      </w:r>
      <w:proofErr w:type="gramStart"/>
      <w:r w:rsidR="00405E61">
        <w:rPr>
          <w:rFonts w:ascii="Garamond" w:hAnsi="Garamond"/>
          <w:sz w:val="24"/>
          <w:szCs w:val="24"/>
          <w:lang w:val="en-GB"/>
        </w:rPr>
        <w:t>platinum</w:t>
      </w:r>
      <w:proofErr w:type="gramEnd"/>
      <w:r w:rsidR="00405E61">
        <w:rPr>
          <w:rFonts w:ascii="Garamond" w:hAnsi="Garamond"/>
          <w:sz w:val="24"/>
          <w:szCs w:val="24"/>
          <w:lang w:val="en-GB"/>
        </w:rPr>
        <w:t xml:space="preserve"> and silver. </w:t>
      </w:r>
    </w:p>
    <w:p w14:paraId="63285125" w14:textId="181EBB94" w:rsidR="00CD0B9B" w:rsidRPr="00D330C4" w:rsidRDefault="005D63CD" w:rsidP="00CD0B9B">
      <w:pPr>
        <w:pStyle w:val="NoSpacing"/>
        <w:spacing w:line="480" w:lineRule="auto"/>
        <w:ind w:firstLine="708"/>
        <w:jc w:val="both"/>
        <w:rPr>
          <w:rFonts w:ascii="Garamond" w:eastAsia="Times New Roman" w:hAnsi="Garamond" w:cs="Calibri"/>
          <w:color w:val="FF0000"/>
          <w:sz w:val="24"/>
          <w:szCs w:val="24"/>
          <w:lang w:val="en-GB" w:eastAsia="en-GB"/>
        </w:rPr>
      </w:pPr>
      <w:r>
        <w:rPr>
          <w:rFonts w:ascii="Garamond" w:hAnsi="Garamond"/>
          <w:sz w:val="24"/>
          <w:szCs w:val="24"/>
        </w:rPr>
        <w:t>There are numerous studies on mean reversion in the new asset class of cryptocurrencies</w:t>
      </w:r>
      <w:r w:rsidR="002F7988">
        <w:rPr>
          <w:rFonts w:ascii="Garamond" w:hAnsi="Garamond"/>
          <w:sz w:val="24"/>
          <w:szCs w:val="24"/>
        </w:rPr>
        <w:t xml:space="preserve">, </w:t>
      </w:r>
      <w:r w:rsidR="00CD0B9B">
        <w:rPr>
          <w:rFonts w:ascii="Garamond" w:hAnsi="Garamond"/>
          <w:sz w:val="24"/>
          <w:szCs w:val="24"/>
        </w:rPr>
        <w:t>most of which focus on the Bitcoin. Results, however, remain large</w:t>
      </w:r>
      <w:r w:rsidR="002F7988">
        <w:rPr>
          <w:rFonts w:ascii="Garamond" w:hAnsi="Garamond"/>
          <w:sz w:val="24"/>
          <w:szCs w:val="24"/>
        </w:rPr>
        <w:t xml:space="preserve">ly mixed. </w:t>
      </w:r>
      <w:r w:rsidR="00CD0B9B" w:rsidRPr="00DB74CB">
        <w:rPr>
          <w:rFonts w:ascii="Garamond" w:eastAsia="Times New Roman" w:hAnsi="Garamond" w:cs="Calibri"/>
          <w:sz w:val="24"/>
          <w:szCs w:val="24"/>
          <w:lang w:val="en-GB" w:eastAsia="en-GB"/>
        </w:rPr>
        <w:t xml:space="preserve">Urquhart (2016) </w:t>
      </w:r>
      <w:r w:rsidR="00CD0B9B">
        <w:rPr>
          <w:rFonts w:ascii="Garamond" w:eastAsia="Times New Roman" w:hAnsi="Garamond" w:cs="Calibri"/>
          <w:sz w:val="24"/>
          <w:szCs w:val="24"/>
          <w:lang w:val="en-GB" w:eastAsia="en-GB"/>
        </w:rPr>
        <w:t xml:space="preserve">and Wei (2018) </w:t>
      </w:r>
      <w:r w:rsidR="00CD0B9B" w:rsidRPr="00DB74CB">
        <w:rPr>
          <w:rFonts w:ascii="Garamond" w:eastAsia="Times New Roman" w:hAnsi="Garamond" w:cs="Calibri"/>
          <w:sz w:val="24"/>
          <w:szCs w:val="24"/>
          <w:lang w:val="en-GB" w:eastAsia="en-GB"/>
        </w:rPr>
        <w:t xml:space="preserve">document increasing efficiency over time for </w:t>
      </w:r>
      <w:r w:rsidR="00D10550">
        <w:rPr>
          <w:rFonts w:ascii="Garamond" w:eastAsia="Times New Roman" w:hAnsi="Garamond" w:cs="Calibri"/>
          <w:sz w:val="24"/>
          <w:szCs w:val="24"/>
          <w:lang w:val="en-GB" w:eastAsia="en-GB"/>
        </w:rPr>
        <w:t>the Bitcoin</w:t>
      </w:r>
      <w:r w:rsidR="00A470B2">
        <w:rPr>
          <w:rFonts w:ascii="Garamond" w:eastAsia="Times New Roman" w:hAnsi="Garamond" w:cs="Calibri"/>
          <w:sz w:val="24"/>
          <w:szCs w:val="24"/>
          <w:lang w:val="en-GB" w:eastAsia="en-GB"/>
        </w:rPr>
        <w:t xml:space="preserve">, showing </w:t>
      </w:r>
      <w:r w:rsidR="00A470B2" w:rsidRPr="00A470B2">
        <w:rPr>
          <w:rFonts w:ascii="Garamond" w:eastAsia="Times New Roman" w:hAnsi="Garamond" w:cs="Calibri"/>
          <w:sz w:val="24"/>
          <w:szCs w:val="24"/>
          <w:lang w:val="en-GB" w:eastAsia="en-GB"/>
        </w:rPr>
        <w:t>evidence of anti-persistence</w:t>
      </w:r>
      <w:r w:rsidR="00D10550">
        <w:rPr>
          <w:rFonts w:ascii="Garamond" w:eastAsia="Times New Roman" w:hAnsi="Garamond" w:cs="Calibri"/>
          <w:sz w:val="24"/>
          <w:szCs w:val="24"/>
          <w:lang w:val="en-GB" w:eastAsia="en-GB"/>
        </w:rPr>
        <w:t xml:space="preserve">. </w:t>
      </w:r>
      <w:r w:rsidR="00D10550" w:rsidRPr="009E00D2">
        <w:rPr>
          <w:rFonts w:ascii="Garamond" w:eastAsia="Times New Roman" w:hAnsi="Garamond" w:cs="Calibri"/>
          <w:sz w:val="24"/>
          <w:szCs w:val="24"/>
          <w:lang w:val="en-GB" w:eastAsia="en-GB"/>
        </w:rPr>
        <w:t xml:space="preserve">Philippe et al. (2018) document long memory and oscillating persistence </w:t>
      </w:r>
      <w:r w:rsidR="00D10550">
        <w:rPr>
          <w:rFonts w:ascii="Garamond" w:eastAsia="Times New Roman" w:hAnsi="Garamond" w:cs="Calibri"/>
          <w:sz w:val="24"/>
          <w:szCs w:val="24"/>
          <w:lang w:val="en-GB" w:eastAsia="en-GB"/>
        </w:rPr>
        <w:t xml:space="preserve">for the Bitcoin, while </w:t>
      </w:r>
      <w:proofErr w:type="spellStart"/>
      <w:r w:rsidR="00D10550" w:rsidRPr="009E00D2">
        <w:rPr>
          <w:rFonts w:ascii="Garamond" w:eastAsia="Times New Roman" w:hAnsi="Garamond" w:cs="Calibri"/>
          <w:sz w:val="24"/>
          <w:szCs w:val="24"/>
          <w:lang w:val="en-GB" w:eastAsia="en-GB"/>
        </w:rPr>
        <w:t>Turatti</w:t>
      </w:r>
      <w:proofErr w:type="spellEnd"/>
      <w:r w:rsidR="00D10550" w:rsidRPr="009E00D2">
        <w:rPr>
          <w:rFonts w:ascii="Garamond" w:eastAsia="Times New Roman" w:hAnsi="Garamond" w:cs="Calibri"/>
          <w:sz w:val="24"/>
          <w:szCs w:val="24"/>
          <w:lang w:val="en-GB" w:eastAsia="en-GB"/>
        </w:rPr>
        <w:t xml:space="preserve"> et al. (</w:t>
      </w:r>
      <w:r w:rsidR="00D814F0">
        <w:rPr>
          <w:rFonts w:ascii="Garamond" w:eastAsia="Times New Roman" w:hAnsi="Garamond" w:cs="Calibri"/>
          <w:sz w:val="24"/>
          <w:szCs w:val="24"/>
          <w:lang w:val="en-GB" w:eastAsia="en-GB"/>
        </w:rPr>
        <w:t>2020</w:t>
      </w:r>
      <w:r w:rsidR="00D10550" w:rsidRPr="009E00D2">
        <w:rPr>
          <w:rFonts w:ascii="Garamond" w:eastAsia="Times New Roman" w:hAnsi="Garamond" w:cs="Calibri"/>
          <w:sz w:val="24"/>
          <w:szCs w:val="24"/>
          <w:lang w:val="en-GB" w:eastAsia="en-GB"/>
        </w:rPr>
        <w:t xml:space="preserve">) </w:t>
      </w:r>
      <w:r w:rsidR="00D10550">
        <w:rPr>
          <w:rFonts w:ascii="Garamond" w:eastAsia="Times New Roman" w:hAnsi="Garamond" w:cs="Calibri"/>
          <w:sz w:val="24"/>
          <w:szCs w:val="24"/>
          <w:lang w:val="en-GB" w:eastAsia="en-GB"/>
        </w:rPr>
        <w:t xml:space="preserve">provide evidence in favour of </w:t>
      </w:r>
      <w:r w:rsidR="00D10550" w:rsidRPr="009E00D2">
        <w:rPr>
          <w:rFonts w:ascii="Garamond" w:eastAsia="Times New Roman" w:hAnsi="Garamond" w:cs="Calibri"/>
          <w:sz w:val="24"/>
          <w:szCs w:val="24"/>
          <w:lang w:val="en-GB" w:eastAsia="en-GB"/>
        </w:rPr>
        <w:t xml:space="preserve">strong mean-aversion </w:t>
      </w:r>
      <w:r w:rsidR="00D10550">
        <w:rPr>
          <w:rFonts w:ascii="Garamond" w:eastAsia="Times New Roman" w:hAnsi="Garamond" w:cs="Calibri"/>
          <w:sz w:val="24"/>
          <w:szCs w:val="24"/>
          <w:lang w:val="en-GB" w:eastAsia="en-GB"/>
        </w:rPr>
        <w:t xml:space="preserve">for the Bitcoin. </w:t>
      </w:r>
      <w:r w:rsidR="00D10550" w:rsidRPr="009E00D2">
        <w:rPr>
          <w:rFonts w:ascii="Garamond" w:hAnsi="Garamond"/>
          <w:sz w:val="24"/>
          <w:szCs w:val="24"/>
        </w:rPr>
        <w:t>Corbet and</w:t>
      </w:r>
      <w:r w:rsidR="00D10550" w:rsidRPr="009E00D2">
        <w:rPr>
          <w:rFonts w:ascii="Garamond" w:hAnsi="Garamond"/>
        </w:rPr>
        <w:t xml:space="preserve"> </w:t>
      </w:r>
      <w:proofErr w:type="spellStart"/>
      <w:r w:rsidR="00D10550" w:rsidRPr="009E00D2">
        <w:rPr>
          <w:rFonts w:ascii="Garamond" w:hAnsi="Garamond"/>
          <w:sz w:val="24"/>
          <w:szCs w:val="24"/>
        </w:rPr>
        <w:t>Katsiampa</w:t>
      </w:r>
      <w:proofErr w:type="spellEnd"/>
      <w:r w:rsidR="00D10550" w:rsidRPr="009E00D2">
        <w:rPr>
          <w:rFonts w:ascii="Garamond" w:hAnsi="Garamond"/>
          <w:sz w:val="24"/>
          <w:szCs w:val="24"/>
        </w:rPr>
        <w:t xml:space="preserve"> (2020) document that Bitcoin exhibits similar asymmetric reverting patterns for minutely, hourly, </w:t>
      </w:r>
      <w:proofErr w:type="gramStart"/>
      <w:r w:rsidR="00D10550" w:rsidRPr="009E00D2">
        <w:rPr>
          <w:rFonts w:ascii="Garamond" w:hAnsi="Garamond"/>
          <w:sz w:val="24"/>
          <w:szCs w:val="24"/>
        </w:rPr>
        <w:t>daily</w:t>
      </w:r>
      <w:proofErr w:type="gramEnd"/>
      <w:r w:rsidR="00D10550" w:rsidRPr="009E00D2">
        <w:rPr>
          <w:rFonts w:ascii="Garamond" w:hAnsi="Garamond"/>
          <w:sz w:val="24"/>
          <w:szCs w:val="24"/>
        </w:rPr>
        <w:t xml:space="preserve"> and weekly returns between June 2010 and February 2018. </w:t>
      </w:r>
      <w:proofErr w:type="spellStart"/>
      <w:r w:rsidR="00CD0B9B">
        <w:rPr>
          <w:rFonts w:ascii="Garamond" w:eastAsia="Times New Roman" w:hAnsi="Garamond" w:cs="Calibri"/>
          <w:sz w:val="24"/>
          <w:szCs w:val="24"/>
          <w:lang w:val="en-GB" w:eastAsia="en-GB"/>
        </w:rPr>
        <w:t>Caporale</w:t>
      </w:r>
      <w:proofErr w:type="spellEnd"/>
      <w:r w:rsidR="00CD0B9B">
        <w:rPr>
          <w:rFonts w:ascii="Garamond" w:eastAsia="Times New Roman" w:hAnsi="Garamond" w:cs="Calibri"/>
          <w:sz w:val="24"/>
          <w:szCs w:val="24"/>
          <w:lang w:val="en-GB" w:eastAsia="en-GB"/>
        </w:rPr>
        <w:t xml:space="preserve"> et al. (2018) studies</w:t>
      </w:r>
      <w:r w:rsidR="00CD0B9B" w:rsidRPr="009E00D2">
        <w:rPr>
          <w:rFonts w:ascii="Garamond" w:eastAsia="Times New Roman" w:hAnsi="Garamond" w:cs="Calibri"/>
          <w:sz w:val="24"/>
          <w:szCs w:val="24"/>
          <w:lang w:val="en-GB" w:eastAsia="en-GB"/>
        </w:rPr>
        <w:t xml:space="preserve"> </w:t>
      </w:r>
      <w:r w:rsidR="00CD0B9B">
        <w:rPr>
          <w:rFonts w:ascii="Garamond" w:eastAsia="Times New Roman" w:hAnsi="Garamond" w:cs="Calibri"/>
          <w:sz w:val="24"/>
          <w:szCs w:val="24"/>
          <w:lang w:val="en-GB" w:eastAsia="en-GB"/>
        </w:rPr>
        <w:t>f</w:t>
      </w:r>
      <w:r w:rsidR="00CD0B9B" w:rsidRPr="009E00D2">
        <w:rPr>
          <w:rFonts w:ascii="Garamond" w:eastAsia="Times New Roman" w:hAnsi="Garamond" w:cs="Calibri"/>
          <w:sz w:val="24"/>
          <w:szCs w:val="24"/>
          <w:lang w:val="en-GB" w:eastAsia="en-GB"/>
        </w:rPr>
        <w:t>our cryptocurrencies – Bitcoin, Litecoin, Ripple and Dash over the period 2013-2017 and document</w:t>
      </w:r>
      <w:r w:rsidR="00CD0B9B">
        <w:rPr>
          <w:rFonts w:ascii="Garamond" w:eastAsia="Times New Roman" w:hAnsi="Garamond" w:cs="Calibri"/>
          <w:sz w:val="24"/>
          <w:szCs w:val="24"/>
          <w:lang w:val="en-GB" w:eastAsia="en-GB"/>
        </w:rPr>
        <w:t>s</w:t>
      </w:r>
      <w:r w:rsidR="00CD0B9B" w:rsidRPr="009E00D2">
        <w:rPr>
          <w:rFonts w:ascii="Garamond" w:eastAsia="Times New Roman" w:hAnsi="Garamond" w:cs="Calibri"/>
          <w:sz w:val="24"/>
          <w:szCs w:val="24"/>
          <w:lang w:val="en-GB" w:eastAsia="en-GB"/>
        </w:rPr>
        <w:t xml:space="preserve"> generally high persistence for the cryptocurrency market which varies over time. </w:t>
      </w:r>
      <w:r w:rsidR="007852F9" w:rsidRPr="00D330C4">
        <w:rPr>
          <w:rFonts w:ascii="Garamond" w:eastAsia="Times New Roman" w:hAnsi="Garamond" w:cs="Calibri"/>
          <w:color w:val="FF0000"/>
          <w:sz w:val="24"/>
          <w:szCs w:val="24"/>
          <w:lang w:val="en-GB" w:eastAsia="en-GB"/>
        </w:rPr>
        <w:t xml:space="preserve">Jalan, </w:t>
      </w:r>
      <w:proofErr w:type="spellStart"/>
      <w:r w:rsidR="007852F9" w:rsidRPr="00D330C4">
        <w:rPr>
          <w:rFonts w:ascii="Garamond" w:eastAsia="Times New Roman" w:hAnsi="Garamond" w:cs="Calibri"/>
          <w:color w:val="FF0000"/>
          <w:sz w:val="24"/>
          <w:szCs w:val="24"/>
          <w:lang w:val="en-GB" w:eastAsia="en-GB"/>
        </w:rPr>
        <w:t>Matkovskyy</w:t>
      </w:r>
      <w:proofErr w:type="spellEnd"/>
      <w:r w:rsidR="007852F9" w:rsidRPr="00D330C4">
        <w:rPr>
          <w:rFonts w:ascii="Garamond" w:eastAsia="Times New Roman" w:hAnsi="Garamond" w:cs="Calibri"/>
          <w:color w:val="FF0000"/>
          <w:sz w:val="24"/>
          <w:szCs w:val="24"/>
          <w:lang w:val="en-GB" w:eastAsia="en-GB"/>
        </w:rPr>
        <w:t xml:space="preserve"> and </w:t>
      </w:r>
      <w:proofErr w:type="spellStart"/>
      <w:r w:rsidR="007852F9" w:rsidRPr="00D330C4">
        <w:rPr>
          <w:rFonts w:ascii="Garamond" w:eastAsia="Times New Roman" w:hAnsi="Garamond" w:cs="Calibri"/>
          <w:color w:val="FF0000"/>
          <w:sz w:val="24"/>
          <w:szCs w:val="24"/>
          <w:lang w:val="en-GB" w:eastAsia="en-GB"/>
        </w:rPr>
        <w:t>Poti</w:t>
      </w:r>
      <w:proofErr w:type="spellEnd"/>
      <w:r w:rsidR="007852F9" w:rsidRPr="00D330C4">
        <w:rPr>
          <w:rFonts w:ascii="Garamond" w:eastAsia="Times New Roman" w:hAnsi="Garamond" w:cs="Calibri"/>
          <w:color w:val="FF0000"/>
          <w:sz w:val="24"/>
          <w:szCs w:val="24"/>
          <w:lang w:val="en-GB" w:eastAsia="en-GB"/>
        </w:rPr>
        <w:t xml:space="preserve"> (2021) </w:t>
      </w:r>
      <w:r w:rsidR="009415D7">
        <w:rPr>
          <w:rFonts w:ascii="Garamond" w:eastAsia="Times New Roman" w:hAnsi="Garamond" w:cs="Calibri"/>
          <w:color w:val="FF0000"/>
          <w:sz w:val="24"/>
          <w:szCs w:val="24"/>
          <w:lang w:val="en-GB" w:eastAsia="en-GB"/>
        </w:rPr>
        <w:t>analyse</w:t>
      </w:r>
      <w:r w:rsidR="00CF53B1" w:rsidRPr="00D330C4">
        <w:rPr>
          <w:rFonts w:ascii="Garamond" w:eastAsia="Times New Roman" w:hAnsi="Garamond" w:cs="Calibri"/>
          <w:color w:val="FF0000"/>
          <w:sz w:val="24"/>
          <w:szCs w:val="24"/>
          <w:lang w:val="en-GB" w:eastAsia="en-GB"/>
        </w:rPr>
        <w:t xml:space="preserve"> stock market performance of 43 firms</w:t>
      </w:r>
      <w:r w:rsidR="00D330C4" w:rsidRPr="00D330C4">
        <w:rPr>
          <w:rFonts w:ascii="Garamond" w:eastAsia="Times New Roman" w:hAnsi="Garamond" w:cs="Calibri"/>
          <w:color w:val="FF0000"/>
          <w:sz w:val="24"/>
          <w:szCs w:val="24"/>
          <w:lang w:val="en-GB" w:eastAsia="en-GB"/>
        </w:rPr>
        <w:t xml:space="preserve"> </w:t>
      </w:r>
      <w:r w:rsidR="009415D7">
        <w:rPr>
          <w:rFonts w:ascii="Garamond" w:eastAsia="Times New Roman" w:hAnsi="Garamond" w:cs="Calibri"/>
          <w:color w:val="FF0000"/>
          <w:sz w:val="24"/>
          <w:szCs w:val="24"/>
          <w:lang w:val="en-GB" w:eastAsia="en-GB"/>
        </w:rPr>
        <w:t>from</w:t>
      </w:r>
      <w:r w:rsidR="00D330C4" w:rsidRPr="00D330C4">
        <w:rPr>
          <w:rFonts w:ascii="Garamond" w:eastAsia="Times New Roman" w:hAnsi="Garamond" w:cs="Calibri"/>
          <w:color w:val="FF0000"/>
          <w:sz w:val="24"/>
          <w:szCs w:val="24"/>
          <w:lang w:val="en-GB" w:eastAsia="en-GB"/>
        </w:rPr>
        <w:t xml:space="preserve"> 6 industries </w:t>
      </w:r>
      <w:r w:rsidR="009415D7">
        <w:rPr>
          <w:rFonts w:ascii="Garamond" w:eastAsia="Times New Roman" w:hAnsi="Garamond" w:cs="Calibri"/>
          <w:color w:val="FF0000"/>
          <w:sz w:val="24"/>
          <w:szCs w:val="24"/>
          <w:lang w:val="en-GB" w:eastAsia="en-GB"/>
        </w:rPr>
        <w:t>(</w:t>
      </w:r>
      <w:r w:rsidR="00D330C4" w:rsidRPr="00D330C4">
        <w:rPr>
          <w:rFonts w:ascii="Garamond" w:eastAsia="Times New Roman" w:hAnsi="Garamond" w:cs="Calibri"/>
          <w:color w:val="FF0000"/>
          <w:sz w:val="24"/>
          <w:szCs w:val="24"/>
          <w:lang w:val="en-GB" w:eastAsia="en-GB"/>
        </w:rPr>
        <w:t>work-from-home companies, stay-at-home companies, Cryptocurrency companies, Bitcoin companies, Coronavirus Vaccine companies and Coronavirus therapeutics companies</w:t>
      </w:r>
      <w:r w:rsidR="009415D7">
        <w:rPr>
          <w:rFonts w:ascii="Garamond" w:eastAsia="Times New Roman" w:hAnsi="Garamond" w:cs="Calibri"/>
          <w:color w:val="FF0000"/>
          <w:sz w:val="24"/>
          <w:szCs w:val="24"/>
          <w:lang w:val="en-GB" w:eastAsia="en-GB"/>
        </w:rPr>
        <w:t>)</w:t>
      </w:r>
      <w:r w:rsidR="004D3A52">
        <w:rPr>
          <w:rFonts w:ascii="Garamond" w:eastAsia="Times New Roman" w:hAnsi="Garamond" w:cs="Calibri"/>
          <w:color w:val="FF0000"/>
          <w:sz w:val="24"/>
          <w:szCs w:val="24"/>
          <w:lang w:val="en-GB" w:eastAsia="en-GB"/>
        </w:rPr>
        <w:t xml:space="preserve"> and</w:t>
      </w:r>
      <w:r w:rsidR="00D330C4">
        <w:rPr>
          <w:rFonts w:ascii="Garamond" w:eastAsia="Times New Roman" w:hAnsi="Garamond" w:cs="Calibri"/>
          <w:color w:val="FF0000"/>
          <w:sz w:val="24"/>
          <w:szCs w:val="24"/>
          <w:lang w:val="en-GB" w:eastAsia="en-GB"/>
        </w:rPr>
        <w:t xml:space="preserve"> </w:t>
      </w:r>
      <w:r w:rsidR="00D25697">
        <w:rPr>
          <w:rFonts w:ascii="Garamond" w:eastAsia="Times New Roman" w:hAnsi="Garamond" w:cs="Calibri"/>
          <w:color w:val="FF0000"/>
          <w:sz w:val="24"/>
          <w:szCs w:val="24"/>
          <w:lang w:val="en-GB" w:eastAsia="en-GB"/>
        </w:rPr>
        <w:t xml:space="preserve">show that </w:t>
      </w:r>
      <w:r w:rsidR="00B26A09">
        <w:rPr>
          <w:rFonts w:ascii="Garamond" w:eastAsia="Times New Roman" w:hAnsi="Garamond" w:cs="Calibri"/>
          <w:color w:val="FF0000"/>
          <w:sz w:val="24"/>
          <w:szCs w:val="24"/>
          <w:lang w:val="en-GB" w:eastAsia="en-GB"/>
        </w:rPr>
        <w:t xml:space="preserve">more than 50 per cent of the companies </w:t>
      </w:r>
      <w:r w:rsidR="00D25697" w:rsidRPr="00D25697">
        <w:rPr>
          <w:rFonts w:ascii="Garamond" w:eastAsia="Times New Roman" w:hAnsi="Garamond" w:cs="Calibri"/>
          <w:color w:val="FF0000"/>
          <w:sz w:val="24"/>
          <w:szCs w:val="24"/>
          <w:lang w:val="en-GB" w:eastAsia="en-GB"/>
        </w:rPr>
        <w:t xml:space="preserve">demonstrate complete absence of mean reversion, </w:t>
      </w:r>
      <w:r w:rsidR="00B26A09" w:rsidRPr="00D25697">
        <w:rPr>
          <w:rFonts w:ascii="Garamond" w:eastAsia="Times New Roman" w:hAnsi="Garamond" w:cs="Calibri"/>
          <w:color w:val="FF0000"/>
          <w:sz w:val="24"/>
          <w:szCs w:val="24"/>
          <w:lang w:val="en-GB" w:eastAsia="en-GB"/>
        </w:rPr>
        <w:t>indicating</w:t>
      </w:r>
      <w:r w:rsidR="00D25697" w:rsidRPr="00D25697">
        <w:rPr>
          <w:rFonts w:ascii="Garamond" w:eastAsia="Times New Roman" w:hAnsi="Garamond" w:cs="Calibri"/>
          <w:color w:val="FF0000"/>
          <w:sz w:val="24"/>
          <w:szCs w:val="24"/>
          <w:lang w:val="en-GB" w:eastAsia="en-GB"/>
        </w:rPr>
        <w:t xml:space="preserve"> higher risk in the long run. Some </w:t>
      </w:r>
      <w:r w:rsidR="00846CA4">
        <w:rPr>
          <w:rFonts w:ascii="Garamond" w:eastAsia="Times New Roman" w:hAnsi="Garamond" w:cs="Calibri"/>
          <w:color w:val="FF0000"/>
          <w:sz w:val="24"/>
          <w:szCs w:val="24"/>
          <w:lang w:val="en-GB" w:eastAsia="en-GB"/>
        </w:rPr>
        <w:t xml:space="preserve">of the analysed </w:t>
      </w:r>
      <w:r w:rsidR="00010EBC">
        <w:rPr>
          <w:rFonts w:ascii="Garamond" w:eastAsia="Times New Roman" w:hAnsi="Garamond" w:cs="Calibri"/>
          <w:color w:val="FF0000"/>
          <w:sz w:val="24"/>
          <w:szCs w:val="24"/>
          <w:lang w:val="en-GB" w:eastAsia="en-GB"/>
        </w:rPr>
        <w:t xml:space="preserve">companies </w:t>
      </w:r>
      <w:r w:rsidR="00010EBC" w:rsidRPr="00D25697">
        <w:rPr>
          <w:rFonts w:ascii="Garamond" w:eastAsia="Times New Roman" w:hAnsi="Garamond" w:cs="Calibri"/>
          <w:color w:val="FF0000"/>
          <w:sz w:val="24"/>
          <w:szCs w:val="24"/>
          <w:lang w:val="en-GB" w:eastAsia="en-GB"/>
        </w:rPr>
        <w:t>in</w:t>
      </w:r>
      <w:r w:rsidR="00D25697" w:rsidRPr="00D25697">
        <w:rPr>
          <w:rFonts w:ascii="Garamond" w:eastAsia="Times New Roman" w:hAnsi="Garamond" w:cs="Calibri"/>
          <w:color w:val="FF0000"/>
          <w:sz w:val="24"/>
          <w:szCs w:val="24"/>
          <w:lang w:val="en-GB" w:eastAsia="en-GB"/>
        </w:rPr>
        <w:t xml:space="preserve"> the work-from-home, cryptocurrency and coronavirus-vaccine groups show reversion </w:t>
      </w:r>
      <w:r w:rsidR="00846CA4">
        <w:rPr>
          <w:rFonts w:ascii="Garamond" w:eastAsia="Times New Roman" w:hAnsi="Garamond" w:cs="Calibri"/>
          <w:color w:val="FF0000"/>
          <w:sz w:val="24"/>
          <w:szCs w:val="24"/>
          <w:lang w:val="en-GB" w:eastAsia="en-GB"/>
        </w:rPr>
        <w:t xml:space="preserve">only </w:t>
      </w:r>
      <w:r w:rsidR="00D25697" w:rsidRPr="00D25697">
        <w:rPr>
          <w:rFonts w:ascii="Garamond" w:eastAsia="Times New Roman" w:hAnsi="Garamond" w:cs="Calibri"/>
          <w:color w:val="FF0000"/>
          <w:sz w:val="24"/>
          <w:szCs w:val="24"/>
          <w:lang w:val="en-GB" w:eastAsia="en-GB"/>
        </w:rPr>
        <w:t>in higher quantiles.</w:t>
      </w:r>
    </w:p>
    <w:p w14:paraId="6B55A892" w14:textId="77777777" w:rsidR="0050412F" w:rsidRPr="009E00D2" w:rsidRDefault="0050412F" w:rsidP="00CD0B9B">
      <w:pPr>
        <w:pStyle w:val="NoSpacing"/>
        <w:spacing w:line="480" w:lineRule="auto"/>
        <w:ind w:firstLine="708"/>
        <w:jc w:val="both"/>
        <w:rPr>
          <w:rFonts w:ascii="Garamond" w:hAnsi="Garamond"/>
          <w:sz w:val="24"/>
          <w:szCs w:val="24"/>
        </w:rPr>
      </w:pPr>
    </w:p>
    <w:p w14:paraId="33E3E693" w14:textId="0B0B1A40" w:rsidR="00D616A7" w:rsidRPr="006F5984" w:rsidRDefault="00EB7B80" w:rsidP="006F5984">
      <w:pPr>
        <w:pStyle w:val="NoSpacing"/>
        <w:spacing w:line="480" w:lineRule="auto"/>
        <w:jc w:val="both"/>
        <w:rPr>
          <w:rFonts w:ascii="Garamond" w:hAnsi="Garamond"/>
          <w:b/>
          <w:bCs/>
          <w:sz w:val="24"/>
          <w:szCs w:val="24"/>
        </w:rPr>
      </w:pPr>
      <w:r>
        <w:rPr>
          <w:rFonts w:ascii="Garamond" w:hAnsi="Garamond"/>
          <w:b/>
          <w:bCs/>
          <w:sz w:val="24"/>
          <w:szCs w:val="24"/>
        </w:rPr>
        <w:t>3</w:t>
      </w:r>
      <w:r w:rsidR="007E171A" w:rsidRPr="009E00D2">
        <w:rPr>
          <w:rFonts w:ascii="Garamond" w:hAnsi="Garamond"/>
          <w:b/>
          <w:bCs/>
          <w:sz w:val="24"/>
          <w:szCs w:val="24"/>
        </w:rPr>
        <w:t xml:space="preserve">. Data and </w:t>
      </w:r>
      <w:r w:rsidR="003633A5" w:rsidRPr="009E00D2">
        <w:rPr>
          <w:rFonts w:ascii="Garamond" w:hAnsi="Garamond"/>
          <w:b/>
          <w:bCs/>
          <w:sz w:val="24"/>
          <w:szCs w:val="24"/>
        </w:rPr>
        <w:t>motivation</w:t>
      </w:r>
    </w:p>
    <w:p w14:paraId="11FF3F35" w14:textId="69E34BC1" w:rsidR="002C2C88" w:rsidRPr="009E00D2" w:rsidRDefault="007E171A" w:rsidP="00201D7F">
      <w:pPr>
        <w:pStyle w:val="NoSpacing"/>
        <w:spacing w:line="480" w:lineRule="auto"/>
        <w:ind w:firstLine="709"/>
        <w:jc w:val="both"/>
        <w:rPr>
          <w:rFonts w:ascii="Garamond" w:hAnsi="Garamond"/>
          <w:sz w:val="24"/>
          <w:szCs w:val="24"/>
        </w:rPr>
      </w:pPr>
      <w:r w:rsidRPr="009E00D2">
        <w:rPr>
          <w:rFonts w:ascii="Garamond" w:hAnsi="Garamond"/>
          <w:sz w:val="24"/>
          <w:szCs w:val="24"/>
        </w:rPr>
        <w:t>We investigate four important financial markets, i.e., equity indexes, precious metals, 10-year benchmark bonds and cryptocurrencies</w:t>
      </w:r>
      <w:r w:rsidR="004828B7" w:rsidRPr="009E00D2">
        <w:rPr>
          <w:rFonts w:ascii="Garamond" w:hAnsi="Garamond"/>
        </w:rPr>
        <w:t xml:space="preserve"> (</w:t>
      </w:r>
      <w:r w:rsidR="004828B7" w:rsidRPr="009E00D2">
        <w:rPr>
          <w:rFonts w:ascii="Garamond" w:hAnsi="Garamond"/>
          <w:sz w:val="24"/>
          <w:szCs w:val="24"/>
        </w:rPr>
        <w:t>15 equity indices, four bond benchmark indices, nine precious metals, and three popular cryptocurrencies, Bitcoin, Ethereum and Litecoin).</w:t>
      </w:r>
      <w:r w:rsidRPr="009E00D2">
        <w:rPr>
          <w:rFonts w:ascii="Garamond" w:hAnsi="Garamond"/>
          <w:sz w:val="24"/>
          <w:szCs w:val="24"/>
        </w:rPr>
        <w:t xml:space="preserve"> </w:t>
      </w:r>
      <w:r w:rsidR="00D40505" w:rsidRPr="00D40505">
        <w:rPr>
          <w:rFonts w:ascii="Garamond" w:hAnsi="Garamond"/>
          <w:color w:val="FF0000"/>
          <w:sz w:val="24"/>
          <w:szCs w:val="24"/>
        </w:rPr>
        <w:t xml:space="preserve">The data set </w:t>
      </w:r>
      <w:r w:rsidR="00D40505" w:rsidRPr="00D40505">
        <w:rPr>
          <w:rFonts w:ascii="Garamond" w:hAnsi="Garamond"/>
          <w:color w:val="FF0000"/>
          <w:sz w:val="24"/>
          <w:szCs w:val="24"/>
        </w:rPr>
        <w:lastRenderedPageBreak/>
        <w:t xml:space="preserve">comprises daily observations of close prices in the selected markets from 17-04-2018 to 20-06-2021. </w:t>
      </w:r>
      <w:r w:rsidRPr="00D40505">
        <w:rPr>
          <w:rFonts w:ascii="Garamond" w:hAnsi="Garamond"/>
          <w:color w:val="FF0000"/>
          <w:sz w:val="24"/>
          <w:szCs w:val="24"/>
        </w:rPr>
        <w:t xml:space="preserve"> </w:t>
      </w:r>
      <w:r w:rsidRPr="009E00D2">
        <w:rPr>
          <w:rFonts w:ascii="Garamond" w:hAnsi="Garamond"/>
          <w:sz w:val="24"/>
          <w:szCs w:val="24"/>
        </w:rPr>
        <w:t>This is done to ensure adequate number of observations for the ‘normal’ or pre-pandemic period. Data comes from the EIKON Thomson database.  For</w:t>
      </w:r>
      <w:r w:rsidR="005D13CD" w:rsidRPr="009E00D2">
        <w:rPr>
          <w:rFonts w:ascii="Garamond" w:hAnsi="Garamond"/>
          <w:sz w:val="24"/>
          <w:szCs w:val="24"/>
        </w:rPr>
        <w:t xml:space="preserve"> each financial market considered, the date on which it experienced its lowest value following the pandemic is noted as the corresponding pandemic bottom date. Loss of value between the highest value recorded in 2020 and that on the pandemic bottom date and subsequent recovery or bounce-back is noted in terms of gain in value and time taken to recover.</w:t>
      </w:r>
      <w:r w:rsidR="000F44AF" w:rsidRPr="009E00D2">
        <w:rPr>
          <w:rFonts w:ascii="Garamond" w:hAnsi="Garamond"/>
          <w:sz w:val="24"/>
          <w:szCs w:val="24"/>
        </w:rPr>
        <w:t xml:space="preserve"> The</w:t>
      </w:r>
      <w:r w:rsidR="00181DF3" w:rsidRPr="009E00D2">
        <w:rPr>
          <w:rFonts w:ascii="Garamond" w:hAnsi="Garamond"/>
          <w:sz w:val="24"/>
          <w:szCs w:val="24"/>
        </w:rPr>
        <w:t xml:space="preserve"> general</w:t>
      </w:r>
      <w:r w:rsidR="000F44AF" w:rsidRPr="009E00D2">
        <w:rPr>
          <w:rFonts w:ascii="Garamond" w:hAnsi="Garamond"/>
          <w:sz w:val="24"/>
          <w:szCs w:val="24"/>
        </w:rPr>
        <w:t xml:space="preserve"> descriptive statistics is presented in Appendix (Tables A1-A4).</w:t>
      </w:r>
    </w:p>
    <w:p w14:paraId="0C10917A" w14:textId="2ADA610B" w:rsidR="00110EFA" w:rsidRPr="009E00D2" w:rsidRDefault="005D13CD" w:rsidP="00A362EB">
      <w:pPr>
        <w:pStyle w:val="NoSpacing"/>
        <w:spacing w:line="480" w:lineRule="auto"/>
        <w:ind w:firstLine="708"/>
        <w:jc w:val="both"/>
        <w:rPr>
          <w:rFonts w:ascii="Garamond" w:hAnsi="Garamond"/>
          <w:sz w:val="24"/>
          <w:szCs w:val="24"/>
        </w:rPr>
        <w:sectPr w:rsidR="00110EFA" w:rsidRPr="009E00D2" w:rsidSect="005C18DF">
          <w:footerReference w:type="default" r:id="rId8"/>
          <w:pgSz w:w="11906" w:h="16838"/>
          <w:pgMar w:top="1417" w:right="1417" w:bottom="1417" w:left="1417" w:header="708" w:footer="708" w:gutter="0"/>
          <w:cols w:space="708"/>
          <w:titlePg/>
          <w:docGrid w:linePitch="360"/>
        </w:sectPr>
      </w:pPr>
      <w:r w:rsidRPr="009E00D2">
        <w:rPr>
          <w:rFonts w:ascii="Garamond" w:hAnsi="Garamond"/>
          <w:sz w:val="24"/>
          <w:szCs w:val="24"/>
        </w:rPr>
        <w:t>Table 1 documents loss and recovery patterns for all assets considered in the study. On its pandemic bottom date (1</w:t>
      </w:r>
      <w:r w:rsidR="003633A5" w:rsidRPr="009E00D2">
        <w:rPr>
          <w:rFonts w:ascii="Garamond" w:hAnsi="Garamond"/>
          <w:sz w:val="24"/>
          <w:szCs w:val="24"/>
        </w:rPr>
        <w:t>2</w:t>
      </w:r>
      <w:r w:rsidRPr="009E00D2">
        <w:rPr>
          <w:rFonts w:ascii="Garamond" w:hAnsi="Garamond"/>
          <w:sz w:val="24"/>
          <w:szCs w:val="24"/>
        </w:rPr>
        <w:t>/03/2020), Bitcoin lost 5</w:t>
      </w:r>
      <w:r w:rsidR="003633A5" w:rsidRPr="009E00D2">
        <w:rPr>
          <w:rFonts w:ascii="Garamond" w:hAnsi="Garamond"/>
          <w:sz w:val="24"/>
          <w:szCs w:val="24"/>
        </w:rPr>
        <w:t>3</w:t>
      </w:r>
      <w:r w:rsidR="00201D7F">
        <w:rPr>
          <w:rFonts w:ascii="Garamond" w:hAnsi="Garamond"/>
          <w:sz w:val="24"/>
          <w:szCs w:val="24"/>
        </w:rPr>
        <w:t xml:space="preserve"> % </w:t>
      </w:r>
      <w:r w:rsidRPr="009E00D2">
        <w:rPr>
          <w:rFonts w:ascii="Garamond" w:hAnsi="Garamond"/>
          <w:sz w:val="24"/>
          <w:szCs w:val="24"/>
        </w:rPr>
        <w:t xml:space="preserve">of its maximum value in 2020, but it gained as on 9/04/2020 </w:t>
      </w:r>
      <w:r w:rsidR="003633A5" w:rsidRPr="009E00D2">
        <w:rPr>
          <w:rFonts w:ascii="Garamond" w:hAnsi="Garamond"/>
          <w:sz w:val="24"/>
          <w:szCs w:val="24"/>
        </w:rPr>
        <w:t>151.7</w:t>
      </w:r>
      <w:r w:rsidRPr="009E00D2">
        <w:rPr>
          <w:rFonts w:ascii="Garamond" w:hAnsi="Garamond"/>
          <w:sz w:val="24"/>
          <w:szCs w:val="24"/>
        </w:rPr>
        <w:t xml:space="preserve"> </w:t>
      </w:r>
      <w:r w:rsidR="00201D7F">
        <w:rPr>
          <w:rFonts w:ascii="Garamond" w:hAnsi="Garamond"/>
          <w:sz w:val="24"/>
          <w:szCs w:val="24"/>
        </w:rPr>
        <w:t>%</w:t>
      </w:r>
      <w:r w:rsidRPr="009E00D2">
        <w:rPr>
          <w:rFonts w:ascii="Garamond" w:hAnsi="Garamond"/>
          <w:sz w:val="24"/>
          <w:szCs w:val="24"/>
        </w:rPr>
        <w:t xml:space="preserve"> back, that is the </w:t>
      </w:r>
      <w:r w:rsidR="003633A5" w:rsidRPr="009E00D2">
        <w:rPr>
          <w:rFonts w:ascii="Garamond" w:hAnsi="Garamond"/>
          <w:sz w:val="24"/>
          <w:szCs w:val="24"/>
        </w:rPr>
        <w:t xml:space="preserve">second </w:t>
      </w:r>
      <w:r w:rsidRPr="009E00D2">
        <w:rPr>
          <w:rFonts w:ascii="Garamond" w:hAnsi="Garamond"/>
          <w:sz w:val="24"/>
          <w:szCs w:val="24"/>
        </w:rPr>
        <w:t xml:space="preserve">highest absolute value of recovery </w:t>
      </w:r>
      <w:r w:rsidR="003633A5" w:rsidRPr="009E00D2">
        <w:rPr>
          <w:rFonts w:ascii="Garamond" w:hAnsi="Garamond"/>
          <w:sz w:val="24"/>
          <w:szCs w:val="24"/>
        </w:rPr>
        <w:t>(</w:t>
      </w:r>
      <w:r w:rsidRPr="009E00D2">
        <w:rPr>
          <w:rFonts w:ascii="Garamond" w:hAnsi="Garamond"/>
          <w:sz w:val="24"/>
          <w:szCs w:val="24"/>
        </w:rPr>
        <w:t xml:space="preserve">after </w:t>
      </w:r>
      <w:r w:rsidR="003633A5" w:rsidRPr="009E00D2">
        <w:rPr>
          <w:rFonts w:ascii="Garamond" w:hAnsi="Garamond"/>
          <w:sz w:val="24"/>
          <w:szCs w:val="24"/>
        </w:rPr>
        <w:t xml:space="preserve">rhodium with 175 </w:t>
      </w:r>
      <w:r w:rsidR="00201D7F">
        <w:rPr>
          <w:rFonts w:ascii="Garamond" w:hAnsi="Garamond"/>
          <w:sz w:val="24"/>
          <w:szCs w:val="24"/>
        </w:rPr>
        <w:t>%</w:t>
      </w:r>
      <w:r w:rsidR="003633A5" w:rsidRPr="009E00D2">
        <w:rPr>
          <w:rFonts w:ascii="Garamond" w:hAnsi="Garamond"/>
          <w:sz w:val="24"/>
          <w:szCs w:val="24"/>
        </w:rPr>
        <w:t>)</w:t>
      </w:r>
      <w:r w:rsidRPr="009E00D2">
        <w:rPr>
          <w:rFonts w:ascii="Garamond" w:hAnsi="Garamond"/>
          <w:sz w:val="24"/>
          <w:szCs w:val="24"/>
        </w:rPr>
        <w:t>. On the other hand, gold decreased by 1</w:t>
      </w:r>
      <w:r w:rsidR="003633A5" w:rsidRPr="009E00D2">
        <w:rPr>
          <w:rFonts w:ascii="Garamond" w:hAnsi="Garamond"/>
          <w:sz w:val="24"/>
          <w:szCs w:val="24"/>
        </w:rPr>
        <w:t>2</w:t>
      </w:r>
      <w:r w:rsidRPr="009E00D2">
        <w:rPr>
          <w:rFonts w:ascii="Garamond" w:hAnsi="Garamond"/>
          <w:sz w:val="24"/>
          <w:szCs w:val="24"/>
        </w:rPr>
        <w:t>.</w:t>
      </w:r>
      <w:r w:rsidR="003633A5" w:rsidRPr="009E00D2">
        <w:rPr>
          <w:rFonts w:ascii="Garamond" w:hAnsi="Garamond"/>
          <w:sz w:val="24"/>
          <w:szCs w:val="24"/>
        </w:rPr>
        <w:t>4</w:t>
      </w:r>
      <w:r w:rsidRPr="009E00D2">
        <w:rPr>
          <w:rFonts w:ascii="Garamond" w:hAnsi="Garamond"/>
          <w:sz w:val="24"/>
          <w:szCs w:val="24"/>
        </w:rPr>
        <w:t xml:space="preserve"> </w:t>
      </w:r>
      <w:r w:rsidR="00201D7F">
        <w:rPr>
          <w:rFonts w:ascii="Garamond" w:hAnsi="Garamond"/>
          <w:sz w:val="24"/>
          <w:szCs w:val="24"/>
        </w:rPr>
        <w:t>%</w:t>
      </w:r>
      <w:r w:rsidRPr="009E00D2">
        <w:rPr>
          <w:rFonts w:ascii="Garamond" w:hAnsi="Garamond"/>
          <w:sz w:val="24"/>
          <w:szCs w:val="24"/>
        </w:rPr>
        <w:t xml:space="preserve"> on 19/03/2020 with later recovery in its value by </w:t>
      </w:r>
      <w:r w:rsidR="003633A5" w:rsidRPr="009E00D2">
        <w:rPr>
          <w:rFonts w:ascii="Garamond" w:hAnsi="Garamond"/>
          <w:sz w:val="24"/>
          <w:szCs w:val="24"/>
        </w:rPr>
        <w:t>1</w:t>
      </w:r>
      <w:r w:rsidRPr="009E00D2">
        <w:rPr>
          <w:rFonts w:ascii="Garamond" w:hAnsi="Garamond"/>
          <w:sz w:val="24"/>
          <w:szCs w:val="24"/>
        </w:rPr>
        <w:t>1</w:t>
      </w:r>
      <w:r w:rsidR="003633A5" w:rsidRPr="009E00D2">
        <w:rPr>
          <w:rFonts w:ascii="Garamond" w:hAnsi="Garamond"/>
          <w:sz w:val="24"/>
          <w:szCs w:val="24"/>
        </w:rPr>
        <w:t xml:space="preserve">8 </w:t>
      </w:r>
      <w:r w:rsidR="00201D7F">
        <w:rPr>
          <w:rFonts w:ascii="Garamond" w:hAnsi="Garamond"/>
          <w:sz w:val="24"/>
          <w:szCs w:val="24"/>
        </w:rPr>
        <w:t>%</w:t>
      </w:r>
      <w:r w:rsidRPr="009E00D2">
        <w:rPr>
          <w:rFonts w:ascii="Garamond" w:hAnsi="Garamond"/>
          <w:sz w:val="24"/>
          <w:szCs w:val="24"/>
        </w:rPr>
        <w:t xml:space="preserve">. </w:t>
      </w:r>
      <w:r w:rsidR="00982674" w:rsidRPr="009E00D2">
        <w:rPr>
          <w:rFonts w:ascii="Garamond" w:hAnsi="Garamond"/>
          <w:sz w:val="24"/>
          <w:szCs w:val="24"/>
        </w:rPr>
        <w:t>In the bond market, the BD benchmark 10 y. bonds have the most significant drop (6.48%) and very modest recovery</w:t>
      </w:r>
      <w:r w:rsidR="003633A5" w:rsidRPr="009E00D2">
        <w:rPr>
          <w:rFonts w:ascii="Garamond" w:hAnsi="Garamond"/>
          <w:sz w:val="24"/>
          <w:szCs w:val="24"/>
        </w:rPr>
        <w:t xml:space="preserve">. </w:t>
      </w:r>
      <w:r w:rsidR="00982674" w:rsidRPr="009E00D2">
        <w:rPr>
          <w:rFonts w:ascii="Garamond" w:hAnsi="Garamond"/>
          <w:sz w:val="24"/>
          <w:szCs w:val="24"/>
        </w:rPr>
        <w:t>The US 10 y bonds dropped by about 5.97</w:t>
      </w:r>
      <w:r w:rsidR="00201D7F">
        <w:rPr>
          <w:rFonts w:ascii="Garamond" w:hAnsi="Garamond"/>
          <w:sz w:val="24"/>
          <w:szCs w:val="24"/>
        </w:rPr>
        <w:t xml:space="preserve">% </w:t>
      </w:r>
      <w:r w:rsidR="003633A5" w:rsidRPr="009E00D2">
        <w:rPr>
          <w:rFonts w:ascii="Garamond" w:hAnsi="Garamond"/>
          <w:sz w:val="24"/>
          <w:szCs w:val="24"/>
        </w:rPr>
        <w:t>and</w:t>
      </w:r>
      <w:r w:rsidR="00982674" w:rsidRPr="009E00D2">
        <w:rPr>
          <w:rFonts w:ascii="Garamond" w:hAnsi="Garamond"/>
          <w:sz w:val="24"/>
          <w:szCs w:val="24"/>
        </w:rPr>
        <w:t xml:space="preserve"> recovered at the </w:t>
      </w:r>
      <w:r w:rsidR="003633A5" w:rsidRPr="009E00D2">
        <w:rPr>
          <w:rFonts w:ascii="Garamond" w:hAnsi="Garamond"/>
          <w:sz w:val="24"/>
          <w:szCs w:val="24"/>
        </w:rPr>
        <w:t xml:space="preserve">higher </w:t>
      </w:r>
      <w:r w:rsidR="00982674" w:rsidRPr="009E00D2">
        <w:rPr>
          <w:rFonts w:ascii="Garamond" w:hAnsi="Garamond"/>
          <w:sz w:val="24"/>
          <w:szCs w:val="24"/>
        </w:rPr>
        <w:t>amount</w:t>
      </w:r>
      <w:r w:rsidR="003633A5" w:rsidRPr="009E00D2">
        <w:rPr>
          <w:rFonts w:ascii="Garamond" w:hAnsi="Garamond"/>
          <w:sz w:val="24"/>
          <w:szCs w:val="24"/>
        </w:rPr>
        <w:t>, approximately matching the pre-pandemic bottom values in 2020</w:t>
      </w:r>
      <w:r w:rsidR="00982674" w:rsidRPr="009E00D2">
        <w:rPr>
          <w:rFonts w:ascii="Garamond" w:hAnsi="Garamond"/>
          <w:sz w:val="24"/>
          <w:szCs w:val="24"/>
        </w:rPr>
        <w:t>. The indexes decreased by approximately more than 3</w:t>
      </w:r>
      <w:r w:rsidR="003633A5" w:rsidRPr="009E00D2">
        <w:rPr>
          <w:rFonts w:ascii="Garamond" w:hAnsi="Garamond"/>
          <w:sz w:val="24"/>
          <w:szCs w:val="24"/>
        </w:rPr>
        <w:t>1</w:t>
      </w:r>
      <w:r w:rsidR="00982674" w:rsidRPr="009E00D2">
        <w:rPr>
          <w:rFonts w:ascii="Garamond" w:hAnsi="Garamond"/>
          <w:sz w:val="24"/>
          <w:szCs w:val="24"/>
        </w:rPr>
        <w:t xml:space="preserve">%, with the most significant decline of the indexes of the UK financial markets (approx. -41%). The recovery performance in the indexes varies from </w:t>
      </w:r>
      <w:r w:rsidR="003633A5" w:rsidRPr="009E00D2">
        <w:rPr>
          <w:rFonts w:ascii="Garamond" w:hAnsi="Garamond"/>
          <w:sz w:val="24"/>
          <w:szCs w:val="24"/>
        </w:rPr>
        <w:t>1</w:t>
      </w:r>
      <w:r w:rsidR="00982674" w:rsidRPr="009E00D2">
        <w:rPr>
          <w:rFonts w:ascii="Garamond" w:hAnsi="Garamond"/>
          <w:sz w:val="24"/>
          <w:szCs w:val="24"/>
        </w:rPr>
        <w:t>1</w:t>
      </w:r>
      <w:r w:rsidR="003633A5" w:rsidRPr="009E00D2">
        <w:rPr>
          <w:rFonts w:ascii="Garamond" w:hAnsi="Garamond"/>
          <w:sz w:val="24"/>
          <w:szCs w:val="24"/>
        </w:rPr>
        <w:t>6</w:t>
      </w:r>
      <w:r w:rsidR="00982674" w:rsidRPr="009E00D2">
        <w:rPr>
          <w:rFonts w:ascii="Garamond" w:hAnsi="Garamond"/>
          <w:sz w:val="24"/>
          <w:szCs w:val="24"/>
        </w:rPr>
        <w:t>.</w:t>
      </w:r>
      <w:r w:rsidR="003633A5" w:rsidRPr="009E00D2">
        <w:rPr>
          <w:rFonts w:ascii="Garamond" w:hAnsi="Garamond"/>
          <w:sz w:val="24"/>
          <w:szCs w:val="24"/>
        </w:rPr>
        <w:t>8</w:t>
      </w:r>
      <w:r w:rsidR="00982674" w:rsidRPr="009E00D2">
        <w:rPr>
          <w:rFonts w:ascii="Garamond" w:hAnsi="Garamond"/>
          <w:sz w:val="24"/>
          <w:szCs w:val="24"/>
        </w:rPr>
        <w:t xml:space="preserve">7% for NIKKEI 225 to </w:t>
      </w:r>
      <w:r w:rsidR="00175813" w:rsidRPr="009E00D2">
        <w:rPr>
          <w:rFonts w:ascii="Garamond" w:hAnsi="Garamond"/>
          <w:sz w:val="24"/>
          <w:szCs w:val="24"/>
        </w:rPr>
        <w:t>appr</w:t>
      </w:r>
      <w:r w:rsidR="00201D7F">
        <w:rPr>
          <w:rFonts w:ascii="Garamond" w:hAnsi="Garamond"/>
          <w:sz w:val="24"/>
          <w:szCs w:val="24"/>
        </w:rPr>
        <w:t>o</w:t>
      </w:r>
      <w:r w:rsidR="00175813" w:rsidRPr="009E00D2">
        <w:rPr>
          <w:rFonts w:ascii="Garamond" w:hAnsi="Garamond"/>
          <w:sz w:val="24"/>
          <w:szCs w:val="24"/>
        </w:rPr>
        <w:t xml:space="preserve">x. </w:t>
      </w:r>
      <w:r w:rsidR="003633A5" w:rsidRPr="009E00D2">
        <w:rPr>
          <w:rFonts w:ascii="Garamond" w:hAnsi="Garamond"/>
          <w:sz w:val="24"/>
          <w:szCs w:val="24"/>
        </w:rPr>
        <w:t>1</w:t>
      </w:r>
      <w:r w:rsidR="00982674" w:rsidRPr="009E00D2">
        <w:rPr>
          <w:rFonts w:ascii="Garamond" w:hAnsi="Garamond"/>
          <w:sz w:val="24"/>
          <w:szCs w:val="24"/>
        </w:rPr>
        <w:t xml:space="preserve">27 % for </w:t>
      </w:r>
      <w:r w:rsidR="003633A5" w:rsidRPr="009E00D2">
        <w:rPr>
          <w:rFonts w:ascii="Garamond" w:hAnsi="Garamond"/>
          <w:sz w:val="24"/>
          <w:szCs w:val="24"/>
        </w:rPr>
        <w:t>FTSE</w:t>
      </w:r>
      <w:r w:rsidR="00175813" w:rsidRPr="009E00D2">
        <w:rPr>
          <w:rFonts w:ascii="Garamond" w:hAnsi="Garamond"/>
          <w:sz w:val="24"/>
          <w:szCs w:val="24"/>
        </w:rPr>
        <w:t>250 and DJ</w:t>
      </w:r>
      <w:r w:rsidR="00982674" w:rsidRPr="009E00D2">
        <w:rPr>
          <w:rFonts w:ascii="Garamond" w:hAnsi="Garamond"/>
          <w:sz w:val="24"/>
          <w:szCs w:val="24"/>
        </w:rPr>
        <w:t xml:space="preserve"> </w:t>
      </w:r>
      <w:r w:rsidR="00175813" w:rsidRPr="009E00D2">
        <w:rPr>
          <w:rFonts w:ascii="Garamond" w:hAnsi="Garamond"/>
          <w:sz w:val="24"/>
          <w:szCs w:val="24"/>
        </w:rPr>
        <w:t>indexes</w:t>
      </w:r>
      <w:r w:rsidR="00982674" w:rsidRPr="009E00D2">
        <w:rPr>
          <w:rFonts w:ascii="Garamond" w:hAnsi="Garamond"/>
          <w:sz w:val="24"/>
          <w:szCs w:val="24"/>
        </w:rPr>
        <w:t xml:space="preserve">. </w:t>
      </w:r>
      <w:r w:rsidR="00982674" w:rsidRPr="006F5984">
        <w:rPr>
          <w:rFonts w:ascii="Garamond" w:hAnsi="Garamond"/>
          <w:sz w:val="24"/>
          <w:szCs w:val="24"/>
        </w:rPr>
        <w:t>Therefore, one can observe different resistance and recovery after the significant shock</w:t>
      </w:r>
      <w:r w:rsidR="00175813" w:rsidRPr="006F5984">
        <w:rPr>
          <w:rFonts w:ascii="Garamond" w:hAnsi="Garamond"/>
          <w:sz w:val="24"/>
          <w:szCs w:val="24"/>
        </w:rPr>
        <w:t xml:space="preserve"> of COVID-19</w:t>
      </w:r>
      <w:r w:rsidR="00982674" w:rsidRPr="006F5984">
        <w:rPr>
          <w:rFonts w:ascii="Garamond" w:hAnsi="Garamond"/>
          <w:sz w:val="24"/>
          <w:szCs w:val="24"/>
        </w:rPr>
        <w:t>.</w:t>
      </w:r>
      <w:r w:rsidR="00175813" w:rsidRPr="006F5984">
        <w:rPr>
          <w:rFonts w:ascii="Garamond" w:hAnsi="Garamond"/>
          <w:sz w:val="24"/>
          <w:szCs w:val="24"/>
        </w:rPr>
        <w:t xml:space="preserve"> </w:t>
      </w:r>
      <w:r w:rsidR="004828B7" w:rsidRPr="006F5984">
        <w:rPr>
          <w:rFonts w:ascii="Garamond" w:hAnsi="Garamond"/>
          <w:sz w:val="24"/>
          <w:szCs w:val="24"/>
        </w:rPr>
        <w:t>Thus, our</w:t>
      </w:r>
      <w:r w:rsidR="00A362EB" w:rsidRPr="006F5984">
        <w:rPr>
          <w:rFonts w:ascii="Garamond" w:hAnsi="Garamond"/>
          <w:sz w:val="24"/>
          <w:szCs w:val="24"/>
        </w:rPr>
        <w:t xml:space="preserve"> question is</w:t>
      </w:r>
      <w:r w:rsidR="00D6502F" w:rsidRPr="006F5984">
        <w:rPr>
          <w:rFonts w:ascii="Garamond" w:hAnsi="Garamond"/>
          <w:sz w:val="24"/>
          <w:szCs w:val="24"/>
        </w:rPr>
        <w:t xml:space="preserve"> to check </w:t>
      </w:r>
      <w:r w:rsidR="00A362EB" w:rsidRPr="006F5984">
        <w:rPr>
          <w:rFonts w:ascii="Garamond" w:hAnsi="Garamond"/>
          <w:sz w:val="24"/>
          <w:szCs w:val="24"/>
        </w:rPr>
        <w:t xml:space="preserve">how </w:t>
      </w:r>
      <w:r w:rsidR="00512158" w:rsidRPr="006F5984">
        <w:rPr>
          <w:rFonts w:ascii="Garamond" w:hAnsi="Garamond"/>
          <w:sz w:val="24"/>
          <w:szCs w:val="24"/>
        </w:rPr>
        <w:t xml:space="preserve">and why </w:t>
      </w:r>
      <w:r w:rsidR="00A362EB" w:rsidRPr="006F5984">
        <w:rPr>
          <w:rFonts w:ascii="Garamond" w:hAnsi="Garamond"/>
          <w:sz w:val="24"/>
          <w:szCs w:val="24"/>
        </w:rPr>
        <w:t xml:space="preserve">the selected time series are </w:t>
      </w:r>
      <w:r w:rsidR="00D6502F" w:rsidRPr="006F5984">
        <w:rPr>
          <w:rFonts w:ascii="Garamond" w:hAnsi="Garamond"/>
          <w:sz w:val="24"/>
          <w:szCs w:val="24"/>
        </w:rPr>
        <w:t>resistant</w:t>
      </w:r>
      <w:r w:rsidR="00A362EB" w:rsidRPr="006F5984">
        <w:rPr>
          <w:rFonts w:ascii="Garamond" w:hAnsi="Garamond"/>
          <w:sz w:val="24"/>
          <w:szCs w:val="24"/>
        </w:rPr>
        <w:t xml:space="preserve"> to </w:t>
      </w:r>
      <w:r w:rsidR="00D6502F" w:rsidRPr="006F5984">
        <w:rPr>
          <w:rFonts w:ascii="Garamond" w:hAnsi="Garamond"/>
          <w:sz w:val="24"/>
          <w:szCs w:val="24"/>
        </w:rPr>
        <w:t>shocks</w:t>
      </w:r>
      <w:r w:rsidR="00201D7F" w:rsidRPr="006F5984">
        <w:rPr>
          <w:rFonts w:ascii="Garamond" w:hAnsi="Garamond"/>
          <w:sz w:val="24"/>
          <w:szCs w:val="24"/>
        </w:rPr>
        <w:t>. I</w:t>
      </w:r>
      <w:r w:rsidR="00D6502F" w:rsidRPr="006F5984">
        <w:rPr>
          <w:rFonts w:ascii="Garamond" w:hAnsi="Garamond"/>
          <w:sz w:val="24"/>
          <w:szCs w:val="24"/>
        </w:rPr>
        <w:t>n other words, to check the persistence (a mean reversion) of the time series across several popular financial assets.</w:t>
      </w:r>
    </w:p>
    <w:p w14:paraId="43FB1DA8" w14:textId="1EE82BF7" w:rsidR="00110EFA" w:rsidRPr="009E00D2" w:rsidRDefault="00110EFA" w:rsidP="00702E29">
      <w:pPr>
        <w:pStyle w:val="NoSpacing"/>
        <w:spacing w:line="480" w:lineRule="auto"/>
        <w:ind w:firstLine="708"/>
        <w:jc w:val="center"/>
        <w:rPr>
          <w:rFonts w:ascii="Garamond" w:hAnsi="Garamond"/>
          <w:b/>
          <w:bCs/>
          <w:sz w:val="24"/>
          <w:szCs w:val="24"/>
        </w:rPr>
      </w:pPr>
      <w:r w:rsidRPr="009E00D2">
        <w:rPr>
          <w:rFonts w:ascii="Garamond" w:hAnsi="Garamond"/>
          <w:b/>
          <w:bCs/>
          <w:sz w:val="24"/>
          <w:szCs w:val="24"/>
        </w:rPr>
        <w:lastRenderedPageBreak/>
        <w:t>Table 1</w:t>
      </w:r>
      <w:r w:rsidRPr="009E00D2">
        <w:rPr>
          <w:rFonts w:ascii="Garamond" w:hAnsi="Garamond"/>
          <w:b/>
          <w:bCs/>
        </w:rPr>
        <w:t xml:space="preserve"> </w:t>
      </w:r>
      <w:r w:rsidRPr="009E00D2">
        <w:rPr>
          <w:rFonts w:ascii="Garamond" w:hAnsi="Garamond"/>
          <w:b/>
          <w:bCs/>
          <w:sz w:val="24"/>
          <w:szCs w:val="24"/>
        </w:rPr>
        <w:t>Price dynamics in the main financial markets: pre-pandemic vs. pandemic</w:t>
      </w:r>
    </w:p>
    <w:tbl>
      <w:tblPr>
        <w:tblStyle w:val="PlainTable2"/>
        <w:tblW w:w="5000" w:type="pct"/>
        <w:tblLayout w:type="fixed"/>
        <w:tblLook w:val="04A0" w:firstRow="1" w:lastRow="0" w:firstColumn="1" w:lastColumn="0" w:noHBand="0" w:noVBand="1"/>
      </w:tblPr>
      <w:tblGrid>
        <w:gridCol w:w="4254"/>
        <w:gridCol w:w="1417"/>
        <w:gridCol w:w="1227"/>
        <w:gridCol w:w="1607"/>
        <w:gridCol w:w="1305"/>
        <w:gridCol w:w="2523"/>
        <w:gridCol w:w="1669"/>
      </w:tblGrid>
      <w:tr w:rsidR="002E554D" w:rsidRPr="002E554D" w14:paraId="27F62850" w14:textId="77777777" w:rsidTr="00F118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9" w:type="pct"/>
            <w:noWrap/>
            <w:vAlign w:val="center"/>
            <w:hideMark/>
          </w:tcPr>
          <w:p w14:paraId="276B9BDB" w14:textId="77777777" w:rsidR="00110EFA" w:rsidRPr="002E554D" w:rsidRDefault="00110EFA" w:rsidP="00CF3767">
            <w:pPr>
              <w:jc w:val="center"/>
              <w:rPr>
                <w:rFonts w:ascii="Garamond" w:eastAsia="Times New Roman" w:hAnsi="Garamond" w:cs="Times New Roman"/>
                <w:b w:val="0"/>
                <w:bCs w:val="0"/>
                <w:color w:val="FF0000"/>
                <w:sz w:val="20"/>
                <w:szCs w:val="20"/>
                <w:lang w:eastAsia="en-GB"/>
              </w:rPr>
            </w:pPr>
          </w:p>
        </w:tc>
        <w:tc>
          <w:tcPr>
            <w:tcW w:w="506" w:type="pct"/>
            <w:noWrap/>
            <w:vAlign w:val="center"/>
            <w:hideMark/>
          </w:tcPr>
          <w:p w14:paraId="6646E138" w14:textId="77777777" w:rsidR="00110EFA" w:rsidRPr="002E554D" w:rsidRDefault="00110EFA" w:rsidP="00CF376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FF0000"/>
                <w:sz w:val="20"/>
                <w:szCs w:val="20"/>
                <w:lang w:eastAsia="en-GB"/>
              </w:rPr>
            </w:pPr>
            <w:r w:rsidRPr="002E554D">
              <w:rPr>
                <w:rFonts w:ascii="Garamond" w:eastAsia="Times New Roman" w:hAnsi="Garamond" w:cs="Calibri"/>
                <w:b w:val="0"/>
                <w:bCs w:val="0"/>
                <w:color w:val="FF0000"/>
                <w:sz w:val="20"/>
                <w:szCs w:val="20"/>
                <w:lang w:eastAsia="en-GB"/>
              </w:rPr>
              <w:t xml:space="preserve">Maximum in 2020 before a drop </w:t>
            </w:r>
          </w:p>
        </w:tc>
        <w:tc>
          <w:tcPr>
            <w:tcW w:w="438" w:type="pct"/>
            <w:noWrap/>
            <w:vAlign w:val="center"/>
            <w:hideMark/>
          </w:tcPr>
          <w:p w14:paraId="483B182E" w14:textId="77777777" w:rsidR="00110EFA" w:rsidRPr="002E554D" w:rsidRDefault="00110EFA" w:rsidP="00CF376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FF0000"/>
                <w:sz w:val="20"/>
                <w:szCs w:val="20"/>
                <w:lang w:eastAsia="en-GB"/>
              </w:rPr>
            </w:pPr>
            <w:r w:rsidRPr="002E554D">
              <w:rPr>
                <w:rFonts w:ascii="Garamond" w:eastAsia="Times New Roman" w:hAnsi="Garamond" w:cs="Calibri"/>
                <w:b w:val="0"/>
                <w:bCs w:val="0"/>
                <w:color w:val="FF0000"/>
                <w:sz w:val="20"/>
                <w:szCs w:val="20"/>
                <w:lang w:eastAsia="en-GB"/>
              </w:rPr>
              <w:t>Pandemic bottom date</w:t>
            </w:r>
          </w:p>
        </w:tc>
        <w:tc>
          <w:tcPr>
            <w:tcW w:w="574" w:type="pct"/>
            <w:noWrap/>
            <w:vAlign w:val="center"/>
            <w:hideMark/>
          </w:tcPr>
          <w:p w14:paraId="1E1B79B3" w14:textId="77777777" w:rsidR="00110EFA" w:rsidRPr="002E554D" w:rsidRDefault="00110EFA" w:rsidP="00CF376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FF0000"/>
                <w:sz w:val="20"/>
                <w:szCs w:val="20"/>
                <w:lang w:eastAsia="en-GB"/>
              </w:rPr>
            </w:pPr>
            <w:r w:rsidRPr="002E554D">
              <w:rPr>
                <w:rFonts w:ascii="Garamond" w:eastAsia="Times New Roman" w:hAnsi="Garamond" w:cs="Calibri"/>
                <w:b w:val="0"/>
                <w:bCs w:val="0"/>
                <w:color w:val="FF0000"/>
                <w:sz w:val="20"/>
                <w:szCs w:val="20"/>
                <w:lang w:eastAsia="en-GB"/>
              </w:rPr>
              <w:t>Pandemic bottom value, USD</w:t>
            </w:r>
          </w:p>
        </w:tc>
        <w:tc>
          <w:tcPr>
            <w:tcW w:w="466" w:type="pct"/>
            <w:noWrap/>
            <w:vAlign w:val="center"/>
            <w:hideMark/>
          </w:tcPr>
          <w:p w14:paraId="1F188B77" w14:textId="77777777" w:rsidR="00110EFA" w:rsidRPr="002E554D" w:rsidRDefault="00110EFA" w:rsidP="00CF376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FF0000"/>
                <w:sz w:val="20"/>
                <w:szCs w:val="20"/>
                <w:lang w:eastAsia="en-GB"/>
              </w:rPr>
            </w:pPr>
            <w:r w:rsidRPr="002E554D">
              <w:rPr>
                <w:rFonts w:ascii="Garamond" w:eastAsia="Times New Roman" w:hAnsi="Garamond" w:cs="Calibri"/>
                <w:b w:val="0"/>
                <w:bCs w:val="0"/>
                <w:color w:val="FF0000"/>
                <w:sz w:val="20"/>
                <w:szCs w:val="20"/>
                <w:lang w:eastAsia="en-GB"/>
              </w:rPr>
              <w:t>Decrease, %</w:t>
            </w:r>
          </w:p>
        </w:tc>
        <w:tc>
          <w:tcPr>
            <w:tcW w:w="901" w:type="pct"/>
            <w:noWrap/>
            <w:vAlign w:val="center"/>
            <w:hideMark/>
          </w:tcPr>
          <w:p w14:paraId="0BAB19FE" w14:textId="77777777" w:rsidR="00110EFA" w:rsidRPr="002E554D" w:rsidRDefault="00110EFA" w:rsidP="00CF376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FF0000"/>
                <w:sz w:val="20"/>
                <w:szCs w:val="20"/>
                <w:lang w:eastAsia="en-GB"/>
              </w:rPr>
            </w:pPr>
            <w:r w:rsidRPr="002E554D">
              <w:rPr>
                <w:rFonts w:ascii="Garamond" w:eastAsia="Times New Roman" w:hAnsi="Garamond" w:cs="Calibri"/>
                <w:b w:val="0"/>
                <w:bCs w:val="0"/>
                <w:color w:val="FF0000"/>
                <w:sz w:val="20"/>
                <w:szCs w:val="20"/>
                <w:lang w:eastAsia="en-GB"/>
              </w:rPr>
              <w:t>The maximum after recovery, until 10/04/2020</w:t>
            </w:r>
          </w:p>
        </w:tc>
        <w:tc>
          <w:tcPr>
            <w:tcW w:w="596" w:type="pct"/>
            <w:noWrap/>
            <w:vAlign w:val="center"/>
            <w:hideMark/>
          </w:tcPr>
          <w:p w14:paraId="3E10DCDF" w14:textId="342AE52C" w:rsidR="00110EFA" w:rsidRPr="002E554D" w:rsidRDefault="00110EFA" w:rsidP="00CF376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FF0000"/>
                <w:sz w:val="20"/>
                <w:szCs w:val="20"/>
                <w:lang w:eastAsia="en-GB"/>
              </w:rPr>
            </w:pPr>
            <w:r w:rsidRPr="002E554D">
              <w:rPr>
                <w:rFonts w:ascii="Garamond" w:eastAsia="Times New Roman" w:hAnsi="Garamond" w:cs="Calibri"/>
                <w:b w:val="0"/>
                <w:bCs w:val="0"/>
                <w:color w:val="FF0000"/>
                <w:sz w:val="20"/>
                <w:szCs w:val="20"/>
                <w:lang w:eastAsia="en-GB"/>
              </w:rPr>
              <w:t>Gain in value, %</w:t>
            </w:r>
            <w:r w:rsidR="00F11884" w:rsidRPr="002E554D">
              <w:rPr>
                <w:rFonts w:ascii="Garamond" w:eastAsia="Times New Roman" w:hAnsi="Garamond" w:cs="Calibri"/>
                <w:b w:val="0"/>
                <w:bCs w:val="0"/>
                <w:color w:val="FF0000"/>
                <w:sz w:val="20"/>
                <w:szCs w:val="20"/>
                <w:lang w:eastAsia="en-GB"/>
              </w:rPr>
              <w:t>, until 10/04/2020</w:t>
            </w:r>
          </w:p>
        </w:tc>
      </w:tr>
      <w:tr w:rsidR="002E554D" w:rsidRPr="002E554D" w14:paraId="117CB281" w14:textId="77777777" w:rsidTr="00702E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E7E6E6" w:themeFill="background2"/>
            <w:noWrap/>
            <w:vAlign w:val="center"/>
          </w:tcPr>
          <w:p w14:paraId="29753B9D" w14:textId="77777777" w:rsidR="00110EFA" w:rsidRPr="002E554D" w:rsidRDefault="00110EFA" w:rsidP="00CF3767">
            <w:pPr>
              <w:rPr>
                <w:rFonts w:ascii="Garamond" w:eastAsia="Times New Roman" w:hAnsi="Garamond" w:cs="Calibri"/>
                <w:color w:val="FF0000"/>
                <w:lang w:eastAsia="en-GB"/>
              </w:rPr>
            </w:pPr>
            <w:r w:rsidRPr="002E554D">
              <w:rPr>
                <w:rFonts w:ascii="Garamond" w:eastAsia="Times New Roman" w:hAnsi="Garamond" w:cs="Calibri"/>
                <w:color w:val="FF0000"/>
                <w:lang w:eastAsia="en-GB"/>
              </w:rPr>
              <w:t>Cryptocurrencies</w:t>
            </w:r>
          </w:p>
        </w:tc>
      </w:tr>
      <w:tr w:rsidR="002E554D" w:rsidRPr="002E554D" w14:paraId="1BFAA233" w14:textId="77777777" w:rsidTr="00F11884">
        <w:trPr>
          <w:trHeight w:val="1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77D8C8BD"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eastAsia="Times New Roman" w:hAnsi="Garamond" w:cs="Calibri"/>
                <w:b w:val="0"/>
                <w:bCs w:val="0"/>
                <w:color w:val="FF0000"/>
                <w:sz w:val="18"/>
                <w:szCs w:val="18"/>
                <w:lang w:eastAsia="en-GB"/>
              </w:rPr>
              <w:t>Bitcoin</w:t>
            </w:r>
          </w:p>
        </w:tc>
        <w:tc>
          <w:tcPr>
            <w:tcW w:w="506" w:type="pct"/>
            <w:noWrap/>
            <w:vAlign w:val="center"/>
            <w:hideMark/>
          </w:tcPr>
          <w:p w14:paraId="5299FE9C"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10371.33</w:t>
            </w:r>
          </w:p>
        </w:tc>
        <w:tc>
          <w:tcPr>
            <w:tcW w:w="438" w:type="pct"/>
            <w:noWrap/>
            <w:vAlign w:val="bottom"/>
            <w:hideMark/>
          </w:tcPr>
          <w:p w14:paraId="78C97B90"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12/03/2020</w:t>
            </w:r>
          </w:p>
        </w:tc>
        <w:tc>
          <w:tcPr>
            <w:tcW w:w="574" w:type="pct"/>
            <w:noWrap/>
            <w:vAlign w:val="bottom"/>
            <w:hideMark/>
          </w:tcPr>
          <w:p w14:paraId="64963BCC"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4857.1</w:t>
            </w:r>
          </w:p>
        </w:tc>
        <w:tc>
          <w:tcPr>
            <w:tcW w:w="466" w:type="pct"/>
            <w:noWrap/>
            <w:vAlign w:val="bottom"/>
            <w:hideMark/>
          </w:tcPr>
          <w:p w14:paraId="7280DDF1"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-53.17</w:t>
            </w:r>
          </w:p>
        </w:tc>
        <w:tc>
          <w:tcPr>
            <w:tcW w:w="901" w:type="pct"/>
            <w:noWrap/>
            <w:vAlign w:val="bottom"/>
            <w:hideMark/>
          </w:tcPr>
          <w:p w14:paraId="54CF68C6"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7370.11</w:t>
            </w:r>
          </w:p>
        </w:tc>
        <w:tc>
          <w:tcPr>
            <w:tcW w:w="596" w:type="pct"/>
            <w:noWrap/>
            <w:vAlign w:val="bottom"/>
            <w:hideMark/>
          </w:tcPr>
          <w:p w14:paraId="33F36872"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151.74</w:t>
            </w:r>
          </w:p>
        </w:tc>
      </w:tr>
      <w:tr w:rsidR="002E554D" w:rsidRPr="002E554D" w14:paraId="67F79F1D" w14:textId="77777777" w:rsidTr="00F1188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792D4E9F"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eastAsia="Times New Roman" w:hAnsi="Garamond" w:cs="Calibri"/>
                <w:b w:val="0"/>
                <w:bCs w:val="0"/>
                <w:color w:val="FF0000"/>
                <w:sz w:val="18"/>
                <w:szCs w:val="18"/>
                <w:lang w:eastAsia="en-GB"/>
              </w:rPr>
              <w:t>ETH</w:t>
            </w:r>
          </w:p>
        </w:tc>
        <w:tc>
          <w:tcPr>
            <w:tcW w:w="506" w:type="pct"/>
            <w:noWrap/>
            <w:vAlign w:val="center"/>
            <w:hideMark/>
          </w:tcPr>
          <w:p w14:paraId="5A2E30A2"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286.27</w:t>
            </w:r>
          </w:p>
        </w:tc>
        <w:tc>
          <w:tcPr>
            <w:tcW w:w="438" w:type="pct"/>
            <w:noWrap/>
            <w:vAlign w:val="bottom"/>
            <w:hideMark/>
          </w:tcPr>
          <w:p w14:paraId="390C8EE5" w14:textId="77777777" w:rsidR="00110EFA" w:rsidRPr="002E554D" w:rsidRDefault="00110EFA" w:rsidP="00702E2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12/03/2020</w:t>
            </w:r>
          </w:p>
        </w:tc>
        <w:tc>
          <w:tcPr>
            <w:tcW w:w="574" w:type="pct"/>
            <w:noWrap/>
            <w:vAlign w:val="bottom"/>
            <w:hideMark/>
          </w:tcPr>
          <w:p w14:paraId="31D2AB14"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110.3</w:t>
            </w:r>
          </w:p>
        </w:tc>
        <w:tc>
          <w:tcPr>
            <w:tcW w:w="466" w:type="pct"/>
            <w:noWrap/>
            <w:vAlign w:val="bottom"/>
            <w:hideMark/>
          </w:tcPr>
          <w:p w14:paraId="79F9E778"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-61.47</w:t>
            </w:r>
          </w:p>
        </w:tc>
        <w:tc>
          <w:tcPr>
            <w:tcW w:w="901" w:type="pct"/>
            <w:noWrap/>
            <w:vAlign w:val="bottom"/>
            <w:hideMark/>
          </w:tcPr>
          <w:p w14:paraId="0331D232"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173.36</w:t>
            </w:r>
          </w:p>
        </w:tc>
        <w:tc>
          <w:tcPr>
            <w:tcW w:w="596" w:type="pct"/>
            <w:noWrap/>
            <w:vAlign w:val="bottom"/>
            <w:hideMark/>
          </w:tcPr>
          <w:p w14:paraId="29597559"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157.17</w:t>
            </w:r>
          </w:p>
        </w:tc>
      </w:tr>
      <w:tr w:rsidR="002E554D" w:rsidRPr="002E554D" w14:paraId="4EF25B36" w14:textId="77777777" w:rsidTr="00F11884">
        <w:trPr>
          <w:trHeight w:val="187"/>
        </w:trPr>
        <w:tc>
          <w:tcPr>
            <w:cnfStyle w:val="001000000000" w:firstRow="0" w:lastRow="0" w:firstColumn="1" w:lastColumn="0" w:oddVBand="0" w:evenVBand="0" w:oddHBand="0" w:evenHBand="0" w:firstRowFirstColumn="0" w:firstRowLastColumn="0" w:lastRowFirstColumn="0" w:lastRowLastColumn="0"/>
            <w:tcW w:w="1519" w:type="pct"/>
            <w:noWrap/>
          </w:tcPr>
          <w:p w14:paraId="21A00CD4"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eastAsia="Times New Roman" w:hAnsi="Garamond" w:cs="Calibri"/>
                <w:b w:val="0"/>
                <w:bCs w:val="0"/>
                <w:color w:val="FF0000"/>
                <w:sz w:val="18"/>
                <w:szCs w:val="18"/>
                <w:lang w:eastAsia="en-GB"/>
              </w:rPr>
              <w:t>LTC</w:t>
            </w:r>
          </w:p>
        </w:tc>
        <w:tc>
          <w:tcPr>
            <w:tcW w:w="506" w:type="pct"/>
            <w:noWrap/>
            <w:vAlign w:val="center"/>
          </w:tcPr>
          <w:p w14:paraId="1418ED12"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83.31</w:t>
            </w:r>
          </w:p>
        </w:tc>
        <w:tc>
          <w:tcPr>
            <w:tcW w:w="438" w:type="pct"/>
            <w:noWrap/>
            <w:vAlign w:val="bottom"/>
          </w:tcPr>
          <w:p w14:paraId="1B4B8D07" w14:textId="77777777" w:rsidR="00110EFA" w:rsidRPr="002E554D" w:rsidRDefault="00110EFA" w:rsidP="00702E2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12/03/2020</w:t>
            </w:r>
          </w:p>
        </w:tc>
        <w:tc>
          <w:tcPr>
            <w:tcW w:w="574" w:type="pct"/>
            <w:noWrap/>
            <w:vAlign w:val="bottom"/>
          </w:tcPr>
          <w:p w14:paraId="3C6E15F1"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30.09</w:t>
            </w:r>
          </w:p>
        </w:tc>
        <w:tc>
          <w:tcPr>
            <w:tcW w:w="466" w:type="pct"/>
            <w:noWrap/>
            <w:vAlign w:val="bottom"/>
          </w:tcPr>
          <w:p w14:paraId="664C9491"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-63.88</w:t>
            </w:r>
          </w:p>
        </w:tc>
        <w:tc>
          <w:tcPr>
            <w:tcW w:w="901" w:type="pct"/>
            <w:noWrap/>
            <w:vAlign w:val="bottom"/>
          </w:tcPr>
          <w:p w14:paraId="22EC6C99"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46.58</w:t>
            </w:r>
          </w:p>
        </w:tc>
        <w:tc>
          <w:tcPr>
            <w:tcW w:w="596" w:type="pct"/>
            <w:noWrap/>
            <w:vAlign w:val="bottom"/>
          </w:tcPr>
          <w:p w14:paraId="630EEEF7"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154.80</w:t>
            </w:r>
          </w:p>
        </w:tc>
      </w:tr>
      <w:tr w:rsidR="002E554D" w:rsidRPr="002E554D" w14:paraId="5DC7255A" w14:textId="77777777" w:rsidTr="00702E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E7E6E6" w:themeFill="background2"/>
            <w:noWrap/>
            <w:hideMark/>
          </w:tcPr>
          <w:p w14:paraId="42A20C85" w14:textId="72E5F10A" w:rsidR="00110EFA" w:rsidRPr="002E554D" w:rsidRDefault="00110EFA" w:rsidP="00702E29">
            <w:pPr>
              <w:rPr>
                <w:rFonts w:ascii="Garamond" w:eastAsia="Times New Roman" w:hAnsi="Garamond" w:cs="Calibri"/>
                <w:color w:val="FF0000"/>
                <w:lang w:eastAsia="en-GB"/>
              </w:rPr>
            </w:pPr>
            <w:r w:rsidRPr="002E554D">
              <w:rPr>
                <w:rFonts w:ascii="Garamond" w:eastAsia="Times New Roman" w:hAnsi="Garamond" w:cs="Calibri"/>
                <w:color w:val="FF0000"/>
                <w:lang w:eastAsia="en-GB"/>
              </w:rPr>
              <w:t>Precious Metals</w:t>
            </w:r>
          </w:p>
        </w:tc>
      </w:tr>
      <w:tr w:rsidR="002E554D" w:rsidRPr="002E554D" w14:paraId="5E809E58" w14:textId="77777777" w:rsidTr="00F11884">
        <w:trPr>
          <w:trHeight w:val="187"/>
        </w:trPr>
        <w:tc>
          <w:tcPr>
            <w:cnfStyle w:val="001000000000" w:firstRow="0" w:lastRow="0" w:firstColumn="1" w:lastColumn="0" w:oddVBand="0" w:evenVBand="0" w:oddHBand="0" w:evenHBand="0" w:firstRowFirstColumn="0" w:firstRowLastColumn="0" w:lastRowFirstColumn="0" w:lastRowLastColumn="0"/>
            <w:tcW w:w="1519" w:type="pct"/>
            <w:noWrap/>
            <w:vAlign w:val="bottom"/>
            <w:hideMark/>
          </w:tcPr>
          <w:p w14:paraId="3BF0E222"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eastAsia="Times New Roman" w:hAnsi="Garamond" w:cs="Calibri"/>
                <w:b w:val="0"/>
                <w:bCs w:val="0"/>
                <w:color w:val="FF0000"/>
                <w:sz w:val="18"/>
                <w:szCs w:val="18"/>
                <w:lang w:eastAsia="en-GB"/>
              </w:rPr>
              <w:t>Gold, Handy &amp; Harman Base $/Troy Oz</w:t>
            </w:r>
          </w:p>
        </w:tc>
        <w:tc>
          <w:tcPr>
            <w:tcW w:w="506" w:type="pct"/>
            <w:noWrap/>
            <w:vAlign w:val="center"/>
            <w:hideMark/>
          </w:tcPr>
          <w:p w14:paraId="23201688"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1683.65</w:t>
            </w:r>
          </w:p>
        </w:tc>
        <w:tc>
          <w:tcPr>
            <w:tcW w:w="438" w:type="pct"/>
            <w:noWrap/>
            <w:vAlign w:val="bottom"/>
            <w:hideMark/>
          </w:tcPr>
          <w:p w14:paraId="210D33A1"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19/03/2020</w:t>
            </w:r>
          </w:p>
        </w:tc>
        <w:tc>
          <w:tcPr>
            <w:tcW w:w="574" w:type="pct"/>
            <w:noWrap/>
            <w:vAlign w:val="bottom"/>
            <w:hideMark/>
          </w:tcPr>
          <w:p w14:paraId="12826143"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1474.25</w:t>
            </w:r>
          </w:p>
        </w:tc>
        <w:tc>
          <w:tcPr>
            <w:tcW w:w="466" w:type="pct"/>
            <w:noWrap/>
            <w:vAlign w:val="bottom"/>
            <w:hideMark/>
          </w:tcPr>
          <w:p w14:paraId="2ED9FC8A"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-12.44</w:t>
            </w:r>
          </w:p>
        </w:tc>
        <w:tc>
          <w:tcPr>
            <w:tcW w:w="901" w:type="pct"/>
            <w:noWrap/>
            <w:vAlign w:val="bottom"/>
            <w:hideMark/>
          </w:tcPr>
          <w:p w14:paraId="7BBA129F"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1741</w:t>
            </w:r>
          </w:p>
        </w:tc>
        <w:tc>
          <w:tcPr>
            <w:tcW w:w="596" w:type="pct"/>
            <w:noWrap/>
            <w:vAlign w:val="bottom"/>
            <w:hideMark/>
          </w:tcPr>
          <w:p w14:paraId="2C694B75"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118.09</w:t>
            </w:r>
          </w:p>
        </w:tc>
      </w:tr>
      <w:tr w:rsidR="002E554D" w:rsidRPr="002E554D" w14:paraId="5626ABDB" w14:textId="77777777" w:rsidTr="00F1188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074783D1" w14:textId="77777777" w:rsidR="00110EFA" w:rsidRPr="002E554D" w:rsidRDefault="00110EFA" w:rsidP="00CF3767">
            <w:pPr>
              <w:rPr>
                <w:rFonts w:ascii="Garamond" w:eastAsia="Times New Roman" w:hAnsi="Garamond" w:cs="Calibri"/>
                <w:b w:val="0"/>
                <w:bCs w:val="0"/>
                <w:color w:val="FF0000"/>
                <w:sz w:val="18"/>
                <w:szCs w:val="18"/>
                <w:lang w:eastAsia="en-GB"/>
              </w:rPr>
            </w:pPr>
            <w:proofErr w:type="spellStart"/>
            <w:proofErr w:type="gramStart"/>
            <w:r w:rsidRPr="002E554D">
              <w:rPr>
                <w:rFonts w:ascii="Garamond" w:eastAsia="Times New Roman" w:hAnsi="Garamond" w:cs="Calibri"/>
                <w:b w:val="0"/>
                <w:bCs w:val="0"/>
                <w:color w:val="FF0000"/>
                <w:sz w:val="18"/>
                <w:szCs w:val="18"/>
                <w:lang w:eastAsia="en-GB"/>
              </w:rPr>
              <w:t>Platinum,Free</w:t>
            </w:r>
            <w:proofErr w:type="spellEnd"/>
            <w:proofErr w:type="gramEnd"/>
            <w:r w:rsidRPr="002E554D">
              <w:rPr>
                <w:rFonts w:ascii="Garamond" w:eastAsia="Times New Roman" w:hAnsi="Garamond" w:cs="Calibri"/>
                <w:b w:val="0"/>
                <w:bCs w:val="0"/>
                <w:color w:val="FF0000"/>
                <w:sz w:val="18"/>
                <w:szCs w:val="18"/>
                <w:lang w:eastAsia="en-GB"/>
              </w:rPr>
              <w:t xml:space="preserve"> Market $/troy oz</w:t>
            </w:r>
          </w:p>
        </w:tc>
        <w:tc>
          <w:tcPr>
            <w:tcW w:w="506" w:type="pct"/>
            <w:noWrap/>
            <w:vAlign w:val="center"/>
            <w:hideMark/>
          </w:tcPr>
          <w:p w14:paraId="5D98A757"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1025.7</w:t>
            </w:r>
          </w:p>
        </w:tc>
        <w:tc>
          <w:tcPr>
            <w:tcW w:w="438" w:type="pct"/>
            <w:noWrap/>
            <w:hideMark/>
          </w:tcPr>
          <w:p w14:paraId="44589A35"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19/03/2020</w:t>
            </w:r>
          </w:p>
        </w:tc>
        <w:tc>
          <w:tcPr>
            <w:tcW w:w="574" w:type="pct"/>
            <w:noWrap/>
            <w:hideMark/>
          </w:tcPr>
          <w:p w14:paraId="1620C8C9"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586.6</w:t>
            </w:r>
          </w:p>
        </w:tc>
        <w:tc>
          <w:tcPr>
            <w:tcW w:w="466" w:type="pct"/>
            <w:noWrap/>
            <w:hideMark/>
          </w:tcPr>
          <w:p w14:paraId="02C37F38"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-42.81</w:t>
            </w:r>
          </w:p>
        </w:tc>
        <w:tc>
          <w:tcPr>
            <w:tcW w:w="901" w:type="pct"/>
            <w:noWrap/>
            <w:vAlign w:val="bottom"/>
            <w:hideMark/>
          </w:tcPr>
          <w:p w14:paraId="20F443AA"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747.2</w:t>
            </w:r>
          </w:p>
        </w:tc>
        <w:tc>
          <w:tcPr>
            <w:tcW w:w="596" w:type="pct"/>
            <w:noWrap/>
            <w:vAlign w:val="bottom"/>
            <w:hideMark/>
          </w:tcPr>
          <w:p w14:paraId="55D48CB4"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127.38</w:t>
            </w:r>
          </w:p>
        </w:tc>
      </w:tr>
      <w:tr w:rsidR="002E554D" w:rsidRPr="002E554D" w14:paraId="08675BB5" w14:textId="77777777" w:rsidTr="00F11884">
        <w:trPr>
          <w:trHeight w:val="1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249BE1ED"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eastAsia="Times New Roman" w:hAnsi="Garamond" w:cs="Calibri"/>
                <w:b w:val="0"/>
                <w:bCs w:val="0"/>
                <w:color w:val="FF0000"/>
                <w:sz w:val="18"/>
                <w:szCs w:val="18"/>
                <w:lang w:eastAsia="en-GB"/>
              </w:rPr>
              <w:t xml:space="preserve">Silver, </w:t>
            </w:r>
            <w:proofErr w:type="spellStart"/>
            <w:r w:rsidRPr="002E554D">
              <w:rPr>
                <w:rFonts w:ascii="Garamond" w:eastAsia="Times New Roman" w:hAnsi="Garamond" w:cs="Calibri"/>
                <w:b w:val="0"/>
                <w:bCs w:val="0"/>
                <w:color w:val="FF0000"/>
                <w:sz w:val="18"/>
                <w:szCs w:val="18"/>
                <w:lang w:eastAsia="en-GB"/>
              </w:rPr>
              <w:t>Handy&amp;Harman</w:t>
            </w:r>
            <w:proofErr w:type="spellEnd"/>
            <w:r w:rsidRPr="002E554D">
              <w:rPr>
                <w:rFonts w:ascii="Garamond" w:eastAsia="Times New Roman" w:hAnsi="Garamond" w:cs="Calibri"/>
                <w:b w:val="0"/>
                <w:bCs w:val="0"/>
                <w:color w:val="FF0000"/>
                <w:sz w:val="18"/>
                <w:szCs w:val="18"/>
                <w:lang w:eastAsia="en-GB"/>
              </w:rPr>
              <w:t xml:space="preserve"> (NY) U$/Troy OZ</w:t>
            </w:r>
          </w:p>
        </w:tc>
        <w:tc>
          <w:tcPr>
            <w:tcW w:w="506" w:type="pct"/>
            <w:noWrap/>
            <w:vAlign w:val="center"/>
            <w:hideMark/>
          </w:tcPr>
          <w:p w14:paraId="0B37141F"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18.8</w:t>
            </w:r>
          </w:p>
        </w:tc>
        <w:tc>
          <w:tcPr>
            <w:tcW w:w="438" w:type="pct"/>
            <w:noWrap/>
            <w:hideMark/>
          </w:tcPr>
          <w:p w14:paraId="5B0BA6A0"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18/03/2020</w:t>
            </w:r>
          </w:p>
        </w:tc>
        <w:tc>
          <w:tcPr>
            <w:tcW w:w="574" w:type="pct"/>
            <w:noWrap/>
            <w:hideMark/>
          </w:tcPr>
          <w:p w14:paraId="69043F42"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12.13</w:t>
            </w:r>
          </w:p>
        </w:tc>
        <w:tc>
          <w:tcPr>
            <w:tcW w:w="466" w:type="pct"/>
            <w:noWrap/>
            <w:hideMark/>
          </w:tcPr>
          <w:p w14:paraId="62FBBFD6"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-35.48</w:t>
            </w:r>
          </w:p>
        </w:tc>
        <w:tc>
          <w:tcPr>
            <w:tcW w:w="901" w:type="pct"/>
            <w:noWrap/>
            <w:vAlign w:val="bottom"/>
            <w:hideMark/>
          </w:tcPr>
          <w:p w14:paraId="6EFB4E0E"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15.4</w:t>
            </w:r>
          </w:p>
        </w:tc>
        <w:tc>
          <w:tcPr>
            <w:tcW w:w="596" w:type="pct"/>
            <w:noWrap/>
            <w:vAlign w:val="bottom"/>
            <w:hideMark/>
          </w:tcPr>
          <w:p w14:paraId="39EE5CB5"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126.96</w:t>
            </w:r>
          </w:p>
        </w:tc>
      </w:tr>
      <w:tr w:rsidR="002E554D" w:rsidRPr="002E554D" w14:paraId="1AA942C2" w14:textId="77777777" w:rsidTr="00F1188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0035DAF7"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eastAsia="Times New Roman" w:hAnsi="Garamond" w:cs="Calibri"/>
                <w:b w:val="0"/>
                <w:bCs w:val="0"/>
                <w:color w:val="FF0000"/>
                <w:sz w:val="18"/>
                <w:szCs w:val="18"/>
                <w:lang w:eastAsia="en-GB"/>
              </w:rPr>
              <w:t>Palladium U$/Troy Ounce</w:t>
            </w:r>
          </w:p>
        </w:tc>
        <w:tc>
          <w:tcPr>
            <w:tcW w:w="506" w:type="pct"/>
            <w:noWrap/>
            <w:vAlign w:val="center"/>
            <w:hideMark/>
          </w:tcPr>
          <w:p w14:paraId="2D1DEFA7"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2781</w:t>
            </w:r>
          </w:p>
        </w:tc>
        <w:tc>
          <w:tcPr>
            <w:tcW w:w="438" w:type="pct"/>
            <w:noWrap/>
            <w:hideMark/>
          </w:tcPr>
          <w:p w14:paraId="707F9CCD"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16/03/2020</w:t>
            </w:r>
          </w:p>
        </w:tc>
        <w:tc>
          <w:tcPr>
            <w:tcW w:w="574" w:type="pct"/>
            <w:noWrap/>
            <w:hideMark/>
          </w:tcPr>
          <w:p w14:paraId="6AAF6978"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1557</w:t>
            </w:r>
          </w:p>
        </w:tc>
        <w:tc>
          <w:tcPr>
            <w:tcW w:w="466" w:type="pct"/>
            <w:noWrap/>
            <w:hideMark/>
          </w:tcPr>
          <w:p w14:paraId="666E0A51"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-44.01</w:t>
            </w:r>
          </w:p>
        </w:tc>
        <w:tc>
          <w:tcPr>
            <w:tcW w:w="901" w:type="pct"/>
            <w:noWrap/>
            <w:vAlign w:val="bottom"/>
            <w:hideMark/>
          </w:tcPr>
          <w:p w14:paraId="268EAA95"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2307</w:t>
            </w:r>
          </w:p>
        </w:tc>
        <w:tc>
          <w:tcPr>
            <w:tcW w:w="596" w:type="pct"/>
            <w:noWrap/>
            <w:vAlign w:val="bottom"/>
            <w:hideMark/>
          </w:tcPr>
          <w:p w14:paraId="4A32D1D9"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148.17</w:t>
            </w:r>
          </w:p>
        </w:tc>
      </w:tr>
      <w:tr w:rsidR="002E554D" w:rsidRPr="002E554D" w14:paraId="59F9A9BA" w14:textId="77777777" w:rsidTr="00F11884">
        <w:trPr>
          <w:trHeight w:val="1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6A72C68B" w14:textId="48141287" w:rsidR="00110EFA" w:rsidRPr="002E554D" w:rsidRDefault="00175813" w:rsidP="00CF3767">
            <w:pPr>
              <w:rPr>
                <w:rFonts w:ascii="Garamond" w:eastAsia="Times New Roman" w:hAnsi="Garamond" w:cs="Calibri"/>
                <w:b w:val="0"/>
                <w:bCs w:val="0"/>
                <w:color w:val="FF0000"/>
                <w:sz w:val="18"/>
                <w:szCs w:val="18"/>
                <w:lang w:eastAsia="en-GB"/>
              </w:rPr>
            </w:pPr>
            <w:r w:rsidRPr="002E554D">
              <w:rPr>
                <w:rFonts w:ascii="Garamond" w:eastAsia="Times New Roman" w:hAnsi="Garamond" w:cs="Calibri"/>
                <w:b w:val="0"/>
                <w:bCs w:val="0"/>
                <w:color w:val="FF0000"/>
                <w:sz w:val="18"/>
                <w:szCs w:val="18"/>
                <w:lang w:eastAsia="en-GB"/>
              </w:rPr>
              <w:t>Rhodium CIF NWE U$/Ounce</w:t>
            </w:r>
          </w:p>
        </w:tc>
        <w:tc>
          <w:tcPr>
            <w:tcW w:w="506" w:type="pct"/>
            <w:noWrap/>
            <w:vAlign w:val="center"/>
            <w:hideMark/>
          </w:tcPr>
          <w:p w14:paraId="5037B9EE"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394443</w:t>
            </w:r>
          </w:p>
        </w:tc>
        <w:tc>
          <w:tcPr>
            <w:tcW w:w="438" w:type="pct"/>
            <w:noWrap/>
            <w:hideMark/>
          </w:tcPr>
          <w:p w14:paraId="04E4CDD6"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24/03/2020</w:t>
            </w:r>
          </w:p>
        </w:tc>
        <w:tc>
          <w:tcPr>
            <w:tcW w:w="574" w:type="pct"/>
            <w:noWrap/>
            <w:hideMark/>
          </w:tcPr>
          <w:p w14:paraId="58B92D35"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178980</w:t>
            </w:r>
          </w:p>
        </w:tc>
        <w:tc>
          <w:tcPr>
            <w:tcW w:w="466" w:type="pct"/>
            <w:noWrap/>
            <w:hideMark/>
          </w:tcPr>
          <w:p w14:paraId="5308395F"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-54.62</w:t>
            </w:r>
          </w:p>
        </w:tc>
        <w:tc>
          <w:tcPr>
            <w:tcW w:w="901" w:type="pct"/>
            <w:noWrap/>
            <w:vAlign w:val="bottom"/>
            <w:hideMark/>
          </w:tcPr>
          <w:p w14:paraId="7D8DD9A9"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313289</w:t>
            </w:r>
          </w:p>
        </w:tc>
        <w:tc>
          <w:tcPr>
            <w:tcW w:w="596" w:type="pct"/>
            <w:noWrap/>
            <w:vAlign w:val="bottom"/>
            <w:hideMark/>
          </w:tcPr>
          <w:p w14:paraId="45E414AA"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175.04</w:t>
            </w:r>
          </w:p>
        </w:tc>
      </w:tr>
      <w:tr w:rsidR="002E554D" w:rsidRPr="002E554D" w14:paraId="53BB8AA8" w14:textId="77777777" w:rsidTr="00702E29">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59F13AF5"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eastAsia="Times New Roman" w:hAnsi="Garamond" w:cs="Calibri"/>
                <w:b w:val="0"/>
                <w:bCs w:val="0"/>
                <w:color w:val="FF0000"/>
                <w:sz w:val="18"/>
                <w:szCs w:val="18"/>
                <w:lang w:eastAsia="en-GB"/>
              </w:rPr>
              <w:t>Iridium U$/Troy Oz</w:t>
            </w:r>
          </w:p>
        </w:tc>
        <w:tc>
          <w:tcPr>
            <w:tcW w:w="3481" w:type="pct"/>
            <w:gridSpan w:val="6"/>
            <w:noWrap/>
            <w:vAlign w:val="center"/>
            <w:hideMark/>
          </w:tcPr>
          <w:p w14:paraId="166FA28C" w14:textId="77777777" w:rsidR="00110EFA" w:rsidRPr="002E554D" w:rsidRDefault="00110EFA" w:rsidP="00E546B1">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no effect</w:t>
            </w:r>
          </w:p>
        </w:tc>
      </w:tr>
      <w:tr w:rsidR="002E554D" w:rsidRPr="002E554D" w14:paraId="4879CB91" w14:textId="77777777" w:rsidTr="00702E29">
        <w:trPr>
          <w:trHeight w:val="1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5CC338E7"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eastAsia="Times New Roman" w:hAnsi="Garamond" w:cs="Calibri"/>
                <w:b w:val="0"/>
                <w:bCs w:val="0"/>
                <w:color w:val="FF0000"/>
                <w:sz w:val="18"/>
                <w:szCs w:val="18"/>
                <w:lang w:eastAsia="en-GB"/>
              </w:rPr>
              <w:t>Ruthenium CIF NWE U$/Ounce</w:t>
            </w:r>
          </w:p>
        </w:tc>
        <w:tc>
          <w:tcPr>
            <w:tcW w:w="3481" w:type="pct"/>
            <w:gridSpan w:val="6"/>
            <w:noWrap/>
            <w:vAlign w:val="center"/>
            <w:hideMark/>
          </w:tcPr>
          <w:p w14:paraId="486AE902" w14:textId="77777777" w:rsidR="00110EFA" w:rsidRPr="002E554D" w:rsidRDefault="00110EFA" w:rsidP="00E546B1">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FF0000"/>
                <w:sz w:val="18"/>
                <w:szCs w:val="18"/>
                <w:lang w:eastAsia="en-GB"/>
              </w:rPr>
            </w:pPr>
            <w:r w:rsidRPr="002E554D">
              <w:rPr>
                <w:rFonts w:ascii="Garamond" w:eastAsia="Times New Roman" w:hAnsi="Garamond" w:cs="Calibri"/>
                <w:color w:val="FF0000"/>
                <w:sz w:val="18"/>
                <w:szCs w:val="18"/>
                <w:lang w:eastAsia="en-GB"/>
              </w:rPr>
              <w:t>no effect</w:t>
            </w:r>
          </w:p>
        </w:tc>
      </w:tr>
      <w:tr w:rsidR="002E554D" w:rsidRPr="002E554D" w14:paraId="1E1B72D2" w14:textId="77777777" w:rsidTr="00F1188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03834B5A" w14:textId="71BAC582"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eastAsia="Times New Roman" w:hAnsi="Garamond" w:cs="Calibri"/>
                <w:b w:val="0"/>
                <w:bCs w:val="0"/>
                <w:color w:val="FF0000"/>
                <w:sz w:val="18"/>
                <w:szCs w:val="18"/>
                <w:lang w:eastAsia="en-GB"/>
              </w:rPr>
              <w:t>Osmium E/KG</w:t>
            </w:r>
          </w:p>
        </w:tc>
        <w:tc>
          <w:tcPr>
            <w:tcW w:w="506" w:type="pct"/>
            <w:noWrap/>
            <w:vAlign w:val="center"/>
            <w:hideMark/>
          </w:tcPr>
          <w:p w14:paraId="5EEE6EB8"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11917</w:t>
            </w:r>
          </w:p>
        </w:tc>
        <w:tc>
          <w:tcPr>
            <w:tcW w:w="438" w:type="pct"/>
            <w:noWrap/>
            <w:hideMark/>
          </w:tcPr>
          <w:p w14:paraId="7C1A7D6E"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09/03/2020</w:t>
            </w:r>
          </w:p>
        </w:tc>
        <w:tc>
          <w:tcPr>
            <w:tcW w:w="574" w:type="pct"/>
            <w:noWrap/>
            <w:hideMark/>
          </w:tcPr>
          <w:p w14:paraId="1F4AD714"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11304</w:t>
            </w:r>
          </w:p>
        </w:tc>
        <w:tc>
          <w:tcPr>
            <w:tcW w:w="466" w:type="pct"/>
            <w:noWrap/>
            <w:hideMark/>
          </w:tcPr>
          <w:p w14:paraId="1529E652"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-5.14</w:t>
            </w:r>
          </w:p>
        </w:tc>
        <w:tc>
          <w:tcPr>
            <w:tcW w:w="901" w:type="pct"/>
            <w:noWrap/>
            <w:vAlign w:val="bottom"/>
            <w:hideMark/>
          </w:tcPr>
          <w:p w14:paraId="03759948"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11767</w:t>
            </w:r>
          </w:p>
        </w:tc>
        <w:tc>
          <w:tcPr>
            <w:tcW w:w="596" w:type="pct"/>
            <w:noWrap/>
            <w:vAlign w:val="bottom"/>
            <w:hideMark/>
          </w:tcPr>
          <w:p w14:paraId="51860931"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104.10</w:t>
            </w:r>
          </w:p>
        </w:tc>
      </w:tr>
      <w:tr w:rsidR="002E554D" w:rsidRPr="002E554D" w14:paraId="316F8AB3" w14:textId="77777777" w:rsidTr="00F11884">
        <w:trPr>
          <w:trHeight w:val="1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1E10A9D9"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eastAsia="Times New Roman" w:hAnsi="Garamond" w:cs="Calibri"/>
                <w:b w:val="0"/>
                <w:bCs w:val="0"/>
                <w:color w:val="FF0000"/>
                <w:sz w:val="18"/>
                <w:szCs w:val="18"/>
                <w:lang w:eastAsia="en-GB"/>
              </w:rPr>
              <w:t>S&amp;P GSCI Precious Metal Tot. Ret. - RETURN IND. (OFCL)</w:t>
            </w:r>
          </w:p>
        </w:tc>
        <w:tc>
          <w:tcPr>
            <w:tcW w:w="506" w:type="pct"/>
            <w:noWrap/>
            <w:vAlign w:val="center"/>
            <w:hideMark/>
          </w:tcPr>
          <w:p w14:paraId="0050AF38"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1958.16</w:t>
            </w:r>
          </w:p>
        </w:tc>
        <w:tc>
          <w:tcPr>
            <w:tcW w:w="438" w:type="pct"/>
            <w:noWrap/>
            <w:vAlign w:val="center"/>
            <w:hideMark/>
          </w:tcPr>
          <w:p w14:paraId="325EB277" w14:textId="77777777" w:rsidR="00110EFA" w:rsidRPr="002E554D" w:rsidRDefault="00110EFA" w:rsidP="00D170D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18/03/2020</w:t>
            </w:r>
          </w:p>
        </w:tc>
        <w:tc>
          <w:tcPr>
            <w:tcW w:w="574" w:type="pct"/>
            <w:noWrap/>
            <w:vAlign w:val="center"/>
            <w:hideMark/>
          </w:tcPr>
          <w:p w14:paraId="75F13EC5"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1680.94</w:t>
            </w:r>
          </w:p>
        </w:tc>
        <w:tc>
          <w:tcPr>
            <w:tcW w:w="466" w:type="pct"/>
            <w:noWrap/>
            <w:vAlign w:val="center"/>
            <w:hideMark/>
          </w:tcPr>
          <w:p w14:paraId="4301F4FE"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eastAsia="Times New Roman" w:hAnsi="Garamond" w:cs="Calibri"/>
                <w:color w:val="FF0000"/>
                <w:sz w:val="18"/>
                <w:szCs w:val="18"/>
                <w:lang w:eastAsia="en-GB"/>
              </w:rPr>
              <w:t>-14.16</w:t>
            </w:r>
          </w:p>
        </w:tc>
        <w:tc>
          <w:tcPr>
            <w:tcW w:w="901" w:type="pct"/>
            <w:noWrap/>
            <w:vAlign w:val="center"/>
            <w:hideMark/>
          </w:tcPr>
          <w:p w14:paraId="3D207DA1"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2010.33</w:t>
            </w:r>
          </w:p>
        </w:tc>
        <w:tc>
          <w:tcPr>
            <w:tcW w:w="596" w:type="pct"/>
            <w:noWrap/>
            <w:vAlign w:val="center"/>
            <w:hideMark/>
          </w:tcPr>
          <w:p w14:paraId="22805CA9"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119.60</w:t>
            </w:r>
          </w:p>
        </w:tc>
      </w:tr>
      <w:tr w:rsidR="002E554D" w:rsidRPr="002E554D" w14:paraId="78FCEA31" w14:textId="77777777" w:rsidTr="00702E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E7E6E6" w:themeFill="background2"/>
            <w:noWrap/>
            <w:hideMark/>
          </w:tcPr>
          <w:p w14:paraId="1F28BD8F" w14:textId="77777777" w:rsidR="00110EFA" w:rsidRPr="002E554D" w:rsidRDefault="00110EFA" w:rsidP="00702E29">
            <w:pPr>
              <w:rPr>
                <w:rFonts w:ascii="Garamond" w:eastAsia="Times New Roman" w:hAnsi="Garamond" w:cs="Calibri"/>
                <w:b w:val="0"/>
                <w:bCs w:val="0"/>
                <w:color w:val="FF0000"/>
                <w:lang w:eastAsia="en-GB"/>
              </w:rPr>
            </w:pPr>
            <w:r w:rsidRPr="002E554D">
              <w:rPr>
                <w:rFonts w:ascii="Garamond" w:eastAsia="Times New Roman" w:hAnsi="Garamond" w:cs="Calibri"/>
                <w:color w:val="FF0000"/>
                <w:lang w:eastAsia="en-GB"/>
              </w:rPr>
              <w:t>Bonds</w:t>
            </w:r>
          </w:p>
        </w:tc>
      </w:tr>
      <w:tr w:rsidR="002E554D" w:rsidRPr="002E554D" w14:paraId="32BD2591" w14:textId="77777777" w:rsidTr="00F11884">
        <w:trPr>
          <w:trHeight w:val="187"/>
        </w:trPr>
        <w:tc>
          <w:tcPr>
            <w:cnfStyle w:val="001000000000" w:firstRow="0" w:lastRow="0" w:firstColumn="1" w:lastColumn="0" w:oddVBand="0" w:evenVBand="0" w:oddHBand="0" w:evenHBand="0" w:firstRowFirstColumn="0" w:firstRowLastColumn="0" w:lastRowFirstColumn="0" w:lastRowLastColumn="0"/>
            <w:tcW w:w="1519" w:type="pct"/>
            <w:noWrap/>
            <w:vAlign w:val="bottom"/>
            <w:hideMark/>
          </w:tcPr>
          <w:p w14:paraId="19B15270" w14:textId="1F3A16B6"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cs="Calibri"/>
                <w:b w:val="0"/>
                <w:bCs w:val="0"/>
                <w:color w:val="FF0000"/>
                <w:sz w:val="18"/>
                <w:szCs w:val="18"/>
              </w:rPr>
              <w:t>BD BENCHMARK 10 YEAR DS</w:t>
            </w:r>
            <w:r w:rsidR="00702E29" w:rsidRPr="002E554D">
              <w:rPr>
                <w:rFonts w:ascii="Garamond" w:hAnsi="Garamond" w:cs="Calibri"/>
                <w:b w:val="0"/>
                <w:bCs w:val="0"/>
                <w:color w:val="FF0000"/>
                <w:sz w:val="18"/>
                <w:szCs w:val="18"/>
              </w:rPr>
              <w:t xml:space="preserve"> </w:t>
            </w:r>
            <w:r w:rsidRPr="002E554D">
              <w:rPr>
                <w:rFonts w:ascii="Garamond" w:hAnsi="Garamond" w:cs="Calibri"/>
                <w:b w:val="0"/>
                <w:bCs w:val="0"/>
                <w:color w:val="FF0000"/>
                <w:sz w:val="18"/>
                <w:szCs w:val="18"/>
              </w:rPr>
              <w:t xml:space="preserve">GOVT. INDEX </w:t>
            </w:r>
          </w:p>
        </w:tc>
        <w:tc>
          <w:tcPr>
            <w:tcW w:w="506" w:type="pct"/>
            <w:noWrap/>
            <w:vAlign w:val="center"/>
            <w:hideMark/>
          </w:tcPr>
          <w:p w14:paraId="42B4573F"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199.977</w:t>
            </w:r>
          </w:p>
        </w:tc>
        <w:tc>
          <w:tcPr>
            <w:tcW w:w="438" w:type="pct"/>
            <w:noWrap/>
            <w:vAlign w:val="bottom"/>
            <w:hideMark/>
          </w:tcPr>
          <w:p w14:paraId="1B83ED72"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19/03/2020</w:t>
            </w:r>
          </w:p>
        </w:tc>
        <w:tc>
          <w:tcPr>
            <w:tcW w:w="574" w:type="pct"/>
            <w:noWrap/>
            <w:vAlign w:val="bottom"/>
            <w:hideMark/>
          </w:tcPr>
          <w:p w14:paraId="2F38F4EC"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187.01</w:t>
            </w:r>
          </w:p>
        </w:tc>
        <w:tc>
          <w:tcPr>
            <w:tcW w:w="466" w:type="pct"/>
            <w:noWrap/>
            <w:vAlign w:val="bottom"/>
            <w:hideMark/>
          </w:tcPr>
          <w:p w14:paraId="3718D8A7"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-6.48</w:t>
            </w:r>
          </w:p>
        </w:tc>
        <w:tc>
          <w:tcPr>
            <w:tcW w:w="901" w:type="pct"/>
            <w:noWrap/>
            <w:vAlign w:val="bottom"/>
            <w:hideMark/>
          </w:tcPr>
          <w:p w14:paraId="4F3C4D1E"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193.838</w:t>
            </w:r>
          </w:p>
        </w:tc>
        <w:tc>
          <w:tcPr>
            <w:tcW w:w="596" w:type="pct"/>
            <w:noWrap/>
            <w:vAlign w:val="bottom"/>
            <w:hideMark/>
          </w:tcPr>
          <w:p w14:paraId="5767588E"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103.65</w:t>
            </w:r>
          </w:p>
        </w:tc>
      </w:tr>
      <w:tr w:rsidR="002E554D" w:rsidRPr="002E554D" w14:paraId="591D0518" w14:textId="77777777" w:rsidTr="00F1188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519" w:type="pct"/>
            <w:noWrap/>
            <w:vAlign w:val="bottom"/>
            <w:hideMark/>
          </w:tcPr>
          <w:p w14:paraId="1D56E752"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cs="Calibri"/>
                <w:b w:val="0"/>
                <w:bCs w:val="0"/>
                <w:color w:val="FF0000"/>
                <w:sz w:val="18"/>
                <w:szCs w:val="18"/>
              </w:rPr>
              <w:t xml:space="preserve">US BENCHMARK 10 YEAR DS GOVT. INDEX </w:t>
            </w:r>
          </w:p>
        </w:tc>
        <w:tc>
          <w:tcPr>
            <w:tcW w:w="506" w:type="pct"/>
            <w:noWrap/>
            <w:vAlign w:val="center"/>
            <w:hideMark/>
          </w:tcPr>
          <w:p w14:paraId="29F4FEBF"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176.596</w:t>
            </w:r>
          </w:p>
        </w:tc>
        <w:tc>
          <w:tcPr>
            <w:tcW w:w="438" w:type="pct"/>
            <w:noWrap/>
            <w:vAlign w:val="bottom"/>
            <w:hideMark/>
          </w:tcPr>
          <w:p w14:paraId="36DDA394"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18/03/2020</w:t>
            </w:r>
          </w:p>
        </w:tc>
        <w:tc>
          <w:tcPr>
            <w:tcW w:w="574" w:type="pct"/>
            <w:noWrap/>
            <w:vAlign w:val="bottom"/>
            <w:hideMark/>
          </w:tcPr>
          <w:p w14:paraId="6FD93576"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166.057</w:t>
            </w:r>
          </w:p>
        </w:tc>
        <w:tc>
          <w:tcPr>
            <w:tcW w:w="466" w:type="pct"/>
            <w:noWrap/>
            <w:vAlign w:val="bottom"/>
            <w:hideMark/>
          </w:tcPr>
          <w:p w14:paraId="7AE4E1C1"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-5.97</w:t>
            </w:r>
          </w:p>
        </w:tc>
        <w:tc>
          <w:tcPr>
            <w:tcW w:w="901" w:type="pct"/>
            <w:noWrap/>
            <w:vAlign w:val="bottom"/>
            <w:hideMark/>
          </w:tcPr>
          <w:p w14:paraId="39B5ACEA"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175.959</w:t>
            </w:r>
          </w:p>
        </w:tc>
        <w:tc>
          <w:tcPr>
            <w:tcW w:w="596" w:type="pct"/>
            <w:noWrap/>
            <w:vAlign w:val="bottom"/>
            <w:hideMark/>
          </w:tcPr>
          <w:p w14:paraId="09B753F8"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105.96</w:t>
            </w:r>
          </w:p>
        </w:tc>
      </w:tr>
      <w:tr w:rsidR="002E554D" w:rsidRPr="002E554D" w14:paraId="605A5C0E" w14:textId="77777777" w:rsidTr="00F11884">
        <w:trPr>
          <w:trHeight w:val="187"/>
        </w:trPr>
        <w:tc>
          <w:tcPr>
            <w:cnfStyle w:val="001000000000" w:firstRow="0" w:lastRow="0" w:firstColumn="1" w:lastColumn="0" w:oddVBand="0" w:evenVBand="0" w:oddHBand="0" w:evenHBand="0" w:firstRowFirstColumn="0" w:firstRowLastColumn="0" w:lastRowFirstColumn="0" w:lastRowLastColumn="0"/>
            <w:tcW w:w="1519" w:type="pct"/>
            <w:noWrap/>
            <w:vAlign w:val="bottom"/>
            <w:hideMark/>
          </w:tcPr>
          <w:p w14:paraId="495945CE"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cs="Calibri"/>
                <w:b w:val="0"/>
                <w:bCs w:val="0"/>
                <w:color w:val="FF0000"/>
                <w:sz w:val="18"/>
                <w:szCs w:val="18"/>
              </w:rPr>
              <w:t xml:space="preserve">FR BENCHMARK 10 YEAR DS GOVT. INDEX </w:t>
            </w:r>
          </w:p>
        </w:tc>
        <w:tc>
          <w:tcPr>
            <w:tcW w:w="506" w:type="pct"/>
            <w:noWrap/>
            <w:vAlign w:val="center"/>
            <w:hideMark/>
          </w:tcPr>
          <w:p w14:paraId="00D7D2BF"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233.838</w:t>
            </w:r>
          </w:p>
        </w:tc>
        <w:tc>
          <w:tcPr>
            <w:tcW w:w="438" w:type="pct"/>
            <w:noWrap/>
            <w:vAlign w:val="bottom"/>
            <w:hideMark/>
          </w:tcPr>
          <w:p w14:paraId="72BC93DE"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18/03/2020</w:t>
            </w:r>
          </w:p>
        </w:tc>
        <w:tc>
          <w:tcPr>
            <w:tcW w:w="574" w:type="pct"/>
            <w:noWrap/>
            <w:vAlign w:val="bottom"/>
            <w:hideMark/>
          </w:tcPr>
          <w:p w14:paraId="4781AB7A"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219.567</w:t>
            </w:r>
          </w:p>
        </w:tc>
        <w:tc>
          <w:tcPr>
            <w:tcW w:w="466" w:type="pct"/>
            <w:noWrap/>
            <w:vAlign w:val="bottom"/>
            <w:hideMark/>
          </w:tcPr>
          <w:p w14:paraId="549C480D"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-6.10</w:t>
            </w:r>
          </w:p>
        </w:tc>
        <w:tc>
          <w:tcPr>
            <w:tcW w:w="901" w:type="pct"/>
            <w:noWrap/>
            <w:vAlign w:val="bottom"/>
            <w:hideMark/>
          </w:tcPr>
          <w:p w14:paraId="0A8507AC"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227.679</w:t>
            </w:r>
          </w:p>
        </w:tc>
        <w:tc>
          <w:tcPr>
            <w:tcW w:w="596" w:type="pct"/>
            <w:noWrap/>
            <w:vAlign w:val="bottom"/>
            <w:hideMark/>
          </w:tcPr>
          <w:p w14:paraId="2C840902"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103.69</w:t>
            </w:r>
          </w:p>
        </w:tc>
      </w:tr>
      <w:tr w:rsidR="002E554D" w:rsidRPr="002E554D" w14:paraId="12F5F28B" w14:textId="77777777" w:rsidTr="00F1188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519" w:type="pct"/>
            <w:noWrap/>
            <w:vAlign w:val="bottom"/>
          </w:tcPr>
          <w:p w14:paraId="058A661F"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cs="Calibri"/>
                <w:b w:val="0"/>
                <w:bCs w:val="0"/>
                <w:color w:val="FF0000"/>
                <w:sz w:val="18"/>
                <w:szCs w:val="18"/>
              </w:rPr>
              <w:t xml:space="preserve">UK BENCHMARK 10 YEAR DS GOVT. INDEX </w:t>
            </w:r>
          </w:p>
        </w:tc>
        <w:tc>
          <w:tcPr>
            <w:tcW w:w="506" w:type="pct"/>
            <w:noWrap/>
            <w:vAlign w:val="center"/>
          </w:tcPr>
          <w:p w14:paraId="297C6F5B"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222.745</w:t>
            </w:r>
          </w:p>
        </w:tc>
        <w:tc>
          <w:tcPr>
            <w:tcW w:w="438" w:type="pct"/>
            <w:noWrap/>
            <w:vAlign w:val="bottom"/>
          </w:tcPr>
          <w:p w14:paraId="25C8C376"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19/03/2020</w:t>
            </w:r>
          </w:p>
        </w:tc>
        <w:tc>
          <w:tcPr>
            <w:tcW w:w="574" w:type="pct"/>
            <w:noWrap/>
            <w:vAlign w:val="bottom"/>
          </w:tcPr>
          <w:p w14:paraId="21FF51B2"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210.373</w:t>
            </w:r>
          </w:p>
        </w:tc>
        <w:tc>
          <w:tcPr>
            <w:tcW w:w="466" w:type="pct"/>
            <w:noWrap/>
            <w:vAlign w:val="bottom"/>
          </w:tcPr>
          <w:p w14:paraId="5AEDEC9C"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-5.55</w:t>
            </w:r>
          </w:p>
        </w:tc>
        <w:tc>
          <w:tcPr>
            <w:tcW w:w="901" w:type="pct"/>
            <w:noWrap/>
            <w:vAlign w:val="bottom"/>
          </w:tcPr>
          <w:p w14:paraId="749AF96E"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220.959</w:t>
            </w:r>
          </w:p>
        </w:tc>
        <w:tc>
          <w:tcPr>
            <w:tcW w:w="596" w:type="pct"/>
            <w:noWrap/>
            <w:vAlign w:val="bottom"/>
          </w:tcPr>
          <w:p w14:paraId="785FEC37"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105.03</w:t>
            </w:r>
          </w:p>
        </w:tc>
      </w:tr>
      <w:tr w:rsidR="002E554D" w:rsidRPr="002E554D" w14:paraId="76B05DCC" w14:textId="77777777" w:rsidTr="00702E2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E7E6E6" w:themeFill="background2"/>
            <w:noWrap/>
            <w:hideMark/>
          </w:tcPr>
          <w:p w14:paraId="00667C04" w14:textId="77777777" w:rsidR="00110EFA" w:rsidRPr="002E554D" w:rsidRDefault="00110EFA" w:rsidP="00702E29">
            <w:pPr>
              <w:rPr>
                <w:rFonts w:ascii="Garamond" w:eastAsia="Times New Roman" w:hAnsi="Garamond" w:cs="Calibri"/>
                <w:color w:val="FF0000"/>
                <w:lang w:eastAsia="en-GB"/>
              </w:rPr>
            </w:pPr>
            <w:r w:rsidRPr="002E554D">
              <w:rPr>
                <w:rFonts w:ascii="Garamond" w:eastAsia="Times New Roman" w:hAnsi="Garamond" w:cs="Calibri"/>
                <w:color w:val="FF0000"/>
                <w:lang w:eastAsia="en-GB"/>
              </w:rPr>
              <w:t>Indexes</w:t>
            </w:r>
          </w:p>
        </w:tc>
      </w:tr>
      <w:tr w:rsidR="002E554D" w:rsidRPr="002E554D" w14:paraId="14F798A6" w14:textId="77777777" w:rsidTr="00F118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670B4BBA"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 xml:space="preserve">S&amp;P 500 COMPOSITE </w:t>
            </w:r>
          </w:p>
        </w:tc>
        <w:tc>
          <w:tcPr>
            <w:tcW w:w="506" w:type="pct"/>
            <w:noWrap/>
            <w:vAlign w:val="center"/>
            <w:hideMark/>
          </w:tcPr>
          <w:p w14:paraId="37650719"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3386.15</w:t>
            </w:r>
          </w:p>
        </w:tc>
        <w:tc>
          <w:tcPr>
            <w:tcW w:w="438" w:type="pct"/>
            <w:noWrap/>
            <w:vAlign w:val="bottom"/>
            <w:hideMark/>
          </w:tcPr>
          <w:p w14:paraId="39CE0C78"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23/03/2020</w:t>
            </w:r>
          </w:p>
        </w:tc>
        <w:tc>
          <w:tcPr>
            <w:tcW w:w="574" w:type="pct"/>
            <w:noWrap/>
            <w:vAlign w:val="bottom"/>
            <w:hideMark/>
          </w:tcPr>
          <w:p w14:paraId="30C12EE3"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2237.4</w:t>
            </w:r>
          </w:p>
        </w:tc>
        <w:tc>
          <w:tcPr>
            <w:tcW w:w="466" w:type="pct"/>
            <w:noWrap/>
            <w:vAlign w:val="bottom"/>
            <w:hideMark/>
          </w:tcPr>
          <w:p w14:paraId="7E308564"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-33.92</w:t>
            </w:r>
          </w:p>
        </w:tc>
        <w:tc>
          <w:tcPr>
            <w:tcW w:w="901" w:type="pct"/>
            <w:noWrap/>
            <w:vAlign w:val="bottom"/>
            <w:hideMark/>
          </w:tcPr>
          <w:p w14:paraId="267A3FBF"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2789.82</w:t>
            </w:r>
          </w:p>
        </w:tc>
        <w:tc>
          <w:tcPr>
            <w:tcW w:w="596" w:type="pct"/>
            <w:noWrap/>
            <w:vAlign w:val="bottom"/>
            <w:hideMark/>
          </w:tcPr>
          <w:p w14:paraId="3AEC43F3"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124.69</w:t>
            </w:r>
          </w:p>
        </w:tc>
      </w:tr>
      <w:tr w:rsidR="002E554D" w:rsidRPr="002E554D" w14:paraId="741902F6" w14:textId="77777777" w:rsidTr="00F11884">
        <w:trPr>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79A7C3D6"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DOW JONES INDUSTRIALS</w:t>
            </w:r>
          </w:p>
        </w:tc>
        <w:tc>
          <w:tcPr>
            <w:tcW w:w="506" w:type="pct"/>
            <w:noWrap/>
            <w:vAlign w:val="center"/>
            <w:hideMark/>
          </w:tcPr>
          <w:p w14:paraId="3410D70A"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29551.42</w:t>
            </w:r>
          </w:p>
        </w:tc>
        <w:tc>
          <w:tcPr>
            <w:tcW w:w="438" w:type="pct"/>
            <w:noWrap/>
            <w:vAlign w:val="bottom"/>
            <w:hideMark/>
          </w:tcPr>
          <w:p w14:paraId="05165C80"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23/03/2020</w:t>
            </w:r>
          </w:p>
        </w:tc>
        <w:tc>
          <w:tcPr>
            <w:tcW w:w="574" w:type="pct"/>
            <w:noWrap/>
            <w:vAlign w:val="bottom"/>
            <w:hideMark/>
          </w:tcPr>
          <w:p w14:paraId="45E74103"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18591.93</w:t>
            </w:r>
          </w:p>
        </w:tc>
        <w:tc>
          <w:tcPr>
            <w:tcW w:w="466" w:type="pct"/>
            <w:noWrap/>
            <w:vAlign w:val="bottom"/>
            <w:hideMark/>
          </w:tcPr>
          <w:p w14:paraId="53B5F7DD"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-37.09</w:t>
            </w:r>
          </w:p>
        </w:tc>
        <w:tc>
          <w:tcPr>
            <w:tcW w:w="901" w:type="pct"/>
            <w:noWrap/>
            <w:vAlign w:val="bottom"/>
            <w:hideMark/>
          </w:tcPr>
          <w:p w14:paraId="06F2C915"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23719.37</w:t>
            </w:r>
          </w:p>
        </w:tc>
        <w:tc>
          <w:tcPr>
            <w:tcW w:w="596" w:type="pct"/>
            <w:noWrap/>
            <w:vAlign w:val="bottom"/>
            <w:hideMark/>
          </w:tcPr>
          <w:p w14:paraId="2B18DE68"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127.58</w:t>
            </w:r>
          </w:p>
        </w:tc>
      </w:tr>
      <w:tr w:rsidR="002E554D" w:rsidRPr="002E554D" w14:paraId="7916DC30" w14:textId="77777777" w:rsidTr="00F118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7E9386A2"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 xml:space="preserve">NIKKEI 225 STOCK AVERAGE </w:t>
            </w:r>
          </w:p>
        </w:tc>
        <w:tc>
          <w:tcPr>
            <w:tcW w:w="506" w:type="pct"/>
            <w:noWrap/>
            <w:vAlign w:val="center"/>
            <w:hideMark/>
          </w:tcPr>
          <w:p w14:paraId="7CA0EB03"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24083.51</w:t>
            </w:r>
          </w:p>
        </w:tc>
        <w:tc>
          <w:tcPr>
            <w:tcW w:w="438" w:type="pct"/>
            <w:noWrap/>
            <w:vAlign w:val="bottom"/>
            <w:hideMark/>
          </w:tcPr>
          <w:p w14:paraId="4464BD2A"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19/03/2020</w:t>
            </w:r>
          </w:p>
        </w:tc>
        <w:tc>
          <w:tcPr>
            <w:tcW w:w="574" w:type="pct"/>
            <w:noWrap/>
            <w:vAlign w:val="bottom"/>
            <w:hideMark/>
          </w:tcPr>
          <w:p w14:paraId="67B9BD76"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16552.83</w:t>
            </w:r>
          </w:p>
        </w:tc>
        <w:tc>
          <w:tcPr>
            <w:tcW w:w="466" w:type="pct"/>
            <w:noWrap/>
            <w:vAlign w:val="bottom"/>
            <w:hideMark/>
          </w:tcPr>
          <w:p w14:paraId="5BA64376"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-31.27</w:t>
            </w:r>
          </w:p>
        </w:tc>
        <w:tc>
          <w:tcPr>
            <w:tcW w:w="901" w:type="pct"/>
            <w:noWrap/>
            <w:vAlign w:val="bottom"/>
            <w:hideMark/>
          </w:tcPr>
          <w:p w14:paraId="1476FFC7"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19345.77</w:t>
            </w:r>
          </w:p>
        </w:tc>
        <w:tc>
          <w:tcPr>
            <w:tcW w:w="596" w:type="pct"/>
            <w:noWrap/>
            <w:vAlign w:val="bottom"/>
            <w:hideMark/>
          </w:tcPr>
          <w:p w14:paraId="343F3D13"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116.87</w:t>
            </w:r>
          </w:p>
        </w:tc>
      </w:tr>
      <w:tr w:rsidR="002E554D" w:rsidRPr="002E554D" w14:paraId="40398DA2" w14:textId="77777777" w:rsidTr="00F11884">
        <w:trPr>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3238B58D"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DAX 30</w:t>
            </w:r>
          </w:p>
        </w:tc>
        <w:tc>
          <w:tcPr>
            <w:tcW w:w="506" w:type="pct"/>
            <w:noWrap/>
            <w:vAlign w:val="center"/>
            <w:hideMark/>
          </w:tcPr>
          <w:p w14:paraId="4499B04C"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13789</w:t>
            </w:r>
          </w:p>
        </w:tc>
        <w:tc>
          <w:tcPr>
            <w:tcW w:w="438" w:type="pct"/>
            <w:noWrap/>
            <w:vAlign w:val="bottom"/>
            <w:hideMark/>
          </w:tcPr>
          <w:p w14:paraId="570D37CA"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18/03/2020</w:t>
            </w:r>
          </w:p>
        </w:tc>
        <w:tc>
          <w:tcPr>
            <w:tcW w:w="574" w:type="pct"/>
            <w:noWrap/>
            <w:vAlign w:val="bottom"/>
            <w:hideMark/>
          </w:tcPr>
          <w:p w14:paraId="3122149A"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8441.71</w:t>
            </w:r>
          </w:p>
        </w:tc>
        <w:tc>
          <w:tcPr>
            <w:tcW w:w="466" w:type="pct"/>
            <w:noWrap/>
            <w:vAlign w:val="bottom"/>
            <w:hideMark/>
          </w:tcPr>
          <w:p w14:paraId="037D3815"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-38.78</w:t>
            </w:r>
          </w:p>
        </w:tc>
        <w:tc>
          <w:tcPr>
            <w:tcW w:w="901" w:type="pct"/>
            <w:noWrap/>
            <w:vAlign w:val="bottom"/>
            <w:hideMark/>
          </w:tcPr>
          <w:p w14:paraId="75DD32D3"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10564.74</w:t>
            </w:r>
          </w:p>
        </w:tc>
        <w:tc>
          <w:tcPr>
            <w:tcW w:w="596" w:type="pct"/>
            <w:noWrap/>
            <w:vAlign w:val="bottom"/>
            <w:hideMark/>
          </w:tcPr>
          <w:p w14:paraId="41F3C782"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125.15</w:t>
            </w:r>
          </w:p>
        </w:tc>
      </w:tr>
      <w:tr w:rsidR="002E554D" w:rsidRPr="002E554D" w14:paraId="08D3B00F" w14:textId="77777777" w:rsidTr="00F118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7AFB5DA9"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IBEX 35</w:t>
            </w:r>
          </w:p>
        </w:tc>
        <w:tc>
          <w:tcPr>
            <w:tcW w:w="506" w:type="pct"/>
            <w:noWrap/>
            <w:vAlign w:val="center"/>
            <w:hideMark/>
          </w:tcPr>
          <w:p w14:paraId="1845061F"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10083.6</w:t>
            </w:r>
          </w:p>
        </w:tc>
        <w:tc>
          <w:tcPr>
            <w:tcW w:w="438" w:type="pct"/>
            <w:noWrap/>
            <w:vAlign w:val="bottom"/>
            <w:hideMark/>
          </w:tcPr>
          <w:p w14:paraId="2B089221"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16/03/2020</w:t>
            </w:r>
          </w:p>
        </w:tc>
        <w:tc>
          <w:tcPr>
            <w:tcW w:w="574" w:type="pct"/>
            <w:noWrap/>
            <w:vAlign w:val="bottom"/>
            <w:hideMark/>
          </w:tcPr>
          <w:p w14:paraId="02DABEAE"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6107.2</w:t>
            </w:r>
          </w:p>
        </w:tc>
        <w:tc>
          <w:tcPr>
            <w:tcW w:w="466" w:type="pct"/>
            <w:noWrap/>
            <w:vAlign w:val="bottom"/>
            <w:hideMark/>
          </w:tcPr>
          <w:p w14:paraId="1CD1BFA7"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-39.43</w:t>
            </w:r>
          </w:p>
        </w:tc>
        <w:tc>
          <w:tcPr>
            <w:tcW w:w="901" w:type="pct"/>
            <w:noWrap/>
            <w:vAlign w:val="bottom"/>
            <w:hideMark/>
          </w:tcPr>
          <w:p w14:paraId="35B2241E"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7070.6</w:t>
            </w:r>
          </w:p>
        </w:tc>
        <w:tc>
          <w:tcPr>
            <w:tcW w:w="596" w:type="pct"/>
            <w:noWrap/>
            <w:vAlign w:val="bottom"/>
            <w:hideMark/>
          </w:tcPr>
          <w:p w14:paraId="0E205118"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115.77</w:t>
            </w:r>
          </w:p>
        </w:tc>
      </w:tr>
      <w:tr w:rsidR="002E554D" w:rsidRPr="002E554D" w14:paraId="7390E9AE" w14:textId="77777777" w:rsidTr="00F11884">
        <w:trPr>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3C15D49D"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 xml:space="preserve">DOW JONES COMPOSITE 65 STOCK AVE </w:t>
            </w:r>
          </w:p>
        </w:tc>
        <w:tc>
          <w:tcPr>
            <w:tcW w:w="506" w:type="pct"/>
            <w:noWrap/>
            <w:vAlign w:val="center"/>
            <w:hideMark/>
          </w:tcPr>
          <w:p w14:paraId="2C8A6879"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9710.01</w:t>
            </w:r>
          </w:p>
        </w:tc>
        <w:tc>
          <w:tcPr>
            <w:tcW w:w="438" w:type="pct"/>
            <w:noWrap/>
            <w:vAlign w:val="bottom"/>
            <w:hideMark/>
          </w:tcPr>
          <w:p w14:paraId="54D6B0D7"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23/03/2020</w:t>
            </w:r>
          </w:p>
        </w:tc>
        <w:tc>
          <w:tcPr>
            <w:tcW w:w="574" w:type="pct"/>
            <w:noWrap/>
            <w:vAlign w:val="bottom"/>
            <w:hideMark/>
          </w:tcPr>
          <w:p w14:paraId="4B4AFB80"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6100.31</w:t>
            </w:r>
          </w:p>
        </w:tc>
        <w:tc>
          <w:tcPr>
            <w:tcW w:w="466" w:type="pct"/>
            <w:noWrap/>
            <w:vAlign w:val="bottom"/>
            <w:hideMark/>
          </w:tcPr>
          <w:p w14:paraId="169F3DB6"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-37.18</w:t>
            </w:r>
          </w:p>
        </w:tc>
        <w:tc>
          <w:tcPr>
            <w:tcW w:w="901" w:type="pct"/>
            <w:noWrap/>
            <w:vAlign w:val="bottom"/>
            <w:hideMark/>
          </w:tcPr>
          <w:p w14:paraId="760F2B48"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7804.73</w:t>
            </w:r>
          </w:p>
        </w:tc>
        <w:tc>
          <w:tcPr>
            <w:tcW w:w="596" w:type="pct"/>
            <w:noWrap/>
            <w:vAlign w:val="bottom"/>
            <w:hideMark/>
          </w:tcPr>
          <w:p w14:paraId="3EFC63E4"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127.94</w:t>
            </w:r>
          </w:p>
        </w:tc>
      </w:tr>
      <w:tr w:rsidR="002E554D" w:rsidRPr="002E554D" w14:paraId="431943BE" w14:textId="77777777" w:rsidTr="00F118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1961BFD5"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NASDAQ COMPOSITE</w:t>
            </w:r>
          </w:p>
        </w:tc>
        <w:tc>
          <w:tcPr>
            <w:tcW w:w="506" w:type="pct"/>
            <w:noWrap/>
            <w:vAlign w:val="center"/>
            <w:hideMark/>
          </w:tcPr>
          <w:p w14:paraId="56091F86"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9817.18</w:t>
            </w:r>
          </w:p>
        </w:tc>
        <w:tc>
          <w:tcPr>
            <w:tcW w:w="438" w:type="pct"/>
            <w:noWrap/>
            <w:vAlign w:val="bottom"/>
            <w:hideMark/>
          </w:tcPr>
          <w:p w14:paraId="370B4D05"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23/03/2020</w:t>
            </w:r>
          </w:p>
        </w:tc>
        <w:tc>
          <w:tcPr>
            <w:tcW w:w="574" w:type="pct"/>
            <w:noWrap/>
            <w:vAlign w:val="bottom"/>
            <w:hideMark/>
          </w:tcPr>
          <w:p w14:paraId="47967D87"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6860.67</w:t>
            </w:r>
          </w:p>
        </w:tc>
        <w:tc>
          <w:tcPr>
            <w:tcW w:w="466" w:type="pct"/>
            <w:noWrap/>
            <w:vAlign w:val="bottom"/>
            <w:hideMark/>
          </w:tcPr>
          <w:p w14:paraId="735A6D2C"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-30.12</w:t>
            </w:r>
          </w:p>
        </w:tc>
        <w:tc>
          <w:tcPr>
            <w:tcW w:w="901" w:type="pct"/>
            <w:noWrap/>
            <w:vAlign w:val="bottom"/>
            <w:hideMark/>
          </w:tcPr>
          <w:p w14:paraId="6F1B159C"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8153.58</w:t>
            </w:r>
          </w:p>
        </w:tc>
        <w:tc>
          <w:tcPr>
            <w:tcW w:w="596" w:type="pct"/>
            <w:noWrap/>
            <w:vAlign w:val="bottom"/>
            <w:hideMark/>
          </w:tcPr>
          <w:p w14:paraId="7D18FFC6"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118.85</w:t>
            </w:r>
          </w:p>
        </w:tc>
      </w:tr>
      <w:tr w:rsidR="002E554D" w:rsidRPr="002E554D" w14:paraId="77144BD4" w14:textId="77777777" w:rsidTr="00F11884">
        <w:trPr>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3B48B0C2"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 xml:space="preserve">NASDAQ 100 </w:t>
            </w:r>
          </w:p>
        </w:tc>
        <w:tc>
          <w:tcPr>
            <w:tcW w:w="506" w:type="pct"/>
            <w:noWrap/>
            <w:vAlign w:val="center"/>
            <w:hideMark/>
          </w:tcPr>
          <w:p w14:paraId="6EB1C90E"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9718.73</w:t>
            </w:r>
          </w:p>
        </w:tc>
        <w:tc>
          <w:tcPr>
            <w:tcW w:w="438" w:type="pct"/>
            <w:noWrap/>
            <w:vAlign w:val="bottom"/>
            <w:hideMark/>
          </w:tcPr>
          <w:p w14:paraId="357B2256"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20/03/2020</w:t>
            </w:r>
          </w:p>
        </w:tc>
        <w:tc>
          <w:tcPr>
            <w:tcW w:w="574" w:type="pct"/>
            <w:noWrap/>
            <w:vAlign w:val="bottom"/>
            <w:hideMark/>
          </w:tcPr>
          <w:p w14:paraId="4FE107A5"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6994.29</w:t>
            </w:r>
          </w:p>
        </w:tc>
        <w:tc>
          <w:tcPr>
            <w:tcW w:w="466" w:type="pct"/>
            <w:noWrap/>
            <w:vAlign w:val="bottom"/>
            <w:hideMark/>
          </w:tcPr>
          <w:p w14:paraId="06EF2CF2"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-28.03</w:t>
            </w:r>
          </w:p>
        </w:tc>
        <w:tc>
          <w:tcPr>
            <w:tcW w:w="901" w:type="pct"/>
            <w:noWrap/>
            <w:vAlign w:val="bottom"/>
            <w:hideMark/>
          </w:tcPr>
          <w:p w14:paraId="209BF7E3"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8238.53</w:t>
            </w:r>
          </w:p>
        </w:tc>
        <w:tc>
          <w:tcPr>
            <w:tcW w:w="596" w:type="pct"/>
            <w:noWrap/>
            <w:vAlign w:val="bottom"/>
            <w:hideMark/>
          </w:tcPr>
          <w:p w14:paraId="1A818D3E"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117.79</w:t>
            </w:r>
          </w:p>
        </w:tc>
      </w:tr>
      <w:tr w:rsidR="002E554D" w:rsidRPr="002E554D" w14:paraId="740DC72A" w14:textId="77777777" w:rsidTr="00F118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60ADE8B8"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FTSE 100</w:t>
            </w:r>
          </w:p>
        </w:tc>
        <w:tc>
          <w:tcPr>
            <w:tcW w:w="506" w:type="pct"/>
            <w:noWrap/>
            <w:vAlign w:val="center"/>
            <w:hideMark/>
          </w:tcPr>
          <w:p w14:paraId="0AC5B97B"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7674.56</w:t>
            </w:r>
          </w:p>
        </w:tc>
        <w:tc>
          <w:tcPr>
            <w:tcW w:w="438" w:type="pct"/>
            <w:noWrap/>
            <w:vAlign w:val="bottom"/>
            <w:hideMark/>
          </w:tcPr>
          <w:p w14:paraId="5E6966F8"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23/03/2020</w:t>
            </w:r>
          </w:p>
        </w:tc>
        <w:tc>
          <w:tcPr>
            <w:tcW w:w="574" w:type="pct"/>
            <w:noWrap/>
            <w:vAlign w:val="bottom"/>
            <w:hideMark/>
          </w:tcPr>
          <w:p w14:paraId="0CA01648"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4993.89</w:t>
            </w:r>
          </w:p>
        </w:tc>
        <w:tc>
          <w:tcPr>
            <w:tcW w:w="466" w:type="pct"/>
            <w:noWrap/>
            <w:vAlign w:val="bottom"/>
            <w:hideMark/>
          </w:tcPr>
          <w:p w14:paraId="748387FE"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-34.93</w:t>
            </w:r>
          </w:p>
        </w:tc>
        <w:tc>
          <w:tcPr>
            <w:tcW w:w="901" w:type="pct"/>
            <w:noWrap/>
            <w:vAlign w:val="bottom"/>
            <w:hideMark/>
          </w:tcPr>
          <w:p w14:paraId="7505122F"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5842.66</w:t>
            </w:r>
          </w:p>
        </w:tc>
        <w:tc>
          <w:tcPr>
            <w:tcW w:w="596" w:type="pct"/>
            <w:noWrap/>
            <w:vAlign w:val="bottom"/>
            <w:hideMark/>
          </w:tcPr>
          <w:p w14:paraId="5E97791A"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117.00</w:t>
            </w:r>
          </w:p>
        </w:tc>
      </w:tr>
      <w:tr w:rsidR="002E554D" w:rsidRPr="002E554D" w14:paraId="70C373B2" w14:textId="77777777" w:rsidTr="00F11884">
        <w:trPr>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4F9E859A" w14:textId="5513950F" w:rsidR="00175813" w:rsidRPr="002E554D" w:rsidRDefault="00175813" w:rsidP="00175813">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 xml:space="preserve">FTSE 250 </w:t>
            </w:r>
          </w:p>
        </w:tc>
        <w:tc>
          <w:tcPr>
            <w:tcW w:w="506" w:type="pct"/>
            <w:noWrap/>
            <w:vAlign w:val="center"/>
            <w:hideMark/>
          </w:tcPr>
          <w:p w14:paraId="0F783BCA" w14:textId="1C7F59F8" w:rsidR="00175813" w:rsidRPr="002E554D" w:rsidRDefault="00175813" w:rsidP="001758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21866</w:t>
            </w:r>
          </w:p>
        </w:tc>
        <w:tc>
          <w:tcPr>
            <w:tcW w:w="438" w:type="pct"/>
            <w:noWrap/>
            <w:vAlign w:val="bottom"/>
            <w:hideMark/>
          </w:tcPr>
          <w:p w14:paraId="129A7BDE" w14:textId="2E4CE1E3" w:rsidR="00175813" w:rsidRPr="002E554D" w:rsidRDefault="00175813" w:rsidP="001758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19/03/2020</w:t>
            </w:r>
          </w:p>
        </w:tc>
        <w:tc>
          <w:tcPr>
            <w:tcW w:w="574" w:type="pct"/>
            <w:noWrap/>
            <w:vAlign w:val="bottom"/>
            <w:hideMark/>
          </w:tcPr>
          <w:p w14:paraId="4B8EB210" w14:textId="6770C057" w:rsidR="00175813" w:rsidRPr="002E554D" w:rsidRDefault="00175813" w:rsidP="001758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12829.7</w:t>
            </w:r>
          </w:p>
        </w:tc>
        <w:tc>
          <w:tcPr>
            <w:tcW w:w="466" w:type="pct"/>
            <w:noWrap/>
            <w:vAlign w:val="bottom"/>
            <w:hideMark/>
          </w:tcPr>
          <w:p w14:paraId="3C51F56A" w14:textId="023E89EA" w:rsidR="00175813" w:rsidRPr="002E554D" w:rsidRDefault="00175813" w:rsidP="001758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-41.33</w:t>
            </w:r>
          </w:p>
        </w:tc>
        <w:tc>
          <w:tcPr>
            <w:tcW w:w="901" w:type="pct"/>
            <w:noWrap/>
            <w:vAlign w:val="bottom"/>
            <w:hideMark/>
          </w:tcPr>
          <w:p w14:paraId="2F40C909" w14:textId="39291C34" w:rsidR="00175813" w:rsidRPr="002E554D" w:rsidRDefault="00175813" w:rsidP="001758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16407.92</w:t>
            </w:r>
          </w:p>
        </w:tc>
        <w:tc>
          <w:tcPr>
            <w:tcW w:w="596" w:type="pct"/>
            <w:noWrap/>
            <w:vAlign w:val="bottom"/>
            <w:hideMark/>
          </w:tcPr>
          <w:p w14:paraId="636D3CD4" w14:textId="1F35DBA7" w:rsidR="00175813" w:rsidRPr="002E554D" w:rsidRDefault="00175813" w:rsidP="001758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127.89</w:t>
            </w:r>
          </w:p>
        </w:tc>
      </w:tr>
      <w:tr w:rsidR="002E554D" w:rsidRPr="002E554D" w14:paraId="2E505B0A" w14:textId="77777777" w:rsidTr="00F118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153A55F9"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 xml:space="preserve">FRANCE CAC 40 </w:t>
            </w:r>
          </w:p>
        </w:tc>
        <w:tc>
          <w:tcPr>
            <w:tcW w:w="506" w:type="pct"/>
            <w:noWrap/>
            <w:vAlign w:val="center"/>
            <w:hideMark/>
          </w:tcPr>
          <w:p w14:paraId="7A00F0EB"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6111.24</w:t>
            </w:r>
          </w:p>
        </w:tc>
        <w:tc>
          <w:tcPr>
            <w:tcW w:w="438" w:type="pct"/>
            <w:noWrap/>
            <w:vAlign w:val="bottom"/>
            <w:hideMark/>
          </w:tcPr>
          <w:p w14:paraId="112761CF"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18/03/2020</w:t>
            </w:r>
          </w:p>
        </w:tc>
        <w:tc>
          <w:tcPr>
            <w:tcW w:w="574" w:type="pct"/>
            <w:noWrap/>
            <w:vAlign w:val="bottom"/>
            <w:hideMark/>
          </w:tcPr>
          <w:p w14:paraId="2EDFEE2F"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3754.84</w:t>
            </w:r>
          </w:p>
        </w:tc>
        <w:tc>
          <w:tcPr>
            <w:tcW w:w="466" w:type="pct"/>
            <w:noWrap/>
            <w:vAlign w:val="bottom"/>
            <w:hideMark/>
          </w:tcPr>
          <w:p w14:paraId="5FC14C73"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-38.56</w:t>
            </w:r>
          </w:p>
        </w:tc>
        <w:tc>
          <w:tcPr>
            <w:tcW w:w="901" w:type="pct"/>
            <w:noWrap/>
            <w:vAlign w:val="bottom"/>
            <w:hideMark/>
          </w:tcPr>
          <w:p w14:paraId="159ECDA4"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4506.85</w:t>
            </w:r>
          </w:p>
        </w:tc>
        <w:tc>
          <w:tcPr>
            <w:tcW w:w="596" w:type="pct"/>
            <w:noWrap/>
            <w:vAlign w:val="bottom"/>
            <w:hideMark/>
          </w:tcPr>
          <w:p w14:paraId="0843DBB5"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120.03</w:t>
            </w:r>
          </w:p>
        </w:tc>
      </w:tr>
      <w:tr w:rsidR="002E554D" w:rsidRPr="002E554D" w14:paraId="0A2726F1" w14:textId="77777777" w:rsidTr="00F11884">
        <w:trPr>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5BC14F85"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PORTUGAL PSI-20</w:t>
            </w:r>
          </w:p>
        </w:tc>
        <w:tc>
          <w:tcPr>
            <w:tcW w:w="506" w:type="pct"/>
            <w:noWrap/>
            <w:vAlign w:val="center"/>
            <w:hideMark/>
          </w:tcPr>
          <w:p w14:paraId="221486B2"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5435.85</w:t>
            </w:r>
          </w:p>
        </w:tc>
        <w:tc>
          <w:tcPr>
            <w:tcW w:w="438" w:type="pct"/>
            <w:noWrap/>
            <w:vAlign w:val="bottom"/>
            <w:hideMark/>
          </w:tcPr>
          <w:p w14:paraId="08802B4A"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19/03/2020</w:t>
            </w:r>
          </w:p>
        </w:tc>
        <w:tc>
          <w:tcPr>
            <w:tcW w:w="574" w:type="pct"/>
            <w:noWrap/>
            <w:vAlign w:val="bottom"/>
            <w:hideMark/>
          </w:tcPr>
          <w:p w14:paraId="38097A71"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3596.08</w:t>
            </w:r>
          </w:p>
        </w:tc>
        <w:tc>
          <w:tcPr>
            <w:tcW w:w="466" w:type="pct"/>
            <w:noWrap/>
            <w:vAlign w:val="bottom"/>
            <w:hideMark/>
          </w:tcPr>
          <w:p w14:paraId="5EAB229B"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-33.85</w:t>
            </w:r>
          </w:p>
        </w:tc>
        <w:tc>
          <w:tcPr>
            <w:tcW w:w="901" w:type="pct"/>
            <w:noWrap/>
            <w:vAlign w:val="bottom"/>
            <w:hideMark/>
          </w:tcPr>
          <w:p w14:paraId="665B812D"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4196.31</w:t>
            </w:r>
          </w:p>
        </w:tc>
        <w:tc>
          <w:tcPr>
            <w:tcW w:w="596" w:type="pct"/>
            <w:noWrap/>
            <w:vAlign w:val="bottom"/>
            <w:hideMark/>
          </w:tcPr>
          <w:p w14:paraId="5F7798A0"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116.69</w:t>
            </w:r>
          </w:p>
        </w:tc>
      </w:tr>
      <w:tr w:rsidR="002E554D" w:rsidRPr="002E554D" w14:paraId="1733D9FC" w14:textId="77777777" w:rsidTr="00F118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1B0DA5D9"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 xml:space="preserve">EURO STOXX </w:t>
            </w:r>
          </w:p>
        </w:tc>
        <w:tc>
          <w:tcPr>
            <w:tcW w:w="506" w:type="pct"/>
            <w:noWrap/>
            <w:vAlign w:val="center"/>
            <w:hideMark/>
          </w:tcPr>
          <w:p w14:paraId="75A03571" w14:textId="77777777" w:rsidR="00110EFA" w:rsidRPr="002E554D" w:rsidRDefault="00110EFA" w:rsidP="00D170D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421.344</w:t>
            </w:r>
          </w:p>
        </w:tc>
        <w:tc>
          <w:tcPr>
            <w:tcW w:w="438" w:type="pct"/>
            <w:noWrap/>
            <w:vAlign w:val="bottom"/>
            <w:hideMark/>
          </w:tcPr>
          <w:p w14:paraId="1E2F386C"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18/03/2020</w:t>
            </w:r>
          </w:p>
        </w:tc>
        <w:tc>
          <w:tcPr>
            <w:tcW w:w="574" w:type="pct"/>
            <w:noWrap/>
            <w:vAlign w:val="bottom"/>
            <w:hideMark/>
          </w:tcPr>
          <w:p w14:paraId="14945131"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261.534</w:t>
            </w:r>
          </w:p>
        </w:tc>
        <w:tc>
          <w:tcPr>
            <w:tcW w:w="466" w:type="pct"/>
            <w:noWrap/>
            <w:vAlign w:val="bottom"/>
            <w:hideMark/>
          </w:tcPr>
          <w:p w14:paraId="18FB82FE"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-37.93</w:t>
            </w:r>
          </w:p>
        </w:tc>
        <w:tc>
          <w:tcPr>
            <w:tcW w:w="901" w:type="pct"/>
            <w:noWrap/>
            <w:vAlign w:val="bottom"/>
            <w:hideMark/>
          </w:tcPr>
          <w:p w14:paraId="03DD1AFA"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315.993</w:t>
            </w:r>
          </w:p>
        </w:tc>
        <w:tc>
          <w:tcPr>
            <w:tcW w:w="596" w:type="pct"/>
            <w:noWrap/>
            <w:vAlign w:val="bottom"/>
            <w:hideMark/>
          </w:tcPr>
          <w:p w14:paraId="54608DFC" w14:textId="77777777" w:rsidR="00110EFA" w:rsidRPr="002E554D" w:rsidRDefault="00110EFA" w:rsidP="00CF376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120.82</w:t>
            </w:r>
          </w:p>
        </w:tc>
      </w:tr>
      <w:tr w:rsidR="002E554D" w:rsidRPr="002E554D" w14:paraId="35EB0AC4" w14:textId="77777777" w:rsidTr="00F11884">
        <w:trPr>
          <w:trHeight w:val="170"/>
        </w:trPr>
        <w:tc>
          <w:tcPr>
            <w:cnfStyle w:val="001000000000" w:firstRow="0" w:lastRow="0" w:firstColumn="1" w:lastColumn="0" w:oddVBand="0" w:evenVBand="0" w:oddHBand="0" w:evenHBand="0" w:firstRowFirstColumn="0" w:firstRowLastColumn="0" w:lastRowFirstColumn="0" w:lastRowLastColumn="0"/>
            <w:tcW w:w="1519" w:type="pct"/>
            <w:noWrap/>
            <w:hideMark/>
          </w:tcPr>
          <w:p w14:paraId="3B3E5F6E" w14:textId="77777777" w:rsidR="00110EFA" w:rsidRPr="002E554D" w:rsidRDefault="00110EFA" w:rsidP="00CF3767">
            <w:pPr>
              <w:rPr>
                <w:rFonts w:ascii="Garamond" w:eastAsia="Times New Roman" w:hAnsi="Garamond" w:cs="Calibri"/>
                <w:b w:val="0"/>
                <w:bCs w:val="0"/>
                <w:color w:val="FF0000"/>
                <w:sz w:val="18"/>
                <w:szCs w:val="18"/>
                <w:lang w:eastAsia="en-GB"/>
              </w:rPr>
            </w:pPr>
            <w:r w:rsidRPr="002E554D">
              <w:rPr>
                <w:rFonts w:ascii="Garamond" w:hAnsi="Garamond"/>
                <w:b w:val="0"/>
                <w:bCs w:val="0"/>
                <w:color w:val="FF0000"/>
                <w:sz w:val="18"/>
                <w:szCs w:val="18"/>
              </w:rPr>
              <w:t xml:space="preserve">EURO STOXX 50 </w:t>
            </w:r>
          </w:p>
        </w:tc>
        <w:tc>
          <w:tcPr>
            <w:tcW w:w="506" w:type="pct"/>
            <w:noWrap/>
            <w:vAlign w:val="center"/>
            <w:hideMark/>
          </w:tcPr>
          <w:p w14:paraId="62DFD25B" w14:textId="77777777" w:rsidR="00110EFA" w:rsidRPr="002E554D" w:rsidRDefault="00110EFA" w:rsidP="00D170D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3865.177</w:t>
            </w:r>
          </w:p>
        </w:tc>
        <w:tc>
          <w:tcPr>
            <w:tcW w:w="438" w:type="pct"/>
            <w:noWrap/>
            <w:vAlign w:val="bottom"/>
            <w:hideMark/>
          </w:tcPr>
          <w:p w14:paraId="3F95CD44"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18/03/2020</w:t>
            </w:r>
          </w:p>
        </w:tc>
        <w:tc>
          <w:tcPr>
            <w:tcW w:w="574" w:type="pct"/>
            <w:noWrap/>
            <w:vAlign w:val="bottom"/>
            <w:hideMark/>
          </w:tcPr>
          <w:p w14:paraId="70F08C3B"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2385.823</w:t>
            </w:r>
          </w:p>
        </w:tc>
        <w:tc>
          <w:tcPr>
            <w:tcW w:w="466" w:type="pct"/>
            <w:noWrap/>
            <w:vAlign w:val="bottom"/>
            <w:hideMark/>
          </w:tcPr>
          <w:p w14:paraId="5740AE2A"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-38.27</w:t>
            </w:r>
          </w:p>
        </w:tc>
        <w:tc>
          <w:tcPr>
            <w:tcW w:w="901" w:type="pct"/>
            <w:noWrap/>
            <w:vAlign w:val="bottom"/>
            <w:hideMark/>
          </w:tcPr>
          <w:p w14:paraId="67666F7A"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2892.794</w:t>
            </w:r>
          </w:p>
        </w:tc>
        <w:tc>
          <w:tcPr>
            <w:tcW w:w="596" w:type="pct"/>
            <w:noWrap/>
            <w:vAlign w:val="bottom"/>
            <w:hideMark/>
          </w:tcPr>
          <w:p w14:paraId="5FCF7C93" w14:textId="77777777" w:rsidR="00110EFA" w:rsidRPr="002E554D" w:rsidRDefault="00110EFA" w:rsidP="00CF376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eastAsia="en-GB"/>
              </w:rPr>
            </w:pPr>
            <w:r w:rsidRPr="002E554D">
              <w:rPr>
                <w:rFonts w:ascii="Garamond" w:hAnsi="Garamond" w:cs="Calibri"/>
                <w:color w:val="FF0000"/>
                <w:sz w:val="18"/>
                <w:szCs w:val="18"/>
              </w:rPr>
              <w:t>121.25</w:t>
            </w:r>
          </w:p>
        </w:tc>
      </w:tr>
      <w:tr w:rsidR="002E554D" w:rsidRPr="002E554D" w14:paraId="040DE0D1" w14:textId="77777777" w:rsidTr="00F118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19" w:type="pct"/>
            <w:noWrap/>
          </w:tcPr>
          <w:p w14:paraId="13429743" w14:textId="3FD0C0FA" w:rsidR="0021677E" w:rsidRPr="002E554D" w:rsidRDefault="0021677E" w:rsidP="0021677E">
            <w:pPr>
              <w:rPr>
                <w:rFonts w:ascii="Garamond" w:hAnsi="Garamond"/>
                <w:b w:val="0"/>
                <w:bCs w:val="0"/>
                <w:color w:val="FF0000"/>
                <w:sz w:val="18"/>
                <w:szCs w:val="18"/>
              </w:rPr>
            </w:pPr>
            <w:r w:rsidRPr="002E554D">
              <w:rPr>
                <w:rFonts w:ascii="Garamond" w:hAnsi="Garamond"/>
                <w:b w:val="0"/>
                <w:bCs w:val="0"/>
                <w:color w:val="FF0000"/>
                <w:sz w:val="18"/>
                <w:szCs w:val="18"/>
              </w:rPr>
              <w:t>ISRAEL TA 125</w:t>
            </w:r>
          </w:p>
        </w:tc>
        <w:tc>
          <w:tcPr>
            <w:tcW w:w="506" w:type="pct"/>
            <w:noWrap/>
          </w:tcPr>
          <w:p w14:paraId="7CB19B23" w14:textId="5EF207B6" w:rsidR="0021677E" w:rsidRPr="002E554D" w:rsidRDefault="0021677E" w:rsidP="0021677E">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FF0000"/>
                <w:sz w:val="18"/>
                <w:szCs w:val="18"/>
              </w:rPr>
            </w:pPr>
            <w:r w:rsidRPr="002E554D">
              <w:rPr>
                <w:rFonts w:ascii="Garamond" w:hAnsi="Garamond" w:cs="Calibri"/>
                <w:color w:val="FF0000"/>
                <w:sz w:val="18"/>
                <w:szCs w:val="18"/>
              </w:rPr>
              <w:t>1684.12</w:t>
            </w:r>
          </w:p>
        </w:tc>
        <w:tc>
          <w:tcPr>
            <w:tcW w:w="438" w:type="pct"/>
            <w:noWrap/>
          </w:tcPr>
          <w:p w14:paraId="44997797" w14:textId="061EC9AE" w:rsidR="0021677E" w:rsidRPr="002E554D" w:rsidRDefault="0021677E" w:rsidP="0021677E">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FF0000"/>
                <w:sz w:val="18"/>
                <w:szCs w:val="18"/>
              </w:rPr>
            </w:pPr>
            <w:r w:rsidRPr="002E554D">
              <w:rPr>
                <w:rFonts w:ascii="Garamond" w:hAnsi="Garamond" w:cs="Calibri"/>
                <w:color w:val="FF0000"/>
                <w:sz w:val="18"/>
                <w:szCs w:val="18"/>
              </w:rPr>
              <w:t>23/03/2020</w:t>
            </w:r>
          </w:p>
        </w:tc>
        <w:tc>
          <w:tcPr>
            <w:tcW w:w="574" w:type="pct"/>
            <w:noWrap/>
          </w:tcPr>
          <w:p w14:paraId="4E8DA8A8" w14:textId="662BD5A6" w:rsidR="0021677E" w:rsidRPr="002E554D" w:rsidRDefault="0021677E" w:rsidP="0021677E">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FF0000"/>
                <w:sz w:val="18"/>
                <w:szCs w:val="18"/>
              </w:rPr>
            </w:pPr>
            <w:r w:rsidRPr="002E554D">
              <w:rPr>
                <w:rFonts w:ascii="Garamond" w:hAnsi="Garamond" w:cs="Calibri"/>
                <w:color w:val="FF0000"/>
                <w:sz w:val="18"/>
                <w:szCs w:val="18"/>
              </w:rPr>
              <w:t>1105.95</w:t>
            </w:r>
          </w:p>
        </w:tc>
        <w:tc>
          <w:tcPr>
            <w:tcW w:w="466" w:type="pct"/>
            <w:noWrap/>
          </w:tcPr>
          <w:p w14:paraId="2B8C15D7" w14:textId="3AB03F69" w:rsidR="0021677E" w:rsidRPr="002E554D" w:rsidRDefault="0021677E" w:rsidP="0021677E">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FF0000"/>
                <w:sz w:val="18"/>
                <w:szCs w:val="18"/>
              </w:rPr>
            </w:pPr>
            <w:r w:rsidRPr="002E554D">
              <w:rPr>
                <w:rFonts w:ascii="Garamond" w:hAnsi="Garamond" w:cs="Calibri"/>
                <w:color w:val="FF0000"/>
                <w:sz w:val="18"/>
                <w:szCs w:val="18"/>
              </w:rPr>
              <w:t>-34.33</w:t>
            </w:r>
          </w:p>
        </w:tc>
        <w:tc>
          <w:tcPr>
            <w:tcW w:w="901" w:type="pct"/>
            <w:noWrap/>
          </w:tcPr>
          <w:p w14:paraId="382EA6A8" w14:textId="167D6D86" w:rsidR="0021677E" w:rsidRPr="002E554D" w:rsidRDefault="0021677E" w:rsidP="0021677E">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FF0000"/>
                <w:sz w:val="18"/>
                <w:szCs w:val="18"/>
              </w:rPr>
            </w:pPr>
            <w:r w:rsidRPr="002E554D">
              <w:rPr>
                <w:rFonts w:ascii="Garamond" w:hAnsi="Garamond" w:cs="Calibri"/>
                <w:color w:val="FF0000"/>
                <w:sz w:val="18"/>
                <w:szCs w:val="18"/>
              </w:rPr>
              <w:t>1312.52</w:t>
            </w:r>
          </w:p>
        </w:tc>
        <w:tc>
          <w:tcPr>
            <w:tcW w:w="596" w:type="pct"/>
            <w:noWrap/>
          </w:tcPr>
          <w:p w14:paraId="70BC54CB" w14:textId="64DF6101" w:rsidR="0021677E" w:rsidRPr="002E554D" w:rsidRDefault="0021677E" w:rsidP="0021677E">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FF0000"/>
                <w:sz w:val="18"/>
                <w:szCs w:val="18"/>
              </w:rPr>
            </w:pPr>
            <w:r w:rsidRPr="002E554D">
              <w:rPr>
                <w:rFonts w:ascii="Garamond" w:hAnsi="Garamond" w:cs="Calibri"/>
                <w:color w:val="FF0000"/>
                <w:sz w:val="18"/>
                <w:szCs w:val="18"/>
              </w:rPr>
              <w:t>118.68</w:t>
            </w:r>
          </w:p>
        </w:tc>
      </w:tr>
    </w:tbl>
    <w:p w14:paraId="7E0D64D7" w14:textId="77777777" w:rsidR="00702E29" w:rsidRPr="009E00D2" w:rsidRDefault="00702E29" w:rsidP="00702E29">
      <w:pPr>
        <w:pStyle w:val="NoSpacing"/>
        <w:spacing w:line="480" w:lineRule="auto"/>
        <w:jc w:val="both"/>
        <w:rPr>
          <w:rFonts w:ascii="Garamond" w:hAnsi="Garamond"/>
          <w:sz w:val="24"/>
          <w:szCs w:val="24"/>
        </w:rPr>
        <w:sectPr w:rsidR="00702E29" w:rsidRPr="009E00D2" w:rsidSect="00702E29">
          <w:pgSz w:w="16838" w:h="11906" w:orient="landscape"/>
          <w:pgMar w:top="851" w:right="1418" w:bottom="1418" w:left="1418" w:header="709" w:footer="709" w:gutter="0"/>
          <w:cols w:space="708"/>
          <w:docGrid w:linePitch="360"/>
        </w:sectPr>
      </w:pPr>
    </w:p>
    <w:p w14:paraId="4C38D54C" w14:textId="2BF12472" w:rsidR="009F64B9" w:rsidRPr="009E00D2" w:rsidRDefault="009F64B9" w:rsidP="009F64B9">
      <w:pPr>
        <w:pStyle w:val="NoSpacing"/>
        <w:spacing w:line="480" w:lineRule="auto"/>
        <w:jc w:val="both"/>
        <w:rPr>
          <w:rFonts w:ascii="Garamond" w:hAnsi="Garamond"/>
          <w:b/>
          <w:bCs/>
          <w:sz w:val="24"/>
          <w:szCs w:val="24"/>
        </w:rPr>
      </w:pPr>
      <w:r w:rsidRPr="009E00D2">
        <w:rPr>
          <w:rFonts w:ascii="Garamond" w:hAnsi="Garamond"/>
          <w:b/>
          <w:bCs/>
          <w:sz w:val="24"/>
          <w:szCs w:val="24"/>
        </w:rPr>
        <w:lastRenderedPageBreak/>
        <w:t xml:space="preserve">2. </w:t>
      </w:r>
      <w:r w:rsidR="007E171A" w:rsidRPr="009E00D2">
        <w:rPr>
          <w:rFonts w:ascii="Garamond" w:hAnsi="Garamond"/>
          <w:b/>
          <w:bCs/>
          <w:sz w:val="24"/>
          <w:szCs w:val="24"/>
        </w:rPr>
        <w:t>Methodology</w:t>
      </w:r>
    </w:p>
    <w:p w14:paraId="1E8E443C" w14:textId="0B7FBF58" w:rsidR="00A362EB" w:rsidRPr="009E00D2" w:rsidRDefault="00D6502F" w:rsidP="00201D7F">
      <w:pPr>
        <w:pStyle w:val="NoSpacing"/>
        <w:spacing w:line="480" w:lineRule="auto"/>
        <w:ind w:firstLine="709"/>
        <w:jc w:val="both"/>
        <w:rPr>
          <w:rFonts w:ascii="Garamond" w:eastAsiaTheme="minorEastAsia" w:hAnsi="Garamond"/>
          <w:iCs/>
          <w:sz w:val="24"/>
          <w:szCs w:val="24"/>
        </w:rPr>
      </w:pPr>
      <w:r w:rsidRPr="009E00D2">
        <w:rPr>
          <w:rFonts w:ascii="Garamond" w:hAnsi="Garamond"/>
          <w:sz w:val="24"/>
          <w:szCs w:val="24"/>
        </w:rPr>
        <w:t xml:space="preserve">One of the effective </w:t>
      </w:r>
      <w:r w:rsidR="00A362EB" w:rsidRPr="009E00D2">
        <w:rPr>
          <w:rFonts w:ascii="Garamond" w:hAnsi="Garamond"/>
          <w:sz w:val="24"/>
          <w:szCs w:val="24"/>
        </w:rPr>
        <w:t>approach</w:t>
      </w:r>
      <w:r w:rsidRPr="009E00D2">
        <w:rPr>
          <w:rFonts w:ascii="Garamond" w:hAnsi="Garamond"/>
          <w:sz w:val="24"/>
          <w:szCs w:val="24"/>
        </w:rPr>
        <w:t xml:space="preserve">es </w:t>
      </w:r>
      <w:r w:rsidR="008222B2" w:rsidRPr="009E00D2">
        <w:rPr>
          <w:rFonts w:ascii="Garamond" w:hAnsi="Garamond"/>
          <w:sz w:val="24"/>
          <w:szCs w:val="24"/>
        </w:rPr>
        <w:t xml:space="preserve">to check mean-reversion behavior is </w:t>
      </w:r>
      <w:r w:rsidR="00A362EB" w:rsidRPr="009E00D2">
        <w:rPr>
          <w:rFonts w:ascii="Garamond" w:hAnsi="Garamond"/>
          <w:sz w:val="24"/>
          <w:szCs w:val="24"/>
        </w:rPr>
        <w:t xml:space="preserve">to settle this issue empirically by means of unit root tests. </w:t>
      </w:r>
      <w:r w:rsidR="008222B2" w:rsidRPr="009E00D2">
        <w:rPr>
          <w:rFonts w:ascii="Garamond" w:hAnsi="Garamond"/>
          <w:sz w:val="24"/>
          <w:szCs w:val="24"/>
        </w:rPr>
        <w:t>Though</w:t>
      </w:r>
      <w:r w:rsidR="00A362EB" w:rsidRPr="009E00D2">
        <w:rPr>
          <w:rFonts w:ascii="Garamond" w:hAnsi="Garamond"/>
          <w:sz w:val="24"/>
          <w:szCs w:val="24"/>
        </w:rPr>
        <w:t xml:space="preserve">, conventional unit root testing procedures (Dickey </w:t>
      </w:r>
      <w:r w:rsidR="00201D7F">
        <w:rPr>
          <w:rFonts w:ascii="Garamond" w:hAnsi="Garamond"/>
          <w:sz w:val="24"/>
          <w:szCs w:val="24"/>
        </w:rPr>
        <w:t>&amp;</w:t>
      </w:r>
      <w:r w:rsidR="00A362EB" w:rsidRPr="009E00D2">
        <w:rPr>
          <w:rFonts w:ascii="Garamond" w:hAnsi="Garamond"/>
          <w:sz w:val="24"/>
          <w:szCs w:val="24"/>
        </w:rPr>
        <w:t xml:space="preserve"> Fuller 1979; Phillips </w:t>
      </w:r>
      <w:r w:rsidR="00201D7F">
        <w:rPr>
          <w:rFonts w:ascii="Garamond" w:hAnsi="Garamond"/>
          <w:sz w:val="24"/>
          <w:szCs w:val="24"/>
        </w:rPr>
        <w:t xml:space="preserve">&amp; </w:t>
      </w:r>
      <w:r w:rsidR="00A362EB" w:rsidRPr="009E00D2">
        <w:rPr>
          <w:rFonts w:ascii="Garamond" w:hAnsi="Garamond"/>
          <w:sz w:val="24"/>
          <w:szCs w:val="24"/>
        </w:rPr>
        <w:t>Perron</w:t>
      </w:r>
      <w:r w:rsidR="00201D7F">
        <w:rPr>
          <w:rFonts w:ascii="Garamond" w:hAnsi="Garamond"/>
          <w:sz w:val="24"/>
          <w:szCs w:val="24"/>
        </w:rPr>
        <w:t>,</w:t>
      </w:r>
      <w:r w:rsidR="00A362EB" w:rsidRPr="009E00D2">
        <w:rPr>
          <w:rFonts w:ascii="Garamond" w:hAnsi="Garamond"/>
          <w:sz w:val="24"/>
          <w:szCs w:val="24"/>
        </w:rPr>
        <w:t xml:space="preserve"> 1988; Kwiatkowski et al</w:t>
      </w:r>
      <w:r w:rsidR="00627D9C" w:rsidRPr="009E00D2">
        <w:rPr>
          <w:rFonts w:ascii="Garamond" w:hAnsi="Garamond"/>
          <w:sz w:val="24"/>
          <w:szCs w:val="24"/>
        </w:rPr>
        <w:t>.</w:t>
      </w:r>
      <w:r w:rsidR="00201D7F">
        <w:rPr>
          <w:rFonts w:ascii="Garamond" w:hAnsi="Garamond"/>
          <w:sz w:val="24"/>
          <w:szCs w:val="24"/>
        </w:rPr>
        <w:t>,</w:t>
      </w:r>
      <w:r w:rsidR="00A362EB" w:rsidRPr="009E00D2">
        <w:rPr>
          <w:rFonts w:ascii="Garamond" w:hAnsi="Garamond"/>
          <w:sz w:val="24"/>
          <w:szCs w:val="24"/>
        </w:rPr>
        <w:t xml:space="preserve"> 1992) have low power </w:t>
      </w:r>
      <w:r w:rsidR="00201D7F">
        <w:rPr>
          <w:rFonts w:ascii="Garamond" w:hAnsi="Garamond"/>
          <w:sz w:val="24"/>
          <w:szCs w:val="24"/>
        </w:rPr>
        <w:t>to deal with</w:t>
      </w:r>
      <w:r w:rsidR="00627D9C" w:rsidRPr="009E00D2">
        <w:rPr>
          <w:rFonts w:ascii="Garamond" w:hAnsi="Garamond"/>
          <w:sz w:val="24"/>
          <w:szCs w:val="24"/>
        </w:rPr>
        <w:t xml:space="preserve"> different </w:t>
      </w:r>
      <w:r w:rsidR="00A362EB" w:rsidRPr="009E00D2">
        <w:rPr>
          <w:rFonts w:ascii="Garamond" w:hAnsi="Garamond"/>
          <w:sz w:val="24"/>
          <w:szCs w:val="24"/>
        </w:rPr>
        <w:t xml:space="preserve"> </w:t>
      </w:r>
      <w:r w:rsidR="008222B2" w:rsidRPr="009E00D2">
        <w:rPr>
          <w:rFonts w:ascii="Garamond" w:hAnsi="Garamond"/>
          <w:sz w:val="24"/>
          <w:szCs w:val="24"/>
        </w:rPr>
        <w:t>structural breaks (Perron</w:t>
      </w:r>
      <w:r w:rsidR="00201D7F">
        <w:rPr>
          <w:rFonts w:ascii="Garamond" w:hAnsi="Garamond"/>
          <w:sz w:val="24"/>
          <w:szCs w:val="24"/>
        </w:rPr>
        <w:t>,</w:t>
      </w:r>
      <w:r w:rsidR="008222B2" w:rsidRPr="009E00D2">
        <w:rPr>
          <w:rFonts w:ascii="Garamond" w:hAnsi="Garamond"/>
          <w:sz w:val="24"/>
          <w:szCs w:val="24"/>
        </w:rPr>
        <w:t xml:space="preserve"> 1989; Campbell </w:t>
      </w:r>
      <w:r w:rsidR="00201D7F">
        <w:rPr>
          <w:rFonts w:ascii="Garamond" w:hAnsi="Garamond"/>
          <w:sz w:val="24"/>
          <w:szCs w:val="24"/>
        </w:rPr>
        <w:t>&amp;</w:t>
      </w:r>
      <w:r w:rsidR="008222B2" w:rsidRPr="009E00D2">
        <w:rPr>
          <w:rFonts w:ascii="Garamond" w:hAnsi="Garamond"/>
          <w:sz w:val="24"/>
          <w:szCs w:val="24"/>
        </w:rPr>
        <w:t xml:space="preserve"> Perron </w:t>
      </w:r>
      <w:r w:rsidR="00201D7F">
        <w:rPr>
          <w:rFonts w:ascii="Garamond" w:hAnsi="Garamond"/>
          <w:sz w:val="24"/>
          <w:szCs w:val="24"/>
        </w:rPr>
        <w:t>,</w:t>
      </w:r>
      <w:r w:rsidR="008222B2" w:rsidRPr="009E00D2">
        <w:rPr>
          <w:rFonts w:ascii="Garamond" w:hAnsi="Garamond"/>
          <w:sz w:val="24"/>
          <w:szCs w:val="24"/>
        </w:rPr>
        <w:t xml:space="preserve">1991), </w:t>
      </w:r>
      <w:r w:rsidR="00A362EB" w:rsidRPr="009E00D2">
        <w:rPr>
          <w:rFonts w:ascii="Garamond" w:hAnsi="Garamond"/>
          <w:sz w:val="24"/>
          <w:szCs w:val="24"/>
        </w:rPr>
        <w:t>trend</w:t>
      </w:r>
      <w:r w:rsidR="00A362EB" w:rsidRPr="009E00D2">
        <w:rPr>
          <w:rFonts w:ascii="Times New Roman" w:hAnsi="Times New Roman" w:cs="Times New Roman"/>
          <w:sz w:val="24"/>
          <w:szCs w:val="24"/>
        </w:rPr>
        <w:t>‐</w:t>
      </w:r>
      <w:r w:rsidR="00A362EB" w:rsidRPr="009E00D2">
        <w:rPr>
          <w:rFonts w:ascii="Garamond" w:hAnsi="Garamond"/>
          <w:sz w:val="24"/>
          <w:szCs w:val="24"/>
        </w:rPr>
        <w:t>stationarity (DeJong et al</w:t>
      </w:r>
      <w:r w:rsidR="00627D9C" w:rsidRPr="009E00D2">
        <w:rPr>
          <w:rFonts w:ascii="Garamond" w:hAnsi="Garamond"/>
          <w:sz w:val="24"/>
          <w:szCs w:val="24"/>
        </w:rPr>
        <w:t>.</w:t>
      </w:r>
      <w:r w:rsidR="00201D7F">
        <w:rPr>
          <w:rFonts w:ascii="Garamond" w:hAnsi="Garamond"/>
          <w:sz w:val="24"/>
          <w:szCs w:val="24"/>
        </w:rPr>
        <w:t>,</w:t>
      </w:r>
      <w:r w:rsidR="00A362EB" w:rsidRPr="009E00D2">
        <w:rPr>
          <w:rFonts w:ascii="Garamond" w:hAnsi="Garamond"/>
          <w:sz w:val="24"/>
          <w:szCs w:val="24"/>
        </w:rPr>
        <w:t xml:space="preserve"> 1992), regime</w:t>
      </w:r>
      <w:r w:rsidR="00A362EB" w:rsidRPr="009E00D2">
        <w:rPr>
          <w:rFonts w:ascii="Times New Roman" w:hAnsi="Times New Roman" w:cs="Times New Roman"/>
          <w:sz w:val="24"/>
          <w:szCs w:val="24"/>
        </w:rPr>
        <w:t>‐</w:t>
      </w:r>
      <w:r w:rsidR="00A362EB" w:rsidRPr="009E00D2">
        <w:rPr>
          <w:rFonts w:ascii="Garamond" w:hAnsi="Garamond"/>
          <w:sz w:val="24"/>
          <w:szCs w:val="24"/>
        </w:rPr>
        <w:t>switching (Nelson et al</w:t>
      </w:r>
      <w:r w:rsidR="00201D7F">
        <w:rPr>
          <w:rFonts w:ascii="Garamond" w:hAnsi="Garamond"/>
          <w:sz w:val="24"/>
          <w:szCs w:val="24"/>
        </w:rPr>
        <w:t>.,</w:t>
      </w:r>
      <w:r w:rsidR="00A362EB" w:rsidRPr="009E00D2">
        <w:rPr>
          <w:rFonts w:ascii="Garamond" w:hAnsi="Garamond"/>
          <w:sz w:val="24"/>
          <w:szCs w:val="24"/>
        </w:rPr>
        <w:t xml:space="preserve"> 2001), or fractional integration (Diebold </w:t>
      </w:r>
      <w:r w:rsidR="00201D7F">
        <w:rPr>
          <w:rFonts w:ascii="Garamond" w:hAnsi="Garamond"/>
          <w:sz w:val="24"/>
          <w:szCs w:val="24"/>
        </w:rPr>
        <w:t xml:space="preserve">&amp; </w:t>
      </w:r>
      <w:r w:rsidR="00A362EB" w:rsidRPr="009E00D2">
        <w:rPr>
          <w:rFonts w:ascii="Garamond" w:hAnsi="Garamond"/>
          <w:sz w:val="24"/>
          <w:szCs w:val="24"/>
        </w:rPr>
        <w:t>Rudebusch</w:t>
      </w:r>
      <w:r w:rsidR="00201D7F">
        <w:rPr>
          <w:rFonts w:ascii="Garamond" w:hAnsi="Garamond"/>
          <w:sz w:val="24"/>
          <w:szCs w:val="24"/>
        </w:rPr>
        <w:t>,</w:t>
      </w:r>
      <w:r w:rsidR="00A362EB" w:rsidRPr="009E00D2">
        <w:rPr>
          <w:rFonts w:ascii="Garamond" w:hAnsi="Garamond"/>
          <w:sz w:val="24"/>
          <w:szCs w:val="24"/>
        </w:rPr>
        <w:t xml:space="preserve"> 1991; Lee </w:t>
      </w:r>
      <w:r w:rsidR="00201D7F">
        <w:rPr>
          <w:rFonts w:ascii="Garamond" w:hAnsi="Garamond"/>
          <w:sz w:val="24"/>
          <w:szCs w:val="24"/>
        </w:rPr>
        <w:t>&amp;</w:t>
      </w:r>
      <w:r w:rsidR="00A362EB" w:rsidRPr="009E00D2">
        <w:rPr>
          <w:rFonts w:ascii="Garamond" w:hAnsi="Garamond"/>
          <w:sz w:val="24"/>
          <w:szCs w:val="24"/>
        </w:rPr>
        <w:t xml:space="preserve"> Schmidt</w:t>
      </w:r>
      <w:r w:rsidR="00201D7F">
        <w:rPr>
          <w:rFonts w:ascii="Garamond" w:hAnsi="Garamond"/>
          <w:sz w:val="24"/>
          <w:szCs w:val="24"/>
        </w:rPr>
        <w:t>,</w:t>
      </w:r>
      <w:r w:rsidR="00A362EB" w:rsidRPr="009E00D2">
        <w:rPr>
          <w:rFonts w:ascii="Garamond" w:hAnsi="Garamond"/>
          <w:sz w:val="24"/>
          <w:szCs w:val="24"/>
        </w:rPr>
        <w:t xml:space="preserve"> 1996).</w:t>
      </w:r>
    </w:p>
    <w:p w14:paraId="7F0941AD" w14:textId="3EDC4F36" w:rsidR="00742AFD" w:rsidRPr="009E00D2" w:rsidRDefault="00A362EB" w:rsidP="00742AFD">
      <w:pPr>
        <w:pStyle w:val="NoSpacing"/>
        <w:spacing w:line="480" w:lineRule="auto"/>
        <w:ind w:firstLine="708"/>
        <w:jc w:val="both"/>
        <w:rPr>
          <w:rFonts w:ascii="Garamond" w:eastAsiaTheme="minorEastAsia" w:hAnsi="Garamond"/>
          <w:iCs/>
          <w:sz w:val="24"/>
          <w:szCs w:val="24"/>
        </w:rPr>
      </w:pPr>
      <w:r w:rsidRPr="009E00D2">
        <w:rPr>
          <w:rFonts w:ascii="Garamond" w:eastAsiaTheme="minorEastAsia" w:hAnsi="Garamond"/>
          <w:iCs/>
          <w:sz w:val="24"/>
          <w:szCs w:val="24"/>
        </w:rPr>
        <w:t>T</w:t>
      </w:r>
      <w:r w:rsidR="00D72902" w:rsidRPr="009E00D2">
        <w:rPr>
          <w:rFonts w:ascii="Garamond" w:eastAsiaTheme="minorEastAsia" w:hAnsi="Garamond"/>
          <w:iCs/>
          <w:sz w:val="24"/>
          <w:szCs w:val="24"/>
        </w:rPr>
        <w:t xml:space="preserve">esting for a unit root at the different quantiles allows to define the existence of innovations of a certain magnitude, which reinforce the persistence of the asset prices considered in the study. </w:t>
      </w:r>
      <w:r w:rsidR="00742AFD" w:rsidRPr="009E00D2">
        <w:rPr>
          <w:rFonts w:ascii="Garamond" w:eastAsiaTheme="minorEastAsia" w:hAnsi="Garamond"/>
          <w:iCs/>
          <w:sz w:val="24"/>
          <w:szCs w:val="24"/>
        </w:rPr>
        <w:t>The existence of a unit root implies that, shocks with a permanent effect are accumulated and build up a stochastic trend, causing a unit root nonstationary and non-mean-reverting. On the other hand, an autoregressive process becomes stationary and mean-reverting due to a shock that has a transitory effect and is offset by a future shock with the opposite sign. Therefore, the unit root test can be regarded as a test for non</w:t>
      </w:r>
      <w:r w:rsidR="00201D7F">
        <w:rPr>
          <w:rFonts w:ascii="Garamond" w:eastAsiaTheme="minorEastAsia" w:hAnsi="Garamond"/>
          <w:iCs/>
          <w:sz w:val="24"/>
          <w:szCs w:val="24"/>
        </w:rPr>
        <w:t>-</w:t>
      </w:r>
      <w:r w:rsidR="00742AFD" w:rsidRPr="009E00D2">
        <w:rPr>
          <w:rFonts w:ascii="Garamond" w:eastAsiaTheme="minorEastAsia" w:hAnsi="Garamond"/>
          <w:iCs/>
          <w:sz w:val="24"/>
          <w:szCs w:val="24"/>
        </w:rPr>
        <w:t>stationarity and no mean reversion of the underlying time series.</w:t>
      </w:r>
    </w:p>
    <w:p w14:paraId="14899909" w14:textId="51441DF1" w:rsidR="00E546B1" w:rsidRPr="009E00D2" w:rsidRDefault="00E546B1" w:rsidP="00E546B1">
      <w:pPr>
        <w:pStyle w:val="NoSpacing"/>
        <w:spacing w:line="480" w:lineRule="auto"/>
        <w:ind w:firstLine="708"/>
        <w:jc w:val="both"/>
        <w:rPr>
          <w:rFonts w:ascii="Garamond" w:eastAsiaTheme="minorEastAsia" w:hAnsi="Garamond"/>
          <w:iCs/>
          <w:sz w:val="24"/>
          <w:szCs w:val="24"/>
        </w:rPr>
      </w:pPr>
      <w:r w:rsidRPr="009E00D2">
        <w:rPr>
          <w:rFonts w:ascii="Garamond" w:eastAsiaTheme="minorEastAsia" w:hAnsi="Garamond"/>
          <w:iCs/>
          <w:sz w:val="24"/>
          <w:szCs w:val="24"/>
          <w:lang w:val="en-GB"/>
        </w:rPr>
        <w:t xml:space="preserve">In literature unit root tests attract attention due to their theoretical and practical significance. Dickey and Fuller (1979) test and the Phillips and Perron (1988) test may lack statistical power given nonlinearity and </w:t>
      </w:r>
      <w:r w:rsidRPr="009E00D2">
        <w:rPr>
          <w:rFonts w:ascii="Garamond" w:eastAsiaTheme="minorEastAsia" w:hAnsi="Garamond"/>
          <w:iCs/>
          <w:sz w:val="24"/>
          <w:szCs w:val="24"/>
        </w:rPr>
        <w:t>non-Gaussian conditions</w:t>
      </w:r>
      <w:r w:rsidRPr="009E00D2">
        <w:rPr>
          <w:rFonts w:ascii="Garamond" w:eastAsiaTheme="minorEastAsia" w:hAnsi="Garamond"/>
          <w:iCs/>
          <w:sz w:val="24"/>
          <w:szCs w:val="24"/>
          <w:lang w:val="en-GB"/>
        </w:rPr>
        <w:t xml:space="preserve">. </w:t>
      </w:r>
      <w:r w:rsidRPr="009E00D2">
        <w:rPr>
          <w:rFonts w:ascii="Garamond" w:eastAsiaTheme="minorEastAsia" w:hAnsi="Garamond"/>
          <w:iCs/>
          <w:sz w:val="24"/>
          <w:szCs w:val="24"/>
        </w:rPr>
        <w:t>Hansen (1995) approach is</w:t>
      </w:r>
      <w:r w:rsidRPr="009E00D2">
        <w:rPr>
          <w:rFonts w:ascii="Garamond" w:hAnsi="Garamond"/>
        </w:rPr>
        <w:t xml:space="preserve"> </w:t>
      </w:r>
      <w:r w:rsidRPr="009E00D2">
        <w:rPr>
          <w:rFonts w:ascii="Garamond" w:eastAsiaTheme="minorEastAsia" w:hAnsi="Garamond"/>
          <w:iCs/>
          <w:sz w:val="24"/>
          <w:szCs w:val="24"/>
        </w:rPr>
        <w:t xml:space="preserve">a least </w:t>
      </w:r>
      <w:proofErr w:type="gramStart"/>
      <w:r w:rsidRPr="009E00D2">
        <w:rPr>
          <w:rFonts w:ascii="Garamond" w:eastAsiaTheme="minorEastAsia" w:hAnsi="Garamond"/>
          <w:iCs/>
          <w:sz w:val="24"/>
          <w:szCs w:val="24"/>
        </w:rPr>
        <w:t>squares based</w:t>
      </w:r>
      <w:proofErr w:type="gramEnd"/>
      <w:r w:rsidR="00201D7F">
        <w:rPr>
          <w:rFonts w:ascii="Garamond" w:eastAsiaTheme="minorEastAsia" w:hAnsi="Garamond"/>
          <w:iCs/>
          <w:sz w:val="24"/>
          <w:szCs w:val="24"/>
        </w:rPr>
        <w:t xml:space="preserve"> </w:t>
      </w:r>
      <w:r w:rsidRPr="009E00D2">
        <w:rPr>
          <w:rFonts w:ascii="Garamond" w:eastAsiaTheme="minorEastAsia" w:hAnsi="Garamond"/>
          <w:iCs/>
          <w:sz w:val="24"/>
          <w:szCs w:val="24"/>
        </w:rPr>
        <w:t xml:space="preserve">covariate augmented Dickey-Fuller (CADF) test that includes correlated stationary covariates in the unit root testing regression, showing a more accurate estimate of the autoregressive parameter and an increase in test power. </w:t>
      </w:r>
      <w:proofErr w:type="spellStart"/>
      <w:r w:rsidRPr="009E00D2">
        <w:rPr>
          <w:rFonts w:ascii="Garamond" w:eastAsiaTheme="minorEastAsia" w:hAnsi="Garamond"/>
          <w:iCs/>
          <w:sz w:val="24"/>
          <w:szCs w:val="24"/>
          <w:lang w:val="en-GB"/>
        </w:rPr>
        <w:t>Kapetanios</w:t>
      </w:r>
      <w:proofErr w:type="spellEnd"/>
      <w:r w:rsidRPr="009E00D2">
        <w:rPr>
          <w:rFonts w:ascii="Garamond" w:eastAsiaTheme="minorEastAsia" w:hAnsi="Garamond"/>
          <w:iCs/>
          <w:sz w:val="24"/>
          <w:szCs w:val="24"/>
          <w:lang w:val="en-GB"/>
        </w:rPr>
        <w:t xml:space="preserve"> et al. </w:t>
      </w:r>
      <w:r w:rsidRPr="009E00D2">
        <w:rPr>
          <w:rFonts w:ascii="Garamond" w:eastAsiaTheme="minorEastAsia" w:hAnsi="Garamond"/>
          <w:iCs/>
          <w:sz w:val="24"/>
          <w:szCs w:val="24"/>
        </w:rPr>
        <w:t xml:space="preserve">(2003) and </w:t>
      </w:r>
      <w:proofErr w:type="spellStart"/>
      <w:r w:rsidRPr="009E00D2">
        <w:rPr>
          <w:rFonts w:ascii="Garamond" w:eastAsiaTheme="minorEastAsia" w:hAnsi="Garamond"/>
          <w:iCs/>
          <w:sz w:val="24"/>
          <w:szCs w:val="24"/>
        </w:rPr>
        <w:t>Kilic</w:t>
      </w:r>
      <w:proofErr w:type="spellEnd"/>
      <w:r w:rsidRPr="009E00D2">
        <w:rPr>
          <w:rFonts w:ascii="Garamond" w:eastAsiaTheme="minorEastAsia" w:hAnsi="Garamond"/>
          <w:iCs/>
          <w:sz w:val="24"/>
          <w:szCs w:val="24"/>
        </w:rPr>
        <w:t xml:space="preserve"> (2011) developed the nonlinear unit root tests based on exponential smooth transition autoregressive models under Gaussian conditions. </w:t>
      </w:r>
      <w:proofErr w:type="spellStart"/>
      <w:r w:rsidRPr="009E00D2">
        <w:rPr>
          <w:rFonts w:ascii="Garamond" w:eastAsiaTheme="minorEastAsia" w:hAnsi="Garamond"/>
          <w:iCs/>
          <w:sz w:val="24"/>
          <w:szCs w:val="24"/>
        </w:rPr>
        <w:t>Koenker</w:t>
      </w:r>
      <w:proofErr w:type="spellEnd"/>
      <w:r w:rsidRPr="009E00D2">
        <w:rPr>
          <w:rFonts w:ascii="Garamond" w:eastAsiaTheme="minorEastAsia" w:hAnsi="Garamond"/>
          <w:iCs/>
          <w:sz w:val="24"/>
          <w:szCs w:val="24"/>
        </w:rPr>
        <w:t xml:space="preserve"> and Xiao (2004) proposed a unit root test based on quantile autoregression approach robust under non-Gaussian conditions. </w:t>
      </w:r>
      <w:proofErr w:type="spellStart"/>
      <w:r w:rsidRPr="009E00D2">
        <w:rPr>
          <w:rFonts w:ascii="Garamond" w:eastAsiaTheme="minorEastAsia" w:hAnsi="Garamond"/>
          <w:iCs/>
          <w:sz w:val="24"/>
          <w:szCs w:val="24"/>
        </w:rPr>
        <w:t>Galvao</w:t>
      </w:r>
      <w:proofErr w:type="spellEnd"/>
      <w:r w:rsidRPr="009E00D2">
        <w:rPr>
          <w:rFonts w:ascii="Garamond" w:eastAsiaTheme="minorEastAsia" w:hAnsi="Garamond"/>
          <w:iCs/>
          <w:sz w:val="24"/>
          <w:szCs w:val="24"/>
        </w:rPr>
        <w:t xml:space="preserve"> (2009) extends unit root tests based on quantile regression proposed by </w:t>
      </w:r>
      <w:proofErr w:type="spellStart"/>
      <w:r w:rsidRPr="009E00D2">
        <w:rPr>
          <w:rFonts w:ascii="Garamond" w:eastAsiaTheme="minorEastAsia" w:hAnsi="Garamond"/>
          <w:iCs/>
          <w:sz w:val="24"/>
          <w:szCs w:val="24"/>
        </w:rPr>
        <w:t>Koenker</w:t>
      </w:r>
      <w:proofErr w:type="spellEnd"/>
      <w:r w:rsidRPr="009E00D2">
        <w:rPr>
          <w:rFonts w:ascii="Garamond" w:eastAsiaTheme="minorEastAsia" w:hAnsi="Garamond"/>
          <w:iCs/>
          <w:sz w:val="24"/>
          <w:szCs w:val="24"/>
        </w:rPr>
        <w:t xml:space="preserve"> and Xiao (2004) allowing stationary covariates and a linear time trend. Then, Yang and Zhao (2020) propose a new test based on a quantile exponential smooth transition autoregressive model with incorporated stationary </w:t>
      </w:r>
      <w:r w:rsidRPr="009E00D2">
        <w:rPr>
          <w:rFonts w:ascii="Garamond" w:eastAsiaTheme="minorEastAsia" w:hAnsi="Garamond"/>
          <w:iCs/>
          <w:sz w:val="24"/>
          <w:szCs w:val="24"/>
        </w:rPr>
        <w:lastRenderedPageBreak/>
        <w:t>covariates that increases the test power. Given that the test perform</w:t>
      </w:r>
      <w:r w:rsidR="00201D7F">
        <w:rPr>
          <w:rFonts w:ascii="Garamond" w:eastAsiaTheme="minorEastAsia" w:hAnsi="Garamond"/>
          <w:iCs/>
          <w:sz w:val="24"/>
          <w:szCs w:val="24"/>
        </w:rPr>
        <w:t>s</w:t>
      </w:r>
      <w:r w:rsidRPr="009E00D2">
        <w:rPr>
          <w:rFonts w:ascii="Garamond" w:eastAsiaTheme="minorEastAsia" w:hAnsi="Garamond"/>
          <w:iCs/>
          <w:sz w:val="24"/>
          <w:szCs w:val="24"/>
        </w:rPr>
        <w:t xml:space="preserve"> well in finite samples due to including correlated covariates in the testing equation, Yang and Zhao (2020) approach is used in our study and compared to the one of </w:t>
      </w:r>
      <w:proofErr w:type="spellStart"/>
      <w:r w:rsidRPr="009E00D2">
        <w:rPr>
          <w:rFonts w:ascii="Garamond" w:eastAsiaTheme="minorEastAsia" w:hAnsi="Garamond"/>
          <w:iCs/>
          <w:sz w:val="24"/>
          <w:szCs w:val="24"/>
        </w:rPr>
        <w:t>Koenker</w:t>
      </w:r>
      <w:proofErr w:type="spellEnd"/>
      <w:r w:rsidRPr="009E00D2">
        <w:rPr>
          <w:rFonts w:ascii="Garamond" w:eastAsiaTheme="minorEastAsia" w:hAnsi="Garamond"/>
          <w:iCs/>
          <w:sz w:val="24"/>
          <w:szCs w:val="24"/>
        </w:rPr>
        <w:t xml:space="preserve"> and Xiao (2004). </w:t>
      </w:r>
    </w:p>
    <w:p w14:paraId="7DC0AD95" w14:textId="3632F9A9" w:rsidR="00E546B1" w:rsidRPr="009E00D2" w:rsidRDefault="00E546B1" w:rsidP="002E3A18">
      <w:pPr>
        <w:pStyle w:val="NoSpacing"/>
        <w:spacing w:line="480" w:lineRule="auto"/>
        <w:ind w:firstLine="708"/>
        <w:jc w:val="both"/>
        <w:rPr>
          <w:rFonts w:ascii="Garamond" w:eastAsiaTheme="minorEastAsia" w:hAnsi="Garamond"/>
          <w:iCs/>
          <w:sz w:val="24"/>
          <w:szCs w:val="24"/>
        </w:rPr>
      </w:pPr>
      <w:r w:rsidRPr="009E00D2">
        <w:rPr>
          <w:rFonts w:ascii="Garamond" w:eastAsiaTheme="minorEastAsia" w:hAnsi="Garamond"/>
          <w:iCs/>
          <w:sz w:val="24"/>
          <w:szCs w:val="24"/>
        </w:rPr>
        <w:t xml:space="preserve">A popular augmented Dickey-Fuller (ADF) regression model </w:t>
      </w:r>
      <w:r w:rsidR="00201D7F">
        <w:rPr>
          <w:rFonts w:ascii="Garamond" w:eastAsiaTheme="minorEastAsia" w:hAnsi="Garamond"/>
          <w:iCs/>
          <w:sz w:val="24"/>
          <w:szCs w:val="24"/>
        </w:rPr>
        <w:t>can be described as follows:</w:t>
      </w:r>
    </w:p>
    <w:p w14:paraId="63D019A0" w14:textId="77777777" w:rsidR="00E546B1" w:rsidRPr="009E00D2" w:rsidRDefault="00E546B1" w:rsidP="00E546B1">
      <w:pPr>
        <w:pStyle w:val="NoSpacing"/>
        <w:spacing w:line="480" w:lineRule="auto"/>
        <w:ind w:firstLine="708"/>
        <w:jc w:val="both"/>
        <w:rPr>
          <w:rFonts w:ascii="Garamond" w:eastAsiaTheme="minorEastAsia" w:hAnsi="Garamond"/>
          <w:iCs/>
          <w:sz w:val="24"/>
          <w:szCs w:val="24"/>
        </w:rPr>
      </w:pPr>
    </w:p>
    <w:p w14:paraId="4173E990" w14:textId="2F94A153" w:rsidR="00E546B1" w:rsidRPr="009E00D2" w:rsidRDefault="00880EE9" w:rsidP="00201D7F">
      <w:pPr>
        <w:pStyle w:val="NoSpacing"/>
        <w:spacing w:line="480" w:lineRule="auto"/>
        <w:jc w:val="both"/>
        <w:rPr>
          <w:rFonts w:ascii="Garamond" w:eastAsiaTheme="minorEastAsia" w:hAnsi="Garamond"/>
          <w:iCs/>
          <w:sz w:val="24"/>
          <w:szCs w:val="24"/>
        </w:rPr>
      </w:pPr>
      <m:oMath>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r>
          <w:rPr>
            <w:rFonts w:ascii="Cambria Math" w:eastAsiaTheme="minorEastAsia" w:hAnsi="Cambria Math"/>
            <w:sz w:val="24"/>
            <w:szCs w:val="24"/>
          </w:rPr>
          <m:t>+</m:t>
        </m:r>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j=1</m:t>
            </m:r>
          </m:sub>
          <m:sup>
            <m:r>
              <w:rPr>
                <w:rFonts w:ascii="Cambria Math" w:eastAsiaTheme="minorEastAsia" w:hAnsi="Cambria Math"/>
                <w:sz w:val="24"/>
                <w:szCs w:val="24"/>
              </w:rPr>
              <m:t>q</m:t>
            </m:r>
          </m:sup>
          <m:e>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j+1</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t-j</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e>
        </m:nary>
      </m:oMath>
      <w:r w:rsidR="00E546B1" w:rsidRPr="009E00D2">
        <w:rPr>
          <w:rFonts w:ascii="Garamond" w:eastAsiaTheme="minorEastAsia" w:hAnsi="Garamond"/>
          <w:iCs/>
          <w:sz w:val="24"/>
          <w:szCs w:val="24"/>
        </w:rPr>
        <w:t xml:space="preserve"> </w:t>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201D7F">
        <w:rPr>
          <w:rFonts w:ascii="Garamond" w:eastAsiaTheme="minorEastAsia" w:hAnsi="Garamond"/>
          <w:iCs/>
          <w:sz w:val="24"/>
          <w:szCs w:val="24"/>
        </w:rPr>
        <w:t xml:space="preserve">                    </w:t>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201D7F">
        <w:rPr>
          <w:rFonts w:ascii="Garamond" w:eastAsiaTheme="minorEastAsia" w:hAnsi="Garamond"/>
          <w:iCs/>
          <w:sz w:val="24"/>
          <w:szCs w:val="24"/>
        </w:rPr>
        <w:t xml:space="preserve">           </w:t>
      </w:r>
      <w:r w:rsidR="00E546B1" w:rsidRPr="009E00D2">
        <w:rPr>
          <w:rFonts w:ascii="Garamond" w:eastAsiaTheme="minorEastAsia" w:hAnsi="Garamond"/>
          <w:iCs/>
          <w:sz w:val="24"/>
          <w:szCs w:val="24"/>
        </w:rPr>
        <w:tab/>
        <w:t>(1)</w:t>
      </w:r>
    </w:p>
    <w:p w14:paraId="16D41C5F" w14:textId="77777777" w:rsidR="00E546B1" w:rsidRPr="009E00D2" w:rsidRDefault="00E546B1" w:rsidP="00E546B1">
      <w:pPr>
        <w:pStyle w:val="NoSpacing"/>
        <w:spacing w:line="480" w:lineRule="auto"/>
        <w:ind w:firstLine="708"/>
        <w:jc w:val="both"/>
        <w:rPr>
          <w:rFonts w:ascii="Garamond" w:eastAsiaTheme="minorEastAsia" w:hAnsi="Garamond"/>
          <w:iCs/>
          <w:sz w:val="24"/>
          <w:szCs w:val="24"/>
        </w:rPr>
      </w:pPr>
    </w:p>
    <w:p w14:paraId="625120EE" w14:textId="628CFB4F" w:rsidR="00E546B1" w:rsidRPr="009E00D2" w:rsidRDefault="00E546B1" w:rsidP="00201D7F">
      <w:pPr>
        <w:pStyle w:val="NoSpacing"/>
        <w:spacing w:line="480" w:lineRule="auto"/>
        <w:jc w:val="both"/>
        <w:rPr>
          <w:rFonts w:ascii="Garamond" w:eastAsiaTheme="minorEastAsia" w:hAnsi="Garamond"/>
          <w:sz w:val="24"/>
          <w:szCs w:val="24"/>
        </w:rPr>
      </w:pPr>
      <w:r w:rsidRPr="009E00D2">
        <w:rPr>
          <w:rFonts w:ascii="Garamond" w:eastAsiaTheme="minorEastAsia" w:hAnsi="Garamond"/>
          <w:iCs/>
          <w:sz w:val="24"/>
          <w:szCs w:val="24"/>
        </w:rPr>
        <w:t xml:space="preserve">where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is </w:t>
      </w:r>
      <m:oMath>
        <m:r>
          <w:rPr>
            <w:rFonts w:ascii="Cambria Math" w:eastAsiaTheme="minorEastAsia" w:hAnsi="Cambria Math"/>
            <w:sz w:val="24"/>
            <w:szCs w:val="24"/>
          </w:rPr>
          <m:t>i.i.d. (0,</m:t>
        </m:r>
        <m:sSup>
          <m:sSupPr>
            <m:ctrlPr>
              <w:rPr>
                <w:rFonts w:ascii="Cambria Math" w:eastAsiaTheme="minorEastAsia" w:hAnsi="Cambria Math"/>
                <w:i/>
                <w:iCs/>
                <w:sz w:val="24"/>
                <w:szCs w:val="24"/>
              </w:rPr>
            </m:ctrlPr>
          </m:sSupPr>
          <m:e>
            <m:r>
              <w:rPr>
                <w:rFonts w:ascii="Cambria Math" w:eastAsiaTheme="minorEastAsia" w:hAnsi="Cambria Math"/>
                <w:sz w:val="24"/>
                <w:szCs w:val="24"/>
              </w:rPr>
              <m:t>σ</m:t>
            </m:r>
          </m:e>
          <m:sup>
            <m:r>
              <w:rPr>
                <w:rFonts w:ascii="Cambria Math" w:eastAsiaTheme="minorEastAsia" w:hAnsi="Cambria Math"/>
                <w:sz w:val="24"/>
                <w:szCs w:val="24"/>
              </w:rPr>
              <m:t>2</m:t>
            </m:r>
          </m:sup>
        </m:sSup>
        <m:r>
          <w:rPr>
            <w:rFonts w:ascii="Cambria Math" w:eastAsiaTheme="minorEastAsia" w:hAnsi="Cambria Math"/>
            <w:sz w:val="24"/>
            <w:szCs w:val="24"/>
          </w:rPr>
          <m:t>)</m:t>
        </m:r>
      </m:oMath>
      <w:r w:rsidRPr="009E00D2">
        <w:rPr>
          <w:rFonts w:ascii="Garamond" w:eastAsiaTheme="minorEastAsia" w:hAnsi="Garamond"/>
          <w:iCs/>
          <w:sz w:val="24"/>
          <w:szCs w:val="24"/>
        </w:rPr>
        <w:t xml:space="preserve">. Under assumptions that all the roots of </w:t>
      </w:r>
      <m:oMath>
        <m:r>
          <w:rPr>
            <w:rFonts w:ascii="Cambria Math" w:eastAsiaTheme="minorEastAsia" w:hAnsi="Cambria Math"/>
            <w:sz w:val="24"/>
            <w:szCs w:val="24"/>
          </w:rPr>
          <m:t>A</m:t>
        </m:r>
        <m:d>
          <m:dPr>
            <m:ctrlPr>
              <w:rPr>
                <w:rFonts w:ascii="Cambria Math" w:eastAsiaTheme="minorEastAsia" w:hAnsi="Cambria Math"/>
                <w:i/>
                <w:iCs/>
                <w:sz w:val="24"/>
                <w:szCs w:val="24"/>
              </w:rPr>
            </m:ctrlPr>
          </m:dPr>
          <m:e>
            <m:r>
              <w:rPr>
                <w:rFonts w:ascii="Cambria Math" w:eastAsiaTheme="minorEastAsia" w:hAnsi="Cambria Math"/>
                <w:sz w:val="24"/>
                <w:szCs w:val="24"/>
              </w:rPr>
              <m:t>L</m:t>
            </m:r>
          </m:e>
        </m:d>
        <m:r>
          <w:rPr>
            <w:rFonts w:ascii="Cambria Math" w:eastAsiaTheme="minorEastAsia" w:hAnsi="Cambria Math"/>
            <w:sz w:val="24"/>
            <w:szCs w:val="24"/>
          </w:rPr>
          <m:t>=1-</m:t>
        </m:r>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j=1</m:t>
            </m:r>
          </m:sub>
          <m:sup>
            <m:r>
              <w:rPr>
                <w:rFonts w:ascii="Cambria Math" w:eastAsiaTheme="minorEastAsia" w:hAnsi="Cambria Math"/>
                <w:sz w:val="24"/>
                <w:szCs w:val="24"/>
              </w:rPr>
              <m:t>q</m:t>
            </m:r>
          </m:sup>
          <m:e>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j+1</m:t>
                </m:r>
              </m:sub>
            </m:sSub>
            <m:sSup>
              <m:sSupPr>
                <m:ctrlPr>
                  <w:rPr>
                    <w:rFonts w:ascii="Cambria Math" w:eastAsiaTheme="minorEastAsia" w:hAnsi="Cambria Math"/>
                    <w:i/>
                    <w:iCs/>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j</m:t>
                </m:r>
              </m:sup>
            </m:sSup>
          </m:e>
        </m:nary>
      </m:oMath>
      <w:r w:rsidRPr="009E00D2">
        <w:rPr>
          <w:rFonts w:ascii="Garamond" w:eastAsiaTheme="minorEastAsia" w:hAnsi="Garamond"/>
          <w:iCs/>
          <w:sz w:val="24"/>
          <w:szCs w:val="24"/>
        </w:rPr>
        <w:t xml:space="preserve"> are outside the unit circle when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=1</m:t>
        </m:r>
      </m:oMath>
      <w:r w:rsidRPr="009E00D2">
        <w:rPr>
          <w:rFonts w:ascii="Garamond" w:eastAsiaTheme="minorEastAsia" w:hAnsi="Garamond"/>
          <w:iCs/>
          <w:sz w:val="24"/>
          <w:szCs w:val="24"/>
        </w:rPr>
        <w:t xml:space="preserve">, implying that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contains a unit root. Otherwise, if </w:t>
      </w:r>
      <m:oMath>
        <m:d>
          <m:dPr>
            <m:begChr m:val="|"/>
            <m:endChr m:val="|"/>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e>
        </m:d>
        <m:r>
          <w:rPr>
            <w:rFonts w:ascii="Cambria Math" w:eastAsiaTheme="minorEastAsia" w:hAnsi="Cambria Math"/>
            <w:sz w:val="24"/>
            <w:szCs w:val="24"/>
          </w:rPr>
          <m:t>&lt;1</m:t>
        </m:r>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is a stationary process. Denoting the </w:t>
      </w:r>
      <m:oMath>
        <m:r>
          <w:rPr>
            <w:rFonts w:ascii="Cambria Math" w:eastAsiaTheme="minorEastAsia" w:hAnsi="Cambria Math"/>
            <w:sz w:val="24"/>
            <w:szCs w:val="24"/>
          </w:rPr>
          <m:t>σ</m:t>
        </m:r>
      </m:oMath>
      <w:r w:rsidRPr="009E00D2">
        <w:rPr>
          <w:rFonts w:ascii="Garamond" w:eastAsiaTheme="minorEastAsia" w:hAnsi="Garamond"/>
          <w:iCs/>
          <w:sz w:val="24"/>
          <w:szCs w:val="24"/>
        </w:rPr>
        <w:t>-field generated by {</w:t>
      </w:r>
      <w:r w:rsidRPr="009E00D2">
        <w:rPr>
          <w:rFonts w:ascii="Garamond" w:eastAsiaTheme="minorEastAsia" w:hAnsi="Garamond"/>
          <w:i/>
          <w:sz w:val="24"/>
          <w:szCs w:val="24"/>
        </w:rPr>
        <w:t>u</w:t>
      </w:r>
      <w:r w:rsidRPr="009E00D2">
        <w:rPr>
          <w:rFonts w:ascii="Garamond" w:eastAsiaTheme="minorEastAsia" w:hAnsi="Garamond"/>
          <w:i/>
          <w:sz w:val="24"/>
          <w:szCs w:val="24"/>
          <w:vertAlign w:val="subscript"/>
        </w:rPr>
        <w:t>s</w:t>
      </w:r>
      <w:r w:rsidRPr="009E00D2">
        <w:rPr>
          <w:rFonts w:ascii="Garamond" w:eastAsiaTheme="minorEastAsia" w:hAnsi="Garamond"/>
          <w:i/>
          <w:sz w:val="24"/>
          <w:szCs w:val="24"/>
        </w:rPr>
        <w:t xml:space="preserve">, </w:t>
      </w:r>
      <w:proofErr w:type="spellStart"/>
      <w:r w:rsidRPr="009E00D2">
        <w:rPr>
          <w:rFonts w:ascii="Garamond" w:eastAsiaTheme="minorEastAsia" w:hAnsi="Garamond"/>
          <w:i/>
          <w:sz w:val="24"/>
          <w:szCs w:val="24"/>
        </w:rPr>
        <w:t>s≤t</w:t>
      </w:r>
      <w:proofErr w:type="spellEnd"/>
      <w:r w:rsidRPr="009E00D2">
        <w:rPr>
          <w:rFonts w:ascii="Garamond" w:eastAsiaTheme="minorEastAsia" w:hAnsi="Garamond"/>
          <w:iCs/>
          <w:sz w:val="24"/>
          <w:szCs w:val="24"/>
        </w:rPr>
        <w:t xml:space="preserve">} by </w:t>
      </w:r>
      <m:oMath>
        <m:sSub>
          <m:sSubPr>
            <m:ctrlPr>
              <w:rPr>
                <w:rFonts w:ascii="Cambria Math" w:hAnsi="Cambria Math"/>
                <w:i/>
                <w:sz w:val="24"/>
                <w:szCs w:val="24"/>
              </w:rPr>
            </m:ctrlPr>
          </m:sSubPr>
          <m:e>
            <m:r>
              <m:rPr>
                <m:scr m:val="double-struck"/>
              </m:rPr>
              <w:rPr>
                <w:rFonts w:ascii="Cambria Math" w:hAnsi="Cambria Math"/>
                <w:sz w:val="24"/>
                <w:szCs w:val="24"/>
              </w:rPr>
              <m:t>F</m:t>
            </m:r>
          </m:e>
          <m:sub>
            <m:r>
              <w:rPr>
                <w:rFonts w:ascii="Cambria Math" w:hAnsi="Cambria Math"/>
                <w:sz w:val="24"/>
                <w:szCs w:val="24"/>
              </w:rPr>
              <m:t>t</m:t>
            </m:r>
          </m:sub>
        </m:sSub>
      </m:oMath>
      <w:r w:rsidRPr="009E00D2">
        <w:rPr>
          <w:rFonts w:ascii="Garamond" w:eastAsiaTheme="minorEastAsia" w:hAnsi="Garamond"/>
          <w:sz w:val="24"/>
          <w:szCs w:val="24"/>
        </w:rPr>
        <w:t xml:space="preserve">, the </w:t>
      </w:r>
      <m:oMath>
        <m:r>
          <w:rPr>
            <w:rFonts w:ascii="Cambria Math" w:eastAsiaTheme="minorEastAsia" w:hAnsi="Cambria Math"/>
            <w:sz w:val="24"/>
            <w:szCs w:val="24"/>
          </w:rPr>
          <m:t>τ</m:t>
        </m:r>
      </m:oMath>
      <w:r w:rsidRPr="009E00D2">
        <w:rPr>
          <w:rFonts w:ascii="Garamond" w:eastAsiaTheme="minorEastAsia" w:hAnsi="Garamond"/>
          <w:sz w:val="24"/>
          <w:szCs w:val="24"/>
        </w:rPr>
        <w:t xml:space="preserve">th conditional on </w:t>
      </w:r>
      <m:oMath>
        <m:sSub>
          <m:sSubPr>
            <m:ctrlPr>
              <w:rPr>
                <w:rFonts w:ascii="Cambria Math" w:hAnsi="Cambria Math"/>
                <w:i/>
                <w:sz w:val="24"/>
                <w:szCs w:val="24"/>
              </w:rPr>
            </m:ctrlPr>
          </m:sSubPr>
          <m:e>
            <m:r>
              <m:rPr>
                <m:scr m:val="double-struck"/>
              </m:rPr>
              <w:rPr>
                <w:rFonts w:ascii="Cambria Math" w:hAnsi="Cambria Math"/>
                <w:sz w:val="24"/>
                <w:szCs w:val="24"/>
              </w:rPr>
              <m:t>F</m:t>
            </m:r>
          </m:e>
          <m:sub>
            <m:r>
              <w:rPr>
                <w:rFonts w:ascii="Cambria Math" w:hAnsi="Cambria Math"/>
                <w:sz w:val="24"/>
                <w:szCs w:val="24"/>
              </w:rPr>
              <m:t>t-1</m:t>
            </m:r>
          </m:sub>
        </m:sSub>
      </m:oMath>
      <w:r w:rsidRPr="009E00D2">
        <w:rPr>
          <w:rFonts w:ascii="Garamond" w:eastAsiaTheme="minorEastAsia" w:hAnsi="Garamond"/>
          <w:sz w:val="24"/>
          <w:szCs w:val="24"/>
        </w:rPr>
        <w:t xml:space="preserve"> quantile of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is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sub>
        </m:sSub>
        <m:d>
          <m:dPr>
            <m:ctrlPr>
              <w:rPr>
                <w:rFonts w:ascii="Cambria Math" w:eastAsiaTheme="minorEastAsia" w:hAnsi="Cambria Math"/>
                <w:i/>
                <w:iCs/>
                <w:sz w:val="24"/>
                <w:szCs w:val="24"/>
              </w:rPr>
            </m:ctrlPr>
          </m:dPr>
          <m:e>
            <m:d>
              <m:dPr>
                <m:begChr m:val=""/>
                <m:endChr m:val="|"/>
                <m:ctrlPr>
                  <w:rPr>
                    <w:rFonts w:ascii="Cambria Math" w:hAnsi="Cambria Math"/>
                    <w:i/>
                    <w:sz w:val="24"/>
                    <w:szCs w:val="24"/>
                  </w:rPr>
                </m:ctrlPr>
              </m:dPr>
              <m:e>
                <m:r>
                  <w:rPr>
                    <w:rFonts w:ascii="Cambria Math" w:hAnsi="Cambria Math"/>
                    <w:sz w:val="24"/>
                    <w:szCs w:val="24"/>
                  </w:rPr>
                  <m:t>τ</m:t>
                </m:r>
              </m:e>
            </m:d>
            <m:sSub>
              <m:sSubPr>
                <m:ctrlPr>
                  <w:rPr>
                    <w:rFonts w:ascii="Cambria Math" w:hAnsi="Cambria Math"/>
                    <w:i/>
                    <w:sz w:val="24"/>
                    <w:szCs w:val="24"/>
                  </w:rPr>
                </m:ctrlPr>
              </m:sSubPr>
              <m:e>
                <m:r>
                  <m:rPr>
                    <m:scr m:val="double-struck"/>
                  </m:rPr>
                  <w:rPr>
                    <w:rFonts w:ascii="Cambria Math" w:hAnsi="Cambria Math"/>
                    <w:sz w:val="24"/>
                    <w:szCs w:val="24"/>
                  </w:rPr>
                  <m:t>F</m:t>
                </m:r>
              </m:e>
              <m:sub>
                <m:r>
                  <w:rPr>
                    <w:rFonts w:ascii="Cambria Math" w:hAnsi="Cambria Math"/>
                    <w:sz w:val="24"/>
                    <w:szCs w:val="24"/>
                  </w:rPr>
                  <m:t>t-1</m:t>
                </m:r>
              </m:sub>
            </m:sSub>
          </m:e>
        </m:d>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u</m:t>
            </m:r>
          </m:sub>
        </m:sSub>
        <m:r>
          <w:rPr>
            <w:rFonts w:ascii="Cambria Math" w:eastAsiaTheme="minorEastAsia" w:hAnsi="Cambria Math"/>
            <w:sz w:val="24"/>
            <w:szCs w:val="24"/>
          </w:rPr>
          <m:t>(τ)+</m:t>
        </m:r>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r>
          <w:rPr>
            <w:rFonts w:ascii="Cambria Math" w:eastAsiaTheme="minorEastAsia" w:hAnsi="Cambria Math"/>
            <w:sz w:val="24"/>
            <w:szCs w:val="24"/>
          </w:rPr>
          <m:t>+</m:t>
        </m:r>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j=1</m:t>
            </m:r>
          </m:sub>
          <m:sup>
            <m:r>
              <w:rPr>
                <w:rFonts w:ascii="Cambria Math" w:eastAsiaTheme="minorEastAsia" w:hAnsi="Cambria Math"/>
                <w:sz w:val="24"/>
                <w:szCs w:val="24"/>
              </w:rPr>
              <m:t>q</m:t>
            </m:r>
          </m:sup>
          <m:e>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j+1</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t-j</m:t>
                </m:r>
              </m:sub>
            </m:sSub>
          </m:e>
        </m:nary>
      </m:oMath>
      <w:r w:rsidRPr="009E00D2">
        <w:rPr>
          <w:rFonts w:ascii="Garamond" w:eastAsiaTheme="minorEastAsia" w:hAnsi="Garamond"/>
          <w:iCs/>
          <w:sz w:val="24"/>
          <w:szCs w:val="24"/>
        </w:rPr>
        <w:t xml:space="preserve">. Let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u</m:t>
            </m:r>
          </m:sub>
        </m:sSub>
        <m:d>
          <m:dPr>
            <m:ctrlPr>
              <w:rPr>
                <w:rFonts w:ascii="Cambria Math" w:eastAsiaTheme="minorEastAsia" w:hAnsi="Cambria Math"/>
                <w:i/>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 xml:space="preserve">, </m:t>
        </m:r>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j</m:t>
            </m:r>
          </m:sub>
        </m:sSub>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j</m:t>
            </m:r>
          </m:sub>
        </m:sSub>
        <m:r>
          <w:rPr>
            <w:rFonts w:ascii="Cambria Math" w:eastAsiaTheme="minorEastAsia" w:hAnsi="Cambria Math"/>
            <w:sz w:val="24"/>
            <w:szCs w:val="24"/>
          </w:rPr>
          <m:t>, j=1…,p, p=q+1</m:t>
        </m:r>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 xml:space="preserve">, </m:t>
        </m:r>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 …,</m:t>
        </m:r>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q+1</m:t>
            </m:r>
          </m:sub>
        </m:sSub>
        <m:r>
          <w:rPr>
            <w:rFonts w:ascii="Cambria Math" w:eastAsiaTheme="minorEastAsia" w:hAnsi="Cambria Math"/>
            <w:sz w:val="24"/>
            <w:szCs w:val="24"/>
          </w:rPr>
          <m:t>)</m:t>
        </m:r>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t</m:t>
            </m:r>
          </m:sub>
        </m:sSub>
        <m:r>
          <w:rPr>
            <w:rFonts w:ascii="Cambria Math" w:eastAsiaTheme="minorEastAsia" w:hAnsi="Cambria Math"/>
            <w:sz w:val="24"/>
            <w:szCs w:val="24"/>
          </w:rPr>
          <m:t>=</m:t>
        </m:r>
        <m:sSup>
          <m:sSupPr>
            <m:ctrlPr>
              <w:rPr>
                <w:rFonts w:ascii="Cambria Math" w:eastAsiaTheme="minorEastAsia" w:hAnsi="Cambria Math"/>
                <w:i/>
                <w:iCs/>
                <w:sz w:val="24"/>
                <w:szCs w:val="24"/>
              </w:rPr>
            </m:ctrlPr>
          </m:sSupPr>
          <m:e>
            <m:r>
              <w:rPr>
                <w:rFonts w:ascii="Cambria Math" w:eastAsiaTheme="minorEastAsia" w:hAnsi="Cambria Math"/>
                <w:sz w:val="24"/>
                <w:szCs w:val="24"/>
              </w:rPr>
              <m:t>(1,</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t-q</m:t>
                </m:r>
              </m:sub>
            </m:sSub>
            <m:r>
              <w:rPr>
                <w:rFonts w:ascii="Cambria Math" w:eastAsiaTheme="minorEastAsia" w:hAnsi="Cambria Math"/>
                <w:sz w:val="24"/>
                <w:szCs w:val="24"/>
              </w:rPr>
              <m:t>)</m:t>
            </m:r>
          </m:e>
          <m:sup>
            <m:r>
              <w:rPr>
                <w:rFonts w:ascii="Cambria Math" w:eastAsiaTheme="minorEastAsia" w:hAnsi="Cambria Math"/>
                <w:sz w:val="24"/>
                <w:szCs w:val="24"/>
              </w:rPr>
              <m:t>T</m:t>
            </m:r>
          </m:sup>
        </m:sSup>
      </m:oMath>
      <w:r w:rsidRPr="009E00D2">
        <w:rPr>
          <w:rFonts w:ascii="Garamond" w:eastAsiaTheme="minorEastAsia" w:hAnsi="Garamond"/>
          <w:iCs/>
          <w:sz w:val="24"/>
          <w:szCs w:val="24"/>
        </w:rPr>
        <w:t xml:space="preserve">. Then,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sub>
        </m:sSub>
        <m:d>
          <m:dPr>
            <m:ctrlPr>
              <w:rPr>
                <w:rFonts w:ascii="Cambria Math" w:eastAsiaTheme="minorEastAsia" w:hAnsi="Cambria Math"/>
                <w:i/>
                <w:iCs/>
                <w:sz w:val="24"/>
                <w:szCs w:val="24"/>
              </w:rPr>
            </m:ctrlPr>
          </m:dPr>
          <m:e>
            <m:d>
              <m:dPr>
                <m:begChr m:val=""/>
                <m:endChr m:val="|"/>
                <m:ctrlPr>
                  <w:rPr>
                    <w:rFonts w:ascii="Cambria Math" w:hAnsi="Cambria Math"/>
                    <w:i/>
                    <w:sz w:val="24"/>
                    <w:szCs w:val="24"/>
                  </w:rPr>
                </m:ctrlPr>
              </m:dPr>
              <m:e>
                <m:r>
                  <w:rPr>
                    <w:rFonts w:ascii="Cambria Math" w:hAnsi="Cambria Math"/>
                    <w:sz w:val="24"/>
                    <w:szCs w:val="24"/>
                  </w:rPr>
                  <m:t>τ</m:t>
                </m:r>
              </m:e>
            </m:d>
            <m:sSub>
              <m:sSubPr>
                <m:ctrlPr>
                  <w:rPr>
                    <w:rFonts w:ascii="Cambria Math" w:hAnsi="Cambria Math"/>
                    <w:i/>
                    <w:sz w:val="24"/>
                    <w:szCs w:val="24"/>
                  </w:rPr>
                </m:ctrlPr>
              </m:sSubPr>
              <m:e>
                <m:r>
                  <m:rPr>
                    <m:scr m:val="double-struck"/>
                  </m:rPr>
                  <w:rPr>
                    <w:rFonts w:ascii="Cambria Math" w:hAnsi="Cambria Math"/>
                    <w:sz w:val="24"/>
                    <w:szCs w:val="24"/>
                  </w:rPr>
                  <m:t>F</m:t>
                </m:r>
              </m:e>
              <m:sub>
                <m:r>
                  <w:rPr>
                    <w:rFonts w:ascii="Cambria Math" w:hAnsi="Cambria Math"/>
                    <w:sz w:val="24"/>
                    <w:szCs w:val="24"/>
                  </w:rPr>
                  <m:t>t-1</m:t>
                </m:r>
              </m:sub>
            </m:sSub>
          </m:e>
        </m:d>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t</m:t>
            </m:r>
          </m:sub>
          <m:sup>
            <m:r>
              <w:rPr>
                <w:rFonts w:ascii="Cambria Math" w:eastAsiaTheme="minorEastAsia" w:hAnsi="Cambria Math"/>
                <w:sz w:val="24"/>
                <w:szCs w:val="24"/>
              </w:rPr>
              <m:t>T</m:t>
            </m:r>
          </m:sup>
        </m:sSubSup>
        <m:r>
          <w:rPr>
            <w:rFonts w:ascii="Cambria Math" w:eastAsiaTheme="minorEastAsia" w:hAnsi="Cambria Math"/>
            <w:sz w:val="24"/>
            <w:szCs w:val="24"/>
          </w:rPr>
          <m:t>a(τ)</m:t>
        </m:r>
      </m:oMath>
      <w:r w:rsidRPr="009E00D2">
        <w:rPr>
          <w:rFonts w:ascii="Garamond" w:eastAsiaTheme="minorEastAsia" w:hAnsi="Garamond"/>
          <w:sz w:val="24"/>
          <w:szCs w:val="24"/>
        </w:rPr>
        <w:t xml:space="preserve"> and the unit-root quantile autoregression is estimated as </w:t>
      </w:r>
      <m:oMath>
        <m:func>
          <m:funcPr>
            <m:ctrlPr>
              <w:rPr>
                <w:rFonts w:ascii="Cambria Math" w:eastAsiaTheme="minorEastAsia" w:hAnsi="Cambria Math"/>
                <w:i/>
                <w:sz w:val="24"/>
                <w:szCs w:val="24"/>
              </w:rPr>
            </m:ctrlPr>
          </m:funcPr>
          <m:fName>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min</m:t>
                    </m:r>
                  </m:e>
                  <m:lim>
                    <m:r>
                      <w:rPr>
                        <w:rFonts w:ascii="Cambria Math" w:eastAsiaTheme="minorEastAsia" w:hAnsi="Cambria Math"/>
                        <w:sz w:val="24"/>
                        <w:szCs w:val="24"/>
                      </w:rPr>
                      <m:t>a</m:t>
                    </m:r>
                  </m:lim>
                </m:limLow>
              </m:fName>
              <m:e>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t=1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τ</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t</m:t>
                        </m:r>
                      </m:sub>
                      <m:sup>
                        <m:r>
                          <w:rPr>
                            <w:rFonts w:ascii="Cambria Math" w:eastAsiaTheme="minorEastAsia" w:hAnsi="Cambria Math"/>
                            <w:sz w:val="24"/>
                            <w:szCs w:val="24"/>
                          </w:rPr>
                          <m:t>T</m:t>
                        </m:r>
                      </m:sup>
                    </m:sSubSup>
                    <m:r>
                      <w:rPr>
                        <w:rFonts w:ascii="Cambria Math" w:eastAsiaTheme="minorEastAsia" w:hAnsi="Cambria Math"/>
                        <w:sz w:val="24"/>
                        <w:szCs w:val="24"/>
                      </w:rPr>
                      <m:t>a)</m:t>
                    </m:r>
                  </m:e>
                </m:nary>
              </m:e>
            </m:func>
          </m:fName>
          <m:e/>
        </m:func>
      </m:oMath>
      <w:r w:rsidRPr="009E00D2">
        <w:rPr>
          <w:rFonts w:ascii="Garamond" w:eastAsiaTheme="minorEastAsia" w:hAnsi="Garamond"/>
          <w:sz w:val="24"/>
          <w:szCs w:val="24"/>
        </w:rPr>
        <w:t>.</w:t>
      </w:r>
    </w:p>
    <w:p w14:paraId="5D69420C" w14:textId="5D5090CB" w:rsidR="00E546B1" w:rsidRPr="009E00D2" w:rsidRDefault="00E546B1" w:rsidP="00201D7F">
      <w:pPr>
        <w:pStyle w:val="NoSpacing"/>
        <w:spacing w:line="480" w:lineRule="auto"/>
        <w:jc w:val="both"/>
        <w:rPr>
          <w:rFonts w:ascii="Garamond" w:eastAsiaTheme="minorEastAsia" w:hAnsi="Garamond"/>
          <w:iCs/>
          <w:sz w:val="24"/>
          <w:szCs w:val="24"/>
        </w:rPr>
      </w:pPr>
      <w:r w:rsidRPr="009E00D2">
        <w:rPr>
          <w:rFonts w:ascii="Garamond" w:eastAsiaTheme="minorEastAsia" w:hAnsi="Garamond"/>
          <w:sz w:val="24"/>
          <w:szCs w:val="24"/>
        </w:rPr>
        <w:t>Under the unit-root hypothesis (</w:t>
      </w:r>
      <w:proofErr w:type="spellStart"/>
      <w:r w:rsidRPr="009E00D2">
        <w:rPr>
          <w:rFonts w:ascii="Garamond" w:eastAsiaTheme="minorEastAsia" w:hAnsi="Garamond"/>
          <w:iCs/>
          <w:sz w:val="24"/>
          <w:szCs w:val="24"/>
        </w:rPr>
        <w:t>Koenker</w:t>
      </w:r>
      <w:proofErr w:type="spellEnd"/>
      <w:r w:rsidRPr="009E00D2">
        <w:rPr>
          <w:rFonts w:ascii="Garamond" w:eastAsiaTheme="minorEastAsia" w:hAnsi="Garamond"/>
          <w:iCs/>
          <w:sz w:val="24"/>
          <w:szCs w:val="24"/>
        </w:rPr>
        <w:t xml:space="preserve"> </w:t>
      </w:r>
      <w:r w:rsidR="00201D7F">
        <w:rPr>
          <w:rFonts w:ascii="Garamond" w:eastAsiaTheme="minorEastAsia" w:hAnsi="Garamond"/>
          <w:iCs/>
          <w:sz w:val="24"/>
          <w:szCs w:val="24"/>
        </w:rPr>
        <w:t xml:space="preserve">&amp; </w:t>
      </w:r>
      <w:r w:rsidRPr="009E00D2">
        <w:rPr>
          <w:rFonts w:ascii="Garamond" w:eastAsiaTheme="minorEastAsia" w:hAnsi="Garamond"/>
          <w:iCs/>
          <w:sz w:val="24"/>
          <w:szCs w:val="24"/>
        </w:rPr>
        <w:t>Xiao</w:t>
      </w:r>
      <w:r w:rsidR="00201D7F">
        <w:rPr>
          <w:rFonts w:ascii="Garamond" w:eastAsiaTheme="minorEastAsia" w:hAnsi="Garamond"/>
          <w:iCs/>
          <w:sz w:val="24"/>
          <w:szCs w:val="24"/>
        </w:rPr>
        <w:t>,</w:t>
      </w:r>
      <w:r w:rsidRPr="009E00D2">
        <w:rPr>
          <w:rFonts w:ascii="Garamond" w:eastAsiaTheme="minorEastAsia" w:hAnsi="Garamond"/>
          <w:iCs/>
          <w:sz w:val="24"/>
          <w:szCs w:val="24"/>
        </w:rPr>
        <w:t xml:space="preserve"> 2004):</w:t>
      </w:r>
    </w:p>
    <w:p w14:paraId="2A179C4E" w14:textId="77777777" w:rsidR="00E546B1" w:rsidRPr="009E00D2" w:rsidRDefault="00E546B1" w:rsidP="00E546B1">
      <w:pPr>
        <w:pStyle w:val="NoSpacing"/>
        <w:spacing w:line="480" w:lineRule="auto"/>
        <w:ind w:firstLine="708"/>
        <w:jc w:val="both"/>
        <w:rPr>
          <w:rFonts w:ascii="Garamond" w:eastAsiaTheme="minorEastAsia" w:hAnsi="Garamond"/>
          <w:iCs/>
          <w:sz w:val="24"/>
          <w:szCs w:val="24"/>
        </w:rPr>
      </w:pPr>
    </w:p>
    <w:p w14:paraId="66D41CEC" w14:textId="3E5444CD" w:rsidR="00E546B1" w:rsidRPr="009E00D2" w:rsidRDefault="00880EE9" w:rsidP="00201D7F">
      <w:pPr>
        <w:pStyle w:val="NoSpacing"/>
        <w:spacing w:line="480" w:lineRule="auto"/>
        <w:jc w:val="both"/>
        <w:rPr>
          <w:rFonts w:ascii="Garamond" w:eastAsiaTheme="minorEastAsia" w:hAnsi="Garamond"/>
          <w:iCs/>
          <w:sz w:val="24"/>
          <w:szCs w:val="24"/>
        </w:rPr>
      </w:pPr>
      <m:oMath>
        <m:sSup>
          <m:sSupPr>
            <m:ctrlPr>
              <w:rPr>
                <w:rFonts w:ascii="Cambria Math" w:eastAsiaTheme="minorEastAsia" w:hAnsi="Cambria Math"/>
                <w:i/>
                <w:iCs/>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-1/2</m:t>
            </m:r>
          </m:sup>
        </m:sSup>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t=1</m:t>
            </m:r>
          </m:sub>
          <m:sup>
            <m:r>
              <w:rPr>
                <w:rFonts w:ascii="Cambria Math" w:eastAsiaTheme="minorEastAsia" w:hAnsi="Cambria Math"/>
                <w:sz w:val="24"/>
                <w:szCs w:val="24"/>
              </w:rPr>
              <m:t>[nr]</m:t>
            </m:r>
          </m:sup>
          <m:e>
            <m:sSup>
              <m:sSupPr>
                <m:ctrlPr>
                  <w:rPr>
                    <w:rFonts w:ascii="Cambria Math" w:eastAsiaTheme="minorEastAsia" w:hAnsi="Cambria Math"/>
                    <w:i/>
                    <w:iCs/>
                    <w:sz w:val="24"/>
                    <w:szCs w:val="24"/>
                  </w:rPr>
                </m:ctrlPr>
              </m:sSupPr>
              <m:e>
                <m:d>
                  <m:dPr>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ψ</m:t>
                        </m:r>
                      </m:e>
                      <m:sub>
                        <m:r>
                          <w:rPr>
                            <w:rFonts w:ascii="Cambria Math" w:eastAsiaTheme="minorEastAsia" w:hAnsi="Cambria Math"/>
                            <w:sz w:val="24"/>
                            <w:szCs w:val="24"/>
                          </w:rPr>
                          <m:t>t</m:t>
                        </m:r>
                      </m:sub>
                    </m:sSub>
                    <m:d>
                      <m:dPr>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tτ</m:t>
                            </m:r>
                          </m:sub>
                        </m:sSub>
                      </m:e>
                    </m:d>
                  </m:e>
                </m:d>
              </m:e>
              <m:sup>
                <m:r>
                  <w:rPr>
                    <w:rFonts w:ascii="Cambria Math" w:eastAsiaTheme="minorEastAsia" w:hAnsi="Cambria Math"/>
                    <w:sz w:val="24"/>
                    <w:szCs w:val="24"/>
                  </w:rPr>
                  <m:t>T</m:t>
                </m:r>
              </m:sup>
            </m:sSup>
          </m:e>
        </m:nary>
        <m:r>
          <w:rPr>
            <w:rFonts w:ascii="Cambria Math" w:eastAsiaTheme="minorEastAsia" w:hAnsi="Cambria Math"/>
            <w:sz w:val="24"/>
            <w:szCs w:val="24"/>
          </w:rPr>
          <m:t>⇒</m:t>
        </m:r>
        <m:sSup>
          <m:sSupPr>
            <m:ctrlPr>
              <w:rPr>
                <w:rFonts w:ascii="Cambria Math" w:eastAsiaTheme="minorEastAsia" w:hAnsi="Cambria Math"/>
                <w:i/>
                <w:iCs/>
                <w:sz w:val="24"/>
                <w:szCs w:val="24"/>
              </w:rPr>
            </m:ctrlPr>
          </m:sSupPr>
          <m:e>
            <m:d>
              <m:dPr>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w</m:t>
                    </m:r>
                  </m:sub>
                </m:sSub>
                <m:d>
                  <m:dPr>
                    <m:ctrlPr>
                      <w:rPr>
                        <w:rFonts w:ascii="Cambria Math" w:eastAsiaTheme="minorEastAsia" w:hAnsi="Cambria Math"/>
                        <w:i/>
                        <w:iCs/>
                        <w:sz w:val="24"/>
                        <w:szCs w:val="24"/>
                      </w:rPr>
                    </m:ctrlPr>
                  </m:dPr>
                  <m:e>
                    <m:r>
                      <w:rPr>
                        <w:rFonts w:ascii="Cambria Math" w:eastAsiaTheme="minorEastAsia" w:hAnsi="Cambria Math"/>
                        <w:sz w:val="24"/>
                        <w:szCs w:val="24"/>
                      </w:rPr>
                      <m:t>r</m:t>
                    </m:r>
                  </m:e>
                </m:d>
                <m:r>
                  <w:rPr>
                    <w:rFonts w:ascii="Cambria Math" w:eastAsiaTheme="minorEastAsia" w:hAnsi="Cambria Math"/>
                    <w:sz w:val="24"/>
                    <w:szCs w:val="24"/>
                  </w:rPr>
                  <m:t>,</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ψ</m:t>
                    </m:r>
                  </m:sub>
                  <m:sup>
                    <m:r>
                      <w:rPr>
                        <w:rFonts w:ascii="Cambria Math" w:eastAsiaTheme="minorEastAsia" w:hAnsi="Cambria Math"/>
                        <w:sz w:val="24"/>
                        <w:szCs w:val="24"/>
                      </w:rPr>
                      <m:t>τ</m:t>
                    </m:r>
                  </m:sup>
                </m:sSubSup>
                <m:d>
                  <m:dPr>
                    <m:ctrlPr>
                      <w:rPr>
                        <w:rFonts w:ascii="Cambria Math" w:eastAsiaTheme="minorEastAsia" w:hAnsi="Cambria Math"/>
                        <w:i/>
                        <w:iCs/>
                        <w:sz w:val="24"/>
                        <w:szCs w:val="24"/>
                      </w:rPr>
                    </m:ctrlPr>
                  </m:dPr>
                  <m:e>
                    <m:r>
                      <w:rPr>
                        <w:rFonts w:ascii="Cambria Math" w:eastAsiaTheme="minorEastAsia" w:hAnsi="Cambria Math"/>
                        <w:sz w:val="24"/>
                        <w:szCs w:val="24"/>
                      </w:rPr>
                      <m:t>r</m:t>
                    </m:r>
                  </m:e>
                </m:d>
              </m:e>
            </m:d>
          </m:e>
          <m:sup>
            <m:r>
              <w:rPr>
                <w:rFonts w:ascii="Cambria Math" w:eastAsiaTheme="minorEastAsia" w:hAnsi="Cambria Math"/>
                <w:sz w:val="24"/>
                <w:szCs w:val="24"/>
              </w:rPr>
              <m:t>T</m:t>
            </m:r>
          </m:sup>
        </m:sSup>
        <m:r>
          <w:rPr>
            <w:rFonts w:ascii="Cambria Math" w:eastAsiaTheme="minorEastAsia" w:hAnsi="Cambria Math"/>
            <w:sz w:val="24"/>
            <w:szCs w:val="24"/>
          </w:rPr>
          <m:t>=BM</m:t>
        </m:r>
        <m:d>
          <m:dPr>
            <m:ctrlPr>
              <w:rPr>
                <w:rFonts w:ascii="Cambria Math" w:eastAsiaTheme="minorEastAsia" w:hAnsi="Cambria Math"/>
                <w:i/>
                <w:iCs/>
                <w:sz w:val="24"/>
                <w:szCs w:val="24"/>
              </w:rPr>
            </m:ctrlPr>
          </m:dPr>
          <m:e>
            <m:r>
              <w:rPr>
                <w:rFonts w:ascii="Cambria Math" w:eastAsiaTheme="minorEastAsia" w:hAnsi="Cambria Math"/>
                <w:sz w:val="24"/>
                <w:szCs w:val="24"/>
              </w:rPr>
              <m:t>0,</m:t>
            </m:r>
            <m:bar>
              <m:barPr>
                <m:ctrlPr>
                  <w:rPr>
                    <w:rFonts w:ascii="Cambria Math" w:eastAsiaTheme="minorEastAsia" w:hAnsi="Cambria Math"/>
                    <w:i/>
                    <w:iCs/>
                    <w:sz w:val="24"/>
                    <w:szCs w:val="24"/>
                  </w:rPr>
                </m:ctrlPr>
              </m:barPr>
              <m:e>
                <m:r>
                  <m:rPr>
                    <m:sty m:val="p"/>
                  </m:rPr>
                  <w:rPr>
                    <w:rFonts w:ascii="Cambria Math" w:eastAsiaTheme="minorEastAsia" w:hAnsi="Cambria Math"/>
                    <w:sz w:val="24"/>
                    <w:szCs w:val="24"/>
                  </w:rPr>
                  <m:t>Σ</m:t>
                </m:r>
              </m:e>
            </m:bar>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d>
      </m:oMath>
      <w:r w:rsidR="00E546B1" w:rsidRPr="009E00D2">
        <w:rPr>
          <w:rFonts w:ascii="Garamond" w:eastAsiaTheme="minorEastAsia" w:hAnsi="Garamond"/>
          <w:iCs/>
          <w:sz w:val="24"/>
          <w:szCs w:val="24"/>
        </w:rPr>
        <w:t xml:space="preserve">, </w:t>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201D7F">
        <w:rPr>
          <w:rFonts w:ascii="Garamond" w:eastAsiaTheme="minorEastAsia" w:hAnsi="Garamond"/>
          <w:iCs/>
          <w:sz w:val="24"/>
          <w:szCs w:val="24"/>
        </w:rPr>
        <w:t xml:space="preserve">                </w:t>
      </w:r>
      <w:r w:rsidR="00E546B1" w:rsidRPr="009E00D2">
        <w:rPr>
          <w:rFonts w:ascii="Garamond" w:eastAsiaTheme="minorEastAsia" w:hAnsi="Garamond"/>
          <w:iCs/>
          <w:sz w:val="24"/>
          <w:szCs w:val="24"/>
        </w:rPr>
        <w:tab/>
        <w:t>(2)</w:t>
      </w:r>
    </w:p>
    <w:p w14:paraId="72667999" w14:textId="77777777" w:rsidR="00E546B1" w:rsidRPr="009E00D2" w:rsidRDefault="00E546B1" w:rsidP="00E546B1">
      <w:pPr>
        <w:pStyle w:val="NoSpacing"/>
        <w:spacing w:line="480" w:lineRule="auto"/>
        <w:ind w:firstLine="708"/>
        <w:jc w:val="both"/>
        <w:rPr>
          <w:rFonts w:ascii="Garamond" w:eastAsiaTheme="minorEastAsia" w:hAnsi="Garamond"/>
          <w:iCs/>
          <w:sz w:val="24"/>
          <w:szCs w:val="24"/>
        </w:rPr>
      </w:pPr>
    </w:p>
    <w:p w14:paraId="6053EA0D" w14:textId="77777777" w:rsidR="00E546B1" w:rsidRPr="009E00D2" w:rsidRDefault="00E546B1" w:rsidP="00E546B1">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t xml:space="preserve">where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tτ</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t</m:t>
            </m:r>
          </m:sub>
          <m:sup>
            <m:r>
              <w:rPr>
                <w:rFonts w:ascii="Cambria Math" w:eastAsiaTheme="minorEastAsia" w:hAnsi="Cambria Math"/>
                <w:sz w:val="24"/>
                <w:szCs w:val="24"/>
              </w:rPr>
              <m:t>T</m:t>
            </m:r>
          </m:sup>
        </m:sSubSup>
        <m:r>
          <w:rPr>
            <w:rFonts w:ascii="Cambria Math" w:eastAsiaTheme="minorEastAsia" w:hAnsi="Cambria Math"/>
            <w:sz w:val="24"/>
            <w:szCs w:val="24"/>
          </w:rPr>
          <m:t>a(τ)</m:t>
        </m:r>
      </m:oMath>
      <w:r w:rsidRPr="009E00D2">
        <w:rPr>
          <w:rFonts w:ascii="Garamond" w:eastAsiaTheme="minorEastAsia" w:hAnsi="Garamond"/>
          <w:sz w:val="24"/>
          <w:szCs w:val="24"/>
        </w:rPr>
        <w:t xml:space="preserve">, and the long-run covariance matrix of the bivariate Brownian motion is </w:t>
      </w:r>
      <m:oMath>
        <m:bar>
          <m:barPr>
            <m:ctrlPr>
              <w:rPr>
                <w:rFonts w:ascii="Cambria Math" w:eastAsiaTheme="minorEastAsia" w:hAnsi="Cambria Math"/>
                <w:i/>
                <w:iCs/>
                <w:sz w:val="24"/>
                <w:szCs w:val="24"/>
              </w:rPr>
            </m:ctrlPr>
          </m:barPr>
          <m:e>
            <m:r>
              <m:rPr>
                <m:sty m:val="p"/>
              </m:rPr>
              <w:rPr>
                <w:rFonts w:ascii="Cambria Math" w:eastAsiaTheme="minorEastAsia" w:hAnsi="Cambria Math"/>
                <w:sz w:val="24"/>
                <w:szCs w:val="24"/>
              </w:rPr>
              <m:t>Σ</m:t>
            </m:r>
          </m:e>
        </m:bar>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m:t>
        </m:r>
        <m:d>
          <m:dPr>
            <m:begChr m:val="["/>
            <m:endChr m:val="]"/>
            <m:ctrlPr>
              <w:rPr>
                <w:rFonts w:ascii="Cambria Math" w:eastAsiaTheme="minorEastAsia" w:hAnsi="Cambria Math"/>
                <w:i/>
                <w:iCs/>
                <w:sz w:val="24"/>
                <w:szCs w:val="24"/>
              </w:rPr>
            </m:ctrlPr>
          </m:dPr>
          <m:e>
            <m:m>
              <m:mPr>
                <m:mcs>
                  <m:mc>
                    <m:mcPr>
                      <m:count m:val="2"/>
                      <m:mcJc m:val="center"/>
                    </m:mcPr>
                  </m:mc>
                </m:mcs>
                <m:ctrlPr>
                  <w:rPr>
                    <w:rFonts w:ascii="Cambria Math" w:eastAsiaTheme="minorEastAsia" w:hAnsi="Cambria Math"/>
                    <w:i/>
                    <w:iCs/>
                    <w:sz w:val="24"/>
                    <w:szCs w:val="24"/>
                  </w:rPr>
                </m:ctrlPr>
              </m:mPr>
              <m:mr>
                <m:e>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w</m:t>
                      </m:r>
                    </m:sub>
                    <m:sup>
                      <m:r>
                        <w:rPr>
                          <w:rFonts w:ascii="Cambria Math" w:eastAsiaTheme="minorEastAsia" w:hAnsi="Cambria Math"/>
                          <w:sz w:val="24"/>
                          <w:szCs w:val="24"/>
                        </w:rPr>
                        <m:t>2</m:t>
                      </m:r>
                    </m:sup>
                  </m:sSubSup>
                </m:e>
                <m:e>
                  <m:sSub>
                    <m:sSubPr>
                      <m:ctrlPr>
                        <w:rPr>
                          <w:rFonts w:ascii="Cambria Math" w:eastAsiaTheme="minorEastAsia" w:hAnsi="Cambria Math"/>
                          <w:i/>
                          <w:iCs/>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wψ</m:t>
                      </m:r>
                    </m:sub>
                  </m:sSub>
                  <m:r>
                    <w:rPr>
                      <w:rFonts w:ascii="Cambria Math" w:eastAsiaTheme="minorEastAsia" w:hAnsi="Cambria Math"/>
                      <w:sz w:val="24"/>
                      <w:szCs w:val="24"/>
                    </w:rPr>
                    <m:t>(τ)</m:t>
                  </m:r>
                </m:e>
              </m:mr>
              <m:mr>
                <m:e>
                  <m:sSub>
                    <m:sSubPr>
                      <m:ctrlPr>
                        <w:rPr>
                          <w:rFonts w:ascii="Cambria Math" w:eastAsiaTheme="minorEastAsia" w:hAnsi="Cambria Math"/>
                          <w:i/>
                          <w:iCs/>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wψ</m:t>
                      </m:r>
                    </m:sub>
                  </m:sSub>
                  <m:r>
                    <w:rPr>
                      <w:rFonts w:ascii="Cambria Math" w:eastAsiaTheme="minorEastAsia" w:hAnsi="Cambria Math"/>
                      <w:sz w:val="24"/>
                      <w:szCs w:val="24"/>
                    </w:rPr>
                    <m:t>(τ)</m:t>
                  </m:r>
                </m:e>
                <m:e>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ψ</m:t>
                      </m:r>
                    </m:sub>
                    <m:sup>
                      <m:r>
                        <w:rPr>
                          <w:rFonts w:ascii="Cambria Math" w:eastAsiaTheme="minorEastAsia" w:hAnsi="Cambria Math"/>
                          <w:sz w:val="24"/>
                          <w:szCs w:val="24"/>
                        </w:rPr>
                        <m:t>2</m:t>
                      </m:r>
                    </m:sup>
                  </m:sSubSup>
                  <m:r>
                    <w:rPr>
                      <w:rFonts w:ascii="Cambria Math" w:eastAsiaTheme="minorEastAsia" w:hAnsi="Cambria Math"/>
                      <w:sz w:val="24"/>
                      <w:szCs w:val="24"/>
                    </w:rPr>
                    <m:t>(τ)</m:t>
                  </m:r>
                </m:e>
              </m:mr>
            </m:m>
          </m:e>
        </m:d>
      </m:oMath>
      <w:r w:rsidRPr="009E00D2">
        <w:rPr>
          <w:rFonts w:ascii="Garamond" w:eastAsiaTheme="minorEastAsia" w:hAnsi="Garamond"/>
          <w:iCs/>
          <w:sz w:val="24"/>
          <w:szCs w:val="24"/>
        </w:rPr>
        <w:t xml:space="preserve"> that leads to </w:t>
      </w:r>
    </w:p>
    <w:p w14:paraId="0E46DE26" w14:textId="77777777" w:rsidR="00E546B1" w:rsidRPr="009E00D2" w:rsidRDefault="00E546B1" w:rsidP="00201D7F">
      <w:pPr>
        <w:pStyle w:val="NoSpacing"/>
        <w:spacing w:line="480" w:lineRule="auto"/>
        <w:jc w:val="both"/>
        <w:rPr>
          <w:rFonts w:ascii="Garamond" w:eastAsiaTheme="minorEastAsia" w:hAnsi="Garamond"/>
          <w:iCs/>
          <w:sz w:val="24"/>
          <w:szCs w:val="24"/>
        </w:rPr>
      </w:pPr>
    </w:p>
    <w:p w14:paraId="4FC52115" w14:textId="3040BB0A" w:rsidR="00E546B1" w:rsidRPr="009E00D2" w:rsidRDefault="00880EE9" w:rsidP="00201D7F">
      <w:pPr>
        <w:pStyle w:val="NoSpacing"/>
        <w:spacing w:line="480" w:lineRule="auto"/>
        <w:jc w:val="both"/>
        <w:rPr>
          <w:rFonts w:ascii="Garamond" w:eastAsiaTheme="minorEastAsia" w:hAnsi="Garamond"/>
          <w:iCs/>
          <w:sz w:val="24"/>
          <w:szCs w:val="24"/>
        </w:rPr>
      </w:pPr>
      <m:oMath>
        <m:sSub>
          <m:sSubPr>
            <m:ctrlPr>
              <w:rPr>
                <w:rFonts w:ascii="Cambria Math" w:eastAsiaTheme="minorEastAsia" w:hAnsi="Cambria Math"/>
                <w:i/>
                <w:iCs/>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n</m:t>
            </m:r>
          </m:sub>
        </m:sSub>
        <m:d>
          <m:dPr>
            <m:ctrlPr>
              <w:rPr>
                <w:rFonts w:ascii="Cambria Math" w:eastAsiaTheme="minorEastAsia" w:hAnsi="Cambria Math"/>
                <w:i/>
                <w:iCs/>
                <w:sz w:val="24"/>
                <w:szCs w:val="24"/>
              </w:rPr>
            </m:ctrlPr>
          </m:dPr>
          <m:e>
            <m:acc>
              <m:accPr>
                <m:ctrlPr>
                  <w:rPr>
                    <w:rFonts w:ascii="Cambria Math" w:eastAsiaTheme="minorEastAsia" w:hAnsi="Cambria Math"/>
                    <w:i/>
                    <w:iCs/>
                    <w:sz w:val="24"/>
                    <w:szCs w:val="24"/>
                  </w:rPr>
                </m:ctrlPr>
              </m:accPr>
              <m:e>
                <m:r>
                  <w:rPr>
                    <w:rFonts w:ascii="Cambria Math" w:eastAsiaTheme="minorEastAsia" w:hAnsi="Cambria Math"/>
                    <w:sz w:val="24"/>
                    <w:szCs w:val="24"/>
                  </w:rPr>
                  <m:t>a</m:t>
                </m:r>
              </m:e>
            </m:acc>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-a</m:t>
            </m:r>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d>
        <m:r>
          <w:rPr>
            <w:rFonts w:ascii="Cambria Math" w:eastAsiaTheme="minorEastAsia" w:hAnsi="Cambria Math"/>
            <w:sz w:val="24"/>
            <w:szCs w:val="24"/>
          </w:rPr>
          <m:t>⇒</m:t>
        </m:r>
        <m:f>
          <m:fPr>
            <m:ctrlPr>
              <w:rPr>
                <w:rFonts w:ascii="Cambria Math" w:eastAsiaTheme="minorEastAsia" w:hAnsi="Cambria Math"/>
                <w:i/>
                <w:iCs/>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f</m:t>
            </m:r>
            <m:d>
              <m:dPr>
                <m:ctrlPr>
                  <w:rPr>
                    <w:rFonts w:ascii="Cambria Math" w:eastAsiaTheme="minorEastAsia" w:hAnsi="Cambria Math"/>
                    <w:i/>
                    <w:iCs/>
                    <w:sz w:val="24"/>
                    <w:szCs w:val="24"/>
                  </w:rPr>
                </m:ctrlPr>
              </m:dPr>
              <m:e>
                <m:sSup>
                  <m:sSupPr>
                    <m:ctrlPr>
                      <w:rPr>
                        <w:rFonts w:ascii="Cambria Math" w:eastAsiaTheme="minorEastAsia" w:hAnsi="Cambria Math"/>
                        <w:i/>
                        <w:iCs/>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-1</m:t>
                    </m:r>
                  </m:sup>
                </m:sSup>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d>
          </m:den>
        </m:f>
        <m:sSup>
          <m:sSupPr>
            <m:ctrlPr>
              <w:rPr>
                <w:rFonts w:ascii="Cambria Math" w:eastAsiaTheme="minorEastAsia" w:hAnsi="Cambria Math"/>
                <w:i/>
                <w:iCs/>
                <w:sz w:val="24"/>
                <w:szCs w:val="24"/>
              </w:rPr>
            </m:ctrlPr>
          </m:sSupPr>
          <m:e>
            <m:d>
              <m:dPr>
                <m:begChr m:val="["/>
                <m:endChr m:val="]"/>
                <m:ctrlPr>
                  <w:rPr>
                    <w:rFonts w:ascii="Cambria Math" w:eastAsiaTheme="minorEastAsia" w:hAnsi="Cambria Math"/>
                    <w:i/>
                    <w:iCs/>
                    <w:sz w:val="24"/>
                    <w:szCs w:val="24"/>
                  </w:rPr>
                </m:ctrlPr>
              </m:dPr>
              <m:e>
                <m:m>
                  <m:mPr>
                    <m:mcs>
                      <m:mc>
                        <m:mcPr>
                          <m:count m:val="2"/>
                          <m:mcJc m:val="center"/>
                        </m:mcPr>
                      </m:mc>
                    </m:mcs>
                    <m:ctrlPr>
                      <w:rPr>
                        <w:rFonts w:ascii="Cambria Math" w:eastAsiaTheme="minorEastAsia" w:hAnsi="Cambria Math"/>
                        <w:i/>
                        <w:iCs/>
                        <w:sz w:val="24"/>
                        <w:szCs w:val="24"/>
                      </w:rPr>
                    </m:ctrlPr>
                  </m:mPr>
                  <m:mr>
                    <m:e>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bar>
                            <m:barPr>
                              <m:pos m:val="top"/>
                              <m:ctrlPr>
                                <w:rPr>
                                  <w:rFonts w:ascii="Cambria Math" w:eastAsiaTheme="minorEastAsia" w:hAnsi="Cambria Math"/>
                                  <w:i/>
                                  <w:iCs/>
                                  <w:sz w:val="24"/>
                                  <w:szCs w:val="24"/>
                                </w:rPr>
                              </m:ctrlPr>
                            </m:barPr>
                            <m:e>
                              <m:sSub>
                                <m:sSubPr>
                                  <m:ctrlPr>
                                    <w:rPr>
                                      <w:rFonts w:ascii="Cambria Math" w:eastAsiaTheme="minorEastAsia" w:hAnsi="Cambria Math"/>
                                      <w:i/>
                                      <w:iCs/>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w</m:t>
                                  </m:r>
                                </m:sub>
                              </m:sSub>
                            </m:e>
                          </m:bar>
                          <m:r>
                            <w:rPr>
                              <w:rFonts w:ascii="Cambria Math" w:eastAsiaTheme="minorEastAsia" w:hAnsi="Cambria Math"/>
                              <w:sz w:val="24"/>
                              <w:szCs w:val="24"/>
                            </w:rPr>
                            <m:t xml:space="preserve"> </m:t>
                          </m:r>
                          <m:sSubSup>
                            <m:sSubSupPr>
                              <m:ctrlPr>
                                <w:rPr>
                                  <w:rFonts w:ascii="Cambria Math" w:eastAsiaTheme="minorEastAsia" w:hAnsi="Cambria Math"/>
                                  <w:i/>
                                  <w:iCs/>
                                  <w:sz w:val="24"/>
                                  <w:szCs w:val="24"/>
                                </w:rPr>
                              </m:ctrlPr>
                            </m:sSubSupPr>
                            <m:e>
                              <m:bar>
                                <m:barPr>
                                  <m:pos m:val="top"/>
                                  <m:ctrlPr>
                                    <w:rPr>
                                      <w:rFonts w:ascii="Cambria Math" w:eastAsiaTheme="minorEastAsia" w:hAnsi="Cambria Math"/>
                                      <w:i/>
                                      <w:iCs/>
                                      <w:sz w:val="24"/>
                                      <w:szCs w:val="24"/>
                                    </w:rPr>
                                  </m:ctrlPr>
                                </m:barPr>
                                <m:e>
                                  <m:r>
                                    <w:rPr>
                                      <w:rFonts w:ascii="Cambria Math" w:eastAsiaTheme="minorEastAsia" w:hAnsi="Cambria Math"/>
                                      <w:sz w:val="24"/>
                                      <w:szCs w:val="24"/>
                                    </w:rPr>
                                    <m:t>B</m:t>
                                  </m:r>
                                </m:e>
                              </m:bar>
                            </m:e>
                            <m:sub>
                              <m:r>
                                <w:rPr>
                                  <w:rFonts w:ascii="Cambria Math" w:eastAsiaTheme="minorEastAsia" w:hAnsi="Cambria Math"/>
                                  <w:sz w:val="24"/>
                                  <w:szCs w:val="24"/>
                                </w:rPr>
                                <m:t>w</m:t>
                              </m:r>
                            </m:sub>
                            <m:sup>
                              <m:r>
                                <w:rPr>
                                  <w:rFonts w:ascii="Cambria Math" w:eastAsiaTheme="minorEastAsia" w:hAnsi="Cambria Math"/>
                                  <w:sz w:val="24"/>
                                  <w:szCs w:val="24"/>
                                </w:rPr>
                                <m:t>T</m:t>
                              </m:r>
                            </m:sup>
                          </m:sSubSup>
                        </m:e>
                      </m:nary>
                    </m:e>
                    <m:e>
                      <m:sSub>
                        <m:sSubPr>
                          <m:ctrlPr>
                            <w:rPr>
                              <w:rFonts w:ascii="Cambria Math" w:eastAsiaTheme="minorEastAsia" w:hAnsi="Cambria Math"/>
                              <w:i/>
                              <w:iCs/>
                              <w:sz w:val="24"/>
                              <w:szCs w:val="24"/>
                            </w:rPr>
                          </m:ctrlPr>
                        </m:sSubPr>
                        <m:e>
                          <m:r>
                            <w:rPr>
                              <w:rFonts w:ascii="Cambria Math" w:eastAsiaTheme="minorEastAsia" w:hAnsi="Cambria Math"/>
                              <w:sz w:val="24"/>
                              <w:szCs w:val="24"/>
                            </w:rPr>
                            <m:t>0</m:t>
                          </m:r>
                        </m:e>
                        <m:sub>
                          <m:r>
                            <w:rPr>
                              <w:rFonts w:ascii="Cambria Math" w:eastAsiaTheme="minorEastAsia" w:hAnsi="Cambria Math"/>
                              <w:sz w:val="24"/>
                              <w:szCs w:val="24"/>
                            </w:rPr>
                            <m:t>2×q</m:t>
                          </m:r>
                        </m:sub>
                      </m:sSub>
                    </m:e>
                  </m:mr>
                  <m:mr>
                    <m:e>
                      <m:sSub>
                        <m:sSubPr>
                          <m:ctrlPr>
                            <w:rPr>
                              <w:rFonts w:ascii="Cambria Math" w:eastAsiaTheme="minorEastAsia" w:hAnsi="Cambria Math"/>
                              <w:i/>
                              <w:iCs/>
                              <w:sz w:val="24"/>
                              <w:szCs w:val="24"/>
                            </w:rPr>
                          </m:ctrlPr>
                        </m:sSubPr>
                        <m:e>
                          <m:r>
                            <w:rPr>
                              <w:rFonts w:ascii="Cambria Math" w:eastAsiaTheme="minorEastAsia" w:hAnsi="Cambria Math"/>
                              <w:sz w:val="24"/>
                              <w:szCs w:val="24"/>
                            </w:rPr>
                            <m:t>0</m:t>
                          </m:r>
                        </m:e>
                        <m:sub>
                          <m:r>
                            <w:rPr>
                              <w:rFonts w:ascii="Cambria Math" w:eastAsiaTheme="minorEastAsia" w:hAnsi="Cambria Math"/>
                              <w:sz w:val="24"/>
                              <w:szCs w:val="24"/>
                            </w:rPr>
                            <m:t>q×2</m:t>
                          </m:r>
                        </m:sub>
                      </m:sSub>
                    </m:e>
                    <m:e>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Ω</m:t>
                          </m:r>
                        </m:e>
                        <m:sub>
                          <m:r>
                            <m:rPr>
                              <m:sty m:val="p"/>
                            </m:rPr>
                            <w:rPr>
                              <w:rFonts w:ascii="Cambria Math" w:eastAsiaTheme="minorEastAsia" w:hAnsi="Cambria Math"/>
                              <w:sz w:val="24"/>
                              <w:szCs w:val="24"/>
                            </w:rPr>
                            <m:t>Φ</m:t>
                          </m:r>
                        </m:sub>
                      </m:sSub>
                    </m:e>
                  </m:mr>
                </m:m>
              </m:e>
            </m:d>
          </m:e>
          <m:sup>
            <m:r>
              <w:rPr>
                <w:rFonts w:ascii="Cambria Math" w:eastAsiaTheme="minorEastAsia" w:hAnsi="Cambria Math"/>
                <w:sz w:val="24"/>
                <w:szCs w:val="24"/>
              </w:rPr>
              <m:t>-1</m:t>
            </m:r>
          </m:sup>
        </m:sSup>
        <m:d>
          <m:dPr>
            <m:begChr m:val="["/>
            <m:endChr m:val="]"/>
            <m:ctrlPr>
              <w:rPr>
                <w:rFonts w:ascii="Cambria Math" w:eastAsiaTheme="minorEastAsia" w:hAnsi="Cambria Math"/>
                <w:i/>
                <w:iCs/>
                <w:sz w:val="24"/>
                <w:szCs w:val="24"/>
              </w:rPr>
            </m:ctrlPr>
          </m:dPr>
          <m:e>
            <m:m>
              <m:mPr>
                <m:mcs>
                  <m:mc>
                    <m:mcPr>
                      <m:count m:val="1"/>
                      <m:mcJc m:val="center"/>
                    </m:mcPr>
                  </m:mc>
                </m:mcs>
                <m:ctrlPr>
                  <w:rPr>
                    <w:rFonts w:ascii="Cambria Math" w:eastAsiaTheme="minorEastAsia" w:hAnsi="Cambria Math"/>
                    <w:i/>
                    <w:iCs/>
                    <w:sz w:val="24"/>
                    <w:szCs w:val="24"/>
                  </w:rPr>
                </m:ctrlPr>
              </m:mPr>
              <m:mr>
                <m:e>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bar>
                        <m:barPr>
                          <m:pos m:val="top"/>
                          <m:ctrlPr>
                            <w:rPr>
                              <w:rFonts w:ascii="Cambria Math" w:eastAsiaTheme="minorEastAsia" w:hAnsi="Cambria Math"/>
                              <w:i/>
                              <w:iCs/>
                              <w:sz w:val="24"/>
                              <w:szCs w:val="24"/>
                            </w:rPr>
                          </m:ctrlPr>
                        </m:barPr>
                        <m:e>
                          <m:sSub>
                            <m:sSubPr>
                              <m:ctrlPr>
                                <w:rPr>
                                  <w:rFonts w:ascii="Cambria Math" w:eastAsiaTheme="minorEastAsia" w:hAnsi="Cambria Math"/>
                                  <w:i/>
                                  <w:iCs/>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w</m:t>
                              </m:r>
                            </m:sub>
                          </m:sSub>
                        </m:e>
                      </m:bar>
                      <m:r>
                        <w:rPr>
                          <w:rFonts w:ascii="Cambria Math" w:eastAsiaTheme="minorEastAsia" w:hAnsi="Cambria Math"/>
                          <w:sz w:val="24"/>
                          <w:szCs w:val="24"/>
                        </w:rPr>
                        <m:t xml:space="preserve"> d</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ψ</m:t>
                          </m:r>
                        </m:sub>
                        <m:sup>
                          <m:r>
                            <w:rPr>
                              <w:rFonts w:ascii="Cambria Math" w:eastAsiaTheme="minorEastAsia" w:hAnsi="Cambria Math"/>
                              <w:sz w:val="24"/>
                              <w:szCs w:val="24"/>
                            </w:rPr>
                            <m:t>τ</m:t>
                          </m:r>
                        </m:sup>
                      </m:sSubSup>
                    </m:e>
                  </m:nary>
                </m:e>
              </m:mr>
              <m:mr>
                <m:e>
                  <m:r>
                    <m:rPr>
                      <m:sty m:val="p"/>
                    </m:rPr>
                    <w:rPr>
                      <w:rFonts w:ascii="Cambria Math" w:eastAsiaTheme="minorEastAsia" w:hAnsi="Cambria Math"/>
                      <w:sz w:val="24"/>
                      <w:szCs w:val="24"/>
                    </w:rPr>
                    <m:t>Φ</m:t>
                  </m:r>
                </m:e>
              </m:mr>
            </m:m>
          </m:e>
        </m:d>
      </m:oMath>
      <w:r w:rsidR="00E546B1" w:rsidRPr="009E00D2">
        <w:rPr>
          <w:rFonts w:ascii="Garamond" w:eastAsiaTheme="minorEastAsia" w:hAnsi="Garamond"/>
          <w:iCs/>
          <w:sz w:val="24"/>
          <w:szCs w:val="24"/>
        </w:rPr>
        <w:t xml:space="preserve">, </w:t>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201D7F">
        <w:rPr>
          <w:rFonts w:ascii="Garamond" w:eastAsiaTheme="minorEastAsia" w:hAnsi="Garamond"/>
          <w:iCs/>
          <w:sz w:val="24"/>
          <w:szCs w:val="24"/>
        </w:rPr>
        <w:t xml:space="preserve">                       </w:t>
      </w:r>
      <w:r w:rsidR="00E546B1" w:rsidRPr="009E00D2">
        <w:rPr>
          <w:rFonts w:ascii="Garamond" w:eastAsiaTheme="minorEastAsia" w:hAnsi="Garamond"/>
          <w:iCs/>
          <w:sz w:val="24"/>
          <w:szCs w:val="24"/>
        </w:rPr>
        <w:tab/>
        <w:t>(3)</w:t>
      </w:r>
    </w:p>
    <w:p w14:paraId="58931531" w14:textId="77777777" w:rsidR="00E546B1" w:rsidRPr="009E00D2" w:rsidRDefault="00E546B1" w:rsidP="00E546B1">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lastRenderedPageBreak/>
        <w:t xml:space="preserve">where </w:t>
      </w:r>
      <m:oMath>
        <m:bar>
          <m:barPr>
            <m:pos m:val="top"/>
            <m:ctrlPr>
              <w:rPr>
                <w:rFonts w:ascii="Cambria Math" w:eastAsiaTheme="minorEastAsia" w:hAnsi="Cambria Math"/>
                <w:i/>
                <w:iCs/>
                <w:sz w:val="24"/>
                <w:szCs w:val="24"/>
              </w:rPr>
            </m:ctrlPr>
          </m:barPr>
          <m:e>
            <m:sSub>
              <m:sSubPr>
                <m:ctrlPr>
                  <w:rPr>
                    <w:rFonts w:ascii="Cambria Math" w:eastAsiaTheme="minorEastAsia" w:hAnsi="Cambria Math"/>
                    <w:i/>
                    <w:iCs/>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w</m:t>
                </m:r>
              </m:sub>
            </m:sSub>
          </m:e>
        </m:bar>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m:t>
        </m:r>
        <m:sSup>
          <m:sSupPr>
            <m:ctrlPr>
              <w:rPr>
                <w:rFonts w:ascii="Cambria Math" w:eastAsiaTheme="minorEastAsia" w:hAnsi="Cambria Math"/>
                <w:i/>
                <w:iCs/>
                <w:sz w:val="24"/>
                <w:szCs w:val="24"/>
              </w:rPr>
            </m:ctrlPr>
          </m:sSupPr>
          <m:e>
            <m:d>
              <m:dPr>
                <m:begChr m:val="["/>
                <m:endChr m:val="]"/>
                <m:ctrlPr>
                  <w:rPr>
                    <w:rFonts w:ascii="Cambria Math" w:eastAsiaTheme="minorEastAsia" w:hAnsi="Cambria Math"/>
                    <w:i/>
                    <w:iCs/>
                    <w:sz w:val="24"/>
                    <w:szCs w:val="24"/>
                  </w:rPr>
                </m:ctrlPr>
              </m:dPr>
              <m:e>
                <m:r>
                  <w:rPr>
                    <w:rFonts w:ascii="Cambria Math" w:eastAsiaTheme="minorEastAsia" w:hAnsi="Cambria Math"/>
                    <w:sz w:val="24"/>
                    <w:szCs w:val="24"/>
                  </w:rPr>
                  <m:t>1,</m:t>
                </m:r>
                <m:sSub>
                  <m:sSubPr>
                    <m:ctrlPr>
                      <w:rPr>
                        <w:rFonts w:ascii="Cambria Math" w:eastAsiaTheme="minorEastAsia" w:hAnsi="Cambria Math"/>
                        <w:i/>
                        <w:iCs/>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w</m:t>
                    </m:r>
                  </m:sub>
                </m:sSub>
                <m:d>
                  <m:dPr>
                    <m:ctrlPr>
                      <w:rPr>
                        <w:rFonts w:ascii="Cambria Math" w:eastAsiaTheme="minorEastAsia" w:hAnsi="Cambria Math"/>
                        <w:i/>
                        <w:iCs/>
                        <w:sz w:val="24"/>
                        <w:szCs w:val="24"/>
                      </w:rPr>
                    </m:ctrlPr>
                  </m:dPr>
                  <m:e>
                    <m:r>
                      <w:rPr>
                        <w:rFonts w:ascii="Cambria Math" w:eastAsiaTheme="minorEastAsia" w:hAnsi="Cambria Math"/>
                        <w:sz w:val="24"/>
                        <w:szCs w:val="24"/>
                      </w:rPr>
                      <m:t>r</m:t>
                    </m:r>
                  </m:e>
                </m:d>
              </m:e>
            </m:d>
          </m:e>
          <m:sup>
            <m:r>
              <w:rPr>
                <w:rFonts w:ascii="Cambria Math" w:eastAsiaTheme="minorEastAsia" w:hAnsi="Cambria Math"/>
                <w:sz w:val="24"/>
                <w:szCs w:val="24"/>
              </w:rPr>
              <m:t>T</m:t>
            </m:r>
          </m:sup>
        </m:sSup>
      </m:oMath>
      <w:r w:rsidRPr="009E00D2">
        <w:rPr>
          <w:rFonts w:ascii="Garamond" w:eastAsiaTheme="minorEastAsia" w:hAnsi="Garamond"/>
          <w:iCs/>
          <w:sz w:val="24"/>
          <w:szCs w:val="24"/>
        </w:rPr>
        <w:t xml:space="preserve">, </w:t>
      </w:r>
      <m:oMath>
        <m:r>
          <m:rPr>
            <m:sty m:val="p"/>
          </m:rPr>
          <w:rPr>
            <w:rFonts w:ascii="Cambria Math" w:eastAsiaTheme="minorEastAsia" w:hAnsi="Cambria Math"/>
            <w:sz w:val="24"/>
            <w:szCs w:val="24"/>
          </w:rPr>
          <m:t>Φ=</m:t>
        </m:r>
        <m:sSup>
          <m:sSupPr>
            <m:ctrlPr>
              <w:rPr>
                <w:rFonts w:ascii="Cambria Math" w:eastAsiaTheme="minorEastAsia" w:hAnsi="Cambria Math"/>
                <w:iCs/>
                <w:sz w:val="24"/>
                <w:szCs w:val="24"/>
              </w:rPr>
            </m:ctrlPr>
          </m:sSupPr>
          <m:e>
            <m:d>
              <m:dPr>
                <m:begChr m:val="["/>
                <m:endChr m:val="]"/>
                <m:ctrlPr>
                  <w:rPr>
                    <w:rFonts w:ascii="Cambria Math" w:eastAsiaTheme="minorEastAsia" w:hAnsi="Cambria Math"/>
                    <w:iCs/>
                    <w:sz w:val="24"/>
                    <w:szCs w:val="24"/>
                  </w:rPr>
                </m:ctrlPr>
              </m:dPr>
              <m:e>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Φ</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Φ</m:t>
                    </m:r>
                  </m:e>
                  <m:sub>
                    <m:r>
                      <w:rPr>
                        <w:rFonts w:ascii="Cambria Math" w:eastAsiaTheme="minorEastAsia" w:hAnsi="Cambria Math"/>
                        <w:sz w:val="24"/>
                        <w:szCs w:val="24"/>
                      </w:rPr>
                      <m:t>q</m:t>
                    </m:r>
                  </m:sub>
                </m:sSub>
                <m:ctrlPr>
                  <w:rPr>
                    <w:rFonts w:ascii="Cambria Math" w:eastAsiaTheme="minorEastAsia" w:hAnsi="Cambria Math"/>
                    <w:i/>
                    <w:iCs/>
                    <w:sz w:val="24"/>
                    <w:szCs w:val="24"/>
                  </w:rPr>
                </m:ctrlPr>
              </m:e>
            </m:d>
          </m:e>
          <m:sup>
            <m:r>
              <w:rPr>
                <w:rFonts w:ascii="Cambria Math" w:eastAsiaTheme="minorEastAsia" w:hAnsi="Cambria Math"/>
                <w:sz w:val="24"/>
                <w:szCs w:val="24"/>
              </w:rPr>
              <m:t>T</m:t>
            </m:r>
          </m:sup>
        </m:sSup>
      </m:oMath>
      <w:r w:rsidRPr="009E00D2">
        <w:rPr>
          <w:rFonts w:ascii="Garamond" w:eastAsiaTheme="minorEastAsia" w:hAnsi="Garamond"/>
          <w:iCs/>
          <w:sz w:val="24"/>
          <w:szCs w:val="24"/>
        </w:rPr>
        <w:t xml:space="preserve">is s a q-dimensional normal variate with  covariance matrix </w:t>
      </w:r>
      <m:oMath>
        <m:r>
          <w:rPr>
            <w:rFonts w:ascii="Cambria Math" w:eastAsiaTheme="minorEastAsia" w:hAnsi="Cambria Math"/>
            <w:sz w:val="24"/>
            <w:szCs w:val="24"/>
          </w:rPr>
          <m:t>τ(1-τ)</m:t>
        </m:r>
        <m:sSub>
          <m:sSubPr>
            <m:ctrlPr>
              <w:rPr>
                <w:rFonts w:ascii="Cambria Math" w:eastAsiaTheme="minorEastAsia" w:hAnsi="Cambria Math"/>
                <w:i/>
                <w:iCs/>
                <w:sz w:val="24"/>
                <w:szCs w:val="24"/>
              </w:rPr>
            </m:ctrlPr>
          </m:sSubPr>
          <m:e>
            <m:r>
              <m:rPr>
                <m:sty m:val="p"/>
              </m:rPr>
              <w:rPr>
                <w:rFonts w:ascii="Cambria Math" w:eastAsiaTheme="minorEastAsia" w:hAnsi="Cambria Math"/>
                <w:sz w:val="24"/>
                <w:szCs w:val="24"/>
              </w:rPr>
              <m:t>Ω</m:t>
            </m:r>
          </m:e>
          <m:sub>
            <m:r>
              <m:rPr>
                <m:sty m:val="p"/>
              </m:rPr>
              <w:rPr>
                <w:rFonts w:ascii="Cambria Math" w:eastAsiaTheme="minorEastAsia" w:hAnsi="Cambria Math"/>
                <w:sz w:val="24"/>
                <w:szCs w:val="24"/>
              </w:rPr>
              <m:t>Φ</m:t>
            </m:r>
          </m:sub>
        </m:sSub>
      </m:oMath>
      <w:r w:rsidRPr="009E00D2">
        <w:rPr>
          <w:rFonts w:ascii="Garamond" w:eastAsiaTheme="minorEastAsia" w:hAnsi="Garamond"/>
          <w:iCs/>
          <w:sz w:val="24"/>
          <w:szCs w:val="24"/>
        </w:rPr>
        <w:t xml:space="preserve"> (</w:t>
      </w:r>
      <m:oMath>
        <m:r>
          <m:rPr>
            <m:sty m:val="p"/>
          </m:rPr>
          <w:rPr>
            <w:rFonts w:ascii="Cambria Math" w:eastAsiaTheme="minorEastAsia" w:hAnsi="Cambria Math"/>
            <w:sz w:val="24"/>
            <w:szCs w:val="24"/>
          </w:rPr>
          <m:t>Φ</m:t>
        </m:r>
      </m:oMath>
      <w:r w:rsidRPr="009E00D2">
        <w:rPr>
          <w:rFonts w:ascii="Garamond" w:eastAsiaTheme="minorEastAsia" w:hAnsi="Garamond"/>
          <w:iCs/>
          <w:sz w:val="24"/>
          <w:szCs w:val="24"/>
        </w:rPr>
        <w:t xml:space="preserve"> is independent with </w:t>
      </w:r>
      <m:oMath>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bar>
              <m:barPr>
                <m:pos m:val="top"/>
                <m:ctrlPr>
                  <w:rPr>
                    <w:rFonts w:ascii="Cambria Math" w:eastAsiaTheme="minorEastAsia" w:hAnsi="Cambria Math"/>
                    <w:i/>
                    <w:iCs/>
                    <w:sz w:val="24"/>
                    <w:szCs w:val="24"/>
                  </w:rPr>
                </m:ctrlPr>
              </m:barPr>
              <m:e>
                <m:sSub>
                  <m:sSubPr>
                    <m:ctrlPr>
                      <w:rPr>
                        <w:rFonts w:ascii="Cambria Math" w:eastAsiaTheme="minorEastAsia" w:hAnsi="Cambria Math"/>
                        <w:i/>
                        <w:iCs/>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w</m:t>
                    </m:r>
                  </m:sub>
                </m:sSub>
              </m:e>
            </m:bar>
            <m:r>
              <w:rPr>
                <w:rFonts w:ascii="Cambria Math" w:eastAsiaTheme="minorEastAsia" w:hAnsi="Cambria Math"/>
                <w:sz w:val="24"/>
                <w:szCs w:val="24"/>
              </w:rPr>
              <m:t xml:space="preserve"> d</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ψ</m:t>
                </m:r>
              </m:sub>
              <m:sup>
                <m:r>
                  <w:rPr>
                    <w:rFonts w:ascii="Cambria Math" w:eastAsiaTheme="minorEastAsia" w:hAnsi="Cambria Math"/>
                    <w:sz w:val="24"/>
                    <w:szCs w:val="24"/>
                  </w:rPr>
                  <m:t>τ</m:t>
                </m:r>
              </m:sup>
            </m:sSubSup>
          </m:e>
        </m:nary>
      </m:oMath>
      <w:r w:rsidRPr="009E00D2">
        <w:rPr>
          <w:rFonts w:ascii="Garamond" w:eastAsiaTheme="minorEastAsia" w:hAnsi="Garamond"/>
          <w:iCs/>
          <w:sz w:val="24"/>
          <w:szCs w:val="24"/>
        </w:rPr>
        <w:t xml:space="preserve">) and </w:t>
      </w:r>
      <m:oMath>
        <m:sSub>
          <m:sSubPr>
            <m:ctrlPr>
              <w:rPr>
                <w:rFonts w:ascii="Cambria Math" w:eastAsiaTheme="minorEastAsia" w:hAnsi="Cambria Math"/>
                <w:i/>
                <w:iCs/>
                <w:sz w:val="24"/>
                <w:szCs w:val="24"/>
              </w:rPr>
            </m:ctrlPr>
          </m:sSubPr>
          <m:e>
            <m:r>
              <m:rPr>
                <m:sty m:val="p"/>
              </m:rPr>
              <w:rPr>
                <w:rFonts w:ascii="Cambria Math" w:eastAsiaTheme="minorEastAsia" w:hAnsi="Cambria Math"/>
                <w:sz w:val="24"/>
                <w:szCs w:val="24"/>
              </w:rPr>
              <m:t>Ω</m:t>
            </m:r>
          </m:e>
          <m:sub>
            <m:r>
              <m:rPr>
                <m:sty m:val="p"/>
              </m:rPr>
              <w:rPr>
                <w:rFonts w:ascii="Cambria Math" w:eastAsiaTheme="minorEastAsia" w:hAnsi="Cambria Math"/>
                <w:sz w:val="24"/>
                <w:szCs w:val="24"/>
              </w:rPr>
              <m:t>Φ</m:t>
            </m:r>
          </m:sub>
        </m:sSub>
        <m:r>
          <w:rPr>
            <w:rFonts w:ascii="Cambria Math" w:eastAsiaTheme="minorEastAsia" w:hAnsi="Cambria Math"/>
            <w:sz w:val="24"/>
            <w:szCs w:val="24"/>
          </w:rPr>
          <m:t>=</m:t>
        </m:r>
        <m:d>
          <m:dPr>
            <m:begChr m:val="["/>
            <m:endChr m:val="]"/>
            <m:ctrlPr>
              <w:rPr>
                <w:rFonts w:ascii="Cambria Math" w:eastAsiaTheme="minorEastAsia" w:hAnsi="Cambria Math"/>
                <w:i/>
                <w:iCs/>
                <w:sz w:val="24"/>
                <w:szCs w:val="24"/>
              </w:rPr>
            </m:ctrlPr>
          </m:dPr>
          <m:e>
            <m:m>
              <m:mPr>
                <m:mcs>
                  <m:mc>
                    <m:mcPr>
                      <m:count m:val="3"/>
                      <m:mcJc m:val="center"/>
                    </m:mcPr>
                  </m:mc>
                </m:mcs>
                <m:ctrlPr>
                  <w:rPr>
                    <w:rFonts w:ascii="Cambria Math" w:eastAsiaTheme="minorEastAsia" w:hAnsi="Cambria Math"/>
                    <w:i/>
                    <w:iCs/>
                    <w:sz w:val="24"/>
                    <w:szCs w:val="24"/>
                  </w:rPr>
                </m:ctrlPr>
              </m:mPr>
              <m:mr>
                <m:e>
                  <m:sSub>
                    <m:sSubPr>
                      <m:ctrlPr>
                        <w:rPr>
                          <w:rFonts w:ascii="Cambria Math" w:eastAsiaTheme="minorEastAsia" w:hAnsi="Cambria Math"/>
                          <w:i/>
                          <w:iCs/>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e>
                <m:e>
                  <m:r>
                    <w:rPr>
                      <w:rFonts w:ascii="Cambria Math" w:hAnsi="Cambria Math"/>
                      <w:sz w:val="24"/>
                      <w:szCs w:val="24"/>
                    </w:rPr>
                    <m:t>⋯</m:t>
                  </m:r>
                </m:e>
                <m:e>
                  <m:sSub>
                    <m:sSubPr>
                      <m:ctrlPr>
                        <w:rPr>
                          <w:rFonts w:ascii="Cambria Math" w:eastAsiaTheme="minorEastAsia" w:hAnsi="Cambria Math"/>
                          <w:i/>
                          <w:iCs/>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q-1</m:t>
                      </m:r>
                    </m:sub>
                  </m:sSub>
                </m:e>
              </m:mr>
              <m:mr>
                <m:e>
                  <m:r>
                    <w:rPr>
                      <w:rFonts w:ascii="Cambria Math" w:hAnsi="Cambria Math"/>
                      <w:sz w:val="24"/>
                      <w:szCs w:val="24"/>
                    </w:rPr>
                    <m:t>⋮</m:t>
                  </m:r>
                </m:e>
                <m:e>
                  <m:r>
                    <w:rPr>
                      <w:rFonts w:ascii="Cambria Math" w:hAnsi="Cambria Math"/>
                      <w:sz w:val="24"/>
                      <w:szCs w:val="24"/>
                    </w:rPr>
                    <m:t>⋱</m:t>
                  </m:r>
                </m:e>
                <m:e>
                  <m:r>
                    <w:rPr>
                      <w:rFonts w:ascii="Cambria Math" w:hAnsi="Cambria Math"/>
                      <w:sz w:val="24"/>
                      <w:szCs w:val="24"/>
                    </w:rPr>
                    <m:t>⋮</m:t>
                  </m:r>
                </m:e>
              </m:mr>
              <m:mr>
                <m:e>
                  <m:sSub>
                    <m:sSubPr>
                      <m:ctrlPr>
                        <w:rPr>
                          <w:rFonts w:ascii="Cambria Math" w:eastAsiaTheme="minorEastAsia" w:hAnsi="Cambria Math"/>
                          <w:i/>
                          <w:iCs/>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q-1</m:t>
                      </m:r>
                    </m:sub>
                  </m:sSub>
                </m:e>
                <m:e>
                  <m:r>
                    <w:rPr>
                      <w:rFonts w:ascii="Cambria Math" w:hAnsi="Cambria Math"/>
                      <w:sz w:val="24"/>
                      <w:szCs w:val="24"/>
                    </w:rPr>
                    <m:t>⋯</m:t>
                  </m:r>
                </m:e>
                <m:e>
                  <m:sSub>
                    <m:sSubPr>
                      <m:ctrlPr>
                        <w:rPr>
                          <w:rFonts w:ascii="Cambria Math" w:eastAsiaTheme="minorEastAsia" w:hAnsi="Cambria Math"/>
                          <w:i/>
                          <w:iCs/>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e>
              </m:mr>
            </m:m>
          </m:e>
        </m:d>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j</m:t>
            </m:r>
          </m:sub>
        </m:sSub>
        <m:r>
          <w:rPr>
            <w:rFonts w:ascii="Cambria Math" w:eastAsiaTheme="minorEastAsia" w:hAnsi="Cambria Math"/>
            <w:sz w:val="24"/>
            <w:szCs w:val="24"/>
          </w:rPr>
          <m:t>=E</m:t>
        </m:r>
        <m:d>
          <m:dPr>
            <m:begChr m:val="["/>
            <m:endChr m:val="]"/>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t</m:t>
                </m:r>
              </m:sub>
            </m:sSub>
            <m:sSub>
              <m:sSubPr>
                <m:ctrlPr>
                  <w:rPr>
                    <w:rFonts w:ascii="Cambria Math" w:eastAsiaTheme="minorEastAsia" w:hAnsi="Cambria Math"/>
                    <w:i/>
                    <w:iCs/>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t-j</m:t>
                </m:r>
              </m:sub>
            </m:sSub>
          </m:e>
        </m:d>
      </m:oMath>
      <w:r w:rsidRPr="009E00D2">
        <w:rPr>
          <w:rFonts w:ascii="Garamond" w:eastAsiaTheme="minorEastAsia" w:hAnsi="Garamond"/>
          <w:iCs/>
          <w:sz w:val="24"/>
          <w:szCs w:val="24"/>
        </w:rPr>
        <w:t xml:space="preserve">. Following Koenker and Xiao (2004) the limiting distribution of </w:t>
      </w:r>
      <m:oMath>
        <m:r>
          <w:rPr>
            <w:rFonts w:ascii="Cambria Math" w:eastAsiaTheme="minorEastAsia" w:hAnsi="Cambria Math"/>
            <w:sz w:val="24"/>
            <w:szCs w:val="24"/>
          </w:rPr>
          <m:t>n</m:t>
        </m:r>
        <m:d>
          <m:dPr>
            <m:ctrlPr>
              <w:rPr>
                <w:rFonts w:ascii="Cambria Math" w:eastAsiaTheme="minorEastAsia" w:hAnsi="Cambria Math"/>
                <w:i/>
                <w:iCs/>
                <w:sz w:val="24"/>
                <w:szCs w:val="24"/>
              </w:rPr>
            </m:ctrlPr>
          </m:dPr>
          <m:e>
            <m:acc>
              <m:accPr>
                <m:ctrlPr>
                  <w:rPr>
                    <w:rFonts w:ascii="Cambria Math" w:eastAsiaTheme="minorEastAsia" w:hAnsi="Cambria Math"/>
                    <w:i/>
                    <w:iCs/>
                    <w:sz w:val="24"/>
                    <w:szCs w:val="24"/>
                  </w:rPr>
                </m:ctrlPr>
              </m:accPr>
              <m:e>
                <m:r>
                  <w:rPr>
                    <w:rFonts w:ascii="Cambria Math" w:eastAsiaTheme="minorEastAsia" w:hAnsi="Cambria Math"/>
                    <w:sz w:val="24"/>
                    <w:szCs w:val="24"/>
                  </w:rPr>
                  <m:t>a</m:t>
                </m:r>
              </m:e>
            </m:acc>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-a</m:t>
            </m:r>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d>
      </m:oMath>
      <w:r w:rsidRPr="009E00D2">
        <w:rPr>
          <w:rFonts w:ascii="Garamond" w:eastAsiaTheme="minorEastAsia" w:hAnsi="Garamond"/>
          <w:iCs/>
          <w:sz w:val="24"/>
          <w:szCs w:val="24"/>
        </w:rPr>
        <w:t xml:space="preserve"> is invariant to the estimations of </w:t>
      </w:r>
      <m:oMath>
        <m:acc>
          <m:accPr>
            <m:ctrlPr>
              <w:rPr>
                <w:rFonts w:ascii="Cambria Math" w:eastAsiaTheme="minorEastAsia" w:hAnsi="Cambria Math"/>
                <w:i/>
                <w:iCs/>
                <w:sz w:val="24"/>
                <w:szCs w:val="24"/>
              </w:rPr>
            </m:ctrlPr>
          </m:accPr>
          <m:e>
            <m:r>
              <w:rPr>
                <w:rFonts w:ascii="Cambria Math" w:eastAsiaTheme="minorEastAsia" w:hAnsi="Cambria Math"/>
                <w:sz w:val="24"/>
                <w:szCs w:val="24"/>
              </w:rPr>
              <m:t>a</m:t>
            </m:r>
          </m:e>
        </m:acc>
        <m:d>
          <m:dPr>
            <m:ctrlPr>
              <w:rPr>
                <w:rFonts w:ascii="Cambria Math" w:eastAsiaTheme="minorEastAsia" w:hAnsi="Cambria Math"/>
                <w:i/>
                <w:iCs/>
                <w:sz w:val="24"/>
                <w:szCs w:val="24"/>
              </w:rPr>
            </m:ctrlPr>
          </m:dPr>
          <m:e>
            <m:r>
              <w:rPr>
                <w:rFonts w:ascii="Cambria Math" w:eastAsiaTheme="minorEastAsia" w:hAnsi="Cambria Math"/>
                <w:sz w:val="24"/>
                <w:szCs w:val="24"/>
              </w:rPr>
              <m:t>τ</m:t>
            </m:r>
          </m:e>
        </m:d>
      </m:oMath>
      <w:r w:rsidRPr="009E00D2">
        <w:rPr>
          <w:rFonts w:ascii="Garamond" w:eastAsiaTheme="minorEastAsia" w:hAnsi="Garamond"/>
          <w:iCs/>
          <w:sz w:val="24"/>
          <w:szCs w:val="24"/>
        </w:rPr>
        <w:t xml:space="preserve"> and the lag length </w:t>
      </w:r>
      <w:r w:rsidRPr="009F7755">
        <w:rPr>
          <w:rFonts w:ascii="Garamond" w:eastAsiaTheme="minorEastAsia" w:hAnsi="Garamond"/>
          <w:i/>
          <w:sz w:val="24"/>
          <w:szCs w:val="24"/>
        </w:rPr>
        <w:t>p</w:t>
      </w:r>
      <w:r w:rsidRPr="009E00D2">
        <w:rPr>
          <w:rFonts w:ascii="Garamond" w:eastAsiaTheme="minorEastAsia" w:hAnsi="Garamond"/>
          <w:iCs/>
          <w:sz w:val="24"/>
          <w:szCs w:val="24"/>
        </w:rPr>
        <w:t>:</w:t>
      </w:r>
    </w:p>
    <w:p w14:paraId="1DA0EE97" w14:textId="77777777" w:rsidR="00E546B1" w:rsidRPr="009E00D2" w:rsidRDefault="00E546B1" w:rsidP="00201D7F">
      <w:pPr>
        <w:pStyle w:val="NoSpacing"/>
        <w:spacing w:line="480" w:lineRule="auto"/>
        <w:jc w:val="both"/>
        <w:rPr>
          <w:rFonts w:ascii="Garamond" w:eastAsiaTheme="minorEastAsia" w:hAnsi="Garamond"/>
          <w:iCs/>
          <w:sz w:val="24"/>
          <w:szCs w:val="24"/>
        </w:rPr>
      </w:pPr>
    </w:p>
    <w:p w14:paraId="41EDDF03" w14:textId="486B7DD3" w:rsidR="00E546B1" w:rsidRPr="009E00D2" w:rsidRDefault="00E546B1" w:rsidP="00201D7F">
      <w:pPr>
        <w:pStyle w:val="NoSpacing"/>
        <w:spacing w:line="480" w:lineRule="auto"/>
        <w:jc w:val="both"/>
        <w:rPr>
          <w:rFonts w:ascii="Garamond" w:eastAsiaTheme="minorEastAsia" w:hAnsi="Garamond"/>
          <w:iCs/>
          <w:sz w:val="24"/>
          <w:szCs w:val="24"/>
        </w:rPr>
      </w:pPr>
      <m:oMath>
        <m:r>
          <w:rPr>
            <w:rFonts w:ascii="Cambria Math" w:eastAsiaTheme="minorEastAsia" w:hAnsi="Cambria Math"/>
            <w:sz w:val="24"/>
            <w:szCs w:val="24"/>
          </w:rPr>
          <m:t>n</m:t>
        </m:r>
        <m:d>
          <m:dPr>
            <m:ctrlPr>
              <w:rPr>
                <w:rFonts w:ascii="Cambria Math" w:eastAsiaTheme="minorEastAsia" w:hAnsi="Cambria Math"/>
                <w:i/>
                <w:iCs/>
                <w:sz w:val="24"/>
                <w:szCs w:val="24"/>
              </w:rPr>
            </m:ctrlPr>
          </m:dPr>
          <m:e>
            <m:acc>
              <m:accPr>
                <m:ctrlPr>
                  <w:rPr>
                    <w:rFonts w:ascii="Cambria Math" w:eastAsiaTheme="minorEastAsia" w:hAnsi="Cambria Math"/>
                    <w:i/>
                    <w:iCs/>
                    <w:sz w:val="24"/>
                    <w:szCs w:val="24"/>
                  </w:rPr>
                </m:ctrlPr>
              </m:accPr>
              <m:e>
                <m:r>
                  <w:rPr>
                    <w:rFonts w:ascii="Cambria Math" w:eastAsiaTheme="minorEastAsia" w:hAnsi="Cambria Math"/>
                    <w:sz w:val="24"/>
                    <w:szCs w:val="24"/>
                  </w:rPr>
                  <m:t>a</m:t>
                </m:r>
              </m:e>
            </m:acc>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-a</m:t>
            </m:r>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d>
        <m:r>
          <w:rPr>
            <w:rFonts w:ascii="Cambria Math" w:eastAsiaTheme="minorEastAsia" w:hAnsi="Cambria Math"/>
            <w:sz w:val="24"/>
            <w:szCs w:val="24"/>
          </w:rPr>
          <m:t>⇒</m:t>
        </m:r>
        <m:f>
          <m:fPr>
            <m:ctrlPr>
              <w:rPr>
                <w:rFonts w:ascii="Cambria Math" w:eastAsiaTheme="minorEastAsia" w:hAnsi="Cambria Math"/>
                <w:i/>
                <w:iCs/>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f</m:t>
            </m:r>
            <m:d>
              <m:dPr>
                <m:ctrlPr>
                  <w:rPr>
                    <w:rFonts w:ascii="Cambria Math" w:eastAsiaTheme="minorEastAsia" w:hAnsi="Cambria Math"/>
                    <w:i/>
                    <w:iCs/>
                    <w:sz w:val="24"/>
                    <w:szCs w:val="24"/>
                  </w:rPr>
                </m:ctrlPr>
              </m:dPr>
              <m:e>
                <m:sSup>
                  <m:sSupPr>
                    <m:ctrlPr>
                      <w:rPr>
                        <w:rFonts w:ascii="Cambria Math" w:eastAsiaTheme="minorEastAsia" w:hAnsi="Cambria Math"/>
                        <w:i/>
                        <w:iCs/>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-1</m:t>
                    </m:r>
                  </m:sup>
                </m:sSup>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d>
          </m:den>
        </m:f>
        <m:sSup>
          <m:sSupPr>
            <m:ctrlPr>
              <w:rPr>
                <w:rFonts w:ascii="Cambria Math" w:eastAsiaTheme="minorEastAsia" w:hAnsi="Cambria Math"/>
                <w:i/>
                <w:iCs/>
                <w:sz w:val="24"/>
                <w:szCs w:val="24"/>
              </w:rPr>
            </m:ctrlPr>
          </m:sSupPr>
          <m:e>
            <m:d>
              <m:dPr>
                <m:begChr m:val="["/>
                <m:endChr m:val="]"/>
                <m:ctrlPr>
                  <w:rPr>
                    <w:rFonts w:ascii="Cambria Math" w:eastAsiaTheme="minorEastAsia" w:hAnsi="Cambria Math"/>
                    <w:i/>
                    <w:iCs/>
                    <w:sz w:val="24"/>
                    <w:szCs w:val="24"/>
                  </w:rPr>
                </m:ctrlPr>
              </m:dPr>
              <m:e>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sSubSup>
                      <m:sSubSupPr>
                        <m:ctrlPr>
                          <w:rPr>
                            <w:rFonts w:ascii="Cambria Math" w:eastAsiaTheme="minorEastAsia" w:hAnsi="Cambria Math"/>
                            <w:i/>
                            <w:iCs/>
                            <w:sz w:val="24"/>
                            <w:szCs w:val="24"/>
                          </w:rPr>
                        </m:ctrlPr>
                      </m:sSubSupPr>
                      <m:e>
                        <m:bar>
                          <m:barPr>
                            <m:ctrlPr>
                              <w:rPr>
                                <w:rFonts w:ascii="Cambria Math" w:eastAsiaTheme="minorEastAsia" w:hAnsi="Cambria Math"/>
                                <w:i/>
                                <w:iCs/>
                                <w:sz w:val="24"/>
                                <w:szCs w:val="24"/>
                              </w:rPr>
                            </m:ctrlPr>
                          </m:barPr>
                          <m:e>
                            <m:r>
                              <w:rPr>
                                <w:rFonts w:ascii="Cambria Math" w:eastAsiaTheme="minorEastAsia" w:hAnsi="Cambria Math"/>
                                <w:sz w:val="24"/>
                                <w:szCs w:val="24"/>
                              </w:rPr>
                              <m:t>B</m:t>
                            </m:r>
                          </m:e>
                        </m:bar>
                      </m:e>
                      <m:sub>
                        <m:r>
                          <w:rPr>
                            <w:rFonts w:ascii="Cambria Math" w:eastAsiaTheme="minorEastAsia" w:hAnsi="Cambria Math"/>
                            <w:sz w:val="24"/>
                            <w:szCs w:val="24"/>
                          </w:rPr>
                          <m:t>w</m:t>
                        </m:r>
                      </m:sub>
                      <m:sup>
                        <m:r>
                          <w:rPr>
                            <w:rFonts w:ascii="Cambria Math" w:eastAsiaTheme="minorEastAsia" w:hAnsi="Cambria Math"/>
                            <w:sz w:val="24"/>
                            <w:szCs w:val="24"/>
                          </w:rPr>
                          <m:t>2</m:t>
                        </m:r>
                      </m:sup>
                    </m:sSubSup>
                  </m:e>
                </m:nary>
              </m:e>
            </m:d>
          </m:e>
          <m:sup>
            <m:r>
              <w:rPr>
                <w:rFonts w:ascii="Cambria Math" w:eastAsiaTheme="minorEastAsia" w:hAnsi="Cambria Math"/>
                <w:sz w:val="24"/>
                <w:szCs w:val="24"/>
              </w:rPr>
              <m:t>-1</m:t>
            </m:r>
          </m:sup>
        </m:sSup>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sSub>
              <m:sSubPr>
                <m:ctrlPr>
                  <w:rPr>
                    <w:rFonts w:ascii="Cambria Math" w:eastAsiaTheme="minorEastAsia" w:hAnsi="Cambria Math"/>
                    <w:i/>
                    <w:iCs/>
                    <w:sz w:val="24"/>
                    <w:szCs w:val="24"/>
                  </w:rPr>
                </m:ctrlPr>
              </m:sSubPr>
              <m:e>
                <m:bar>
                  <m:barPr>
                    <m:ctrlPr>
                      <w:rPr>
                        <w:rFonts w:ascii="Cambria Math" w:eastAsiaTheme="minorEastAsia" w:hAnsi="Cambria Math"/>
                        <w:i/>
                        <w:iCs/>
                        <w:sz w:val="24"/>
                        <w:szCs w:val="24"/>
                      </w:rPr>
                    </m:ctrlPr>
                  </m:barPr>
                  <m:e>
                    <m:r>
                      <w:rPr>
                        <w:rFonts w:ascii="Cambria Math" w:eastAsiaTheme="minorEastAsia" w:hAnsi="Cambria Math"/>
                        <w:sz w:val="24"/>
                        <w:szCs w:val="24"/>
                      </w:rPr>
                      <m:t>B</m:t>
                    </m:r>
                  </m:e>
                </m:bar>
              </m:e>
              <m:sub>
                <m:r>
                  <w:rPr>
                    <w:rFonts w:ascii="Cambria Math" w:eastAsiaTheme="minorEastAsia" w:hAnsi="Cambria Math"/>
                    <w:sz w:val="24"/>
                    <w:szCs w:val="24"/>
                  </w:rPr>
                  <m:t>w</m:t>
                </m:r>
              </m:sub>
            </m:sSub>
            <m:r>
              <w:rPr>
                <w:rFonts w:ascii="Cambria Math" w:eastAsiaTheme="minorEastAsia" w:hAnsi="Cambria Math"/>
                <w:sz w:val="24"/>
                <w:szCs w:val="24"/>
              </w:rPr>
              <m:t>d</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ψ</m:t>
                </m:r>
              </m:sub>
              <m:sup>
                <m:r>
                  <w:rPr>
                    <w:rFonts w:ascii="Cambria Math" w:eastAsiaTheme="minorEastAsia" w:hAnsi="Cambria Math"/>
                    <w:sz w:val="24"/>
                    <w:szCs w:val="24"/>
                  </w:rPr>
                  <m:t>τ</m:t>
                </m:r>
              </m:sup>
            </m:sSubSup>
          </m:e>
        </m:nary>
      </m:oMath>
      <w:r w:rsidRPr="009E00D2">
        <w:rPr>
          <w:rFonts w:ascii="Garamond" w:eastAsiaTheme="minorEastAsia" w:hAnsi="Garamond"/>
          <w:iCs/>
          <w:sz w:val="24"/>
          <w:szCs w:val="24"/>
        </w:rPr>
        <w:t xml:space="preserve">, </w:t>
      </w:r>
      <w:r w:rsidRPr="009E00D2">
        <w:rPr>
          <w:rFonts w:ascii="Garamond" w:eastAsiaTheme="minorEastAsia" w:hAnsi="Garamond"/>
          <w:iCs/>
          <w:sz w:val="24"/>
          <w:szCs w:val="24"/>
        </w:rPr>
        <w:tab/>
      </w:r>
      <w:r w:rsidRPr="009E00D2">
        <w:rPr>
          <w:rFonts w:ascii="Garamond" w:eastAsiaTheme="minorEastAsia" w:hAnsi="Garamond"/>
          <w:iCs/>
          <w:sz w:val="24"/>
          <w:szCs w:val="24"/>
        </w:rPr>
        <w:tab/>
      </w:r>
      <w:r w:rsidR="00201D7F">
        <w:rPr>
          <w:rFonts w:ascii="Garamond" w:eastAsiaTheme="minorEastAsia" w:hAnsi="Garamond"/>
          <w:iCs/>
          <w:sz w:val="24"/>
          <w:szCs w:val="24"/>
        </w:rPr>
        <w:t xml:space="preserve">                       </w:t>
      </w:r>
      <w:r w:rsidRPr="009E00D2">
        <w:rPr>
          <w:rFonts w:ascii="Garamond" w:eastAsiaTheme="minorEastAsia" w:hAnsi="Garamond"/>
          <w:iCs/>
          <w:sz w:val="24"/>
          <w:szCs w:val="24"/>
        </w:rPr>
        <w:tab/>
      </w:r>
      <w:r w:rsidRPr="009E00D2">
        <w:rPr>
          <w:rFonts w:ascii="Garamond" w:eastAsiaTheme="minorEastAsia" w:hAnsi="Garamond"/>
          <w:iCs/>
          <w:sz w:val="24"/>
          <w:szCs w:val="24"/>
        </w:rPr>
        <w:tab/>
      </w:r>
      <w:r w:rsidRPr="009E00D2">
        <w:rPr>
          <w:rFonts w:ascii="Garamond" w:eastAsiaTheme="minorEastAsia" w:hAnsi="Garamond"/>
          <w:iCs/>
          <w:sz w:val="24"/>
          <w:szCs w:val="24"/>
        </w:rPr>
        <w:tab/>
        <w:t>(4)</w:t>
      </w:r>
    </w:p>
    <w:p w14:paraId="5D914CDB" w14:textId="77777777" w:rsidR="00E546B1" w:rsidRPr="009E00D2" w:rsidRDefault="00E546B1" w:rsidP="00E546B1">
      <w:pPr>
        <w:pStyle w:val="NoSpacing"/>
        <w:spacing w:line="480" w:lineRule="auto"/>
        <w:ind w:firstLine="708"/>
        <w:jc w:val="both"/>
        <w:rPr>
          <w:rFonts w:ascii="Garamond" w:eastAsiaTheme="minorEastAsia" w:hAnsi="Garamond"/>
          <w:iCs/>
          <w:sz w:val="24"/>
          <w:szCs w:val="24"/>
        </w:rPr>
      </w:pPr>
    </w:p>
    <w:p w14:paraId="2A3E5470" w14:textId="77777777" w:rsidR="00E546B1" w:rsidRPr="009E00D2" w:rsidRDefault="00E546B1" w:rsidP="00E546B1">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t xml:space="preserve">where </w:t>
      </w:r>
      <m:oMath>
        <m:sSub>
          <m:sSubPr>
            <m:ctrlPr>
              <w:rPr>
                <w:rFonts w:ascii="Cambria Math" w:eastAsiaTheme="minorEastAsia" w:hAnsi="Cambria Math"/>
                <w:i/>
                <w:iCs/>
                <w:sz w:val="24"/>
                <w:szCs w:val="24"/>
              </w:rPr>
            </m:ctrlPr>
          </m:sSubPr>
          <m:e>
            <m:bar>
              <m:barPr>
                <m:ctrlPr>
                  <w:rPr>
                    <w:rFonts w:ascii="Cambria Math" w:eastAsiaTheme="minorEastAsia" w:hAnsi="Cambria Math"/>
                    <w:i/>
                    <w:iCs/>
                    <w:sz w:val="24"/>
                    <w:szCs w:val="24"/>
                  </w:rPr>
                </m:ctrlPr>
              </m:barPr>
              <m:e>
                <m:r>
                  <w:rPr>
                    <w:rFonts w:ascii="Cambria Math" w:eastAsiaTheme="minorEastAsia" w:hAnsi="Cambria Math"/>
                    <w:sz w:val="24"/>
                    <w:szCs w:val="24"/>
                  </w:rPr>
                  <m:t>B</m:t>
                </m:r>
              </m:e>
            </m:bar>
          </m:e>
          <m:sub>
            <m:r>
              <w:rPr>
                <w:rFonts w:ascii="Cambria Math" w:eastAsiaTheme="minorEastAsia" w:hAnsi="Cambria Math"/>
                <w:sz w:val="24"/>
                <w:szCs w:val="24"/>
              </w:rPr>
              <m:t>w</m:t>
            </m:r>
          </m:sub>
        </m:sSub>
        <m:d>
          <m:dPr>
            <m:ctrlPr>
              <w:rPr>
                <w:rFonts w:ascii="Cambria Math" w:eastAsiaTheme="minorEastAsia" w:hAnsi="Cambria Math"/>
                <w:i/>
                <w:iCs/>
                <w:sz w:val="24"/>
                <w:szCs w:val="24"/>
              </w:rPr>
            </m:ctrlPr>
          </m:dPr>
          <m:e>
            <m:r>
              <w:rPr>
                <w:rFonts w:ascii="Cambria Math" w:eastAsiaTheme="minorEastAsia" w:hAnsi="Cambria Math"/>
                <w:sz w:val="24"/>
                <w:szCs w:val="24"/>
              </w:rPr>
              <m:t>r</m:t>
            </m:r>
          </m:e>
        </m:d>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w</m:t>
            </m:r>
          </m:sub>
        </m:sSub>
        <m:d>
          <m:dPr>
            <m:ctrlPr>
              <w:rPr>
                <w:rFonts w:ascii="Cambria Math" w:eastAsiaTheme="minorEastAsia" w:hAnsi="Cambria Math"/>
                <w:i/>
                <w:iCs/>
                <w:sz w:val="24"/>
                <w:szCs w:val="24"/>
              </w:rPr>
            </m:ctrlPr>
          </m:dPr>
          <m:e>
            <m:r>
              <w:rPr>
                <w:rFonts w:ascii="Cambria Math" w:eastAsiaTheme="minorEastAsia" w:hAnsi="Cambria Math"/>
                <w:sz w:val="24"/>
                <w:szCs w:val="24"/>
              </w:rPr>
              <m:t>r</m:t>
            </m:r>
          </m:e>
        </m:d>
        <m:r>
          <w:rPr>
            <w:rFonts w:ascii="Cambria Math" w:eastAsiaTheme="minorEastAsia" w:hAnsi="Cambria Math"/>
            <w:sz w:val="24"/>
            <w:szCs w:val="24"/>
          </w:rPr>
          <m:t>-</m:t>
        </m:r>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sSub>
              <m:sSubPr>
                <m:ctrlPr>
                  <w:rPr>
                    <w:rFonts w:ascii="Cambria Math" w:eastAsiaTheme="minorEastAsia" w:hAnsi="Cambria Math"/>
                    <w:i/>
                    <w:iCs/>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w</m:t>
                </m:r>
              </m:sub>
            </m:sSub>
          </m:e>
        </m:nary>
      </m:oMath>
      <w:r w:rsidRPr="009E00D2">
        <w:rPr>
          <w:rFonts w:ascii="Garamond" w:eastAsiaTheme="minorEastAsia" w:hAnsi="Garamond"/>
          <w:iCs/>
          <w:sz w:val="24"/>
          <w:szCs w:val="24"/>
        </w:rPr>
        <w:t xml:space="preserve"> is a demeaned Brownian </w:t>
      </w:r>
      <w:proofErr w:type="gramStart"/>
      <w:r w:rsidRPr="009E00D2">
        <w:rPr>
          <w:rFonts w:ascii="Garamond" w:eastAsiaTheme="minorEastAsia" w:hAnsi="Garamond"/>
          <w:iCs/>
          <w:sz w:val="24"/>
          <w:szCs w:val="24"/>
        </w:rPr>
        <w:t>motion.</w:t>
      </w:r>
      <w:proofErr w:type="gramEnd"/>
      <w:r w:rsidRPr="009E00D2">
        <w:rPr>
          <w:rFonts w:ascii="Garamond" w:eastAsiaTheme="minorEastAsia" w:hAnsi="Garamond"/>
          <w:iCs/>
          <w:sz w:val="24"/>
          <w:szCs w:val="24"/>
        </w:rPr>
        <w:t xml:space="preserve"> </w:t>
      </w:r>
      <w:proofErr w:type="gramStart"/>
      <w:r w:rsidRPr="009E00D2">
        <w:rPr>
          <w:rFonts w:ascii="Garamond" w:eastAsiaTheme="minorEastAsia" w:hAnsi="Garamond"/>
          <w:iCs/>
          <w:sz w:val="24"/>
          <w:szCs w:val="24"/>
        </w:rPr>
        <w:t>Eq.(</w:t>
      </w:r>
      <w:proofErr w:type="gramEnd"/>
      <w:r w:rsidRPr="009E00D2">
        <w:rPr>
          <w:rFonts w:ascii="Garamond" w:eastAsiaTheme="minorEastAsia" w:hAnsi="Garamond"/>
          <w:iCs/>
          <w:sz w:val="24"/>
          <w:szCs w:val="24"/>
        </w:rPr>
        <w:t>3) leads to a robust approach to testing the unit-root hypothesis by means of t-ratio statistics:</w:t>
      </w:r>
    </w:p>
    <w:p w14:paraId="343A0F3A" w14:textId="77777777" w:rsidR="00E546B1" w:rsidRPr="009E00D2" w:rsidRDefault="00E546B1" w:rsidP="00E546B1">
      <w:pPr>
        <w:pStyle w:val="NoSpacing"/>
        <w:spacing w:line="480" w:lineRule="auto"/>
        <w:jc w:val="both"/>
        <w:rPr>
          <w:rFonts w:ascii="Garamond" w:eastAsiaTheme="minorEastAsia" w:hAnsi="Garamond"/>
          <w:iCs/>
          <w:sz w:val="24"/>
          <w:szCs w:val="24"/>
        </w:rPr>
      </w:pPr>
    </w:p>
    <w:p w14:paraId="3266E2F0" w14:textId="2AA31786" w:rsidR="00E546B1" w:rsidRDefault="00E546B1" w:rsidP="00201D7F">
      <w:pPr>
        <w:pStyle w:val="NoSpacing"/>
        <w:spacing w:line="480" w:lineRule="auto"/>
        <w:jc w:val="both"/>
        <w:rPr>
          <w:rFonts w:ascii="Garamond" w:eastAsiaTheme="minorEastAsia" w:hAnsi="Garamond"/>
          <w:iCs/>
          <w:sz w:val="24"/>
          <w:szCs w:val="24"/>
        </w:rPr>
      </w:pPr>
      <m:oMath>
        <m:r>
          <w:rPr>
            <w:rFonts w:ascii="Cambria Math" w:eastAsiaTheme="minorEastAsia" w:hAnsi="Cambria Math"/>
            <w:sz w:val="24"/>
            <w:szCs w:val="24"/>
          </w:rPr>
          <m:t>t</m:t>
        </m:r>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m:t>
        </m:r>
        <m:f>
          <m:fPr>
            <m:ctrlPr>
              <w:rPr>
                <w:rFonts w:ascii="Cambria Math" w:eastAsiaTheme="minorEastAsia" w:hAnsi="Cambria Math"/>
                <w:i/>
                <w:iCs/>
                <w:sz w:val="24"/>
                <w:szCs w:val="24"/>
              </w:rPr>
            </m:ctrlPr>
          </m:fPr>
          <m:num>
            <m:r>
              <w:rPr>
                <w:rFonts w:ascii="Cambria Math" w:eastAsiaTheme="minorEastAsia" w:hAnsi="Cambria Math"/>
                <w:sz w:val="24"/>
                <w:szCs w:val="24"/>
              </w:rPr>
              <m:t>f</m:t>
            </m:r>
            <m:d>
              <m:dPr>
                <m:ctrlPr>
                  <w:rPr>
                    <w:rFonts w:ascii="Cambria Math" w:eastAsiaTheme="minorEastAsia" w:hAnsi="Cambria Math"/>
                    <w:i/>
                    <w:iCs/>
                    <w:sz w:val="24"/>
                    <w:szCs w:val="24"/>
                  </w:rPr>
                </m:ctrlPr>
              </m:dPr>
              <m:e>
                <m:acc>
                  <m:accPr>
                    <m:ctrlPr>
                      <w:rPr>
                        <w:rFonts w:ascii="Cambria Math" w:eastAsiaTheme="minorEastAsia" w:hAnsi="Cambria Math"/>
                        <w:i/>
                        <w:iCs/>
                        <w:sz w:val="24"/>
                        <w:szCs w:val="24"/>
                      </w:rPr>
                    </m:ctrlPr>
                  </m:accPr>
                  <m:e>
                    <m:sSup>
                      <m:sSupPr>
                        <m:ctrlPr>
                          <w:rPr>
                            <w:rFonts w:ascii="Cambria Math" w:eastAsiaTheme="minorEastAsia" w:hAnsi="Cambria Math"/>
                            <w:i/>
                            <w:iCs/>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-1</m:t>
                        </m:r>
                      </m:sup>
                    </m:sSup>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acc>
              </m:e>
            </m:d>
          </m:num>
          <m:den>
            <m:rad>
              <m:radPr>
                <m:degHide m:val="1"/>
                <m:ctrlPr>
                  <w:rPr>
                    <w:rFonts w:ascii="Cambria Math" w:eastAsiaTheme="minorEastAsia" w:hAnsi="Cambria Math"/>
                    <w:i/>
                    <w:iCs/>
                    <w:sz w:val="24"/>
                    <w:szCs w:val="24"/>
                  </w:rPr>
                </m:ctrlPr>
              </m:radPr>
              <m:deg/>
              <m:e>
                <m:r>
                  <w:rPr>
                    <w:rFonts w:ascii="Cambria Math" w:eastAsiaTheme="minorEastAsia" w:hAnsi="Cambria Math"/>
                    <w:sz w:val="24"/>
                    <w:szCs w:val="24"/>
                  </w:rPr>
                  <m:t>τ</m:t>
                </m:r>
                <m:d>
                  <m:dPr>
                    <m:ctrlPr>
                      <w:rPr>
                        <w:rFonts w:ascii="Cambria Math" w:eastAsiaTheme="minorEastAsia" w:hAnsi="Cambria Math"/>
                        <w:i/>
                        <w:iCs/>
                        <w:sz w:val="24"/>
                        <w:szCs w:val="24"/>
                      </w:rPr>
                    </m:ctrlPr>
                  </m:dPr>
                  <m:e>
                    <m:r>
                      <w:rPr>
                        <w:rFonts w:ascii="Cambria Math" w:eastAsiaTheme="minorEastAsia" w:hAnsi="Cambria Math"/>
                        <w:sz w:val="24"/>
                        <w:szCs w:val="24"/>
                      </w:rPr>
                      <m:t>1-τ</m:t>
                    </m:r>
                  </m:e>
                </m:d>
              </m:e>
            </m:rad>
          </m:den>
        </m:f>
        <m:sSup>
          <m:sSupPr>
            <m:ctrlPr>
              <w:rPr>
                <w:rFonts w:ascii="Cambria Math" w:eastAsiaTheme="minorEastAsia" w:hAnsi="Cambria Math"/>
                <w:i/>
                <w:iCs/>
                <w:sz w:val="24"/>
                <w:szCs w:val="24"/>
              </w:rPr>
            </m:ctrlPr>
          </m:sSupPr>
          <m:e>
            <m:d>
              <m:dPr>
                <m:ctrlPr>
                  <w:rPr>
                    <w:rFonts w:ascii="Cambria Math" w:eastAsiaTheme="minorEastAsia" w:hAnsi="Cambria Math"/>
                    <w:i/>
                    <w:iCs/>
                    <w:sz w:val="24"/>
                    <w:szCs w:val="24"/>
                  </w:rPr>
                </m:ctrlPr>
              </m:dPr>
              <m:e>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-1</m:t>
                    </m:r>
                  </m:sub>
                  <m:sup>
                    <m:r>
                      <w:rPr>
                        <w:rFonts w:ascii="Cambria Math" w:eastAsiaTheme="minorEastAsia" w:hAnsi="Cambria Math"/>
                        <w:sz w:val="24"/>
                        <w:szCs w:val="24"/>
                      </w:rPr>
                      <m:t>'</m:t>
                    </m:r>
                  </m:sup>
                </m:sSubSup>
                <m:sSub>
                  <m:sSubPr>
                    <m:ctrlPr>
                      <w:rPr>
                        <w:rFonts w:ascii="Cambria Math" w:eastAsiaTheme="minorEastAsia" w:hAnsi="Cambria Math"/>
                        <w:i/>
                        <w:iCs/>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d>
          </m:e>
          <m:sup>
            <m:f>
              <m:fPr>
                <m:ctrlPr>
                  <w:rPr>
                    <w:rFonts w:ascii="Cambria Math" w:eastAsiaTheme="minorEastAsia" w:hAnsi="Cambria Math"/>
                    <w:i/>
                    <w:iCs/>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sSub>
          <m:sSubPr>
            <m:ctrlPr>
              <w:rPr>
                <w:rFonts w:ascii="Cambria Math" w:eastAsiaTheme="minorEastAsia" w:hAnsi="Cambria Math"/>
                <w:i/>
                <w:iCs/>
                <w:sz w:val="24"/>
                <w:szCs w:val="24"/>
              </w:rPr>
            </m:ctrlPr>
          </m:sSubPr>
          <m:e>
            <m:r>
              <w:rPr>
                <w:rFonts w:ascii="Cambria Math" w:eastAsiaTheme="minorEastAsia" w:hAnsi="Cambria Math"/>
                <w:sz w:val="24"/>
                <w:szCs w:val="24"/>
              </w:rPr>
              <m:t>(</m:t>
            </m:r>
            <m:acc>
              <m:accPr>
                <m:ctrlPr>
                  <w:rPr>
                    <w:rFonts w:ascii="Cambria Math" w:eastAsiaTheme="minorEastAsia" w:hAnsi="Cambria Math"/>
                    <w:i/>
                    <w:iCs/>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-1)</m:t>
        </m:r>
      </m:oMath>
      <w:r w:rsidRPr="009E00D2">
        <w:rPr>
          <w:rFonts w:ascii="Garamond" w:eastAsiaTheme="minorEastAsia" w:hAnsi="Garamond"/>
          <w:iCs/>
          <w:sz w:val="24"/>
          <w:szCs w:val="24"/>
        </w:rPr>
        <w:t xml:space="preserve">, </w:t>
      </w:r>
      <w:r w:rsidRPr="009E00D2">
        <w:rPr>
          <w:rFonts w:ascii="Garamond" w:eastAsiaTheme="minorEastAsia" w:hAnsi="Garamond"/>
          <w:iCs/>
          <w:sz w:val="24"/>
          <w:szCs w:val="24"/>
        </w:rPr>
        <w:tab/>
      </w:r>
      <w:r w:rsidRPr="009E00D2">
        <w:rPr>
          <w:rFonts w:ascii="Garamond" w:eastAsiaTheme="minorEastAsia" w:hAnsi="Garamond"/>
          <w:iCs/>
          <w:sz w:val="24"/>
          <w:szCs w:val="24"/>
        </w:rPr>
        <w:tab/>
      </w:r>
      <w:r w:rsidRPr="009E00D2">
        <w:rPr>
          <w:rFonts w:ascii="Garamond" w:eastAsiaTheme="minorEastAsia" w:hAnsi="Garamond"/>
          <w:iCs/>
          <w:sz w:val="24"/>
          <w:szCs w:val="24"/>
        </w:rPr>
        <w:tab/>
      </w:r>
      <w:r w:rsidRPr="009E00D2">
        <w:rPr>
          <w:rFonts w:ascii="Garamond" w:eastAsiaTheme="minorEastAsia" w:hAnsi="Garamond"/>
          <w:iCs/>
          <w:sz w:val="24"/>
          <w:szCs w:val="24"/>
        </w:rPr>
        <w:tab/>
      </w:r>
      <w:r w:rsidR="00201D7F">
        <w:rPr>
          <w:rFonts w:ascii="Garamond" w:eastAsiaTheme="minorEastAsia" w:hAnsi="Garamond"/>
          <w:iCs/>
          <w:sz w:val="24"/>
          <w:szCs w:val="24"/>
        </w:rPr>
        <w:t xml:space="preserve">               </w:t>
      </w:r>
      <w:r w:rsidRPr="009E00D2">
        <w:rPr>
          <w:rFonts w:ascii="Garamond" w:eastAsiaTheme="minorEastAsia" w:hAnsi="Garamond"/>
          <w:iCs/>
          <w:sz w:val="24"/>
          <w:szCs w:val="24"/>
        </w:rPr>
        <w:tab/>
      </w:r>
      <w:r w:rsidRPr="009E00D2">
        <w:rPr>
          <w:rFonts w:ascii="Garamond" w:eastAsiaTheme="minorEastAsia" w:hAnsi="Garamond"/>
          <w:iCs/>
          <w:sz w:val="24"/>
          <w:szCs w:val="24"/>
        </w:rPr>
        <w:tab/>
        <w:t>(5)</w:t>
      </w:r>
    </w:p>
    <w:p w14:paraId="13BC6B3D" w14:textId="77777777" w:rsidR="004E33B3" w:rsidRPr="009E00D2" w:rsidRDefault="004E33B3" w:rsidP="00E546B1">
      <w:pPr>
        <w:pStyle w:val="NoSpacing"/>
        <w:spacing w:line="480" w:lineRule="auto"/>
        <w:ind w:firstLine="708"/>
        <w:jc w:val="both"/>
        <w:rPr>
          <w:rFonts w:ascii="Garamond" w:eastAsiaTheme="minorEastAsia" w:hAnsi="Garamond"/>
          <w:iCs/>
          <w:sz w:val="24"/>
          <w:szCs w:val="24"/>
        </w:rPr>
      </w:pPr>
    </w:p>
    <w:p w14:paraId="301CD3E0" w14:textId="77777777" w:rsidR="00E546B1" w:rsidRPr="009E00D2" w:rsidRDefault="00E546B1" w:rsidP="00E546B1">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t xml:space="preserve">where </w:t>
      </w:r>
      <m:oMath>
        <m:r>
          <w:rPr>
            <w:rFonts w:ascii="Cambria Math" w:eastAsiaTheme="minorEastAsia" w:hAnsi="Cambria Math"/>
            <w:sz w:val="24"/>
            <w:szCs w:val="24"/>
          </w:rPr>
          <m:t>f</m:t>
        </m:r>
        <m:d>
          <m:dPr>
            <m:ctrlPr>
              <w:rPr>
                <w:rFonts w:ascii="Cambria Math" w:eastAsiaTheme="minorEastAsia" w:hAnsi="Cambria Math"/>
                <w:i/>
                <w:iCs/>
                <w:sz w:val="24"/>
                <w:szCs w:val="24"/>
              </w:rPr>
            </m:ctrlPr>
          </m:dPr>
          <m:e>
            <m:acc>
              <m:accPr>
                <m:ctrlPr>
                  <w:rPr>
                    <w:rFonts w:ascii="Cambria Math" w:eastAsiaTheme="minorEastAsia" w:hAnsi="Cambria Math"/>
                    <w:i/>
                    <w:iCs/>
                    <w:sz w:val="24"/>
                    <w:szCs w:val="24"/>
                  </w:rPr>
                </m:ctrlPr>
              </m:accPr>
              <m:e>
                <m:sSup>
                  <m:sSupPr>
                    <m:ctrlPr>
                      <w:rPr>
                        <w:rFonts w:ascii="Cambria Math" w:eastAsiaTheme="minorEastAsia" w:hAnsi="Cambria Math"/>
                        <w:i/>
                        <w:iCs/>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-1</m:t>
                    </m:r>
                  </m:sup>
                </m:sSup>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acc>
          </m:e>
        </m:d>
      </m:oMath>
      <w:r w:rsidRPr="009E00D2">
        <w:rPr>
          <w:rFonts w:ascii="Garamond" w:eastAsiaTheme="minorEastAsia" w:hAnsi="Garamond"/>
          <w:iCs/>
          <w:sz w:val="24"/>
          <w:szCs w:val="24"/>
        </w:rPr>
        <w:t xml:space="preserve"> is a consistent estimator of </w:t>
      </w:r>
      <m:oMath>
        <m:r>
          <w:rPr>
            <w:rFonts w:ascii="Cambria Math" w:eastAsiaTheme="minorEastAsia" w:hAnsi="Cambria Math"/>
            <w:sz w:val="24"/>
            <w:szCs w:val="24"/>
          </w:rPr>
          <m:t>f</m:t>
        </m:r>
        <m:d>
          <m:dPr>
            <m:ctrlPr>
              <w:rPr>
                <w:rFonts w:ascii="Cambria Math" w:eastAsiaTheme="minorEastAsia" w:hAnsi="Cambria Math"/>
                <w:i/>
                <w:iCs/>
                <w:sz w:val="24"/>
                <w:szCs w:val="24"/>
              </w:rPr>
            </m:ctrlPr>
          </m:dPr>
          <m:e>
            <m:sSup>
              <m:sSupPr>
                <m:ctrlPr>
                  <w:rPr>
                    <w:rFonts w:ascii="Cambria Math" w:eastAsiaTheme="minorEastAsia" w:hAnsi="Cambria Math"/>
                    <w:i/>
                    <w:iCs/>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-1</m:t>
                </m:r>
              </m:sup>
            </m:sSup>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d>
      </m:oMath>
      <w:r w:rsidRPr="009E00D2">
        <w:rPr>
          <w:rFonts w:ascii="Garamond" w:eastAsiaTheme="minorEastAsia" w:hAnsi="Garamond"/>
          <w:iCs/>
          <w:sz w:val="24"/>
          <w:szCs w:val="24"/>
        </w:rPr>
        <w:t xml:space="preserve">, with f and F representing the density and distribution function of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oMath>
      <w:r w:rsidRPr="009E00D2">
        <w:rPr>
          <w:rFonts w:ascii="Garamond" w:eastAsiaTheme="minorEastAsia" w:hAnsi="Garamond"/>
          <w:iCs/>
          <w:sz w:val="24"/>
          <w:szCs w:val="24"/>
        </w:rPr>
        <w:t xml:space="preserve"> is a vector of lagged dependent variable </w:t>
      </w:r>
      <m:oMath>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t-1</m:t>
            </m:r>
          </m:sub>
          <m:sup/>
        </m:sSubSup>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oMath>
      <w:r w:rsidRPr="009E00D2">
        <w:rPr>
          <w:rFonts w:ascii="Garamond" w:eastAsiaTheme="minorEastAsia" w:hAnsi="Garamond"/>
          <w:iCs/>
          <w:sz w:val="24"/>
          <w:szCs w:val="24"/>
        </w:rPr>
        <w:t xml:space="preserve"> is the projection matrix onto the space orthogonal to </w:t>
      </w:r>
      <m:oMath>
        <m:r>
          <w:rPr>
            <w:rFonts w:ascii="Cambria Math" w:eastAsiaTheme="minorEastAsia" w:hAnsi="Cambria Math"/>
            <w:sz w:val="24"/>
            <w:szCs w:val="24"/>
          </w:rPr>
          <m:t>X=</m:t>
        </m:r>
        <m:d>
          <m:dPr>
            <m:ctrlPr>
              <w:rPr>
                <w:rFonts w:ascii="Cambria Math" w:eastAsiaTheme="minorEastAsia" w:hAnsi="Cambria Math"/>
                <w:i/>
                <w:iCs/>
                <w:sz w:val="24"/>
                <w:szCs w:val="24"/>
              </w:rPr>
            </m:ctrlPr>
          </m:dPr>
          <m:e>
            <m:r>
              <w:rPr>
                <w:rFonts w:ascii="Cambria Math" w:eastAsiaTheme="minorEastAsia" w:hAnsi="Cambria Math"/>
                <w:sz w:val="24"/>
                <w:szCs w:val="24"/>
              </w:rPr>
              <m:t>1,∆</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t-q</m:t>
                </m:r>
              </m:sub>
            </m:sSub>
          </m:e>
        </m:d>
      </m:oMath>
      <w:r w:rsidRPr="009E00D2">
        <w:rPr>
          <w:rFonts w:ascii="Garamond" w:eastAsiaTheme="minorEastAsia" w:hAnsi="Garamond"/>
          <w:iCs/>
          <w:sz w:val="24"/>
          <w:szCs w:val="24"/>
        </w:rPr>
        <w:t xml:space="preserve">. Thus, under the unit-root  </w:t>
      </w:r>
    </w:p>
    <w:p w14:paraId="5CF9052D" w14:textId="507E22BB" w:rsidR="00E546B1" w:rsidRPr="009E00D2" w:rsidRDefault="00880EE9" w:rsidP="00201D7F">
      <w:pPr>
        <w:pStyle w:val="NoSpacing"/>
        <w:spacing w:line="480" w:lineRule="auto"/>
        <w:jc w:val="both"/>
        <w:rPr>
          <w:rFonts w:ascii="Garamond" w:eastAsiaTheme="minorEastAsia" w:hAnsi="Garamond"/>
          <w:iCs/>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n</m:t>
            </m:r>
          </m:sub>
        </m:sSub>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=t</m:t>
        </m:r>
        <m:d>
          <m:dPr>
            <m:ctrlPr>
              <w:rPr>
                <w:rFonts w:ascii="Cambria Math" w:eastAsiaTheme="minorEastAsia" w:hAnsi="Cambria Math"/>
                <w:i/>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m:t>
        </m:r>
        <m:f>
          <m:fPr>
            <m:ctrlPr>
              <w:rPr>
                <w:rFonts w:ascii="Cambria Math" w:eastAsiaTheme="minorEastAsia" w:hAnsi="Cambria Math"/>
                <w:i/>
                <w:iCs/>
                <w:sz w:val="24"/>
                <w:szCs w:val="24"/>
              </w:rPr>
            </m:ctrlPr>
          </m:fPr>
          <m:num>
            <m:r>
              <w:rPr>
                <w:rFonts w:ascii="Cambria Math" w:eastAsiaTheme="minorEastAsia" w:hAnsi="Cambria Math"/>
                <w:sz w:val="24"/>
                <w:szCs w:val="24"/>
              </w:rPr>
              <m:t>1</m:t>
            </m:r>
          </m:num>
          <m:den>
            <m:rad>
              <m:radPr>
                <m:degHide m:val="1"/>
                <m:ctrlPr>
                  <w:rPr>
                    <w:rFonts w:ascii="Cambria Math" w:eastAsiaTheme="minorEastAsia" w:hAnsi="Cambria Math"/>
                    <w:i/>
                    <w:iCs/>
                    <w:sz w:val="24"/>
                    <w:szCs w:val="24"/>
                  </w:rPr>
                </m:ctrlPr>
              </m:radPr>
              <m:deg/>
              <m:e>
                <m:r>
                  <w:rPr>
                    <w:rFonts w:ascii="Cambria Math" w:eastAsiaTheme="minorEastAsia" w:hAnsi="Cambria Math"/>
                    <w:sz w:val="24"/>
                    <w:szCs w:val="24"/>
                  </w:rPr>
                  <m:t>τ</m:t>
                </m:r>
                <m:d>
                  <m:dPr>
                    <m:ctrlPr>
                      <w:rPr>
                        <w:rFonts w:ascii="Cambria Math" w:eastAsiaTheme="minorEastAsia" w:hAnsi="Cambria Math"/>
                        <w:i/>
                        <w:iCs/>
                        <w:sz w:val="24"/>
                        <w:szCs w:val="24"/>
                      </w:rPr>
                    </m:ctrlPr>
                  </m:dPr>
                  <m:e>
                    <m:r>
                      <w:rPr>
                        <w:rFonts w:ascii="Cambria Math" w:eastAsiaTheme="minorEastAsia" w:hAnsi="Cambria Math"/>
                        <w:sz w:val="24"/>
                        <w:szCs w:val="24"/>
                      </w:rPr>
                      <m:t>1-τ</m:t>
                    </m:r>
                  </m:e>
                </m:d>
              </m:e>
            </m:rad>
          </m:den>
        </m:f>
        <m:sSup>
          <m:sSupPr>
            <m:ctrlPr>
              <w:rPr>
                <w:rFonts w:ascii="Cambria Math" w:eastAsiaTheme="minorEastAsia" w:hAnsi="Cambria Math"/>
                <w:i/>
                <w:iCs/>
                <w:sz w:val="24"/>
                <w:szCs w:val="24"/>
              </w:rPr>
            </m:ctrlPr>
          </m:sSupPr>
          <m:e>
            <m:d>
              <m:dPr>
                <m:begChr m:val="["/>
                <m:endChr m:val="]"/>
                <m:ctrlPr>
                  <w:rPr>
                    <w:rFonts w:ascii="Cambria Math" w:eastAsiaTheme="minorEastAsia" w:hAnsi="Cambria Math"/>
                    <w:i/>
                    <w:iCs/>
                    <w:sz w:val="24"/>
                    <w:szCs w:val="24"/>
                  </w:rPr>
                </m:ctrlPr>
              </m:dPr>
              <m:e>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sSubSup>
                      <m:sSubSupPr>
                        <m:ctrlPr>
                          <w:rPr>
                            <w:rFonts w:ascii="Cambria Math" w:eastAsiaTheme="minorEastAsia" w:hAnsi="Cambria Math"/>
                            <w:i/>
                            <w:iCs/>
                            <w:sz w:val="24"/>
                            <w:szCs w:val="24"/>
                          </w:rPr>
                        </m:ctrlPr>
                      </m:sSubSupPr>
                      <m:e>
                        <m:bar>
                          <m:barPr>
                            <m:ctrlPr>
                              <w:rPr>
                                <w:rFonts w:ascii="Cambria Math" w:eastAsiaTheme="minorEastAsia" w:hAnsi="Cambria Math"/>
                                <w:i/>
                                <w:iCs/>
                                <w:sz w:val="24"/>
                                <w:szCs w:val="24"/>
                              </w:rPr>
                            </m:ctrlPr>
                          </m:barPr>
                          <m:e>
                            <m:r>
                              <w:rPr>
                                <w:rFonts w:ascii="Cambria Math" w:eastAsiaTheme="minorEastAsia" w:hAnsi="Cambria Math"/>
                                <w:sz w:val="24"/>
                                <w:szCs w:val="24"/>
                              </w:rPr>
                              <m:t>B</m:t>
                            </m:r>
                          </m:e>
                        </m:bar>
                      </m:e>
                      <m:sub>
                        <m:r>
                          <w:rPr>
                            <w:rFonts w:ascii="Cambria Math" w:eastAsiaTheme="minorEastAsia" w:hAnsi="Cambria Math"/>
                            <w:sz w:val="24"/>
                            <w:szCs w:val="24"/>
                          </w:rPr>
                          <m:t>w</m:t>
                        </m:r>
                      </m:sub>
                      <m:sup>
                        <m:r>
                          <w:rPr>
                            <w:rFonts w:ascii="Cambria Math" w:eastAsiaTheme="minorEastAsia" w:hAnsi="Cambria Math"/>
                            <w:sz w:val="24"/>
                            <w:szCs w:val="24"/>
                          </w:rPr>
                          <m:t>2</m:t>
                        </m:r>
                      </m:sup>
                    </m:sSubSup>
                  </m:e>
                </m:nary>
              </m:e>
            </m:d>
          </m:e>
          <m:sup>
            <m:r>
              <w:rPr>
                <w:rFonts w:ascii="Cambria Math" w:eastAsiaTheme="minorEastAsia" w:hAnsi="Cambria Math"/>
                <w:sz w:val="24"/>
                <w:szCs w:val="24"/>
              </w:rPr>
              <m:t>-1</m:t>
            </m:r>
          </m:sup>
        </m:sSup>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sSub>
              <m:sSubPr>
                <m:ctrlPr>
                  <w:rPr>
                    <w:rFonts w:ascii="Cambria Math" w:eastAsiaTheme="minorEastAsia" w:hAnsi="Cambria Math"/>
                    <w:i/>
                    <w:iCs/>
                    <w:sz w:val="24"/>
                    <w:szCs w:val="24"/>
                  </w:rPr>
                </m:ctrlPr>
              </m:sSubPr>
              <m:e>
                <m:bar>
                  <m:barPr>
                    <m:ctrlPr>
                      <w:rPr>
                        <w:rFonts w:ascii="Cambria Math" w:eastAsiaTheme="minorEastAsia" w:hAnsi="Cambria Math"/>
                        <w:i/>
                        <w:iCs/>
                        <w:sz w:val="24"/>
                        <w:szCs w:val="24"/>
                      </w:rPr>
                    </m:ctrlPr>
                  </m:barPr>
                  <m:e>
                    <m:r>
                      <w:rPr>
                        <w:rFonts w:ascii="Cambria Math" w:eastAsiaTheme="minorEastAsia" w:hAnsi="Cambria Math"/>
                        <w:sz w:val="24"/>
                        <w:szCs w:val="24"/>
                      </w:rPr>
                      <m:t>B</m:t>
                    </m:r>
                  </m:e>
                </m:bar>
              </m:e>
              <m:sub>
                <m:r>
                  <w:rPr>
                    <w:rFonts w:ascii="Cambria Math" w:eastAsiaTheme="minorEastAsia" w:hAnsi="Cambria Math"/>
                    <w:sz w:val="24"/>
                    <w:szCs w:val="24"/>
                  </w:rPr>
                  <m:t>w</m:t>
                </m:r>
              </m:sub>
            </m:sSub>
            <m:r>
              <w:rPr>
                <w:rFonts w:ascii="Cambria Math" w:eastAsiaTheme="minorEastAsia" w:hAnsi="Cambria Math"/>
                <w:sz w:val="24"/>
                <w:szCs w:val="24"/>
              </w:rPr>
              <m:t>d</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ψ</m:t>
                </m:r>
              </m:sub>
              <m:sup>
                <m:r>
                  <w:rPr>
                    <w:rFonts w:ascii="Cambria Math" w:eastAsiaTheme="minorEastAsia" w:hAnsi="Cambria Math"/>
                    <w:sz w:val="24"/>
                    <w:szCs w:val="24"/>
                  </w:rPr>
                  <m:t>τ</m:t>
                </m:r>
              </m:sup>
            </m:sSubSup>
          </m:e>
        </m:nary>
      </m:oMath>
      <w:r w:rsidR="00E546B1" w:rsidRPr="009E00D2">
        <w:rPr>
          <w:rFonts w:ascii="Garamond" w:eastAsiaTheme="minorEastAsia" w:hAnsi="Garamond"/>
          <w:iCs/>
          <w:sz w:val="24"/>
          <w:szCs w:val="24"/>
        </w:rPr>
        <w:t>.</w:t>
      </w:r>
      <w:r w:rsidR="00E546B1" w:rsidRPr="009E00D2">
        <w:rPr>
          <w:rFonts w:ascii="Garamond" w:eastAsiaTheme="minorEastAsia" w:hAnsi="Garamond"/>
          <w:iCs/>
          <w:sz w:val="24"/>
          <w:szCs w:val="24"/>
        </w:rPr>
        <w:tab/>
      </w:r>
      <w:r w:rsidR="00BD329C">
        <w:rPr>
          <w:rFonts w:ascii="Garamond" w:eastAsiaTheme="minorEastAsia" w:hAnsi="Garamond"/>
          <w:iCs/>
          <w:sz w:val="24"/>
          <w:szCs w:val="24"/>
        </w:rPr>
        <w:t xml:space="preserve">           </w:t>
      </w:r>
      <w:r w:rsidR="00E546B1" w:rsidRPr="009E00D2">
        <w:rPr>
          <w:rFonts w:ascii="Garamond" w:eastAsiaTheme="minorEastAsia" w:hAnsi="Garamond"/>
          <w:iCs/>
          <w:sz w:val="24"/>
          <w:szCs w:val="24"/>
        </w:rPr>
        <w:tab/>
      </w:r>
      <w:r w:rsidR="00201D7F">
        <w:rPr>
          <w:rFonts w:ascii="Garamond" w:eastAsiaTheme="minorEastAsia" w:hAnsi="Garamond"/>
          <w:iCs/>
          <w:sz w:val="24"/>
          <w:szCs w:val="24"/>
        </w:rPr>
        <w:t xml:space="preserve">                       </w:t>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t>(6)</w:t>
      </w:r>
    </w:p>
    <w:p w14:paraId="58487027" w14:textId="77777777" w:rsidR="00E546B1" w:rsidRPr="009E00D2" w:rsidRDefault="00E546B1" w:rsidP="00E546B1">
      <w:pPr>
        <w:pStyle w:val="NoSpacing"/>
        <w:spacing w:line="480" w:lineRule="auto"/>
        <w:ind w:firstLine="708"/>
        <w:jc w:val="both"/>
        <w:rPr>
          <w:rFonts w:ascii="Garamond" w:eastAsiaTheme="minorEastAsia" w:hAnsi="Garamond"/>
          <w:iCs/>
          <w:sz w:val="24"/>
          <w:szCs w:val="24"/>
        </w:rPr>
      </w:pPr>
    </w:p>
    <w:p w14:paraId="6E037C14" w14:textId="76CF9DE7" w:rsidR="00E546B1" w:rsidRPr="009E00D2" w:rsidRDefault="00E546B1" w:rsidP="00BD329C">
      <w:pPr>
        <w:pStyle w:val="NoSpacing"/>
        <w:spacing w:line="480" w:lineRule="auto"/>
        <w:ind w:firstLine="709"/>
        <w:jc w:val="both"/>
        <w:rPr>
          <w:rFonts w:ascii="Garamond" w:eastAsiaTheme="minorEastAsia" w:hAnsi="Garamond"/>
          <w:iCs/>
          <w:sz w:val="24"/>
          <w:szCs w:val="24"/>
        </w:rPr>
      </w:pPr>
      <w:r w:rsidRPr="009E00D2">
        <w:rPr>
          <w:rFonts w:ascii="Garamond" w:eastAsiaTheme="minorEastAsia" w:hAnsi="Garamond"/>
          <w:iCs/>
          <w:sz w:val="24"/>
          <w:szCs w:val="24"/>
        </w:rPr>
        <w:t xml:space="preserve">Following Yang and Zhao (2020), a starting point is a univariate two-regime model where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follows a unit root process in the middle regime (Kapetanios et al.</w:t>
      </w:r>
      <w:r w:rsidR="00201D7F">
        <w:rPr>
          <w:rFonts w:ascii="Garamond" w:eastAsiaTheme="minorEastAsia" w:hAnsi="Garamond"/>
          <w:iCs/>
          <w:sz w:val="24"/>
          <w:szCs w:val="24"/>
        </w:rPr>
        <w:t>,</w:t>
      </w:r>
      <w:r w:rsidRPr="009E00D2">
        <w:rPr>
          <w:rFonts w:ascii="Garamond" w:eastAsiaTheme="minorEastAsia" w:hAnsi="Garamond"/>
          <w:iCs/>
          <w:sz w:val="24"/>
          <w:szCs w:val="24"/>
        </w:rPr>
        <w:t xml:space="preserve"> 2003):</w:t>
      </w:r>
    </w:p>
    <w:p w14:paraId="16BC0B65" w14:textId="77777777" w:rsidR="00E546B1" w:rsidRPr="009E00D2" w:rsidRDefault="00E546B1" w:rsidP="00E546B1">
      <w:pPr>
        <w:pStyle w:val="NoSpacing"/>
        <w:spacing w:line="480" w:lineRule="auto"/>
        <w:ind w:firstLine="708"/>
        <w:jc w:val="both"/>
        <w:rPr>
          <w:rFonts w:ascii="Garamond" w:eastAsiaTheme="minorEastAsia" w:hAnsi="Garamond"/>
          <w:iCs/>
          <w:sz w:val="24"/>
          <w:szCs w:val="24"/>
        </w:rPr>
      </w:pPr>
    </w:p>
    <w:p w14:paraId="470DEC8B" w14:textId="120752CD" w:rsidR="00E546B1" w:rsidRPr="009E00D2" w:rsidRDefault="00E546B1" w:rsidP="00201D7F">
      <w:pPr>
        <w:pStyle w:val="NoSpacing"/>
        <w:spacing w:line="480" w:lineRule="auto"/>
        <w:jc w:val="both"/>
        <w:rPr>
          <w:rFonts w:ascii="Garamond" w:eastAsiaTheme="minorEastAsia" w:hAnsi="Garamond"/>
          <w:iCs/>
          <w:sz w:val="24"/>
          <w:szCs w:val="24"/>
        </w:rPr>
      </w:pPr>
      <m:oMath>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rPr>
          <m:t>=γ</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d>
          <m:dPr>
            <m:begChr m:val="["/>
            <m:endChr m:val="]"/>
            <m:ctrlPr>
              <w:rPr>
                <w:rFonts w:ascii="Cambria Math" w:eastAsiaTheme="minorEastAsia" w:hAnsi="Cambria Math"/>
                <w:i/>
                <w:iCs/>
                <w:sz w:val="24"/>
                <w:szCs w:val="24"/>
              </w:rPr>
            </m:ctrlPr>
          </m:dPr>
          <m:e>
            <m:r>
              <w:rPr>
                <w:rFonts w:ascii="Cambria Math" w:eastAsiaTheme="minorEastAsia" w:hAnsi="Cambria Math"/>
                <w:sz w:val="24"/>
                <w:szCs w:val="24"/>
              </w:rPr>
              <m:t>1-</m:t>
            </m:r>
            <m:func>
              <m:funcPr>
                <m:ctrlPr>
                  <w:rPr>
                    <w:rFonts w:ascii="Cambria Math" w:eastAsiaTheme="minorEastAsia" w:hAnsi="Cambria Math"/>
                    <w:i/>
                    <w:iCs/>
                    <w:sz w:val="24"/>
                    <w:szCs w:val="24"/>
                  </w:rPr>
                </m:ctrlPr>
              </m:funcPr>
              <m:fName>
                <m:r>
                  <m:rPr>
                    <m:sty m:val="p"/>
                  </m:rPr>
                  <w:rPr>
                    <w:rFonts w:ascii="Cambria Math" w:eastAsiaTheme="minorEastAsia" w:hAnsi="Cambria Math"/>
                    <w:sz w:val="24"/>
                    <w:szCs w:val="24"/>
                  </w:rPr>
                  <m:t>exp</m:t>
                </m:r>
              </m:fName>
              <m:e>
                <m:d>
                  <m:dPr>
                    <m:ctrlPr>
                      <w:rPr>
                        <w:rFonts w:ascii="Cambria Math" w:eastAsiaTheme="minorEastAsia" w:hAnsi="Cambria Math"/>
                        <w:i/>
                        <w:iCs/>
                        <w:sz w:val="24"/>
                        <w:szCs w:val="24"/>
                      </w:rPr>
                    </m:ctrlPr>
                  </m:dPr>
                  <m:e>
                    <m:r>
                      <w:rPr>
                        <w:rFonts w:ascii="Cambria Math" w:eastAsiaTheme="minorEastAsia" w:hAnsi="Cambria Math"/>
                        <w:sz w:val="24"/>
                        <w:szCs w:val="24"/>
                      </w:rPr>
                      <m:t>-θ</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t-1</m:t>
                        </m:r>
                      </m:sub>
                      <m:sup>
                        <m:r>
                          <w:rPr>
                            <w:rFonts w:ascii="Cambria Math" w:eastAsiaTheme="minorEastAsia" w:hAnsi="Cambria Math"/>
                            <w:sz w:val="24"/>
                            <w:szCs w:val="24"/>
                          </w:rPr>
                          <m:t>2</m:t>
                        </m:r>
                      </m:sup>
                    </m:sSubSup>
                  </m:e>
                </m:d>
              </m:e>
            </m:func>
          </m:e>
        </m:d>
        <m:r>
          <w:rPr>
            <w:rFonts w:ascii="Cambria Math" w:eastAsiaTheme="minorEastAsia" w:hAnsi="Cambria Math"/>
            <w:sz w:val="24"/>
            <w:szCs w:val="24"/>
          </w:rPr>
          <m:t>+</m:t>
        </m:r>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k=1</m:t>
            </m:r>
          </m:sub>
          <m:sup>
            <m:r>
              <w:rPr>
                <w:rFonts w:ascii="Cambria Math" w:eastAsiaTheme="minorEastAsia" w:hAnsi="Cambria Math"/>
                <w:sz w:val="24"/>
                <w:szCs w:val="24"/>
              </w:rPr>
              <m:t>p</m:t>
            </m:r>
          </m:sup>
          <m:e>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k</m:t>
                </m:r>
              </m:sub>
            </m:sSub>
          </m:e>
        </m:nary>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t-k</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oMath>
      <w:r w:rsidRPr="009E00D2">
        <w:rPr>
          <w:rFonts w:ascii="Garamond" w:eastAsiaTheme="minorEastAsia" w:hAnsi="Garamond"/>
          <w:iCs/>
          <w:sz w:val="24"/>
          <w:szCs w:val="24"/>
        </w:rPr>
        <w:t>,</w:t>
      </w:r>
      <w:r w:rsidRPr="009E00D2">
        <w:rPr>
          <w:rFonts w:ascii="Garamond" w:eastAsiaTheme="minorEastAsia" w:hAnsi="Garamond"/>
          <w:iCs/>
          <w:sz w:val="24"/>
          <w:szCs w:val="24"/>
        </w:rPr>
        <w:tab/>
      </w:r>
      <w:r w:rsidRPr="009E00D2">
        <w:rPr>
          <w:rFonts w:ascii="Garamond" w:eastAsiaTheme="minorEastAsia" w:hAnsi="Garamond"/>
          <w:iCs/>
          <w:sz w:val="24"/>
          <w:szCs w:val="24"/>
        </w:rPr>
        <w:tab/>
      </w:r>
      <w:r w:rsidR="00BD329C">
        <w:rPr>
          <w:rFonts w:ascii="Garamond" w:eastAsiaTheme="minorEastAsia" w:hAnsi="Garamond"/>
          <w:iCs/>
          <w:sz w:val="24"/>
          <w:szCs w:val="24"/>
        </w:rPr>
        <w:t xml:space="preserve"> </w:t>
      </w:r>
      <w:r w:rsidRPr="009E00D2">
        <w:rPr>
          <w:rFonts w:ascii="Garamond" w:eastAsiaTheme="minorEastAsia" w:hAnsi="Garamond"/>
          <w:iCs/>
          <w:sz w:val="24"/>
          <w:szCs w:val="24"/>
        </w:rPr>
        <w:tab/>
      </w:r>
      <w:r w:rsidR="00201D7F">
        <w:rPr>
          <w:rFonts w:ascii="Garamond" w:eastAsiaTheme="minorEastAsia" w:hAnsi="Garamond"/>
          <w:iCs/>
          <w:sz w:val="24"/>
          <w:szCs w:val="24"/>
        </w:rPr>
        <w:t xml:space="preserve">                       </w:t>
      </w:r>
      <w:r w:rsidRPr="009E00D2">
        <w:rPr>
          <w:rFonts w:ascii="Garamond" w:eastAsiaTheme="minorEastAsia" w:hAnsi="Garamond"/>
          <w:iCs/>
          <w:sz w:val="24"/>
          <w:szCs w:val="24"/>
        </w:rPr>
        <w:tab/>
        <w:t>(7)</w:t>
      </w:r>
    </w:p>
    <w:p w14:paraId="7C387BF1" w14:textId="77777777" w:rsidR="00E546B1" w:rsidRPr="009E00D2" w:rsidRDefault="00E546B1" w:rsidP="00E546B1">
      <w:pPr>
        <w:pStyle w:val="NoSpacing"/>
        <w:spacing w:line="480" w:lineRule="auto"/>
        <w:ind w:firstLine="708"/>
        <w:jc w:val="both"/>
        <w:rPr>
          <w:rFonts w:ascii="Garamond" w:eastAsiaTheme="minorEastAsia" w:hAnsi="Garamond"/>
          <w:iCs/>
          <w:sz w:val="24"/>
          <w:szCs w:val="24"/>
        </w:rPr>
      </w:pPr>
    </w:p>
    <w:p w14:paraId="1DF7B886" w14:textId="3E004768" w:rsidR="00E546B1" w:rsidRPr="009E00D2" w:rsidRDefault="00E546B1" w:rsidP="00E546B1">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t xml:space="preserve">where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r>
          <w:rPr>
            <w:rFonts w:ascii="Cambria Math" w:eastAsiaTheme="minorEastAsia" w:hAnsi="Cambria Math"/>
            <w:sz w:val="24"/>
            <w:szCs w:val="24"/>
          </w:rPr>
          <m:t>→±∞</m:t>
        </m:r>
      </m:oMath>
      <w:r w:rsidRPr="009E00D2">
        <w:rPr>
          <w:rFonts w:ascii="Garamond" w:eastAsiaTheme="minorEastAsia" w:hAnsi="Garamond"/>
          <w:iCs/>
          <w:sz w:val="24"/>
          <w:szCs w:val="24"/>
        </w:rPr>
        <w:t xml:space="preserve">, </w:t>
      </w:r>
      <m:oMath>
        <m:r>
          <w:rPr>
            <w:rFonts w:ascii="Cambria Math" w:eastAsiaTheme="minorEastAsia" w:hAnsi="Cambria Math"/>
            <w:sz w:val="24"/>
            <w:szCs w:val="24"/>
          </w:rPr>
          <m:t>1-</m:t>
        </m:r>
        <m:func>
          <m:funcPr>
            <m:ctrlPr>
              <w:rPr>
                <w:rFonts w:ascii="Cambria Math" w:eastAsiaTheme="minorEastAsia" w:hAnsi="Cambria Math"/>
                <w:i/>
                <w:iCs/>
                <w:sz w:val="24"/>
                <w:szCs w:val="24"/>
              </w:rPr>
            </m:ctrlPr>
          </m:funcPr>
          <m:fName>
            <m:r>
              <m:rPr>
                <m:sty m:val="p"/>
              </m:rPr>
              <w:rPr>
                <w:rFonts w:ascii="Cambria Math" w:eastAsiaTheme="minorEastAsia" w:hAnsi="Cambria Math"/>
                <w:sz w:val="24"/>
                <w:szCs w:val="24"/>
              </w:rPr>
              <m:t>exp</m:t>
            </m:r>
          </m:fName>
          <m:e>
            <m:d>
              <m:dPr>
                <m:ctrlPr>
                  <w:rPr>
                    <w:rFonts w:ascii="Cambria Math" w:eastAsiaTheme="minorEastAsia" w:hAnsi="Cambria Math"/>
                    <w:i/>
                    <w:iCs/>
                    <w:sz w:val="24"/>
                    <w:szCs w:val="24"/>
                  </w:rPr>
                </m:ctrlPr>
              </m:dPr>
              <m:e>
                <m:r>
                  <w:rPr>
                    <w:rFonts w:ascii="Cambria Math" w:eastAsiaTheme="minorEastAsia" w:hAnsi="Cambria Math"/>
                    <w:sz w:val="24"/>
                    <w:szCs w:val="24"/>
                  </w:rPr>
                  <m:t>-θ</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t-1</m:t>
                    </m:r>
                  </m:sub>
                  <m:sup>
                    <m:r>
                      <w:rPr>
                        <w:rFonts w:ascii="Cambria Math" w:eastAsiaTheme="minorEastAsia" w:hAnsi="Cambria Math"/>
                        <w:sz w:val="24"/>
                        <w:szCs w:val="24"/>
                      </w:rPr>
                      <m:t>2</m:t>
                    </m:r>
                  </m:sup>
                </m:sSubSup>
              </m:e>
            </m:d>
          </m:e>
        </m:func>
        <m:r>
          <w:rPr>
            <w:rFonts w:ascii="Cambria Math" w:eastAsiaTheme="minorEastAsia" w:hAnsi="Cambria Math"/>
            <w:sz w:val="24"/>
            <w:szCs w:val="24"/>
          </w:rPr>
          <m:t>→1</m:t>
        </m:r>
      </m:oMath>
      <w:r w:rsidRPr="009E00D2">
        <w:rPr>
          <w:rFonts w:ascii="Garamond" w:eastAsiaTheme="minorEastAsia" w:hAnsi="Garamond"/>
          <w:iCs/>
          <w:sz w:val="24"/>
          <w:szCs w:val="24"/>
        </w:rPr>
        <w:t xml:space="preserve">, </w:t>
      </w:r>
      <m:oMath>
        <m:r>
          <w:rPr>
            <w:rFonts w:ascii="Cambria Math" w:eastAsiaTheme="minorEastAsia" w:hAnsi="Cambria Math"/>
            <w:sz w:val="24"/>
            <w:szCs w:val="24"/>
          </w:rPr>
          <m:t>θ&gt;0</m:t>
        </m:r>
      </m:oMath>
      <w:r w:rsidRPr="009E00D2">
        <w:rPr>
          <w:rFonts w:ascii="Garamond" w:eastAsiaTheme="minorEastAsia" w:hAnsi="Garamond"/>
          <w:iCs/>
          <w:sz w:val="24"/>
          <w:szCs w:val="24"/>
        </w:rPr>
        <w:t xml:space="preserve">, and as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r>
          <w:rPr>
            <w:rFonts w:ascii="Cambria Math" w:eastAsiaTheme="minorEastAsia" w:hAnsi="Cambria Math"/>
            <w:sz w:val="24"/>
            <w:szCs w:val="24"/>
          </w:rPr>
          <m:t>→0</m:t>
        </m:r>
      </m:oMath>
      <w:r w:rsidRPr="009E00D2">
        <w:rPr>
          <w:rFonts w:ascii="Garamond" w:eastAsiaTheme="minorEastAsia" w:hAnsi="Garamond"/>
          <w:iCs/>
          <w:sz w:val="24"/>
          <w:szCs w:val="24"/>
        </w:rPr>
        <w:t xml:space="preserve">, </w:t>
      </w:r>
      <m:oMath>
        <m:r>
          <w:rPr>
            <w:rFonts w:ascii="Cambria Math" w:eastAsiaTheme="minorEastAsia" w:hAnsi="Cambria Math"/>
            <w:sz w:val="24"/>
            <w:szCs w:val="24"/>
          </w:rPr>
          <m:t>1-</m:t>
        </m:r>
        <m:func>
          <m:funcPr>
            <m:ctrlPr>
              <w:rPr>
                <w:rFonts w:ascii="Cambria Math" w:eastAsiaTheme="minorEastAsia" w:hAnsi="Cambria Math"/>
                <w:i/>
                <w:iCs/>
                <w:sz w:val="24"/>
                <w:szCs w:val="24"/>
              </w:rPr>
            </m:ctrlPr>
          </m:funcPr>
          <m:fName>
            <m:r>
              <m:rPr>
                <m:sty m:val="p"/>
              </m:rPr>
              <w:rPr>
                <w:rFonts w:ascii="Cambria Math" w:eastAsiaTheme="minorEastAsia" w:hAnsi="Cambria Math"/>
                <w:sz w:val="24"/>
                <w:szCs w:val="24"/>
              </w:rPr>
              <m:t>exp</m:t>
            </m:r>
          </m:fName>
          <m:e>
            <m:d>
              <m:dPr>
                <m:ctrlPr>
                  <w:rPr>
                    <w:rFonts w:ascii="Cambria Math" w:eastAsiaTheme="minorEastAsia" w:hAnsi="Cambria Math"/>
                    <w:i/>
                    <w:iCs/>
                    <w:sz w:val="24"/>
                    <w:szCs w:val="24"/>
                  </w:rPr>
                </m:ctrlPr>
              </m:dPr>
              <m:e>
                <m:r>
                  <w:rPr>
                    <w:rFonts w:ascii="Cambria Math" w:eastAsiaTheme="minorEastAsia" w:hAnsi="Cambria Math"/>
                    <w:sz w:val="24"/>
                    <w:szCs w:val="24"/>
                  </w:rPr>
                  <m:t>-θ</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t-1</m:t>
                    </m:r>
                  </m:sub>
                  <m:sup>
                    <m:r>
                      <w:rPr>
                        <w:rFonts w:ascii="Cambria Math" w:eastAsiaTheme="minorEastAsia" w:hAnsi="Cambria Math"/>
                        <w:sz w:val="24"/>
                        <w:szCs w:val="24"/>
                      </w:rPr>
                      <m:t>2</m:t>
                    </m:r>
                  </m:sup>
                </m:sSubSup>
              </m:e>
            </m:d>
          </m:e>
        </m:func>
        <m:r>
          <w:rPr>
            <w:rFonts w:ascii="Cambria Math" w:eastAsiaTheme="minorEastAsia" w:hAnsi="Cambria Math"/>
            <w:sz w:val="24"/>
            <w:szCs w:val="24"/>
          </w:rPr>
          <m:t>→0</m:t>
        </m:r>
      </m:oMath>
      <w:r w:rsidRPr="009E00D2">
        <w:rPr>
          <w:rFonts w:ascii="Garamond" w:eastAsiaTheme="minorEastAsia" w:hAnsi="Garamond"/>
          <w:iCs/>
          <w:sz w:val="24"/>
          <w:szCs w:val="24"/>
        </w:rPr>
        <w:t>,</w:t>
      </w:r>
      <m:oMath>
        <m:r>
          <w:rPr>
            <w:rFonts w:ascii="Cambria Math" w:eastAsiaTheme="minorEastAsia" w:hAnsi="Cambria Math"/>
            <w:sz w:val="24"/>
            <w:szCs w:val="24"/>
          </w:rPr>
          <m:t xml:space="preserve"> </m:t>
        </m:r>
        <m:sSub>
          <m:sSubPr>
            <m:ctrlPr>
              <w:rPr>
                <w:rFonts w:ascii="Cambria Math" w:eastAsiaTheme="minorEastAsia" w:hAnsi="Cambria Math"/>
                <w:i/>
                <w:iCs/>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is the error process, related with other stationary covariates,</w:t>
      </w:r>
      <m:oMath>
        <m:r>
          <w:rPr>
            <w:rFonts w:ascii="Cambria Math" w:eastAsiaTheme="minorEastAsia" w:hAnsi="Cambria Math"/>
            <w:sz w:val="24"/>
            <w:szCs w:val="24"/>
          </w:rPr>
          <m:t xml:space="preserve"> </m:t>
        </m:r>
        <m:sSub>
          <m:sSubPr>
            <m:ctrlPr>
              <w:rPr>
                <w:rFonts w:ascii="Cambria Math" w:eastAsiaTheme="minorEastAsia" w:hAnsi="Cambria Math"/>
                <w:i/>
                <w:iCs/>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r>
          <w:rPr>
            <w:rFonts w:ascii="Cambria Math" w:eastAsiaTheme="minorEastAsia" w:hAnsi="Cambria Math"/>
            <w:sz w:val="24"/>
            <w:szCs w:val="24"/>
          </w:rPr>
          <m:t>=B</m:t>
        </m:r>
        <m:sSup>
          <m:sSupPr>
            <m:ctrlPr>
              <w:rPr>
                <w:rFonts w:ascii="Cambria Math" w:eastAsiaTheme="minorEastAsia" w:hAnsi="Cambria Math"/>
                <w:i/>
                <w:iCs/>
                <w:sz w:val="24"/>
                <w:szCs w:val="24"/>
              </w:rPr>
            </m:ctrlPr>
          </m:sSupPr>
          <m:e>
            <m:d>
              <m:dPr>
                <m:ctrlPr>
                  <w:rPr>
                    <w:rFonts w:ascii="Cambria Math" w:eastAsiaTheme="minorEastAsia" w:hAnsi="Cambria Math"/>
                    <w:i/>
                    <w:iCs/>
                    <w:sz w:val="24"/>
                    <w:szCs w:val="24"/>
                  </w:rPr>
                </m:ctrlPr>
              </m:dPr>
              <m:e>
                <m:r>
                  <w:rPr>
                    <w:rFonts w:ascii="Cambria Math" w:eastAsiaTheme="minorEastAsia" w:hAnsi="Cambria Math"/>
                    <w:sz w:val="24"/>
                    <w:szCs w:val="24"/>
                  </w:rPr>
                  <m:t>L</m:t>
                </m:r>
              </m:e>
            </m:d>
          </m:e>
          <m:sup>
            <m:r>
              <w:rPr>
                <w:rFonts w:ascii="Cambria Math" w:eastAsiaTheme="minorEastAsia" w:hAnsi="Cambria Math"/>
                <w:sz w:val="24"/>
                <w:szCs w:val="24"/>
              </w:rPr>
              <m:t>'</m:t>
            </m:r>
          </m:sup>
        </m:sSup>
        <m:sSub>
          <m:sSubPr>
            <m:ctrlPr>
              <w:rPr>
                <w:rFonts w:ascii="Cambria Math" w:eastAsiaTheme="minorEastAsia" w:hAnsi="Cambria Math"/>
                <w:i/>
                <w:iCs/>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where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is an m-dimensional stationary covariates, L -is a lag operator, and </w:t>
      </w:r>
      <m:oMath>
        <m:r>
          <w:rPr>
            <w:rFonts w:ascii="Cambria Math" w:eastAsiaTheme="minorEastAsia" w:hAnsi="Cambria Math"/>
            <w:sz w:val="24"/>
            <w:szCs w:val="24"/>
          </w:rPr>
          <m:t>B</m:t>
        </m:r>
        <m:d>
          <m:dPr>
            <m:ctrlPr>
              <w:rPr>
                <w:rFonts w:ascii="Cambria Math" w:eastAsiaTheme="minorEastAsia" w:hAnsi="Cambria Math"/>
                <w:i/>
                <w:iCs/>
                <w:sz w:val="24"/>
                <w:szCs w:val="24"/>
              </w:rPr>
            </m:ctrlPr>
          </m:dPr>
          <m:e>
            <m:r>
              <w:rPr>
                <w:rFonts w:ascii="Cambria Math" w:eastAsiaTheme="minorEastAsia" w:hAnsi="Cambria Math"/>
                <w:sz w:val="24"/>
                <w:szCs w:val="24"/>
              </w:rPr>
              <m:t>L</m:t>
            </m:r>
          </m:e>
        </m:d>
        <m:r>
          <w:rPr>
            <w:rFonts w:ascii="Cambria Math" w:eastAsiaTheme="minorEastAsia" w:hAnsi="Cambria Math"/>
            <w:sz w:val="24"/>
            <w:szCs w:val="24"/>
          </w:rPr>
          <m:t>=</m:t>
        </m:r>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k=-</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sub>
          <m:sup>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sup>
          <m:e>
            <m:sSub>
              <m:sSubPr>
                <m:ctrlPr>
                  <w:rPr>
                    <w:rFonts w:ascii="Cambria Math" w:eastAsiaTheme="minorEastAsia" w:hAnsi="Cambria Math"/>
                    <w:i/>
                    <w:iCs/>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k</m:t>
                </m:r>
              </m:sub>
            </m:sSub>
            <m:sSup>
              <m:sSupPr>
                <m:ctrlPr>
                  <w:rPr>
                    <w:rFonts w:ascii="Cambria Math" w:eastAsiaTheme="minorEastAsia" w:hAnsi="Cambria Math"/>
                    <w:i/>
                    <w:iCs/>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k</m:t>
                </m:r>
              </m:sup>
            </m:sSup>
          </m:e>
        </m:nary>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k</m:t>
            </m:r>
          </m:sub>
        </m:sSub>
      </m:oMath>
      <w:r w:rsidRPr="009E00D2">
        <w:rPr>
          <w:rFonts w:ascii="Garamond" w:eastAsiaTheme="minorEastAsia" w:hAnsi="Garamond"/>
          <w:iCs/>
          <w:sz w:val="24"/>
          <w:szCs w:val="24"/>
        </w:rPr>
        <w:t xml:space="preserve"> is an </w:t>
      </w:r>
      <m:oMath>
        <m:r>
          <w:rPr>
            <w:rFonts w:ascii="Cambria Math" w:eastAsiaTheme="minorEastAsia" w:hAnsi="Cambria Math"/>
            <w:sz w:val="24"/>
            <w:szCs w:val="24"/>
          </w:rPr>
          <m:t>m×1</m:t>
        </m:r>
      </m:oMath>
      <w:r w:rsidRPr="009E00D2">
        <w:rPr>
          <w:rFonts w:ascii="Garamond" w:eastAsiaTheme="minorEastAsia" w:hAnsi="Garamond"/>
          <w:iCs/>
          <w:sz w:val="24"/>
          <w:szCs w:val="24"/>
        </w:rPr>
        <w:t xml:space="preserve"> vector.  If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oMath>
      <w:r w:rsidRPr="009E00D2">
        <w:rPr>
          <w:rFonts w:ascii="Garamond" w:eastAsiaTheme="minorEastAsia" w:hAnsi="Garamond"/>
          <w:iCs/>
          <w:sz w:val="24"/>
          <w:szCs w:val="24"/>
        </w:rPr>
        <w:t xml:space="preserve"> approaches 0 it corresponds to a middle regime, and in a case when </w:t>
      </w:r>
      <m:oMath>
        <m:d>
          <m:dPr>
            <m:begChr m:val="|"/>
            <m:endChr m:val="|"/>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e>
        </m:d>
      </m:oMath>
      <w:r w:rsidRPr="009E00D2">
        <w:rPr>
          <w:rFonts w:ascii="Garamond" w:eastAsiaTheme="minorEastAsia" w:hAnsi="Garamond"/>
          <w:iCs/>
          <w:sz w:val="24"/>
          <w:szCs w:val="24"/>
        </w:rPr>
        <w:t xml:space="preserve"> becomes larger. Thus, Eq. 7 can be specified as</w:t>
      </w:r>
      <w:r w:rsidR="00BD329C">
        <w:rPr>
          <w:rFonts w:ascii="Garamond" w:eastAsiaTheme="minorEastAsia" w:hAnsi="Garamond"/>
          <w:iCs/>
          <w:sz w:val="24"/>
          <w:szCs w:val="24"/>
        </w:rPr>
        <w:t>:</w:t>
      </w:r>
    </w:p>
    <w:p w14:paraId="436EBCC7" w14:textId="77777777" w:rsidR="00E546B1" w:rsidRPr="009E00D2" w:rsidRDefault="00E546B1" w:rsidP="00E546B1">
      <w:pPr>
        <w:pStyle w:val="NoSpacing"/>
        <w:spacing w:line="480" w:lineRule="auto"/>
        <w:jc w:val="both"/>
        <w:rPr>
          <w:rFonts w:ascii="Garamond" w:eastAsiaTheme="minorEastAsia" w:hAnsi="Garamond"/>
          <w:iCs/>
          <w:sz w:val="24"/>
          <w:szCs w:val="24"/>
        </w:rPr>
      </w:pPr>
    </w:p>
    <w:p w14:paraId="0A4CFECE" w14:textId="3304745F" w:rsidR="00E546B1" w:rsidRPr="009E00D2" w:rsidRDefault="00E546B1" w:rsidP="00BD329C">
      <w:pPr>
        <w:pStyle w:val="NoSpacing"/>
        <w:spacing w:line="480" w:lineRule="auto"/>
        <w:jc w:val="center"/>
        <w:rPr>
          <w:rFonts w:ascii="Garamond" w:eastAsiaTheme="minorEastAsia" w:hAnsi="Garamond"/>
          <w:iCs/>
          <w:sz w:val="24"/>
          <w:szCs w:val="24"/>
        </w:rPr>
      </w:pPr>
      <m:oMath>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rPr>
          <m:t>=γ</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d>
          <m:dPr>
            <m:begChr m:val="["/>
            <m:endChr m:val="]"/>
            <m:ctrlPr>
              <w:rPr>
                <w:rFonts w:ascii="Cambria Math" w:eastAsiaTheme="minorEastAsia" w:hAnsi="Cambria Math"/>
                <w:i/>
                <w:iCs/>
                <w:sz w:val="24"/>
                <w:szCs w:val="24"/>
              </w:rPr>
            </m:ctrlPr>
          </m:dPr>
          <m:e>
            <m:r>
              <w:rPr>
                <w:rFonts w:ascii="Cambria Math" w:eastAsiaTheme="minorEastAsia" w:hAnsi="Cambria Math"/>
                <w:sz w:val="24"/>
                <w:szCs w:val="24"/>
              </w:rPr>
              <m:t>1-</m:t>
            </m:r>
            <m:func>
              <m:funcPr>
                <m:ctrlPr>
                  <w:rPr>
                    <w:rFonts w:ascii="Cambria Math" w:eastAsiaTheme="minorEastAsia" w:hAnsi="Cambria Math"/>
                    <w:i/>
                    <w:iCs/>
                    <w:sz w:val="24"/>
                    <w:szCs w:val="24"/>
                  </w:rPr>
                </m:ctrlPr>
              </m:funcPr>
              <m:fName>
                <m:r>
                  <m:rPr>
                    <m:sty m:val="p"/>
                  </m:rPr>
                  <w:rPr>
                    <w:rFonts w:ascii="Cambria Math" w:eastAsiaTheme="minorEastAsia" w:hAnsi="Cambria Math"/>
                    <w:sz w:val="24"/>
                    <w:szCs w:val="24"/>
                  </w:rPr>
                  <m:t>exp</m:t>
                </m:r>
              </m:fName>
              <m:e>
                <m:d>
                  <m:dPr>
                    <m:ctrlPr>
                      <w:rPr>
                        <w:rFonts w:ascii="Cambria Math" w:eastAsiaTheme="minorEastAsia" w:hAnsi="Cambria Math"/>
                        <w:i/>
                        <w:iCs/>
                        <w:sz w:val="24"/>
                        <w:szCs w:val="24"/>
                      </w:rPr>
                    </m:ctrlPr>
                  </m:dPr>
                  <m:e>
                    <m:r>
                      <w:rPr>
                        <w:rFonts w:ascii="Cambria Math" w:eastAsiaTheme="minorEastAsia" w:hAnsi="Cambria Math"/>
                        <w:sz w:val="24"/>
                        <w:szCs w:val="24"/>
                      </w:rPr>
                      <m:t>-θ</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t-1</m:t>
                        </m:r>
                      </m:sub>
                      <m:sup>
                        <m:r>
                          <w:rPr>
                            <w:rFonts w:ascii="Cambria Math" w:eastAsiaTheme="minorEastAsia" w:hAnsi="Cambria Math"/>
                            <w:sz w:val="24"/>
                            <w:szCs w:val="24"/>
                          </w:rPr>
                          <m:t>2</m:t>
                        </m:r>
                      </m:sup>
                    </m:sSubSup>
                  </m:e>
                </m:d>
              </m:e>
            </m:func>
          </m:e>
        </m:d>
        <m:r>
          <w:rPr>
            <w:rFonts w:ascii="Cambria Math" w:eastAsiaTheme="minorEastAsia" w:hAnsi="Cambria Math"/>
            <w:sz w:val="24"/>
            <w:szCs w:val="24"/>
          </w:rPr>
          <m:t>+</m:t>
        </m:r>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k=1</m:t>
            </m:r>
          </m:sub>
          <m:sup>
            <m:r>
              <w:rPr>
                <w:rFonts w:ascii="Cambria Math" w:eastAsiaTheme="minorEastAsia" w:hAnsi="Cambria Math"/>
                <w:sz w:val="24"/>
                <w:szCs w:val="24"/>
              </w:rPr>
              <m:t>p</m:t>
            </m:r>
          </m:sup>
          <m:e>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k</m:t>
                </m:r>
              </m:sub>
            </m:sSub>
          </m:e>
        </m:nary>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t-k</m:t>
            </m:r>
          </m:sub>
        </m:sSub>
        <m:r>
          <w:rPr>
            <w:rFonts w:ascii="Cambria Math" w:eastAsiaTheme="minorEastAsia" w:hAnsi="Cambria Math"/>
            <w:sz w:val="24"/>
            <w:szCs w:val="24"/>
          </w:rPr>
          <m:t>+</m:t>
        </m:r>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k=-</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sub>
          <m:sup>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sup>
          <m:e>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k</m:t>
                </m:r>
              </m:sub>
              <m:sup>
                <m:r>
                  <w:rPr>
                    <w:rFonts w:ascii="Cambria Math" w:eastAsiaTheme="minorEastAsia" w:hAnsi="Cambria Math"/>
                    <w:sz w:val="24"/>
                    <w:szCs w:val="24"/>
                  </w:rPr>
                  <m:t>'</m:t>
                </m:r>
              </m:sup>
            </m:sSubSup>
            <m:sSup>
              <m:sSupPr>
                <m:ctrlPr>
                  <w:rPr>
                    <w:rFonts w:ascii="Cambria Math" w:eastAsiaTheme="minorEastAsia" w:hAnsi="Cambria Math"/>
                    <w:i/>
                    <w:iCs/>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k</m:t>
                </m:r>
              </m:sup>
            </m:sSup>
          </m:e>
        </m:nary>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w:t>
      </w:r>
      <w:r w:rsidRPr="009E00D2">
        <w:rPr>
          <w:rFonts w:ascii="Garamond" w:eastAsiaTheme="minorEastAsia" w:hAnsi="Garamond"/>
          <w:iCs/>
          <w:sz w:val="24"/>
          <w:szCs w:val="24"/>
        </w:rPr>
        <w:tab/>
      </w:r>
      <w:r w:rsidRPr="009E00D2">
        <w:rPr>
          <w:rFonts w:ascii="Garamond" w:eastAsiaTheme="minorEastAsia" w:hAnsi="Garamond"/>
          <w:iCs/>
          <w:sz w:val="24"/>
          <w:szCs w:val="24"/>
        </w:rPr>
        <w:tab/>
      </w:r>
      <w:r w:rsidR="00201D7F">
        <w:rPr>
          <w:rFonts w:ascii="Garamond" w:eastAsiaTheme="minorEastAsia" w:hAnsi="Garamond"/>
          <w:iCs/>
          <w:sz w:val="24"/>
          <w:szCs w:val="24"/>
        </w:rPr>
        <w:t xml:space="preserve">                 </w:t>
      </w:r>
      <w:r w:rsidRPr="009E00D2">
        <w:rPr>
          <w:rFonts w:ascii="Garamond" w:eastAsiaTheme="minorEastAsia" w:hAnsi="Garamond"/>
          <w:iCs/>
          <w:sz w:val="24"/>
          <w:szCs w:val="24"/>
        </w:rPr>
        <w:t>(8)</w:t>
      </w:r>
    </w:p>
    <w:p w14:paraId="46D7D683" w14:textId="77777777" w:rsidR="00E546B1" w:rsidRPr="009E00D2" w:rsidRDefault="00E546B1" w:rsidP="00BD329C">
      <w:pPr>
        <w:pStyle w:val="NoSpacing"/>
        <w:spacing w:line="480" w:lineRule="auto"/>
        <w:jc w:val="both"/>
        <w:rPr>
          <w:rFonts w:ascii="Garamond" w:eastAsiaTheme="minorEastAsia" w:hAnsi="Garamond"/>
          <w:iCs/>
          <w:sz w:val="24"/>
          <w:szCs w:val="24"/>
        </w:rPr>
      </w:pPr>
    </w:p>
    <w:p w14:paraId="614D49D6" w14:textId="2BC03ED1" w:rsidR="00E546B1" w:rsidRPr="009E00D2" w:rsidRDefault="00E546B1" w:rsidP="00BD329C">
      <w:pPr>
        <w:pStyle w:val="NoSpacing"/>
        <w:spacing w:line="480" w:lineRule="auto"/>
        <w:jc w:val="both"/>
        <w:rPr>
          <w:rFonts w:ascii="Garamond" w:eastAsiaTheme="minorEastAsia" w:hAnsi="Garamond"/>
          <w:sz w:val="24"/>
          <w:szCs w:val="24"/>
        </w:rPr>
      </w:pPr>
      <w:r w:rsidRPr="009E00D2">
        <w:rPr>
          <w:rFonts w:ascii="Garamond" w:eastAsiaTheme="minorEastAsia" w:hAnsi="Garamond"/>
          <w:iCs/>
          <w:sz w:val="24"/>
          <w:szCs w:val="24"/>
        </w:rPr>
        <w:t xml:space="preserve">Denoting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e</m:t>
            </m:r>
          </m:sub>
        </m:sSub>
        <m:r>
          <w:rPr>
            <w:rFonts w:ascii="Cambria Math" w:eastAsiaTheme="minorEastAsia" w:hAnsi="Cambria Math"/>
            <w:sz w:val="24"/>
            <w:szCs w:val="24"/>
          </w:rPr>
          <m:t>(τ)</m:t>
        </m:r>
      </m:oMath>
      <w:r w:rsidRPr="009E00D2">
        <w:rPr>
          <w:rFonts w:ascii="Garamond" w:eastAsiaTheme="minorEastAsia" w:hAnsi="Garamond"/>
          <w:iCs/>
          <w:sz w:val="24"/>
          <w:szCs w:val="24"/>
        </w:rPr>
        <w:t xml:space="preserve"> the </w:t>
      </w:r>
      <m:oMath>
        <m:r>
          <w:rPr>
            <w:rFonts w:ascii="Cambria Math" w:hAnsi="Cambria Math"/>
            <w:sz w:val="24"/>
            <w:szCs w:val="24"/>
          </w:rPr>
          <m:t>τ</m:t>
        </m:r>
      </m:oMath>
      <w:r w:rsidRPr="009E00D2">
        <w:rPr>
          <w:rFonts w:ascii="Garamond" w:eastAsiaTheme="minorEastAsia" w:hAnsi="Garamond"/>
          <w:sz w:val="24"/>
          <w:szCs w:val="24"/>
        </w:rPr>
        <w:t xml:space="preserve">-th quantile of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and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sub>
        </m:sSub>
        <m:r>
          <w:rPr>
            <w:rFonts w:ascii="Cambria Math" w:eastAsiaTheme="minorEastAsia"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τ</m:t>
            </m:r>
          </m:e>
        </m:d>
        <m:sSub>
          <m:sSubPr>
            <m:ctrlPr>
              <w:rPr>
                <w:rFonts w:ascii="Cambria Math" w:hAnsi="Cambria Math"/>
                <w:i/>
                <w:sz w:val="24"/>
                <w:szCs w:val="24"/>
              </w:rPr>
            </m:ctrlPr>
          </m:sSubPr>
          <m:e>
            <m:r>
              <m:rPr>
                <m:scr m:val="double-struck"/>
              </m:rPr>
              <w:rPr>
                <w:rFonts w:ascii="Cambria Math" w:hAnsi="Cambria Math"/>
                <w:sz w:val="24"/>
                <w:szCs w:val="24"/>
              </w:rPr>
              <m:t>F</m:t>
            </m:r>
          </m:e>
          <m:sub>
            <m:r>
              <w:rPr>
                <w:rFonts w:ascii="Cambria Math" w:hAnsi="Cambria Math"/>
                <w:sz w:val="24"/>
                <w:szCs w:val="24"/>
              </w:rPr>
              <m:t>t-1</m:t>
            </m:r>
          </m:sub>
        </m:sSub>
        <m:r>
          <w:rPr>
            <w:rFonts w:ascii="Cambria Math" w:eastAsiaTheme="minorEastAsia" w:hAnsi="Cambria Math"/>
            <w:sz w:val="24"/>
            <w:szCs w:val="24"/>
          </w:rPr>
          <m:t>)</m:t>
        </m:r>
      </m:oMath>
      <w:r w:rsidRPr="009E00D2">
        <w:rPr>
          <w:rFonts w:ascii="Garamond" w:eastAsiaTheme="minorEastAsia" w:hAnsi="Garamond"/>
          <w:iCs/>
          <w:sz w:val="24"/>
          <w:szCs w:val="24"/>
        </w:rPr>
        <w:t xml:space="preserve"> the </w:t>
      </w:r>
      <m:oMath>
        <m:r>
          <w:rPr>
            <w:rFonts w:ascii="Cambria Math" w:hAnsi="Cambria Math"/>
            <w:sz w:val="24"/>
            <w:szCs w:val="24"/>
          </w:rPr>
          <m:t>τ</m:t>
        </m:r>
      </m:oMath>
      <w:r w:rsidRPr="009E00D2">
        <w:rPr>
          <w:rFonts w:ascii="Garamond" w:eastAsiaTheme="minorEastAsia" w:hAnsi="Garamond"/>
          <w:sz w:val="24"/>
          <w:szCs w:val="24"/>
        </w:rPr>
        <w:t xml:space="preserve">-th quantile of </w:t>
      </w:r>
      <m:oMath>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conditional on </w:t>
      </w:r>
      <m:oMath>
        <m:sSub>
          <m:sSubPr>
            <m:ctrlPr>
              <w:rPr>
                <w:rFonts w:ascii="Cambria Math" w:hAnsi="Cambria Math"/>
                <w:i/>
                <w:sz w:val="24"/>
                <w:szCs w:val="24"/>
              </w:rPr>
            </m:ctrlPr>
          </m:sSubPr>
          <m:e>
            <m:r>
              <m:rPr>
                <m:scr m:val="double-struck"/>
              </m:rPr>
              <w:rPr>
                <w:rFonts w:ascii="Cambria Math" w:hAnsi="Cambria Math"/>
                <w:sz w:val="24"/>
                <w:szCs w:val="24"/>
              </w:rPr>
              <m:t>F</m:t>
            </m:r>
          </m:e>
          <m:sub>
            <m:r>
              <w:rPr>
                <w:rFonts w:ascii="Cambria Math" w:hAnsi="Cambria Math"/>
                <w:sz w:val="24"/>
                <w:szCs w:val="24"/>
              </w:rPr>
              <m:t>t-1</m:t>
            </m:r>
          </m:sub>
        </m:sSub>
      </m:oMath>
      <w:r w:rsidRPr="009E00D2">
        <w:rPr>
          <w:rFonts w:ascii="Garamond" w:eastAsiaTheme="minorEastAsia" w:hAnsi="Garamond"/>
          <w:sz w:val="24"/>
          <w:szCs w:val="24"/>
        </w:rPr>
        <w:t xml:space="preserve">, </w:t>
      </w:r>
      <m:oMath>
        <m:sSub>
          <m:sSubPr>
            <m:ctrlPr>
              <w:rPr>
                <w:rFonts w:ascii="Cambria Math" w:hAnsi="Cambria Math"/>
                <w:i/>
                <w:sz w:val="24"/>
                <w:szCs w:val="24"/>
              </w:rPr>
            </m:ctrlPr>
          </m:sSubPr>
          <m:e>
            <m:r>
              <m:rPr>
                <m:scr m:val="double-struck"/>
              </m:rPr>
              <w:rPr>
                <w:rFonts w:ascii="Cambria Math" w:hAnsi="Cambria Math"/>
                <w:sz w:val="24"/>
                <w:szCs w:val="24"/>
              </w:rPr>
              <m:t>F</m:t>
            </m:r>
          </m:e>
          <m:sub>
            <m:r>
              <w:rPr>
                <w:rFonts w:ascii="Cambria Math" w:hAnsi="Cambria Math"/>
                <w:sz w:val="24"/>
                <w:szCs w:val="24"/>
              </w:rPr>
              <m:t>t-1</m:t>
            </m:r>
          </m:sub>
        </m:sSub>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m:t>
                </m:r>
              </m:sub>
            </m:sSub>
            <m:r>
              <w:rPr>
                <w:rFonts w:ascii="Cambria Math" w:hAnsi="Cambria Math"/>
                <w:sz w:val="24"/>
                <w:szCs w:val="24"/>
              </w:rPr>
              <m:t xml:space="preserve">, s&lt;t,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sub>
            </m:sSub>
          </m:e>
        </m:d>
      </m:oMath>
      <w:r w:rsidRPr="009E00D2">
        <w:rPr>
          <w:rFonts w:ascii="Garamond" w:eastAsiaTheme="minorEastAsia" w:hAnsi="Garamond"/>
          <w:sz w:val="24"/>
          <w:szCs w:val="24"/>
        </w:rPr>
        <w:t>, Eq. (</w:t>
      </w:r>
      <w:r w:rsidR="009F7755">
        <w:rPr>
          <w:rFonts w:ascii="Garamond" w:eastAsiaTheme="minorEastAsia" w:hAnsi="Garamond"/>
          <w:sz w:val="24"/>
          <w:szCs w:val="24"/>
        </w:rPr>
        <w:t>8</w:t>
      </w:r>
      <w:r w:rsidRPr="009E00D2">
        <w:rPr>
          <w:rFonts w:ascii="Garamond" w:eastAsiaTheme="minorEastAsia" w:hAnsi="Garamond"/>
          <w:sz w:val="24"/>
          <w:szCs w:val="24"/>
        </w:rPr>
        <w:t>) can be transformed into</w:t>
      </w:r>
      <w:r w:rsidR="00BD329C">
        <w:rPr>
          <w:rFonts w:ascii="Garamond" w:eastAsiaTheme="minorEastAsia" w:hAnsi="Garamond"/>
          <w:sz w:val="24"/>
          <w:szCs w:val="24"/>
        </w:rPr>
        <w:t>:</w:t>
      </w:r>
    </w:p>
    <w:p w14:paraId="6D16864F" w14:textId="77777777" w:rsidR="00E546B1" w:rsidRPr="009E00D2" w:rsidRDefault="00E546B1" w:rsidP="00BD329C">
      <w:pPr>
        <w:pStyle w:val="NoSpacing"/>
        <w:spacing w:line="480" w:lineRule="auto"/>
        <w:jc w:val="both"/>
        <w:rPr>
          <w:rFonts w:ascii="Garamond" w:eastAsiaTheme="minorEastAsia" w:hAnsi="Garamond"/>
          <w:sz w:val="24"/>
          <w:szCs w:val="24"/>
        </w:rPr>
      </w:pPr>
    </w:p>
    <w:p w14:paraId="142B704D" w14:textId="5D865E4C" w:rsidR="00E546B1" w:rsidRPr="009E00D2" w:rsidRDefault="00880EE9" w:rsidP="00BD329C">
      <w:pPr>
        <w:pStyle w:val="NoSpacing"/>
        <w:spacing w:line="480" w:lineRule="auto"/>
        <w:rPr>
          <w:rFonts w:ascii="Garamond" w:eastAsiaTheme="minorEastAsia" w:hAnsi="Garamond"/>
          <w:iCs/>
          <w:sz w:val="24"/>
          <w:szCs w:val="24"/>
        </w:rPr>
      </w:pPr>
      <m:oMath>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sub>
        </m:sSub>
        <m:d>
          <m:dPr>
            <m:ctrlPr>
              <w:rPr>
                <w:rFonts w:ascii="Cambria Math" w:eastAsiaTheme="minorEastAsia" w:hAnsi="Cambria Math"/>
                <w:i/>
                <w:iCs/>
                <w:sz w:val="24"/>
                <w:szCs w:val="24"/>
              </w:rPr>
            </m:ctrlPr>
          </m:dPr>
          <m:e>
            <m:d>
              <m:dPr>
                <m:begChr m:val=""/>
                <m:endChr m:val="|"/>
                <m:ctrlPr>
                  <w:rPr>
                    <w:rFonts w:ascii="Cambria Math" w:hAnsi="Cambria Math"/>
                    <w:i/>
                    <w:sz w:val="24"/>
                    <w:szCs w:val="24"/>
                  </w:rPr>
                </m:ctrlPr>
              </m:dPr>
              <m:e>
                <m:r>
                  <w:rPr>
                    <w:rFonts w:ascii="Cambria Math" w:hAnsi="Cambria Math"/>
                    <w:sz w:val="24"/>
                    <w:szCs w:val="24"/>
                  </w:rPr>
                  <m:t>τ</m:t>
                </m:r>
              </m:e>
            </m:d>
            <m:sSub>
              <m:sSubPr>
                <m:ctrlPr>
                  <w:rPr>
                    <w:rFonts w:ascii="Cambria Math" w:hAnsi="Cambria Math"/>
                    <w:i/>
                    <w:sz w:val="24"/>
                    <w:szCs w:val="24"/>
                  </w:rPr>
                </m:ctrlPr>
              </m:sSubPr>
              <m:e>
                <m:r>
                  <m:rPr>
                    <m:scr m:val="double-struck"/>
                  </m:rPr>
                  <w:rPr>
                    <w:rFonts w:ascii="Cambria Math" w:hAnsi="Cambria Math"/>
                    <w:sz w:val="24"/>
                    <w:szCs w:val="24"/>
                  </w:rPr>
                  <m:t>F</m:t>
                </m:r>
              </m:e>
              <m:sub>
                <m:r>
                  <w:rPr>
                    <w:rFonts w:ascii="Cambria Math" w:hAnsi="Cambria Math"/>
                    <w:sz w:val="24"/>
                    <w:szCs w:val="24"/>
                  </w:rPr>
                  <m:t>t-1</m:t>
                </m:r>
              </m:sub>
            </m:sSub>
          </m:e>
        </m:d>
        <m:r>
          <w:rPr>
            <w:rFonts w:ascii="Cambria Math" w:eastAsiaTheme="minorEastAsia" w:hAnsi="Cambria Math"/>
            <w:sz w:val="24"/>
            <w:szCs w:val="24"/>
          </w:rPr>
          <m:t>=γ</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d>
          <m:dPr>
            <m:begChr m:val="["/>
            <m:endChr m:val="]"/>
            <m:ctrlPr>
              <w:rPr>
                <w:rFonts w:ascii="Cambria Math" w:eastAsiaTheme="minorEastAsia" w:hAnsi="Cambria Math"/>
                <w:i/>
                <w:iCs/>
                <w:sz w:val="24"/>
                <w:szCs w:val="24"/>
              </w:rPr>
            </m:ctrlPr>
          </m:dPr>
          <m:e>
            <m:r>
              <w:rPr>
                <w:rFonts w:ascii="Cambria Math" w:eastAsiaTheme="minorEastAsia" w:hAnsi="Cambria Math"/>
                <w:sz w:val="24"/>
                <w:szCs w:val="24"/>
              </w:rPr>
              <m:t>1-</m:t>
            </m:r>
            <m:func>
              <m:funcPr>
                <m:ctrlPr>
                  <w:rPr>
                    <w:rFonts w:ascii="Cambria Math" w:eastAsiaTheme="minorEastAsia" w:hAnsi="Cambria Math"/>
                    <w:i/>
                    <w:iCs/>
                    <w:sz w:val="24"/>
                    <w:szCs w:val="24"/>
                  </w:rPr>
                </m:ctrlPr>
              </m:funcPr>
              <m:fName>
                <m:r>
                  <m:rPr>
                    <m:sty m:val="p"/>
                  </m:rPr>
                  <w:rPr>
                    <w:rFonts w:ascii="Cambria Math" w:eastAsiaTheme="minorEastAsia" w:hAnsi="Cambria Math"/>
                    <w:sz w:val="24"/>
                    <w:szCs w:val="24"/>
                  </w:rPr>
                  <m:t>exp</m:t>
                </m:r>
              </m:fName>
              <m:e>
                <m:d>
                  <m:dPr>
                    <m:ctrlPr>
                      <w:rPr>
                        <w:rFonts w:ascii="Cambria Math" w:eastAsiaTheme="minorEastAsia" w:hAnsi="Cambria Math"/>
                        <w:i/>
                        <w:iCs/>
                        <w:sz w:val="24"/>
                        <w:szCs w:val="24"/>
                      </w:rPr>
                    </m:ctrlPr>
                  </m:dPr>
                  <m:e>
                    <m:r>
                      <w:rPr>
                        <w:rFonts w:ascii="Cambria Math" w:eastAsiaTheme="minorEastAsia" w:hAnsi="Cambria Math"/>
                        <w:sz w:val="24"/>
                        <w:szCs w:val="24"/>
                      </w:rPr>
                      <m:t>-θ</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t-1</m:t>
                        </m:r>
                      </m:sub>
                      <m:sup>
                        <m:r>
                          <w:rPr>
                            <w:rFonts w:ascii="Cambria Math" w:eastAsiaTheme="minorEastAsia" w:hAnsi="Cambria Math"/>
                            <w:sz w:val="24"/>
                            <w:szCs w:val="24"/>
                          </w:rPr>
                          <m:t>2</m:t>
                        </m:r>
                      </m:sup>
                    </m:sSubSup>
                  </m:e>
                </m:d>
              </m:e>
            </m:func>
          </m:e>
        </m:d>
        <m:r>
          <w:rPr>
            <w:rFonts w:ascii="Cambria Math" w:eastAsiaTheme="minorEastAsia" w:hAnsi="Cambria Math"/>
            <w:sz w:val="24"/>
            <w:szCs w:val="24"/>
          </w:rPr>
          <m:t>+</m:t>
        </m:r>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k=1</m:t>
            </m:r>
          </m:sub>
          <m:sup>
            <m:r>
              <w:rPr>
                <w:rFonts w:ascii="Cambria Math" w:eastAsiaTheme="minorEastAsia" w:hAnsi="Cambria Math"/>
                <w:sz w:val="24"/>
                <w:szCs w:val="24"/>
              </w:rPr>
              <m:t>p</m:t>
            </m:r>
          </m:sup>
          <m:e>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k</m:t>
                </m:r>
              </m:sub>
            </m:sSub>
          </m:e>
        </m:nary>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t-k</m:t>
            </m:r>
          </m:sub>
        </m:sSub>
        <m:r>
          <w:rPr>
            <w:rFonts w:ascii="Cambria Math" w:eastAsiaTheme="minorEastAsia" w:hAnsi="Cambria Math"/>
            <w:sz w:val="24"/>
            <w:szCs w:val="24"/>
          </w:rPr>
          <m:t>+</m:t>
        </m:r>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k=-</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sub>
          <m:sup>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sup>
          <m:e>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k</m:t>
                </m:r>
              </m:sub>
              <m:sup>
                <m:r>
                  <w:rPr>
                    <w:rFonts w:ascii="Cambria Math" w:eastAsiaTheme="minorEastAsia" w:hAnsi="Cambria Math"/>
                    <w:sz w:val="24"/>
                    <w:szCs w:val="24"/>
                  </w:rPr>
                  <m:t>'</m:t>
                </m:r>
              </m:sup>
            </m:sSubSup>
            <m:sSup>
              <m:sSupPr>
                <m:ctrlPr>
                  <w:rPr>
                    <w:rFonts w:ascii="Cambria Math" w:eastAsiaTheme="minorEastAsia" w:hAnsi="Cambria Math"/>
                    <w:i/>
                    <w:iCs/>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k</m:t>
                </m:r>
              </m:sup>
            </m:sSup>
          </m:e>
        </m:nary>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e</m:t>
            </m:r>
          </m:sub>
        </m:sSub>
        <m:r>
          <w:rPr>
            <w:rFonts w:ascii="Cambria Math" w:eastAsiaTheme="minorEastAsia" w:hAnsi="Cambria Math"/>
            <w:sz w:val="24"/>
            <w:szCs w:val="24"/>
          </w:rPr>
          <m:t>(τ)</m:t>
        </m:r>
      </m:oMath>
      <w:r w:rsidR="00E546B1" w:rsidRPr="009E00D2">
        <w:rPr>
          <w:rFonts w:ascii="Garamond" w:eastAsiaTheme="minorEastAsia" w:hAnsi="Garamond"/>
          <w:iCs/>
          <w:sz w:val="24"/>
          <w:szCs w:val="24"/>
        </w:rPr>
        <w:t xml:space="preserve"> </w:t>
      </w:r>
      <w:r w:rsidR="00201D7F">
        <w:rPr>
          <w:rFonts w:ascii="Garamond" w:eastAsiaTheme="minorEastAsia" w:hAnsi="Garamond"/>
          <w:iCs/>
          <w:sz w:val="24"/>
          <w:szCs w:val="24"/>
        </w:rPr>
        <w:t xml:space="preserve">         </w:t>
      </w:r>
      <w:r w:rsidR="00E546B1" w:rsidRPr="009E00D2">
        <w:rPr>
          <w:rFonts w:ascii="Garamond" w:eastAsiaTheme="minorEastAsia" w:hAnsi="Garamond"/>
          <w:iCs/>
          <w:sz w:val="24"/>
          <w:szCs w:val="24"/>
        </w:rPr>
        <w:t>(9)</w:t>
      </w:r>
    </w:p>
    <w:p w14:paraId="617FE727" w14:textId="77777777" w:rsidR="00E546B1" w:rsidRPr="009E00D2" w:rsidRDefault="00E546B1" w:rsidP="00BD329C">
      <w:pPr>
        <w:pStyle w:val="NoSpacing"/>
        <w:spacing w:line="480" w:lineRule="auto"/>
        <w:jc w:val="both"/>
        <w:rPr>
          <w:rFonts w:ascii="Garamond" w:eastAsiaTheme="minorEastAsia" w:hAnsi="Garamond"/>
          <w:iCs/>
          <w:sz w:val="24"/>
          <w:szCs w:val="24"/>
        </w:rPr>
      </w:pPr>
    </w:p>
    <w:p w14:paraId="02D3B151" w14:textId="77777777" w:rsidR="00E546B1" w:rsidRPr="009E00D2" w:rsidRDefault="00E546B1" w:rsidP="00BD329C">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t xml:space="preserve">The unit root null hypothesis is then H0 </w:t>
      </w:r>
      <w:r w:rsidRPr="009E00D2">
        <w:rPr>
          <w:rFonts w:ascii="Cambria Math" w:eastAsiaTheme="minorEastAsia" w:hAnsi="Cambria Math" w:cs="Cambria Math"/>
          <w:iCs/>
          <w:sz w:val="24"/>
          <w:szCs w:val="24"/>
        </w:rPr>
        <w:t>∶</w:t>
      </w:r>
      <w:r w:rsidRPr="009E00D2">
        <w:rPr>
          <w:rFonts w:ascii="Garamond" w:eastAsiaTheme="minorEastAsia" w:hAnsi="Garamond"/>
          <w:iCs/>
          <w:sz w:val="24"/>
          <w:szCs w:val="24"/>
        </w:rPr>
        <w:t xml:space="preserve"> </w:t>
      </w:r>
      <w:r w:rsidRPr="009E00D2">
        <w:rPr>
          <w:rFonts w:ascii="Cambria Math" w:eastAsiaTheme="minorEastAsia" w:hAnsi="Cambria Math" w:cs="Cambria Math"/>
          <w:iCs/>
          <w:sz w:val="24"/>
          <w:szCs w:val="24"/>
        </w:rPr>
        <w:t>𝜃</w:t>
      </w:r>
      <w:r w:rsidRPr="009E00D2">
        <w:rPr>
          <w:rFonts w:ascii="Garamond" w:eastAsiaTheme="minorEastAsia" w:hAnsi="Garamond"/>
          <w:iCs/>
          <w:sz w:val="24"/>
          <w:szCs w:val="24"/>
        </w:rPr>
        <w:t xml:space="preserve"> = 0, and the alternative hypothesis is H1 </w:t>
      </w:r>
      <w:r w:rsidRPr="009E00D2">
        <w:rPr>
          <w:rFonts w:ascii="Cambria Math" w:eastAsiaTheme="minorEastAsia" w:hAnsi="Cambria Math" w:cs="Cambria Math"/>
          <w:iCs/>
          <w:sz w:val="24"/>
          <w:szCs w:val="24"/>
        </w:rPr>
        <w:t>∶𝜃</w:t>
      </w:r>
      <w:r w:rsidRPr="009E00D2">
        <w:rPr>
          <w:rFonts w:ascii="Garamond" w:eastAsiaTheme="minorEastAsia" w:hAnsi="Garamond"/>
          <w:iCs/>
          <w:sz w:val="24"/>
          <w:szCs w:val="24"/>
        </w:rPr>
        <w:t xml:space="preserve"> &gt; 0.</w:t>
      </w:r>
    </w:p>
    <w:p w14:paraId="0E46245B" w14:textId="2E69402C" w:rsidR="00E546B1" w:rsidRPr="009E00D2" w:rsidRDefault="00E546B1" w:rsidP="00BD329C">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t>Applying a first-order Taylor series expansion, Eq. (9) can be presented</w:t>
      </w:r>
      <w:r w:rsidR="00BD329C">
        <w:rPr>
          <w:rFonts w:ascii="Garamond" w:eastAsiaTheme="minorEastAsia" w:hAnsi="Garamond"/>
          <w:iCs/>
          <w:sz w:val="24"/>
          <w:szCs w:val="24"/>
        </w:rPr>
        <w:t xml:space="preserve"> as:</w:t>
      </w:r>
    </w:p>
    <w:p w14:paraId="33ED65D1" w14:textId="77777777" w:rsidR="00E546B1" w:rsidRPr="009E00D2" w:rsidRDefault="00E546B1" w:rsidP="00BD329C">
      <w:pPr>
        <w:pStyle w:val="NoSpacing"/>
        <w:spacing w:line="480" w:lineRule="auto"/>
        <w:jc w:val="both"/>
        <w:rPr>
          <w:rFonts w:ascii="Garamond" w:eastAsiaTheme="minorEastAsia" w:hAnsi="Garamond"/>
          <w:iCs/>
          <w:sz w:val="24"/>
          <w:szCs w:val="24"/>
        </w:rPr>
      </w:pPr>
    </w:p>
    <w:p w14:paraId="3567DA98" w14:textId="0E7DF0D2" w:rsidR="00E546B1" w:rsidRDefault="00880EE9" w:rsidP="00BD329C">
      <w:pPr>
        <w:pStyle w:val="NoSpacing"/>
        <w:spacing w:line="480" w:lineRule="auto"/>
        <w:jc w:val="both"/>
        <w:rPr>
          <w:rFonts w:ascii="Garamond" w:eastAsiaTheme="minorEastAsia" w:hAnsi="Garamond"/>
          <w:iCs/>
          <w:sz w:val="24"/>
          <w:szCs w:val="24"/>
        </w:rPr>
      </w:pPr>
      <m:oMath>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sub>
        </m:sSub>
        <m:d>
          <m:dPr>
            <m:ctrlPr>
              <w:rPr>
                <w:rFonts w:ascii="Cambria Math" w:eastAsiaTheme="minorEastAsia" w:hAnsi="Cambria Math"/>
                <w:i/>
                <w:iCs/>
                <w:sz w:val="24"/>
                <w:szCs w:val="24"/>
              </w:rPr>
            </m:ctrlPr>
          </m:dPr>
          <m:e>
            <m:d>
              <m:dPr>
                <m:begChr m:val=""/>
                <m:endChr m:val="|"/>
                <m:ctrlPr>
                  <w:rPr>
                    <w:rFonts w:ascii="Cambria Math" w:hAnsi="Cambria Math"/>
                    <w:i/>
                    <w:sz w:val="24"/>
                    <w:szCs w:val="24"/>
                  </w:rPr>
                </m:ctrlPr>
              </m:dPr>
              <m:e>
                <m:r>
                  <w:rPr>
                    <w:rFonts w:ascii="Cambria Math" w:hAnsi="Cambria Math"/>
                    <w:sz w:val="24"/>
                    <w:szCs w:val="24"/>
                  </w:rPr>
                  <m:t>τ</m:t>
                </m:r>
              </m:e>
            </m:d>
            <m:sSub>
              <m:sSubPr>
                <m:ctrlPr>
                  <w:rPr>
                    <w:rFonts w:ascii="Cambria Math" w:hAnsi="Cambria Math"/>
                    <w:i/>
                    <w:sz w:val="24"/>
                    <w:szCs w:val="24"/>
                  </w:rPr>
                </m:ctrlPr>
              </m:sSubPr>
              <m:e>
                <m:r>
                  <m:rPr>
                    <m:scr m:val="double-struck"/>
                  </m:rPr>
                  <w:rPr>
                    <w:rFonts w:ascii="Cambria Math" w:hAnsi="Cambria Math"/>
                    <w:sz w:val="24"/>
                    <w:szCs w:val="24"/>
                  </w:rPr>
                  <m:t>F</m:t>
                </m:r>
              </m:e>
              <m:sub>
                <m:r>
                  <w:rPr>
                    <w:rFonts w:ascii="Cambria Math" w:hAnsi="Cambria Math"/>
                    <w:sz w:val="24"/>
                    <w:szCs w:val="24"/>
                  </w:rPr>
                  <m:t>t-1</m:t>
                </m:r>
              </m:sub>
            </m:sSub>
          </m:e>
        </m:d>
        <m:r>
          <w:rPr>
            <w:rFonts w:ascii="Cambria Math" w:eastAsiaTheme="minorEastAsia" w:hAnsi="Cambria Math"/>
            <w:sz w:val="24"/>
            <w:szCs w:val="24"/>
          </w:rPr>
          <m:t>=δ</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t-1</m:t>
            </m:r>
          </m:sub>
          <m:sup>
            <m:r>
              <w:rPr>
                <w:rFonts w:ascii="Cambria Math" w:eastAsiaTheme="minorEastAsia" w:hAnsi="Cambria Math"/>
                <w:sz w:val="24"/>
                <w:szCs w:val="24"/>
              </w:rPr>
              <m:t>3</m:t>
            </m:r>
          </m:sup>
        </m:sSubSup>
        <m:r>
          <w:rPr>
            <w:rFonts w:ascii="Cambria Math" w:eastAsiaTheme="minorEastAsia" w:hAnsi="Cambria Math"/>
            <w:sz w:val="24"/>
            <w:szCs w:val="24"/>
          </w:rPr>
          <m:t>+</m:t>
        </m:r>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k=1</m:t>
            </m:r>
          </m:sub>
          <m:sup>
            <m:r>
              <w:rPr>
                <w:rFonts w:ascii="Cambria Math" w:eastAsiaTheme="minorEastAsia" w:hAnsi="Cambria Math"/>
                <w:sz w:val="24"/>
                <w:szCs w:val="24"/>
              </w:rPr>
              <m:t>p</m:t>
            </m:r>
          </m:sup>
          <m:e>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k</m:t>
                </m:r>
              </m:sub>
            </m:sSub>
          </m:e>
        </m:nary>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t-k</m:t>
            </m:r>
          </m:sub>
        </m:sSub>
        <m:r>
          <w:rPr>
            <w:rFonts w:ascii="Cambria Math" w:eastAsiaTheme="minorEastAsia" w:hAnsi="Cambria Math"/>
            <w:sz w:val="24"/>
            <w:szCs w:val="24"/>
          </w:rPr>
          <m:t>+</m:t>
        </m:r>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k=-</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sub>
          <m:sup>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sup>
          <m:e>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k</m:t>
                </m:r>
              </m:sub>
              <m:sup>
                <m:r>
                  <w:rPr>
                    <w:rFonts w:ascii="Cambria Math" w:eastAsiaTheme="minorEastAsia" w:hAnsi="Cambria Math"/>
                    <w:sz w:val="24"/>
                    <w:szCs w:val="24"/>
                  </w:rPr>
                  <m:t>'</m:t>
                </m:r>
              </m:sup>
            </m:sSubSup>
            <m:sSup>
              <m:sSupPr>
                <m:ctrlPr>
                  <w:rPr>
                    <w:rFonts w:ascii="Cambria Math" w:eastAsiaTheme="minorEastAsia" w:hAnsi="Cambria Math"/>
                    <w:i/>
                    <w:iCs/>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k</m:t>
                </m:r>
              </m:sup>
            </m:sSup>
          </m:e>
        </m:nary>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e</m:t>
            </m:r>
          </m:sub>
        </m:sSub>
        <m:r>
          <w:rPr>
            <w:rFonts w:ascii="Cambria Math" w:eastAsiaTheme="minorEastAsia" w:hAnsi="Cambria Math"/>
            <w:sz w:val="24"/>
            <w:szCs w:val="24"/>
          </w:rPr>
          <m:t>(τ)</m:t>
        </m:r>
      </m:oMath>
      <w:r w:rsidR="00E546B1" w:rsidRPr="009E00D2">
        <w:rPr>
          <w:rFonts w:ascii="Garamond" w:eastAsiaTheme="minorEastAsia" w:hAnsi="Garamond"/>
          <w:iCs/>
          <w:sz w:val="24"/>
          <w:szCs w:val="24"/>
        </w:rPr>
        <w:t xml:space="preserve"> .</w:t>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BD329C">
        <w:rPr>
          <w:rFonts w:ascii="Garamond" w:eastAsiaTheme="minorEastAsia" w:hAnsi="Garamond"/>
          <w:iCs/>
          <w:sz w:val="24"/>
          <w:szCs w:val="24"/>
        </w:rPr>
        <w:t xml:space="preserve">               </w:t>
      </w:r>
      <w:r w:rsidR="00E546B1" w:rsidRPr="009E00D2">
        <w:rPr>
          <w:rFonts w:ascii="Garamond" w:eastAsiaTheme="minorEastAsia" w:hAnsi="Garamond"/>
          <w:iCs/>
          <w:sz w:val="24"/>
          <w:szCs w:val="24"/>
        </w:rPr>
        <w:t>(10)</w:t>
      </w:r>
    </w:p>
    <w:p w14:paraId="624B7881" w14:textId="77777777" w:rsidR="009F7755" w:rsidRPr="009E00D2" w:rsidRDefault="009F7755" w:rsidP="00BD329C">
      <w:pPr>
        <w:pStyle w:val="NoSpacing"/>
        <w:spacing w:line="480" w:lineRule="auto"/>
        <w:jc w:val="both"/>
        <w:rPr>
          <w:rFonts w:ascii="Garamond" w:eastAsiaTheme="minorEastAsia" w:hAnsi="Garamond"/>
          <w:iCs/>
          <w:sz w:val="24"/>
          <w:szCs w:val="24"/>
        </w:rPr>
      </w:pPr>
    </w:p>
    <w:p w14:paraId="6C39C09F" w14:textId="7B21EAFA" w:rsidR="00E546B1" w:rsidRPr="009E00D2" w:rsidRDefault="00E546B1" w:rsidP="00BD329C">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t>Further simplifying Eq.</w:t>
      </w:r>
      <w:r w:rsidR="00BD329C">
        <w:rPr>
          <w:rFonts w:ascii="Garamond" w:eastAsiaTheme="minorEastAsia" w:hAnsi="Garamond"/>
          <w:iCs/>
          <w:sz w:val="24"/>
          <w:szCs w:val="24"/>
        </w:rPr>
        <w:t xml:space="preserve"> </w:t>
      </w:r>
      <w:r w:rsidRPr="009E00D2">
        <w:rPr>
          <w:rFonts w:ascii="Garamond" w:eastAsiaTheme="minorEastAsia" w:hAnsi="Garamond"/>
          <w:iCs/>
          <w:sz w:val="24"/>
          <w:szCs w:val="24"/>
        </w:rPr>
        <w:t>(</w:t>
      </w:r>
      <w:r w:rsidR="004E33B3">
        <w:rPr>
          <w:rFonts w:ascii="Garamond" w:eastAsiaTheme="minorEastAsia" w:hAnsi="Garamond"/>
          <w:iCs/>
          <w:sz w:val="24"/>
          <w:szCs w:val="24"/>
        </w:rPr>
        <w:t>10</w:t>
      </w:r>
      <w:r w:rsidRPr="009E00D2">
        <w:rPr>
          <w:rFonts w:ascii="Garamond" w:eastAsiaTheme="minorEastAsia" w:hAnsi="Garamond"/>
          <w:iCs/>
          <w:sz w:val="24"/>
          <w:szCs w:val="24"/>
        </w:rPr>
        <w:t>), we can write it in the following way:</w:t>
      </w:r>
    </w:p>
    <w:p w14:paraId="7E9F97EF" w14:textId="77777777" w:rsidR="00E546B1" w:rsidRPr="009E00D2" w:rsidRDefault="00E546B1" w:rsidP="00BD329C">
      <w:pPr>
        <w:pStyle w:val="NoSpacing"/>
        <w:spacing w:line="480" w:lineRule="auto"/>
        <w:jc w:val="both"/>
        <w:rPr>
          <w:rFonts w:ascii="Garamond" w:eastAsiaTheme="minorEastAsia" w:hAnsi="Garamond"/>
          <w:iCs/>
          <w:sz w:val="24"/>
          <w:szCs w:val="24"/>
        </w:rPr>
      </w:pPr>
    </w:p>
    <w:p w14:paraId="4B94958C" w14:textId="5B320D89" w:rsidR="00E546B1" w:rsidRPr="009E00D2" w:rsidRDefault="00880EE9" w:rsidP="00BD329C">
      <w:pPr>
        <w:pStyle w:val="NoSpacing"/>
        <w:spacing w:line="480" w:lineRule="auto"/>
        <w:jc w:val="both"/>
        <w:rPr>
          <w:rFonts w:ascii="Garamond" w:eastAsiaTheme="minorEastAsia" w:hAnsi="Garamond"/>
          <w:iCs/>
          <w:sz w:val="24"/>
          <w:szCs w:val="24"/>
        </w:rPr>
      </w:pPr>
      <m:oMath>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sub>
        </m:sSub>
        <m:d>
          <m:dPr>
            <m:ctrlPr>
              <w:rPr>
                <w:rFonts w:ascii="Cambria Math" w:eastAsiaTheme="minorEastAsia" w:hAnsi="Cambria Math"/>
                <w:i/>
                <w:iCs/>
                <w:sz w:val="24"/>
                <w:szCs w:val="24"/>
              </w:rPr>
            </m:ctrlPr>
          </m:dPr>
          <m:e>
            <m:d>
              <m:dPr>
                <m:begChr m:val=""/>
                <m:endChr m:val="|"/>
                <m:ctrlPr>
                  <w:rPr>
                    <w:rFonts w:ascii="Cambria Math" w:hAnsi="Cambria Math"/>
                    <w:i/>
                    <w:sz w:val="24"/>
                    <w:szCs w:val="24"/>
                  </w:rPr>
                </m:ctrlPr>
              </m:dPr>
              <m:e>
                <m:r>
                  <w:rPr>
                    <w:rFonts w:ascii="Cambria Math" w:hAnsi="Cambria Math"/>
                    <w:sz w:val="24"/>
                    <w:szCs w:val="24"/>
                  </w:rPr>
                  <m:t>τ</m:t>
                </m:r>
              </m:e>
            </m:d>
            <m:sSub>
              <m:sSubPr>
                <m:ctrlPr>
                  <w:rPr>
                    <w:rFonts w:ascii="Cambria Math" w:hAnsi="Cambria Math"/>
                    <w:i/>
                    <w:sz w:val="24"/>
                    <w:szCs w:val="24"/>
                  </w:rPr>
                </m:ctrlPr>
              </m:sSubPr>
              <m:e>
                <m:r>
                  <m:rPr>
                    <m:scr m:val="double-struck"/>
                  </m:rPr>
                  <w:rPr>
                    <w:rFonts w:ascii="Cambria Math" w:hAnsi="Cambria Math"/>
                    <w:sz w:val="24"/>
                    <w:szCs w:val="24"/>
                  </w:rPr>
                  <m:t>F</m:t>
                </m:r>
              </m:e>
              <m:sub>
                <m:r>
                  <w:rPr>
                    <w:rFonts w:ascii="Cambria Math" w:hAnsi="Cambria Math"/>
                    <w:sz w:val="24"/>
                    <w:szCs w:val="24"/>
                  </w:rPr>
                  <m:t>t-1</m:t>
                </m:r>
              </m:sub>
            </m:sSub>
          </m:e>
        </m:d>
        <m:r>
          <w:rPr>
            <w:rFonts w:ascii="Cambria Math" w:eastAsiaTheme="minorEastAsia" w:hAnsi="Cambria Math"/>
            <w:sz w:val="24"/>
            <w:szCs w:val="24"/>
          </w:rPr>
          <m:t>=</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z</m:t>
            </m:r>
          </m:e>
          <m:sub>
            <m:r>
              <w:rPr>
                <w:rFonts w:ascii="Cambria Math" w:eastAsiaTheme="minorEastAsia" w:hAnsi="Cambria Math"/>
                <w:sz w:val="24"/>
                <w:szCs w:val="24"/>
              </w:rPr>
              <m:t>t</m:t>
            </m:r>
          </m:sub>
          <m:sup>
            <m:r>
              <w:rPr>
                <w:rFonts w:ascii="Cambria Math" w:eastAsiaTheme="minorEastAsia" w:hAnsi="Cambria Math"/>
                <w:sz w:val="24"/>
                <w:szCs w:val="24"/>
              </w:rPr>
              <m:t>'</m:t>
            </m:r>
          </m:sup>
        </m:sSubSup>
        <m:r>
          <w:rPr>
            <w:rFonts w:ascii="Cambria Math" w:eastAsiaTheme="minorEastAsia" w:hAnsi="Cambria Math"/>
            <w:sz w:val="24"/>
            <w:szCs w:val="24"/>
          </w:rPr>
          <m:t>β(τ)</m:t>
        </m:r>
      </m:oMath>
      <w:r w:rsidR="00E546B1" w:rsidRPr="009E00D2">
        <w:rPr>
          <w:rFonts w:ascii="Garamond" w:eastAsiaTheme="minorEastAsia" w:hAnsi="Garamond"/>
          <w:iCs/>
          <w:sz w:val="24"/>
          <w:szCs w:val="24"/>
        </w:rPr>
        <w:t xml:space="preserve">, </w:t>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BD329C">
        <w:rPr>
          <w:rFonts w:ascii="Garamond" w:eastAsiaTheme="minorEastAsia" w:hAnsi="Garamond"/>
          <w:iCs/>
          <w:sz w:val="24"/>
          <w:szCs w:val="24"/>
        </w:rPr>
        <w:t xml:space="preserve">                       </w:t>
      </w:r>
      <w:r w:rsidR="00E546B1" w:rsidRPr="009E00D2">
        <w:rPr>
          <w:rFonts w:ascii="Garamond" w:eastAsiaTheme="minorEastAsia" w:hAnsi="Garamond"/>
          <w:iCs/>
          <w:sz w:val="24"/>
          <w:szCs w:val="24"/>
        </w:rPr>
        <w:tab/>
        <w:t>(11)</w:t>
      </w:r>
    </w:p>
    <w:p w14:paraId="1E3A0117" w14:textId="77777777" w:rsidR="00E546B1" w:rsidRPr="009E00D2" w:rsidRDefault="00E546B1" w:rsidP="00BD329C">
      <w:pPr>
        <w:pStyle w:val="NoSpacing"/>
        <w:spacing w:line="480" w:lineRule="auto"/>
        <w:jc w:val="both"/>
        <w:rPr>
          <w:rFonts w:ascii="Garamond" w:eastAsiaTheme="minorEastAsia" w:hAnsi="Garamond"/>
          <w:iCs/>
          <w:sz w:val="24"/>
          <w:szCs w:val="24"/>
        </w:rPr>
      </w:pPr>
    </w:p>
    <w:p w14:paraId="3248920B" w14:textId="77777777" w:rsidR="00E546B1" w:rsidRPr="009E00D2" w:rsidRDefault="00E546B1" w:rsidP="00BD329C">
      <w:pPr>
        <w:pStyle w:val="NoSpacing"/>
        <w:spacing w:line="480" w:lineRule="auto"/>
        <w:rPr>
          <w:rFonts w:ascii="Garamond" w:eastAsiaTheme="minorEastAsia" w:hAnsi="Garamond"/>
          <w:iCs/>
          <w:sz w:val="24"/>
          <w:szCs w:val="24"/>
        </w:rPr>
      </w:pPr>
      <w:r w:rsidRPr="009E00D2">
        <w:rPr>
          <w:rFonts w:ascii="Garamond" w:eastAsiaTheme="minorEastAsia" w:hAnsi="Garamond"/>
          <w:iCs/>
          <w:sz w:val="24"/>
          <w:szCs w:val="24"/>
        </w:rPr>
        <w:lastRenderedPageBreak/>
        <w:t xml:space="preserve">where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e</m:t>
            </m:r>
          </m:sub>
        </m:sSub>
        <m:r>
          <w:rPr>
            <w:rFonts w:ascii="Cambria Math" w:eastAsiaTheme="minorEastAsia" w:hAnsi="Cambria Math"/>
            <w:sz w:val="24"/>
            <w:szCs w:val="24"/>
          </w:rPr>
          <m:t>(τ)</m:t>
        </m:r>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t</m:t>
            </m:r>
          </m:sub>
        </m:sSub>
        <m:r>
          <w:rPr>
            <w:rFonts w:ascii="Cambria Math" w:eastAsiaTheme="minorEastAsia" w:hAnsi="Cambria Math"/>
            <w:sz w:val="24"/>
            <w:szCs w:val="24"/>
          </w:rPr>
          <m:t>=</m:t>
        </m:r>
        <m:sSup>
          <m:sSupPr>
            <m:ctrlPr>
              <w:rPr>
                <w:rFonts w:ascii="Cambria Math" w:eastAsiaTheme="minorEastAsia" w:hAnsi="Cambria Math"/>
                <w:i/>
                <w:iCs/>
                <w:sz w:val="24"/>
                <w:szCs w:val="24"/>
              </w:rPr>
            </m:ctrlPr>
          </m:sSupPr>
          <m:e>
            <m:d>
              <m:dPr>
                <m:ctrlPr>
                  <w:rPr>
                    <w:rFonts w:ascii="Cambria Math" w:eastAsiaTheme="minorEastAsia" w:hAnsi="Cambria Math"/>
                    <w:i/>
                    <w:iCs/>
                    <w:sz w:val="24"/>
                    <w:szCs w:val="24"/>
                  </w:rPr>
                </m:ctrlPr>
              </m:dPr>
              <m:e>
                <m:r>
                  <w:rPr>
                    <w:rFonts w:ascii="Cambria Math" w:eastAsiaTheme="minorEastAsia" w:hAnsi="Cambria Math"/>
                    <w:sz w:val="24"/>
                    <w:szCs w:val="24"/>
                  </w:rPr>
                  <m:t>1,</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t-1</m:t>
                    </m:r>
                  </m:sub>
                  <m:sup>
                    <m:r>
                      <w:rPr>
                        <w:rFonts w:ascii="Cambria Math" w:eastAsiaTheme="minorEastAsia" w:hAnsi="Cambria Math"/>
                        <w:sz w:val="24"/>
                        <w:szCs w:val="24"/>
                      </w:rPr>
                      <m:t>3</m:t>
                    </m:r>
                  </m:sup>
                </m:sSubSup>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t-p</m:t>
                    </m:r>
                  </m:sub>
                </m:sSub>
                <m:r>
                  <w:rPr>
                    <w:rFonts w:ascii="Cambria Math" w:eastAsiaTheme="minorEastAsia" w:hAnsi="Cambria Math"/>
                    <w:sz w:val="24"/>
                    <w:szCs w:val="24"/>
                  </w:rPr>
                  <m:t xml:space="preserve">, </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t-</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sub>
                  <m:sup>
                    <m:r>
                      <w:rPr>
                        <w:rFonts w:ascii="Cambria Math" w:eastAsiaTheme="minorEastAsia" w:hAnsi="Cambria Math"/>
                        <w:sz w:val="24"/>
                        <w:szCs w:val="24"/>
                      </w:rPr>
                      <m:t>'</m:t>
                    </m:r>
                  </m:sup>
                </m:sSubSup>
                <m:r>
                  <w:rPr>
                    <w:rFonts w:ascii="Cambria Math" w:eastAsiaTheme="minorEastAsia" w:hAnsi="Cambria Math"/>
                    <w:sz w:val="24"/>
                    <w:szCs w:val="24"/>
                  </w:rPr>
                  <m:t xml:space="preserve">, </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t+</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sub>
                  <m:sup>
                    <m:r>
                      <w:rPr>
                        <w:rFonts w:ascii="Cambria Math" w:eastAsiaTheme="minorEastAsia" w:hAnsi="Cambria Math"/>
                        <w:sz w:val="24"/>
                        <w:szCs w:val="24"/>
                      </w:rPr>
                      <m:t>'</m:t>
                    </m:r>
                  </m:sup>
                </m:sSubSup>
              </m:e>
            </m:d>
          </m:e>
          <m:sup>
            <m:r>
              <w:rPr>
                <w:rFonts w:ascii="Cambria Math" w:eastAsiaTheme="minorEastAsia" w:hAnsi="Cambria Math"/>
                <w:sz w:val="24"/>
                <w:szCs w:val="24"/>
              </w:rPr>
              <m:t>'</m:t>
            </m:r>
          </m:sup>
        </m:sSup>
      </m:oMath>
      <w:r w:rsidRPr="009E00D2">
        <w:rPr>
          <w:rFonts w:ascii="Garamond" w:eastAsiaTheme="minorEastAsia" w:hAnsi="Garamond"/>
          <w:iCs/>
          <w:sz w:val="24"/>
          <w:szCs w:val="24"/>
        </w:rPr>
        <w:t xml:space="preserve">and </w:t>
      </w:r>
      <m:oMath>
        <m:r>
          <w:rPr>
            <w:rFonts w:ascii="Cambria Math" w:eastAsiaTheme="minorEastAsia" w:hAnsi="Cambria Math"/>
            <w:sz w:val="24"/>
            <w:szCs w:val="24"/>
          </w:rPr>
          <m:t>β</m:t>
        </m:r>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m:t>
        </m:r>
        <m:sSup>
          <m:sSupPr>
            <m:ctrlPr>
              <w:rPr>
                <w:rFonts w:ascii="Cambria Math" w:eastAsiaTheme="minorEastAsia" w:hAnsi="Cambria Math"/>
                <w:i/>
                <w:iCs/>
                <w:sz w:val="24"/>
                <w:szCs w:val="24"/>
              </w:rPr>
            </m:ctrlPr>
          </m:sSupPr>
          <m:e>
            <m:d>
              <m:dPr>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 xml:space="preserve">, δ, </m:t>
                </m:r>
                <m:sSub>
                  <m:sSubPr>
                    <m:ctrlPr>
                      <w:rPr>
                        <w:rFonts w:ascii="Cambria Math" w:eastAsiaTheme="minorEastAsia" w:hAnsi="Cambria Math"/>
                        <w:i/>
                        <w:iCs/>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p</m:t>
                    </m:r>
                  </m:sub>
                </m:sSub>
                <m:r>
                  <w:rPr>
                    <w:rFonts w:ascii="Cambria Math" w:eastAsiaTheme="minorEastAsia" w:hAnsi="Cambria Math"/>
                    <w:sz w:val="24"/>
                    <w:szCs w:val="24"/>
                  </w:rPr>
                  <m:t>,</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b</m:t>
                    </m:r>
                  </m:e>
                  <m:sub>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sub>
                  <m:sup>
                    <m:r>
                      <w:rPr>
                        <w:rFonts w:ascii="Cambria Math" w:eastAsiaTheme="minorEastAsia" w:hAnsi="Cambria Math"/>
                        <w:sz w:val="24"/>
                        <w:szCs w:val="24"/>
                      </w:rPr>
                      <m:t>'</m:t>
                    </m:r>
                  </m:sup>
                </m:sSubSup>
                <m:r>
                  <w:rPr>
                    <w:rFonts w:ascii="Cambria Math" w:eastAsiaTheme="minorEastAsia" w:hAnsi="Cambria Math"/>
                    <w:sz w:val="24"/>
                    <w:szCs w:val="24"/>
                  </w:rPr>
                  <m:t>,…</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b</m:t>
                    </m:r>
                  </m:e>
                  <m:sub>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sub>
                  <m:sup>
                    <m:r>
                      <w:rPr>
                        <w:rFonts w:ascii="Cambria Math" w:eastAsiaTheme="minorEastAsia" w:hAnsi="Cambria Math"/>
                        <w:sz w:val="24"/>
                        <w:szCs w:val="24"/>
                      </w:rPr>
                      <m:t>'</m:t>
                    </m:r>
                  </m:sup>
                </m:sSubSup>
              </m:e>
            </m:d>
          </m:e>
          <m:sup>
            <m:r>
              <w:rPr>
                <w:rFonts w:ascii="Cambria Math" w:eastAsiaTheme="minorEastAsia" w:hAnsi="Cambria Math"/>
                <w:sz w:val="24"/>
                <w:szCs w:val="24"/>
              </w:rPr>
              <m:t>'</m:t>
            </m:r>
          </m:sup>
        </m:sSup>
      </m:oMath>
      <w:r w:rsidRPr="009E00D2">
        <w:rPr>
          <w:rFonts w:ascii="Garamond" w:eastAsiaTheme="minorEastAsia" w:hAnsi="Garamond"/>
          <w:iCs/>
          <w:sz w:val="24"/>
          <w:szCs w:val="24"/>
        </w:rPr>
        <w:t>. Solving the following minimization problem yields the estimates:</w:t>
      </w:r>
    </w:p>
    <w:p w14:paraId="25177CCD" w14:textId="77777777" w:rsidR="00E546B1" w:rsidRPr="009E00D2" w:rsidRDefault="00E546B1" w:rsidP="00BD329C">
      <w:pPr>
        <w:pStyle w:val="NoSpacing"/>
        <w:spacing w:line="480" w:lineRule="auto"/>
        <w:jc w:val="both"/>
        <w:rPr>
          <w:rFonts w:ascii="Garamond" w:eastAsiaTheme="minorEastAsia" w:hAnsi="Garamond"/>
          <w:iCs/>
          <w:sz w:val="24"/>
          <w:szCs w:val="24"/>
        </w:rPr>
      </w:pPr>
    </w:p>
    <w:p w14:paraId="111B7EEB" w14:textId="61D08365" w:rsidR="00E546B1" w:rsidRPr="009E00D2" w:rsidRDefault="00880EE9" w:rsidP="00BD329C">
      <w:pPr>
        <w:pStyle w:val="NoSpacing"/>
        <w:spacing w:line="480" w:lineRule="auto"/>
        <w:rPr>
          <w:rFonts w:ascii="Garamond" w:eastAsiaTheme="minorEastAsia" w:hAnsi="Garamond"/>
          <w:iCs/>
          <w:sz w:val="24"/>
          <w:szCs w:val="24"/>
          <w:lang w:val="en-GB"/>
        </w:rPr>
      </w:pPr>
      <m:oMath>
        <m:acc>
          <m:accPr>
            <m:ctrlPr>
              <w:rPr>
                <w:rFonts w:ascii="Cambria Math" w:eastAsiaTheme="minorEastAsia" w:hAnsi="Cambria Math"/>
                <w:i/>
                <w:iCs/>
                <w:sz w:val="24"/>
                <w:szCs w:val="24"/>
              </w:rPr>
            </m:ctrlPr>
          </m:accPr>
          <m:e>
            <m:r>
              <w:rPr>
                <w:rFonts w:ascii="Cambria Math" w:eastAsiaTheme="minorEastAsia" w:hAnsi="Cambria Math"/>
                <w:sz w:val="24"/>
                <w:szCs w:val="24"/>
              </w:rPr>
              <m:t>β</m:t>
            </m:r>
          </m:e>
        </m:acc>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lang w:val="en-GB"/>
          </w:rPr>
          <m:t>=</m:t>
        </m:r>
        <m:func>
          <m:funcPr>
            <m:ctrlPr>
              <w:rPr>
                <w:rFonts w:ascii="Cambria Math" w:eastAsiaTheme="minorEastAsia" w:hAnsi="Cambria Math"/>
                <w:i/>
                <w:iCs/>
                <w:sz w:val="24"/>
                <w:szCs w:val="24"/>
              </w:rPr>
            </m:ctrlPr>
          </m:funcPr>
          <m:fName>
            <m:r>
              <m:rPr>
                <m:sty m:val="p"/>
              </m:rPr>
              <w:rPr>
                <w:rFonts w:ascii="Cambria Math" w:eastAsiaTheme="minorEastAsia" w:hAnsi="Cambria Math"/>
                <w:sz w:val="24"/>
                <w:szCs w:val="24"/>
                <w:lang w:val="en-GB"/>
              </w:rPr>
              <m:t>arg</m:t>
            </m:r>
          </m:fName>
          <m:e>
            <m:func>
              <m:funcPr>
                <m:ctrlPr>
                  <w:rPr>
                    <w:rFonts w:ascii="Cambria Math" w:eastAsiaTheme="minorEastAsia" w:hAnsi="Cambria Math"/>
                    <w:i/>
                    <w:iCs/>
                    <w:sz w:val="24"/>
                    <w:szCs w:val="24"/>
                  </w:rPr>
                </m:ctrlPr>
              </m:funcPr>
              <m:fName>
                <m:limLow>
                  <m:limLowPr>
                    <m:ctrlPr>
                      <w:rPr>
                        <w:rFonts w:ascii="Cambria Math" w:eastAsiaTheme="minorEastAsia" w:hAnsi="Cambria Math"/>
                        <w:i/>
                        <w:iCs/>
                        <w:sz w:val="24"/>
                        <w:szCs w:val="24"/>
                      </w:rPr>
                    </m:ctrlPr>
                  </m:limLowPr>
                  <m:e>
                    <m:r>
                      <m:rPr>
                        <m:sty m:val="p"/>
                      </m:rPr>
                      <w:rPr>
                        <w:rFonts w:ascii="Cambria Math" w:hAnsi="Cambria Math"/>
                        <w:sz w:val="24"/>
                        <w:szCs w:val="24"/>
                        <w:lang w:val="en-GB"/>
                      </w:rPr>
                      <m:t>min</m:t>
                    </m:r>
                  </m:e>
                  <m:lim>
                    <m:r>
                      <w:rPr>
                        <w:rFonts w:ascii="Cambria Math" w:eastAsiaTheme="minorEastAsia" w:hAnsi="Cambria Math"/>
                        <w:sz w:val="24"/>
                        <w:szCs w:val="24"/>
                      </w:rPr>
                      <m:t>β</m:t>
                    </m:r>
                  </m:lim>
                </m:limLow>
              </m:fName>
              <m:e>
                <m:nary>
                  <m:naryPr>
                    <m:chr m:val="∑"/>
                    <m:limLoc m:val="undOvr"/>
                    <m:ctrlPr>
                      <w:rPr>
                        <w:rFonts w:ascii="Cambria Math" w:eastAsiaTheme="minorEastAsia" w:hAnsi="Cambria Math"/>
                        <w:i/>
                        <w:iCs/>
                        <w:sz w:val="24"/>
                        <w:szCs w:val="24"/>
                      </w:rPr>
                    </m:ctrlPr>
                  </m:naryPr>
                  <m:sub>
                    <m:r>
                      <w:rPr>
                        <w:rFonts w:ascii="Cambria Math" w:eastAsiaTheme="minorEastAsia" w:hAnsi="Cambria Math"/>
                        <w:sz w:val="24"/>
                        <w:szCs w:val="24"/>
                      </w:rPr>
                      <m:t>t</m:t>
                    </m:r>
                    <m:r>
                      <w:rPr>
                        <w:rFonts w:ascii="Cambria Math" w:eastAsiaTheme="minorEastAsia" w:hAnsi="Cambria Math"/>
                        <w:sz w:val="24"/>
                        <w:szCs w:val="24"/>
                        <w:lang w:val="en-GB"/>
                      </w:rPr>
                      <m:t>=1</m:t>
                    </m:r>
                  </m:sub>
                  <m:sup>
                    <m:r>
                      <w:rPr>
                        <w:rFonts w:ascii="Cambria Math" w:eastAsiaTheme="minorEastAsia" w:hAnsi="Cambria Math"/>
                        <w:sz w:val="24"/>
                        <w:szCs w:val="24"/>
                      </w:rPr>
                      <m:t>T</m:t>
                    </m:r>
                  </m:sup>
                  <m:e>
                    <m:sSub>
                      <m:sSubPr>
                        <m:ctrlPr>
                          <w:rPr>
                            <w:rFonts w:ascii="Cambria Math" w:eastAsiaTheme="minorEastAsia" w:hAnsi="Cambria Math"/>
                            <w:i/>
                            <w:iCs/>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τ</m:t>
                        </m:r>
                      </m:sub>
                    </m:sSub>
                  </m:e>
                </m:nary>
                <m:d>
                  <m:dPr>
                    <m:ctrlPr>
                      <w:rPr>
                        <w:rFonts w:ascii="Cambria Math" w:eastAsiaTheme="minorEastAsia" w:hAnsi="Cambria Math"/>
                        <w:i/>
                        <w:iCs/>
                        <w:sz w:val="24"/>
                        <w:szCs w:val="24"/>
                      </w:rPr>
                    </m:ctrlPr>
                  </m:dPr>
                  <m:e>
                    <m:r>
                      <w:rPr>
                        <w:rFonts w:ascii="Cambria Math" w:eastAsiaTheme="minorEastAsia" w:hAnsi="Cambria Math"/>
                        <w:sz w:val="24"/>
                        <w:szCs w:val="24"/>
                        <w:lang w:val="en-GB"/>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lang w:val="en-GB"/>
                      </w:rPr>
                      <m:t>-</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z</m:t>
                        </m:r>
                      </m:e>
                      <m:sub>
                        <m:r>
                          <w:rPr>
                            <w:rFonts w:ascii="Cambria Math" w:eastAsiaTheme="minorEastAsia" w:hAnsi="Cambria Math"/>
                            <w:sz w:val="24"/>
                            <w:szCs w:val="24"/>
                          </w:rPr>
                          <m:t>t</m:t>
                        </m:r>
                      </m:sub>
                      <m:sup>
                        <m:r>
                          <w:rPr>
                            <w:rFonts w:ascii="Cambria Math" w:eastAsiaTheme="minorEastAsia" w:hAnsi="Cambria Math"/>
                            <w:sz w:val="24"/>
                            <w:szCs w:val="24"/>
                            <w:lang w:val="en-GB"/>
                          </w:rPr>
                          <m:t>'</m:t>
                        </m:r>
                      </m:sup>
                    </m:sSubSup>
                    <m:r>
                      <w:rPr>
                        <w:rFonts w:ascii="Cambria Math" w:eastAsiaTheme="minorEastAsia" w:hAnsi="Cambria Math"/>
                        <w:sz w:val="24"/>
                        <w:szCs w:val="24"/>
                      </w:rPr>
                      <m:t>β</m:t>
                    </m:r>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d>
              </m:e>
            </m:func>
          </m:e>
        </m:func>
      </m:oMath>
      <w:r w:rsidR="00E546B1" w:rsidRPr="009E00D2">
        <w:rPr>
          <w:rFonts w:ascii="Garamond" w:eastAsiaTheme="minorEastAsia" w:hAnsi="Garamond"/>
          <w:iCs/>
          <w:sz w:val="24"/>
          <w:szCs w:val="24"/>
          <w:lang w:val="en-GB"/>
        </w:rPr>
        <w:t>,</w:t>
      </w:r>
      <w:r w:rsidR="00E546B1" w:rsidRPr="009E00D2">
        <w:rPr>
          <w:rFonts w:ascii="Garamond" w:eastAsiaTheme="minorEastAsia" w:hAnsi="Garamond"/>
          <w:iCs/>
          <w:sz w:val="24"/>
          <w:szCs w:val="24"/>
          <w:lang w:val="en-GB"/>
        </w:rPr>
        <w:tab/>
      </w:r>
      <w:r w:rsidR="00E546B1" w:rsidRPr="009E00D2">
        <w:rPr>
          <w:rFonts w:ascii="Garamond" w:eastAsiaTheme="minorEastAsia" w:hAnsi="Garamond"/>
          <w:iCs/>
          <w:sz w:val="24"/>
          <w:szCs w:val="24"/>
          <w:lang w:val="en-GB"/>
        </w:rPr>
        <w:tab/>
      </w:r>
      <w:r w:rsidR="00E546B1" w:rsidRPr="009E00D2">
        <w:rPr>
          <w:rFonts w:ascii="Garamond" w:eastAsiaTheme="minorEastAsia" w:hAnsi="Garamond"/>
          <w:iCs/>
          <w:sz w:val="24"/>
          <w:szCs w:val="24"/>
          <w:lang w:val="en-GB"/>
        </w:rPr>
        <w:tab/>
      </w:r>
      <w:r w:rsidR="00E546B1" w:rsidRPr="009E00D2">
        <w:rPr>
          <w:rFonts w:ascii="Garamond" w:eastAsiaTheme="minorEastAsia" w:hAnsi="Garamond"/>
          <w:iCs/>
          <w:sz w:val="24"/>
          <w:szCs w:val="24"/>
          <w:lang w:val="en-GB"/>
        </w:rPr>
        <w:tab/>
      </w:r>
      <w:r w:rsidR="00BD329C">
        <w:rPr>
          <w:rFonts w:ascii="Garamond" w:eastAsiaTheme="minorEastAsia" w:hAnsi="Garamond"/>
          <w:iCs/>
          <w:sz w:val="24"/>
          <w:szCs w:val="24"/>
          <w:lang w:val="en-GB"/>
        </w:rPr>
        <w:t xml:space="preserve">                </w:t>
      </w:r>
      <w:r w:rsidR="00E546B1" w:rsidRPr="009E00D2">
        <w:rPr>
          <w:rFonts w:ascii="Garamond" w:eastAsiaTheme="minorEastAsia" w:hAnsi="Garamond"/>
          <w:iCs/>
          <w:sz w:val="24"/>
          <w:szCs w:val="24"/>
          <w:lang w:val="en-GB"/>
        </w:rPr>
        <w:tab/>
      </w:r>
      <w:r w:rsidR="00E546B1" w:rsidRPr="009E00D2">
        <w:rPr>
          <w:rFonts w:ascii="Garamond" w:eastAsiaTheme="minorEastAsia" w:hAnsi="Garamond"/>
          <w:iCs/>
          <w:sz w:val="24"/>
          <w:szCs w:val="24"/>
          <w:lang w:val="en-GB"/>
        </w:rPr>
        <w:tab/>
        <w:t>(12)</w:t>
      </w:r>
    </w:p>
    <w:p w14:paraId="66E0CAEB" w14:textId="77777777" w:rsidR="00E546B1" w:rsidRPr="009E00D2" w:rsidRDefault="00E546B1" w:rsidP="00BD329C">
      <w:pPr>
        <w:pStyle w:val="NoSpacing"/>
        <w:spacing w:line="480" w:lineRule="auto"/>
        <w:jc w:val="center"/>
        <w:rPr>
          <w:rFonts w:ascii="Garamond" w:eastAsiaTheme="minorEastAsia" w:hAnsi="Garamond"/>
          <w:iCs/>
          <w:sz w:val="24"/>
          <w:szCs w:val="24"/>
          <w:lang w:val="en-GB"/>
        </w:rPr>
      </w:pPr>
    </w:p>
    <w:p w14:paraId="58D5997F" w14:textId="77777777" w:rsidR="00E546B1" w:rsidRPr="009E00D2" w:rsidRDefault="00E546B1" w:rsidP="00BD329C">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t xml:space="preserve">where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τ</m:t>
            </m:r>
          </m:sub>
        </m:sSub>
        <m:d>
          <m:dPr>
            <m:ctrlPr>
              <w:rPr>
                <w:rFonts w:ascii="Cambria Math" w:eastAsiaTheme="minorEastAsia" w:hAnsi="Cambria Math"/>
                <w:i/>
                <w:iCs/>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=u</m:t>
        </m:r>
        <m:d>
          <m:dPr>
            <m:ctrlPr>
              <w:rPr>
                <w:rFonts w:ascii="Cambria Math" w:eastAsiaTheme="minorEastAsia" w:hAnsi="Cambria Math"/>
                <w:i/>
                <w:iCs/>
                <w:sz w:val="24"/>
                <w:szCs w:val="24"/>
              </w:rPr>
            </m:ctrlPr>
          </m:dPr>
          <m:e>
            <m:r>
              <w:rPr>
                <w:rFonts w:ascii="Cambria Math" w:eastAsiaTheme="minorEastAsia" w:hAnsi="Cambria Math"/>
                <w:sz w:val="24"/>
                <w:szCs w:val="24"/>
              </w:rPr>
              <m:t>τ-I</m:t>
            </m:r>
            <m:d>
              <m:dPr>
                <m:ctrlPr>
                  <w:rPr>
                    <w:rFonts w:ascii="Cambria Math" w:eastAsiaTheme="minorEastAsia" w:hAnsi="Cambria Math"/>
                    <w:i/>
                    <w:iCs/>
                    <w:sz w:val="24"/>
                    <w:szCs w:val="24"/>
                  </w:rPr>
                </m:ctrlPr>
              </m:dPr>
              <m:e>
                <m:r>
                  <w:rPr>
                    <w:rFonts w:ascii="Cambria Math" w:eastAsiaTheme="minorEastAsia" w:hAnsi="Cambria Math"/>
                    <w:sz w:val="24"/>
                    <w:szCs w:val="24"/>
                  </w:rPr>
                  <m:t>u&lt;0</m:t>
                </m:r>
              </m:e>
            </m:d>
          </m:e>
        </m:d>
      </m:oMath>
      <w:r w:rsidRPr="009E00D2">
        <w:rPr>
          <w:rFonts w:ascii="Garamond" w:eastAsiaTheme="minorEastAsia" w:hAnsi="Garamond"/>
          <w:iCs/>
          <w:sz w:val="24"/>
          <w:szCs w:val="24"/>
        </w:rPr>
        <w:t xml:space="preserve"> is the check function following Koenker and Bassett (</w:t>
      </w:r>
      <w:proofErr w:type="gramStart"/>
      <w:r w:rsidRPr="009E00D2">
        <w:rPr>
          <w:rFonts w:ascii="Garamond" w:eastAsiaTheme="minorEastAsia" w:hAnsi="Garamond"/>
          <w:iCs/>
          <w:sz w:val="24"/>
          <w:szCs w:val="24"/>
        </w:rPr>
        <w:t>1978).</w:t>
      </w:r>
      <w:proofErr w:type="gramEnd"/>
    </w:p>
    <w:p w14:paraId="156E8E35" w14:textId="30FA4A45" w:rsidR="00E546B1" w:rsidRPr="009E00D2" w:rsidRDefault="00E546B1" w:rsidP="00BD329C">
      <w:pPr>
        <w:pStyle w:val="NoSpacing"/>
        <w:spacing w:line="480" w:lineRule="auto"/>
        <w:ind w:firstLine="709"/>
        <w:jc w:val="both"/>
        <w:rPr>
          <w:rFonts w:ascii="Garamond" w:eastAsiaTheme="minorEastAsia" w:hAnsi="Garamond"/>
          <w:iCs/>
          <w:sz w:val="24"/>
          <w:szCs w:val="24"/>
        </w:rPr>
      </w:pPr>
      <w:r w:rsidRPr="009E00D2">
        <w:rPr>
          <w:rFonts w:ascii="Garamond" w:eastAsiaTheme="minorEastAsia" w:hAnsi="Garamond"/>
          <w:iCs/>
          <w:sz w:val="24"/>
          <w:szCs w:val="24"/>
        </w:rPr>
        <w:t xml:space="preserve">Following </w:t>
      </w:r>
      <w:proofErr w:type="spellStart"/>
      <w:r w:rsidRPr="009E00D2">
        <w:rPr>
          <w:rFonts w:ascii="Garamond" w:eastAsiaTheme="minorEastAsia" w:hAnsi="Garamond"/>
          <w:iCs/>
          <w:sz w:val="24"/>
          <w:szCs w:val="24"/>
        </w:rPr>
        <w:t>Galvao</w:t>
      </w:r>
      <w:proofErr w:type="spellEnd"/>
      <w:r w:rsidRPr="009E00D2">
        <w:rPr>
          <w:rFonts w:ascii="Garamond" w:eastAsiaTheme="minorEastAsia" w:hAnsi="Garamond"/>
          <w:iCs/>
          <w:sz w:val="24"/>
          <w:szCs w:val="24"/>
        </w:rPr>
        <w:t xml:space="preserve"> (2009) and Yang and Zhao (2020), the quantile nonlinear unit root test with covariates is defined as</w:t>
      </w:r>
      <w:r w:rsidR="00BD329C">
        <w:rPr>
          <w:rFonts w:ascii="Garamond" w:eastAsiaTheme="minorEastAsia" w:hAnsi="Garamond"/>
          <w:iCs/>
          <w:sz w:val="24"/>
          <w:szCs w:val="24"/>
        </w:rPr>
        <w:t xml:space="preserve"> follows:</w:t>
      </w:r>
    </w:p>
    <w:p w14:paraId="4D523E67" w14:textId="77777777" w:rsidR="00E546B1" w:rsidRPr="009E00D2" w:rsidRDefault="00E546B1" w:rsidP="00BD329C">
      <w:pPr>
        <w:pStyle w:val="NoSpacing"/>
        <w:spacing w:line="480" w:lineRule="auto"/>
        <w:jc w:val="both"/>
        <w:rPr>
          <w:rFonts w:ascii="Garamond" w:eastAsiaTheme="minorEastAsia" w:hAnsi="Garamond"/>
          <w:iCs/>
          <w:sz w:val="24"/>
          <w:szCs w:val="24"/>
        </w:rPr>
      </w:pPr>
    </w:p>
    <w:p w14:paraId="6730C344" w14:textId="33130287" w:rsidR="00E546B1" w:rsidRPr="009E00D2" w:rsidRDefault="00E546B1" w:rsidP="00BD329C">
      <w:pPr>
        <w:pStyle w:val="NoSpacing"/>
        <w:spacing w:line="480" w:lineRule="auto"/>
        <w:jc w:val="both"/>
        <w:rPr>
          <w:rFonts w:ascii="Garamond" w:eastAsiaTheme="minorEastAsia" w:hAnsi="Garamond"/>
          <w:iCs/>
          <w:sz w:val="24"/>
          <w:szCs w:val="24"/>
        </w:rPr>
      </w:pPr>
      <m:oMath>
        <m:r>
          <w:rPr>
            <w:rFonts w:ascii="Cambria Math" w:eastAsiaTheme="minorEastAsia" w:hAnsi="Cambria Math"/>
            <w:sz w:val="24"/>
            <w:szCs w:val="24"/>
          </w:rPr>
          <m:t>t</m:t>
        </m:r>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m:t>
        </m:r>
        <m:f>
          <m:fPr>
            <m:ctrlPr>
              <w:rPr>
                <w:rFonts w:ascii="Cambria Math" w:eastAsiaTheme="minorEastAsia" w:hAnsi="Cambria Math"/>
                <w:i/>
                <w:iCs/>
                <w:sz w:val="24"/>
                <w:szCs w:val="24"/>
              </w:rPr>
            </m:ctrlPr>
          </m:fPr>
          <m:num>
            <m:r>
              <w:rPr>
                <w:rFonts w:ascii="Cambria Math" w:eastAsiaTheme="minorEastAsia" w:hAnsi="Cambria Math"/>
                <w:sz w:val="24"/>
                <w:szCs w:val="24"/>
              </w:rPr>
              <m:t>f</m:t>
            </m:r>
            <m:d>
              <m:dPr>
                <m:ctrlPr>
                  <w:rPr>
                    <w:rFonts w:ascii="Cambria Math" w:eastAsiaTheme="minorEastAsia" w:hAnsi="Cambria Math"/>
                    <w:i/>
                    <w:iCs/>
                    <w:sz w:val="24"/>
                    <w:szCs w:val="24"/>
                  </w:rPr>
                </m:ctrlPr>
              </m:dPr>
              <m:e>
                <m:acc>
                  <m:accPr>
                    <m:ctrlPr>
                      <w:rPr>
                        <w:rFonts w:ascii="Cambria Math" w:eastAsiaTheme="minorEastAsia" w:hAnsi="Cambria Math"/>
                        <w:i/>
                        <w:iCs/>
                        <w:sz w:val="24"/>
                        <w:szCs w:val="24"/>
                      </w:rPr>
                    </m:ctrlPr>
                  </m:accPr>
                  <m:e>
                    <m:sSup>
                      <m:sSupPr>
                        <m:ctrlPr>
                          <w:rPr>
                            <w:rFonts w:ascii="Cambria Math" w:eastAsiaTheme="minorEastAsia" w:hAnsi="Cambria Math"/>
                            <w:i/>
                            <w:iCs/>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-1</m:t>
                        </m:r>
                      </m:sup>
                    </m:sSup>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acc>
              </m:e>
            </m:d>
          </m:num>
          <m:den>
            <m:rad>
              <m:radPr>
                <m:degHide m:val="1"/>
                <m:ctrlPr>
                  <w:rPr>
                    <w:rFonts w:ascii="Cambria Math" w:eastAsiaTheme="minorEastAsia" w:hAnsi="Cambria Math"/>
                    <w:i/>
                    <w:iCs/>
                    <w:sz w:val="24"/>
                    <w:szCs w:val="24"/>
                  </w:rPr>
                </m:ctrlPr>
              </m:radPr>
              <m:deg/>
              <m:e>
                <m:r>
                  <w:rPr>
                    <w:rFonts w:ascii="Cambria Math" w:eastAsiaTheme="minorEastAsia" w:hAnsi="Cambria Math"/>
                    <w:sz w:val="24"/>
                    <w:szCs w:val="24"/>
                  </w:rPr>
                  <m:t>τ</m:t>
                </m:r>
                <m:d>
                  <m:dPr>
                    <m:ctrlPr>
                      <w:rPr>
                        <w:rFonts w:ascii="Cambria Math" w:eastAsiaTheme="minorEastAsia" w:hAnsi="Cambria Math"/>
                        <w:i/>
                        <w:iCs/>
                        <w:sz w:val="24"/>
                        <w:szCs w:val="24"/>
                      </w:rPr>
                    </m:ctrlPr>
                  </m:dPr>
                  <m:e>
                    <m:r>
                      <w:rPr>
                        <w:rFonts w:ascii="Cambria Math" w:eastAsiaTheme="minorEastAsia" w:hAnsi="Cambria Math"/>
                        <w:sz w:val="24"/>
                        <w:szCs w:val="24"/>
                      </w:rPr>
                      <m:t>1-τ</m:t>
                    </m:r>
                  </m:e>
                </m:d>
              </m:e>
            </m:rad>
          </m:den>
        </m:f>
        <m:sSup>
          <m:sSupPr>
            <m:ctrlPr>
              <w:rPr>
                <w:rFonts w:ascii="Cambria Math" w:eastAsiaTheme="minorEastAsia" w:hAnsi="Cambria Math"/>
                <w:i/>
                <w:iCs/>
                <w:sz w:val="24"/>
                <w:szCs w:val="24"/>
              </w:rPr>
            </m:ctrlPr>
          </m:sSupPr>
          <m:e>
            <m:d>
              <m:dPr>
                <m:ctrlPr>
                  <w:rPr>
                    <w:rFonts w:ascii="Cambria Math" w:eastAsiaTheme="minorEastAsia" w:hAnsi="Cambria Math"/>
                    <w:i/>
                    <w:iCs/>
                    <w:sz w:val="24"/>
                    <w:szCs w:val="24"/>
                  </w:rPr>
                </m:ctrlPr>
              </m:dPr>
              <m:e>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-1</m:t>
                    </m:r>
                  </m:sub>
                  <m:sup>
                    <m:r>
                      <w:rPr>
                        <w:rFonts w:ascii="Cambria Math" w:eastAsiaTheme="minorEastAsia" w:hAnsi="Cambria Math"/>
                        <w:sz w:val="24"/>
                        <w:szCs w:val="24"/>
                      </w:rPr>
                      <m:t>'</m:t>
                    </m:r>
                  </m:sup>
                </m:sSubSup>
                <m:sSub>
                  <m:sSubPr>
                    <m:ctrlPr>
                      <w:rPr>
                        <w:rFonts w:ascii="Cambria Math" w:eastAsiaTheme="minorEastAsia" w:hAnsi="Cambria Math"/>
                        <w:i/>
                        <w:iCs/>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Z</m:t>
                    </m:r>
                  </m:sub>
                </m:sSub>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d>
          </m:e>
          <m:sup>
            <m:f>
              <m:fPr>
                <m:ctrlPr>
                  <w:rPr>
                    <w:rFonts w:ascii="Cambria Math" w:eastAsiaTheme="minorEastAsia" w:hAnsi="Cambria Math"/>
                    <w:i/>
                    <w:iCs/>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acc>
          <m:accPr>
            <m:ctrlPr>
              <w:rPr>
                <w:rFonts w:ascii="Cambria Math" w:eastAsiaTheme="minorEastAsia" w:hAnsi="Cambria Math"/>
                <w:i/>
                <w:iCs/>
                <w:sz w:val="24"/>
                <w:szCs w:val="24"/>
              </w:rPr>
            </m:ctrlPr>
          </m:accPr>
          <m:e>
            <m:r>
              <w:rPr>
                <w:rFonts w:ascii="Cambria Math" w:eastAsiaTheme="minorEastAsia" w:hAnsi="Cambria Math"/>
                <w:sz w:val="24"/>
                <w:szCs w:val="24"/>
              </w:rPr>
              <m:t>δ</m:t>
            </m:r>
          </m:e>
        </m:acc>
        <m:r>
          <w:rPr>
            <w:rFonts w:ascii="Cambria Math" w:eastAsiaTheme="minorEastAsia" w:hAnsi="Cambria Math"/>
            <w:sz w:val="24"/>
            <w:szCs w:val="24"/>
          </w:rPr>
          <m:t>(τ)</m:t>
        </m:r>
      </m:oMath>
      <w:r w:rsidRPr="009E00D2">
        <w:rPr>
          <w:rFonts w:ascii="Garamond" w:eastAsiaTheme="minorEastAsia" w:hAnsi="Garamond"/>
          <w:iCs/>
          <w:sz w:val="24"/>
          <w:szCs w:val="24"/>
        </w:rPr>
        <w:t xml:space="preserve">, </w:t>
      </w:r>
      <w:r w:rsidRPr="009E00D2">
        <w:rPr>
          <w:rFonts w:ascii="Garamond" w:eastAsiaTheme="minorEastAsia" w:hAnsi="Garamond"/>
          <w:iCs/>
          <w:sz w:val="24"/>
          <w:szCs w:val="24"/>
        </w:rPr>
        <w:tab/>
      </w:r>
      <w:r w:rsidRPr="009E00D2">
        <w:rPr>
          <w:rFonts w:ascii="Garamond" w:eastAsiaTheme="minorEastAsia" w:hAnsi="Garamond"/>
          <w:iCs/>
          <w:sz w:val="24"/>
          <w:szCs w:val="24"/>
        </w:rPr>
        <w:tab/>
      </w:r>
      <w:r w:rsidRPr="009E00D2">
        <w:rPr>
          <w:rFonts w:ascii="Garamond" w:eastAsiaTheme="minorEastAsia" w:hAnsi="Garamond"/>
          <w:iCs/>
          <w:sz w:val="24"/>
          <w:szCs w:val="24"/>
        </w:rPr>
        <w:tab/>
      </w:r>
      <w:r w:rsidR="00BD329C">
        <w:rPr>
          <w:rFonts w:ascii="Garamond" w:eastAsiaTheme="minorEastAsia" w:hAnsi="Garamond"/>
          <w:iCs/>
          <w:sz w:val="24"/>
          <w:szCs w:val="24"/>
        </w:rPr>
        <w:t xml:space="preserve">                       </w:t>
      </w:r>
      <w:r w:rsidRPr="009E00D2">
        <w:rPr>
          <w:rFonts w:ascii="Garamond" w:eastAsiaTheme="minorEastAsia" w:hAnsi="Garamond"/>
          <w:iCs/>
          <w:sz w:val="24"/>
          <w:szCs w:val="24"/>
        </w:rPr>
        <w:tab/>
      </w:r>
      <w:r w:rsidRPr="009E00D2">
        <w:rPr>
          <w:rFonts w:ascii="Garamond" w:eastAsiaTheme="minorEastAsia" w:hAnsi="Garamond"/>
          <w:iCs/>
          <w:sz w:val="24"/>
          <w:szCs w:val="24"/>
        </w:rPr>
        <w:tab/>
      </w:r>
      <w:r w:rsidRPr="009E00D2">
        <w:rPr>
          <w:rFonts w:ascii="Garamond" w:eastAsiaTheme="minorEastAsia" w:hAnsi="Garamond"/>
          <w:iCs/>
          <w:sz w:val="24"/>
          <w:szCs w:val="24"/>
        </w:rPr>
        <w:tab/>
      </w:r>
      <w:r w:rsidRPr="009E00D2">
        <w:rPr>
          <w:rFonts w:ascii="Garamond" w:eastAsiaTheme="minorEastAsia" w:hAnsi="Garamond"/>
          <w:iCs/>
          <w:sz w:val="24"/>
          <w:szCs w:val="24"/>
        </w:rPr>
        <w:tab/>
        <w:t>(13)</w:t>
      </w:r>
    </w:p>
    <w:p w14:paraId="54BFFD57" w14:textId="77777777" w:rsidR="00E546B1" w:rsidRPr="009E00D2" w:rsidRDefault="00E546B1" w:rsidP="00BD329C">
      <w:pPr>
        <w:pStyle w:val="NoSpacing"/>
        <w:spacing w:line="480" w:lineRule="auto"/>
        <w:jc w:val="both"/>
        <w:rPr>
          <w:rFonts w:ascii="Garamond" w:eastAsiaTheme="minorEastAsia" w:hAnsi="Garamond"/>
          <w:iCs/>
          <w:sz w:val="24"/>
          <w:szCs w:val="24"/>
        </w:rPr>
      </w:pPr>
    </w:p>
    <w:p w14:paraId="6466D330" w14:textId="77777777" w:rsidR="00E546B1" w:rsidRPr="009E00D2" w:rsidRDefault="00E546B1" w:rsidP="00BD329C">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t xml:space="preserve">where </w:t>
      </w:r>
      <m:oMath>
        <m:r>
          <w:rPr>
            <w:rFonts w:ascii="Cambria Math" w:eastAsiaTheme="minorEastAsia" w:hAnsi="Cambria Math"/>
            <w:sz w:val="24"/>
            <w:szCs w:val="24"/>
          </w:rPr>
          <m:t>f</m:t>
        </m:r>
        <m:d>
          <m:dPr>
            <m:ctrlPr>
              <w:rPr>
                <w:rFonts w:ascii="Cambria Math" w:eastAsiaTheme="minorEastAsia" w:hAnsi="Cambria Math"/>
                <w:i/>
                <w:iCs/>
                <w:sz w:val="24"/>
                <w:szCs w:val="24"/>
              </w:rPr>
            </m:ctrlPr>
          </m:dPr>
          <m:e>
            <m:acc>
              <m:accPr>
                <m:ctrlPr>
                  <w:rPr>
                    <w:rFonts w:ascii="Cambria Math" w:eastAsiaTheme="minorEastAsia" w:hAnsi="Cambria Math"/>
                    <w:i/>
                    <w:iCs/>
                    <w:sz w:val="24"/>
                    <w:szCs w:val="24"/>
                  </w:rPr>
                </m:ctrlPr>
              </m:accPr>
              <m:e>
                <m:sSup>
                  <m:sSupPr>
                    <m:ctrlPr>
                      <w:rPr>
                        <w:rFonts w:ascii="Cambria Math" w:eastAsiaTheme="minorEastAsia" w:hAnsi="Cambria Math"/>
                        <w:i/>
                        <w:iCs/>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-1</m:t>
                    </m:r>
                  </m:sup>
                </m:sSup>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acc>
          </m:e>
        </m:d>
      </m:oMath>
      <w:r w:rsidRPr="009E00D2">
        <w:rPr>
          <w:rFonts w:ascii="Garamond" w:eastAsiaTheme="minorEastAsia" w:hAnsi="Garamond"/>
          <w:iCs/>
          <w:sz w:val="24"/>
          <w:szCs w:val="24"/>
        </w:rPr>
        <w:t xml:space="preserve"> is a consistent estimator of </w:t>
      </w:r>
      <m:oMath>
        <m:r>
          <w:rPr>
            <w:rFonts w:ascii="Cambria Math" w:eastAsiaTheme="minorEastAsia" w:hAnsi="Cambria Math"/>
            <w:sz w:val="24"/>
            <w:szCs w:val="24"/>
          </w:rPr>
          <m:t>f</m:t>
        </m:r>
        <m:d>
          <m:dPr>
            <m:ctrlPr>
              <w:rPr>
                <w:rFonts w:ascii="Cambria Math" w:eastAsiaTheme="minorEastAsia" w:hAnsi="Cambria Math"/>
                <w:i/>
                <w:iCs/>
                <w:sz w:val="24"/>
                <w:szCs w:val="24"/>
              </w:rPr>
            </m:ctrlPr>
          </m:dPr>
          <m:e>
            <m:sSup>
              <m:sSupPr>
                <m:ctrlPr>
                  <w:rPr>
                    <w:rFonts w:ascii="Cambria Math" w:eastAsiaTheme="minorEastAsia" w:hAnsi="Cambria Math"/>
                    <w:i/>
                    <w:iCs/>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-1</m:t>
                </m:r>
              </m:sup>
            </m:sSup>
            <m:d>
              <m:dPr>
                <m:ctrlPr>
                  <w:rPr>
                    <w:rFonts w:ascii="Cambria Math" w:eastAsiaTheme="minorEastAsia" w:hAnsi="Cambria Math"/>
                    <w:i/>
                    <w:iCs/>
                    <w:sz w:val="24"/>
                    <w:szCs w:val="24"/>
                  </w:rPr>
                </m:ctrlPr>
              </m:dPr>
              <m:e>
                <m:r>
                  <w:rPr>
                    <w:rFonts w:ascii="Cambria Math" w:eastAsiaTheme="minorEastAsia" w:hAnsi="Cambria Math"/>
                    <w:sz w:val="24"/>
                    <w:szCs w:val="24"/>
                  </w:rPr>
                  <m:t>τ</m:t>
                </m:r>
              </m:e>
            </m:d>
          </m:e>
        </m:d>
      </m:oMath>
      <w:r w:rsidRPr="009E00D2">
        <w:rPr>
          <w:rFonts w:ascii="Garamond" w:eastAsiaTheme="minorEastAsia" w:hAnsi="Garamond"/>
          <w:iCs/>
          <w:sz w:val="24"/>
          <w:szCs w:val="24"/>
        </w:rPr>
        <w:t xml:space="preserve">, with f and F representing the density and distribution function of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oMath>
      <w:r w:rsidRPr="009E00D2">
        <w:rPr>
          <w:rFonts w:ascii="Garamond" w:eastAsiaTheme="minorEastAsia" w:hAnsi="Garamond"/>
          <w:iCs/>
          <w:sz w:val="24"/>
          <w:szCs w:val="24"/>
        </w:rPr>
        <w:t xml:space="preserve"> is a vector of lagged dependent variable </w:t>
      </w:r>
      <m:oMath>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t-1</m:t>
            </m:r>
          </m:sub>
          <m:sup/>
        </m:sSubSup>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Z</m:t>
            </m:r>
          </m:sub>
        </m:sSub>
      </m:oMath>
      <w:r w:rsidRPr="009E00D2">
        <w:rPr>
          <w:rFonts w:ascii="Garamond" w:eastAsiaTheme="minorEastAsia" w:hAnsi="Garamond"/>
          <w:iCs/>
          <w:sz w:val="24"/>
          <w:szCs w:val="24"/>
        </w:rPr>
        <w:t xml:space="preserve"> is the projection matrix onto the space orthogonal to </w:t>
      </w:r>
      <m:oMath>
        <m:r>
          <w:rPr>
            <w:rFonts w:ascii="Cambria Math" w:eastAsiaTheme="minorEastAsia" w:hAnsi="Cambria Math"/>
            <w:sz w:val="24"/>
            <w:szCs w:val="24"/>
          </w:rPr>
          <m:t>z=</m:t>
        </m:r>
        <m:d>
          <m:dPr>
            <m:ctrlPr>
              <w:rPr>
                <w:rFonts w:ascii="Cambria Math" w:eastAsiaTheme="minorEastAsia" w:hAnsi="Cambria Math"/>
                <w:i/>
                <w:iCs/>
                <w:sz w:val="24"/>
                <w:szCs w:val="24"/>
              </w:rPr>
            </m:ctrlPr>
          </m:dPr>
          <m:e>
            <m:r>
              <w:rPr>
                <w:rFonts w:ascii="Cambria Math" w:eastAsiaTheme="minorEastAsia" w:hAnsi="Cambria Math"/>
                <w:sz w:val="24"/>
                <w:szCs w:val="24"/>
              </w:rPr>
              <m:t>1,∆</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t-1</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t-p</m:t>
                </m:r>
              </m:sub>
            </m:sSub>
            <m:r>
              <w:rPr>
                <w:rFonts w:ascii="Cambria Math" w:eastAsiaTheme="minorEastAsia" w:hAnsi="Cambria Math"/>
                <w:sz w:val="24"/>
                <w:szCs w:val="24"/>
              </w:rPr>
              <m:t xml:space="preserve">, </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t-</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sub>
              <m:sup>
                <m:r>
                  <w:rPr>
                    <w:rFonts w:ascii="Cambria Math" w:eastAsiaTheme="minorEastAsia" w:hAnsi="Cambria Math"/>
                    <w:sz w:val="24"/>
                    <w:szCs w:val="24"/>
                  </w:rPr>
                  <m:t>'</m:t>
                </m:r>
              </m:sup>
            </m:sSubSup>
            <m:r>
              <w:rPr>
                <w:rFonts w:ascii="Cambria Math" w:eastAsiaTheme="minorEastAsia" w:hAnsi="Cambria Math"/>
                <w:sz w:val="24"/>
                <w:szCs w:val="24"/>
              </w:rPr>
              <m:t xml:space="preserve">, </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t+</m:t>
                </m:r>
                <m:sSub>
                  <m:sSubPr>
                    <m:ctrlPr>
                      <w:rPr>
                        <w:rFonts w:ascii="Cambria Math" w:eastAsiaTheme="minorEastAsia" w:hAnsi="Cambria Math"/>
                        <w:i/>
                        <w:iCs/>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sub>
              <m:sup>
                <m:r>
                  <w:rPr>
                    <w:rFonts w:ascii="Cambria Math" w:eastAsiaTheme="minorEastAsia" w:hAnsi="Cambria Math"/>
                    <w:sz w:val="24"/>
                    <w:szCs w:val="24"/>
                  </w:rPr>
                  <m:t>'</m:t>
                </m:r>
              </m:sup>
            </m:sSubSup>
          </m:e>
        </m:d>
      </m:oMath>
      <w:r w:rsidRPr="009E00D2">
        <w:rPr>
          <w:rFonts w:ascii="Garamond" w:eastAsiaTheme="minorEastAsia" w:hAnsi="Garamond"/>
          <w:iCs/>
          <w:sz w:val="24"/>
          <w:szCs w:val="24"/>
        </w:rPr>
        <w:t xml:space="preserve">. </w:t>
      </w:r>
    </w:p>
    <w:p w14:paraId="57C0B772" w14:textId="7B54B9C0" w:rsidR="00E546B1" w:rsidRPr="009E00D2" w:rsidRDefault="00E546B1" w:rsidP="00BD329C">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t xml:space="preserve">Following Yang and Zhao (2020), under the unit root null hypothesis and the assumptions of </w:t>
      </w:r>
      <w:proofErr w:type="spellStart"/>
      <w:r w:rsidRPr="009E00D2">
        <w:rPr>
          <w:rFonts w:ascii="Garamond" w:eastAsiaTheme="minorEastAsia" w:hAnsi="Garamond"/>
          <w:iCs/>
          <w:sz w:val="24"/>
          <w:szCs w:val="24"/>
        </w:rPr>
        <w:t>Koenker</w:t>
      </w:r>
      <w:proofErr w:type="spellEnd"/>
      <w:r w:rsidRPr="009E00D2">
        <w:rPr>
          <w:rFonts w:ascii="Garamond" w:eastAsiaTheme="minorEastAsia" w:hAnsi="Garamond"/>
          <w:iCs/>
          <w:sz w:val="24"/>
          <w:szCs w:val="24"/>
        </w:rPr>
        <w:t xml:space="preserve"> and Xiao (2004), the limiting distribution of t(</w:t>
      </w:r>
      <w:r w:rsidRPr="009E00D2">
        <w:rPr>
          <w:rFonts w:ascii="Cambria Math" w:eastAsiaTheme="minorEastAsia" w:hAnsi="Cambria Math" w:cs="Cambria Math"/>
          <w:iCs/>
          <w:sz w:val="24"/>
          <w:szCs w:val="24"/>
        </w:rPr>
        <w:t>𝜏</w:t>
      </w:r>
      <w:r w:rsidRPr="009E00D2">
        <w:rPr>
          <w:rFonts w:ascii="Garamond" w:eastAsiaTheme="minorEastAsia" w:hAnsi="Garamond"/>
          <w:iCs/>
          <w:sz w:val="24"/>
          <w:szCs w:val="24"/>
        </w:rPr>
        <w:t>) is as follows</w:t>
      </w:r>
      <w:r w:rsidR="00BD329C">
        <w:rPr>
          <w:rFonts w:ascii="Garamond" w:eastAsiaTheme="minorEastAsia" w:hAnsi="Garamond"/>
          <w:iCs/>
          <w:sz w:val="24"/>
          <w:szCs w:val="24"/>
        </w:rPr>
        <w:t>:</w:t>
      </w:r>
    </w:p>
    <w:p w14:paraId="174A768B" w14:textId="77777777" w:rsidR="00E546B1" w:rsidRPr="009E00D2" w:rsidRDefault="00E546B1" w:rsidP="00BD329C">
      <w:pPr>
        <w:pStyle w:val="NoSpacing"/>
        <w:spacing w:line="480" w:lineRule="auto"/>
        <w:jc w:val="both"/>
        <w:rPr>
          <w:rFonts w:ascii="Garamond" w:eastAsiaTheme="minorEastAsia" w:hAnsi="Garamond"/>
          <w:iCs/>
          <w:sz w:val="24"/>
          <w:szCs w:val="24"/>
        </w:rPr>
      </w:pPr>
    </w:p>
    <w:p w14:paraId="1EB27C14" w14:textId="7C0687C7" w:rsidR="00E546B1" w:rsidRPr="009E00D2" w:rsidRDefault="00E546B1" w:rsidP="00BD329C">
      <w:pPr>
        <w:pStyle w:val="NoSpacing"/>
        <w:spacing w:line="480" w:lineRule="auto"/>
        <w:jc w:val="both"/>
        <w:rPr>
          <w:rFonts w:ascii="Garamond" w:eastAsiaTheme="minorEastAsia" w:hAnsi="Garamond"/>
          <w:iCs/>
          <w:sz w:val="24"/>
          <w:szCs w:val="24"/>
        </w:rPr>
      </w:pPr>
      <m:oMath>
        <m:r>
          <w:rPr>
            <w:rFonts w:ascii="Cambria Math" w:eastAsiaTheme="minorEastAsia" w:hAnsi="Cambria Math"/>
            <w:sz w:val="24"/>
            <w:szCs w:val="24"/>
          </w:rPr>
          <m:t>t</m:t>
        </m:r>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⇒ξ</m:t>
        </m:r>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=λ</m:t>
        </m:r>
        <m:f>
          <m:fPr>
            <m:ctrlPr>
              <w:rPr>
                <w:rFonts w:ascii="Cambria Math" w:eastAsiaTheme="minorEastAsia" w:hAnsi="Cambria Math"/>
                <w:i/>
                <w:iCs/>
                <w:sz w:val="24"/>
                <w:szCs w:val="24"/>
              </w:rPr>
            </m:ctrlPr>
          </m:fPr>
          <m:num>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bar>
                  <m:barPr>
                    <m:ctrlPr>
                      <w:rPr>
                        <w:rFonts w:ascii="Cambria Math" w:eastAsiaTheme="minorEastAsia" w:hAnsi="Cambria Math"/>
                        <w:i/>
                        <w:iCs/>
                        <w:sz w:val="24"/>
                        <w:szCs w:val="24"/>
                      </w:rPr>
                    </m:ctrlPr>
                  </m:barPr>
                  <m:e>
                    <m:sSub>
                      <m:sSubPr>
                        <m:ctrlPr>
                          <w:rPr>
                            <w:rFonts w:ascii="Cambria Math" w:eastAsiaTheme="minorEastAsia" w:hAnsi="Cambria Math"/>
                            <w:i/>
                            <w:iCs/>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1</m:t>
                        </m:r>
                      </m:sub>
                    </m:sSub>
                  </m:e>
                </m:bar>
                <m:r>
                  <w:rPr>
                    <w:rFonts w:ascii="Cambria Math" w:eastAsiaTheme="minorEastAsia" w:hAnsi="Cambria Math"/>
                    <w:sz w:val="24"/>
                    <w:szCs w:val="24"/>
                  </w:rPr>
                  <m:t>d</m:t>
                </m:r>
                <m:sSub>
                  <m:sSubPr>
                    <m:ctrlPr>
                      <w:rPr>
                        <w:rFonts w:ascii="Cambria Math" w:eastAsiaTheme="minorEastAsia" w:hAnsi="Cambria Math"/>
                        <w:i/>
                        <w:iCs/>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1</m:t>
                    </m:r>
                  </m:sub>
                </m:sSub>
              </m:e>
            </m:nary>
          </m:num>
          <m:den>
            <m:rad>
              <m:radPr>
                <m:degHide m:val="1"/>
                <m:ctrlPr>
                  <w:rPr>
                    <w:rFonts w:ascii="Cambria Math" w:eastAsiaTheme="minorEastAsia" w:hAnsi="Cambria Math"/>
                    <w:i/>
                    <w:iCs/>
                    <w:sz w:val="24"/>
                    <w:szCs w:val="24"/>
                  </w:rPr>
                </m:ctrlPr>
              </m:radPr>
              <m:deg/>
              <m:e>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sSubSup>
                      <m:sSubSupPr>
                        <m:ctrlPr>
                          <w:rPr>
                            <w:rFonts w:ascii="Cambria Math" w:eastAsiaTheme="minorEastAsia" w:hAnsi="Cambria Math"/>
                            <w:i/>
                            <w:iCs/>
                            <w:sz w:val="24"/>
                            <w:szCs w:val="24"/>
                          </w:rPr>
                        </m:ctrlPr>
                      </m:sSubSupPr>
                      <m:e>
                        <m:bar>
                          <m:barPr>
                            <m:ctrlPr>
                              <w:rPr>
                                <w:rFonts w:ascii="Cambria Math" w:eastAsiaTheme="minorEastAsia" w:hAnsi="Cambria Math"/>
                                <w:i/>
                                <w:iCs/>
                                <w:sz w:val="24"/>
                                <w:szCs w:val="24"/>
                              </w:rPr>
                            </m:ctrlPr>
                          </m:barPr>
                          <m:e>
                            <m:r>
                              <w:rPr>
                                <w:rFonts w:ascii="Cambria Math" w:eastAsiaTheme="minorEastAsia" w:hAnsi="Cambria Math"/>
                                <w:sz w:val="24"/>
                                <w:szCs w:val="24"/>
                              </w:rPr>
                              <m:t>W</m:t>
                            </m:r>
                          </m:e>
                        </m:bar>
                      </m:e>
                      <m:sub>
                        <m:r>
                          <w:rPr>
                            <w:rFonts w:ascii="Cambria Math" w:eastAsiaTheme="minorEastAsia" w:hAnsi="Cambria Math"/>
                            <w:sz w:val="24"/>
                            <w:szCs w:val="24"/>
                          </w:rPr>
                          <m:t>1</m:t>
                        </m:r>
                      </m:sub>
                      <m:sup>
                        <m:r>
                          <w:rPr>
                            <w:rFonts w:ascii="Cambria Math" w:eastAsiaTheme="minorEastAsia" w:hAnsi="Cambria Math"/>
                            <w:sz w:val="24"/>
                            <w:szCs w:val="24"/>
                          </w:rPr>
                          <m:t>2</m:t>
                        </m:r>
                      </m:sup>
                    </m:sSubSup>
                  </m:e>
                </m:nary>
              </m:e>
            </m:rad>
            <m:r>
              <w:rPr>
                <w:rFonts w:ascii="Cambria Math" w:eastAsiaTheme="minorEastAsia" w:hAnsi="Cambria Math"/>
                <w:sz w:val="24"/>
                <w:szCs w:val="24"/>
              </w:rPr>
              <m:t>dr</m:t>
            </m:r>
          </m:den>
        </m:f>
        <m:r>
          <w:rPr>
            <w:rFonts w:ascii="Cambria Math" w:eastAsiaTheme="minorEastAsia" w:hAnsi="Cambria Math"/>
            <w:sz w:val="24"/>
            <w:szCs w:val="24"/>
          </w:rPr>
          <m:t>+</m:t>
        </m:r>
        <m:rad>
          <m:radPr>
            <m:degHide m:val="1"/>
            <m:ctrlPr>
              <w:rPr>
                <w:rFonts w:ascii="Cambria Math" w:eastAsiaTheme="minorEastAsia" w:hAnsi="Cambria Math"/>
                <w:i/>
                <w:iCs/>
                <w:sz w:val="24"/>
                <w:szCs w:val="24"/>
              </w:rPr>
            </m:ctrlPr>
          </m:radPr>
          <m:deg/>
          <m:e>
            <m:r>
              <w:rPr>
                <w:rFonts w:ascii="Cambria Math" w:eastAsiaTheme="minorEastAsia" w:hAnsi="Cambria Math"/>
                <w:sz w:val="24"/>
                <w:szCs w:val="24"/>
              </w:rPr>
              <m:t>1-</m:t>
            </m:r>
            <m:sSup>
              <m:sSupPr>
                <m:ctrlPr>
                  <w:rPr>
                    <w:rFonts w:ascii="Cambria Math" w:eastAsiaTheme="minorEastAsia" w:hAnsi="Cambria Math"/>
                    <w:i/>
                    <w:iCs/>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e>
        </m:rad>
        <m:f>
          <m:fPr>
            <m:ctrlPr>
              <w:rPr>
                <w:rFonts w:ascii="Cambria Math" w:eastAsiaTheme="minorEastAsia" w:hAnsi="Cambria Math"/>
                <w:i/>
                <w:iCs/>
                <w:sz w:val="24"/>
                <w:szCs w:val="24"/>
              </w:rPr>
            </m:ctrlPr>
          </m:fPr>
          <m:num>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bar>
                  <m:barPr>
                    <m:ctrlPr>
                      <w:rPr>
                        <w:rFonts w:ascii="Cambria Math" w:eastAsiaTheme="minorEastAsia" w:hAnsi="Cambria Math"/>
                        <w:i/>
                        <w:iCs/>
                        <w:sz w:val="24"/>
                        <w:szCs w:val="24"/>
                      </w:rPr>
                    </m:ctrlPr>
                  </m:barPr>
                  <m:e>
                    <m:sSub>
                      <m:sSubPr>
                        <m:ctrlPr>
                          <w:rPr>
                            <w:rFonts w:ascii="Cambria Math" w:eastAsiaTheme="minorEastAsia" w:hAnsi="Cambria Math"/>
                            <w:i/>
                            <w:iCs/>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1</m:t>
                        </m:r>
                      </m:sub>
                    </m:sSub>
                  </m:e>
                </m:bar>
                <m:r>
                  <w:rPr>
                    <w:rFonts w:ascii="Cambria Math" w:eastAsiaTheme="minorEastAsia" w:hAnsi="Cambria Math"/>
                    <w:sz w:val="24"/>
                    <w:szCs w:val="24"/>
                  </w:rPr>
                  <m:t>d</m:t>
                </m:r>
                <m:sSub>
                  <m:sSubPr>
                    <m:ctrlPr>
                      <w:rPr>
                        <w:rFonts w:ascii="Cambria Math" w:eastAsiaTheme="minorEastAsia" w:hAnsi="Cambria Math"/>
                        <w:i/>
                        <w:iCs/>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2</m:t>
                    </m:r>
                  </m:sub>
                </m:sSub>
              </m:e>
            </m:nary>
          </m:num>
          <m:den>
            <m:rad>
              <m:radPr>
                <m:degHide m:val="1"/>
                <m:ctrlPr>
                  <w:rPr>
                    <w:rFonts w:ascii="Cambria Math" w:eastAsiaTheme="minorEastAsia" w:hAnsi="Cambria Math"/>
                    <w:i/>
                    <w:iCs/>
                    <w:sz w:val="24"/>
                    <w:szCs w:val="24"/>
                  </w:rPr>
                </m:ctrlPr>
              </m:radPr>
              <m:deg/>
              <m:e>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sSubSup>
                      <m:sSubSupPr>
                        <m:ctrlPr>
                          <w:rPr>
                            <w:rFonts w:ascii="Cambria Math" w:eastAsiaTheme="minorEastAsia" w:hAnsi="Cambria Math"/>
                            <w:i/>
                            <w:iCs/>
                            <w:sz w:val="24"/>
                            <w:szCs w:val="24"/>
                          </w:rPr>
                        </m:ctrlPr>
                      </m:sSubSupPr>
                      <m:e>
                        <m:bar>
                          <m:barPr>
                            <m:ctrlPr>
                              <w:rPr>
                                <w:rFonts w:ascii="Cambria Math" w:eastAsiaTheme="minorEastAsia" w:hAnsi="Cambria Math"/>
                                <w:i/>
                                <w:iCs/>
                                <w:sz w:val="24"/>
                                <w:szCs w:val="24"/>
                              </w:rPr>
                            </m:ctrlPr>
                          </m:barPr>
                          <m:e>
                            <m:r>
                              <w:rPr>
                                <w:rFonts w:ascii="Cambria Math" w:eastAsiaTheme="minorEastAsia" w:hAnsi="Cambria Math"/>
                                <w:sz w:val="24"/>
                                <w:szCs w:val="24"/>
                              </w:rPr>
                              <m:t>W</m:t>
                            </m:r>
                          </m:e>
                        </m:bar>
                      </m:e>
                      <m:sub>
                        <m:r>
                          <w:rPr>
                            <w:rFonts w:ascii="Cambria Math" w:eastAsiaTheme="minorEastAsia" w:hAnsi="Cambria Math"/>
                            <w:sz w:val="24"/>
                            <w:szCs w:val="24"/>
                          </w:rPr>
                          <m:t>1</m:t>
                        </m:r>
                      </m:sub>
                      <m:sup>
                        <m:r>
                          <w:rPr>
                            <w:rFonts w:ascii="Cambria Math" w:eastAsiaTheme="minorEastAsia" w:hAnsi="Cambria Math"/>
                            <w:sz w:val="24"/>
                            <w:szCs w:val="24"/>
                          </w:rPr>
                          <m:t>2</m:t>
                        </m:r>
                      </m:sup>
                    </m:sSubSup>
                  </m:e>
                </m:nary>
              </m:e>
            </m:rad>
            <m:r>
              <w:rPr>
                <w:rFonts w:ascii="Cambria Math" w:eastAsiaTheme="minorEastAsia" w:hAnsi="Cambria Math"/>
                <w:sz w:val="24"/>
                <w:szCs w:val="24"/>
              </w:rPr>
              <m:t>dr</m:t>
            </m:r>
          </m:den>
        </m:f>
      </m:oMath>
      <w:r w:rsidRPr="009E00D2">
        <w:rPr>
          <w:rFonts w:ascii="Garamond" w:eastAsiaTheme="minorEastAsia" w:hAnsi="Garamond"/>
          <w:iCs/>
          <w:sz w:val="24"/>
          <w:szCs w:val="24"/>
        </w:rPr>
        <w:t xml:space="preserve"> ,</w:t>
      </w:r>
      <w:r w:rsidRPr="009E00D2">
        <w:rPr>
          <w:rFonts w:ascii="Garamond" w:eastAsiaTheme="minorEastAsia" w:hAnsi="Garamond"/>
          <w:iCs/>
          <w:sz w:val="24"/>
          <w:szCs w:val="24"/>
        </w:rPr>
        <w:tab/>
      </w:r>
      <w:r w:rsidRPr="009E00D2">
        <w:rPr>
          <w:rFonts w:ascii="Garamond" w:eastAsiaTheme="minorEastAsia" w:hAnsi="Garamond"/>
          <w:iCs/>
          <w:sz w:val="24"/>
          <w:szCs w:val="24"/>
        </w:rPr>
        <w:tab/>
      </w:r>
      <w:r w:rsidRPr="009E00D2">
        <w:rPr>
          <w:rFonts w:ascii="Garamond" w:eastAsiaTheme="minorEastAsia" w:hAnsi="Garamond"/>
          <w:iCs/>
          <w:sz w:val="24"/>
          <w:szCs w:val="24"/>
        </w:rPr>
        <w:tab/>
      </w:r>
      <w:r w:rsidR="00BD329C">
        <w:rPr>
          <w:rFonts w:ascii="Garamond" w:eastAsiaTheme="minorEastAsia" w:hAnsi="Garamond"/>
          <w:iCs/>
          <w:sz w:val="24"/>
          <w:szCs w:val="24"/>
        </w:rPr>
        <w:t xml:space="preserve">                       </w:t>
      </w:r>
      <w:r w:rsidRPr="009E00D2">
        <w:rPr>
          <w:rFonts w:ascii="Garamond" w:eastAsiaTheme="minorEastAsia" w:hAnsi="Garamond"/>
          <w:iCs/>
          <w:sz w:val="24"/>
          <w:szCs w:val="24"/>
        </w:rPr>
        <w:tab/>
      </w:r>
      <w:r w:rsidRPr="009E00D2">
        <w:rPr>
          <w:rFonts w:ascii="Garamond" w:eastAsiaTheme="minorEastAsia" w:hAnsi="Garamond"/>
          <w:iCs/>
          <w:sz w:val="24"/>
          <w:szCs w:val="24"/>
        </w:rPr>
        <w:tab/>
        <w:t>(14)</w:t>
      </w:r>
    </w:p>
    <w:p w14:paraId="404ECCFA" w14:textId="77777777" w:rsidR="00E546B1" w:rsidRPr="009E00D2" w:rsidRDefault="00E546B1" w:rsidP="00BD329C">
      <w:pPr>
        <w:pStyle w:val="NoSpacing"/>
        <w:spacing w:line="480" w:lineRule="auto"/>
        <w:jc w:val="both"/>
        <w:rPr>
          <w:rFonts w:ascii="Garamond" w:eastAsiaTheme="minorEastAsia" w:hAnsi="Garamond"/>
          <w:iCs/>
          <w:sz w:val="24"/>
          <w:szCs w:val="24"/>
        </w:rPr>
      </w:pPr>
    </w:p>
    <w:p w14:paraId="2A1A7820" w14:textId="58015509" w:rsidR="00E546B1" w:rsidRPr="009E00D2" w:rsidRDefault="00E546B1" w:rsidP="00BD329C">
      <w:pPr>
        <w:pStyle w:val="NoSpacing"/>
        <w:spacing w:line="480" w:lineRule="auto"/>
        <w:jc w:val="both"/>
        <w:rPr>
          <w:rFonts w:ascii="Garamond" w:eastAsiaTheme="minorEastAsia" w:hAnsi="Garamond"/>
          <w:iCs/>
          <w:sz w:val="24"/>
          <w:szCs w:val="24"/>
        </w:rPr>
      </w:pPr>
      <w:r w:rsidRPr="009E00D2">
        <w:rPr>
          <w:rFonts w:ascii="Garamond" w:eastAsiaTheme="minorEastAsia" w:hAnsi="Garamond"/>
          <w:iCs/>
          <w:sz w:val="24"/>
          <w:szCs w:val="24"/>
        </w:rPr>
        <w:t xml:space="preserve">where </w:t>
      </w:r>
      <m:oMath>
        <m:bar>
          <m:barPr>
            <m:ctrlPr>
              <w:rPr>
                <w:rFonts w:ascii="Cambria Math" w:eastAsiaTheme="minorEastAsia" w:hAnsi="Cambria Math"/>
                <w:i/>
                <w:iCs/>
                <w:sz w:val="24"/>
                <w:szCs w:val="24"/>
              </w:rPr>
            </m:ctrlPr>
          </m:barPr>
          <m:e>
            <m:sSub>
              <m:sSubPr>
                <m:ctrlPr>
                  <w:rPr>
                    <w:rFonts w:ascii="Cambria Math" w:eastAsiaTheme="minorEastAsia" w:hAnsi="Cambria Math"/>
                    <w:i/>
                    <w:iCs/>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1</m:t>
                </m:r>
              </m:sub>
            </m:sSub>
          </m:e>
        </m:bar>
        <m:r>
          <w:rPr>
            <w:rFonts w:ascii="Cambria Math" w:eastAsiaTheme="minorEastAsia" w:hAnsi="Cambria Math"/>
            <w:sz w:val="24"/>
            <w:szCs w:val="24"/>
          </w:rPr>
          <m:t>=</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1</m:t>
            </m:r>
          </m:sub>
          <m:sup>
            <m:r>
              <w:rPr>
                <w:rFonts w:ascii="Cambria Math" w:eastAsiaTheme="minorEastAsia" w:hAnsi="Cambria Math"/>
                <w:sz w:val="24"/>
                <w:szCs w:val="24"/>
              </w:rPr>
              <m:t>3</m:t>
            </m:r>
          </m:sup>
        </m:sSubSup>
        <m:r>
          <w:rPr>
            <w:rFonts w:ascii="Cambria Math" w:eastAsiaTheme="minorEastAsia" w:hAnsi="Cambria Math"/>
            <w:sz w:val="24"/>
            <w:szCs w:val="24"/>
          </w:rPr>
          <m:t>-</m:t>
        </m:r>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1</m:t>
                </m:r>
              </m:sub>
              <m:sup>
                <m:r>
                  <w:rPr>
                    <w:rFonts w:ascii="Cambria Math" w:eastAsiaTheme="minorEastAsia" w:hAnsi="Cambria Math"/>
                    <w:sz w:val="24"/>
                    <w:szCs w:val="24"/>
                  </w:rPr>
                  <m:t>3</m:t>
                </m:r>
              </m:sup>
            </m:sSubSup>
            <m:r>
              <w:rPr>
                <w:rFonts w:ascii="Cambria Math" w:eastAsiaTheme="minorEastAsia" w:hAnsi="Cambria Math"/>
                <w:sz w:val="24"/>
                <w:szCs w:val="24"/>
              </w:rPr>
              <m:t>dr</m:t>
            </m:r>
          </m:e>
        </m:nary>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1</m:t>
            </m:r>
          </m:sub>
        </m:sSub>
      </m:oMath>
      <w:r w:rsidRPr="009E00D2">
        <w:rPr>
          <w:rFonts w:ascii="Garamond" w:eastAsiaTheme="minorEastAsia" w:hAnsi="Garamond"/>
          <w:iCs/>
          <w:sz w:val="24"/>
          <w:szCs w:val="24"/>
        </w:rPr>
        <w:t xml:space="preserve"> and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2</m:t>
            </m:r>
          </m:sub>
        </m:sSub>
      </m:oMath>
      <w:r w:rsidRPr="009E00D2">
        <w:rPr>
          <w:rFonts w:ascii="Garamond" w:eastAsiaTheme="minorEastAsia" w:hAnsi="Garamond"/>
          <w:iCs/>
          <w:sz w:val="24"/>
          <w:szCs w:val="24"/>
        </w:rPr>
        <w:t xml:space="preserve"> are the standard Brownian motions and independent of one another, </w:t>
      </w:r>
      <m:oMath>
        <m:r>
          <w:rPr>
            <w:rFonts w:ascii="Cambria Math" w:eastAsiaTheme="minorEastAsia" w:hAnsi="Cambria Math"/>
            <w:sz w:val="24"/>
            <w:szCs w:val="24"/>
          </w:rPr>
          <m:t>λ=λ</m:t>
        </m:r>
        <m:d>
          <m:dPr>
            <m:ctrlPr>
              <w:rPr>
                <w:rFonts w:ascii="Cambria Math" w:eastAsiaTheme="minorEastAsia" w:hAnsi="Cambria Math"/>
                <w:i/>
                <w:iCs/>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m:t>
        </m:r>
        <m:f>
          <m:fPr>
            <m:ctrlPr>
              <w:rPr>
                <w:rFonts w:ascii="Cambria Math" w:eastAsiaTheme="minorEastAsia" w:hAnsi="Cambria Math"/>
                <w:i/>
                <w:iCs/>
                <w:sz w:val="24"/>
                <w:szCs w:val="24"/>
              </w:rPr>
            </m:ctrlPr>
          </m:fPr>
          <m:num>
            <m:sSub>
              <m:sSubPr>
                <m:ctrlPr>
                  <w:rPr>
                    <w:rFonts w:ascii="Cambria Math" w:eastAsiaTheme="minorEastAsia" w:hAnsi="Cambria Math"/>
                    <w:i/>
                    <w:iCs/>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uψ</m:t>
                </m:r>
              </m:sub>
            </m:sSub>
            <m:r>
              <w:rPr>
                <w:rFonts w:ascii="Cambria Math" w:eastAsiaTheme="minorEastAsia" w:hAnsi="Cambria Math"/>
                <w:sz w:val="24"/>
                <w:szCs w:val="24"/>
              </w:rPr>
              <m:t>(τ)</m:t>
            </m:r>
          </m:num>
          <m:den>
            <m:sSub>
              <m:sSubPr>
                <m:ctrlPr>
                  <w:rPr>
                    <w:rFonts w:ascii="Cambria Math" w:eastAsiaTheme="minorEastAsia" w:hAnsi="Cambria Math"/>
                    <w:i/>
                    <w:iCs/>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u</m:t>
                </m:r>
              </m:sub>
            </m:sSub>
            <m:sSub>
              <m:sSubPr>
                <m:ctrlPr>
                  <w:rPr>
                    <w:rFonts w:ascii="Cambria Math" w:eastAsiaTheme="minorEastAsia" w:hAnsi="Cambria Math"/>
                    <w:i/>
                    <w:iCs/>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ψ</m:t>
                </m:r>
              </m:sub>
            </m:sSub>
            <m:r>
              <w:rPr>
                <w:rFonts w:ascii="Cambria Math" w:eastAsiaTheme="minorEastAsia" w:hAnsi="Cambria Math"/>
                <w:sz w:val="24"/>
                <w:szCs w:val="24"/>
              </w:rPr>
              <m:t>(τ)</m:t>
            </m:r>
          </m:den>
        </m:f>
        <m:r>
          <w:rPr>
            <w:rFonts w:ascii="Cambria Math" w:eastAsiaTheme="minorEastAsia" w:hAnsi="Cambria Math"/>
            <w:sz w:val="24"/>
            <w:szCs w:val="24"/>
          </w:rPr>
          <m:t>=</m:t>
        </m:r>
        <m:f>
          <m:fPr>
            <m:ctrlPr>
              <w:rPr>
                <w:rFonts w:ascii="Cambria Math" w:eastAsiaTheme="minorEastAsia" w:hAnsi="Cambria Math"/>
                <w:i/>
                <w:iCs/>
                <w:sz w:val="24"/>
                <w:szCs w:val="24"/>
              </w:rPr>
            </m:ctrlPr>
          </m:fPr>
          <m:num>
            <m:sSub>
              <m:sSubPr>
                <m:ctrlPr>
                  <w:rPr>
                    <w:rFonts w:ascii="Cambria Math" w:eastAsiaTheme="minorEastAsia" w:hAnsi="Cambria Math"/>
                    <w:i/>
                    <w:iCs/>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uψ</m:t>
                </m:r>
              </m:sub>
            </m:sSub>
            <m:r>
              <w:rPr>
                <w:rFonts w:ascii="Cambria Math" w:eastAsiaTheme="minorEastAsia" w:hAnsi="Cambria Math"/>
                <w:sz w:val="24"/>
                <w:szCs w:val="24"/>
              </w:rPr>
              <m:t>(τ)</m:t>
            </m:r>
          </m:num>
          <m:den>
            <m:sSub>
              <m:sSubPr>
                <m:ctrlPr>
                  <w:rPr>
                    <w:rFonts w:ascii="Cambria Math" w:eastAsiaTheme="minorEastAsia" w:hAnsi="Cambria Math"/>
                    <w:i/>
                    <w:iCs/>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u</m:t>
                </m:r>
              </m:sub>
            </m:sSub>
            <m:rad>
              <m:radPr>
                <m:degHide m:val="1"/>
                <m:ctrlPr>
                  <w:rPr>
                    <w:rFonts w:ascii="Cambria Math" w:eastAsiaTheme="minorEastAsia" w:hAnsi="Cambria Math"/>
                    <w:i/>
                    <w:iCs/>
                    <w:sz w:val="24"/>
                    <w:szCs w:val="24"/>
                  </w:rPr>
                </m:ctrlPr>
              </m:radPr>
              <m:deg/>
              <m:e>
                <m:r>
                  <w:rPr>
                    <w:rFonts w:ascii="Cambria Math" w:eastAsiaTheme="minorEastAsia" w:hAnsi="Cambria Math"/>
                    <w:sz w:val="24"/>
                    <w:szCs w:val="24"/>
                  </w:rPr>
                  <m:t>τ(1-τ)</m:t>
                </m:r>
              </m:e>
            </m:rad>
          </m:den>
        </m:f>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ψ</m:t>
            </m:r>
          </m:e>
          <m:sub>
            <m:r>
              <w:rPr>
                <w:rFonts w:ascii="Cambria Math" w:eastAsiaTheme="minorEastAsia" w:hAnsi="Cambria Math"/>
                <w:sz w:val="24"/>
                <w:szCs w:val="24"/>
              </w:rPr>
              <m:t>τ</m:t>
            </m:r>
          </m:sub>
        </m:sSub>
        <m:d>
          <m:dPr>
            <m:ctrlPr>
              <w:rPr>
                <w:rFonts w:ascii="Cambria Math" w:eastAsiaTheme="minorEastAsia" w:hAnsi="Cambria Math"/>
                <w:i/>
                <w:iCs/>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=τ-I</m:t>
        </m:r>
        <m:d>
          <m:dPr>
            <m:ctrlPr>
              <w:rPr>
                <w:rFonts w:ascii="Cambria Math" w:eastAsiaTheme="minorEastAsia" w:hAnsi="Cambria Math"/>
                <w:i/>
                <w:iCs/>
                <w:sz w:val="24"/>
                <w:szCs w:val="24"/>
              </w:rPr>
            </m:ctrlPr>
          </m:dPr>
          <m:e>
            <m:r>
              <w:rPr>
                <w:rFonts w:ascii="Cambria Math" w:eastAsiaTheme="minorEastAsia" w:hAnsi="Cambria Math"/>
                <w:sz w:val="24"/>
                <w:szCs w:val="24"/>
              </w:rPr>
              <m:t>u&lt;0</m:t>
            </m:r>
          </m:e>
        </m:d>
      </m:oMath>
      <w:r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tτ</m:t>
            </m:r>
          </m:sub>
        </m:sSub>
        <m:r>
          <w:rPr>
            <w:rFonts w:ascii="Cambria Math" w:eastAsiaTheme="minorEastAsia" w:hAnsi="Cambria Math"/>
            <w:sz w:val="24"/>
            <w:szCs w:val="24"/>
          </w:rPr>
          <m:t>=∆</m:t>
        </m:r>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rPr>
          <m:t>-</m:t>
        </m:r>
        <m:sSubSup>
          <m:sSubSupPr>
            <m:ctrlPr>
              <w:rPr>
                <w:rFonts w:ascii="Cambria Math" w:eastAsiaTheme="minorEastAsia" w:hAnsi="Cambria Math"/>
                <w:i/>
                <w:iCs/>
                <w:sz w:val="24"/>
                <w:szCs w:val="24"/>
              </w:rPr>
            </m:ctrlPr>
          </m:sSubSupPr>
          <m:e>
            <m:r>
              <w:rPr>
                <w:rFonts w:ascii="Cambria Math" w:eastAsiaTheme="minorEastAsia" w:hAnsi="Cambria Math"/>
                <w:sz w:val="24"/>
                <w:szCs w:val="24"/>
              </w:rPr>
              <m:t>z</m:t>
            </m:r>
          </m:e>
          <m:sub>
            <m:r>
              <w:rPr>
                <w:rFonts w:ascii="Cambria Math" w:eastAsiaTheme="minorEastAsia" w:hAnsi="Cambria Math"/>
                <w:sz w:val="24"/>
                <w:szCs w:val="24"/>
              </w:rPr>
              <m:t>t</m:t>
            </m:r>
          </m:sub>
          <m:sup>
            <m:r>
              <w:rPr>
                <w:rFonts w:ascii="Cambria Math" w:eastAsiaTheme="minorEastAsia" w:hAnsi="Cambria Math"/>
                <w:sz w:val="24"/>
                <w:szCs w:val="24"/>
              </w:rPr>
              <m:t>'</m:t>
            </m:r>
          </m:sup>
        </m:sSubSup>
        <m:r>
          <w:rPr>
            <w:rFonts w:ascii="Cambria Math" w:eastAsiaTheme="minorEastAsia" w:hAnsi="Cambria Math"/>
            <w:sz w:val="24"/>
            <w:szCs w:val="24"/>
          </w:rPr>
          <m:t>β(τ)</m:t>
        </m:r>
      </m:oMath>
      <w:r w:rsidRPr="009E00D2">
        <w:rPr>
          <w:rFonts w:ascii="Garamond" w:eastAsiaTheme="minorEastAsia" w:hAnsi="Garamond"/>
          <w:iCs/>
          <w:sz w:val="24"/>
          <w:szCs w:val="24"/>
        </w:rPr>
        <w:t xml:space="preserve">, </w:t>
      </w:r>
      <m:oMath>
        <m:r>
          <w:rPr>
            <w:rFonts w:ascii="Cambria Math" w:eastAsiaTheme="minorEastAsia" w:hAnsi="Cambria Math"/>
            <w:sz w:val="24"/>
            <w:szCs w:val="24"/>
          </w:rPr>
          <w:lastRenderedPageBreak/>
          <m:t>E</m:t>
        </m:r>
        <m:d>
          <m:dPr>
            <m:begChr m:val="["/>
            <m:endChr m:val="]"/>
            <m:ctrlPr>
              <w:rPr>
                <w:rFonts w:ascii="Cambria Math" w:eastAsiaTheme="minorEastAsia" w:hAnsi="Cambria Math"/>
                <w:i/>
                <w:iCs/>
                <w:sz w:val="24"/>
                <w:szCs w:val="24"/>
              </w:rPr>
            </m:ctrlPr>
          </m:dPr>
          <m:e>
            <m:d>
              <m:dPr>
                <m:begChr m:val=""/>
                <m:endChr m:val="|"/>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ψ</m:t>
                    </m:r>
                  </m:e>
                  <m:sub>
                    <m:r>
                      <w:rPr>
                        <w:rFonts w:ascii="Cambria Math" w:eastAsiaTheme="minorEastAsia" w:hAnsi="Cambria Math"/>
                        <w:sz w:val="24"/>
                        <w:szCs w:val="24"/>
                      </w:rPr>
                      <m:t>τ</m:t>
                    </m:r>
                  </m:sub>
                </m:sSub>
                <m:d>
                  <m:dPr>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tτ</m:t>
                        </m:r>
                      </m:sub>
                    </m:sSub>
                  </m:e>
                </m:d>
              </m:e>
            </m:d>
            <m:sSub>
              <m:sSubPr>
                <m:ctrlPr>
                  <w:rPr>
                    <w:rFonts w:ascii="Cambria Math" w:hAnsi="Cambria Math"/>
                    <w:i/>
                    <w:sz w:val="24"/>
                    <w:szCs w:val="24"/>
                  </w:rPr>
                </m:ctrlPr>
              </m:sSubPr>
              <m:e>
                <m:r>
                  <m:rPr>
                    <m:scr m:val="double-struck"/>
                  </m:rPr>
                  <w:rPr>
                    <w:rFonts w:ascii="Cambria Math" w:hAnsi="Cambria Math"/>
                    <w:sz w:val="24"/>
                    <w:szCs w:val="24"/>
                  </w:rPr>
                  <m:t>F</m:t>
                </m:r>
              </m:e>
              <m:sub>
                <m:r>
                  <w:rPr>
                    <w:rFonts w:ascii="Cambria Math" w:hAnsi="Cambria Math"/>
                    <w:sz w:val="24"/>
                    <w:szCs w:val="24"/>
                  </w:rPr>
                  <m:t>t-1</m:t>
                </m:r>
              </m:sub>
            </m:sSub>
            <m:ctrlPr>
              <w:rPr>
                <w:rFonts w:ascii="Cambria Math" w:hAnsi="Cambria Math"/>
                <w:i/>
                <w:sz w:val="24"/>
                <w:szCs w:val="24"/>
              </w:rPr>
            </m:ctrlPr>
          </m:e>
        </m:d>
        <m:r>
          <w:rPr>
            <w:rFonts w:ascii="Cambria Math" w:hAnsi="Cambria Math"/>
            <w:sz w:val="24"/>
            <w:szCs w:val="24"/>
          </w:rPr>
          <m:t>=0</m:t>
        </m:r>
      </m:oMath>
      <w:r w:rsidRPr="009E00D2">
        <w:rPr>
          <w:rFonts w:ascii="Garamond" w:eastAsiaTheme="minorEastAsia" w:hAnsi="Garamond"/>
          <w:sz w:val="24"/>
          <w:szCs w:val="24"/>
        </w:rPr>
        <w:t xml:space="preserve">. </w:t>
      </w:r>
      <w:r w:rsidRPr="009E00D2">
        <w:rPr>
          <w:rFonts w:ascii="Garamond" w:eastAsiaTheme="minorEastAsia" w:hAnsi="Garamond"/>
          <w:iCs/>
          <w:sz w:val="24"/>
          <w:szCs w:val="24"/>
        </w:rPr>
        <w:t>The asymptotic theory for near-integrated processes utilizes the Ornstein-</w:t>
      </w:r>
      <w:proofErr w:type="spellStart"/>
      <w:r w:rsidRPr="009E00D2">
        <w:rPr>
          <w:rFonts w:ascii="Garamond" w:eastAsiaTheme="minorEastAsia" w:hAnsi="Garamond"/>
          <w:iCs/>
          <w:sz w:val="24"/>
          <w:szCs w:val="24"/>
        </w:rPr>
        <w:t>Uhlenbeck</w:t>
      </w:r>
      <w:proofErr w:type="spellEnd"/>
      <w:r w:rsidRPr="009E00D2">
        <w:rPr>
          <w:rFonts w:ascii="Garamond" w:eastAsiaTheme="minorEastAsia" w:hAnsi="Garamond"/>
          <w:iCs/>
          <w:sz w:val="24"/>
          <w:szCs w:val="24"/>
        </w:rPr>
        <w:t xml:space="preserve"> process, see Chan and Wei (1987) or Phillips (1987) for more technical details.</w:t>
      </w:r>
    </w:p>
    <w:p w14:paraId="2DF8EBD7" w14:textId="77777777" w:rsidR="00E546B1" w:rsidRPr="009E00D2" w:rsidRDefault="00E546B1" w:rsidP="00BD329C">
      <w:pPr>
        <w:pStyle w:val="NoSpacing"/>
        <w:spacing w:line="480" w:lineRule="auto"/>
        <w:ind w:firstLine="709"/>
        <w:jc w:val="both"/>
        <w:rPr>
          <w:rFonts w:ascii="Garamond" w:eastAsiaTheme="minorEastAsia" w:hAnsi="Garamond"/>
          <w:iCs/>
          <w:sz w:val="24"/>
          <w:szCs w:val="24"/>
        </w:rPr>
      </w:pPr>
      <w:r w:rsidRPr="009E00D2">
        <w:rPr>
          <w:rFonts w:ascii="Garamond" w:eastAsiaTheme="minorEastAsia" w:hAnsi="Garamond"/>
          <w:sz w:val="24"/>
          <w:szCs w:val="24"/>
        </w:rPr>
        <w:t xml:space="preserve">In this study we use </w:t>
      </w:r>
      <m:oMath>
        <m:sSub>
          <m:sSubPr>
            <m:ctrlPr>
              <w:rPr>
                <w:rFonts w:ascii="Cambria Math" w:hAnsi="Cambria Math"/>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m:t>
            </m:r>
          </m:sub>
        </m:sSub>
        <m:r>
          <w:rPr>
            <w:rFonts w:ascii="Cambria Math" w:hAnsi="Cambria Math"/>
          </w:rPr>
          <m:t>-μ</m:t>
        </m:r>
      </m:oMath>
      <w:r w:rsidRPr="009E00D2">
        <w:rPr>
          <w:rFonts w:ascii="Garamond" w:eastAsiaTheme="minorEastAsia" w:hAnsi="Garamond"/>
          <w:sz w:val="24"/>
          <w:szCs w:val="24"/>
        </w:rPr>
        <w:t xml:space="preserve"> with </w:t>
      </w:r>
      <m:oMath>
        <m:sSub>
          <m:sSubPr>
            <m:ctrlPr>
              <w:rPr>
                <w:rFonts w:ascii="Cambria Math" w:hAnsi="Cambria Math"/>
              </w:rPr>
            </m:ctrlPr>
          </m:sSubPr>
          <m:e>
            <m:r>
              <w:rPr>
                <w:rFonts w:ascii="Cambria Math" w:hAnsi="Cambria Math"/>
              </w:rPr>
              <m:t>p</m:t>
            </m:r>
          </m:e>
          <m:sub>
            <m:r>
              <w:rPr>
                <w:rFonts w:ascii="Cambria Math" w:hAnsi="Cambria Math"/>
              </w:rPr>
              <m:t>t</m:t>
            </m:r>
          </m:sub>
        </m:sSub>
      </m:oMath>
      <w:r w:rsidRPr="009E00D2">
        <w:rPr>
          <w:rFonts w:ascii="Garamond" w:eastAsiaTheme="minorEastAsia" w:hAnsi="Garamond"/>
          <w:sz w:val="24"/>
          <w:szCs w:val="24"/>
        </w:rPr>
        <w:t xml:space="preserve"> denoting the logarithm of closing prices at time </w:t>
      </w:r>
      <w:r w:rsidRPr="00943696">
        <w:rPr>
          <w:rFonts w:ascii="Garamond" w:eastAsiaTheme="minorEastAsia" w:hAnsi="Garamond"/>
          <w:i/>
          <w:sz w:val="24"/>
          <w:szCs w:val="24"/>
        </w:rPr>
        <w:t>t</w:t>
      </w:r>
      <w:r w:rsidRPr="009E00D2">
        <w:rPr>
          <w:rFonts w:ascii="Garamond" w:eastAsiaTheme="minorEastAsia" w:hAnsi="Garamond"/>
          <w:sz w:val="24"/>
          <w:szCs w:val="24"/>
        </w:rPr>
        <w:t xml:space="preserve">, and </w:t>
      </w:r>
      <m:oMath>
        <m:r>
          <w:rPr>
            <w:rFonts w:ascii="Cambria Math" w:hAnsi="Cambria Math"/>
          </w:rPr>
          <m:t>μ</m:t>
        </m:r>
      </m:oMath>
      <w:r w:rsidRPr="009E00D2">
        <w:rPr>
          <w:rFonts w:ascii="Garamond" w:eastAsiaTheme="minorEastAsia" w:hAnsi="Garamond"/>
          <w:sz w:val="24"/>
          <w:szCs w:val="24"/>
        </w:rPr>
        <w:t xml:space="preserve"> being the equilibrium (mean) level of </w:t>
      </w:r>
      <m:oMath>
        <m:sSub>
          <m:sSubPr>
            <m:ctrlPr>
              <w:rPr>
                <w:rFonts w:ascii="Cambria Math" w:hAnsi="Cambria Math"/>
              </w:rPr>
            </m:ctrlPr>
          </m:sSubPr>
          <m:e>
            <m:r>
              <w:rPr>
                <w:rFonts w:ascii="Cambria Math" w:hAnsi="Cambria Math"/>
              </w:rPr>
              <m:t>p</m:t>
            </m:r>
          </m:e>
          <m:sub>
            <m:r>
              <w:rPr>
                <w:rFonts w:ascii="Cambria Math" w:hAnsi="Cambria Math"/>
              </w:rPr>
              <m:t>t</m:t>
            </m:r>
          </m:sub>
        </m:sSub>
      </m:oMath>
      <w:r w:rsidRPr="009E00D2">
        <w:rPr>
          <w:rFonts w:ascii="Garamond" w:eastAsiaTheme="minorEastAsia" w:hAnsi="Garamond"/>
          <w:sz w:val="24"/>
          <w:szCs w:val="24"/>
        </w:rPr>
        <w:t xml:space="preserve">, i.e. the unconditional mean of </w:t>
      </w:r>
      <m:oMath>
        <m:sSub>
          <m:sSubPr>
            <m:ctrlPr>
              <w:rPr>
                <w:rFonts w:ascii="Cambria Math" w:hAnsi="Cambria Math"/>
              </w:rPr>
            </m:ctrlPr>
          </m:sSubPr>
          <m:e>
            <m:r>
              <w:rPr>
                <w:rFonts w:ascii="Cambria Math" w:hAnsi="Cambria Math"/>
              </w:rPr>
              <m:t>p</m:t>
            </m:r>
          </m:e>
          <m:sub>
            <m:r>
              <w:rPr>
                <w:rFonts w:ascii="Cambria Math" w:hAnsi="Cambria Math"/>
              </w:rPr>
              <m:t>t</m:t>
            </m:r>
          </m:sub>
        </m:sSub>
      </m:oMath>
      <w:r w:rsidRPr="009E00D2">
        <w:rPr>
          <w:rFonts w:ascii="Garamond" w:eastAsiaTheme="minorEastAsia" w:hAnsi="Garamond"/>
          <w:sz w:val="24"/>
          <w:szCs w:val="24"/>
        </w:rPr>
        <w:t xml:space="preserve">, and </w:t>
      </w:r>
      <m:oMath>
        <m:sSub>
          <m:sSubPr>
            <m:ctrlPr>
              <w:rPr>
                <w:rFonts w:ascii="Cambria Math" w:hAnsi="Cambria Math"/>
              </w:rPr>
            </m:ctrlPr>
          </m:sSubPr>
          <m:e>
            <m:r>
              <w:rPr>
                <w:rFonts w:ascii="Cambria Math" w:hAnsi="Cambria Math"/>
              </w:rPr>
              <m:t>ε</m:t>
            </m:r>
          </m:e>
          <m:sub>
            <m:r>
              <w:rPr>
                <w:rFonts w:ascii="Cambria Math" w:hAnsi="Cambria Math"/>
              </w:rPr>
              <m:t>t</m:t>
            </m:r>
          </m:sub>
        </m:sSub>
      </m:oMath>
      <w:r w:rsidRPr="009E00D2">
        <w:rPr>
          <w:rFonts w:ascii="Garamond" w:eastAsiaTheme="minorEastAsia" w:hAnsi="Garamond"/>
          <w:sz w:val="24"/>
          <w:szCs w:val="24"/>
        </w:rPr>
        <w:t xml:space="preserve"> is an error term. Thus, </w:t>
      </w:r>
      <m:oMath>
        <m:sSub>
          <m:sSubPr>
            <m:ctrlPr>
              <w:rPr>
                <w:rFonts w:ascii="Cambria Math" w:hAnsi="Cambria Math"/>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m:t>
            </m:r>
          </m:sub>
        </m:sSub>
        <m:r>
          <w:rPr>
            <w:rFonts w:ascii="Cambria Math" w:hAnsi="Cambria Math"/>
          </w:rPr>
          <m:t>-μ</m:t>
        </m:r>
      </m:oMath>
      <w:r w:rsidRPr="009E00D2">
        <w:rPr>
          <w:rFonts w:ascii="Garamond" w:eastAsiaTheme="minorEastAsia" w:hAnsi="Garamond"/>
          <w:sz w:val="24"/>
          <w:szCs w:val="24"/>
        </w:rPr>
        <w:t xml:space="preserve"> is the distance to the stationary mean. </w:t>
      </w:r>
      <w:r w:rsidRPr="009E00D2">
        <w:rPr>
          <w:rFonts w:ascii="Garamond" w:eastAsiaTheme="minorEastAsia" w:hAnsi="Garamond"/>
          <w:iCs/>
          <w:sz w:val="24"/>
          <w:szCs w:val="24"/>
        </w:rPr>
        <w:t>The lag orders for the unit root tests are defined by means of the Bayesian information criterion (BIC).  For estimation of long-run variance and covariance parameters (</w:t>
      </w:r>
      <w:r w:rsidRPr="009E00D2">
        <w:rPr>
          <w:rFonts w:ascii="Cambria Math" w:eastAsiaTheme="minorEastAsia" w:hAnsi="Cambria Math" w:cs="Cambria Math"/>
          <w:iCs/>
          <w:sz w:val="24"/>
          <w:szCs w:val="24"/>
        </w:rPr>
        <w:t>𝜎</w:t>
      </w:r>
      <w:r w:rsidRPr="009E00D2">
        <w:rPr>
          <w:rFonts w:ascii="Garamond" w:eastAsiaTheme="minorEastAsia" w:hAnsi="Garamond"/>
          <w:iCs/>
          <w:sz w:val="24"/>
          <w:szCs w:val="24"/>
        </w:rPr>
        <w:t xml:space="preserve">2, </w:t>
      </w:r>
      <w:r w:rsidRPr="00943696">
        <w:rPr>
          <w:rFonts w:ascii="Garamond" w:eastAsiaTheme="minorEastAsia" w:hAnsi="Garamond"/>
          <w:i/>
          <w:iCs/>
          <w:sz w:val="24"/>
          <w:szCs w:val="24"/>
        </w:rPr>
        <w:t>u</w:t>
      </w:r>
      <w:r w:rsidRPr="009E00D2">
        <w:rPr>
          <w:rFonts w:ascii="Garamond" w:eastAsiaTheme="minorEastAsia" w:hAnsi="Garamond"/>
          <w:iCs/>
          <w:sz w:val="24"/>
          <w:szCs w:val="24"/>
        </w:rPr>
        <w:t xml:space="preserve"> and </w:t>
      </w:r>
      <w:r w:rsidRPr="009E00D2">
        <w:rPr>
          <w:rFonts w:ascii="Cambria Math" w:eastAsiaTheme="minorEastAsia" w:hAnsi="Cambria Math" w:cs="Cambria Math"/>
          <w:iCs/>
          <w:sz w:val="24"/>
          <w:szCs w:val="24"/>
        </w:rPr>
        <w:t>𝜎</w:t>
      </w:r>
      <w:r w:rsidRPr="009E00D2">
        <w:rPr>
          <w:rFonts w:ascii="Garamond" w:eastAsiaTheme="minorEastAsia" w:hAnsi="Garamond"/>
          <w:iCs/>
          <w:sz w:val="24"/>
          <w:szCs w:val="24"/>
          <w:vertAlign w:val="subscript"/>
        </w:rPr>
        <w:t>u</w:t>
      </w:r>
      <w:proofErr w:type="gramStart"/>
      <w:r w:rsidRPr="009E00D2">
        <w:rPr>
          <w:rFonts w:ascii="Cambria Math" w:eastAsiaTheme="minorEastAsia" w:hAnsi="Cambria Math" w:cs="Cambria Math"/>
          <w:iCs/>
          <w:sz w:val="24"/>
          <w:szCs w:val="24"/>
          <w:vertAlign w:val="subscript"/>
        </w:rPr>
        <w:t>𝜓</w:t>
      </w:r>
      <w:r w:rsidRPr="009E00D2">
        <w:rPr>
          <w:rFonts w:ascii="Garamond" w:eastAsiaTheme="minorEastAsia" w:hAnsi="Garamond"/>
          <w:iCs/>
          <w:sz w:val="24"/>
          <w:szCs w:val="24"/>
        </w:rPr>
        <w:t xml:space="preserve"> )</w:t>
      </w:r>
      <w:proofErr w:type="gramEnd"/>
      <w:r w:rsidRPr="009E00D2">
        <w:rPr>
          <w:rFonts w:ascii="Garamond" w:eastAsiaTheme="minorEastAsia" w:hAnsi="Garamond"/>
          <w:iCs/>
          <w:sz w:val="24"/>
          <w:szCs w:val="24"/>
        </w:rPr>
        <w:t xml:space="preserve">, we use the Bartlett, </w:t>
      </w:r>
      <w:proofErr w:type="spellStart"/>
      <w:r w:rsidRPr="009E00D2">
        <w:rPr>
          <w:rFonts w:ascii="Garamond" w:eastAsiaTheme="minorEastAsia" w:hAnsi="Garamond"/>
          <w:iCs/>
          <w:sz w:val="24"/>
          <w:szCs w:val="24"/>
        </w:rPr>
        <w:t>Parzen</w:t>
      </w:r>
      <w:proofErr w:type="spellEnd"/>
      <w:r w:rsidRPr="009E00D2">
        <w:rPr>
          <w:rFonts w:ascii="Garamond" w:eastAsiaTheme="minorEastAsia" w:hAnsi="Garamond"/>
          <w:iCs/>
          <w:sz w:val="24"/>
          <w:szCs w:val="24"/>
        </w:rPr>
        <w:t xml:space="preserve"> kernel and Quadratic Spectral windows in the kernel estimators following </w:t>
      </w:r>
      <w:proofErr w:type="spellStart"/>
      <w:r w:rsidRPr="009E00D2">
        <w:rPr>
          <w:rFonts w:ascii="Garamond" w:eastAsiaTheme="minorEastAsia" w:hAnsi="Garamond"/>
          <w:iCs/>
          <w:sz w:val="24"/>
          <w:szCs w:val="24"/>
        </w:rPr>
        <w:t>Galvao</w:t>
      </w:r>
      <w:proofErr w:type="spellEnd"/>
      <w:r w:rsidRPr="009E00D2">
        <w:rPr>
          <w:rFonts w:ascii="Garamond" w:eastAsiaTheme="minorEastAsia" w:hAnsi="Garamond"/>
          <w:iCs/>
          <w:sz w:val="24"/>
          <w:szCs w:val="24"/>
        </w:rPr>
        <w:t xml:space="preserve"> (2009) and Yang and Zhao (2020). Since the results are similar in their magnitude and the same in significance, we present only the results for the Quadratic Spectral kernel estimator. Bandwidth is calculated as in Andrews (1991). </w:t>
      </w:r>
    </w:p>
    <w:p w14:paraId="417C51ED" w14:textId="6E495E5E" w:rsidR="00E546B1" w:rsidRDefault="00E546B1" w:rsidP="00BD329C">
      <w:pPr>
        <w:pStyle w:val="NoSpacing"/>
        <w:spacing w:line="480" w:lineRule="auto"/>
        <w:ind w:firstLine="709"/>
        <w:jc w:val="both"/>
        <w:rPr>
          <w:rFonts w:ascii="Garamond" w:eastAsiaTheme="minorEastAsia" w:hAnsi="Garamond"/>
          <w:iCs/>
          <w:sz w:val="24"/>
          <w:szCs w:val="24"/>
        </w:rPr>
      </w:pPr>
      <w:r w:rsidRPr="009E00D2">
        <w:rPr>
          <w:rFonts w:ascii="Garamond" w:eastAsiaTheme="minorEastAsia" w:hAnsi="Garamond"/>
          <w:iCs/>
          <w:sz w:val="24"/>
          <w:szCs w:val="24"/>
        </w:rPr>
        <w:t xml:space="preserve">The test statistics for the unit root null hypothesis over the range of quantiles, </w:t>
      </w:r>
      <m:oMath>
        <m:r>
          <w:rPr>
            <w:rFonts w:ascii="Cambria Math" w:eastAsiaTheme="minorEastAsia" w:hAnsi="Cambria Math"/>
            <w:sz w:val="24"/>
            <w:szCs w:val="24"/>
          </w:rPr>
          <m:t>τ∈</m:t>
        </m:r>
        <m:r>
          <m:rPr>
            <m:sty m:val="p"/>
          </m:rPr>
          <w:rPr>
            <w:rFonts w:ascii="Cambria Math" w:eastAsiaTheme="minorEastAsia" w:hAnsi="Cambria Math"/>
            <w:sz w:val="24"/>
            <w:szCs w:val="24"/>
          </w:rPr>
          <m:t>Λ</m:t>
        </m:r>
      </m:oMath>
      <w:r w:rsidRPr="009E00D2">
        <w:rPr>
          <w:rFonts w:ascii="Garamond" w:eastAsiaTheme="minorEastAsia" w:hAnsi="Garamond"/>
          <w:iCs/>
          <w:sz w:val="24"/>
          <w:szCs w:val="24"/>
        </w:rPr>
        <w:t xml:space="preserve">, are calculated as follows (Galvao 2009; Yang </w:t>
      </w:r>
      <w:r w:rsidR="001B0E86">
        <w:rPr>
          <w:rFonts w:ascii="Garamond" w:eastAsiaTheme="minorEastAsia" w:hAnsi="Garamond"/>
          <w:iCs/>
          <w:sz w:val="24"/>
          <w:szCs w:val="24"/>
        </w:rPr>
        <w:t>&amp;</w:t>
      </w:r>
      <w:r w:rsidRPr="009E00D2">
        <w:rPr>
          <w:rFonts w:ascii="Garamond" w:eastAsiaTheme="minorEastAsia" w:hAnsi="Garamond"/>
          <w:iCs/>
          <w:sz w:val="24"/>
          <w:szCs w:val="24"/>
        </w:rPr>
        <w:t xml:space="preserve"> Zhao 2020):</w:t>
      </w:r>
    </w:p>
    <w:p w14:paraId="2EDE21E8" w14:textId="77777777" w:rsidR="009E00D2" w:rsidRPr="009E00D2" w:rsidRDefault="009E00D2" w:rsidP="00BD329C">
      <w:pPr>
        <w:pStyle w:val="NoSpacing"/>
        <w:spacing w:line="480" w:lineRule="auto"/>
        <w:jc w:val="both"/>
        <w:rPr>
          <w:rFonts w:ascii="Garamond" w:eastAsiaTheme="minorEastAsia" w:hAnsi="Garamond"/>
          <w:iCs/>
          <w:sz w:val="24"/>
          <w:szCs w:val="24"/>
        </w:rPr>
      </w:pPr>
    </w:p>
    <w:p w14:paraId="595FBB20" w14:textId="61A024C6" w:rsidR="00E546B1" w:rsidRDefault="00880EE9" w:rsidP="00BD329C">
      <w:pPr>
        <w:pStyle w:val="NoSpacing"/>
        <w:spacing w:line="480" w:lineRule="auto"/>
        <w:jc w:val="both"/>
        <w:rPr>
          <w:rFonts w:ascii="Garamond" w:eastAsiaTheme="minorEastAsia" w:hAnsi="Garamond"/>
          <w:iCs/>
          <w:sz w:val="24"/>
          <w:szCs w:val="24"/>
        </w:rPr>
      </w:pPr>
      <m:oMath>
        <m:sSub>
          <m:sSubPr>
            <m:ctrlPr>
              <w:rPr>
                <w:rFonts w:ascii="Cambria Math" w:eastAsiaTheme="minorEastAsia" w:hAnsi="Cambria Math"/>
                <w:i/>
                <w:iCs/>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ks</m:t>
            </m:r>
          </m:sub>
        </m:sSub>
        <m:r>
          <w:rPr>
            <w:rFonts w:ascii="Cambria Math" w:eastAsiaTheme="minorEastAsia" w:hAnsi="Cambria Math"/>
            <w:sz w:val="24"/>
            <w:szCs w:val="24"/>
          </w:rPr>
          <m:t>⇒</m:t>
        </m:r>
        <m:func>
          <m:funcPr>
            <m:ctrlPr>
              <w:rPr>
                <w:rFonts w:ascii="Cambria Math" w:eastAsiaTheme="minorEastAsia" w:hAnsi="Cambria Math"/>
                <w:i/>
                <w:iCs/>
                <w:sz w:val="24"/>
                <w:szCs w:val="24"/>
              </w:rPr>
            </m:ctrlPr>
          </m:funcPr>
          <m:fName>
            <m:func>
              <m:funcPr>
                <m:ctrlPr>
                  <w:rPr>
                    <w:rFonts w:ascii="Cambria Math" w:eastAsiaTheme="minorEastAsia" w:hAnsi="Cambria Math"/>
                    <w:iCs/>
                    <w:sz w:val="24"/>
                    <w:szCs w:val="24"/>
                  </w:rPr>
                </m:ctrlPr>
              </m:funcPr>
              <m:fName>
                <m:limLow>
                  <m:limLowPr>
                    <m:ctrlPr>
                      <w:rPr>
                        <w:rFonts w:ascii="Cambria Math" w:eastAsiaTheme="minorEastAsia" w:hAnsi="Cambria Math"/>
                        <w:iCs/>
                        <w:sz w:val="24"/>
                        <w:szCs w:val="24"/>
                      </w:rPr>
                    </m:ctrlPr>
                  </m:limLowPr>
                  <m:e>
                    <m:r>
                      <m:rPr>
                        <m:sty m:val="p"/>
                      </m:rPr>
                      <w:rPr>
                        <w:rFonts w:ascii="Cambria Math" w:hAnsi="Cambria Math"/>
                        <w:sz w:val="24"/>
                        <w:szCs w:val="24"/>
                      </w:rPr>
                      <m:t>sup</m:t>
                    </m:r>
                  </m:e>
                  <m:lim>
                    <m:r>
                      <w:rPr>
                        <w:rFonts w:ascii="Cambria Math" w:eastAsiaTheme="minorEastAsia" w:hAnsi="Cambria Math"/>
                        <w:sz w:val="24"/>
                        <w:szCs w:val="24"/>
                      </w:rPr>
                      <m:t>τ∈</m:t>
                    </m:r>
                    <m:r>
                      <m:rPr>
                        <m:sty m:val="p"/>
                      </m:rPr>
                      <w:rPr>
                        <w:rFonts w:ascii="Cambria Math" w:eastAsiaTheme="minorEastAsia" w:hAnsi="Cambria Math"/>
                        <w:sz w:val="24"/>
                        <w:szCs w:val="24"/>
                      </w:rPr>
                      <m:t>Λ</m:t>
                    </m:r>
                  </m:lim>
                </m:limLow>
              </m:fName>
              <m:e>
                <m:d>
                  <m:dPr>
                    <m:begChr m:val="|"/>
                    <m:endChr m:val="|"/>
                    <m:ctrlPr>
                      <w:rPr>
                        <w:rFonts w:ascii="Cambria Math" w:eastAsiaTheme="minorEastAsia" w:hAnsi="Cambria Math"/>
                        <w:i/>
                        <w:iCs/>
                        <w:sz w:val="24"/>
                        <w:szCs w:val="24"/>
                      </w:rPr>
                    </m:ctrlPr>
                  </m:dPr>
                  <m:e>
                    <m:r>
                      <w:rPr>
                        <w:rFonts w:ascii="Cambria Math" w:eastAsiaTheme="minorEastAsia" w:hAnsi="Cambria Math"/>
                        <w:sz w:val="24"/>
                        <w:szCs w:val="24"/>
                      </w:rPr>
                      <m:t>t(τ)</m:t>
                    </m:r>
                  </m:e>
                </m:d>
              </m:e>
            </m:func>
          </m:fName>
          <m:e/>
        </m:func>
      </m:oMath>
      <w:r w:rsidR="00E546B1" w:rsidRPr="009E00D2">
        <w:rPr>
          <w:rFonts w:ascii="Garamond" w:eastAsiaTheme="minorEastAsia" w:hAnsi="Garamond"/>
          <w:iCs/>
          <w:sz w:val="24"/>
          <w:szCs w:val="24"/>
        </w:rPr>
        <w:t xml:space="preserve">,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cm</m:t>
            </m:r>
          </m:sub>
        </m:sSub>
        <m:r>
          <w:rPr>
            <w:rFonts w:ascii="Cambria Math" w:eastAsiaTheme="minorEastAsia" w:hAnsi="Cambria Math"/>
            <w:sz w:val="24"/>
            <w:szCs w:val="24"/>
          </w:rPr>
          <m:t>=</m:t>
        </m:r>
        <m:nary>
          <m:naryPr>
            <m:limLoc m:val="subSup"/>
            <m:ctrlPr>
              <w:rPr>
                <w:rFonts w:ascii="Cambria Math" w:eastAsiaTheme="minorEastAsia" w:hAnsi="Cambria Math"/>
                <w:i/>
                <w:iCs/>
                <w:sz w:val="24"/>
                <w:szCs w:val="24"/>
              </w:rPr>
            </m:ctrlPr>
          </m:naryPr>
          <m:sub>
            <m:r>
              <w:rPr>
                <w:rFonts w:ascii="Cambria Math" w:eastAsiaTheme="minorEastAsia" w:hAnsi="Cambria Math"/>
                <w:sz w:val="24"/>
                <w:szCs w:val="24"/>
              </w:rPr>
              <m:t>τ∈</m:t>
            </m:r>
            <m:r>
              <m:rPr>
                <m:sty m:val="p"/>
              </m:rPr>
              <w:rPr>
                <w:rFonts w:ascii="Cambria Math" w:eastAsiaTheme="minorEastAsia" w:hAnsi="Cambria Math"/>
                <w:sz w:val="24"/>
                <w:szCs w:val="24"/>
              </w:rPr>
              <m:t>Λ</m:t>
            </m:r>
          </m:sub>
          <m:sup/>
          <m:e>
            <m:sSup>
              <m:sSupPr>
                <m:ctrlPr>
                  <w:rPr>
                    <w:rFonts w:ascii="Cambria Math" w:eastAsiaTheme="minorEastAsia" w:hAnsi="Cambria Math"/>
                    <w:i/>
                    <w:iCs/>
                    <w:sz w:val="24"/>
                    <w:szCs w:val="24"/>
                  </w:rPr>
                </m:ctrlPr>
              </m:sSupPr>
              <m:e>
                <m:r>
                  <w:rPr>
                    <w:rFonts w:ascii="Cambria Math" w:eastAsiaTheme="minorEastAsia" w:hAnsi="Cambria Math"/>
                    <w:sz w:val="24"/>
                    <w:szCs w:val="24"/>
                  </w:rPr>
                  <m:t>t(τ)</m:t>
                </m:r>
              </m:e>
              <m:sup>
                <m:r>
                  <w:rPr>
                    <w:rFonts w:ascii="Cambria Math" w:eastAsiaTheme="minorEastAsia" w:hAnsi="Cambria Math"/>
                    <w:sz w:val="24"/>
                    <w:szCs w:val="24"/>
                  </w:rPr>
                  <m:t>2</m:t>
                </m:r>
              </m:sup>
            </m:sSup>
            <m:r>
              <w:rPr>
                <w:rFonts w:ascii="Cambria Math" w:eastAsiaTheme="minorEastAsia" w:hAnsi="Cambria Math"/>
                <w:sz w:val="24"/>
                <w:szCs w:val="24"/>
              </w:rPr>
              <m:t>dτ</m:t>
            </m:r>
          </m:e>
        </m:nary>
      </m:oMath>
      <w:r w:rsidR="00E546B1" w:rsidRPr="009E00D2">
        <w:rPr>
          <w:rFonts w:ascii="Garamond" w:eastAsiaTheme="minorEastAsia" w:hAnsi="Garamond"/>
          <w:iCs/>
          <w:sz w:val="24"/>
          <w:szCs w:val="24"/>
        </w:rPr>
        <w:t xml:space="preserve"> </w:t>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r>
      <w:r w:rsidR="00BD329C">
        <w:rPr>
          <w:rFonts w:ascii="Garamond" w:eastAsiaTheme="minorEastAsia" w:hAnsi="Garamond"/>
          <w:iCs/>
          <w:sz w:val="24"/>
          <w:szCs w:val="24"/>
        </w:rPr>
        <w:t xml:space="preserve">                                   </w:t>
      </w:r>
      <w:r w:rsidR="00E546B1" w:rsidRPr="009E00D2">
        <w:rPr>
          <w:rFonts w:ascii="Garamond" w:eastAsiaTheme="minorEastAsia" w:hAnsi="Garamond"/>
          <w:iCs/>
          <w:sz w:val="24"/>
          <w:szCs w:val="24"/>
        </w:rPr>
        <w:tab/>
      </w:r>
      <w:r w:rsidR="00E546B1" w:rsidRPr="009E00D2">
        <w:rPr>
          <w:rFonts w:ascii="Garamond" w:eastAsiaTheme="minorEastAsia" w:hAnsi="Garamond"/>
          <w:iCs/>
          <w:sz w:val="24"/>
          <w:szCs w:val="24"/>
        </w:rPr>
        <w:tab/>
        <w:t>(15)</w:t>
      </w:r>
    </w:p>
    <w:p w14:paraId="7452200E" w14:textId="77777777" w:rsidR="009E00D2" w:rsidRPr="009E00D2" w:rsidRDefault="009E00D2" w:rsidP="00BD329C">
      <w:pPr>
        <w:pStyle w:val="NoSpacing"/>
        <w:spacing w:line="480" w:lineRule="auto"/>
        <w:jc w:val="both"/>
        <w:rPr>
          <w:rFonts w:ascii="Garamond" w:eastAsiaTheme="minorEastAsia" w:hAnsi="Garamond"/>
          <w:iCs/>
          <w:sz w:val="24"/>
          <w:szCs w:val="24"/>
        </w:rPr>
      </w:pPr>
    </w:p>
    <w:p w14:paraId="489AA626" w14:textId="2CBB00CE" w:rsidR="00E546B1" w:rsidRDefault="00E546B1" w:rsidP="00943696">
      <w:pPr>
        <w:pStyle w:val="NoSpacing"/>
        <w:spacing w:line="480" w:lineRule="auto"/>
        <w:ind w:firstLine="708"/>
        <w:jc w:val="both"/>
        <w:rPr>
          <w:rFonts w:ascii="Garamond" w:eastAsiaTheme="minorEastAsia" w:hAnsi="Garamond"/>
          <w:iCs/>
          <w:sz w:val="24"/>
          <w:szCs w:val="24"/>
        </w:rPr>
      </w:pPr>
      <w:r w:rsidRPr="009E00D2">
        <w:rPr>
          <w:rFonts w:ascii="Garamond" w:eastAsiaTheme="minorEastAsia" w:hAnsi="Garamond"/>
          <w:iCs/>
          <w:sz w:val="24"/>
          <w:szCs w:val="24"/>
        </w:rPr>
        <w:t>We compare the received statistics with the calculated critical value</w:t>
      </w:r>
      <w:r w:rsidR="00BD329C">
        <w:rPr>
          <w:rFonts w:ascii="Garamond" w:eastAsiaTheme="minorEastAsia" w:hAnsi="Garamond"/>
          <w:iCs/>
          <w:sz w:val="24"/>
          <w:szCs w:val="24"/>
        </w:rPr>
        <w:t>s</w:t>
      </w:r>
      <w:r w:rsidRPr="009E00D2">
        <w:rPr>
          <w:rFonts w:ascii="Garamond" w:eastAsiaTheme="minorEastAsia" w:hAnsi="Garamond"/>
          <w:iCs/>
          <w:sz w:val="24"/>
          <w:szCs w:val="24"/>
        </w:rPr>
        <w:t xml:space="preserve"> at the 1%, 5% and 10% levels of significance. </w:t>
      </w:r>
    </w:p>
    <w:p w14:paraId="56F45CBF" w14:textId="7796EB97" w:rsidR="002B2EA5" w:rsidRDefault="002B2EA5" w:rsidP="00BD329C">
      <w:pPr>
        <w:pStyle w:val="NoSpacing"/>
        <w:spacing w:line="480" w:lineRule="auto"/>
        <w:jc w:val="both"/>
        <w:rPr>
          <w:rFonts w:ascii="Garamond" w:eastAsiaTheme="minorEastAsia" w:hAnsi="Garamond"/>
          <w:iCs/>
          <w:sz w:val="24"/>
          <w:szCs w:val="24"/>
        </w:rPr>
      </w:pPr>
    </w:p>
    <w:p w14:paraId="5520E936" w14:textId="664F4596" w:rsidR="008D4BB7" w:rsidRDefault="005E11C9" w:rsidP="00A60ACF">
      <w:pPr>
        <w:pStyle w:val="NoSpacing"/>
        <w:spacing w:line="480" w:lineRule="auto"/>
        <w:jc w:val="both"/>
        <w:rPr>
          <w:rFonts w:ascii="Garamond" w:eastAsiaTheme="minorEastAsia" w:hAnsi="Garamond"/>
          <w:b/>
          <w:bCs/>
          <w:iCs/>
          <w:sz w:val="24"/>
          <w:szCs w:val="24"/>
        </w:rPr>
      </w:pPr>
      <w:r w:rsidRPr="009E00D2">
        <w:rPr>
          <w:rFonts w:ascii="Garamond" w:eastAsiaTheme="minorEastAsia" w:hAnsi="Garamond"/>
          <w:b/>
          <w:bCs/>
          <w:iCs/>
          <w:sz w:val="24"/>
          <w:szCs w:val="24"/>
        </w:rPr>
        <w:t xml:space="preserve">3. Results and </w:t>
      </w:r>
      <w:r w:rsidR="009E7228" w:rsidRPr="009E00D2">
        <w:rPr>
          <w:rFonts w:ascii="Garamond" w:eastAsiaTheme="minorEastAsia" w:hAnsi="Garamond"/>
          <w:b/>
          <w:bCs/>
          <w:iCs/>
          <w:sz w:val="24"/>
          <w:szCs w:val="24"/>
        </w:rPr>
        <w:t>I</w:t>
      </w:r>
      <w:r w:rsidRPr="009E00D2">
        <w:rPr>
          <w:rFonts w:ascii="Garamond" w:eastAsiaTheme="minorEastAsia" w:hAnsi="Garamond"/>
          <w:b/>
          <w:bCs/>
          <w:iCs/>
          <w:sz w:val="24"/>
          <w:szCs w:val="24"/>
        </w:rPr>
        <w:t>nterpretation</w:t>
      </w:r>
    </w:p>
    <w:p w14:paraId="45FA2A56" w14:textId="26B63FC9" w:rsidR="008C5F13" w:rsidRPr="009E00D2" w:rsidRDefault="008C5F13" w:rsidP="00A60ACF">
      <w:pPr>
        <w:pStyle w:val="NoSpacing"/>
        <w:spacing w:line="480" w:lineRule="auto"/>
        <w:jc w:val="both"/>
        <w:rPr>
          <w:rFonts w:ascii="Garamond" w:hAnsi="Garamond"/>
          <w:i/>
          <w:iCs/>
          <w:sz w:val="24"/>
          <w:szCs w:val="24"/>
        </w:rPr>
      </w:pPr>
      <w:r w:rsidRPr="009E00D2">
        <w:rPr>
          <w:rFonts w:ascii="Garamond" w:hAnsi="Garamond"/>
          <w:i/>
          <w:iCs/>
          <w:sz w:val="24"/>
          <w:szCs w:val="24"/>
        </w:rPr>
        <w:t>3.1. Precious metals</w:t>
      </w:r>
    </w:p>
    <w:p w14:paraId="24399680" w14:textId="08E11110" w:rsidR="008C5F13" w:rsidRPr="009E00D2" w:rsidRDefault="0056381E" w:rsidP="00F4118B">
      <w:pPr>
        <w:pStyle w:val="NoSpacing"/>
        <w:spacing w:line="480" w:lineRule="auto"/>
        <w:jc w:val="both"/>
        <w:rPr>
          <w:rFonts w:ascii="Garamond" w:hAnsi="Garamond"/>
          <w:sz w:val="24"/>
          <w:szCs w:val="24"/>
        </w:rPr>
      </w:pPr>
      <w:r w:rsidRPr="009E00D2">
        <w:rPr>
          <w:rFonts w:ascii="Garamond" w:hAnsi="Garamond"/>
          <w:sz w:val="24"/>
          <w:szCs w:val="24"/>
        </w:rPr>
        <w:t>Results for p</w:t>
      </w:r>
      <w:r w:rsidR="008C5F13" w:rsidRPr="009E00D2">
        <w:rPr>
          <w:rFonts w:ascii="Garamond" w:hAnsi="Garamond"/>
          <w:sz w:val="24"/>
          <w:szCs w:val="24"/>
        </w:rPr>
        <w:t>recious metal</w:t>
      </w:r>
      <w:r w:rsidR="001550AC" w:rsidRPr="009E00D2">
        <w:rPr>
          <w:rFonts w:ascii="Garamond" w:hAnsi="Garamond"/>
          <w:sz w:val="24"/>
          <w:szCs w:val="24"/>
        </w:rPr>
        <w:t xml:space="preserve">s </w:t>
      </w:r>
      <w:r w:rsidRPr="009E00D2">
        <w:rPr>
          <w:rFonts w:ascii="Garamond" w:hAnsi="Garamond"/>
          <w:sz w:val="24"/>
          <w:szCs w:val="24"/>
        </w:rPr>
        <w:t xml:space="preserve">in </w:t>
      </w:r>
      <w:r w:rsidR="001550AC" w:rsidRPr="009E00D2">
        <w:rPr>
          <w:rFonts w:ascii="Garamond" w:hAnsi="Garamond"/>
          <w:sz w:val="24"/>
          <w:szCs w:val="24"/>
        </w:rPr>
        <w:t>Table</w:t>
      </w:r>
      <w:r w:rsidR="00D06055" w:rsidRPr="009E00D2">
        <w:rPr>
          <w:rFonts w:ascii="Garamond" w:hAnsi="Garamond"/>
          <w:sz w:val="24"/>
          <w:szCs w:val="24"/>
        </w:rPr>
        <w:t xml:space="preserve"> 1</w:t>
      </w:r>
      <w:r w:rsidRPr="009E00D2">
        <w:rPr>
          <w:rFonts w:ascii="Garamond" w:hAnsi="Garamond"/>
          <w:sz w:val="24"/>
          <w:szCs w:val="24"/>
        </w:rPr>
        <w:t xml:space="preserve"> reveals significant diversity in the reaction and recovery patterns across selected metals. </w:t>
      </w:r>
      <w:r w:rsidRPr="002E554D">
        <w:rPr>
          <w:rFonts w:ascii="Garamond" w:eastAsia="Times New Roman" w:hAnsi="Garamond" w:cs="Calibri"/>
          <w:color w:val="FF0000"/>
          <w:sz w:val="24"/>
          <w:szCs w:val="24"/>
          <w:lang w:eastAsia="en-GB"/>
        </w:rPr>
        <w:t>For instance, t</w:t>
      </w:r>
      <w:r w:rsidR="00A11985" w:rsidRPr="002E554D">
        <w:rPr>
          <w:rFonts w:ascii="Garamond" w:eastAsia="Times New Roman" w:hAnsi="Garamond" w:cs="Calibri"/>
          <w:color w:val="FF0000"/>
          <w:sz w:val="24"/>
          <w:szCs w:val="24"/>
          <w:lang w:eastAsia="en-GB"/>
        </w:rPr>
        <w:t xml:space="preserve">he pandemic bottom dates </w:t>
      </w:r>
      <w:r w:rsidRPr="002E554D">
        <w:rPr>
          <w:rFonts w:ascii="Garamond" w:eastAsia="Times New Roman" w:hAnsi="Garamond" w:cs="Calibri"/>
          <w:color w:val="FF0000"/>
          <w:sz w:val="24"/>
          <w:szCs w:val="24"/>
          <w:lang w:eastAsia="en-GB"/>
        </w:rPr>
        <w:t xml:space="preserve">differ significantly across metals, ranging </w:t>
      </w:r>
      <w:r w:rsidR="00A11985" w:rsidRPr="002E554D">
        <w:rPr>
          <w:rFonts w:ascii="Garamond" w:eastAsia="Times New Roman" w:hAnsi="Garamond" w:cs="Calibri"/>
          <w:color w:val="FF0000"/>
          <w:sz w:val="24"/>
          <w:szCs w:val="24"/>
          <w:lang w:eastAsia="en-GB"/>
        </w:rPr>
        <w:t xml:space="preserve">from </w:t>
      </w:r>
      <w:r w:rsidRPr="002E554D">
        <w:rPr>
          <w:rFonts w:ascii="Garamond" w:eastAsia="Times New Roman" w:hAnsi="Garamond" w:cs="Calibri"/>
          <w:color w:val="FF0000"/>
          <w:sz w:val="24"/>
          <w:szCs w:val="24"/>
          <w:lang w:eastAsia="en-GB"/>
        </w:rPr>
        <w:t xml:space="preserve">as early as </w:t>
      </w:r>
      <w:r w:rsidR="00A11985" w:rsidRPr="002E554D">
        <w:rPr>
          <w:rFonts w:ascii="Garamond" w:eastAsia="Times New Roman" w:hAnsi="Garamond" w:cs="Calibri"/>
          <w:color w:val="FF0000"/>
          <w:sz w:val="24"/>
          <w:szCs w:val="24"/>
          <w:lang w:eastAsia="en-GB"/>
        </w:rPr>
        <w:t>09/03/2020 for osmium to 24/03/2020 for Rhodium.</w:t>
      </w:r>
      <w:r w:rsidR="00C30D6C" w:rsidRPr="002E554D">
        <w:rPr>
          <w:rFonts w:ascii="Garamond" w:eastAsia="Times New Roman" w:hAnsi="Garamond" w:cs="Calibri"/>
          <w:color w:val="FF0000"/>
          <w:sz w:val="24"/>
          <w:szCs w:val="24"/>
          <w:lang w:eastAsia="en-GB"/>
        </w:rPr>
        <w:t xml:space="preserve"> </w:t>
      </w:r>
      <w:r w:rsidR="00C30D6C" w:rsidRPr="009E00D2">
        <w:rPr>
          <w:rFonts w:ascii="Garamond" w:hAnsi="Garamond"/>
          <w:sz w:val="24"/>
          <w:szCs w:val="24"/>
        </w:rPr>
        <w:t xml:space="preserve">While Iridium and </w:t>
      </w:r>
      <w:r w:rsidR="00C30D6C" w:rsidRPr="009E00D2">
        <w:rPr>
          <w:rFonts w:ascii="Garamond" w:eastAsia="Times New Roman" w:hAnsi="Garamond" w:cs="Calibri"/>
          <w:sz w:val="24"/>
          <w:szCs w:val="24"/>
          <w:lang w:eastAsia="en-GB"/>
        </w:rPr>
        <w:t xml:space="preserve">Ruthenium remain unaffected by the COVID-19, others are affected to different </w:t>
      </w:r>
      <w:r w:rsidR="00C30D6C" w:rsidRPr="009E00D2">
        <w:rPr>
          <w:rFonts w:ascii="Garamond" w:eastAsia="Times New Roman" w:hAnsi="Garamond" w:cs="Calibri"/>
          <w:sz w:val="24"/>
          <w:szCs w:val="24"/>
          <w:lang w:eastAsia="en-GB"/>
        </w:rPr>
        <w:lastRenderedPageBreak/>
        <w:t xml:space="preserve">degrees. </w:t>
      </w:r>
      <w:r w:rsidR="00C30D6C" w:rsidRPr="002E554D">
        <w:rPr>
          <w:rFonts w:ascii="Garamond" w:eastAsia="Times New Roman" w:hAnsi="Garamond" w:cs="Calibri"/>
          <w:color w:val="FF0000"/>
          <w:sz w:val="24"/>
          <w:szCs w:val="24"/>
          <w:lang w:eastAsia="en-GB"/>
        </w:rPr>
        <w:t xml:space="preserve">The lowest decrease is observed for </w:t>
      </w:r>
      <w:r w:rsidR="008E424F" w:rsidRPr="002E554D">
        <w:rPr>
          <w:rFonts w:ascii="Garamond" w:eastAsia="Times New Roman" w:hAnsi="Garamond" w:cs="Calibri"/>
          <w:color w:val="FF0000"/>
          <w:sz w:val="24"/>
          <w:szCs w:val="24"/>
          <w:lang w:eastAsia="en-GB"/>
        </w:rPr>
        <w:t xml:space="preserve">Osmium </w:t>
      </w:r>
      <w:r w:rsidR="00C30D6C" w:rsidRPr="002E554D">
        <w:rPr>
          <w:rFonts w:ascii="Garamond" w:eastAsia="Times New Roman" w:hAnsi="Garamond" w:cs="Calibri"/>
          <w:color w:val="FF0000"/>
          <w:sz w:val="24"/>
          <w:szCs w:val="24"/>
          <w:lang w:eastAsia="en-GB"/>
        </w:rPr>
        <w:t xml:space="preserve">(fall in price: </w:t>
      </w:r>
      <w:r w:rsidR="008E424F" w:rsidRPr="002E554D">
        <w:rPr>
          <w:rFonts w:ascii="Garamond" w:eastAsia="Times New Roman" w:hAnsi="Garamond" w:cs="Calibri"/>
          <w:color w:val="FF0000"/>
          <w:sz w:val="24"/>
          <w:szCs w:val="24"/>
          <w:lang w:eastAsia="en-GB"/>
        </w:rPr>
        <w:t>5.14%</w:t>
      </w:r>
      <w:r w:rsidR="00C30D6C" w:rsidRPr="002E554D">
        <w:rPr>
          <w:rFonts w:ascii="Garamond" w:eastAsia="Times New Roman" w:hAnsi="Garamond" w:cs="Calibri"/>
          <w:color w:val="FF0000"/>
          <w:sz w:val="24"/>
          <w:szCs w:val="24"/>
          <w:lang w:eastAsia="en-GB"/>
        </w:rPr>
        <w:t>)</w:t>
      </w:r>
      <w:r w:rsidR="008E424F" w:rsidRPr="002E554D">
        <w:rPr>
          <w:rFonts w:ascii="Garamond" w:eastAsia="Times New Roman" w:hAnsi="Garamond" w:cs="Calibri"/>
          <w:color w:val="FF0000"/>
          <w:sz w:val="24"/>
          <w:szCs w:val="24"/>
          <w:lang w:eastAsia="en-GB"/>
        </w:rPr>
        <w:t xml:space="preserve"> on the pandemic bottom day </w:t>
      </w:r>
      <w:r w:rsidR="00C30D6C" w:rsidRPr="002E554D">
        <w:rPr>
          <w:rFonts w:ascii="Garamond" w:eastAsia="Times New Roman" w:hAnsi="Garamond" w:cs="Calibri"/>
          <w:color w:val="FF0000"/>
          <w:sz w:val="24"/>
          <w:szCs w:val="24"/>
          <w:lang w:eastAsia="en-GB"/>
        </w:rPr>
        <w:t xml:space="preserve">while the </w:t>
      </w:r>
      <w:r w:rsidR="001550AC" w:rsidRPr="002E554D">
        <w:rPr>
          <w:rFonts w:ascii="Garamond" w:eastAsia="Times New Roman" w:hAnsi="Garamond" w:cs="Calibri"/>
          <w:color w:val="FF0000"/>
          <w:sz w:val="24"/>
          <w:szCs w:val="24"/>
          <w:lang w:eastAsia="en-GB"/>
        </w:rPr>
        <w:t>most significant decrease is observed for Rhodium</w:t>
      </w:r>
      <w:r w:rsidR="001550AC" w:rsidRPr="002E554D">
        <w:rPr>
          <w:rFonts w:ascii="Garamond" w:eastAsia="Times New Roman" w:hAnsi="Garamond" w:cs="Calibri"/>
          <w:b/>
          <w:bCs/>
          <w:color w:val="FF0000"/>
          <w:sz w:val="24"/>
          <w:szCs w:val="24"/>
          <w:lang w:eastAsia="en-GB"/>
        </w:rPr>
        <w:t xml:space="preserve"> </w:t>
      </w:r>
      <w:r w:rsidR="001550AC" w:rsidRPr="002E554D">
        <w:rPr>
          <w:rFonts w:ascii="Garamond" w:eastAsia="Times New Roman" w:hAnsi="Garamond" w:cs="Calibri"/>
          <w:color w:val="FF0000"/>
          <w:sz w:val="24"/>
          <w:szCs w:val="24"/>
          <w:lang w:eastAsia="en-GB"/>
        </w:rPr>
        <w:t>(</w:t>
      </w:r>
      <w:r w:rsidR="00D84F9E" w:rsidRPr="002E554D">
        <w:rPr>
          <w:rFonts w:ascii="Garamond" w:eastAsia="Times New Roman" w:hAnsi="Garamond" w:cs="Calibri"/>
          <w:color w:val="FF0000"/>
          <w:sz w:val="24"/>
          <w:szCs w:val="24"/>
          <w:lang w:eastAsia="en-GB"/>
        </w:rPr>
        <w:t>-</w:t>
      </w:r>
      <w:r w:rsidR="006C1289" w:rsidRPr="002E554D">
        <w:rPr>
          <w:rFonts w:ascii="Garamond" w:eastAsia="Times New Roman" w:hAnsi="Garamond" w:cs="Calibri"/>
          <w:color w:val="FF0000"/>
          <w:sz w:val="24"/>
          <w:szCs w:val="24"/>
          <w:lang w:eastAsia="en-GB"/>
        </w:rPr>
        <w:t>54.6</w:t>
      </w:r>
      <w:r w:rsidR="002745A3" w:rsidRPr="002E554D">
        <w:rPr>
          <w:rFonts w:ascii="Garamond" w:eastAsia="Times New Roman" w:hAnsi="Garamond" w:cs="Calibri"/>
          <w:color w:val="FF0000"/>
          <w:sz w:val="24"/>
          <w:szCs w:val="24"/>
          <w:lang w:eastAsia="en-GB"/>
        </w:rPr>
        <w:t>%</w:t>
      </w:r>
      <w:r w:rsidR="001550AC" w:rsidRPr="002E554D">
        <w:rPr>
          <w:rFonts w:ascii="Garamond" w:eastAsia="Times New Roman" w:hAnsi="Garamond" w:cs="Calibri"/>
          <w:color w:val="FF0000"/>
          <w:sz w:val="24"/>
          <w:szCs w:val="24"/>
          <w:lang w:eastAsia="en-GB"/>
        </w:rPr>
        <w:t>)</w:t>
      </w:r>
      <w:r w:rsidR="00C30D6C" w:rsidRPr="002E554D">
        <w:rPr>
          <w:rFonts w:ascii="Garamond" w:eastAsia="Times New Roman" w:hAnsi="Garamond" w:cs="Calibri"/>
          <w:color w:val="FF0000"/>
          <w:sz w:val="24"/>
          <w:szCs w:val="24"/>
          <w:lang w:eastAsia="en-GB"/>
        </w:rPr>
        <w:t xml:space="preserve">. </w:t>
      </w:r>
      <w:r w:rsidR="001550AC" w:rsidRPr="002E554D">
        <w:rPr>
          <w:rFonts w:ascii="Garamond" w:eastAsia="Times New Roman" w:hAnsi="Garamond" w:cs="Calibri"/>
          <w:color w:val="FF0000"/>
          <w:sz w:val="24"/>
          <w:szCs w:val="24"/>
          <w:lang w:eastAsia="en-GB"/>
        </w:rPr>
        <w:t xml:space="preserve"> </w:t>
      </w:r>
      <w:r w:rsidR="00C30D6C" w:rsidRPr="009E00D2">
        <w:rPr>
          <w:rFonts w:ascii="Garamond" w:eastAsia="Times New Roman" w:hAnsi="Garamond" w:cs="Calibri"/>
          <w:sz w:val="24"/>
          <w:szCs w:val="24"/>
          <w:lang w:eastAsia="en-GB"/>
        </w:rPr>
        <w:t xml:space="preserve">Silver falls by 35 </w:t>
      </w:r>
      <w:r w:rsidR="002745A3">
        <w:rPr>
          <w:rFonts w:ascii="Garamond" w:eastAsia="Times New Roman" w:hAnsi="Garamond" w:cs="Calibri"/>
          <w:sz w:val="24"/>
          <w:szCs w:val="24"/>
          <w:lang w:eastAsia="en-GB"/>
        </w:rPr>
        <w:t xml:space="preserve">% </w:t>
      </w:r>
      <w:r w:rsidR="00C30D6C" w:rsidRPr="009E00D2">
        <w:rPr>
          <w:rFonts w:ascii="Garamond" w:eastAsia="Times New Roman" w:hAnsi="Garamond" w:cs="Calibri"/>
          <w:sz w:val="24"/>
          <w:szCs w:val="24"/>
          <w:lang w:eastAsia="en-GB"/>
        </w:rPr>
        <w:t xml:space="preserve">while </w:t>
      </w:r>
      <w:r w:rsidR="001550AC" w:rsidRPr="009E00D2">
        <w:rPr>
          <w:rFonts w:ascii="Garamond" w:eastAsia="Times New Roman" w:hAnsi="Garamond" w:cs="Calibri"/>
          <w:sz w:val="24"/>
          <w:szCs w:val="24"/>
          <w:lang w:eastAsia="en-GB"/>
        </w:rPr>
        <w:t>Palladium and Platinum</w:t>
      </w:r>
      <w:r w:rsidR="00C30D6C" w:rsidRPr="009E00D2">
        <w:rPr>
          <w:rFonts w:ascii="Garamond" w:eastAsia="Times New Roman" w:hAnsi="Garamond" w:cs="Calibri"/>
          <w:sz w:val="24"/>
          <w:szCs w:val="24"/>
          <w:lang w:eastAsia="en-GB"/>
        </w:rPr>
        <w:t xml:space="preserve"> by </w:t>
      </w:r>
      <w:r w:rsidR="001550AC" w:rsidRPr="009E00D2">
        <w:rPr>
          <w:rFonts w:ascii="Garamond" w:eastAsia="Times New Roman" w:hAnsi="Garamond" w:cs="Calibri"/>
          <w:sz w:val="24"/>
          <w:szCs w:val="24"/>
          <w:lang w:eastAsia="en-GB"/>
        </w:rPr>
        <w:t xml:space="preserve">more than </w:t>
      </w:r>
      <w:r w:rsidR="006C1289" w:rsidRPr="009E00D2">
        <w:rPr>
          <w:rFonts w:ascii="Garamond" w:eastAsia="Times New Roman" w:hAnsi="Garamond" w:cs="Calibri"/>
          <w:sz w:val="24"/>
          <w:szCs w:val="24"/>
          <w:lang w:eastAsia="en-GB"/>
        </w:rPr>
        <w:t>40</w:t>
      </w:r>
      <w:r w:rsidR="002745A3">
        <w:rPr>
          <w:rFonts w:ascii="Garamond" w:eastAsia="Times New Roman" w:hAnsi="Garamond" w:cs="Calibri"/>
          <w:sz w:val="24"/>
          <w:szCs w:val="24"/>
          <w:lang w:eastAsia="en-GB"/>
        </w:rPr>
        <w:t>%</w:t>
      </w:r>
      <w:r w:rsidR="00C30D6C" w:rsidRPr="009E00D2">
        <w:rPr>
          <w:rFonts w:ascii="Garamond" w:eastAsia="Times New Roman" w:hAnsi="Garamond" w:cs="Calibri"/>
          <w:sz w:val="24"/>
          <w:szCs w:val="24"/>
          <w:lang w:eastAsia="en-GB"/>
        </w:rPr>
        <w:t xml:space="preserve">. </w:t>
      </w:r>
      <w:r w:rsidR="001550AC" w:rsidRPr="009E00D2">
        <w:rPr>
          <w:rFonts w:ascii="Garamond" w:eastAsia="Times New Roman" w:hAnsi="Garamond" w:cs="Calibri"/>
          <w:sz w:val="24"/>
          <w:szCs w:val="24"/>
          <w:lang w:eastAsia="en-GB"/>
        </w:rPr>
        <w:t>G</w:t>
      </w:r>
      <w:r w:rsidR="001550AC" w:rsidRPr="009E00D2">
        <w:rPr>
          <w:rFonts w:ascii="Garamond" w:hAnsi="Garamond"/>
          <w:sz w:val="24"/>
          <w:szCs w:val="24"/>
        </w:rPr>
        <w:t xml:space="preserve">old </w:t>
      </w:r>
      <w:r w:rsidR="00C30D6C" w:rsidRPr="009E00D2">
        <w:rPr>
          <w:rFonts w:ascii="Garamond" w:hAnsi="Garamond"/>
          <w:sz w:val="24"/>
          <w:szCs w:val="24"/>
        </w:rPr>
        <w:t>do</w:t>
      </w:r>
      <w:r w:rsidR="00A11BCF" w:rsidRPr="009E00D2">
        <w:rPr>
          <w:rFonts w:ascii="Garamond" w:hAnsi="Garamond"/>
          <w:sz w:val="24"/>
          <w:szCs w:val="24"/>
        </w:rPr>
        <w:t>e</w:t>
      </w:r>
      <w:r w:rsidR="00C30D6C" w:rsidRPr="009E00D2">
        <w:rPr>
          <w:rFonts w:ascii="Garamond" w:hAnsi="Garamond"/>
          <w:sz w:val="24"/>
          <w:szCs w:val="24"/>
        </w:rPr>
        <w:t xml:space="preserve">s remarkably well with a </w:t>
      </w:r>
      <w:r w:rsidR="001550AC" w:rsidRPr="009E00D2">
        <w:rPr>
          <w:rFonts w:ascii="Garamond" w:hAnsi="Garamond"/>
          <w:sz w:val="24"/>
          <w:szCs w:val="24"/>
        </w:rPr>
        <w:t>decrease</w:t>
      </w:r>
      <w:r w:rsidR="00C30D6C" w:rsidRPr="009E00D2">
        <w:rPr>
          <w:rFonts w:ascii="Garamond" w:hAnsi="Garamond"/>
          <w:sz w:val="24"/>
          <w:szCs w:val="24"/>
        </w:rPr>
        <w:t xml:space="preserve"> of </w:t>
      </w:r>
      <w:r w:rsidR="001550AC" w:rsidRPr="009E00D2">
        <w:rPr>
          <w:rFonts w:ascii="Garamond" w:hAnsi="Garamond"/>
          <w:sz w:val="24"/>
          <w:szCs w:val="24"/>
        </w:rPr>
        <w:t>only 1</w:t>
      </w:r>
      <w:r w:rsidR="006C1289" w:rsidRPr="009E00D2">
        <w:rPr>
          <w:rFonts w:ascii="Garamond" w:hAnsi="Garamond"/>
          <w:sz w:val="24"/>
          <w:szCs w:val="24"/>
        </w:rPr>
        <w:t>2</w:t>
      </w:r>
      <w:r w:rsidR="001550AC" w:rsidRPr="009E00D2">
        <w:rPr>
          <w:rFonts w:ascii="Garamond" w:hAnsi="Garamond"/>
          <w:sz w:val="24"/>
          <w:szCs w:val="24"/>
        </w:rPr>
        <w:t xml:space="preserve"> </w:t>
      </w:r>
      <w:r w:rsidR="002745A3">
        <w:rPr>
          <w:rFonts w:ascii="Garamond" w:hAnsi="Garamond"/>
          <w:sz w:val="24"/>
          <w:szCs w:val="24"/>
        </w:rPr>
        <w:t>%</w:t>
      </w:r>
      <w:r w:rsidR="001550AC" w:rsidRPr="009E00D2">
        <w:rPr>
          <w:rFonts w:ascii="Garamond" w:hAnsi="Garamond"/>
          <w:sz w:val="24"/>
          <w:szCs w:val="24"/>
        </w:rPr>
        <w:t xml:space="preserve"> on 19/03/2020 with </w:t>
      </w:r>
      <w:r w:rsidR="00C30D6C" w:rsidRPr="009E00D2">
        <w:rPr>
          <w:rFonts w:ascii="Garamond" w:hAnsi="Garamond"/>
          <w:sz w:val="24"/>
          <w:szCs w:val="24"/>
        </w:rPr>
        <w:t xml:space="preserve">a subsequent </w:t>
      </w:r>
      <w:r w:rsidR="001550AC" w:rsidRPr="009E00D2">
        <w:rPr>
          <w:rFonts w:ascii="Garamond" w:hAnsi="Garamond"/>
          <w:sz w:val="24"/>
          <w:szCs w:val="24"/>
        </w:rPr>
        <w:t xml:space="preserve">recovery </w:t>
      </w:r>
      <w:r w:rsidR="00C30D6C" w:rsidRPr="009E00D2">
        <w:rPr>
          <w:rFonts w:ascii="Garamond" w:hAnsi="Garamond"/>
          <w:sz w:val="24"/>
          <w:szCs w:val="24"/>
        </w:rPr>
        <w:t xml:space="preserve">of more than the value lost (gain in value: 118 </w:t>
      </w:r>
      <w:r w:rsidR="002745A3">
        <w:rPr>
          <w:rFonts w:ascii="Garamond" w:hAnsi="Garamond"/>
          <w:sz w:val="24"/>
          <w:szCs w:val="24"/>
        </w:rPr>
        <w:t>%</w:t>
      </w:r>
      <w:r w:rsidR="006C1289" w:rsidRPr="009E00D2">
        <w:rPr>
          <w:rFonts w:ascii="Garamond" w:hAnsi="Garamond"/>
          <w:sz w:val="24"/>
          <w:szCs w:val="24"/>
        </w:rPr>
        <w:t xml:space="preserve"> of lowest value</w:t>
      </w:r>
      <w:r w:rsidR="00C30D6C" w:rsidRPr="009E00D2">
        <w:rPr>
          <w:rFonts w:ascii="Garamond" w:hAnsi="Garamond"/>
          <w:sz w:val="24"/>
          <w:szCs w:val="24"/>
        </w:rPr>
        <w:t xml:space="preserve"> due to the pandemic). The </w:t>
      </w:r>
      <w:r w:rsidR="00D170DF" w:rsidRPr="009E00D2">
        <w:rPr>
          <w:rFonts w:ascii="Garamond" w:hAnsi="Garamond"/>
          <w:sz w:val="24"/>
          <w:szCs w:val="24"/>
        </w:rPr>
        <w:t xml:space="preserve">S&amp;P GSCI </w:t>
      </w:r>
      <w:r w:rsidR="00C30D6C" w:rsidRPr="009E00D2">
        <w:rPr>
          <w:rFonts w:ascii="Garamond" w:hAnsi="Garamond"/>
          <w:sz w:val="24"/>
          <w:szCs w:val="24"/>
        </w:rPr>
        <w:t>index that comprises various precious metals loses only about 14</w:t>
      </w:r>
      <w:r w:rsidR="002745A3">
        <w:rPr>
          <w:rFonts w:ascii="Garamond" w:hAnsi="Garamond"/>
          <w:sz w:val="24"/>
          <w:szCs w:val="24"/>
        </w:rPr>
        <w:t>%</w:t>
      </w:r>
      <w:r w:rsidR="00C30D6C" w:rsidRPr="009E00D2">
        <w:rPr>
          <w:rFonts w:ascii="Garamond" w:hAnsi="Garamond"/>
          <w:sz w:val="24"/>
          <w:szCs w:val="24"/>
        </w:rPr>
        <w:t xml:space="preserve"> of its highest pre-pandemic value, only to bounce back not only to higher-than-before levels but also</w:t>
      </w:r>
      <w:r w:rsidR="00312BC4" w:rsidRPr="009E00D2">
        <w:rPr>
          <w:rFonts w:ascii="Garamond" w:hAnsi="Garamond"/>
          <w:sz w:val="24"/>
          <w:szCs w:val="24"/>
        </w:rPr>
        <w:t xml:space="preserve"> surpassing pre-pandemic maximum</w:t>
      </w:r>
      <w:r w:rsidR="00C30D6C" w:rsidRPr="009E00D2">
        <w:rPr>
          <w:rFonts w:ascii="Garamond" w:hAnsi="Garamond"/>
          <w:sz w:val="24"/>
          <w:szCs w:val="24"/>
        </w:rPr>
        <w:t xml:space="preserve"> values (gain in value: 120</w:t>
      </w:r>
      <w:r w:rsidR="002745A3">
        <w:rPr>
          <w:rFonts w:ascii="Garamond" w:hAnsi="Garamond"/>
          <w:sz w:val="24"/>
          <w:szCs w:val="24"/>
        </w:rPr>
        <w:t>%</w:t>
      </w:r>
      <w:r w:rsidR="00C30D6C" w:rsidRPr="009E00D2">
        <w:rPr>
          <w:rFonts w:ascii="Garamond" w:hAnsi="Garamond"/>
          <w:sz w:val="24"/>
          <w:szCs w:val="24"/>
        </w:rPr>
        <w:t xml:space="preserve">). </w:t>
      </w:r>
      <w:r w:rsidR="001550AC" w:rsidRPr="009E00D2">
        <w:rPr>
          <w:rFonts w:ascii="Garamond" w:hAnsi="Garamond"/>
          <w:sz w:val="24"/>
          <w:szCs w:val="24"/>
        </w:rPr>
        <w:t xml:space="preserve"> </w:t>
      </w:r>
    </w:p>
    <w:p w14:paraId="7FA53094" w14:textId="75C5793C" w:rsidR="00EA1008" w:rsidRPr="009E00D2" w:rsidRDefault="00EA1008" w:rsidP="00E546B1">
      <w:pPr>
        <w:pStyle w:val="NoSpacing"/>
        <w:spacing w:line="480" w:lineRule="auto"/>
        <w:ind w:firstLine="708"/>
        <w:jc w:val="both"/>
        <w:rPr>
          <w:rFonts w:ascii="Garamond" w:hAnsi="Garamond"/>
          <w:sz w:val="24"/>
          <w:szCs w:val="24"/>
        </w:rPr>
      </w:pPr>
      <w:r w:rsidRPr="009E00D2">
        <w:rPr>
          <w:rFonts w:ascii="Garamond" w:hAnsi="Garamond"/>
          <w:sz w:val="24"/>
          <w:szCs w:val="24"/>
        </w:rPr>
        <w:t xml:space="preserve">In terms of recovery, Platinum, silver, </w:t>
      </w:r>
      <w:proofErr w:type="gramStart"/>
      <w:r w:rsidRPr="009E00D2">
        <w:rPr>
          <w:rFonts w:ascii="Garamond" w:hAnsi="Garamond"/>
          <w:sz w:val="24"/>
          <w:szCs w:val="24"/>
        </w:rPr>
        <w:t>palladium</w:t>
      </w:r>
      <w:proofErr w:type="gramEnd"/>
      <w:r w:rsidRPr="009E00D2">
        <w:rPr>
          <w:rFonts w:ascii="Garamond" w:hAnsi="Garamond"/>
          <w:sz w:val="24"/>
          <w:szCs w:val="24"/>
        </w:rPr>
        <w:t xml:space="preserve"> and iridium fail to match their corresponding pre-pandemic maximum levels at least till the end of April 10, the cutoff date for the study. </w:t>
      </w:r>
      <w:r w:rsidR="002B463C" w:rsidRPr="009E00D2">
        <w:rPr>
          <w:rFonts w:ascii="Garamond" w:hAnsi="Garamond"/>
          <w:sz w:val="24"/>
          <w:szCs w:val="24"/>
        </w:rPr>
        <w:t xml:space="preserve">These patterns can also be observed in Figure 1 below. </w:t>
      </w:r>
    </w:p>
    <w:p w14:paraId="0C44F543" w14:textId="0BE9944B" w:rsidR="00F41C4D" w:rsidRPr="009E00D2" w:rsidRDefault="006C1289" w:rsidP="00F41C4D">
      <w:pPr>
        <w:pStyle w:val="NoSpacing"/>
        <w:spacing w:line="480" w:lineRule="auto"/>
        <w:jc w:val="center"/>
        <w:rPr>
          <w:rFonts w:ascii="Garamond" w:eastAsia="Times New Roman" w:hAnsi="Garamond" w:cs="Calibri"/>
          <w:sz w:val="24"/>
          <w:szCs w:val="24"/>
          <w:lang w:eastAsia="en-GB"/>
        </w:rPr>
      </w:pPr>
      <w:r w:rsidRPr="009E00D2">
        <w:rPr>
          <w:rFonts w:ascii="Garamond" w:hAnsi="Garamond"/>
          <w:noProof/>
          <w:lang w:val="fr-FR" w:eastAsia="fr-FR"/>
        </w:rPr>
        <w:drawing>
          <wp:inline distT="0" distB="0" distL="0" distR="0" wp14:anchorId="1AEAC9C7" wp14:editId="583CF4F9">
            <wp:extent cx="4572000" cy="2743200"/>
            <wp:effectExtent l="0" t="0" r="0" b="0"/>
            <wp:docPr id="4" name="Chart 4">
              <a:extLst xmlns:a="http://schemas.openxmlformats.org/drawingml/2006/main">
                <a:ext uri="{FF2B5EF4-FFF2-40B4-BE49-F238E27FC236}">
                  <a16:creationId xmlns:a16="http://schemas.microsoft.com/office/drawing/2014/main" id="{B8AB2580-960B-4168-9EDB-094865FFAF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24A3CF" w14:textId="6A9E9A83" w:rsidR="00F41C4D" w:rsidRPr="009E00D2" w:rsidRDefault="00F41C4D" w:rsidP="00E036A9">
      <w:pPr>
        <w:pStyle w:val="NoSpacing"/>
        <w:spacing w:line="276" w:lineRule="auto"/>
        <w:rPr>
          <w:rFonts w:ascii="Garamond" w:eastAsia="Times New Roman" w:hAnsi="Garamond" w:cs="Calibri"/>
          <w:b/>
          <w:bCs/>
          <w:sz w:val="24"/>
          <w:szCs w:val="24"/>
          <w:lang w:eastAsia="en-GB"/>
        </w:rPr>
      </w:pPr>
      <w:r w:rsidRPr="009E00D2">
        <w:rPr>
          <w:rFonts w:ascii="Garamond" w:eastAsia="Times New Roman" w:hAnsi="Garamond" w:cs="Calibri"/>
          <w:b/>
          <w:bCs/>
          <w:sz w:val="24"/>
          <w:szCs w:val="24"/>
          <w:lang w:eastAsia="en-GB"/>
        </w:rPr>
        <w:t>Fig.1. Losses and gains in the prices of the selected precious metals, sorted by losses</w:t>
      </w:r>
      <w:r w:rsidR="00512338" w:rsidRPr="009E00D2">
        <w:rPr>
          <w:rFonts w:ascii="Garamond" w:eastAsia="Times New Roman" w:hAnsi="Garamond" w:cs="Calibri"/>
          <w:b/>
          <w:bCs/>
          <w:sz w:val="24"/>
          <w:szCs w:val="24"/>
          <w:lang w:eastAsia="en-GB"/>
        </w:rPr>
        <w:t>,</w:t>
      </w:r>
      <w:r w:rsidR="0056381E" w:rsidRPr="009E00D2">
        <w:rPr>
          <w:rFonts w:ascii="Garamond" w:eastAsia="Times New Roman" w:hAnsi="Garamond" w:cs="Calibri"/>
          <w:b/>
          <w:bCs/>
          <w:sz w:val="24"/>
          <w:szCs w:val="24"/>
          <w:lang w:eastAsia="en-GB"/>
        </w:rPr>
        <w:t xml:space="preserve"> </w:t>
      </w:r>
      <w:r w:rsidR="00512338" w:rsidRPr="009E00D2">
        <w:rPr>
          <w:rFonts w:ascii="Garamond" w:eastAsia="Times New Roman" w:hAnsi="Garamond" w:cs="Calibri"/>
          <w:b/>
          <w:bCs/>
          <w:sz w:val="24"/>
          <w:szCs w:val="24"/>
          <w:lang w:eastAsia="en-GB"/>
        </w:rPr>
        <w:t>%</w:t>
      </w:r>
      <w:r w:rsidR="0056381E" w:rsidRPr="009E00D2">
        <w:rPr>
          <w:rFonts w:ascii="Garamond" w:eastAsia="Times New Roman" w:hAnsi="Garamond" w:cs="Calibri"/>
          <w:b/>
          <w:bCs/>
          <w:sz w:val="24"/>
          <w:szCs w:val="24"/>
          <w:lang w:eastAsia="en-GB"/>
        </w:rPr>
        <w:t>.</w:t>
      </w:r>
    </w:p>
    <w:p w14:paraId="584A207E" w14:textId="3D6F32A1" w:rsidR="00D36973" w:rsidRPr="009E00D2" w:rsidRDefault="002B09CA" w:rsidP="00E036A9">
      <w:pPr>
        <w:pStyle w:val="NoSpacing"/>
        <w:spacing w:line="276" w:lineRule="auto"/>
        <w:rPr>
          <w:rFonts w:ascii="Garamond" w:hAnsi="Garamond"/>
          <w:sz w:val="24"/>
          <w:szCs w:val="24"/>
          <w:lang w:val="en-GB"/>
        </w:rPr>
      </w:pPr>
      <w:r w:rsidRPr="009E00D2">
        <w:rPr>
          <w:rFonts w:ascii="Garamond" w:hAnsi="Garamond"/>
          <w:sz w:val="24"/>
          <w:szCs w:val="24"/>
          <w:lang w:val="en-GB"/>
        </w:rPr>
        <w:t xml:space="preserve">The losses represent the pandemic bottom value relatively the maximum values in 2020. </w:t>
      </w:r>
      <w:r w:rsidR="00E036A9" w:rsidRPr="009E00D2">
        <w:rPr>
          <w:rFonts w:ascii="Garamond" w:hAnsi="Garamond"/>
          <w:sz w:val="24"/>
          <w:szCs w:val="24"/>
          <w:lang w:val="en-GB"/>
        </w:rPr>
        <w:t xml:space="preserve">Gains are the increases relatively to the pandemic bottom values. </w:t>
      </w:r>
    </w:p>
    <w:p w14:paraId="6DF61065" w14:textId="13DFDE97" w:rsidR="00E036A9" w:rsidRPr="009E00D2" w:rsidRDefault="00E036A9" w:rsidP="00E036A9">
      <w:pPr>
        <w:pStyle w:val="NoSpacing"/>
        <w:spacing w:line="276" w:lineRule="auto"/>
        <w:rPr>
          <w:rFonts w:ascii="Garamond" w:hAnsi="Garamond"/>
          <w:sz w:val="24"/>
          <w:szCs w:val="24"/>
          <w:lang w:val="en-GB"/>
        </w:rPr>
      </w:pPr>
    </w:p>
    <w:p w14:paraId="159DAB3C" w14:textId="77777777" w:rsidR="00D75497" w:rsidRDefault="00D75497" w:rsidP="00E546B1">
      <w:pPr>
        <w:pStyle w:val="NoSpacing"/>
        <w:spacing w:line="480" w:lineRule="auto"/>
        <w:ind w:firstLine="708"/>
        <w:jc w:val="both"/>
        <w:rPr>
          <w:rFonts w:ascii="Garamond" w:hAnsi="Garamond"/>
          <w:sz w:val="24"/>
          <w:szCs w:val="24"/>
          <w:lang w:val="en-GB"/>
        </w:rPr>
      </w:pPr>
    </w:p>
    <w:p w14:paraId="0E6B0FEA" w14:textId="4CEF5BB2" w:rsidR="00E036A9" w:rsidRPr="009E00D2" w:rsidRDefault="002B463C" w:rsidP="00E546B1">
      <w:pPr>
        <w:pStyle w:val="NoSpacing"/>
        <w:spacing w:line="480" w:lineRule="auto"/>
        <w:ind w:firstLine="708"/>
        <w:jc w:val="both"/>
        <w:rPr>
          <w:rFonts w:ascii="Garamond" w:hAnsi="Garamond"/>
          <w:sz w:val="24"/>
          <w:szCs w:val="24"/>
          <w:lang w:val="en-GB"/>
        </w:rPr>
      </w:pPr>
      <w:r w:rsidRPr="009E00D2">
        <w:rPr>
          <w:rFonts w:ascii="Garamond" w:hAnsi="Garamond"/>
          <w:sz w:val="24"/>
          <w:szCs w:val="24"/>
          <w:lang w:val="en-GB"/>
        </w:rPr>
        <w:t xml:space="preserve">To better understand the heterogeneity in reaction and recovery observed for various precious metals, we apply quantile </w:t>
      </w:r>
      <w:r w:rsidR="000D098C" w:rsidRPr="009E00D2">
        <w:rPr>
          <w:rFonts w:ascii="Garamond" w:hAnsi="Garamond"/>
          <w:sz w:val="24"/>
          <w:szCs w:val="24"/>
          <w:lang w:val="en-GB"/>
        </w:rPr>
        <w:t xml:space="preserve">unit </w:t>
      </w:r>
      <w:r w:rsidRPr="009E00D2">
        <w:rPr>
          <w:rFonts w:ascii="Garamond" w:hAnsi="Garamond"/>
          <w:sz w:val="24"/>
          <w:szCs w:val="24"/>
          <w:lang w:val="en-GB"/>
        </w:rPr>
        <w:t xml:space="preserve">root tests to their return series. The objective is to understand, separately for each precious metal considered, </w:t>
      </w:r>
      <w:r w:rsidR="000D098C" w:rsidRPr="009E00D2">
        <w:rPr>
          <w:rFonts w:ascii="Garamond" w:hAnsi="Garamond"/>
          <w:sz w:val="24"/>
          <w:szCs w:val="24"/>
          <w:lang w:val="en-GB"/>
        </w:rPr>
        <w:t xml:space="preserve">and for various magnitudes of shock </w:t>
      </w:r>
      <w:r w:rsidR="000D098C" w:rsidRPr="009E00D2">
        <w:rPr>
          <w:rFonts w:ascii="Garamond" w:hAnsi="Garamond"/>
          <w:sz w:val="24"/>
          <w:szCs w:val="24"/>
          <w:lang w:val="en-GB"/>
        </w:rPr>
        <w:lastRenderedPageBreak/>
        <w:t xml:space="preserve">(quantiles), </w:t>
      </w:r>
      <w:r w:rsidRPr="009E00D2">
        <w:rPr>
          <w:rFonts w:ascii="Garamond" w:hAnsi="Garamond"/>
          <w:sz w:val="24"/>
          <w:szCs w:val="24"/>
          <w:lang w:val="en-GB"/>
        </w:rPr>
        <w:t xml:space="preserve">the persistence in return series and the corresponding scope it offers for mean reversion. </w:t>
      </w:r>
    </w:p>
    <w:p w14:paraId="0106568E" w14:textId="76193C55" w:rsidR="000D098C" w:rsidRDefault="000D098C" w:rsidP="00E546B1">
      <w:pPr>
        <w:pStyle w:val="NoSpacing"/>
        <w:spacing w:line="480" w:lineRule="auto"/>
        <w:ind w:firstLine="708"/>
        <w:jc w:val="both"/>
        <w:rPr>
          <w:rFonts w:ascii="Garamond" w:hAnsi="Garamond"/>
          <w:sz w:val="24"/>
          <w:szCs w:val="24"/>
          <w:lang w:val="en-GB"/>
        </w:rPr>
      </w:pPr>
      <w:r w:rsidRPr="009E00D2">
        <w:rPr>
          <w:rFonts w:ascii="Garamond" w:hAnsi="Garamond"/>
          <w:sz w:val="24"/>
          <w:szCs w:val="24"/>
          <w:lang w:val="en-GB"/>
        </w:rPr>
        <w:t xml:space="preserve">For each metal in the sample, </w:t>
      </w:r>
      <w:r w:rsidRPr="00943696">
        <w:rPr>
          <w:rFonts w:ascii="Garamond" w:hAnsi="Garamond"/>
          <w:i/>
          <w:sz w:val="24"/>
          <w:szCs w:val="24"/>
          <w:lang w:val="en-GB"/>
        </w:rPr>
        <w:t>t</w:t>
      </w:r>
      <w:r w:rsidRPr="009E00D2">
        <w:rPr>
          <w:rFonts w:ascii="Garamond" w:hAnsi="Garamond"/>
          <w:sz w:val="24"/>
          <w:szCs w:val="24"/>
          <w:lang w:val="en-GB"/>
        </w:rPr>
        <w:t xml:space="preserve">-values are calculated and compared to critical values at different quantiles and levels of significance to determine whether the null hypothesis of the presence of a unit root must be accepted or not. The advantage of this technique is its ability to identify persistence and otherwise of the same return series across different quantiles of the shock to the return series. </w:t>
      </w:r>
      <w:r w:rsidR="007159B6">
        <w:rPr>
          <w:rFonts w:ascii="Garamond" w:hAnsi="Garamond"/>
          <w:sz w:val="24"/>
          <w:szCs w:val="24"/>
          <w:lang w:val="en-GB"/>
        </w:rPr>
        <w:t>Thus, i</w:t>
      </w:r>
      <w:r w:rsidRPr="009E00D2">
        <w:rPr>
          <w:rFonts w:ascii="Garamond" w:hAnsi="Garamond"/>
          <w:sz w:val="24"/>
          <w:szCs w:val="24"/>
          <w:lang w:val="en-GB"/>
        </w:rPr>
        <w:t>t is possible in this manner to observe a return series that offers the scope for mean reversion in some quantiles and not in others. Results are presented in Table 2</w:t>
      </w:r>
      <w:r w:rsidR="00ED53CE" w:rsidRPr="009E00D2">
        <w:rPr>
          <w:rFonts w:ascii="Garamond" w:hAnsi="Garamond"/>
          <w:sz w:val="24"/>
          <w:szCs w:val="24"/>
          <w:lang w:val="en-GB"/>
        </w:rPr>
        <w:t xml:space="preserve"> (the </w:t>
      </w:r>
      <w:proofErr w:type="spellStart"/>
      <w:r w:rsidR="00ED53CE" w:rsidRPr="002745A3">
        <w:rPr>
          <w:rFonts w:ascii="Garamond" w:hAnsi="Garamond"/>
          <w:sz w:val="24"/>
          <w:szCs w:val="24"/>
          <w:lang w:val="en-GB"/>
        </w:rPr>
        <w:t>Koenker</w:t>
      </w:r>
      <w:proofErr w:type="spellEnd"/>
      <w:r w:rsidR="00ED53CE" w:rsidRPr="002745A3">
        <w:rPr>
          <w:rFonts w:ascii="Garamond" w:hAnsi="Garamond"/>
          <w:sz w:val="24"/>
          <w:szCs w:val="24"/>
          <w:lang w:val="en-GB"/>
        </w:rPr>
        <w:t xml:space="preserve"> and Xiao (2004) test results are reported for comparison</w:t>
      </w:r>
      <w:r w:rsidR="004E33B3" w:rsidRPr="004E33B3">
        <w:rPr>
          <w:rFonts w:ascii="Garamond" w:hAnsi="Garamond"/>
          <w:sz w:val="24"/>
          <w:szCs w:val="24"/>
          <w:lang w:val="en-GB"/>
        </w:rPr>
        <w:t xml:space="preserve"> </w:t>
      </w:r>
      <w:r w:rsidR="004E33B3">
        <w:rPr>
          <w:rFonts w:ascii="Garamond" w:hAnsi="Garamond"/>
          <w:sz w:val="24"/>
          <w:szCs w:val="24"/>
          <w:lang w:val="en-GB"/>
        </w:rPr>
        <w:t>i</w:t>
      </w:r>
      <w:r w:rsidR="004E33B3" w:rsidRPr="009E00D2">
        <w:rPr>
          <w:rFonts w:ascii="Garamond" w:hAnsi="Garamond"/>
          <w:sz w:val="24"/>
          <w:szCs w:val="24"/>
          <w:lang w:val="en-GB"/>
        </w:rPr>
        <w:t>n Appendix Table A5</w:t>
      </w:r>
      <w:r w:rsidR="00ED53CE" w:rsidRPr="002745A3">
        <w:rPr>
          <w:rFonts w:ascii="Garamond" w:hAnsi="Garamond"/>
          <w:sz w:val="24"/>
          <w:szCs w:val="24"/>
          <w:lang w:val="en-GB"/>
        </w:rPr>
        <w:t>)</w:t>
      </w:r>
      <w:r w:rsidRPr="009E00D2">
        <w:rPr>
          <w:rFonts w:ascii="Garamond" w:hAnsi="Garamond"/>
          <w:sz w:val="24"/>
          <w:szCs w:val="24"/>
          <w:lang w:val="en-GB"/>
        </w:rPr>
        <w:t xml:space="preserve">. </w:t>
      </w:r>
    </w:p>
    <w:p w14:paraId="41468900" w14:textId="4A029745" w:rsidR="002745A3" w:rsidRDefault="002745A3" w:rsidP="00E546B1">
      <w:pPr>
        <w:pStyle w:val="NoSpacing"/>
        <w:spacing w:line="480" w:lineRule="auto"/>
        <w:ind w:firstLine="708"/>
        <w:jc w:val="both"/>
        <w:rPr>
          <w:rFonts w:ascii="Garamond" w:hAnsi="Garamond"/>
          <w:sz w:val="24"/>
          <w:szCs w:val="24"/>
          <w:lang w:val="en-GB"/>
        </w:rPr>
      </w:pPr>
    </w:p>
    <w:p w14:paraId="55CC1F8A" w14:textId="77777777" w:rsidR="00ED53CE" w:rsidRPr="009E00D2" w:rsidRDefault="00ED53CE" w:rsidP="00ED53CE">
      <w:pPr>
        <w:pStyle w:val="NoSpacing"/>
        <w:spacing w:line="276" w:lineRule="auto"/>
        <w:jc w:val="center"/>
        <w:rPr>
          <w:rFonts w:ascii="Garamond" w:eastAsia="Times New Roman" w:hAnsi="Garamond" w:cs="Calibri"/>
          <w:b/>
          <w:bCs/>
          <w:sz w:val="24"/>
          <w:szCs w:val="24"/>
          <w:lang w:eastAsia="en-GB"/>
        </w:rPr>
      </w:pPr>
      <w:r w:rsidRPr="009E00D2">
        <w:rPr>
          <w:rFonts w:ascii="Garamond" w:hAnsi="Garamond"/>
          <w:b/>
          <w:bCs/>
          <w:sz w:val="24"/>
          <w:szCs w:val="24"/>
          <w:lang w:val="en-GB"/>
        </w:rPr>
        <w:t xml:space="preserve">Table 2 Tests for quantile unit root, </w:t>
      </w:r>
      <w:r w:rsidRPr="009E00D2">
        <w:rPr>
          <w:rFonts w:ascii="Garamond" w:eastAsia="Times New Roman" w:hAnsi="Garamond" w:cs="Calibri"/>
          <w:b/>
          <w:bCs/>
          <w:sz w:val="24"/>
          <w:szCs w:val="24"/>
          <w:lang w:eastAsia="en-GB"/>
        </w:rPr>
        <w:t>precious metals</w:t>
      </w:r>
    </w:p>
    <w:p w14:paraId="258E0C38" w14:textId="77777777" w:rsidR="00BD329C" w:rsidRDefault="00BD329C" w:rsidP="00ED53CE">
      <w:pPr>
        <w:pStyle w:val="NoSpacing"/>
        <w:spacing w:line="276" w:lineRule="auto"/>
        <w:jc w:val="both"/>
        <w:rPr>
          <w:rFonts w:ascii="Garamond" w:hAnsi="Garamond"/>
          <w:sz w:val="24"/>
          <w:szCs w:val="24"/>
          <w:lang w:val="en-GB"/>
        </w:rPr>
      </w:pPr>
      <w:bookmarkStart w:id="0" w:name="_Hlk40367242"/>
    </w:p>
    <w:p w14:paraId="12E2E74C" w14:textId="62D9104A" w:rsidR="00ED53CE" w:rsidRPr="009E00D2" w:rsidRDefault="00ED53CE" w:rsidP="00ED53CE">
      <w:pPr>
        <w:pStyle w:val="NoSpacing"/>
        <w:spacing w:line="276" w:lineRule="auto"/>
        <w:jc w:val="both"/>
        <w:rPr>
          <w:rFonts w:ascii="Garamond" w:hAnsi="Garamond"/>
          <w:sz w:val="24"/>
          <w:szCs w:val="24"/>
          <w:lang w:val="en-GB"/>
        </w:rPr>
      </w:pPr>
      <w:r w:rsidRPr="009E00D2">
        <w:rPr>
          <w:rFonts w:ascii="Garamond" w:hAnsi="Garamond"/>
          <w:sz w:val="24"/>
          <w:szCs w:val="24"/>
          <w:lang w:val="en-GB"/>
        </w:rPr>
        <w:t xml:space="preserve">Table shows the results of the quantile nonlinear unit root tests with covariates, </w:t>
      </w:r>
      <w:proofErr w:type="spellStart"/>
      <w:r w:rsidRPr="009E00D2">
        <w:rPr>
          <w:rFonts w:ascii="Garamond" w:eastAsia="Times New Roman" w:hAnsi="Garamond" w:cs="Calibri"/>
          <w:i/>
          <w:iCs/>
          <w:color w:val="000000"/>
          <w:lang w:val="en-GB" w:eastAsia="en-GB"/>
        </w:rPr>
        <w:t>YZ</w:t>
      </w:r>
      <w:r w:rsidRPr="009E00D2">
        <w:rPr>
          <w:rFonts w:ascii="Garamond" w:eastAsia="Times New Roman" w:hAnsi="Garamond" w:cs="Calibri"/>
          <w:i/>
          <w:iCs/>
          <w:color w:val="000000"/>
          <w:sz w:val="24"/>
          <w:szCs w:val="24"/>
          <w:lang w:val="en-GB" w:eastAsia="en-GB"/>
        </w:rPr>
        <w:t>t</w:t>
      </w:r>
      <w:r w:rsidRPr="009E00D2">
        <w:rPr>
          <w:rFonts w:ascii="Garamond" w:eastAsia="Times New Roman" w:hAnsi="Garamond" w:cs="Calibri"/>
          <w:i/>
          <w:iCs/>
          <w:color w:val="000000"/>
          <w:sz w:val="24"/>
          <w:szCs w:val="24"/>
          <w:vertAlign w:val="subscript"/>
          <w:lang w:val="en-GB" w:eastAsia="en-GB"/>
        </w:rPr>
        <w:t>kss</w:t>
      </w:r>
      <w:proofErr w:type="spellEnd"/>
      <w:r w:rsidRPr="009E00D2">
        <w:rPr>
          <w:rFonts w:ascii="Garamond" w:hAnsi="Garamond"/>
          <w:sz w:val="24"/>
          <w:szCs w:val="24"/>
          <w:lang w:val="en-GB"/>
        </w:rPr>
        <w:t xml:space="preserve">, estimated as in Yang and Zhao (2020). The asymptotic critical values are calculated with significance at the 1%, 5% and 10% levels. The null hypothesis of the presence of a unit root is rejected if the calculated test statistic is lower in value than calculated </w:t>
      </w:r>
      <w:r w:rsidR="007159B6">
        <w:rPr>
          <w:rFonts w:ascii="Garamond" w:hAnsi="Garamond"/>
          <w:sz w:val="24"/>
          <w:szCs w:val="24"/>
          <w:lang w:val="en-GB"/>
        </w:rPr>
        <w:t xml:space="preserve">asymptotic </w:t>
      </w:r>
      <w:r w:rsidRPr="009E00D2">
        <w:rPr>
          <w:rFonts w:ascii="Garamond" w:hAnsi="Garamond"/>
          <w:sz w:val="24"/>
          <w:szCs w:val="24"/>
          <w:lang w:val="en-GB"/>
        </w:rPr>
        <w:t>critical values at the 1</w:t>
      </w:r>
      <w:proofErr w:type="gramStart"/>
      <w:r w:rsidRPr="009E00D2">
        <w:rPr>
          <w:rFonts w:ascii="Garamond" w:hAnsi="Garamond"/>
          <w:sz w:val="24"/>
          <w:szCs w:val="24"/>
          <w:lang w:val="en-GB"/>
        </w:rPr>
        <w:t>%</w:t>
      </w:r>
      <w:r w:rsidR="004E33B3">
        <w:rPr>
          <w:rFonts w:ascii="Garamond" w:hAnsi="Garamond"/>
          <w:sz w:val="24"/>
          <w:szCs w:val="24"/>
          <w:lang w:val="en-GB"/>
        </w:rPr>
        <w:t>(</w:t>
      </w:r>
      <w:proofErr w:type="gramEnd"/>
      <w:r w:rsidR="004E33B3">
        <w:rPr>
          <w:rFonts w:ascii="Garamond" w:hAnsi="Garamond"/>
          <w:sz w:val="24"/>
          <w:szCs w:val="24"/>
          <w:lang w:val="en-GB"/>
        </w:rPr>
        <w:t>***)</w:t>
      </w:r>
      <w:r w:rsidRPr="009E00D2">
        <w:rPr>
          <w:rFonts w:ascii="Garamond" w:hAnsi="Garamond"/>
          <w:sz w:val="24"/>
          <w:szCs w:val="24"/>
          <w:lang w:val="en-GB"/>
        </w:rPr>
        <w:t>, 5%</w:t>
      </w:r>
      <w:r w:rsidR="004E33B3">
        <w:rPr>
          <w:rFonts w:ascii="Garamond" w:hAnsi="Garamond"/>
          <w:sz w:val="24"/>
          <w:szCs w:val="24"/>
          <w:lang w:val="en-GB"/>
        </w:rPr>
        <w:t xml:space="preserve"> (**) </w:t>
      </w:r>
      <w:r w:rsidRPr="009E00D2">
        <w:rPr>
          <w:rFonts w:ascii="Garamond" w:hAnsi="Garamond"/>
          <w:sz w:val="24"/>
          <w:szCs w:val="24"/>
          <w:lang w:val="en-GB"/>
        </w:rPr>
        <w:t xml:space="preserve">and 10% </w:t>
      </w:r>
      <w:r w:rsidR="004E33B3">
        <w:rPr>
          <w:rFonts w:ascii="Garamond" w:hAnsi="Garamond"/>
          <w:sz w:val="24"/>
          <w:szCs w:val="24"/>
          <w:lang w:val="en-GB"/>
        </w:rPr>
        <w:t xml:space="preserve">(*) </w:t>
      </w:r>
      <w:r w:rsidRPr="009E00D2">
        <w:rPr>
          <w:rFonts w:ascii="Garamond" w:hAnsi="Garamond"/>
          <w:sz w:val="24"/>
          <w:szCs w:val="24"/>
          <w:lang w:val="en-GB"/>
        </w:rPr>
        <w:t>levels of significance.</w:t>
      </w:r>
      <w:r w:rsidR="004E33B3">
        <w:rPr>
          <w:rFonts w:ascii="Garamond" w:hAnsi="Garamond"/>
          <w:sz w:val="24"/>
          <w:szCs w:val="24"/>
          <w:lang w:val="en-GB"/>
        </w:rPr>
        <w:t xml:space="preserve"> Statistically significant values of </w:t>
      </w:r>
      <w:proofErr w:type="spellStart"/>
      <w:r w:rsidR="004E33B3" w:rsidRPr="004E33B3">
        <w:rPr>
          <w:rFonts w:ascii="Garamond" w:eastAsia="Times New Roman" w:hAnsi="Garamond" w:cs="Calibri"/>
          <w:i/>
          <w:iCs/>
          <w:color w:val="000000"/>
          <w:lang w:val="en-GB" w:eastAsia="en-GB"/>
        </w:rPr>
        <w:t>YZt</w:t>
      </w:r>
      <w:r w:rsidR="004E33B3" w:rsidRPr="004E33B3">
        <w:rPr>
          <w:rFonts w:ascii="Garamond" w:eastAsia="Times New Roman" w:hAnsi="Garamond" w:cs="Calibri"/>
          <w:i/>
          <w:iCs/>
          <w:color w:val="000000"/>
          <w:vertAlign w:val="subscript"/>
          <w:lang w:val="en-GB" w:eastAsia="en-GB"/>
        </w:rPr>
        <w:t>ks</w:t>
      </w:r>
      <w:proofErr w:type="spellEnd"/>
      <w:r w:rsidR="004E33B3" w:rsidRPr="004E33B3">
        <w:rPr>
          <w:rFonts w:ascii="Garamond" w:hAnsi="Garamond"/>
          <w:sz w:val="24"/>
          <w:szCs w:val="24"/>
          <w:lang w:val="en-GB"/>
        </w:rPr>
        <w:t xml:space="preserve"> </w:t>
      </w:r>
      <w:r w:rsidR="004E33B3">
        <w:rPr>
          <w:rFonts w:ascii="Garamond" w:hAnsi="Garamond"/>
          <w:sz w:val="24"/>
          <w:szCs w:val="24"/>
          <w:lang w:val="en-GB"/>
        </w:rPr>
        <w:t xml:space="preserve">are highlighted in bold, while the respective </w:t>
      </w:r>
      <w:r w:rsidR="004E33B3" w:rsidRPr="004E33B3">
        <w:rPr>
          <w:rFonts w:ascii="Garamond" w:hAnsi="Garamond"/>
          <w:sz w:val="24"/>
          <w:szCs w:val="24"/>
          <w:lang w:val="en-GB"/>
        </w:rPr>
        <w:t xml:space="preserve">asymptotic </w:t>
      </w:r>
      <w:r w:rsidR="004E33B3">
        <w:rPr>
          <w:rFonts w:ascii="Garamond" w:hAnsi="Garamond"/>
          <w:sz w:val="24"/>
          <w:szCs w:val="24"/>
          <w:lang w:val="en-GB"/>
        </w:rPr>
        <w:t>critical values that indicate a significance level are</w:t>
      </w:r>
      <w:r w:rsidR="007159B6">
        <w:rPr>
          <w:rFonts w:ascii="Garamond" w:hAnsi="Garamond"/>
          <w:sz w:val="24"/>
          <w:szCs w:val="24"/>
          <w:lang w:val="en-GB"/>
        </w:rPr>
        <w:t xml:space="preserve"> </w:t>
      </w:r>
      <w:r w:rsidR="004E33B3">
        <w:rPr>
          <w:rFonts w:ascii="Garamond" w:hAnsi="Garamond"/>
          <w:sz w:val="24"/>
          <w:szCs w:val="24"/>
          <w:lang w:val="en-GB"/>
        </w:rPr>
        <w:t xml:space="preserve">underlined. </w:t>
      </w:r>
    </w:p>
    <w:p w14:paraId="3E786491" w14:textId="77777777" w:rsidR="00ED53CE" w:rsidRPr="009E00D2" w:rsidRDefault="00ED53CE" w:rsidP="00ED53CE">
      <w:pPr>
        <w:pStyle w:val="NoSpacing"/>
        <w:spacing w:line="276" w:lineRule="auto"/>
        <w:jc w:val="both"/>
        <w:rPr>
          <w:rFonts w:ascii="Garamond" w:hAnsi="Garamond"/>
          <w:sz w:val="24"/>
          <w:szCs w:val="24"/>
          <w:lang w:val="en-GB"/>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68"/>
        <w:gridCol w:w="1344"/>
        <w:gridCol w:w="849"/>
        <w:gridCol w:w="850"/>
        <w:gridCol w:w="901"/>
        <w:gridCol w:w="1345"/>
        <w:gridCol w:w="850"/>
        <w:gridCol w:w="904"/>
        <w:gridCol w:w="849"/>
      </w:tblGrid>
      <w:tr w:rsidR="002E554D" w:rsidRPr="002E554D" w14:paraId="64E3E4F2" w14:textId="77777777" w:rsidTr="007C6DD0">
        <w:trPr>
          <w:trHeight w:val="300"/>
          <w:jc w:val="center"/>
        </w:trPr>
        <w:tc>
          <w:tcPr>
            <w:tcW w:w="645" w:type="pct"/>
            <w:vMerge w:val="restart"/>
            <w:tcBorders>
              <w:left w:val="single" w:sz="4" w:space="0" w:color="auto"/>
              <w:right w:val="single" w:sz="4" w:space="0" w:color="auto"/>
            </w:tcBorders>
            <w:shd w:val="clear" w:color="auto" w:fill="auto"/>
            <w:noWrap/>
            <w:vAlign w:val="center"/>
          </w:tcPr>
          <w:bookmarkEnd w:id="0"/>
          <w:p w14:paraId="25D0133F"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Quantiles</w:t>
            </w:r>
          </w:p>
        </w:tc>
        <w:tc>
          <w:tcPr>
            <w:tcW w:w="742" w:type="pct"/>
            <w:vMerge w:val="restart"/>
            <w:tcBorders>
              <w:left w:val="single" w:sz="4" w:space="0" w:color="auto"/>
              <w:right w:val="single" w:sz="4" w:space="0" w:color="auto"/>
            </w:tcBorders>
            <w:shd w:val="clear" w:color="auto" w:fill="auto"/>
            <w:noWrap/>
            <w:vAlign w:val="center"/>
          </w:tcPr>
          <w:p w14:paraId="3A7F1A0D" w14:textId="77777777" w:rsidR="00ED53CE" w:rsidRPr="002E554D" w:rsidRDefault="00ED53CE" w:rsidP="009F7755">
            <w:pPr>
              <w:spacing w:after="0" w:line="240" w:lineRule="auto"/>
              <w:jc w:val="center"/>
              <w:rPr>
                <w:rFonts w:ascii="Garamond" w:eastAsia="Times New Roman" w:hAnsi="Garamond" w:cs="Calibri"/>
                <w:b/>
                <w:bCs/>
                <w:i/>
                <w:iCs/>
                <w:color w:val="FF0000"/>
                <w:lang w:val="en-GB" w:eastAsia="en-GB"/>
              </w:rPr>
            </w:pPr>
            <w:proofErr w:type="spellStart"/>
            <w:r w:rsidRPr="002E554D">
              <w:rPr>
                <w:rFonts w:ascii="Garamond" w:eastAsia="Times New Roman" w:hAnsi="Garamond" w:cs="Calibri"/>
                <w:b/>
                <w:bCs/>
                <w:i/>
                <w:iCs/>
                <w:color w:val="FF0000"/>
                <w:lang w:val="en-GB" w:eastAsia="en-GB"/>
              </w:rPr>
              <w:t>YZt</w:t>
            </w:r>
            <w:r w:rsidRPr="002E554D">
              <w:rPr>
                <w:rFonts w:ascii="Garamond" w:eastAsia="Times New Roman" w:hAnsi="Garamond" w:cs="Calibri"/>
                <w:b/>
                <w:bCs/>
                <w:i/>
                <w:iCs/>
                <w:color w:val="FF0000"/>
                <w:vertAlign w:val="subscript"/>
                <w:lang w:val="en-GB" w:eastAsia="en-GB"/>
              </w:rPr>
              <w:t>ks</w:t>
            </w:r>
            <w:proofErr w:type="spellEnd"/>
          </w:p>
        </w:tc>
        <w:tc>
          <w:tcPr>
            <w:tcW w:w="1435" w:type="pct"/>
            <w:gridSpan w:val="3"/>
            <w:tcBorders>
              <w:left w:val="single" w:sz="4" w:space="0" w:color="auto"/>
              <w:right w:val="single" w:sz="4" w:space="0" w:color="auto"/>
            </w:tcBorders>
            <w:shd w:val="clear" w:color="auto" w:fill="auto"/>
            <w:noWrap/>
            <w:vAlign w:val="center"/>
          </w:tcPr>
          <w:p w14:paraId="3917271C"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asymptotic critical values</w:t>
            </w:r>
          </w:p>
        </w:tc>
        <w:tc>
          <w:tcPr>
            <w:tcW w:w="742" w:type="pct"/>
            <w:vMerge w:val="restart"/>
            <w:tcBorders>
              <w:left w:val="single" w:sz="4" w:space="0" w:color="auto"/>
              <w:right w:val="single" w:sz="4" w:space="0" w:color="auto"/>
            </w:tcBorders>
            <w:shd w:val="clear" w:color="auto" w:fill="auto"/>
            <w:noWrap/>
            <w:vAlign w:val="center"/>
          </w:tcPr>
          <w:p w14:paraId="48443477" w14:textId="77777777" w:rsidR="00ED53CE" w:rsidRPr="002E554D" w:rsidRDefault="00ED53CE" w:rsidP="009F7755">
            <w:pPr>
              <w:spacing w:after="0" w:line="240" w:lineRule="auto"/>
              <w:jc w:val="center"/>
              <w:rPr>
                <w:rFonts w:ascii="Garamond" w:eastAsia="Times New Roman" w:hAnsi="Garamond" w:cs="Calibri"/>
                <w:b/>
                <w:bCs/>
                <w:i/>
                <w:iCs/>
                <w:color w:val="FF0000"/>
                <w:lang w:val="en-GB" w:eastAsia="en-GB"/>
              </w:rPr>
            </w:pPr>
            <w:proofErr w:type="spellStart"/>
            <w:r w:rsidRPr="002E554D">
              <w:rPr>
                <w:rFonts w:ascii="Garamond" w:eastAsia="Times New Roman" w:hAnsi="Garamond" w:cs="Calibri"/>
                <w:b/>
                <w:bCs/>
                <w:i/>
                <w:iCs/>
                <w:color w:val="FF0000"/>
                <w:lang w:val="en-GB" w:eastAsia="en-GB"/>
              </w:rPr>
              <w:t>YZt</w:t>
            </w:r>
            <w:r w:rsidRPr="002E554D">
              <w:rPr>
                <w:rFonts w:ascii="Garamond" w:eastAsia="Times New Roman" w:hAnsi="Garamond" w:cs="Calibri"/>
                <w:b/>
                <w:bCs/>
                <w:i/>
                <w:iCs/>
                <w:color w:val="FF0000"/>
                <w:vertAlign w:val="subscript"/>
                <w:lang w:val="en-GB" w:eastAsia="en-GB"/>
              </w:rPr>
              <w:t>ks</w:t>
            </w:r>
            <w:proofErr w:type="spellEnd"/>
          </w:p>
        </w:tc>
        <w:tc>
          <w:tcPr>
            <w:tcW w:w="1437" w:type="pct"/>
            <w:gridSpan w:val="3"/>
            <w:tcBorders>
              <w:left w:val="single" w:sz="4" w:space="0" w:color="auto"/>
              <w:right w:val="single" w:sz="4" w:space="0" w:color="auto"/>
            </w:tcBorders>
            <w:shd w:val="clear" w:color="auto" w:fill="auto"/>
            <w:noWrap/>
            <w:vAlign w:val="center"/>
          </w:tcPr>
          <w:p w14:paraId="7B9D8428"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asymptotic critical values</w:t>
            </w:r>
          </w:p>
        </w:tc>
      </w:tr>
      <w:tr w:rsidR="002E554D" w:rsidRPr="002E554D" w14:paraId="06676B0E" w14:textId="77777777" w:rsidTr="007C6DD0">
        <w:trPr>
          <w:trHeight w:val="300"/>
          <w:jc w:val="center"/>
        </w:trPr>
        <w:tc>
          <w:tcPr>
            <w:tcW w:w="645" w:type="pct"/>
            <w:vMerge/>
            <w:tcBorders>
              <w:left w:val="single" w:sz="4" w:space="0" w:color="auto"/>
              <w:right w:val="single" w:sz="4" w:space="0" w:color="auto"/>
            </w:tcBorders>
            <w:shd w:val="clear" w:color="auto" w:fill="auto"/>
            <w:noWrap/>
            <w:vAlign w:val="bottom"/>
            <w:hideMark/>
          </w:tcPr>
          <w:p w14:paraId="15D2FFD8" w14:textId="77777777" w:rsidR="00ED53CE" w:rsidRPr="002E554D" w:rsidRDefault="00ED53CE" w:rsidP="009F7755">
            <w:pPr>
              <w:spacing w:after="0" w:line="240" w:lineRule="auto"/>
              <w:rPr>
                <w:rFonts w:ascii="Garamond" w:eastAsia="Times New Roman" w:hAnsi="Garamond" w:cs="Calibri"/>
                <w:color w:val="FF0000"/>
                <w:lang w:val="en-GB" w:eastAsia="en-GB"/>
              </w:rPr>
            </w:pPr>
          </w:p>
        </w:tc>
        <w:tc>
          <w:tcPr>
            <w:tcW w:w="742" w:type="pct"/>
            <w:vMerge/>
            <w:tcBorders>
              <w:left w:val="single" w:sz="4" w:space="0" w:color="auto"/>
              <w:right w:val="single" w:sz="4" w:space="0" w:color="auto"/>
            </w:tcBorders>
            <w:shd w:val="clear" w:color="auto" w:fill="auto"/>
            <w:noWrap/>
            <w:vAlign w:val="center"/>
            <w:hideMark/>
          </w:tcPr>
          <w:p w14:paraId="5AADB278" w14:textId="77777777" w:rsidR="00ED53CE" w:rsidRPr="002E554D" w:rsidRDefault="00ED53CE" w:rsidP="009F7755">
            <w:pPr>
              <w:spacing w:after="0" w:line="240" w:lineRule="auto"/>
              <w:jc w:val="center"/>
              <w:rPr>
                <w:rFonts w:ascii="Garamond" w:eastAsia="Times New Roman" w:hAnsi="Garamond" w:cs="Calibri"/>
                <w:b/>
                <w:bCs/>
                <w:i/>
                <w:iCs/>
                <w:color w:val="FF0000"/>
                <w:lang w:val="en-GB" w:eastAsia="en-GB"/>
              </w:rPr>
            </w:pPr>
          </w:p>
        </w:tc>
        <w:tc>
          <w:tcPr>
            <w:tcW w:w="469" w:type="pct"/>
            <w:tcBorders>
              <w:left w:val="single" w:sz="4" w:space="0" w:color="auto"/>
            </w:tcBorders>
            <w:shd w:val="clear" w:color="auto" w:fill="auto"/>
            <w:noWrap/>
            <w:vAlign w:val="center"/>
            <w:hideMark/>
          </w:tcPr>
          <w:p w14:paraId="54A49DDA"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w:t>
            </w:r>
          </w:p>
        </w:tc>
        <w:tc>
          <w:tcPr>
            <w:tcW w:w="469" w:type="pct"/>
            <w:shd w:val="clear" w:color="auto" w:fill="auto"/>
            <w:noWrap/>
            <w:vAlign w:val="center"/>
            <w:hideMark/>
          </w:tcPr>
          <w:p w14:paraId="4A48A27D"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5%</w:t>
            </w:r>
          </w:p>
        </w:tc>
        <w:tc>
          <w:tcPr>
            <w:tcW w:w="497" w:type="pct"/>
            <w:tcBorders>
              <w:right w:val="single" w:sz="4" w:space="0" w:color="auto"/>
            </w:tcBorders>
            <w:shd w:val="clear" w:color="auto" w:fill="auto"/>
            <w:noWrap/>
            <w:vAlign w:val="center"/>
            <w:hideMark/>
          </w:tcPr>
          <w:p w14:paraId="5F8E7DA2"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10%</w:t>
            </w:r>
          </w:p>
        </w:tc>
        <w:tc>
          <w:tcPr>
            <w:tcW w:w="742" w:type="pct"/>
            <w:vMerge/>
            <w:tcBorders>
              <w:left w:val="single" w:sz="4" w:space="0" w:color="auto"/>
              <w:right w:val="single" w:sz="4" w:space="0" w:color="auto"/>
            </w:tcBorders>
            <w:shd w:val="clear" w:color="auto" w:fill="auto"/>
            <w:noWrap/>
            <w:vAlign w:val="center"/>
            <w:hideMark/>
          </w:tcPr>
          <w:p w14:paraId="7876A317"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p>
        </w:tc>
        <w:tc>
          <w:tcPr>
            <w:tcW w:w="469" w:type="pct"/>
            <w:tcBorders>
              <w:left w:val="single" w:sz="4" w:space="0" w:color="auto"/>
            </w:tcBorders>
            <w:shd w:val="clear" w:color="auto" w:fill="auto"/>
            <w:noWrap/>
            <w:vAlign w:val="center"/>
            <w:hideMark/>
          </w:tcPr>
          <w:p w14:paraId="7A5B9121"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w:t>
            </w:r>
          </w:p>
        </w:tc>
        <w:tc>
          <w:tcPr>
            <w:tcW w:w="499" w:type="pct"/>
            <w:shd w:val="clear" w:color="auto" w:fill="auto"/>
            <w:noWrap/>
            <w:vAlign w:val="center"/>
            <w:hideMark/>
          </w:tcPr>
          <w:p w14:paraId="25DB8EDC"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5%</w:t>
            </w:r>
          </w:p>
        </w:tc>
        <w:tc>
          <w:tcPr>
            <w:tcW w:w="469" w:type="pct"/>
            <w:tcBorders>
              <w:right w:val="single" w:sz="4" w:space="0" w:color="auto"/>
            </w:tcBorders>
            <w:shd w:val="clear" w:color="auto" w:fill="auto"/>
            <w:noWrap/>
            <w:vAlign w:val="center"/>
            <w:hideMark/>
          </w:tcPr>
          <w:p w14:paraId="730448BD"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10%</w:t>
            </w:r>
          </w:p>
        </w:tc>
      </w:tr>
      <w:tr w:rsidR="002E554D" w:rsidRPr="002E554D" w14:paraId="08CD0545" w14:textId="77777777" w:rsidTr="00D0603D">
        <w:trPr>
          <w:trHeight w:val="300"/>
          <w:jc w:val="center"/>
        </w:trPr>
        <w:tc>
          <w:tcPr>
            <w:tcW w:w="645" w:type="pct"/>
            <w:vMerge/>
            <w:tcBorders>
              <w:left w:val="single" w:sz="4" w:space="0" w:color="auto"/>
              <w:right w:val="single" w:sz="4" w:space="0" w:color="auto"/>
            </w:tcBorders>
            <w:shd w:val="clear" w:color="auto" w:fill="auto"/>
            <w:noWrap/>
            <w:vAlign w:val="bottom"/>
          </w:tcPr>
          <w:p w14:paraId="4882BD3F" w14:textId="77777777" w:rsidR="00ED53CE" w:rsidRPr="002E554D" w:rsidRDefault="00ED53CE" w:rsidP="009F7755">
            <w:pPr>
              <w:spacing w:after="0" w:line="240" w:lineRule="auto"/>
              <w:rPr>
                <w:rFonts w:ascii="Garamond" w:eastAsia="Times New Roman" w:hAnsi="Garamond" w:cs="Calibri"/>
                <w:color w:val="FF0000"/>
                <w:lang w:val="en-GB" w:eastAsia="en-GB"/>
              </w:rPr>
            </w:pPr>
          </w:p>
        </w:tc>
        <w:tc>
          <w:tcPr>
            <w:tcW w:w="2177" w:type="pct"/>
            <w:gridSpan w:val="4"/>
            <w:tcBorders>
              <w:left w:val="single" w:sz="4" w:space="0" w:color="auto"/>
              <w:right w:val="single" w:sz="4" w:space="0" w:color="auto"/>
            </w:tcBorders>
            <w:shd w:val="clear" w:color="auto" w:fill="auto"/>
            <w:noWrap/>
            <w:vAlign w:val="center"/>
          </w:tcPr>
          <w:p w14:paraId="5AA2E676"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Gold</w:t>
            </w:r>
          </w:p>
        </w:tc>
        <w:tc>
          <w:tcPr>
            <w:tcW w:w="2179" w:type="pct"/>
            <w:gridSpan w:val="4"/>
            <w:tcBorders>
              <w:left w:val="single" w:sz="4" w:space="0" w:color="auto"/>
              <w:right w:val="single" w:sz="4" w:space="0" w:color="auto"/>
            </w:tcBorders>
            <w:shd w:val="clear" w:color="auto" w:fill="auto"/>
            <w:noWrap/>
            <w:vAlign w:val="center"/>
          </w:tcPr>
          <w:p w14:paraId="36702F22"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Platinum</w:t>
            </w:r>
          </w:p>
        </w:tc>
      </w:tr>
      <w:tr w:rsidR="002E554D" w:rsidRPr="002E554D" w14:paraId="57F347F0" w14:textId="77777777" w:rsidTr="00300059">
        <w:trPr>
          <w:trHeight w:val="300"/>
          <w:jc w:val="center"/>
        </w:trPr>
        <w:tc>
          <w:tcPr>
            <w:tcW w:w="645" w:type="pct"/>
            <w:tcBorders>
              <w:left w:val="single" w:sz="4" w:space="0" w:color="auto"/>
              <w:right w:val="single" w:sz="4" w:space="0" w:color="auto"/>
            </w:tcBorders>
            <w:shd w:val="clear" w:color="auto" w:fill="auto"/>
            <w:noWrap/>
            <w:vAlign w:val="bottom"/>
            <w:hideMark/>
          </w:tcPr>
          <w:p w14:paraId="3C4FDA58" w14:textId="77777777"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42" w:type="pct"/>
            <w:tcBorders>
              <w:left w:val="single" w:sz="4" w:space="0" w:color="auto"/>
              <w:right w:val="single" w:sz="4" w:space="0" w:color="auto"/>
            </w:tcBorders>
            <w:shd w:val="clear" w:color="auto" w:fill="auto"/>
            <w:noWrap/>
            <w:hideMark/>
          </w:tcPr>
          <w:p w14:paraId="5E78373C" w14:textId="5C107A49" w:rsidR="00D0603D" w:rsidRPr="002E554D" w:rsidRDefault="00D0603D" w:rsidP="00D0603D">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-4.778***</w:t>
            </w:r>
          </w:p>
        </w:tc>
        <w:tc>
          <w:tcPr>
            <w:tcW w:w="469" w:type="pct"/>
            <w:tcBorders>
              <w:left w:val="single" w:sz="4" w:space="0" w:color="auto"/>
            </w:tcBorders>
            <w:shd w:val="clear" w:color="auto" w:fill="auto"/>
            <w:noWrap/>
            <w:hideMark/>
          </w:tcPr>
          <w:p w14:paraId="44EBEDC3" w14:textId="16335744"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-2.736</w:t>
            </w:r>
          </w:p>
        </w:tc>
        <w:tc>
          <w:tcPr>
            <w:tcW w:w="469" w:type="pct"/>
            <w:shd w:val="clear" w:color="auto" w:fill="auto"/>
            <w:noWrap/>
            <w:hideMark/>
          </w:tcPr>
          <w:p w14:paraId="2A0D1A13" w14:textId="1AE2EA0D"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-2.065</w:t>
            </w:r>
          </w:p>
        </w:tc>
        <w:tc>
          <w:tcPr>
            <w:tcW w:w="497" w:type="pct"/>
            <w:tcBorders>
              <w:right w:val="single" w:sz="4" w:space="0" w:color="auto"/>
            </w:tcBorders>
            <w:shd w:val="clear" w:color="auto" w:fill="auto"/>
            <w:noWrap/>
            <w:hideMark/>
          </w:tcPr>
          <w:p w14:paraId="53AE0246" w14:textId="58D351B6"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-1.705</w:t>
            </w:r>
          </w:p>
        </w:tc>
        <w:tc>
          <w:tcPr>
            <w:tcW w:w="742" w:type="pct"/>
            <w:tcBorders>
              <w:left w:val="single" w:sz="4" w:space="0" w:color="auto"/>
              <w:right w:val="single" w:sz="4" w:space="0" w:color="auto"/>
            </w:tcBorders>
            <w:shd w:val="clear" w:color="auto" w:fill="auto"/>
            <w:noWrap/>
            <w:hideMark/>
          </w:tcPr>
          <w:p w14:paraId="559A1A2F" w14:textId="4A18EB52" w:rsidR="00D0603D" w:rsidRPr="002E554D" w:rsidRDefault="00D0603D" w:rsidP="00D0603D">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-1.422</w:t>
            </w:r>
          </w:p>
        </w:tc>
        <w:tc>
          <w:tcPr>
            <w:tcW w:w="469" w:type="pct"/>
            <w:tcBorders>
              <w:left w:val="single" w:sz="4" w:space="0" w:color="auto"/>
            </w:tcBorders>
            <w:shd w:val="clear" w:color="auto" w:fill="auto"/>
            <w:noWrap/>
            <w:hideMark/>
          </w:tcPr>
          <w:p w14:paraId="13EB665A" w14:textId="172924EC"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-2.870</w:t>
            </w:r>
          </w:p>
        </w:tc>
        <w:tc>
          <w:tcPr>
            <w:tcW w:w="499" w:type="pct"/>
            <w:shd w:val="clear" w:color="auto" w:fill="auto"/>
            <w:noWrap/>
            <w:hideMark/>
          </w:tcPr>
          <w:p w14:paraId="48C2460A" w14:textId="08CA1C1A"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-2.204</w:t>
            </w:r>
          </w:p>
        </w:tc>
        <w:tc>
          <w:tcPr>
            <w:tcW w:w="469" w:type="pct"/>
            <w:tcBorders>
              <w:right w:val="single" w:sz="4" w:space="0" w:color="auto"/>
            </w:tcBorders>
            <w:shd w:val="clear" w:color="auto" w:fill="auto"/>
            <w:noWrap/>
            <w:hideMark/>
          </w:tcPr>
          <w:p w14:paraId="6005C213" w14:textId="6AF7C2D0"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-1.847</w:t>
            </w:r>
          </w:p>
        </w:tc>
      </w:tr>
      <w:tr w:rsidR="002E554D" w:rsidRPr="002E554D" w14:paraId="52E5912D" w14:textId="77777777" w:rsidTr="00300059">
        <w:trPr>
          <w:trHeight w:val="300"/>
          <w:jc w:val="center"/>
        </w:trPr>
        <w:tc>
          <w:tcPr>
            <w:tcW w:w="645" w:type="pct"/>
            <w:tcBorders>
              <w:left w:val="single" w:sz="4" w:space="0" w:color="auto"/>
              <w:right w:val="single" w:sz="4" w:space="0" w:color="auto"/>
            </w:tcBorders>
            <w:shd w:val="clear" w:color="auto" w:fill="auto"/>
            <w:noWrap/>
            <w:vAlign w:val="bottom"/>
            <w:hideMark/>
          </w:tcPr>
          <w:p w14:paraId="2B1BB7C0" w14:textId="77777777"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42" w:type="pct"/>
            <w:tcBorders>
              <w:left w:val="single" w:sz="4" w:space="0" w:color="auto"/>
              <w:right w:val="single" w:sz="4" w:space="0" w:color="auto"/>
            </w:tcBorders>
            <w:shd w:val="clear" w:color="auto" w:fill="auto"/>
            <w:noWrap/>
            <w:hideMark/>
          </w:tcPr>
          <w:p w14:paraId="61651A5D" w14:textId="3C016F3B" w:rsidR="00D0603D" w:rsidRPr="002E554D" w:rsidRDefault="00D0603D" w:rsidP="00D0603D">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-3.106***</w:t>
            </w:r>
          </w:p>
        </w:tc>
        <w:tc>
          <w:tcPr>
            <w:tcW w:w="469" w:type="pct"/>
            <w:tcBorders>
              <w:left w:val="single" w:sz="4" w:space="0" w:color="auto"/>
            </w:tcBorders>
            <w:shd w:val="clear" w:color="auto" w:fill="auto"/>
            <w:noWrap/>
            <w:hideMark/>
          </w:tcPr>
          <w:p w14:paraId="7EB144E9" w14:textId="6F560808"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-3.020</w:t>
            </w:r>
          </w:p>
        </w:tc>
        <w:tc>
          <w:tcPr>
            <w:tcW w:w="469" w:type="pct"/>
            <w:shd w:val="clear" w:color="auto" w:fill="auto"/>
            <w:noWrap/>
            <w:hideMark/>
          </w:tcPr>
          <w:p w14:paraId="71ADAAC2" w14:textId="71231436"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-2.367</w:t>
            </w:r>
          </w:p>
        </w:tc>
        <w:tc>
          <w:tcPr>
            <w:tcW w:w="497" w:type="pct"/>
            <w:tcBorders>
              <w:right w:val="single" w:sz="4" w:space="0" w:color="auto"/>
            </w:tcBorders>
            <w:shd w:val="clear" w:color="auto" w:fill="auto"/>
            <w:noWrap/>
            <w:hideMark/>
          </w:tcPr>
          <w:p w14:paraId="2E7CC818" w14:textId="3535EB03"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-2.020</w:t>
            </w:r>
          </w:p>
        </w:tc>
        <w:tc>
          <w:tcPr>
            <w:tcW w:w="742" w:type="pct"/>
            <w:tcBorders>
              <w:left w:val="single" w:sz="4" w:space="0" w:color="auto"/>
              <w:right w:val="single" w:sz="4" w:space="0" w:color="auto"/>
            </w:tcBorders>
            <w:shd w:val="clear" w:color="auto" w:fill="auto"/>
            <w:noWrap/>
            <w:hideMark/>
          </w:tcPr>
          <w:p w14:paraId="0414FEB0" w14:textId="0B12B7F9" w:rsidR="00D0603D" w:rsidRPr="002E554D" w:rsidRDefault="00D0603D" w:rsidP="00D0603D">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-3.753***</w:t>
            </w:r>
          </w:p>
        </w:tc>
        <w:tc>
          <w:tcPr>
            <w:tcW w:w="469" w:type="pct"/>
            <w:tcBorders>
              <w:left w:val="single" w:sz="4" w:space="0" w:color="auto"/>
            </w:tcBorders>
            <w:shd w:val="clear" w:color="auto" w:fill="auto"/>
            <w:noWrap/>
            <w:hideMark/>
          </w:tcPr>
          <w:p w14:paraId="347B61BB" w14:textId="49DBD9CD" w:rsidR="00D0603D" w:rsidRPr="002E554D" w:rsidRDefault="00D0603D" w:rsidP="00D0603D">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-3.049</w:t>
            </w:r>
          </w:p>
        </w:tc>
        <w:tc>
          <w:tcPr>
            <w:tcW w:w="499" w:type="pct"/>
            <w:shd w:val="clear" w:color="auto" w:fill="auto"/>
            <w:noWrap/>
            <w:hideMark/>
          </w:tcPr>
          <w:p w14:paraId="7C611AD2" w14:textId="284838C2"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-2.394</w:t>
            </w:r>
          </w:p>
        </w:tc>
        <w:tc>
          <w:tcPr>
            <w:tcW w:w="469" w:type="pct"/>
            <w:tcBorders>
              <w:right w:val="single" w:sz="4" w:space="0" w:color="auto"/>
            </w:tcBorders>
            <w:shd w:val="clear" w:color="auto" w:fill="auto"/>
            <w:noWrap/>
            <w:hideMark/>
          </w:tcPr>
          <w:p w14:paraId="344EECF7" w14:textId="6A14A3DE"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-2.049</w:t>
            </w:r>
          </w:p>
        </w:tc>
      </w:tr>
      <w:tr w:rsidR="002E554D" w:rsidRPr="002E554D" w14:paraId="445BEBF9" w14:textId="77777777" w:rsidTr="00300059">
        <w:trPr>
          <w:trHeight w:val="300"/>
          <w:jc w:val="center"/>
        </w:trPr>
        <w:tc>
          <w:tcPr>
            <w:tcW w:w="645" w:type="pct"/>
            <w:tcBorders>
              <w:left w:val="single" w:sz="4" w:space="0" w:color="auto"/>
              <w:right w:val="single" w:sz="4" w:space="0" w:color="auto"/>
            </w:tcBorders>
            <w:shd w:val="clear" w:color="auto" w:fill="auto"/>
            <w:noWrap/>
            <w:vAlign w:val="bottom"/>
            <w:hideMark/>
          </w:tcPr>
          <w:p w14:paraId="4BFF5632" w14:textId="77777777"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42" w:type="pct"/>
            <w:tcBorders>
              <w:left w:val="single" w:sz="4" w:space="0" w:color="auto"/>
              <w:right w:val="single" w:sz="4" w:space="0" w:color="auto"/>
            </w:tcBorders>
            <w:shd w:val="clear" w:color="auto" w:fill="auto"/>
            <w:noWrap/>
            <w:hideMark/>
          </w:tcPr>
          <w:p w14:paraId="1D9A96C1" w14:textId="509AD83B" w:rsidR="00D0603D" w:rsidRPr="002E554D" w:rsidRDefault="00D0603D" w:rsidP="00D0603D">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-1.621</w:t>
            </w:r>
          </w:p>
        </w:tc>
        <w:tc>
          <w:tcPr>
            <w:tcW w:w="469" w:type="pct"/>
            <w:tcBorders>
              <w:left w:val="single" w:sz="4" w:space="0" w:color="auto"/>
            </w:tcBorders>
            <w:shd w:val="clear" w:color="auto" w:fill="auto"/>
            <w:noWrap/>
            <w:hideMark/>
          </w:tcPr>
          <w:p w14:paraId="4E9634BE" w14:textId="6E35E97F"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-3.175</w:t>
            </w:r>
          </w:p>
        </w:tc>
        <w:tc>
          <w:tcPr>
            <w:tcW w:w="469" w:type="pct"/>
            <w:shd w:val="clear" w:color="auto" w:fill="auto"/>
            <w:noWrap/>
            <w:hideMark/>
          </w:tcPr>
          <w:p w14:paraId="73723390" w14:textId="5E8E6AAB" w:rsidR="00D0603D" w:rsidRPr="002E554D" w:rsidRDefault="00D0603D" w:rsidP="00D0603D">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-2.532</w:t>
            </w:r>
          </w:p>
        </w:tc>
        <w:tc>
          <w:tcPr>
            <w:tcW w:w="497" w:type="pct"/>
            <w:tcBorders>
              <w:right w:val="single" w:sz="4" w:space="0" w:color="auto"/>
            </w:tcBorders>
            <w:shd w:val="clear" w:color="auto" w:fill="auto"/>
            <w:noWrap/>
            <w:hideMark/>
          </w:tcPr>
          <w:p w14:paraId="7F3113A5" w14:textId="27DB6B08"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-2.192</w:t>
            </w:r>
          </w:p>
        </w:tc>
        <w:tc>
          <w:tcPr>
            <w:tcW w:w="742" w:type="pct"/>
            <w:tcBorders>
              <w:left w:val="single" w:sz="4" w:space="0" w:color="auto"/>
              <w:right w:val="single" w:sz="4" w:space="0" w:color="auto"/>
            </w:tcBorders>
            <w:shd w:val="clear" w:color="auto" w:fill="auto"/>
            <w:noWrap/>
            <w:hideMark/>
          </w:tcPr>
          <w:p w14:paraId="18CB965B" w14:textId="2930AAA5" w:rsidR="00D0603D" w:rsidRPr="002E554D" w:rsidRDefault="00D0603D" w:rsidP="00D0603D">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-3.673***</w:t>
            </w:r>
          </w:p>
        </w:tc>
        <w:tc>
          <w:tcPr>
            <w:tcW w:w="469" w:type="pct"/>
            <w:tcBorders>
              <w:left w:val="single" w:sz="4" w:space="0" w:color="auto"/>
            </w:tcBorders>
            <w:shd w:val="clear" w:color="auto" w:fill="auto"/>
            <w:noWrap/>
            <w:hideMark/>
          </w:tcPr>
          <w:p w14:paraId="5553ECCF" w14:textId="29EEE6A4" w:rsidR="00D0603D" w:rsidRPr="002E554D" w:rsidRDefault="00D0603D" w:rsidP="00D0603D">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-3.216</w:t>
            </w:r>
          </w:p>
        </w:tc>
        <w:tc>
          <w:tcPr>
            <w:tcW w:w="499" w:type="pct"/>
            <w:shd w:val="clear" w:color="auto" w:fill="auto"/>
            <w:noWrap/>
            <w:hideMark/>
          </w:tcPr>
          <w:p w14:paraId="0FB0B38B" w14:textId="677B80A2"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-2.585</w:t>
            </w:r>
          </w:p>
        </w:tc>
        <w:tc>
          <w:tcPr>
            <w:tcW w:w="469" w:type="pct"/>
            <w:tcBorders>
              <w:right w:val="single" w:sz="4" w:space="0" w:color="auto"/>
            </w:tcBorders>
            <w:shd w:val="clear" w:color="auto" w:fill="auto"/>
            <w:noWrap/>
            <w:hideMark/>
          </w:tcPr>
          <w:p w14:paraId="08E49605" w14:textId="6C2B464F"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-2.245</w:t>
            </w:r>
          </w:p>
        </w:tc>
      </w:tr>
      <w:tr w:rsidR="002E554D" w:rsidRPr="002E554D" w14:paraId="354E9B88" w14:textId="77777777" w:rsidTr="00300059">
        <w:trPr>
          <w:trHeight w:val="300"/>
          <w:jc w:val="center"/>
        </w:trPr>
        <w:tc>
          <w:tcPr>
            <w:tcW w:w="645" w:type="pct"/>
            <w:tcBorders>
              <w:left w:val="single" w:sz="4" w:space="0" w:color="auto"/>
              <w:right w:val="single" w:sz="4" w:space="0" w:color="auto"/>
            </w:tcBorders>
            <w:shd w:val="clear" w:color="auto" w:fill="auto"/>
            <w:noWrap/>
            <w:vAlign w:val="bottom"/>
            <w:hideMark/>
          </w:tcPr>
          <w:p w14:paraId="1578851A" w14:textId="77777777"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42" w:type="pct"/>
            <w:tcBorders>
              <w:left w:val="single" w:sz="4" w:space="0" w:color="auto"/>
              <w:right w:val="single" w:sz="4" w:space="0" w:color="auto"/>
            </w:tcBorders>
            <w:shd w:val="clear" w:color="auto" w:fill="auto"/>
            <w:noWrap/>
            <w:hideMark/>
          </w:tcPr>
          <w:p w14:paraId="4B970186" w14:textId="1EB46537" w:rsidR="00D0603D" w:rsidRPr="002E554D" w:rsidRDefault="00D0603D" w:rsidP="00D0603D">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-0.603</w:t>
            </w:r>
          </w:p>
        </w:tc>
        <w:tc>
          <w:tcPr>
            <w:tcW w:w="469" w:type="pct"/>
            <w:tcBorders>
              <w:left w:val="single" w:sz="4" w:space="0" w:color="auto"/>
            </w:tcBorders>
            <w:shd w:val="clear" w:color="auto" w:fill="auto"/>
            <w:noWrap/>
            <w:hideMark/>
          </w:tcPr>
          <w:p w14:paraId="7B224BAA" w14:textId="33804AFF"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-3.301</w:t>
            </w:r>
          </w:p>
        </w:tc>
        <w:tc>
          <w:tcPr>
            <w:tcW w:w="469" w:type="pct"/>
            <w:shd w:val="clear" w:color="auto" w:fill="auto"/>
            <w:noWrap/>
            <w:hideMark/>
          </w:tcPr>
          <w:p w14:paraId="6DBDBEBA" w14:textId="69BC0E48"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-2.701</w:t>
            </w:r>
          </w:p>
        </w:tc>
        <w:tc>
          <w:tcPr>
            <w:tcW w:w="497" w:type="pct"/>
            <w:tcBorders>
              <w:right w:val="single" w:sz="4" w:space="0" w:color="auto"/>
            </w:tcBorders>
            <w:shd w:val="clear" w:color="auto" w:fill="auto"/>
            <w:noWrap/>
            <w:hideMark/>
          </w:tcPr>
          <w:p w14:paraId="234ADD15" w14:textId="42A1D5AE"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-2.380</w:t>
            </w:r>
          </w:p>
        </w:tc>
        <w:tc>
          <w:tcPr>
            <w:tcW w:w="742" w:type="pct"/>
            <w:tcBorders>
              <w:left w:val="single" w:sz="4" w:space="0" w:color="auto"/>
              <w:right w:val="single" w:sz="4" w:space="0" w:color="auto"/>
            </w:tcBorders>
            <w:shd w:val="clear" w:color="auto" w:fill="auto"/>
            <w:noWrap/>
            <w:hideMark/>
          </w:tcPr>
          <w:p w14:paraId="0A103DAF" w14:textId="01CEE767" w:rsidR="00D0603D" w:rsidRPr="002E554D" w:rsidRDefault="00D0603D" w:rsidP="00D0603D">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-4.125***</w:t>
            </w:r>
          </w:p>
        </w:tc>
        <w:tc>
          <w:tcPr>
            <w:tcW w:w="469" w:type="pct"/>
            <w:tcBorders>
              <w:left w:val="single" w:sz="4" w:space="0" w:color="auto"/>
            </w:tcBorders>
            <w:shd w:val="clear" w:color="auto" w:fill="auto"/>
            <w:noWrap/>
            <w:hideMark/>
          </w:tcPr>
          <w:p w14:paraId="2C1B07E4" w14:textId="66C57AD4" w:rsidR="00D0603D" w:rsidRPr="002E554D" w:rsidRDefault="00D0603D" w:rsidP="00D0603D">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-3.259</w:t>
            </w:r>
          </w:p>
        </w:tc>
        <w:tc>
          <w:tcPr>
            <w:tcW w:w="499" w:type="pct"/>
            <w:shd w:val="clear" w:color="auto" w:fill="auto"/>
            <w:noWrap/>
            <w:hideMark/>
          </w:tcPr>
          <w:p w14:paraId="240A7AD7" w14:textId="216234C5"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-2.652</w:t>
            </w:r>
          </w:p>
        </w:tc>
        <w:tc>
          <w:tcPr>
            <w:tcW w:w="469" w:type="pct"/>
            <w:tcBorders>
              <w:right w:val="single" w:sz="4" w:space="0" w:color="auto"/>
            </w:tcBorders>
            <w:shd w:val="clear" w:color="auto" w:fill="auto"/>
            <w:noWrap/>
            <w:hideMark/>
          </w:tcPr>
          <w:p w14:paraId="411748BF" w14:textId="40F259D0"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-2.319</w:t>
            </w:r>
          </w:p>
        </w:tc>
      </w:tr>
      <w:tr w:rsidR="002E554D" w:rsidRPr="002E554D" w14:paraId="32855011" w14:textId="77777777" w:rsidTr="00300059">
        <w:trPr>
          <w:trHeight w:val="300"/>
          <w:jc w:val="center"/>
        </w:trPr>
        <w:tc>
          <w:tcPr>
            <w:tcW w:w="645" w:type="pct"/>
            <w:tcBorders>
              <w:left w:val="single" w:sz="4" w:space="0" w:color="auto"/>
              <w:right w:val="single" w:sz="4" w:space="0" w:color="auto"/>
            </w:tcBorders>
            <w:shd w:val="clear" w:color="auto" w:fill="auto"/>
            <w:noWrap/>
            <w:vAlign w:val="bottom"/>
            <w:hideMark/>
          </w:tcPr>
          <w:p w14:paraId="23B18993" w14:textId="77777777"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42" w:type="pct"/>
            <w:tcBorders>
              <w:left w:val="single" w:sz="4" w:space="0" w:color="auto"/>
              <w:right w:val="single" w:sz="4" w:space="0" w:color="auto"/>
            </w:tcBorders>
            <w:shd w:val="clear" w:color="auto" w:fill="auto"/>
            <w:noWrap/>
            <w:hideMark/>
          </w:tcPr>
          <w:p w14:paraId="6CF785B8" w14:textId="73B27169" w:rsidR="00D0603D" w:rsidRPr="002E554D" w:rsidRDefault="00D0603D" w:rsidP="00D0603D">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0.706</w:t>
            </w:r>
          </w:p>
        </w:tc>
        <w:tc>
          <w:tcPr>
            <w:tcW w:w="469" w:type="pct"/>
            <w:tcBorders>
              <w:left w:val="single" w:sz="4" w:space="0" w:color="auto"/>
            </w:tcBorders>
            <w:shd w:val="clear" w:color="auto" w:fill="auto"/>
            <w:noWrap/>
            <w:hideMark/>
          </w:tcPr>
          <w:p w14:paraId="6ED1E252" w14:textId="1C9B25D7"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-3.251</w:t>
            </w:r>
          </w:p>
        </w:tc>
        <w:tc>
          <w:tcPr>
            <w:tcW w:w="469" w:type="pct"/>
            <w:shd w:val="clear" w:color="auto" w:fill="auto"/>
            <w:noWrap/>
            <w:hideMark/>
          </w:tcPr>
          <w:p w14:paraId="04E45502" w14:textId="415AA796"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-2.639</w:t>
            </w:r>
          </w:p>
        </w:tc>
        <w:tc>
          <w:tcPr>
            <w:tcW w:w="497" w:type="pct"/>
            <w:tcBorders>
              <w:right w:val="single" w:sz="4" w:space="0" w:color="auto"/>
            </w:tcBorders>
            <w:shd w:val="clear" w:color="auto" w:fill="auto"/>
            <w:noWrap/>
            <w:hideMark/>
          </w:tcPr>
          <w:p w14:paraId="469DF2E3" w14:textId="09023288"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-2.305</w:t>
            </w:r>
          </w:p>
        </w:tc>
        <w:tc>
          <w:tcPr>
            <w:tcW w:w="742" w:type="pct"/>
            <w:tcBorders>
              <w:left w:val="single" w:sz="4" w:space="0" w:color="auto"/>
              <w:right w:val="single" w:sz="4" w:space="0" w:color="auto"/>
            </w:tcBorders>
            <w:shd w:val="clear" w:color="auto" w:fill="auto"/>
            <w:noWrap/>
            <w:hideMark/>
          </w:tcPr>
          <w:p w14:paraId="347BBB0B" w14:textId="5586FF90" w:rsidR="00D0603D" w:rsidRPr="002E554D" w:rsidRDefault="00D0603D" w:rsidP="00D0603D">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-1.742</w:t>
            </w:r>
          </w:p>
        </w:tc>
        <w:tc>
          <w:tcPr>
            <w:tcW w:w="469" w:type="pct"/>
            <w:tcBorders>
              <w:left w:val="single" w:sz="4" w:space="0" w:color="auto"/>
            </w:tcBorders>
            <w:shd w:val="clear" w:color="auto" w:fill="auto"/>
            <w:noWrap/>
            <w:hideMark/>
          </w:tcPr>
          <w:p w14:paraId="09C360E7" w14:textId="23D3C63B" w:rsidR="00D0603D" w:rsidRPr="002E554D" w:rsidRDefault="00D0603D" w:rsidP="00D0603D">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-3.267</w:t>
            </w:r>
          </w:p>
        </w:tc>
        <w:tc>
          <w:tcPr>
            <w:tcW w:w="499" w:type="pct"/>
            <w:shd w:val="clear" w:color="auto" w:fill="auto"/>
            <w:noWrap/>
            <w:hideMark/>
          </w:tcPr>
          <w:p w14:paraId="27693178" w14:textId="5D62C13B"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-2.665</w:t>
            </w:r>
          </w:p>
        </w:tc>
        <w:tc>
          <w:tcPr>
            <w:tcW w:w="469" w:type="pct"/>
            <w:tcBorders>
              <w:right w:val="single" w:sz="4" w:space="0" w:color="auto"/>
            </w:tcBorders>
            <w:shd w:val="clear" w:color="auto" w:fill="auto"/>
            <w:noWrap/>
            <w:hideMark/>
          </w:tcPr>
          <w:p w14:paraId="099BA13D" w14:textId="6778603E"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-2.334</w:t>
            </w:r>
          </w:p>
        </w:tc>
      </w:tr>
      <w:tr w:rsidR="002E554D" w:rsidRPr="002E554D" w14:paraId="0E4A457A" w14:textId="77777777" w:rsidTr="00300059">
        <w:trPr>
          <w:trHeight w:val="300"/>
          <w:jc w:val="center"/>
        </w:trPr>
        <w:tc>
          <w:tcPr>
            <w:tcW w:w="645" w:type="pct"/>
            <w:tcBorders>
              <w:left w:val="single" w:sz="4" w:space="0" w:color="auto"/>
              <w:right w:val="single" w:sz="4" w:space="0" w:color="auto"/>
            </w:tcBorders>
            <w:shd w:val="clear" w:color="auto" w:fill="auto"/>
            <w:noWrap/>
            <w:vAlign w:val="bottom"/>
            <w:hideMark/>
          </w:tcPr>
          <w:p w14:paraId="3F5D6AC7" w14:textId="77777777"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42" w:type="pct"/>
            <w:tcBorders>
              <w:left w:val="single" w:sz="4" w:space="0" w:color="auto"/>
              <w:right w:val="single" w:sz="4" w:space="0" w:color="auto"/>
            </w:tcBorders>
            <w:shd w:val="clear" w:color="auto" w:fill="auto"/>
            <w:noWrap/>
            <w:hideMark/>
          </w:tcPr>
          <w:p w14:paraId="7DD61C85" w14:textId="60FEBC8E" w:rsidR="00D0603D" w:rsidRPr="002E554D" w:rsidRDefault="00D0603D" w:rsidP="00D0603D">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0.719</w:t>
            </w:r>
          </w:p>
        </w:tc>
        <w:tc>
          <w:tcPr>
            <w:tcW w:w="469" w:type="pct"/>
            <w:tcBorders>
              <w:left w:val="single" w:sz="4" w:space="0" w:color="auto"/>
            </w:tcBorders>
            <w:shd w:val="clear" w:color="auto" w:fill="auto"/>
            <w:noWrap/>
            <w:hideMark/>
          </w:tcPr>
          <w:p w14:paraId="1A111E6B" w14:textId="04731D8F"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-3.253</w:t>
            </w:r>
          </w:p>
        </w:tc>
        <w:tc>
          <w:tcPr>
            <w:tcW w:w="469" w:type="pct"/>
            <w:shd w:val="clear" w:color="auto" w:fill="auto"/>
            <w:noWrap/>
            <w:hideMark/>
          </w:tcPr>
          <w:p w14:paraId="1DC8AB57" w14:textId="23AA1AFD"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-2.643</w:t>
            </w:r>
          </w:p>
        </w:tc>
        <w:tc>
          <w:tcPr>
            <w:tcW w:w="497" w:type="pct"/>
            <w:tcBorders>
              <w:right w:val="single" w:sz="4" w:space="0" w:color="auto"/>
            </w:tcBorders>
            <w:shd w:val="clear" w:color="auto" w:fill="auto"/>
            <w:noWrap/>
            <w:hideMark/>
          </w:tcPr>
          <w:p w14:paraId="3661F27C" w14:textId="7F9ACBF2"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-2.309</w:t>
            </w:r>
          </w:p>
        </w:tc>
        <w:tc>
          <w:tcPr>
            <w:tcW w:w="742" w:type="pct"/>
            <w:tcBorders>
              <w:left w:val="single" w:sz="4" w:space="0" w:color="auto"/>
              <w:right w:val="single" w:sz="4" w:space="0" w:color="auto"/>
            </w:tcBorders>
            <w:shd w:val="clear" w:color="auto" w:fill="auto"/>
            <w:noWrap/>
            <w:hideMark/>
          </w:tcPr>
          <w:p w14:paraId="66A05CA1" w14:textId="7A063CC1" w:rsidR="00D0603D" w:rsidRPr="002E554D" w:rsidRDefault="00D0603D" w:rsidP="00D0603D">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-0.602</w:t>
            </w:r>
          </w:p>
        </w:tc>
        <w:tc>
          <w:tcPr>
            <w:tcW w:w="469" w:type="pct"/>
            <w:tcBorders>
              <w:left w:val="single" w:sz="4" w:space="0" w:color="auto"/>
            </w:tcBorders>
            <w:shd w:val="clear" w:color="auto" w:fill="auto"/>
            <w:noWrap/>
            <w:hideMark/>
          </w:tcPr>
          <w:p w14:paraId="310E87AC" w14:textId="5C81D025" w:rsidR="00D0603D" w:rsidRPr="002E554D" w:rsidRDefault="00D0603D" w:rsidP="00D0603D">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-3.242</w:t>
            </w:r>
          </w:p>
        </w:tc>
        <w:tc>
          <w:tcPr>
            <w:tcW w:w="499" w:type="pct"/>
            <w:shd w:val="clear" w:color="auto" w:fill="auto"/>
            <w:noWrap/>
            <w:hideMark/>
          </w:tcPr>
          <w:p w14:paraId="15779CA4" w14:textId="54D3363B"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-2.625</w:t>
            </w:r>
          </w:p>
        </w:tc>
        <w:tc>
          <w:tcPr>
            <w:tcW w:w="469" w:type="pct"/>
            <w:tcBorders>
              <w:right w:val="single" w:sz="4" w:space="0" w:color="auto"/>
            </w:tcBorders>
            <w:shd w:val="clear" w:color="auto" w:fill="auto"/>
            <w:noWrap/>
            <w:hideMark/>
          </w:tcPr>
          <w:p w14:paraId="28C0FA2C" w14:textId="7FE32037"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-2.289</w:t>
            </w:r>
          </w:p>
        </w:tc>
      </w:tr>
      <w:tr w:rsidR="002E554D" w:rsidRPr="002E554D" w14:paraId="302C0B84" w14:textId="77777777" w:rsidTr="00300059">
        <w:trPr>
          <w:trHeight w:val="300"/>
          <w:jc w:val="center"/>
        </w:trPr>
        <w:tc>
          <w:tcPr>
            <w:tcW w:w="645" w:type="pct"/>
            <w:tcBorders>
              <w:left w:val="single" w:sz="4" w:space="0" w:color="auto"/>
              <w:right w:val="single" w:sz="4" w:space="0" w:color="auto"/>
            </w:tcBorders>
            <w:shd w:val="clear" w:color="auto" w:fill="auto"/>
            <w:noWrap/>
            <w:vAlign w:val="bottom"/>
            <w:hideMark/>
          </w:tcPr>
          <w:p w14:paraId="5258047A" w14:textId="77777777"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42" w:type="pct"/>
            <w:tcBorders>
              <w:left w:val="single" w:sz="4" w:space="0" w:color="auto"/>
              <w:right w:val="single" w:sz="4" w:space="0" w:color="auto"/>
            </w:tcBorders>
            <w:shd w:val="clear" w:color="auto" w:fill="auto"/>
            <w:noWrap/>
            <w:hideMark/>
          </w:tcPr>
          <w:p w14:paraId="15B0AE24" w14:textId="3AAAF9E2" w:rsidR="00D0603D" w:rsidRPr="002E554D" w:rsidRDefault="00D0603D" w:rsidP="00D0603D">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2.327</w:t>
            </w:r>
          </w:p>
        </w:tc>
        <w:tc>
          <w:tcPr>
            <w:tcW w:w="469" w:type="pct"/>
            <w:tcBorders>
              <w:left w:val="single" w:sz="4" w:space="0" w:color="auto"/>
            </w:tcBorders>
            <w:shd w:val="clear" w:color="auto" w:fill="auto"/>
            <w:noWrap/>
            <w:hideMark/>
          </w:tcPr>
          <w:p w14:paraId="36154B2F" w14:textId="7A96F488"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-3.160</w:t>
            </w:r>
          </w:p>
        </w:tc>
        <w:tc>
          <w:tcPr>
            <w:tcW w:w="469" w:type="pct"/>
            <w:shd w:val="clear" w:color="auto" w:fill="auto"/>
            <w:noWrap/>
            <w:hideMark/>
          </w:tcPr>
          <w:p w14:paraId="69F21513" w14:textId="27BBD5C9"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-2.511</w:t>
            </w:r>
          </w:p>
        </w:tc>
        <w:tc>
          <w:tcPr>
            <w:tcW w:w="497" w:type="pct"/>
            <w:tcBorders>
              <w:right w:val="single" w:sz="4" w:space="0" w:color="auto"/>
            </w:tcBorders>
            <w:shd w:val="clear" w:color="auto" w:fill="auto"/>
            <w:noWrap/>
            <w:hideMark/>
          </w:tcPr>
          <w:p w14:paraId="071F734A" w14:textId="210524BF"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-2.171</w:t>
            </w:r>
          </w:p>
        </w:tc>
        <w:tc>
          <w:tcPr>
            <w:tcW w:w="742" w:type="pct"/>
            <w:tcBorders>
              <w:left w:val="single" w:sz="4" w:space="0" w:color="auto"/>
              <w:right w:val="single" w:sz="4" w:space="0" w:color="auto"/>
            </w:tcBorders>
            <w:shd w:val="clear" w:color="auto" w:fill="auto"/>
            <w:noWrap/>
            <w:hideMark/>
          </w:tcPr>
          <w:p w14:paraId="5C969B3F" w14:textId="100D8D2C" w:rsidR="00D0603D" w:rsidRPr="002E554D" w:rsidRDefault="00D0603D" w:rsidP="00D0603D">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-1.188</w:t>
            </w:r>
          </w:p>
        </w:tc>
        <w:tc>
          <w:tcPr>
            <w:tcW w:w="469" w:type="pct"/>
            <w:tcBorders>
              <w:left w:val="single" w:sz="4" w:space="0" w:color="auto"/>
            </w:tcBorders>
            <w:shd w:val="clear" w:color="auto" w:fill="auto"/>
            <w:noWrap/>
            <w:hideMark/>
          </w:tcPr>
          <w:p w14:paraId="18CEB707" w14:textId="1BA3A431" w:rsidR="00D0603D" w:rsidRPr="002E554D" w:rsidRDefault="00D0603D" w:rsidP="00D0603D">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-3.135</w:t>
            </w:r>
          </w:p>
        </w:tc>
        <w:tc>
          <w:tcPr>
            <w:tcW w:w="499" w:type="pct"/>
            <w:shd w:val="clear" w:color="auto" w:fill="auto"/>
            <w:noWrap/>
            <w:hideMark/>
          </w:tcPr>
          <w:p w14:paraId="4D5033AD" w14:textId="4A7FF93E"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-2.480</w:t>
            </w:r>
          </w:p>
        </w:tc>
        <w:tc>
          <w:tcPr>
            <w:tcW w:w="469" w:type="pct"/>
            <w:tcBorders>
              <w:right w:val="single" w:sz="4" w:space="0" w:color="auto"/>
            </w:tcBorders>
            <w:shd w:val="clear" w:color="auto" w:fill="auto"/>
            <w:noWrap/>
            <w:hideMark/>
          </w:tcPr>
          <w:p w14:paraId="18DB4D2A" w14:textId="79B0EEC4"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-2.140</w:t>
            </w:r>
          </w:p>
        </w:tc>
      </w:tr>
      <w:tr w:rsidR="002E554D" w:rsidRPr="002E554D" w14:paraId="50A8D34E" w14:textId="77777777" w:rsidTr="00300059">
        <w:trPr>
          <w:trHeight w:val="300"/>
          <w:jc w:val="center"/>
        </w:trPr>
        <w:tc>
          <w:tcPr>
            <w:tcW w:w="645" w:type="pct"/>
            <w:tcBorders>
              <w:left w:val="single" w:sz="4" w:space="0" w:color="auto"/>
              <w:right w:val="single" w:sz="4" w:space="0" w:color="auto"/>
            </w:tcBorders>
            <w:shd w:val="clear" w:color="auto" w:fill="auto"/>
            <w:noWrap/>
            <w:vAlign w:val="bottom"/>
            <w:hideMark/>
          </w:tcPr>
          <w:p w14:paraId="24C296D4" w14:textId="77777777"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42" w:type="pct"/>
            <w:tcBorders>
              <w:left w:val="single" w:sz="4" w:space="0" w:color="auto"/>
              <w:right w:val="single" w:sz="4" w:space="0" w:color="auto"/>
            </w:tcBorders>
            <w:shd w:val="clear" w:color="auto" w:fill="auto"/>
            <w:noWrap/>
            <w:hideMark/>
          </w:tcPr>
          <w:p w14:paraId="58210E9E" w14:textId="33E250F4" w:rsidR="00D0603D" w:rsidRPr="002E554D" w:rsidRDefault="00D0603D" w:rsidP="00D0603D">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1.711</w:t>
            </w:r>
          </w:p>
        </w:tc>
        <w:tc>
          <w:tcPr>
            <w:tcW w:w="469" w:type="pct"/>
            <w:tcBorders>
              <w:left w:val="single" w:sz="4" w:space="0" w:color="auto"/>
            </w:tcBorders>
            <w:shd w:val="clear" w:color="auto" w:fill="auto"/>
            <w:noWrap/>
            <w:hideMark/>
          </w:tcPr>
          <w:p w14:paraId="073AA7CE" w14:textId="514AEC7B"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-3.014</w:t>
            </w:r>
          </w:p>
        </w:tc>
        <w:tc>
          <w:tcPr>
            <w:tcW w:w="469" w:type="pct"/>
            <w:shd w:val="clear" w:color="auto" w:fill="auto"/>
            <w:noWrap/>
            <w:hideMark/>
          </w:tcPr>
          <w:p w14:paraId="70444C98" w14:textId="50716F0B"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-2.362</w:t>
            </w:r>
          </w:p>
        </w:tc>
        <w:tc>
          <w:tcPr>
            <w:tcW w:w="497" w:type="pct"/>
            <w:tcBorders>
              <w:right w:val="single" w:sz="4" w:space="0" w:color="auto"/>
            </w:tcBorders>
            <w:shd w:val="clear" w:color="auto" w:fill="auto"/>
            <w:noWrap/>
            <w:hideMark/>
          </w:tcPr>
          <w:p w14:paraId="073B5D5B" w14:textId="5050E1C6"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-2.014</w:t>
            </w:r>
          </w:p>
        </w:tc>
        <w:tc>
          <w:tcPr>
            <w:tcW w:w="742" w:type="pct"/>
            <w:tcBorders>
              <w:left w:val="single" w:sz="4" w:space="0" w:color="auto"/>
              <w:right w:val="single" w:sz="4" w:space="0" w:color="auto"/>
            </w:tcBorders>
            <w:shd w:val="clear" w:color="auto" w:fill="auto"/>
            <w:noWrap/>
            <w:hideMark/>
          </w:tcPr>
          <w:p w14:paraId="0B792289" w14:textId="0249FC60" w:rsidR="00D0603D" w:rsidRPr="002E554D" w:rsidRDefault="00D0603D" w:rsidP="00D0603D">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-0.548</w:t>
            </w:r>
          </w:p>
        </w:tc>
        <w:tc>
          <w:tcPr>
            <w:tcW w:w="469" w:type="pct"/>
            <w:tcBorders>
              <w:left w:val="single" w:sz="4" w:space="0" w:color="auto"/>
            </w:tcBorders>
            <w:shd w:val="clear" w:color="auto" w:fill="auto"/>
            <w:noWrap/>
            <w:hideMark/>
          </w:tcPr>
          <w:p w14:paraId="412E9745" w14:textId="68C28395" w:rsidR="00D0603D" w:rsidRPr="002E554D" w:rsidRDefault="00D0603D" w:rsidP="00D0603D">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-3.040</w:t>
            </w:r>
          </w:p>
        </w:tc>
        <w:tc>
          <w:tcPr>
            <w:tcW w:w="499" w:type="pct"/>
            <w:shd w:val="clear" w:color="auto" w:fill="auto"/>
            <w:noWrap/>
            <w:hideMark/>
          </w:tcPr>
          <w:p w14:paraId="336E0011" w14:textId="4B9DC728"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-2.386</w:t>
            </w:r>
          </w:p>
        </w:tc>
        <w:tc>
          <w:tcPr>
            <w:tcW w:w="469" w:type="pct"/>
            <w:tcBorders>
              <w:right w:val="single" w:sz="4" w:space="0" w:color="auto"/>
            </w:tcBorders>
            <w:shd w:val="clear" w:color="auto" w:fill="auto"/>
            <w:noWrap/>
            <w:hideMark/>
          </w:tcPr>
          <w:p w14:paraId="1E056964" w14:textId="124B341E"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-2.040</w:t>
            </w:r>
          </w:p>
        </w:tc>
      </w:tr>
      <w:tr w:rsidR="002E554D" w:rsidRPr="002E554D" w14:paraId="0653964A" w14:textId="77777777" w:rsidTr="00300059">
        <w:trPr>
          <w:trHeight w:val="300"/>
          <w:jc w:val="center"/>
        </w:trPr>
        <w:tc>
          <w:tcPr>
            <w:tcW w:w="645" w:type="pct"/>
            <w:tcBorders>
              <w:left w:val="single" w:sz="4" w:space="0" w:color="auto"/>
              <w:right w:val="single" w:sz="4" w:space="0" w:color="auto"/>
            </w:tcBorders>
            <w:shd w:val="clear" w:color="auto" w:fill="auto"/>
            <w:noWrap/>
            <w:vAlign w:val="bottom"/>
            <w:hideMark/>
          </w:tcPr>
          <w:p w14:paraId="77BF3717" w14:textId="77777777"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42" w:type="pct"/>
            <w:tcBorders>
              <w:left w:val="single" w:sz="4" w:space="0" w:color="auto"/>
              <w:right w:val="single" w:sz="4" w:space="0" w:color="auto"/>
            </w:tcBorders>
            <w:shd w:val="clear" w:color="auto" w:fill="auto"/>
            <w:noWrap/>
            <w:hideMark/>
          </w:tcPr>
          <w:p w14:paraId="7DB172CD" w14:textId="6FCFBC07" w:rsidR="00D0603D" w:rsidRPr="002E554D" w:rsidRDefault="00D0603D" w:rsidP="00D0603D">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2.566</w:t>
            </w:r>
          </w:p>
        </w:tc>
        <w:tc>
          <w:tcPr>
            <w:tcW w:w="469" w:type="pct"/>
            <w:tcBorders>
              <w:left w:val="single" w:sz="4" w:space="0" w:color="auto"/>
            </w:tcBorders>
            <w:shd w:val="clear" w:color="auto" w:fill="auto"/>
            <w:noWrap/>
            <w:hideMark/>
          </w:tcPr>
          <w:p w14:paraId="1B8E0FA5" w14:textId="6D54D2C6"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-2.736</w:t>
            </w:r>
          </w:p>
        </w:tc>
        <w:tc>
          <w:tcPr>
            <w:tcW w:w="469" w:type="pct"/>
            <w:shd w:val="clear" w:color="auto" w:fill="auto"/>
            <w:noWrap/>
            <w:hideMark/>
          </w:tcPr>
          <w:p w14:paraId="33FAF972" w14:textId="725BB7EE"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-2.064</w:t>
            </w:r>
          </w:p>
        </w:tc>
        <w:tc>
          <w:tcPr>
            <w:tcW w:w="497" w:type="pct"/>
            <w:tcBorders>
              <w:right w:val="single" w:sz="4" w:space="0" w:color="auto"/>
            </w:tcBorders>
            <w:shd w:val="clear" w:color="auto" w:fill="auto"/>
            <w:noWrap/>
            <w:hideMark/>
          </w:tcPr>
          <w:p w14:paraId="3E404F59" w14:textId="39961179"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-1.704</w:t>
            </w:r>
          </w:p>
        </w:tc>
        <w:tc>
          <w:tcPr>
            <w:tcW w:w="742" w:type="pct"/>
            <w:tcBorders>
              <w:left w:val="single" w:sz="4" w:space="0" w:color="auto"/>
              <w:right w:val="single" w:sz="4" w:space="0" w:color="auto"/>
            </w:tcBorders>
            <w:shd w:val="clear" w:color="auto" w:fill="auto"/>
            <w:noWrap/>
            <w:hideMark/>
          </w:tcPr>
          <w:p w14:paraId="4430E75E" w14:textId="2B223EF7" w:rsidR="00D0603D" w:rsidRPr="002E554D" w:rsidRDefault="00D0603D" w:rsidP="00D0603D">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-1.924</w:t>
            </w:r>
          </w:p>
        </w:tc>
        <w:tc>
          <w:tcPr>
            <w:tcW w:w="469" w:type="pct"/>
            <w:tcBorders>
              <w:left w:val="single" w:sz="4" w:space="0" w:color="auto"/>
            </w:tcBorders>
            <w:shd w:val="clear" w:color="auto" w:fill="auto"/>
            <w:noWrap/>
            <w:hideMark/>
          </w:tcPr>
          <w:p w14:paraId="2328D96B" w14:textId="46B19802" w:rsidR="00D0603D" w:rsidRPr="002E554D" w:rsidRDefault="00D0603D" w:rsidP="00D0603D">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-2.707</w:t>
            </w:r>
          </w:p>
        </w:tc>
        <w:tc>
          <w:tcPr>
            <w:tcW w:w="499" w:type="pct"/>
            <w:shd w:val="clear" w:color="auto" w:fill="auto"/>
            <w:noWrap/>
            <w:hideMark/>
          </w:tcPr>
          <w:p w14:paraId="7129904C" w14:textId="6BC514DC" w:rsidR="00D0603D" w:rsidRPr="002E554D" w:rsidRDefault="00D0603D" w:rsidP="00D0603D">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-2.035</w:t>
            </w:r>
          </w:p>
        </w:tc>
        <w:tc>
          <w:tcPr>
            <w:tcW w:w="469" w:type="pct"/>
            <w:tcBorders>
              <w:right w:val="single" w:sz="4" w:space="0" w:color="auto"/>
            </w:tcBorders>
            <w:shd w:val="clear" w:color="auto" w:fill="auto"/>
            <w:noWrap/>
            <w:hideMark/>
          </w:tcPr>
          <w:p w14:paraId="629196D0" w14:textId="542FCABD" w:rsidR="00D0603D" w:rsidRPr="002E554D" w:rsidRDefault="00D0603D" w:rsidP="00D0603D">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-1.675</w:t>
            </w:r>
          </w:p>
        </w:tc>
      </w:tr>
      <w:tr w:rsidR="002E554D" w:rsidRPr="002E554D" w14:paraId="331507C7" w14:textId="77777777" w:rsidTr="00D0603D">
        <w:trPr>
          <w:trHeight w:val="300"/>
          <w:jc w:val="center"/>
        </w:trPr>
        <w:tc>
          <w:tcPr>
            <w:tcW w:w="645" w:type="pct"/>
            <w:tcBorders>
              <w:left w:val="single" w:sz="4" w:space="0" w:color="auto"/>
              <w:right w:val="single" w:sz="4" w:space="0" w:color="auto"/>
            </w:tcBorders>
            <w:shd w:val="clear" w:color="auto" w:fill="auto"/>
            <w:noWrap/>
            <w:vAlign w:val="bottom"/>
          </w:tcPr>
          <w:p w14:paraId="4FB93780" w14:textId="77777777" w:rsidR="00ED53CE" w:rsidRPr="002E554D" w:rsidRDefault="00ED53CE" w:rsidP="009F7755">
            <w:pPr>
              <w:spacing w:after="0" w:line="240" w:lineRule="auto"/>
              <w:rPr>
                <w:rFonts w:ascii="Garamond" w:eastAsia="Times New Roman" w:hAnsi="Garamond" w:cs="Calibri"/>
                <w:color w:val="FF0000"/>
                <w:lang w:val="en-GB" w:eastAsia="en-GB"/>
              </w:rPr>
            </w:pPr>
          </w:p>
        </w:tc>
        <w:tc>
          <w:tcPr>
            <w:tcW w:w="2177" w:type="pct"/>
            <w:gridSpan w:val="4"/>
            <w:tcBorders>
              <w:left w:val="single" w:sz="4" w:space="0" w:color="auto"/>
              <w:right w:val="single" w:sz="4" w:space="0" w:color="auto"/>
            </w:tcBorders>
            <w:shd w:val="clear" w:color="auto" w:fill="auto"/>
            <w:noWrap/>
            <w:vAlign w:val="center"/>
            <w:hideMark/>
          </w:tcPr>
          <w:p w14:paraId="0F930032"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Silver</w:t>
            </w:r>
          </w:p>
        </w:tc>
        <w:tc>
          <w:tcPr>
            <w:tcW w:w="2179" w:type="pct"/>
            <w:gridSpan w:val="4"/>
            <w:tcBorders>
              <w:left w:val="single" w:sz="4" w:space="0" w:color="auto"/>
              <w:right w:val="single" w:sz="4" w:space="0" w:color="auto"/>
            </w:tcBorders>
            <w:shd w:val="clear" w:color="auto" w:fill="auto"/>
            <w:noWrap/>
            <w:vAlign w:val="center"/>
            <w:hideMark/>
          </w:tcPr>
          <w:p w14:paraId="157B37B6"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Palladium</w:t>
            </w:r>
          </w:p>
        </w:tc>
      </w:tr>
      <w:tr w:rsidR="002E554D" w:rsidRPr="002E554D" w14:paraId="2CCB7EE5" w14:textId="77777777" w:rsidTr="00287912">
        <w:trPr>
          <w:trHeight w:val="300"/>
          <w:jc w:val="center"/>
        </w:trPr>
        <w:tc>
          <w:tcPr>
            <w:tcW w:w="645" w:type="pct"/>
            <w:tcBorders>
              <w:left w:val="single" w:sz="4" w:space="0" w:color="auto"/>
              <w:right w:val="single" w:sz="4" w:space="0" w:color="auto"/>
            </w:tcBorders>
            <w:shd w:val="clear" w:color="auto" w:fill="auto"/>
            <w:noWrap/>
            <w:vAlign w:val="bottom"/>
            <w:hideMark/>
          </w:tcPr>
          <w:p w14:paraId="48D81BC8" w14:textId="7777777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42" w:type="pct"/>
            <w:tcBorders>
              <w:left w:val="single" w:sz="4" w:space="0" w:color="auto"/>
              <w:right w:val="single" w:sz="4" w:space="0" w:color="auto"/>
            </w:tcBorders>
            <w:shd w:val="clear" w:color="auto" w:fill="auto"/>
            <w:noWrap/>
            <w:hideMark/>
          </w:tcPr>
          <w:p w14:paraId="25AEB43B" w14:textId="5BC7B462" w:rsidR="000F3E12" w:rsidRPr="002E554D" w:rsidRDefault="000F3E12" w:rsidP="000F3E12">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-3.420***</w:t>
            </w:r>
          </w:p>
        </w:tc>
        <w:tc>
          <w:tcPr>
            <w:tcW w:w="469" w:type="pct"/>
            <w:tcBorders>
              <w:left w:val="single" w:sz="4" w:space="0" w:color="auto"/>
            </w:tcBorders>
            <w:shd w:val="clear" w:color="auto" w:fill="auto"/>
            <w:noWrap/>
            <w:hideMark/>
          </w:tcPr>
          <w:p w14:paraId="3A44F67A" w14:textId="0952C61D"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-2.724</w:t>
            </w:r>
          </w:p>
        </w:tc>
        <w:tc>
          <w:tcPr>
            <w:tcW w:w="469" w:type="pct"/>
            <w:shd w:val="clear" w:color="auto" w:fill="auto"/>
            <w:noWrap/>
            <w:hideMark/>
          </w:tcPr>
          <w:p w14:paraId="02B08542" w14:textId="2040761E"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-2.052</w:t>
            </w:r>
          </w:p>
        </w:tc>
        <w:tc>
          <w:tcPr>
            <w:tcW w:w="497" w:type="pct"/>
            <w:tcBorders>
              <w:right w:val="single" w:sz="4" w:space="0" w:color="auto"/>
            </w:tcBorders>
            <w:shd w:val="clear" w:color="auto" w:fill="auto"/>
            <w:noWrap/>
            <w:hideMark/>
          </w:tcPr>
          <w:p w14:paraId="48F4EDC6" w14:textId="741906AB"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-1.692</w:t>
            </w:r>
          </w:p>
        </w:tc>
        <w:tc>
          <w:tcPr>
            <w:tcW w:w="742" w:type="pct"/>
            <w:tcBorders>
              <w:left w:val="single" w:sz="4" w:space="0" w:color="auto"/>
              <w:right w:val="single" w:sz="4" w:space="0" w:color="auto"/>
            </w:tcBorders>
            <w:shd w:val="clear" w:color="auto" w:fill="auto"/>
            <w:noWrap/>
            <w:hideMark/>
          </w:tcPr>
          <w:p w14:paraId="775292A1" w14:textId="74FE1A4F"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-1.135</w:t>
            </w:r>
          </w:p>
        </w:tc>
        <w:tc>
          <w:tcPr>
            <w:tcW w:w="469" w:type="pct"/>
            <w:tcBorders>
              <w:left w:val="single" w:sz="4" w:space="0" w:color="auto"/>
            </w:tcBorders>
            <w:shd w:val="clear" w:color="auto" w:fill="auto"/>
            <w:noWrap/>
            <w:hideMark/>
          </w:tcPr>
          <w:p w14:paraId="35D02931" w14:textId="7BBF2DE8" w:rsidR="000F3E12" w:rsidRPr="002E554D" w:rsidRDefault="000F3E12" w:rsidP="000F3E1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-2.881</w:t>
            </w:r>
          </w:p>
        </w:tc>
        <w:tc>
          <w:tcPr>
            <w:tcW w:w="499" w:type="pct"/>
            <w:shd w:val="clear" w:color="auto" w:fill="auto"/>
            <w:noWrap/>
            <w:hideMark/>
          </w:tcPr>
          <w:p w14:paraId="0DC91CA3" w14:textId="70DCA746"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-2.218</w:t>
            </w:r>
          </w:p>
        </w:tc>
        <w:tc>
          <w:tcPr>
            <w:tcW w:w="469" w:type="pct"/>
            <w:tcBorders>
              <w:right w:val="single" w:sz="4" w:space="0" w:color="auto"/>
            </w:tcBorders>
            <w:shd w:val="clear" w:color="auto" w:fill="auto"/>
            <w:noWrap/>
            <w:hideMark/>
          </w:tcPr>
          <w:p w14:paraId="775C58E7" w14:textId="0B9AAE0D"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-1.861</w:t>
            </w:r>
          </w:p>
        </w:tc>
      </w:tr>
      <w:tr w:rsidR="002E554D" w:rsidRPr="002E554D" w14:paraId="72BF0EDD" w14:textId="77777777" w:rsidTr="00287912">
        <w:trPr>
          <w:trHeight w:val="300"/>
          <w:jc w:val="center"/>
        </w:trPr>
        <w:tc>
          <w:tcPr>
            <w:tcW w:w="645" w:type="pct"/>
            <w:tcBorders>
              <w:left w:val="single" w:sz="4" w:space="0" w:color="auto"/>
              <w:right w:val="single" w:sz="4" w:space="0" w:color="auto"/>
            </w:tcBorders>
            <w:shd w:val="clear" w:color="auto" w:fill="auto"/>
            <w:noWrap/>
            <w:vAlign w:val="bottom"/>
            <w:hideMark/>
          </w:tcPr>
          <w:p w14:paraId="15CFDD1A" w14:textId="7777777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42" w:type="pct"/>
            <w:tcBorders>
              <w:left w:val="single" w:sz="4" w:space="0" w:color="auto"/>
              <w:right w:val="single" w:sz="4" w:space="0" w:color="auto"/>
            </w:tcBorders>
            <w:shd w:val="clear" w:color="auto" w:fill="auto"/>
            <w:noWrap/>
            <w:hideMark/>
          </w:tcPr>
          <w:p w14:paraId="6261F3FA" w14:textId="7448C5D5" w:rsidR="000F3E12" w:rsidRPr="002E554D" w:rsidRDefault="000F3E12" w:rsidP="000F3E12">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-3.399***</w:t>
            </w:r>
          </w:p>
        </w:tc>
        <w:tc>
          <w:tcPr>
            <w:tcW w:w="469" w:type="pct"/>
            <w:tcBorders>
              <w:left w:val="single" w:sz="4" w:space="0" w:color="auto"/>
            </w:tcBorders>
            <w:shd w:val="clear" w:color="auto" w:fill="auto"/>
            <w:noWrap/>
            <w:hideMark/>
          </w:tcPr>
          <w:p w14:paraId="62D9AD3D" w14:textId="52FADD23"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-3.058</w:t>
            </w:r>
          </w:p>
        </w:tc>
        <w:tc>
          <w:tcPr>
            <w:tcW w:w="469" w:type="pct"/>
            <w:shd w:val="clear" w:color="auto" w:fill="auto"/>
            <w:noWrap/>
            <w:hideMark/>
          </w:tcPr>
          <w:p w14:paraId="53D7DAD2" w14:textId="617095B9"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-2.403</w:t>
            </w:r>
          </w:p>
        </w:tc>
        <w:tc>
          <w:tcPr>
            <w:tcW w:w="497" w:type="pct"/>
            <w:tcBorders>
              <w:right w:val="single" w:sz="4" w:space="0" w:color="auto"/>
            </w:tcBorders>
            <w:shd w:val="clear" w:color="auto" w:fill="auto"/>
            <w:noWrap/>
            <w:hideMark/>
          </w:tcPr>
          <w:p w14:paraId="1AF28614" w14:textId="4A2EF495" w:rsidR="000F3E12" w:rsidRPr="002E554D" w:rsidRDefault="000F3E12" w:rsidP="000F3E1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-2.058</w:t>
            </w:r>
          </w:p>
        </w:tc>
        <w:tc>
          <w:tcPr>
            <w:tcW w:w="742" w:type="pct"/>
            <w:tcBorders>
              <w:left w:val="single" w:sz="4" w:space="0" w:color="auto"/>
              <w:right w:val="single" w:sz="4" w:space="0" w:color="auto"/>
            </w:tcBorders>
            <w:shd w:val="clear" w:color="auto" w:fill="auto"/>
            <w:noWrap/>
            <w:hideMark/>
          </w:tcPr>
          <w:p w14:paraId="650E744C" w14:textId="3EEA6B91"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-1.122</w:t>
            </w:r>
          </w:p>
        </w:tc>
        <w:tc>
          <w:tcPr>
            <w:tcW w:w="469" w:type="pct"/>
            <w:tcBorders>
              <w:left w:val="single" w:sz="4" w:space="0" w:color="auto"/>
            </w:tcBorders>
            <w:shd w:val="clear" w:color="auto" w:fill="auto"/>
            <w:noWrap/>
            <w:hideMark/>
          </w:tcPr>
          <w:p w14:paraId="769068F0" w14:textId="65CC3414"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-3.059</w:t>
            </w:r>
          </w:p>
        </w:tc>
        <w:tc>
          <w:tcPr>
            <w:tcW w:w="499" w:type="pct"/>
            <w:shd w:val="clear" w:color="auto" w:fill="auto"/>
            <w:noWrap/>
            <w:hideMark/>
          </w:tcPr>
          <w:p w14:paraId="1D16BD85" w14:textId="490600D9"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-2.404</w:t>
            </w:r>
          </w:p>
        </w:tc>
        <w:tc>
          <w:tcPr>
            <w:tcW w:w="469" w:type="pct"/>
            <w:tcBorders>
              <w:right w:val="single" w:sz="4" w:space="0" w:color="auto"/>
            </w:tcBorders>
            <w:shd w:val="clear" w:color="auto" w:fill="auto"/>
            <w:noWrap/>
            <w:hideMark/>
          </w:tcPr>
          <w:p w14:paraId="0C715463" w14:textId="78BC3021" w:rsidR="000F3E12" w:rsidRPr="002E554D" w:rsidRDefault="000F3E12" w:rsidP="000F3E1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-2.059</w:t>
            </w:r>
          </w:p>
        </w:tc>
      </w:tr>
      <w:tr w:rsidR="002E554D" w:rsidRPr="002E554D" w14:paraId="526CD514" w14:textId="77777777" w:rsidTr="00287912">
        <w:trPr>
          <w:trHeight w:val="300"/>
          <w:jc w:val="center"/>
        </w:trPr>
        <w:tc>
          <w:tcPr>
            <w:tcW w:w="645" w:type="pct"/>
            <w:tcBorders>
              <w:left w:val="single" w:sz="4" w:space="0" w:color="auto"/>
              <w:right w:val="single" w:sz="4" w:space="0" w:color="auto"/>
            </w:tcBorders>
            <w:shd w:val="clear" w:color="auto" w:fill="auto"/>
            <w:noWrap/>
            <w:vAlign w:val="bottom"/>
            <w:hideMark/>
          </w:tcPr>
          <w:p w14:paraId="26AA1744" w14:textId="7777777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42" w:type="pct"/>
            <w:tcBorders>
              <w:left w:val="single" w:sz="4" w:space="0" w:color="auto"/>
              <w:right w:val="single" w:sz="4" w:space="0" w:color="auto"/>
            </w:tcBorders>
            <w:shd w:val="clear" w:color="auto" w:fill="auto"/>
            <w:noWrap/>
            <w:hideMark/>
          </w:tcPr>
          <w:p w14:paraId="664B6398" w14:textId="1BB730D9" w:rsidR="000F3E12" w:rsidRPr="002E554D" w:rsidRDefault="000F3E12" w:rsidP="000F3E12">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-3.485***</w:t>
            </w:r>
          </w:p>
        </w:tc>
        <w:tc>
          <w:tcPr>
            <w:tcW w:w="469" w:type="pct"/>
            <w:tcBorders>
              <w:left w:val="single" w:sz="4" w:space="0" w:color="auto"/>
            </w:tcBorders>
            <w:shd w:val="clear" w:color="auto" w:fill="auto"/>
            <w:noWrap/>
            <w:hideMark/>
          </w:tcPr>
          <w:p w14:paraId="75389A87" w14:textId="1BAAA263"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-3.124</w:t>
            </w:r>
          </w:p>
        </w:tc>
        <w:tc>
          <w:tcPr>
            <w:tcW w:w="469" w:type="pct"/>
            <w:shd w:val="clear" w:color="auto" w:fill="auto"/>
            <w:noWrap/>
            <w:hideMark/>
          </w:tcPr>
          <w:p w14:paraId="178D24DB" w14:textId="1C88F1E6"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-2.465</w:t>
            </w:r>
          </w:p>
        </w:tc>
        <w:tc>
          <w:tcPr>
            <w:tcW w:w="497" w:type="pct"/>
            <w:tcBorders>
              <w:right w:val="single" w:sz="4" w:space="0" w:color="auto"/>
            </w:tcBorders>
            <w:shd w:val="clear" w:color="auto" w:fill="auto"/>
            <w:noWrap/>
            <w:hideMark/>
          </w:tcPr>
          <w:p w14:paraId="1CCBAA1F" w14:textId="4BE25E21"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-2.125</w:t>
            </w:r>
          </w:p>
        </w:tc>
        <w:tc>
          <w:tcPr>
            <w:tcW w:w="742" w:type="pct"/>
            <w:tcBorders>
              <w:left w:val="single" w:sz="4" w:space="0" w:color="auto"/>
              <w:right w:val="single" w:sz="4" w:space="0" w:color="auto"/>
            </w:tcBorders>
            <w:shd w:val="clear" w:color="auto" w:fill="auto"/>
            <w:noWrap/>
            <w:hideMark/>
          </w:tcPr>
          <w:p w14:paraId="4C4A2274" w14:textId="2540E8ED"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-1.208</w:t>
            </w:r>
          </w:p>
        </w:tc>
        <w:tc>
          <w:tcPr>
            <w:tcW w:w="469" w:type="pct"/>
            <w:tcBorders>
              <w:left w:val="single" w:sz="4" w:space="0" w:color="auto"/>
            </w:tcBorders>
            <w:shd w:val="clear" w:color="auto" w:fill="auto"/>
            <w:noWrap/>
            <w:hideMark/>
          </w:tcPr>
          <w:p w14:paraId="5318A903" w14:textId="6B676A06"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-3.165</w:t>
            </w:r>
          </w:p>
        </w:tc>
        <w:tc>
          <w:tcPr>
            <w:tcW w:w="499" w:type="pct"/>
            <w:shd w:val="clear" w:color="auto" w:fill="auto"/>
            <w:noWrap/>
            <w:hideMark/>
          </w:tcPr>
          <w:p w14:paraId="7418AF01" w14:textId="3F64CFF1"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-2.519</w:t>
            </w:r>
          </w:p>
        </w:tc>
        <w:tc>
          <w:tcPr>
            <w:tcW w:w="469" w:type="pct"/>
            <w:tcBorders>
              <w:right w:val="single" w:sz="4" w:space="0" w:color="auto"/>
            </w:tcBorders>
            <w:shd w:val="clear" w:color="auto" w:fill="auto"/>
            <w:noWrap/>
            <w:hideMark/>
          </w:tcPr>
          <w:p w14:paraId="71FEAE2C" w14:textId="652A08C1" w:rsidR="000F3E12" w:rsidRPr="002E554D" w:rsidRDefault="000F3E12" w:rsidP="000F3E1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-2.179</w:t>
            </w:r>
          </w:p>
        </w:tc>
      </w:tr>
      <w:tr w:rsidR="002E554D" w:rsidRPr="002E554D" w14:paraId="772DB54D" w14:textId="77777777" w:rsidTr="00287912">
        <w:trPr>
          <w:trHeight w:val="300"/>
          <w:jc w:val="center"/>
        </w:trPr>
        <w:tc>
          <w:tcPr>
            <w:tcW w:w="645" w:type="pct"/>
            <w:tcBorders>
              <w:left w:val="single" w:sz="4" w:space="0" w:color="auto"/>
              <w:right w:val="single" w:sz="4" w:space="0" w:color="auto"/>
            </w:tcBorders>
            <w:shd w:val="clear" w:color="auto" w:fill="auto"/>
            <w:noWrap/>
            <w:vAlign w:val="bottom"/>
            <w:hideMark/>
          </w:tcPr>
          <w:p w14:paraId="34374D4A" w14:textId="7777777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42" w:type="pct"/>
            <w:tcBorders>
              <w:left w:val="single" w:sz="4" w:space="0" w:color="auto"/>
              <w:right w:val="single" w:sz="4" w:space="0" w:color="auto"/>
            </w:tcBorders>
            <w:shd w:val="clear" w:color="auto" w:fill="auto"/>
            <w:noWrap/>
            <w:hideMark/>
          </w:tcPr>
          <w:p w14:paraId="489CCE5F" w14:textId="6C7F5152"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-1.421</w:t>
            </w:r>
          </w:p>
        </w:tc>
        <w:tc>
          <w:tcPr>
            <w:tcW w:w="469" w:type="pct"/>
            <w:tcBorders>
              <w:left w:val="single" w:sz="4" w:space="0" w:color="auto"/>
            </w:tcBorders>
            <w:shd w:val="clear" w:color="auto" w:fill="auto"/>
            <w:noWrap/>
            <w:hideMark/>
          </w:tcPr>
          <w:p w14:paraId="42A5FF15" w14:textId="5075119C"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-3.177</w:t>
            </w:r>
          </w:p>
        </w:tc>
        <w:tc>
          <w:tcPr>
            <w:tcW w:w="469" w:type="pct"/>
            <w:shd w:val="clear" w:color="auto" w:fill="auto"/>
            <w:noWrap/>
            <w:hideMark/>
          </w:tcPr>
          <w:p w14:paraId="7537AA08" w14:textId="1F1AECC0"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-2.534</w:t>
            </w:r>
          </w:p>
        </w:tc>
        <w:tc>
          <w:tcPr>
            <w:tcW w:w="497" w:type="pct"/>
            <w:tcBorders>
              <w:right w:val="single" w:sz="4" w:space="0" w:color="auto"/>
            </w:tcBorders>
            <w:shd w:val="clear" w:color="auto" w:fill="auto"/>
            <w:noWrap/>
            <w:hideMark/>
          </w:tcPr>
          <w:p w14:paraId="7382FA33" w14:textId="01988274"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-2.194</w:t>
            </w:r>
          </w:p>
        </w:tc>
        <w:tc>
          <w:tcPr>
            <w:tcW w:w="742" w:type="pct"/>
            <w:tcBorders>
              <w:left w:val="single" w:sz="4" w:space="0" w:color="auto"/>
              <w:right w:val="single" w:sz="4" w:space="0" w:color="auto"/>
            </w:tcBorders>
            <w:shd w:val="clear" w:color="auto" w:fill="auto"/>
            <w:noWrap/>
            <w:hideMark/>
          </w:tcPr>
          <w:p w14:paraId="02C57C21" w14:textId="201BBAE9"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-0.038</w:t>
            </w:r>
          </w:p>
        </w:tc>
        <w:tc>
          <w:tcPr>
            <w:tcW w:w="469" w:type="pct"/>
            <w:tcBorders>
              <w:left w:val="single" w:sz="4" w:space="0" w:color="auto"/>
            </w:tcBorders>
            <w:shd w:val="clear" w:color="auto" w:fill="auto"/>
            <w:noWrap/>
            <w:hideMark/>
          </w:tcPr>
          <w:p w14:paraId="6D37AC5E" w14:textId="03BD4659"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-3.208</w:t>
            </w:r>
          </w:p>
        </w:tc>
        <w:tc>
          <w:tcPr>
            <w:tcW w:w="499" w:type="pct"/>
            <w:shd w:val="clear" w:color="auto" w:fill="auto"/>
            <w:noWrap/>
            <w:hideMark/>
          </w:tcPr>
          <w:p w14:paraId="0BDC7CB4" w14:textId="36C8574E"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-2.575</w:t>
            </w:r>
          </w:p>
        </w:tc>
        <w:tc>
          <w:tcPr>
            <w:tcW w:w="469" w:type="pct"/>
            <w:tcBorders>
              <w:right w:val="single" w:sz="4" w:space="0" w:color="auto"/>
            </w:tcBorders>
            <w:shd w:val="clear" w:color="auto" w:fill="auto"/>
            <w:noWrap/>
            <w:hideMark/>
          </w:tcPr>
          <w:p w14:paraId="24A8B4D2" w14:textId="69212220"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-2.235</w:t>
            </w:r>
          </w:p>
        </w:tc>
      </w:tr>
      <w:tr w:rsidR="002E554D" w:rsidRPr="002E554D" w14:paraId="3C2DE469" w14:textId="77777777" w:rsidTr="00287912">
        <w:trPr>
          <w:trHeight w:val="300"/>
          <w:jc w:val="center"/>
        </w:trPr>
        <w:tc>
          <w:tcPr>
            <w:tcW w:w="645" w:type="pct"/>
            <w:tcBorders>
              <w:left w:val="single" w:sz="4" w:space="0" w:color="auto"/>
              <w:right w:val="single" w:sz="4" w:space="0" w:color="auto"/>
            </w:tcBorders>
            <w:shd w:val="clear" w:color="auto" w:fill="auto"/>
            <w:noWrap/>
            <w:vAlign w:val="bottom"/>
            <w:hideMark/>
          </w:tcPr>
          <w:p w14:paraId="2F914316" w14:textId="7777777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42" w:type="pct"/>
            <w:tcBorders>
              <w:left w:val="single" w:sz="4" w:space="0" w:color="auto"/>
              <w:right w:val="single" w:sz="4" w:space="0" w:color="auto"/>
            </w:tcBorders>
            <w:shd w:val="clear" w:color="auto" w:fill="auto"/>
            <w:noWrap/>
            <w:hideMark/>
          </w:tcPr>
          <w:p w14:paraId="72C75D0F" w14:textId="4269B7C3"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-0.477</w:t>
            </w:r>
          </w:p>
        </w:tc>
        <w:tc>
          <w:tcPr>
            <w:tcW w:w="469" w:type="pct"/>
            <w:tcBorders>
              <w:left w:val="single" w:sz="4" w:space="0" w:color="auto"/>
            </w:tcBorders>
            <w:shd w:val="clear" w:color="auto" w:fill="auto"/>
            <w:noWrap/>
            <w:hideMark/>
          </w:tcPr>
          <w:p w14:paraId="6549FFE2" w14:textId="724B3CFA"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-3.174</w:t>
            </w:r>
          </w:p>
        </w:tc>
        <w:tc>
          <w:tcPr>
            <w:tcW w:w="469" w:type="pct"/>
            <w:shd w:val="clear" w:color="auto" w:fill="auto"/>
            <w:noWrap/>
            <w:hideMark/>
          </w:tcPr>
          <w:p w14:paraId="62EA6F9E" w14:textId="020A015E"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-2.530</w:t>
            </w:r>
          </w:p>
        </w:tc>
        <w:tc>
          <w:tcPr>
            <w:tcW w:w="497" w:type="pct"/>
            <w:tcBorders>
              <w:right w:val="single" w:sz="4" w:space="0" w:color="auto"/>
            </w:tcBorders>
            <w:shd w:val="clear" w:color="auto" w:fill="auto"/>
            <w:noWrap/>
            <w:hideMark/>
          </w:tcPr>
          <w:p w14:paraId="56C8FD87" w14:textId="29AC7588"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-2.190</w:t>
            </w:r>
          </w:p>
        </w:tc>
        <w:tc>
          <w:tcPr>
            <w:tcW w:w="742" w:type="pct"/>
            <w:tcBorders>
              <w:left w:val="single" w:sz="4" w:space="0" w:color="auto"/>
              <w:right w:val="single" w:sz="4" w:space="0" w:color="auto"/>
            </w:tcBorders>
            <w:shd w:val="clear" w:color="auto" w:fill="auto"/>
            <w:noWrap/>
            <w:hideMark/>
          </w:tcPr>
          <w:p w14:paraId="77B30AEB" w14:textId="70F1E991"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-0.013</w:t>
            </w:r>
          </w:p>
        </w:tc>
        <w:tc>
          <w:tcPr>
            <w:tcW w:w="469" w:type="pct"/>
            <w:tcBorders>
              <w:left w:val="single" w:sz="4" w:space="0" w:color="auto"/>
            </w:tcBorders>
            <w:shd w:val="clear" w:color="auto" w:fill="auto"/>
            <w:noWrap/>
            <w:hideMark/>
          </w:tcPr>
          <w:p w14:paraId="2AB6C246" w14:textId="3D2083B1"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-3.199</w:t>
            </w:r>
          </w:p>
        </w:tc>
        <w:tc>
          <w:tcPr>
            <w:tcW w:w="499" w:type="pct"/>
            <w:shd w:val="clear" w:color="auto" w:fill="auto"/>
            <w:noWrap/>
            <w:hideMark/>
          </w:tcPr>
          <w:p w14:paraId="4047B64B" w14:textId="0C179AAD"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-2.563</w:t>
            </w:r>
          </w:p>
        </w:tc>
        <w:tc>
          <w:tcPr>
            <w:tcW w:w="469" w:type="pct"/>
            <w:tcBorders>
              <w:right w:val="single" w:sz="4" w:space="0" w:color="auto"/>
            </w:tcBorders>
            <w:shd w:val="clear" w:color="auto" w:fill="auto"/>
            <w:noWrap/>
            <w:hideMark/>
          </w:tcPr>
          <w:p w14:paraId="1A29444C" w14:textId="07689151"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-2.223</w:t>
            </w:r>
          </w:p>
        </w:tc>
      </w:tr>
      <w:tr w:rsidR="002E554D" w:rsidRPr="002E554D" w14:paraId="1AC47C30" w14:textId="77777777" w:rsidTr="00287912">
        <w:trPr>
          <w:trHeight w:val="300"/>
          <w:jc w:val="center"/>
        </w:trPr>
        <w:tc>
          <w:tcPr>
            <w:tcW w:w="645" w:type="pct"/>
            <w:tcBorders>
              <w:left w:val="single" w:sz="4" w:space="0" w:color="auto"/>
              <w:right w:val="single" w:sz="4" w:space="0" w:color="auto"/>
            </w:tcBorders>
            <w:shd w:val="clear" w:color="auto" w:fill="auto"/>
            <w:noWrap/>
            <w:vAlign w:val="bottom"/>
            <w:hideMark/>
          </w:tcPr>
          <w:p w14:paraId="47A070F4" w14:textId="7777777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lastRenderedPageBreak/>
              <w:t>0.6</w:t>
            </w:r>
          </w:p>
        </w:tc>
        <w:tc>
          <w:tcPr>
            <w:tcW w:w="742" w:type="pct"/>
            <w:tcBorders>
              <w:left w:val="single" w:sz="4" w:space="0" w:color="auto"/>
              <w:right w:val="single" w:sz="4" w:space="0" w:color="auto"/>
            </w:tcBorders>
            <w:shd w:val="clear" w:color="auto" w:fill="auto"/>
            <w:noWrap/>
            <w:hideMark/>
          </w:tcPr>
          <w:p w14:paraId="711A0E30" w14:textId="3AF2CBB7"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0.243</w:t>
            </w:r>
          </w:p>
        </w:tc>
        <w:tc>
          <w:tcPr>
            <w:tcW w:w="469" w:type="pct"/>
            <w:tcBorders>
              <w:left w:val="single" w:sz="4" w:space="0" w:color="auto"/>
            </w:tcBorders>
            <w:shd w:val="clear" w:color="auto" w:fill="auto"/>
            <w:noWrap/>
            <w:hideMark/>
          </w:tcPr>
          <w:p w14:paraId="0F9F4791" w14:textId="6E77054A"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-3.215</w:t>
            </w:r>
          </w:p>
        </w:tc>
        <w:tc>
          <w:tcPr>
            <w:tcW w:w="469" w:type="pct"/>
            <w:shd w:val="clear" w:color="auto" w:fill="auto"/>
            <w:noWrap/>
            <w:hideMark/>
          </w:tcPr>
          <w:p w14:paraId="6C895087" w14:textId="59253F58"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-2.583</w:t>
            </w:r>
          </w:p>
        </w:tc>
        <w:tc>
          <w:tcPr>
            <w:tcW w:w="497" w:type="pct"/>
            <w:tcBorders>
              <w:right w:val="single" w:sz="4" w:space="0" w:color="auto"/>
            </w:tcBorders>
            <w:shd w:val="clear" w:color="auto" w:fill="auto"/>
            <w:noWrap/>
            <w:hideMark/>
          </w:tcPr>
          <w:p w14:paraId="6AE3367D" w14:textId="523F55C6" w:rsidR="000F3E12" w:rsidRPr="002E554D" w:rsidRDefault="000F3E12" w:rsidP="000F3E1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-2.243</w:t>
            </w:r>
          </w:p>
        </w:tc>
        <w:tc>
          <w:tcPr>
            <w:tcW w:w="742" w:type="pct"/>
            <w:tcBorders>
              <w:left w:val="single" w:sz="4" w:space="0" w:color="auto"/>
              <w:right w:val="single" w:sz="4" w:space="0" w:color="auto"/>
            </w:tcBorders>
            <w:shd w:val="clear" w:color="auto" w:fill="auto"/>
            <w:noWrap/>
            <w:hideMark/>
          </w:tcPr>
          <w:p w14:paraId="29AE4589" w14:textId="55EF344A"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-0.340</w:t>
            </w:r>
          </w:p>
        </w:tc>
        <w:tc>
          <w:tcPr>
            <w:tcW w:w="469" w:type="pct"/>
            <w:tcBorders>
              <w:left w:val="single" w:sz="4" w:space="0" w:color="auto"/>
            </w:tcBorders>
            <w:shd w:val="clear" w:color="auto" w:fill="auto"/>
            <w:noWrap/>
            <w:hideMark/>
          </w:tcPr>
          <w:p w14:paraId="1DAE5072" w14:textId="5FD0E1D1"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-3.140</w:t>
            </w:r>
          </w:p>
        </w:tc>
        <w:tc>
          <w:tcPr>
            <w:tcW w:w="499" w:type="pct"/>
            <w:shd w:val="clear" w:color="auto" w:fill="auto"/>
            <w:noWrap/>
            <w:hideMark/>
          </w:tcPr>
          <w:p w14:paraId="4350D751" w14:textId="59818FB1"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-2.486</w:t>
            </w:r>
          </w:p>
        </w:tc>
        <w:tc>
          <w:tcPr>
            <w:tcW w:w="469" w:type="pct"/>
            <w:tcBorders>
              <w:right w:val="single" w:sz="4" w:space="0" w:color="auto"/>
            </w:tcBorders>
            <w:shd w:val="clear" w:color="auto" w:fill="auto"/>
            <w:noWrap/>
            <w:hideMark/>
          </w:tcPr>
          <w:p w14:paraId="0F611738" w14:textId="710305B1"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-2.146</w:t>
            </w:r>
          </w:p>
        </w:tc>
      </w:tr>
      <w:tr w:rsidR="002E554D" w:rsidRPr="002E554D" w14:paraId="0D6F95F2" w14:textId="77777777" w:rsidTr="00287912">
        <w:trPr>
          <w:trHeight w:val="300"/>
          <w:jc w:val="center"/>
        </w:trPr>
        <w:tc>
          <w:tcPr>
            <w:tcW w:w="645" w:type="pct"/>
            <w:tcBorders>
              <w:left w:val="single" w:sz="4" w:space="0" w:color="auto"/>
              <w:right w:val="single" w:sz="4" w:space="0" w:color="auto"/>
            </w:tcBorders>
            <w:shd w:val="clear" w:color="auto" w:fill="auto"/>
            <w:noWrap/>
            <w:vAlign w:val="bottom"/>
            <w:hideMark/>
          </w:tcPr>
          <w:p w14:paraId="7EDD03CB" w14:textId="7777777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42" w:type="pct"/>
            <w:tcBorders>
              <w:left w:val="single" w:sz="4" w:space="0" w:color="auto"/>
              <w:right w:val="single" w:sz="4" w:space="0" w:color="auto"/>
            </w:tcBorders>
            <w:shd w:val="clear" w:color="auto" w:fill="auto"/>
            <w:noWrap/>
            <w:hideMark/>
          </w:tcPr>
          <w:p w14:paraId="7FE77216" w14:textId="08CA1145"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1.397</w:t>
            </w:r>
          </w:p>
        </w:tc>
        <w:tc>
          <w:tcPr>
            <w:tcW w:w="469" w:type="pct"/>
            <w:tcBorders>
              <w:left w:val="single" w:sz="4" w:space="0" w:color="auto"/>
            </w:tcBorders>
            <w:shd w:val="clear" w:color="auto" w:fill="auto"/>
            <w:noWrap/>
            <w:hideMark/>
          </w:tcPr>
          <w:p w14:paraId="6D10B332" w14:textId="22110298" w:rsidR="000F3E12" w:rsidRPr="002E554D" w:rsidRDefault="000F3E12" w:rsidP="000F3E1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-3.132</w:t>
            </w:r>
          </w:p>
        </w:tc>
        <w:tc>
          <w:tcPr>
            <w:tcW w:w="469" w:type="pct"/>
            <w:shd w:val="clear" w:color="auto" w:fill="auto"/>
            <w:noWrap/>
            <w:hideMark/>
          </w:tcPr>
          <w:p w14:paraId="34B77316" w14:textId="07F5771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-2.476</w:t>
            </w:r>
          </w:p>
        </w:tc>
        <w:tc>
          <w:tcPr>
            <w:tcW w:w="497" w:type="pct"/>
            <w:tcBorders>
              <w:right w:val="single" w:sz="4" w:space="0" w:color="auto"/>
            </w:tcBorders>
            <w:shd w:val="clear" w:color="auto" w:fill="auto"/>
            <w:noWrap/>
            <w:hideMark/>
          </w:tcPr>
          <w:p w14:paraId="7CC6D873" w14:textId="150FA039"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-2.136</w:t>
            </w:r>
          </w:p>
        </w:tc>
        <w:tc>
          <w:tcPr>
            <w:tcW w:w="742" w:type="pct"/>
            <w:tcBorders>
              <w:left w:val="single" w:sz="4" w:space="0" w:color="auto"/>
              <w:right w:val="single" w:sz="4" w:space="0" w:color="auto"/>
            </w:tcBorders>
            <w:shd w:val="clear" w:color="auto" w:fill="auto"/>
            <w:noWrap/>
            <w:hideMark/>
          </w:tcPr>
          <w:p w14:paraId="736A9C39" w14:textId="077B4119"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-0.001</w:t>
            </w:r>
          </w:p>
        </w:tc>
        <w:tc>
          <w:tcPr>
            <w:tcW w:w="469" w:type="pct"/>
            <w:tcBorders>
              <w:left w:val="single" w:sz="4" w:space="0" w:color="auto"/>
            </w:tcBorders>
            <w:shd w:val="clear" w:color="auto" w:fill="auto"/>
            <w:noWrap/>
            <w:hideMark/>
          </w:tcPr>
          <w:p w14:paraId="5BF83F00" w14:textId="3D4C63D2"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-3.158</w:t>
            </w:r>
          </w:p>
        </w:tc>
        <w:tc>
          <w:tcPr>
            <w:tcW w:w="499" w:type="pct"/>
            <w:shd w:val="clear" w:color="auto" w:fill="auto"/>
            <w:noWrap/>
            <w:hideMark/>
          </w:tcPr>
          <w:p w14:paraId="5D95CC6C" w14:textId="72FD966C"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-2.509</w:t>
            </w:r>
          </w:p>
        </w:tc>
        <w:tc>
          <w:tcPr>
            <w:tcW w:w="469" w:type="pct"/>
            <w:tcBorders>
              <w:right w:val="single" w:sz="4" w:space="0" w:color="auto"/>
            </w:tcBorders>
            <w:shd w:val="clear" w:color="auto" w:fill="auto"/>
            <w:noWrap/>
            <w:hideMark/>
          </w:tcPr>
          <w:p w14:paraId="56D03AE0" w14:textId="33A19DFC"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-2.169</w:t>
            </w:r>
          </w:p>
        </w:tc>
      </w:tr>
      <w:tr w:rsidR="002E554D" w:rsidRPr="002E554D" w14:paraId="6511976C" w14:textId="77777777" w:rsidTr="00287912">
        <w:trPr>
          <w:trHeight w:val="300"/>
          <w:jc w:val="center"/>
        </w:trPr>
        <w:tc>
          <w:tcPr>
            <w:tcW w:w="645" w:type="pct"/>
            <w:tcBorders>
              <w:left w:val="single" w:sz="4" w:space="0" w:color="auto"/>
              <w:right w:val="single" w:sz="4" w:space="0" w:color="auto"/>
            </w:tcBorders>
            <w:shd w:val="clear" w:color="auto" w:fill="auto"/>
            <w:noWrap/>
            <w:vAlign w:val="bottom"/>
            <w:hideMark/>
          </w:tcPr>
          <w:p w14:paraId="0CD80DFA" w14:textId="7777777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42" w:type="pct"/>
            <w:tcBorders>
              <w:left w:val="single" w:sz="4" w:space="0" w:color="auto"/>
              <w:right w:val="single" w:sz="4" w:space="0" w:color="auto"/>
            </w:tcBorders>
            <w:shd w:val="clear" w:color="auto" w:fill="auto"/>
            <w:noWrap/>
            <w:hideMark/>
          </w:tcPr>
          <w:p w14:paraId="579CF7FA" w14:textId="0B9200AE"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1.717</w:t>
            </w:r>
          </w:p>
        </w:tc>
        <w:tc>
          <w:tcPr>
            <w:tcW w:w="469" w:type="pct"/>
            <w:tcBorders>
              <w:left w:val="single" w:sz="4" w:space="0" w:color="auto"/>
            </w:tcBorders>
            <w:shd w:val="clear" w:color="auto" w:fill="auto"/>
            <w:noWrap/>
            <w:hideMark/>
          </w:tcPr>
          <w:p w14:paraId="3BE20896" w14:textId="1ACFCDC4" w:rsidR="000F3E12" w:rsidRPr="002E554D" w:rsidRDefault="000F3E12" w:rsidP="000F3E1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-3.000</w:t>
            </w:r>
          </w:p>
        </w:tc>
        <w:tc>
          <w:tcPr>
            <w:tcW w:w="469" w:type="pct"/>
            <w:shd w:val="clear" w:color="auto" w:fill="auto"/>
            <w:noWrap/>
            <w:hideMark/>
          </w:tcPr>
          <w:p w14:paraId="6970495E" w14:textId="238DD905"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-2.350</w:t>
            </w:r>
          </w:p>
        </w:tc>
        <w:tc>
          <w:tcPr>
            <w:tcW w:w="497" w:type="pct"/>
            <w:tcBorders>
              <w:right w:val="single" w:sz="4" w:space="0" w:color="auto"/>
            </w:tcBorders>
            <w:shd w:val="clear" w:color="auto" w:fill="auto"/>
            <w:noWrap/>
            <w:hideMark/>
          </w:tcPr>
          <w:p w14:paraId="13BB840D" w14:textId="7E2D370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-2.000</w:t>
            </w:r>
          </w:p>
        </w:tc>
        <w:tc>
          <w:tcPr>
            <w:tcW w:w="742" w:type="pct"/>
            <w:tcBorders>
              <w:left w:val="single" w:sz="4" w:space="0" w:color="auto"/>
              <w:right w:val="single" w:sz="4" w:space="0" w:color="auto"/>
            </w:tcBorders>
            <w:shd w:val="clear" w:color="auto" w:fill="auto"/>
            <w:noWrap/>
            <w:hideMark/>
          </w:tcPr>
          <w:p w14:paraId="1BC5A597" w14:textId="7DE79224"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-0.299</w:t>
            </w:r>
          </w:p>
        </w:tc>
        <w:tc>
          <w:tcPr>
            <w:tcW w:w="469" w:type="pct"/>
            <w:tcBorders>
              <w:left w:val="single" w:sz="4" w:space="0" w:color="auto"/>
            </w:tcBorders>
            <w:shd w:val="clear" w:color="auto" w:fill="auto"/>
            <w:noWrap/>
            <w:hideMark/>
          </w:tcPr>
          <w:p w14:paraId="086E548C" w14:textId="6BE14902"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-3.026</w:t>
            </w:r>
          </w:p>
        </w:tc>
        <w:tc>
          <w:tcPr>
            <w:tcW w:w="499" w:type="pct"/>
            <w:shd w:val="clear" w:color="auto" w:fill="auto"/>
            <w:noWrap/>
            <w:hideMark/>
          </w:tcPr>
          <w:p w14:paraId="0BAE254D" w14:textId="6137C14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-2.373</w:t>
            </w:r>
          </w:p>
        </w:tc>
        <w:tc>
          <w:tcPr>
            <w:tcW w:w="469" w:type="pct"/>
            <w:tcBorders>
              <w:right w:val="single" w:sz="4" w:space="0" w:color="auto"/>
            </w:tcBorders>
            <w:shd w:val="clear" w:color="auto" w:fill="auto"/>
            <w:noWrap/>
            <w:hideMark/>
          </w:tcPr>
          <w:p w14:paraId="32D9B56B" w14:textId="7178713B"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-2.026</w:t>
            </w:r>
          </w:p>
        </w:tc>
      </w:tr>
      <w:tr w:rsidR="002E554D" w:rsidRPr="002E554D" w14:paraId="12187AD0" w14:textId="77777777" w:rsidTr="00287912">
        <w:trPr>
          <w:trHeight w:val="300"/>
          <w:jc w:val="center"/>
        </w:trPr>
        <w:tc>
          <w:tcPr>
            <w:tcW w:w="645" w:type="pct"/>
            <w:tcBorders>
              <w:left w:val="single" w:sz="4" w:space="0" w:color="auto"/>
              <w:right w:val="single" w:sz="4" w:space="0" w:color="auto"/>
            </w:tcBorders>
            <w:shd w:val="clear" w:color="auto" w:fill="auto"/>
            <w:noWrap/>
            <w:vAlign w:val="bottom"/>
            <w:hideMark/>
          </w:tcPr>
          <w:p w14:paraId="6EEAE3FF" w14:textId="77777777"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42" w:type="pct"/>
            <w:tcBorders>
              <w:left w:val="single" w:sz="4" w:space="0" w:color="auto"/>
              <w:right w:val="single" w:sz="4" w:space="0" w:color="auto"/>
            </w:tcBorders>
            <w:shd w:val="clear" w:color="auto" w:fill="auto"/>
            <w:noWrap/>
            <w:hideMark/>
          </w:tcPr>
          <w:p w14:paraId="44399EB4" w14:textId="00B40150"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1.693</w:t>
            </w:r>
          </w:p>
        </w:tc>
        <w:tc>
          <w:tcPr>
            <w:tcW w:w="469" w:type="pct"/>
            <w:tcBorders>
              <w:left w:val="single" w:sz="4" w:space="0" w:color="auto"/>
            </w:tcBorders>
            <w:shd w:val="clear" w:color="auto" w:fill="auto"/>
            <w:noWrap/>
            <w:hideMark/>
          </w:tcPr>
          <w:p w14:paraId="718A3CF9" w14:textId="4B3A7C1D"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-2.766</w:t>
            </w:r>
          </w:p>
        </w:tc>
        <w:tc>
          <w:tcPr>
            <w:tcW w:w="469" w:type="pct"/>
            <w:shd w:val="clear" w:color="auto" w:fill="auto"/>
            <w:noWrap/>
            <w:hideMark/>
          </w:tcPr>
          <w:p w14:paraId="5F5217A3" w14:textId="3E06040D"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-2.094</w:t>
            </w:r>
          </w:p>
        </w:tc>
        <w:tc>
          <w:tcPr>
            <w:tcW w:w="497" w:type="pct"/>
            <w:tcBorders>
              <w:right w:val="single" w:sz="4" w:space="0" w:color="auto"/>
            </w:tcBorders>
            <w:shd w:val="clear" w:color="auto" w:fill="auto"/>
            <w:noWrap/>
            <w:hideMark/>
          </w:tcPr>
          <w:p w14:paraId="6B61B9BB" w14:textId="421E5E7C"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-1.734</w:t>
            </w:r>
          </w:p>
        </w:tc>
        <w:tc>
          <w:tcPr>
            <w:tcW w:w="742" w:type="pct"/>
            <w:tcBorders>
              <w:left w:val="single" w:sz="4" w:space="0" w:color="auto"/>
              <w:right w:val="single" w:sz="4" w:space="0" w:color="auto"/>
            </w:tcBorders>
            <w:shd w:val="clear" w:color="auto" w:fill="auto"/>
            <w:noWrap/>
            <w:hideMark/>
          </w:tcPr>
          <w:p w14:paraId="1F1F1BE5" w14:textId="7E899A96" w:rsidR="000F3E12" w:rsidRPr="002E554D" w:rsidRDefault="000F3E12" w:rsidP="000F3E1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-0.089</w:t>
            </w:r>
          </w:p>
        </w:tc>
        <w:tc>
          <w:tcPr>
            <w:tcW w:w="469" w:type="pct"/>
            <w:tcBorders>
              <w:left w:val="single" w:sz="4" w:space="0" w:color="auto"/>
            </w:tcBorders>
            <w:shd w:val="clear" w:color="auto" w:fill="auto"/>
            <w:noWrap/>
            <w:hideMark/>
          </w:tcPr>
          <w:p w14:paraId="077DD578" w14:textId="11B1DCB0"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-2.756</w:t>
            </w:r>
          </w:p>
        </w:tc>
        <w:tc>
          <w:tcPr>
            <w:tcW w:w="499" w:type="pct"/>
            <w:shd w:val="clear" w:color="auto" w:fill="auto"/>
            <w:noWrap/>
            <w:hideMark/>
          </w:tcPr>
          <w:p w14:paraId="017315B1" w14:textId="1E3ACB49"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-2.084</w:t>
            </w:r>
          </w:p>
        </w:tc>
        <w:tc>
          <w:tcPr>
            <w:tcW w:w="469" w:type="pct"/>
            <w:tcBorders>
              <w:right w:val="single" w:sz="4" w:space="0" w:color="auto"/>
            </w:tcBorders>
            <w:shd w:val="clear" w:color="auto" w:fill="auto"/>
            <w:noWrap/>
            <w:hideMark/>
          </w:tcPr>
          <w:p w14:paraId="3713EA83" w14:textId="0EA49B12" w:rsidR="000F3E12" w:rsidRPr="002E554D" w:rsidRDefault="000F3E12" w:rsidP="000F3E1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-1.724</w:t>
            </w:r>
          </w:p>
        </w:tc>
      </w:tr>
      <w:tr w:rsidR="002E554D" w:rsidRPr="002E554D" w14:paraId="0628749D" w14:textId="77777777" w:rsidTr="00D0603D">
        <w:trPr>
          <w:trHeight w:val="300"/>
          <w:jc w:val="center"/>
        </w:trPr>
        <w:tc>
          <w:tcPr>
            <w:tcW w:w="645" w:type="pct"/>
            <w:tcBorders>
              <w:left w:val="single" w:sz="4" w:space="0" w:color="auto"/>
              <w:right w:val="single" w:sz="4" w:space="0" w:color="auto"/>
            </w:tcBorders>
            <w:shd w:val="clear" w:color="auto" w:fill="auto"/>
            <w:noWrap/>
            <w:vAlign w:val="bottom"/>
          </w:tcPr>
          <w:p w14:paraId="502C269F"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p>
        </w:tc>
        <w:tc>
          <w:tcPr>
            <w:tcW w:w="2177" w:type="pct"/>
            <w:gridSpan w:val="4"/>
            <w:tcBorders>
              <w:left w:val="single" w:sz="4" w:space="0" w:color="auto"/>
              <w:right w:val="single" w:sz="4" w:space="0" w:color="auto"/>
            </w:tcBorders>
            <w:shd w:val="clear" w:color="auto" w:fill="auto"/>
            <w:noWrap/>
            <w:vAlign w:val="center"/>
            <w:hideMark/>
          </w:tcPr>
          <w:p w14:paraId="48D29048"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Rhodium</w:t>
            </w:r>
          </w:p>
        </w:tc>
        <w:tc>
          <w:tcPr>
            <w:tcW w:w="2179" w:type="pct"/>
            <w:gridSpan w:val="4"/>
            <w:tcBorders>
              <w:left w:val="single" w:sz="4" w:space="0" w:color="auto"/>
              <w:right w:val="single" w:sz="4" w:space="0" w:color="auto"/>
            </w:tcBorders>
            <w:shd w:val="clear" w:color="auto" w:fill="auto"/>
            <w:noWrap/>
            <w:vAlign w:val="center"/>
            <w:hideMark/>
          </w:tcPr>
          <w:p w14:paraId="50F5F0EC"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Osmium</w:t>
            </w:r>
          </w:p>
        </w:tc>
      </w:tr>
      <w:tr w:rsidR="002E554D" w:rsidRPr="002E554D" w14:paraId="76B4CE32" w14:textId="77777777" w:rsidTr="002A7A67">
        <w:trPr>
          <w:trHeight w:val="300"/>
          <w:jc w:val="center"/>
        </w:trPr>
        <w:tc>
          <w:tcPr>
            <w:tcW w:w="645" w:type="pct"/>
            <w:tcBorders>
              <w:left w:val="single" w:sz="4" w:space="0" w:color="auto"/>
              <w:right w:val="single" w:sz="4" w:space="0" w:color="auto"/>
            </w:tcBorders>
            <w:shd w:val="clear" w:color="auto" w:fill="auto"/>
            <w:noWrap/>
            <w:vAlign w:val="bottom"/>
            <w:hideMark/>
          </w:tcPr>
          <w:p w14:paraId="590E6D92"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42" w:type="pct"/>
            <w:tcBorders>
              <w:left w:val="single" w:sz="4" w:space="0" w:color="auto"/>
              <w:right w:val="single" w:sz="4" w:space="0" w:color="auto"/>
            </w:tcBorders>
            <w:shd w:val="clear" w:color="auto" w:fill="auto"/>
            <w:noWrap/>
            <w:hideMark/>
          </w:tcPr>
          <w:p w14:paraId="198E5F45" w14:textId="2E99B0CF" w:rsidR="00AD0921" w:rsidRPr="002E554D" w:rsidRDefault="00AD0921" w:rsidP="00AD0921">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-4.694***</w:t>
            </w:r>
          </w:p>
        </w:tc>
        <w:tc>
          <w:tcPr>
            <w:tcW w:w="469" w:type="pct"/>
            <w:tcBorders>
              <w:left w:val="single" w:sz="4" w:space="0" w:color="auto"/>
            </w:tcBorders>
            <w:shd w:val="clear" w:color="auto" w:fill="auto"/>
            <w:noWrap/>
            <w:hideMark/>
          </w:tcPr>
          <w:p w14:paraId="05E99CC2" w14:textId="18353E1D" w:rsidR="00AD0921" w:rsidRPr="002E554D" w:rsidRDefault="00AD0921" w:rsidP="00AD0921">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-2.704</w:t>
            </w:r>
          </w:p>
        </w:tc>
        <w:tc>
          <w:tcPr>
            <w:tcW w:w="469" w:type="pct"/>
            <w:shd w:val="clear" w:color="auto" w:fill="auto"/>
            <w:noWrap/>
            <w:hideMark/>
          </w:tcPr>
          <w:p w14:paraId="6E2F64EA" w14:textId="0B946384"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-2.032</w:t>
            </w:r>
          </w:p>
        </w:tc>
        <w:tc>
          <w:tcPr>
            <w:tcW w:w="497" w:type="pct"/>
            <w:tcBorders>
              <w:right w:val="single" w:sz="4" w:space="0" w:color="auto"/>
            </w:tcBorders>
            <w:shd w:val="clear" w:color="auto" w:fill="auto"/>
            <w:noWrap/>
            <w:hideMark/>
          </w:tcPr>
          <w:p w14:paraId="2B3F45D1" w14:textId="47B6AF4D"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-1.672</w:t>
            </w:r>
          </w:p>
        </w:tc>
        <w:tc>
          <w:tcPr>
            <w:tcW w:w="742" w:type="pct"/>
            <w:tcBorders>
              <w:left w:val="single" w:sz="4" w:space="0" w:color="auto"/>
              <w:right w:val="single" w:sz="4" w:space="0" w:color="auto"/>
            </w:tcBorders>
            <w:shd w:val="clear" w:color="auto" w:fill="auto"/>
            <w:noWrap/>
            <w:vAlign w:val="center"/>
            <w:hideMark/>
          </w:tcPr>
          <w:p w14:paraId="3566307A" w14:textId="02441A70" w:rsidR="00AD0921" w:rsidRPr="002E554D" w:rsidRDefault="00AD0921" w:rsidP="00AD0921">
            <w:pPr>
              <w:spacing w:after="0" w:line="240" w:lineRule="auto"/>
              <w:jc w:val="center"/>
              <w:rPr>
                <w:rFonts w:ascii="Garamond" w:eastAsia="Times New Roman" w:hAnsi="Garamond" w:cs="Calibri"/>
                <w:bCs/>
                <w:color w:val="FF0000"/>
                <w:lang w:val="en-GB" w:eastAsia="en-GB"/>
              </w:rPr>
            </w:pPr>
            <w:r w:rsidRPr="002E554D">
              <w:rPr>
                <w:rFonts w:ascii="Garamond" w:hAnsi="Garamond" w:cs="Calibri"/>
                <w:b/>
                <w:bCs/>
                <w:color w:val="FF0000"/>
              </w:rPr>
              <w:t>-2.6076**</w:t>
            </w:r>
          </w:p>
        </w:tc>
        <w:tc>
          <w:tcPr>
            <w:tcW w:w="469" w:type="pct"/>
            <w:tcBorders>
              <w:left w:val="single" w:sz="4" w:space="0" w:color="auto"/>
            </w:tcBorders>
            <w:shd w:val="clear" w:color="auto" w:fill="auto"/>
            <w:noWrap/>
            <w:vAlign w:val="center"/>
            <w:hideMark/>
          </w:tcPr>
          <w:p w14:paraId="2C5E9216"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-2.8326</w:t>
            </w:r>
          </w:p>
        </w:tc>
        <w:tc>
          <w:tcPr>
            <w:tcW w:w="499" w:type="pct"/>
            <w:shd w:val="clear" w:color="auto" w:fill="auto"/>
            <w:noWrap/>
            <w:vAlign w:val="center"/>
            <w:hideMark/>
          </w:tcPr>
          <w:p w14:paraId="431720B2" w14:textId="77777777" w:rsidR="00AD0921" w:rsidRPr="002E554D" w:rsidRDefault="00AD0921" w:rsidP="00AD0921">
            <w:pPr>
              <w:spacing w:after="0" w:line="240" w:lineRule="auto"/>
              <w:jc w:val="center"/>
              <w:rPr>
                <w:rFonts w:ascii="Garamond" w:eastAsia="Times New Roman" w:hAnsi="Garamond" w:cs="Calibri"/>
                <w:color w:val="FF0000"/>
                <w:u w:val="single"/>
                <w:lang w:val="en-GB" w:eastAsia="en-GB"/>
              </w:rPr>
            </w:pPr>
            <w:r w:rsidRPr="002E554D">
              <w:rPr>
                <w:rFonts w:ascii="Garamond" w:hAnsi="Garamond" w:cs="Calibri"/>
                <w:color w:val="FF0000"/>
                <w:u w:val="single"/>
              </w:rPr>
              <w:t>-2.1629</w:t>
            </w:r>
          </w:p>
        </w:tc>
        <w:tc>
          <w:tcPr>
            <w:tcW w:w="469" w:type="pct"/>
            <w:tcBorders>
              <w:right w:val="single" w:sz="4" w:space="0" w:color="auto"/>
            </w:tcBorders>
            <w:shd w:val="clear" w:color="auto" w:fill="auto"/>
            <w:noWrap/>
            <w:vAlign w:val="center"/>
            <w:hideMark/>
          </w:tcPr>
          <w:p w14:paraId="694E2A2C"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-1.8031</w:t>
            </w:r>
          </w:p>
        </w:tc>
      </w:tr>
      <w:tr w:rsidR="002E554D" w:rsidRPr="002E554D" w14:paraId="7BBB2FEE" w14:textId="77777777" w:rsidTr="002A7A67">
        <w:trPr>
          <w:trHeight w:val="300"/>
          <w:jc w:val="center"/>
        </w:trPr>
        <w:tc>
          <w:tcPr>
            <w:tcW w:w="645" w:type="pct"/>
            <w:tcBorders>
              <w:left w:val="single" w:sz="4" w:space="0" w:color="auto"/>
              <w:right w:val="single" w:sz="4" w:space="0" w:color="auto"/>
            </w:tcBorders>
            <w:shd w:val="clear" w:color="auto" w:fill="auto"/>
            <w:noWrap/>
            <w:vAlign w:val="bottom"/>
            <w:hideMark/>
          </w:tcPr>
          <w:p w14:paraId="115749CE"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42" w:type="pct"/>
            <w:tcBorders>
              <w:left w:val="single" w:sz="4" w:space="0" w:color="auto"/>
              <w:right w:val="single" w:sz="4" w:space="0" w:color="auto"/>
            </w:tcBorders>
            <w:shd w:val="clear" w:color="auto" w:fill="auto"/>
            <w:noWrap/>
            <w:hideMark/>
          </w:tcPr>
          <w:p w14:paraId="5CB71E34" w14:textId="34A22C5E" w:rsidR="00AD0921" w:rsidRPr="002E554D" w:rsidRDefault="00AD0921" w:rsidP="00AD0921">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-5.822***</w:t>
            </w:r>
          </w:p>
        </w:tc>
        <w:tc>
          <w:tcPr>
            <w:tcW w:w="469" w:type="pct"/>
            <w:tcBorders>
              <w:left w:val="single" w:sz="4" w:space="0" w:color="auto"/>
            </w:tcBorders>
            <w:shd w:val="clear" w:color="auto" w:fill="auto"/>
            <w:noWrap/>
            <w:hideMark/>
          </w:tcPr>
          <w:p w14:paraId="780E9DD5" w14:textId="07AAD8F7" w:rsidR="00AD0921" w:rsidRPr="002E554D" w:rsidRDefault="00AD0921" w:rsidP="00AD0921">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-2.926</w:t>
            </w:r>
          </w:p>
        </w:tc>
        <w:tc>
          <w:tcPr>
            <w:tcW w:w="469" w:type="pct"/>
            <w:shd w:val="clear" w:color="auto" w:fill="auto"/>
            <w:noWrap/>
            <w:hideMark/>
          </w:tcPr>
          <w:p w14:paraId="63C9F8A0" w14:textId="2D56E581"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-2.268</w:t>
            </w:r>
          </w:p>
        </w:tc>
        <w:tc>
          <w:tcPr>
            <w:tcW w:w="497" w:type="pct"/>
            <w:tcBorders>
              <w:right w:val="single" w:sz="4" w:space="0" w:color="auto"/>
            </w:tcBorders>
            <w:shd w:val="clear" w:color="auto" w:fill="auto"/>
            <w:noWrap/>
            <w:hideMark/>
          </w:tcPr>
          <w:p w14:paraId="565402E4" w14:textId="54345963"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-1.914</w:t>
            </w:r>
          </w:p>
        </w:tc>
        <w:tc>
          <w:tcPr>
            <w:tcW w:w="742" w:type="pct"/>
            <w:tcBorders>
              <w:left w:val="single" w:sz="4" w:space="0" w:color="auto"/>
              <w:right w:val="single" w:sz="4" w:space="0" w:color="auto"/>
            </w:tcBorders>
            <w:shd w:val="clear" w:color="auto" w:fill="auto"/>
            <w:noWrap/>
            <w:vAlign w:val="center"/>
            <w:hideMark/>
          </w:tcPr>
          <w:p w14:paraId="6FFFCCD3" w14:textId="77777777" w:rsidR="00AD0921" w:rsidRPr="002E554D" w:rsidRDefault="00AD0921" w:rsidP="00AD0921">
            <w:pPr>
              <w:spacing w:after="0" w:line="240" w:lineRule="auto"/>
              <w:jc w:val="center"/>
              <w:rPr>
                <w:rFonts w:ascii="Garamond" w:eastAsia="Times New Roman" w:hAnsi="Garamond" w:cs="Calibri"/>
                <w:bCs/>
                <w:color w:val="FF0000"/>
                <w:lang w:val="en-GB" w:eastAsia="en-GB"/>
              </w:rPr>
            </w:pPr>
            <w:r w:rsidRPr="002E554D">
              <w:rPr>
                <w:rFonts w:ascii="Garamond" w:hAnsi="Garamond" w:cs="Calibri"/>
                <w:color w:val="FF0000"/>
              </w:rPr>
              <w:t>-2.0426</w:t>
            </w:r>
          </w:p>
        </w:tc>
        <w:tc>
          <w:tcPr>
            <w:tcW w:w="469" w:type="pct"/>
            <w:tcBorders>
              <w:left w:val="single" w:sz="4" w:space="0" w:color="auto"/>
            </w:tcBorders>
            <w:shd w:val="clear" w:color="auto" w:fill="auto"/>
            <w:noWrap/>
            <w:vAlign w:val="center"/>
            <w:hideMark/>
          </w:tcPr>
          <w:p w14:paraId="4361BF5A"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-3.1256</w:t>
            </w:r>
          </w:p>
        </w:tc>
        <w:tc>
          <w:tcPr>
            <w:tcW w:w="499" w:type="pct"/>
            <w:shd w:val="clear" w:color="auto" w:fill="auto"/>
            <w:noWrap/>
            <w:vAlign w:val="center"/>
            <w:hideMark/>
          </w:tcPr>
          <w:p w14:paraId="17F6AD8C"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-2.4673</w:t>
            </w:r>
          </w:p>
        </w:tc>
        <w:tc>
          <w:tcPr>
            <w:tcW w:w="469" w:type="pct"/>
            <w:tcBorders>
              <w:right w:val="single" w:sz="4" w:space="0" w:color="auto"/>
            </w:tcBorders>
            <w:shd w:val="clear" w:color="auto" w:fill="auto"/>
            <w:noWrap/>
            <w:vAlign w:val="center"/>
            <w:hideMark/>
          </w:tcPr>
          <w:p w14:paraId="6D6CA322"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-2.1273</w:t>
            </w:r>
          </w:p>
        </w:tc>
      </w:tr>
      <w:tr w:rsidR="002E554D" w:rsidRPr="002E554D" w14:paraId="44DEAFC3" w14:textId="77777777" w:rsidTr="002A7A67">
        <w:trPr>
          <w:trHeight w:val="300"/>
          <w:jc w:val="center"/>
        </w:trPr>
        <w:tc>
          <w:tcPr>
            <w:tcW w:w="645" w:type="pct"/>
            <w:tcBorders>
              <w:left w:val="single" w:sz="4" w:space="0" w:color="auto"/>
              <w:right w:val="single" w:sz="4" w:space="0" w:color="auto"/>
            </w:tcBorders>
            <w:shd w:val="clear" w:color="auto" w:fill="auto"/>
            <w:noWrap/>
            <w:vAlign w:val="bottom"/>
            <w:hideMark/>
          </w:tcPr>
          <w:p w14:paraId="572AC2E8"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42" w:type="pct"/>
            <w:tcBorders>
              <w:left w:val="single" w:sz="4" w:space="0" w:color="auto"/>
              <w:right w:val="single" w:sz="4" w:space="0" w:color="auto"/>
            </w:tcBorders>
            <w:shd w:val="clear" w:color="auto" w:fill="auto"/>
            <w:noWrap/>
            <w:hideMark/>
          </w:tcPr>
          <w:p w14:paraId="1E842B74" w14:textId="6FC90BBF" w:rsidR="00AD0921" w:rsidRPr="002E554D" w:rsidRDefault="00AD0921" w:rsidP="00AD0921">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-3.536***</w:t>
            </w:r>
          </w:p>
        </w:tc>
        <w:tc>
          <w:tcPr>
            <w:tcW w:w="469" w:type="pct"/>
            <w:tcBorders>
              <w:left w:val="single" w:sz="4" w:space="0" w:color="auto"/>
            </w:tcBorders>
            <w:shd w:val="clear" w:color="auto" w:fill="auto"/>
            <w:noWrap/>
            <w:hideMark/>
          </w:tcPr>
          <w:p w14:paraId="4F83CD91" w14:textId="54D840EE" w:rsidR="00AD0921" w:rsidRPr="002E554D" w:rsidRDefault="00AD0921" w:rsidP="00AD0921">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-3.056</w:t>
            </w:r>
          </w:p>
        </w:tc>
        <w:tc>
          <w:tcPr>
            <w:tcW w:w="469" w:type="pct"/>
            <w:shd w:val="clear" w:color="auto" w:fill="auto"/>
            <w:noWrap/>
            <w:hideMark/>
          </w:tcPr>
          <w:p w14:paraId="0E721802" w14:textId="375CECFC"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-2.401</w:t>
            </w:r>
          </w:p>
        </w:tc>
        <w:tc>
          <w:tcPr>
            <w:tcW w:w="497" w:type="pct"/>
            <w:tcBorders>
              <w:right w:val="single" w:sz="4" w:space="0" w:color="auto"/>
            </w:tcBorders>
            <w:shd w:val="clear" w:color="auto" w:fill="auto"/>
            <w:noWrap/>
            <w:hideMark/>
          </w:tcPr>
          <w:p w14:paraId="4A0FC085" w14:textId="27232F73" w:rsidR="00AD0921" w:rsidRPr="002E554D" w:rsidRDefault="00AD0921" w:rsidP="00AD0921">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-2.056</w:t>
            </w:r>
          </w:p>
        </w:tc>
        <w:tc>
          <w:tcPr>
            <w:tcW w:w="742" w:type="pct"/>
            <w:tcBorders>
              <w:left w:val="single" w:sz="4" w:space="0" w:color="auto"/>
              <w:right w:val="single" w:sz="4" w:space="0" w:color="auto"/>
            </w:tcBorders>
            <w:shd w:val="clear" w:color="auto" w:fill="auto"/>
            <w:noWrap/>
            <w:vAlign w:val="center"/>
            <w:hideMark/>
          </w:tcPr>
          <w:p w14:paraId="59598635" w14:textId="4BBE7D34" w:rsidR="00AD0921" w:rsidRPr="002E554D" w:rsidRDefault="00AD0921" w:rsidP="00AD0921">
            <w:pPr>
              <w:spacing w:after="0" w:line="240" w:lineRule="auto"/>
              <w:jc w:val="center"/>
              <w:rPr>
                <w:rFonts w:ascii="Garamond" w:eastAsia="Times New Roman" w:hAnsi="Garamond" w:cs="Calibri"/>
                <w:bCs/>
                <w:color w:val="FF0000"/>
                <w:lang w:val="en-GB" w:eastAsia="en-GB"/>
              </w:rPr>
            </w:pPr>
            <w:r w:rsidRPr="002E554D">
              <w:rPr>
                <w:rFonts w:ascii="Garamond" w:hAnsi="Garamond" w:cs="Calibri"/>
                <w:b/>
                <w:bCs/>
                <w:color w:val="FF0000"/>
              </w:rPr>
              <w:t>-2.7496**</w:t>
            </w:r>
          </w:p>
        </w:tc>
        <w:tc>
          <w:tcPr>
            <w:tcW w:w="469" w:type="pct"/>
            <w:tcBorders>
              <w:left w:val="single" w:sz="4" w:space="0" w:color="auto"/>
            </w:tcBorders>
            <w:shd w:val="clear" w:color="auto" w:fill="auto"/>
            <w:noWrap/>
            <w:vAlign w:val="center"/>
            <w:hideMark/>
          </w:tcPr>
          <w:p w14:paraId="5A7E7B90"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-3.2519</w:t>
            </w:r>
          </w:p>
        </w:tc>
        <w:tc>
          <w:tcPr>
            <w:tcW w:w="499" w:type="pct"/>
            <w:shd w:val="clear" w:color="auto" w:fill="auto"/>
            <w:noWrap/>
            <w:vAlign w:val="center"/>
            <w:hideMark/>
          </w:tcPr>
          <w:p w14:paraId="41573B20" w14:textId="77777777" w:rsidR="00AD0921" w:rsidRPr="002E554D" w:rsidRDefault="00AD0921" w:rsidP="00AD0921">
            <w:pPr>
              <w:spacing w:after="0" w:line="240" w:lineRule="auto"/>
              <w:jc w:val="center"/>
              <w:rPr>
                <w:rFonts w:ascii="Garamond" w:eastAsia="Times New Roman" w:hAnsi="Garamond" w:cs="Calibri"/>
                <w:color w:val="FF0000"/>
                <w:u w:val="single"/>
                <w:lang w:val="en-GB" w:eastAsia="en-GB"/>
              </w:rPr>
            </w:pPr>
            <w:r w:rsidRPr="002E554D">
              <w:rPr>
                <w:rFonts w:ascii="Garamond" w:hAnsi="Garamond" w:cs="Calibri"/>
                <w:color w:val="FF0000"/>
                <w:u w:val="single"/>
              </w:rPr>
              <w:t>-2.641</w:t>
            </w:r>
          </w:p>
        </w:tc>
        <w:tc>
          <w:tcPr>
            <w:tcW w:w="469" w:type="pct"/>
            <w:tcBorders>
              <w:right w:val="single" w:sz="4" w:space="0" w:color="auto"/>
            </w:tcBorders>
            <w:shd w:val="clear" w:color="auto" w:fill="auto"/>
            <w:noWrap/>
            <w:vAlign w:val="center"/>
            <w:hideMark/>
          </w:tcPr>
          <w:p w14:paraId="4A83FF1C"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-2.3074</w:t>
            </w:r>
          </w:p>
        </w:tc>
      </w:tr>
      <w:tr w:rsidR="002E554D" w:rsidRPr="002E554D" w14:paraId="6F6F39E8" w14:textId="77777777" w:rsidTr="002A7A67">
        <w:trPr>
          <w:trHeight w:val="300"/>
          <w:jc w:val="center"/>
        </w:trPr>
        <w:tc>
          <w:tcPr>
            <w:tcW w:w="645" w:type="pct"/>
            <w:tcBorders>
              <w:left w:val="single" w:sz="4" w:space="0" w:color="auto"/>
              <w:right w:val="single" w:sz="4" w:space="0" w:color="auto"/>
            </w:tcBorders>
            <w:shd w:val="clear" w:color="auto" w:fill="auto"/>
            <w:noWrap/>
            <w:vAlign w:val="bottom"/>
            <w:hideMark/>
          </w:tcPr>
          <w:p w14:paraId="2E099678"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42" w:type="pct"/>
            <w:tcBorders>
              <w:left w:val="single" w:sz="4" w:space="0" w:color="auto"/>
              <w:right w:val="single" w:sz="4" w:space="0" w:color="auto"/>
            </w:tcBorders>
            <w:shd w:val="clear" w:color="auto" w:fill="auto"/>
            <w:noWrap/>
            <w:hideMark/>
          </w:tcPr>
          <w:p w14:paraId="40DE5023" w14:textId="0ED4A3FD" w:rsidR="00AD0921" w:rsidRPr="002E554D" w:rsidRDefault="00AD0921" w:rsidP="00AD0921">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-2.220*</w:t>
            </w:r>
          </w:p>
        </w:tc>
        <w:tc>
          <w:tcPr>
            <w:tcW w:w="469" w:type="pct"/>
            <w:tcBorders>
              <w:left w:val="single" w:sz="4" w:space="0" w:color="auto"/>
            </w:tcBorders>
            <w:shd w:val="clear" w:color="auto" w:fill="auto"/>
            <w:noWrap/>
            <w:hideMark/>
          </w:tcPr>
          <w:p w14:paraId="2BB520B0" w14:textId="6E190E8C"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-3.044</w:t>
            </w:r>
          </w:p>
        </w:tc>
        <w:tc>
          <w:tcPr>
            <w:tcW w:w="469" w:type="pct"/>
            <w:shd w:val="clear" w:color="auto" w:fill="auto"/>
            <w:noWrap/>
            <w:hideMark/>
          </w:tcPr>
          <w:p w14:paraId="5EB3CED6" w14:textId="5FDA3C1D"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-2.390</w:t>
            </w:r>
          </w:p>
        </w:tc>
        <w:tc>
          <w:tcPr>
            <w:tcW w:w="497" w:type="pct"/>
            <w:tcBorders>
              <w:right w:val="single" w:sz="4" w:space="0" w:color="auto"/>
            </w:tcBorders>
            <w:shd w:val="clear" w:color="auto" w:fill="auto"/>
            <w:noWrap/>
            <w:hideMark/>
          </w:tcPr>
          <w:p w14:paraId="3312CBD9" w14:textId="24EC7DB6"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-2.044</w:t>
            </w:r>
          </w:p>
        </w:tc>
        <w:tc>
          <w:tcPr>
            <w:tcW w:w="742" w:type="pct"/>
            <w:tcBorders>
              <w:left w:val="single" w:sz="4" w:space="0" w:color="auto"/>
              <w:right w:val="single" w:sz="4" w:space="0" w:color="auto"/>
            </w:tcBorders>
            <w:shd w:val="clear" w:color="auto" w:fill="auto"/>
            <w:noWrap/>
            <w:vAlign w:val="center"/>
            <w:hideMark/>
          </w:tcPr>
          <w:p w14:paraId="73231115" w14:textId="7CF41638" w:rsidR="00AD0921" w:rsidRPr="002E554D" w:rsidRDefault="00AD0921" w:rsidP="00AD0921">
            <w:pPr>
              <w:spacing w:after="0" w:line="240" w:lineRule="auto"/>
              <w:jc w:val="center"/>
              <w:rPr>
                <w:rFonts w:ascii="Garamond" w:eastAsia="Times New Roman" w:hAnsi="Garamond" w:cs="Calibri"/>
                <w:bCs/>
                <w:color w:val="FF0000"/>
                <w:lang w:val="en-GB" w:eastAsia="en-GB"/>
              </w:rPr>
            </w:pPr>
            <w:r w:rsidRPr="002E554D">
              <w:rPr>
                <w:rFonts w:ascii="Garamond" w:hAnsi="Garamond" w:cs="Calibri"/>
                <w:b/>
                <w:bCs/>
                <w:color w:val="FF0000"/>
              </w:rPr>
              <w:t>-3.3045***</w:t>
            </w:r>
          </w:p>
        </w:tc>
        <w:tc>
          <w:tcPr>
            <w:tcW w:w="469" w:type="pct"/>
            <w:tcBorders>
              <w:left w:val="single" w:sz="4" w:space="0" w:color="auto"/>
            </w:tcBorders>
            <w:shd w:val="clear" w:color="auto" w:fill="auto"/>
            <w:noWrap/>
            <w:vAlign w:val="center"/>
            <w:hideMark/>
          </w:tcPr>
          <w:p w14:paraId="235336E3" w14:textId="77777777" w:rsidR="00AD0921" w:rsidRPr="002E554D" w:rsidRDefault="00AD0921" w:rsidP="00AD0921">
            <w:pPr>
              <w:spacing w:after="0" w:line="240" w:lineRule="auto"/>
              <w:jc w:val="center"/>
              <w:rPr>
                <w:rFonts w:ascii="Garamond" w:eastAsia="Times New Roman" w:hAnsi="Garamond" w:cs="Calibri"/>
                <w:color w:val="FF0000"/>
                <w:u w:val="single"/>
                <w:lang w:val="en-GB" w:eastAsia="en-GB"/>
              </w:rPr>
            </w:pPr>
            <w:r w:rsidRPr="002E554D">
              <w:rPr>
                <w:rFonts w:ascii="Garamond" w:hAnsi="Garamond" w:cs="Calibri"/>
                <w:color w:val="FF0000"/>
                <w:u w:val="single"/>
              </w:rPr>
              <w:t>-3.2734</w:t>
            </w:r>
          </w:p>
        </w:tc>
        <w:tc>
          <w:tcPr>
            <w:tcW w:w="499" w:type="pct"/>
            <w:shd w:val="clear" w:color="auto" w:fill="auto"/>
            <w:noWrap/>
            <w:vAlign w:val="center"/>
            <w:hideMark/>
          </w:tcPr>
          <w:p w14:paraId="4A6D5770"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-2.6734</w:t>
            </w:r>
          </w:p>
        </w:tc>
        <w:tc>
          <w:tcPr>
            <w:tcW w:w="469" w:type="pct"/>
            <w:tcBorders>
              <w:right w:val="single" w:sz="4" w:space="0" w:color="auto"/>
            </w:tcBorders>
            <w:shd w:val="clear" w:color="auto" w:fill="auto"/>
            <w:noWrap/>
            <w:vAlign w:val="center"/>
            <w:hideMark/>
          </w:tcPr>
          <w:p w14:paraId="5FC04DA2"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-2.3444</w:t>
            </w:r>
          </w:p>
        </w:tc>
      </w:tr>
      <w:tr w:rsidR="002E554D" w:rsidRPr="002E554D" w14:paraId="037C2BDC" w14:textId="77777777" w:rsidTr="002A7A67">
        <w:trPr>
          <w:trHeight w:val="300"/>
          <w:jc w:val="center"/>
        </w:trPr>
        <w:tc>
          <w:tcPr>
            <w:tcW w:w="645" w:type="pct"/>
            <w:tcBorders>
              <w:left w:val="single" w:sz="4" w:space="0" w:color="auto"/>
              <w:right w:val="single" w:sz="4" w:space="0" w:color="auto"/>
            </w:tcBorders>
            <w:shd w:val="clear" w:color="auto" w:fill="auto"/>
            <w:noWrap/>
            <w:vAlign w:val="bottom"/>
            <w:hideMark/>
          </w:tcPr>
          <w:p w14:paraId="190D755D"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42" w:type="pct"/>
            <w:tcBorders>
              <w:left w:val="single" w:sz="4" w:space="0" w:color="auto"/>
              <w:right w:val="single" w:sz="4" w:space="0" w:color="auto"/>
            </w:tcBorders>
            <w:shd w:val="clear" w:color="auto" w:fill="auto"/>
            <w:noWrap/>
            <w:hideMark/>
          </w:tcPr>
          <w:p w14:paraId="345C42D5" w14:textId="40C710B1" w:rsidR="00AD0921" w:rsidRPr="002E554D" w:rsidRDefault="00AD0921" w:rsidP="00AD0921">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-0.318</w:t>
            </w:r>
          </w:p>
        </w:tc>
        <w:tc>
          <w:tcPr>
            <w:tcW w:w="469" w:type="pct"/>
            <w:tcBorders>
              <w:left w:val="single" w:sz="4" w:space="0" w:color="auto"/>
            </w:tcBorders>
            <w:shd w:val="clear" w:color="auto" w:fill="auto"/>
            <w:noWrap/>
            <w:hideMark/>
          </w:tcPr>
          <w:p w14:paraId="527CBB3F" w14:textId="14AA3C05"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-3.083</w:t>
            </w:r>
          </w:p>
        </w:tc>
        <w:tc>
          <w:tcPr>
            <w:tcW w:w="469" w:type="pct"/>
            <w:shd w:val="clear" w:color="auto" w:fill="auto"/>
            <w:noWrap/>
            <w:hideMark/>
          </w:tcPr>
          <w:p w14:paraId="16283FDF" w14:textId="1A6C4D23"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-2.425</w:t>
            </w:r>
          </w:p>
        </w:tc>
        <w:tc>
          <w:tcPr>
            <w:tcW w:w="497" w:type="pct"/>
            <w:tcBorders>
              <w:right w:val="single" w:sz="4" w:space="0" w:color="auto"/>
            </w:tcBorders>
            <w:shd w:val="clear" w:color="auto" w:fill="auto"/>
            <w:noWrap/>
            <w:hideMark/>
          </w:tcPr>
          <w:p w14:paraId="21271BA4" w14:textId="417AA791"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-2.083</w:t>
            </w:r>
          </w:p>
        </w:tc>
        <w:tc>
          <w:tcPr>
            <w:tcW w:w="742" w:type="pct"/>
            <w:tcBorders>
              <w:left w:val="single" w:sz="4" w:space="0" w:color="auto"/>
              <w:right w:val="single" w:sz="4" w:space="0" w:color="auto"/>
            </w:tcBorders>
            <w:shd w:val="clear" w:color="auto" w:fill="auto"/>
            <w:noWrap/>
            <w:vAlign w:val="center"/>
            <w:hideMark/>
          </w:tcPr>
          <w:p w14:paraId="745C1CF2" w14:textId="31D62AF4" w:rsidR="00AD0921" w:rsidRPr="002E554D" w:rsidRDefault="00AD0921" w:rsidP="00AD0921">
            <w:pPr>
              <w:spacing w:after="0" w:line="240" w:lineRule="auto"/>
              <w:jc w:val="center"/>
              <w:rPr>
                <w:rFonts w:ascii="Garamond" w:eastAsia="Times New Roman" w:hAnsi="Garamond" w:cs="Calibri"/>
                <w:b/>
                <w:bCs/>
                <w:color w:val="FF0000"/>
                <w:lang w:val="en-GB" w:eastAsia="en-GB"/>
              </w:rPr>
            </w:pPr>
            <w:r w:rsidRPr="002E554D">
              <w:rPr>
                <w:rFonts w:ascii="Garamond" w:hAnsi="Garamond" w:cs="Calibri"/>
                <w:b/>
                <w:bCs/>
                <w:color w:val="FF0000"/>
              </w:rPr>
              <w:t>-3.9976***</w:t>
            </w:r>
          </w:p>
        </w:tc>
        <w:tc>
          <w:tcPr>
            <w:tcW w:w="469" w:type="pct"/>
            <w:tcBorders>
              <w:left w:val="single" w:sz="4" w:space="0" w:color="auto"/>
            </w:tcBorders>
            <w:shd w:val="clear" w:color="auto" w:fill="auto"/>
            <w:noWrap/>
            <w:vAlign w:val="center"/>
            <w:hideMark/>
          </w:tcPr>
          <w:p w14:paraId="0CCF5CDD" w14:textId="77777777" w:rsidR="00AD0921" w:rsidRPr="002E554D" w:rsidRDefault="00AD0921" w:rsidP="00AD0921">
            <w:pPr>
              <w:spacing w:after="0" w:line="240" w:lineRule="auto"/>
              <w:jc w:val="center"/>
              <w:rPr>
                <w:rFonts w:ascii="Garamond" w:eastAsia="Times New Roman" w:hAnsi="Garamond" w:cs="Calibri"/>
                <w:color w:val="FF0000"/>
                <w:u w:val="single"/>
                <w:lang w:val="en-GB" w:eastAsia="en-GB"/>
              </w:rPr>
            </w:pPr>
            <w:r w:rsidRPr="002E554D">
              <w:rPr>
                <w:rFonts w:ascii="Garamond" w:hAnsi="Garamond" w:cs="Calibri"/>
                <w:color w:val="FF0000"/>
                <w:u w:val="single"/>
              </w:rPr>
              <w:t>-3.2817</w:t>
            </w:r>
          </w:p>
        </w:tc>
        <w:tc>
          <w:tcPr>
            <w:tcW w:w="499" w:type="pct"/>
            <w:shd w:val="clear" w:color="auto" w:fill="auto"/>
            <w:noWrap/>
            <w:vAlign w:val="center"/>
            <w:hideMark/>
          </w:tcPr>
          <w:p w14:paraId="0A2A41F6"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-2.6817</w:t>
            </w:r>
          </w:p>
        </w:tc>
        <w:tc>
          <w:tcPr>
            <w:tcW w:w="469" w:type="pct"/>
            <w:tcBorders>
              <w:right w:val="single" w:sz="4" w:space="0" w:color="auto"/>
            </w:tcBorders>
            <w:shd w:val="clear" w:color="auto" w:fill="auto"/>
            <w:noWrap/>
            <w:vAlign w:val="center"/>
            <w:hideMark/>
          </w:tcPr>
          <w:p w14:paraId="12312C46"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-2.355</w:t>
            </w:r>
          </w:p>
        </w:tc>
      </w:tr>
      <w:tr w:rsidR="002E554D" w:rsidRPr="002E554D" w14:paraId="0625EFC8" w14:textId="77777777" w:rsidTr="002A7A67">
        <w:trPr>
          <w:trHeight w:val="300"/>
          <w:jc w:val="center"/>
        </w:trPr>
        <w:tc>
          <w:tcPr>
            <w:tcW w:w="645" w:type="pct"/>
            <w:tcBorders>
              <w:left w:val="single" w:sz="4" w:space="0" w:color="auto"/>
              <w:right w:val="single" w:sz="4" w:space="0" w:color="auto"/>
            </w:tcBorders>
            <w:shd w:val="clear" w:color="auto" w:fill="auto"/>
            <w:noWrap/>
            <w:vAlign w:val="bottom"/>
            <w:hideMark/>
          </w:tcPr>
          <w:p w14:paraId="4DAB53C3"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42" w:type="pct"/>
            <w:tcBorders>
              <w:left w:val="single" w:sz="4" w:space="0" w:color="auto"/>
              <w:right w:val="single" w:sz="4" w:space="0" w:color="auto"/>
            </w:tcBorders>
            <w:shd w:val="clear" w:color="auto" w:fill="auto"/>
            <w:noWrap/>
            <w:hideMark/>
          </w:tcPr>
          <w:p w14:paraId="40B94C90" w14:textId="299C4CFA" w:rsidR="00AD0921" w:rsidRPr="002E554D" w:rsidRDefault="00AD0921" w:rsidP="00AD0921">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2.008</w:t>
            </w:r>
          </w:p>
        </w:tc>
        <w:tc>
          <w:tcPr>
            <w:tcW w:w="469" w:type="pct"/>
            <w:tcBorders>
              <w:left w:val="single" w:sz="4" w:space="0" w:color="auto"/>
            </w:tcBorders>
            <w:shd w:val="clear" w:color="auto" w:fill="auto"/>
            <w:noWrap/>
            <w:hideMark/>
          </w:tcPr>
          <w:p w14:paraId="1FBAF94C" w14:textId="381281B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-3.106</w:t>
            </w:r>
          </w:p>
        </w:tc>
        <w:tc>
          <w:tcPr>
            <w:tcW w:w="469" w:type="pct"/>
            <w:shd w:val="clear" w:color="auto" w:fill="auto"/>
            <w:noWrap/>
            <w:hideMark/>
          </w:tcPr>
          <w:p w14:paraId="62FA88F0" w14:textId="5F2B31C2"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-2.447</w:t>
            </w:r>
          </w:p>
        </w:tc>
        <w:tc>
          <w:tcPr>
            <w:tcW w:w="497" w:type="pct"/>
            <w:tcBorders>
              <w:right w:val="single" w:sz="4" w:space="0" w:color="auto"/>
            </w:tcBorders>
            <w:shd w:val="clear" w:color="auto" w:fill="auto"/>
            <w:noWrap/>
            <w:hideMark/>
          </w:tcPr>
          <w:p w14:paraId="40643F19" w14:textId="5D5B2B21"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-2.106</w:t>
            </w:r>
          </w:p>
        </w:tc>
        <w:tc>
          <w:tcPr>
            <w:tcW w:w="742" w:type="pct"/>
            <w:tcBorders>
              <w:left w:val="single" w:sz="4" w:space="0" w:color="auto"/>
              <w:right w:val="single" w:sz="4" w:space="0" w:color="auto"/>
            </w:tcBorders>
            <w:shd w:val="clear" w:color="auto" w:fill="auto"/>
            <w:noWrap/>
            <w:vAlign w:val="center"/>
            <w:hideMark/>
          </w:tcPr>
          <w:p w14:paraId="60D568BD" w14:textId="66F4B0F9" w:rsidR="00AD0921" w:rsidRPr="002E554D" w:rsidRDefault="00AD0921" w:rsidP="00AD0921">
            <w:pPr>
              <w:spacing w:after="0" w:line="240" w:lineRule="auto"/>
              <w:jc w:val="center"/>
              <w:rPr>
                <w:rFonts w:ascii="Garamond" w:eastAsia="Times New Roman" w:hAnsi="Garamond" w:cs="Calibri"/>
                <w:b/>
                <w:bCs/>
                <w:color w:val="FF0000"/>
                <w:lang w:val="en-GB" w:eastAsia="en-GB"/>
              </w:rPr>
            </w:pPr>
            <w:r w:rsidRPr="002E554D">
              <w:rPr>
                <w:rFonts w:ascii="Garamond" w:hAnsi="Garamond" w:cs="Calibri"/>
                <w:b/>
                <w:bCs/>
                <w:color w:val="FF0000"/>
              </w:rPr>
              <w:t>-3.1504**</w:t>
            </w:r>
          </w:p>
        </w:tc>
        <w:tc>
          <w:tcPr>
            <w:tcW w:w="469" w:type="pct"/>
            <w:tcBorders>
              <w:left w:val="single" w:sz="4" w:space="0" w:color="auto"/>
            </w:tcBorders>
            <w:shd w:val="clear" w:color="auto" w:fill="auto"/>
            <w:noWrap/>
            <w:vAlign w:val="center"/>
            <w:hideMark/>
          </w:tcPr>
          <w:p w14:paraId="761FFF83"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-3.258</w:t>
            </w:r>
          </w:p>
        </w:tc>
        <w:tc>
          <w:tcPr>
            <w:tcW w:w="499" w:type="pct"/>
            <w:shd w:val="clear" w:color="auto" w:fill="auto"/>
            <w:noWrap/>
            <w:vAlign w:val="center"/>
            <w:hideMark/>
          </w:tcPr>
          <w:p w14:paraId="449A3129" w14:textId="77777777" w:rsidR="00AD0921" w:rsidRPr="002E554D" w:rsidRDefault="00AD0921" w:rsidP="00AD0921">
            <w:pPr>
              <w:spacing w:after="0" w:line="240" w:lineRule="auto"/>
              <w:jc w:val="center"/>
              <w:rPr>
                <w:rFonts w:ascii="Garamond" w:eastAsia="Times New Roman" w:hAnsi="Garamond" w:cs="Calibri"/>
                <w:color w:val="FF0000"/>
                <w:u w:val="single"/>
                <w:lang w:val="en-GB" w:eastAsia="en-GB"/>
              </w:rPr>
            </w:pPr>
            <w:r w:rsidRPr="002E554D">
              <w:rPr>
                <w:rFonts w:ascii="Garamond" w:hAnsi="Garamond" w:cs="Calibri"/>
                <w:color w:val="FF0000"/>
                <w:u w:val="single"/>
              </w:rPr>
              <w:t>-2.6508</w:t>
            </w:r>
          </w:p>
        </w:tc>
        <w:tc>
          <w:tcPr>
            <w:tcW w:w="469" w:type="pct"/>
            <w:tcBorders>
              <w:right w:val="single" w:sz="4" w:space="0" w:color="auto"/>
            </w:tcBorders>
            <w:shd w:val="clear" w:color="auto" w:fill="auto"/>
            <w:noWrap/>
            <w:vAlign w:val="center"/>
            <w:hideMark/>
          </w:tcPr>
          <w:p w14:paraId="6A5CD360"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-2.3184</w:t>
            </w:r>
          </w:p>
        </w:tc>
      </w:tr>
      <w:tr w:rsidR="002E554D" w:rsidRPr="002E554D" w14:paraId="177E59C2" w14:textId="77777777" w:rsidTr="002A7A67">
        <w:trPr>
          <w:trHeight w:val="300"/>
          <w:jc w:val="center"/>
        </w:trPr>
        <w:tc>
          <w:tcPr>
            <w:tcW w:w="645" w:type="pct"/>
            <w:tcBorders>
              <w:left w:val="single" w:sz="4" w:space="0" w:color="auto"/>
              <w:right w:val="single" w:sz="4" w:space="0" w:color="auto"/>
            </w:tcBorders>
            <w:shd w:val="clear" w:color="auto" w:fill="auto"/>
            <w:noWrap/>
            <w:vAlign w:val="bottom"/>
            <w:hideMark/>
          </w:tcPr>
          <w:p w14:paraId="786C8054"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42" w:type="pct"/>
            <w:tcBorders>
              <w:left w:val="single" w:sz="4" w:space="0" w:color="auto"/>
              <w:right w:val="single" w:sz="4" w:space="0" w:color="auto"/>
            </w:tcBorders>
            <w:shd w:val="clear" w:color="auto" w:fill="auto"/>
            <w:noWrap/>
            <w:hideMark/>
          </w:tcPr>
          <w:p w14:paraId="75840AF4" w14:textId="49F8A08F" w:rsidR="00AD0921" w:rsidRPr="002E554D" w:rsidRDefault="00AD0921" w:rsidP="00AD0921">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3.484</w:t>
            </w:r>
          </w:p>
        </w:tc>
        <w:tc>
          <w:tcPr>
            <w:tcW w:w="469" w:type="pct"/>
            <w:tcBorders>
              <w:left w:val="single" w:sz="4" w:space="0" w:color="auto"/>
            </w:tcBorders>
            <w:shd w:val="clear" w:color="auto" w:fill="auto"/>
            <w:noWrap/>
            <w:hideMark/>
          </w:tcPr>
          <w:p w14:paraId="65A516F8" w14:textId="119AE9BF"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-3.089</w:t>
            </w:r>
          </w:p>
        </w:tc>
        <w:tc>
          <w:tcPr>
            <w:tcW w:w="469" w:type="pct"/>
            <w:shd w:val="clear" w:color="auto" w:fill="auto"/>
            <w:noWrap/>
            <w:hideMark/>
          </w:tcPr>
          <w:p w14:paraId="096F0A54" w14:textId="21D1F8AB"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-2.431</w:t>
            </w:r>
          </w:p>
        </w:tc>
        <w:tc>
          <w:tcPr>
            <w:tcW w:w="497" w:type="pct"/>
            <w:tcBorders>
              <w:right w:val="single" w:sz="4" w:space="0" w:color="auto"/>
            </w:tcBorders>
            <w:shd w:val="clear" w:color="auto" w:fill="auto"/>
            <w:noWrap/>
            <w:hideMark/>
          </w:tcPr>
          <w:p w14:paraId="03EBF104" w14:textId="447D856C"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-2.089</w:t>
            </w:r>
          </w:p>
        </w:tc>
        <w:tc>
          <w:tcPr>
            <w:tcW w:w="742" w:type="pct"/>
            <w:tcBorders>
              <w:left w:val="single" w:sz="4" w:space="0" w:color="auto"/>
              <w:right w:val="single" w:sz="4" w:space="0" w:color="auto"/>
            </w:tcBorders>
            <w:shd w:val="clear" w:color="auto" w:fill="auto"/>
            <w:noWrap/>
            <w:vAlign w:val="center"/>
            <w:hideMark/>
          </w:tcPr>
          <w:p w14:paraId="0D89D849" w14:textId="77777777" w:rsidR="00AD0921" w:rsidRPr="002E554D" w:rsidRDefault="00AD0921" w:rsidP="00AD0921">
            <w:pPr>
              <w:spacing w:after="0" w:line="240" w:lineRule="auto"/>
              <w:jc w:val="center"/>
              <w:rPr>
                <w:rFonts w:ascii="Garamond" w:eastAsia="Times New Roman" w:hAnsi="Garamond" w:cs="Calibri"/>
                <w:b/>
                <w:bCs/>
                <w:color w:val="FF0000"/>
                <w:lang w:val="en-GB" w:eastAsia="en-GB"/>
              </w:rPr>
            </w:pPr>
            <w:r w:rsidRPr="002E554D">
              <w:rPr>
                <w:rFonts w:ascii="Garamond" w:hAnsi="Garamond" w:cs="Calibri"/>
                <w:color w:val="FF0000"/>
              </w:rPr>
              <w:t>-1.9881</w:t>
            </w:r>
          </w:p>
        </w:tc>
        <w:tc>
          <w:tcPr>
            <w:tcW w:w="469" w:type="pct"/>
            <w:tcBorders>
              <w:left w:val="single" w:sz="4" w:space="0" w:color="auto"/>
            </w:tcBorders>
            <w:shd w:val="clear" w:color="auto" w:fill="auto"/>
            <w:noWrap/>
            <w:vAlign w:val="center"/>
            <w:hideMark/>
          </w:tcPr>
          <w:p w14:paraId="7C3B13F9"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-3.2344</w:t>
            </w:r>
          </w:p>
        </w:tc>
        <w:tc>
          <w:tcPr>
            <w:tcW w:w="499" w:type="pct"/>
            <w:shd w:val="clear" w:color="auto" w:fill="auto"/>
            <w:noWrap/>
            <w:vAlign w:val="center"/>
            <w:hideMark/>
          </w:tcPr>
          <w:p w14:paraId="017A4527"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-2.6131</w:t>
            </w:r>
          </w:p>
        </w:tc>
        <w:tc>
          <w:tcPr>
            <w:tcW w:w="469" w:type="pct"/>
            <w:tcBorders>
              <w:right w:val="single" w:sz="4" w:space="0" w:color="auto"/>
            </w:tcBorders>
            <w:shd w:val="clear" w:color="auto" w:fill="auto"/>
            <w:noWrap/>
            <w:vAlign w:val="center"/>
            <w:hideMark/>
          </w:tcPr>
          <w:p w14:paraId="4ABB88DD"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-2.276</w:t>
            </w:r>
          </w:p>
        </w:tc>
      </w:tr>
      <w:tr w:rsidR="002E554D" w:rsidRPr="002E554D" w14:paraId="4B43E61C" w14:textId="77777777" w:rsidTr="002A7A67">
        <w:trPr>
          <w:trHeight w:val="300"/>
          <w:jc w:val="center"/>
        </w:trPr>
        <w:tc>
          <w:tcPr>
            <w:tcW w:w="645" w:type="pct"/>
            <w:tcBorders>
              <w:left w:val="single" w:sz="4" w:space="0" w:color="auto"/>
              <w:right w:val="single" w:sz="4" w:space="0" w:color="auto"/>
            </w:tcBorders>
            <w:shd w:val="clear" w:color="auto" w:fill="auto"/>
            <w:noWrap/>
            <w:vAlign w:val="bottom"/>
            <w:hideMark/>
          </w:tcPr>
          <w:p w14:paraId="654633C0"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42" w:type="pct"/>
            <w:tcBorders>
              <w:left w:val="single" w:sz="4" w:space="0" w:color="auto"/>
              <w:right w:val="single" w:sz="4" w:space="0" w:color="auto"/>
            </w:tcBorders>
            <w:shd w:val="clear" w:color="auto" w:fill="auto"/>
            <w:noWrap/>
            <w:hideMark/>
          </w:tcPr>
          <w:p w14:paraId="513C4981" w14:textId="72C70484" w:rsidR="00AD0921" w:rsidRPr="002E554D" w:rsidRDefault="00AD0921" w:rsidP="00AD0921">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2.271</w:t>
            </w:r>
          </w:p>
        </w:tc>
        <w:tc>
          <w:tcPr>
            <w:tcW w:w="469" w:type="pct"/>
            <w:tcBorders>
              <w:left w:val="single" w:sz="4" w:space="0" w:color="auto"/>
            </w:tcBorders>
            <w:shd w:val="clear" w:color="auto" w:fill="auto"/>
            <w:noWrap/>
            <w:hideMark/>
          </w:tcPr>
          <w:p w14:paraId="10DCC444" w14:textId="5BED1BC2"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-3.033</w:t>
            </w:r>
          </w:p>
        </w:tc>
        <w:tc>
          <w:tcPr>
            <w:tcW w:w="469" w:type="pct"/>
            <w:shd w:val="clear" w:color="auto" w:fill="auto"/>
            <w:noWrap/>
            <w:hideMark/>
          </w:tcPr>
          <w:p w14:paraId="0062157C" w14:textId="15B65316"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-2.380</w:t>
            </w:r>
          </w:p>
        </w:tc>
        <w:tc>
          <w:tcPr>
            <w:tcW w:w="497" w:type="pct"/>
            <w:tcBorders>
              <w:right w:val="single" w:sz="4" w:space="0" w:color="auto"/>
            </w:tcBorders>
            <w:shd w:val="clear" w:color="auto" w:fill="auto"/>
            <w:noWrap/>
            <w:hideMark/>
          </w:tcPr>
          <w:p w14:paraId="4DDEF30A" w14:textId="65CBE90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-2.033</w:t>
            </w:r>
          </w:p>
        </w:tc>
        <w:tc>
          <w:tcPr>
            <w:tcW w:w="742" w:type="pct"/>
            <w:tcBorders>
              <w:left w:val="single" w:sz="4" w:space="0" w:color="auto"/>
              <w:right w:val="single" w:sz="4" w:space="0" w:color="auto"/>
            </w:tcBorders>
            <w:shd w:val="clear" w:color="auto" w:fill="auto"/>
            <w:noWrap/>
            <w:vAlign w:val="center"/>
            <w:hideMark/>
          </w:tcPr>
          <w:p w14:paraId="7D1E9AED" w14:textId="77777777" w:rsidR="00AD0921" w:rsidRPr="002E554D" w:rsidRDefault="00AD0921" w:rsidP="00AD0921">
            <w:pPr>
              <w:spacing w:after="0" w:line="240" w:lineRule="auto"/>
              <w:jc w:val="center"/>
              <w:rPr>
                <w:rFonts w:ascii="Garamond" w:eastAsia="Times New Roman" w:hAnsi="Garamond" w:cs="Calibri"/>
                <w:b/>
                <w:bCs/>
                <w:color w:val="FF0000"/>
                <w:lang w:val="en-GB" w:eastAsia="en-GB"/>
              </w:rPr>
            </w:pPr>
            <w:r w:rsidRPr="002E554D">
              <w:rPr>
                <w:rFonts w:ascii="Garamond" w:hAnsi="Garamond" w:cs="Calibri"/>
                <w:color w:val="FF0000"/>
              </w:rPr>
              <w:t>-1.3322</w:t>
            </w:r>
          </w:p>
        </w:tc>
        <w:tc>
          <w:tcPr>
            <w:tcW w:w="469" w:type="pct"/>
            <w:tcBorders>
              <w:left w:val="single" w:sz="4" w:space="0" w:color="auto"/>
            </w:tcBorders>
            <w:shd w:val="clear" w:color="auto" w:fill="auto"/>
            <w:noWrap/>
            <w:vAlign w:val="center"/>
            <w:hideMark/>
          </w:tcPr>
          <w:p w14:paraId="1A2A6B96"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-3.1197</w:t>
            </w:r>
          </w:p>
        </w:tc>
        <w:tc>
          <w:tcPr>
            <w:tcW w:w="499" w:type="pct"/>
            <w:shd w:val="clear" w:color="auto" w:fill="auto"/>
            <w:noWrap/>
            <w:vAlign w:val="center"/>
            <w:hideMark/>
          </w:tcPr>
          <w:p w14:paraId="686E2C23"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-2.4597</w:t>
            </w:r>
          </w:p>
        </w:tc>
        <w:tc>
          <w:tcPr>
            <w:tcW w:w="469" w:type="pct"/>
            <w:tcBorders>
              <w:right w:val="single" w:sz="4" w:space="0" w:color="auto"/>
            </w:tcBorders>
            <w:shd w:val="clear" w:color="auto" w:fill="auto"/>
            <w:noWrap/>
            <w:vAlign w:val="center"/>
            <w:hideMark/>
          </w:tcPr>
          <w:p w14:paraId="65A021F7"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-2.1197</w:t>
            </w:r>
          </w:p>
        </w:tc>
      </w:tr>
      <w:tr w:rsidR="002E554D" w:rsidRPr="002E554D" w14:paraId="5D8411AA" w14:textId="77777777" w:rsidTr="002A7A67">
        <w:trPr>
          <w:trHeight w:val="300"/>
          <w:jc w:val="center"/>
        </w:trPr>
        <w:tc>
          <w:tcPr>
            <w:tcW w:w="645" w:type="pct"/>
            <w:tcBorders>
              <w:left w:val="single" w:sz="4" w:space="0" w:color="auto"/>
              <w:right w:val="single" w:sz="4" w:space="0" w:color="auto"/>
            </w:tcBorders>
            <w:shd w:val="clear" w:color="auto" w:fill="auto"/>
            <w:noWrap/>
            <w:vAlign w:val="bottom"/>
            <w:hideMark/>
          </w:tcPr>
          <w:p w14:paraId="06DF90CC"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42" w:type="pct"/>
            <w:tcBorders>
              <w:left w:val="single" w:sz="4" w:space="0" w:color="auto"/>
              <w:right w:val="single" w:sz="4" w:space="0" w:color="auto"/>
            </w:tcBorders>
            <w:shd w:val="clear" w:color="auto" w:fill="auto"/>
            <w:noWrap/>
            <w:hideMark/>
          </w:tcPr>
          <w:p w14:paraId="49C2A6AB" w14:textId="5341E888" w:rsidR="00AD0921" w:rsidRPr="002E554D" w:rsidRDefault="00AD0921" w:rsidP="00AD0921">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1.698</w:t>
            </w:r>
          </w:p>
        </w:tc>
        <w:tc>
          <w:tcPr>
            <w:tcW w:w="469" w:type="pct"/>
            <w:tcBorders>
              <w:left w:val="single" w:sz="4" w:space="0" w:color="auto"/>
            </w:tcBorders>
            <w:shd w:val="clear" w:color="auto" w:fill="auto"/>
            <w:noWrap/>
            <w:hideMark/>
          </w:tcPr>
          <w:p w14:paraId="4B80CFAD" w14:textId="07E88BE9"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-2.581</w:t>
            </w:r>
          </w:p>
        </w:tc>
        <w:tc>
          <w:tcPr>
            <w:tcW w:w="469" w:type="pct"/>
            <w:shd w:val="clear" w:color="auto" w:fill="auto"/>
            <w:noWrap/>
            <w:hideMark/>
          </w:tcPr>
          <w:p w14:paraId="27AC0CB8" w14:textId="266A9B69"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-1.906</w:t>
            </w:r>
          </w:p>
        </w:tc>
        <w:tc>
          <w:tcPr>
            <w:tcW w:w="497" w:type="pct"/>
            <w:tcBorders>
              <w:right w:val="single" w:sz="4" w:space="0" w:color="auto"/>
            </w:tcBorders>
            <w:shd w:val="clear" w:color="auto" w:fill="auto"/>
            <w:noWrap/>
            <w:hideMark/>
          </w:tcPr>
          <w:p w14:paraId="0E70C5C4" w14:textId="3168DC2D"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-1.546</w:t>
            </w:r>
          </w:p>
        </w:tc>
        <w:tc>
          <w:tcPr>
            <w:tcW w:w="742" w:type="pct"/>
            <w:tcBorders>
              <w:left w:val="single" w:sz="4" w:space="0" w:color="auto"/>
              <w:right w:val="single" w:sz="4" w:space="0" w:color="auto"/>
            </w:tcBorders>
            <w:shd w:val="clear" w:color="auto" w:fill="auto"/>
            <w:noWrap/>
            <w:vAlign w:val="center"/>
            <w:hideMark/>
          </w:tcPr>
          <w:p w14:paraId="175F984B" w14:textId="77777777" w:rsidR="00AD0921" w:rsidRPr="002E554D" w:rsidRDefault="00AD0921" w:rsidP="00AD0921">
            <w:pPr>
              <w:spacing w:after="0" w:line="240" w:lineRule="auto"/>
              <w:jc w:val="center"/>
              <w:rPr>
                <w:rFonts w:ascii="Garamond" w:eastAsia="Times New Roman" w:hAnsi="Garamond" w:cs="Calibri"/>
                <w:bCs/>
                <w:color w:val="FF0000"/>
                <w:lang w:val="en-GB" w:eastAsia="en-GB"/>
              </w:rPr>
            </w:pPr>
            <w:r w:rsidRPr="002E554D">
              <w:rPr>
                <w:rFonts w:ascii="Garamond" w:hAnsi="Garamond" w:cs="Calibri"/>
                <w:color w:val="FF0000"/>
              </w:rPr>
              <w:t>-0.3624</w:t>
            </w:r>
          </w:p>
        </w:tc>
        <w:tc>
          <w:tcPr>
            <w:tcW w:w="469" w:type="pct"/>
            <w:tcBorders>
              <w:left w:val="single" w:sz="4" w:space="0" w:color="auto"/>
            </w:tcBorders>
            <w:shd w:val="clear" w:color="auto" w:fill="auto"/>
            <w:noWrap/>
            <w:vAlign w:val="center"/>
            <w:hideMark/>
          </w:tcPr>
          <w:p w14:paraId="49622F8A"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-2.6422</w:t>
            </w:r>
          </w:p>
        </w:tc>
        <w:tc>
          <w:tcPr>
            <w:tcW w:w="499" w:type="pct"/>
            <w:shd w:val="clear" w:color="auto" w:fill="auto"/>
            <w:noWrap/>
            <w:vAlign w:val="center"/>
            <w:hideMark/>
          </w:tcPr>
          <w:p w14:paraId="56C6A71C"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-1.9685</w:t>
            </w:r>
          </w:p>
        </w:tc>
        <w:tc>
          <w:tcPr>
            <w:tcW w:w="469" w:type="pct"/>
            <w:tcBorders>
              <w:right w:val="single" w:sz="4" w:space="0" w:color="auto"/>
            </w:tcBorders>
            <w:shd w:val="clear" w:color="auto" w:fill="auto"/>
            <w:noWrap/>
            <w:vAlign w:val="center"/>
            <w:hideMark/>
          </w:tcPr>
          <w:p w14:paraId="1E05BF2E" w14:textId="77777777" w:rsidR="00AD0921" w:rsidRPr="002E554D" w:rsidRDefault="00AD0921" w:rsidP="00AD0921">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-1.6085</w:t>
            </w:r>
          </w:p>
        </w:tc>
      </w:tr>
      <w:tr w:rsidR="002E554D" w:rsidRPr="002E554D" w14:paraId="55A11395" w14:textId="77777777" w:rsidTr="00D0603D">
        <w:trPr>
          <w:trHeight w:val="300"/>
          <w:jc w:val="center"/>
        </w:trPr>
        <w:tc>
          <w:tcPr>
            <w:tcW w:w="645" w:type="pct"/>
            <w:tcBorders>
              <w:left w:val="single" w:sz="4" w:space="0" w:color="auto"/>
              <w:right w:val="single" w:sz="4" w:space="0" w:color="auto"/>
            </w:tcBorders>
            <w:shd w:val="clear" w:color="auto" w:fill="auto"/>
            <w:noWrap/>
            <w:vAlign w:val="bottom"/>
          </w:tcPr>
          <w:p w14:paraId="2EA68B50" w14:textId="77777777" w:rsidR="00ED53CE" w:rsidRPr="002E554D" w:rsidRDefault="00ED53CE" w:rsidP="009F7755">
            <w:pPr>
              <w:spacing w:after="0" w:line="240" w:lineRule="auto"/>
              <w:jc w:val="center"/>
              <w:rPr>
                <w:rFonts w:ascii="Garamond" w:eastAsia="Times New Roman" w:hAnsi="Garamond" w:cs="Calibri"/>
                <w:color w:val="FF0000"/>
                <w:lang w:val="en-GB" w:eastAsia="en-GB"/>
              </w:rPr>
            </w:pPr>
          </w:p>
        </w:tc>
        <w:tc>
          <w:tcPr>
            <w:tcW w:w="2177" w:type="pct"/>
            <w:gridSpan w:val="4"/>
            <w:tcBorders>
              <w:left w:val="single" w:sz="4" w:space="0" w:color="auto"/>
              <w:right w:val="single" w:sz="4" w:space="0" w:color="auto"/>
            </w:tcBorders>
            <w:shd w:val="clear" w:color="auto" w:fill="auto"/>
            <w:noWrap/>
            <w:vAlign w:val="center"/>
            <w:hideMark/>
          </w:tcPr>
          <w:p w14:paraId="463B4CC3"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Iridium</w:t>
            </w:r>
          </w:p>
        </w:tc>
        <w:tc>
          <w:tcPr>
            <w:tcW w:w="2179" w:type="pct"/>
            <w:gridSpan w:val="4"/>
            <w:tcBorders>
              <w:left w:val="single" w:sz="4" w:space="0" w:color="auto"/>
              <w:right w:val="single" w:sz="4" w:space="0" w:color="auto"/>
            </w:tcBorders>
            <w:shd w:val="clear" w:color="auto" w:fill="auto"/>
            <w:noWrap/>
            <w:vAlign w:val="center"/>
            <w:hideMark/>
          </w:tcPr>
          <w:p w14:paraId="6BFCA05D" w14:textId="77777777" w:rsidR="00ED53CE" w:rsidRPr="002E554D" w:rsidRDefault="00ED53CE"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GSCI</w:t>
            </w:r>
          </w:p>
        </w:tc>
      </w:tr>
      <w:tr w:rsidR="002E554D" w:rsidRPr="002E554D" w14:paraId="34947D61" w14:textId="77777777" w:rsidTr="00590292">
        <w:trPr>
          <w:trHeight w:val="300"/>
          <w:jc w:val="center"/>
        </w:trPr>
        <w:tc>
          <w:tcPr>
            <w:tcW w:w="645" w:type="pct"/>
            <w:tcBorders>
              <w:left w:val="single" w:sz="4" w:space="0" w:color="auto"/>
              <w:right w:val="single" w:sz="4" w:space="0" w:color="auto"/>
            </w:tcBorders>
            <w:shd w:val="clear" w:color="auto" w:fill="auto"/>
            <w:noWrap/>
            <w:vAlign w:val="bottom"/>
            <w:hideMark/>
          </w:tcPr>
          <w:p w14:paraId="1F792874"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42" w:type="pct"/>
            <w:tcBorders>
              <w:left w:val="single" w:sz="4" w:space="0" w:color="auto"/>
              <w:right w:val="single" w:sz="4" w:space="0" w:color="auto"/>
            </w:tcBorders>
            <w:shd w:val="clear" w:color="auto" w:fill="auto"/>
            <w:noWrap/>
            <w:hideMark/>
          </w:tcPr>
          <w:p w14:paraId="06119E25" w14:textId="1BF2CC00"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-3.597***</w:t>
            </w:r>
          </w:p>
        </w:tc>
        <w:tc>
          <w:tcPr>
            <w:tcW w:w="469" w:type="pct"/>
            <w:tcBorders>
              <w:left w:val="single" w:sz="4" w:space="0" w:color="auto"/>
            </w:tcBorders>
            <w:shd w:val="clear" w:color="auto" w:fill="auto"/>
            <w:noWrap/>
            <w:hideMark/>
          </w:tcPr>
          <w:p w14:paraId="6CECA72A" w14:textId="16656B7A"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-2.752</w:t>
            </w:r>
          </w:p>
        </w:tc>
        <w:tc>
          <w:tcPr>
            <w:tcW w:w="469" w:type="pct"/>
            <w:shd w:val="clear" w:color="auto" w:fill="auto"/>
            <w:noWrap/>
            <w:hideMark/>
          </w:tcPr>
          <w:p w14:paraId="4DD5D92A" w14:textId="5B653DBA"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-2.080</w:t>
            </w:r>
          </w:p>
        </w:tc>
        <w:tc>
          <w:tcPr>
            <w:tcW w:w="497" w:type="pct"/>
            <w:tcBorders>
              <w:right w:val="single" w:sz="4" w:space="0" w:color="auto"/>
            </w:tcBorders>
            <w:shd w:val="clear" w:color="auto" w:fill="auto"/>
            <w:noWrap/>
            <w:hideMark/>
          </w:tcPr>
          <w:p w14:paraId="1FF8F11C" w14:textId="07EF274E"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-1.720</w:t>
            </w:r>
          </w:p>
        </w:tc>
        <w:tc>
          <w:tcPr>
            <w:tcW w:w="742" w:type="pct"/>
            <w:tcBorders>
              <w:left w:val="single" w:sz="4" w:space="0" w:color="auto"/>
              <w:right w:val="single" w:sz="4" w:space="0" w:color="auto"/>
            </w:tcBorders>
            <w:shd w:val="clear" w:color="auto" w:fill="auto"/>
            <w:noWrap/>
            <w:hideMark/>
          </w:tcPr>
          <w:p w14:paraId="2C467246" w14:textId="3B889E20" w:rsidR="0040102E" w:rsidRPr="002E554D" w:rsidRDefault="0040102E" w:rsidP="0040102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hideMark/>
          </w:tcPr>
          <w:p w14:paraId="259ABCA0" w14:textId="0854EF6B"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-2.409</w:t>
            </w:r>
          </w:p>
        </w:tc>
        <w:tc>
          <w:tcPr>
            <w:tcW w:w="499" w:type="pct"/>
            <w:shd w:val="clear" w:color="auto" w:fill="auto"/>
            <w:noWrap/>
            <w:hideMark/>
          </w:tcPr>
          <w:p w14:paraId="3C430DC2" w14:textId="4B49F2D4"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-1.730</w:t>
            </w:r>
          </w:p>
        </w:tc>
        <w:tc>
          <w:tcPr>
            <w:tcW w:w="469" w:type="pct"/>
            <w:tcBorders>
              <w:right w:val="single" w:sz="4" w:space="0" w:color="auto"/>
            </w:tcBorders>
            <w:shd w:val="clear" w:color="auto" w:fill="auto"/>
            <w:noWrap/>
            <w:hideMark/>
          </w:tcPr>
          <w:p w14:paraId="737397D3" w14:textId="5F3C2C73" w:rsidR="0040102E" w:rsidRPr="002E554D" w:rsidRDefault="0040102E" w:rsidP="0040102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-1.370</w:t>
            </w:r>
          </w:p>
        </w:tc>
      </w:tr>
      <w:tr w:rsidR="002E554D" w:rsidRPr="002E554D" w14:paraId="2CA780CB" w14:textId="77777777" w:rsidTr="00590292">
        <w:trPr>
          <w:trHeight w:val="300"/>
          <w:jc w:val="center"/>
        </w:trPr>
        <w:tc>
          <w:tcPr>
            <w:tcW w:w="645" w:type="pct"/>
            <w:tcBorders>
              <w:left w:val="single" w:sz="4" w:space="0" w:color="auto"/>
              <w:right w:val="single" w:sz="4" w:space="0" w:color="auto"/>
            </w:tcBorders>
            <w:shd w:val="clear" w:color="auto" w:fill="auto"/>
            <w:noWrap/>
            <w:vAlign w:val="bottom"/>
            <w:hideMark/>
          </w:tcPr>
          <w:p w14:paraId="3F9AB24D"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42" w:type="pct"/>
            <w:tcBorders>
              <w:left w:val="single" w:sz="4" w:space="0" w:color="auto"/>
              <w:right w:val="single" w:sz="4" w:space="0" w:color="auto"/>
            </w:tcBorders>
            <w:shd w:val="clear" w:color="auto" w:fill="auto"/>
            <w:noWrap/>
            <w:hideMark/>
          </w:tcPr>
          <w:p w14:paraId="2CB7196D" w14:textId="0A721856"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-2.924**</w:t>
            </w:r>
          </w:p>
        </w:tc>
        <w:tc>
          <w:tcPr>
            <w:tcW w:w="469" w:type="pct"/>
            <w:tcBorders>
              <w:left w:val="single" w:sz="4" w:space="0" w:color="auto"/>
            </w:tcBorders>
            <w:shd w:val="clear" w:color="auto" w:fill="auto"/>
            <w:noWrap/>
            <w:hideMark/>
          </w:tcPr>
          <w:p w14:paraId="07574231" w14:textId="19A2B7EA"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-2.957</w:t>
            </w:r>
          </w:p>
        </w:tc>
        <w:tc>
          <w:tcPr>
            <w:tcW w:w="469" w:type="pct"/>
            <w:shd w:val="clear" w:color="auto" w:fill="auto"/>
            <w:noWrap/>
            <w:hideMark/>
          </w:tcPr>
          <w:p w14:paraId="3993123D" w14:textId="60AA2479"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-2.303</w:t>
            </w:r>
          </w:p>
        </w:tc>
        <w:tc>
          <w:tcPr>
            <w:tcW w:w="497" w:type="pct"/>
            <w:tcBorders>
              <w:right w:val="single" w:sz="4" w:space="0" w:color="auto"/>
            </w:tcBorders>
            <w:shd w:val="clear" w:color="auto" w:fill="auto"/>
            <w:noWrap/>
            <w:hideMark/>
          </w:tcPr>
          <w:p w14:paraId="5A2F9017" w14:textId="6D23936B"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-1.951</w:t>
            </w:r>
          </w:p>
        </w:tc>
        <w:tc>
          <w:tcPr>
            <w:tcW w:w="742" w:type="pct"/>
            <w:tcBorders>
              <w:left w:val="single" w:sz="4" w:space="0" w:color="auto"/>
              <w:right w:val="single" w:sz="4" w:space="0" w:color="auto"/>
            </w:tcBorders>
            <w:shd w:val="clear" w:color="auto" w:fill="auto"/>
            <w:noWrap/>
            <w:hideMark/>
          </w:tcPr>
          <w:p w14:paraId="6DB7ABB4" w14:textId="75579022" w:rsidR="0040102E" w:rsidRPr="002E554D" w:rsidRDefault="0040102E" w:rsidP="0040102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hideMark/>
          </w:tcPr>
          <w:p w14:paraId="3A430111" w14:textId="5618AF8F" w:rsidR="0040102E" w:rsidRPr="002E554D" w:rsidRDefault="0040102E" w:rsidP="0040102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-2.551</w:t>
            </w:r>
          </w:p>
        </w:tc>
        <w:tc>
          <w:tcPr>
            <w:tcW w:w="499" w:type="pct"/>
            <w:shd w:val="clear" w:color="auto" w:fill="auto"/>
            <w:noWrap/>
            <w:hideMark/>
          </w:tcPr>
          <w:p w14:paraId="378CB993" w14:textId="70A929F5"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-1.875</w:t>
            </w:r>
          </w:p>
        </w:tc>
        <w:tc>
          <w:tcPr>
            <w:tcW w:w="469" w:type="pct"/>
            <w:tcBorders>
              <w:right w:val="single" w:sz="4" w:space="0" w:color="auto"/>
            </w:tcBorders>
            <w:shd w:val="clear" w:color="auto" w:fill="auto"/>
            <w:noWrap/>
            <w:hideMark/>
          </w:tcPr>
          <w:p w14:paraId="2CB8126C" w14:textId="4AE6204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-1.515</w:t>
            </w:r>
          </w:p>
        </w:tc>
      </w:tr>
      <w:tr w:rsidR="002E554D" w:rsidRPr="002E554D" w14:paraId="4950D121" w14:textId="77777777" w:rsidTr="00590292">
        <w:trPr>
          <w:trHeight w:val="300"/>
          <w:jc w:val="center"/>
        </w:trPr>
        <w:tc>
          <w:tcPr>
            <w:tcW w:w="645" w:type="pct"/>
            <w:tcBorders>
              <w:left w:val="single" w:sz="4" w:space="0" w:color="auto"/>
              <w:right w:val="single" w:sz="4" w:space="0" w:color="auto"/>
            </w:tcBorders>
            <w:shd w:val="clear" w:color="auto" w:fill="auto"/>
            <w:noWrap/>
            <w:vAlign w:val="bottom"/>
            <w:hideMark/>
          </w:tcPr>
          <w:p w14:paraId="3104B122"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42" w:type="pct"/>
            <w:tcBorders>
              <w:left w:val="single" w:sz="4" w:space="0" w:color="auto"/>
              <w:right w:val="single" w:sz="4" w:space="0" w:color="auto"/>
            </w:tcBorders>
            <w:shd w:val="clear" w:color="auto" w:fill="auto"/>
            <w:noWrap/>
            <w:hideMark/>
          </w:tcPr>
          <w:p w14:paraId="1C0C2079" w14:textId="60C70FEE"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-1.313</w:t>
            </w:r>
          </w:p>
        </w:tc>
        <w:tc>
          <w:tcPr>
            <w:tcW w:w="469" w:type="pct"/>
            <w:tcBorders>
              <w:left w:val="single" w:sz="4" w:space="0" w:color="auto"/>
            </w:tcBorders>
            <w:shd w:val="clear" w:color="auto" w:fill="auto"/>
            <w:noWrap/>
            <w:hideMark/>
          </w:tcPr>
          <w:p w14:paraId="18468180" w14:textId="55239A52"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-3.086</w:t>
            </w:r>
          </w:p>
        </w:tc>
        <w:tc>
          <w:tcPr>
            <w:tcW w:w="469" w:type="pct"/>
            <w:shd w:val="clear" w:color="auto" w:fill="auto"/>
            <w:noWrap/>
            <w:hideMark/>
          </w:tcPr>
          <w:p w14:paraId="63E2C02C" w14:textId="38C7D483"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-2.428</w:t>
            </w:r>
          </w:p>
        </w:tc>
        <w:tc>
          <w:tcPr>
            <w:tcW w:w="497" w:type="pct"/>
            <w:tcBorders>
              <w:right w:val="single" w:sz="4" w:space="0" w:color="auto"/>
            </w:tcBorders>
            <w:shd w:val="clear" w:color="auto" w:fill="auto"/>
            <w:noWrap/>
            <w:hideMark/>
          </w:tcPr>
          <w:p w14:paraId="0CF34C6D" w14:textId="0DE0AFCE"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-2.086</w:t>
            </w:r>
          </w:p>
        </w:tc>
        <w:tc>
          <w:tcPr>
            <w:tcW w:w="742" w:type="pct"/>
            <w:tcBorders>
              <w:left w:val="single" w:sz="4" w:space="0" w:color="auto"/>
              <w:right w:val="single" w:sz="4" w:space="0" w:color="auto"/>
            </w:tcBorders>
            <w:shd w:val="clear" w:color="auto" w:fill="auto"/>
            <w:noWrap/>
            <w:hideMark/>
          </w:tcPr>
          <w:p w14:paraId="6CC7AF69" w14:textId="0176D974" w:rsidR="0040102E" w:rsidRPr="002E554D" w:rsidRDefault="0040102E" w:rsidP="0040102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hideMark/>
          </w:tcPr>
          <w:p w14:paraId="43A149BA" w14:textId="36EC4A20"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-2.742</w:t>
            </w:r>
          </w:p>
        </w:tc>
        <w:tc>
          <w:tcPr>
            <w:tcW w:w="499" w:type="pct"/>
            <w:shd w:val="clear" w:color="auto" w:fill="auto"/>
            <w:noWrap/>
            <w:hideMark/>
          </w:tcPr>
          <w:p w14:paraId="1D9644B5" w14:textId="56111EB4" w:rsidR="0040102E" w:rsidRPr="002E554D" w:rsidRDefault="0040102E" w:rsidP="0040102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-2.071</w:t>
            </w:r>
          </w:p>
        </w:tc>
        <w:tc>
          <w:tcPr>
            <w:tcW w:w="469" w:type="pct"/>
            <w:tcBorders>
              <w:right w:val="single" w:sz="4" w:space="0" w:color="auto"/>
            </w:tcBorders>
            <w:shd w:val="clear" w:color="auto" w:fill="auto"/>
            <w:noWrap/>
            <w:hideMark/>
          </w:tcPr>
          <w:p w14:paraId="28D688F4" w14:textId="7E0AD4D9"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-1.711</w:t>
            </w:r>
          </w:p>
        </w:tc>
      </w:tr>
      <w:tr w:rsidR="002E554D" w:rsidRPr="002E554D" w14:paraId="13666116" w14:textId="77777777" w:rsidTr="00590292">
        <w:trPr>
          <w:trHeight w:val="300"/>
          <w:jc w:val="center"/>
        </w:trPr>
        <w:tc>
          <w:tcPr>
            <w:tcW w:w="645" w:type="pct"/>
            <w:tcBorders>
              <w:left w:val="single" w:sz="4" w:space="0" w:color="auto"/>
              <w:right w:val="single" w:sz="4" w:space="0" w:color="auto"/>
            </w:tcBorders>
            <w:shd w:val="clear" w:color="auto" w:fill="auto"/>
            <w:noWrap/>
            <w:vAlign w:val="bottom"/>
            <w:hideMark/>
          </w:tcPr>
          <w:p w14:paraId="3C73CCAF"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42" w:type="pct"/>
            <w:tcBorders>
              <w:left w:val="single" w:sz="4" w:space="0" w:color="auto"/>
              <w:right w:val="single" w:sz="4" w:space="0" w:color="auto"/>
            </w:tcBorders>
            <w:shd w:val="clear" w:color="auto" w:fill="auto"/>
            <w:noWrap/>
            <w:hideMark/>
          </w:tcPr>
          <w:p w14:paraId="41802C6B" w14:textId="488027E2"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0.075</w:t>
            </w:r>
          </w:p>
        </w:tc>
        <w:tc>
          <w:tcPr>
            <w:tcW w:w="469" w:type="pct"/>
            <w:tcBorders>
              <w:left w:val="single" w:sz="4" w:space="0" w:color="auto"/>
            </w:tcBorders>
            <w:shd w:val="clear" w:color="auto" w:fill="auto"/>
            <w:noWrap/>
            <w:hideMark/>
          </w:tcPr>
          <w:p w14:paraId="6D34CC5A" w14:textId="0B589943" w:rsidR="0040102E" w:rsidRPr="002E554D" w:rsidRDefault="0040102E" w:rsidP="0040102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-3.197</w:t>
            </w:r>
          </w:p>
        </w:tc>
        <w:tc>
          <w:tcPr>
            <w:tcW w:w="469" w:type="pct"/>
            <w:shd w:val="clear" w:color="auto" w:fill="auto"/>
            <w:noWrap/>
            <w:hideMark/>
          </w:tcPr>
          <w:p w14:paraId="1D907D7A" w14:textId="4CCDD8E8"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-2.561</w:t>
            </w:r>
          </w:p>
        </w:tc>
        <w:tc>
          <w:tcPr>
            <w:tcW w:w="497" w:type="pct"/>
            <w:tcBorders>
              <w:right w:val="single" w:sz="4" w:space="0" w:color="auto"/>
            </w:tcBorders>
            <w:shd w:val="clear" w:color="auto" w:fill="auto"/>
            <w:noWrap/>
            <w:hideMark/>
          </w:tcPr>
          <w:p w14:paraId="4B2A70A2" w14:textId="79C3421F"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-2.221</w:t>
            </w:r>
          </w:p>
        </w:tc>
        <w:tc>
          <w:tcPr>
            <w:tcW w:w="742" w:type="pct"/>
            <w:tcBorders>
              <w:left w:val="single" w:sz="4" w:space="0" w:color="auto"/>
              <w:right w:val="single" w:sz="4" w:space="0" w:color="auto"/>
            </w:tcBorders>
            <w:shd w:val="clear" w:color="auto" w:fill="auto"/>
            <w:noWrap/>
            <w:hideMark/>
          </w:tcPr>
          <w:p w14:paraId="362FE359" w14:textId="5BBEE26F" w:rsidR="0040102E" w:rsidRPr="002E554D" w:rsidRDefault="0040102E" w:rsidP="0040102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hideMark/>
          </w:tcPr>
          <w:p w14:paraId="6631A7C5" w14:textId="6AED2F3E"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-2.881</w:t>
            </w:r>
          </w:p>
        </w:tc>
        <w:tc>
          <w:tcPr>
            <w:tcW w:w="499" w:type="pct"/>
            <w:shd w:val="clear" w:color="auto" w:fill="auto"/>
            <w:noWrap/>
            <w:hideMark/>
          </w:tcPr>
          <w:p w14:paraId="19FE13A0" w14:textId="5F95580F"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-2.218</w:t>
            </w:r>
          </w:p>
        </w:tc>
        <w:tc>
          <w:tcPr>
            <w:tcW w:w="469" w:type="pct"/>
            <w:tcBorders>
              <w:right w:val="single" w:sz="4" w:space="0" w:color="auto"/>
            </w:tcBorders>
            <w:shd w:val="clear" w:color="auto" w:fill="auto"/>
            <w:noWrap/>
            <w:hideMark/>
          </w:tcPr>
          <w:p w14:paraId="4343998C" w14:textId="288EBB7D"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-1.861</w:t>
            </w:r>
          </w:p>
        </w:tc>
      </w:tr>
      <w:tr w:rsidR="002E554D" w:rsidRPr="002E554D" w14:paraId="7AD2267B" w14:textId="77777777" w:rsidTr="00590292">
        <w:trPr>
          <w:trHeight w:val="300"/>
          <w:jc w:val="center"/>
        </w:trPr>
        <w:tc>
          <w:tcPr>
            <w:tcW w:w="645" w:type="pct"/>
            <w:tcBorders>
              <w:left w:val="single" w:sz="4" w:space="0" w:color="auto"/>
              <w:right w:val="single" w:sz="4" w:space="0" w:color="auto"/>
            </w:tcBorders>
            <w:shd w:val="clear" w:color="auto" w:fill="auto"/>
            <w:noWrap/>
            <w:vAlign w:val="bottom"/>
            <w:hideMark/>
          </w:tcPr>
          <w:p w14:paraId="59A73892"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42" w:type="pct"/>
            <w:tcBorders>
              <w:left w:val="single" w:sz="4" w:space="0" w:color="auto"/>
              <w:right w:val="single" w:sz="4" w:space="0" w:color="auto"/>
            </w:tcBorders>
            <w:shd w:val="clear" w:color="auto" w:fill="auto"/>
            <w:noWrap/>
            <w:hideMark/>
          </w:tcPr>
          <w:p w14:paraId="7F321FFD" w14:textId="0EBDED9A"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0.119</w:t>
            </w:r>
          </w:p>
        </w:tc>
        <w:tc>
          <w:tcPr>
            <w:tcW w:w="469" w:type="pct"/>
            <w:tcBorders>
              <w:left w:val="single" w:sz="4" w:space="0" w:color="auto"/>
            </w:tcBorders>
            <w:shd w:val="clear" w:color="auto" w:fill="auto"/>
            <w:noWrap/>
            <w:hideMark/>
          </w:tcPr>
          <w:p w14:paraId="41021CC7" w14:textId="65C3F523" w:rsidR="0040102E" w:rsidRPr="002E554D" w:rsidRDefault="0040102E" w:rsidP="0040102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-3.151</w:t>
            </w:r>
          </w:p>
        </w:tc>
        <w:tc>
          <w:tcPr>
            <w:tcW w:w="469" w:type="pct"/>
            <w:shd w:val="clear" w:color="auto" w:fill="auto"/>
            <w:noWrap/>
            <w:hideMark/>
          </w:tcPr>
          <w:p w14:paraId="0916DF7B" w14:textId="7F3A8028"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-2.500</w:t>
            </w:r>
          </w:p>
        </w:tc>
        <w:tc>
          <w:tcPr>
            <w:tcW w:w="497" w:type="pct"/>
            <w:tcBorders>
              <w:right w:val="single" w:sz="4" w:space="0" w:color="auto"/>
            </w:tcBorders>
            <w:shd w:val="clear" w:color="auto" w:fill="auto"/>
            <w:noWrap/>
            <w:hideMark/>
          </w:tcPr>
          <w:p w14:paraId="4D881559" w14:textId="59CCD1A0"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-2.160</w:t>
            </w:r>
          </w:p>
        </w:tc>
        <w:tc>
          <w:tcPr>
            <w:tcW w:w="742" w:type="pct"/>
            <w:tcBorders>
              <w:left w:val="single" w:sz="4" w:space="0" w:color="auto"/>
              <w:right w:val="single" w:sz="4" w:space="0" w:color="auto"/>
            </w:tcBorders>
            <w:shd w:val="clear" w:color="auto" w:fill="auto"/>
            <w:noWrap/>
            <w:hideMark/>
          </w:tcPr>
          <w:p w14:paraId="78A7E2DA" w14:textId="6168ECF5" w:rsidR="0040102E" w:rsidRPr="002E554D" w:rsidRDefault="0040102E" w:rsidP="0040102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hideMark/>
          </w:tcPr>
          <w:p w14:paraId="5BB6B822" w14:textId="5EF1F7B5"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-2.990</w:t>
            </w:r>
          </w:p>
        </w:tc>
        <w:tc>
          <w:tcPr>
            <w:tcW w:w="499" w:type="pct"/>
            <w:shd w:val="clear" w:color="auto" w:fill="auto"/>
            <w:noWrap/>
            <w:hideMark/>
          </w:tcPr>
          <w:p w14:paraId="0BC2E2C5" w14:textId="600BFBDB"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-2.340</w:t>
            </w:r>
          </w:p>
        </w:tc>
        <w:tc>
          <w:tcPr>
            <w:tcW w:w="469" w:type="pct"/>
            <w:tcBorders>
              <w:right w:val="single" w:sz="4" w:space="0" w:color="auto"/>
            </w:tcBorders>
            <w:shd w:val="clear" w:color="auto" w:fill="auto"/>
            <w:noWrap/>
            <w:hideMark/>
          </w:tcPr>
          <w:p w14:paraId="4E82610E" w14:textId="498A0431"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-1.990</w:t>
            </w:r>
          </w:p>
        </w:tc>
      </w:tr>
      <w:tr w:rsidR="002E554D" w:rsidRPr="002E554D" w14:paraId="373DEE69" w14:textId="77777777" w:rsidTr="00590292">
        <w:trPr>
          <w:trHeight w:val="300"/>
          <w:jc w:val="center"/>
        </w:trPr>
        <w:tc>
          <w:tcPr>
            <w:tcW w:w="645" w:type="pct"/>
            <w:tcBorders>
              <w:left w:val="single" w:sz="4" w:space="0" w:color="auto"/>
              <w:right w:val="single" w:sz="4" w:space="0" w:color="auto"/>
            </w:tcBorders>
            <w:shd w:val="clear" w:color="auto" w:fill="auto"/>
            <w:noWrap/>
            <w:vAlign w:val="bottom"/>
            <w:hideMark/>
          </w:tcPr>
          <w:p w14:paraId="6B1B3910"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42" w:type="pct"/>
            <w:tcBorders>
              <w:left w:val="single" w:sz="4" w:space="0" w:color="auto"/>
              <w:right w:val="single" w:sz="4" w:space="0" w:color="auto"/>
            </w:tcBorders>
            <w:shd w:val="clear" w:color="auto" w:fill="auto"/>
            <w:noWrap/>
            <w:hideMark/>
          </w:tcPr>
          <w:p w14:paraId="0E6908BC" w14:textId="15F34D0E"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1.832</w:t>
            </w:r>
          </w:p>
        </w:tc>
        <w:tc>
          <w:tcPr>
            <w:tcW w:w="469" w:type="pct"/>
            <w:tcBorders>
              <w:left w:val="single" w:sz="4" w:space="0" w:color="auto"/>
            </w:tcBorders>
            <w:shd w:val="clear" w:color="auto" w:fill="auto"/>
            <w:noWrap/>
            <w:hideMark/>
          </w:tcPr>
          <w:p w14:paraId="6E80D9C1" w14:textId="725463D7" w:rsidR="0040102E" w:rsidRPr="002E554D" w:rsidRDefault="0040102E" w:rsidP="0040102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-3.114</w:t>
            </w:r>
          </w:p>
        </w:tc>
        <w:tc>
          <w:tcPr>
            <w:tcW w:w="469" w:type="pct"/>
            <w:shd w:val="clear" w:color="auto" w:fill="auto"/>
            <w:noWrap/>
            <w:hideMark/>
          </w:tcPr>
          <w:p w14:paraId="602EA990" w14:textId="1FB2F580"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-2.454</w:t>
            </w:r>
          </w:p>
        </w:tc>
        <w:tc>
          <w:tcPr>
            <w:tcW w:w="497" w:type="pct"/>
            <w:tcBorders>
              <w:right w:val="single" w:sz="4" w:space="0" w:color="auto"/>
            </w:tcBorders>
            <w:shd w:val="clear" w:color="auto" w:fill="auto"/>
            <w:noWrap/>
            <w:hideMark/>
          </w:tcPr>
          <w:p w14:paraId="792BDB3E" w14:textId="7FE0B35C"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-2.114</w:t>
            </w:r>
          </w:p>
        </w:tc>
        <w:tc>
          <w:tcPr>
            <w:tcW w:w="742" w:type="pct"/>
            <w:tcBorders>
              <w:left w:val="single" w:sz="4" w:space="0" w:color="auto"/>
              <w:right w:val="single" w:sz="4" w:space="0" w:color="auto"/>
            </w:tcBorders>
            <w:shd w:val="clear" w:color="auto" w:fill="auto"/>
            <w:noWrap/>
            <w:hideMark/>
          </w:tcPr>
          <w:p w14:paraId="2286C2E0" w14:textId="0E7CDCFA" w:rsidR="0040102E" w:rsidRPr="002E554D" w:rsidRDefault="0040102E" w:rsidP="0040102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hideMark/>
          </w:tcPr>
          <w:p w14:paraId="26EECDD7" w14:textId="244F4D43"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-2.571</w:t>
            </w:r>
          </w:p>
        </w:tc>
        <w:tc>
          <w:tcPr>
            <w:tcW w:w="499" w:type="pct"/>
            <w:shd w:val="clear" w:color="auto" w:fill="auto"/>
            <w:noWrap/>
            <w:hideMark/>
          </w:tcPr>
          <w:p w14:paraId="325B6901" w14:textId="55EF26B2"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-1.896</w:t>
            </w:r>
          </w:p>
        </w:tc>
        <w:tc>
          <w:tcPr>
            <w:tcW w:w="469" w:type="pct"/>
            <w:tcBorders>
              <w:right w:val="single" w:sz="4" w:space="0" w:color="auto"/>
            </w:tcBorders>
            <w:shd w:val="clear" w:color="auto" w:fill="auto"/>
            <w:noWrap/>
            <w:hideMark/>
          </w:tcPr>
          <w:p w14:paraId="77D8122B" w14:textId="3BE73FDC"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-1.536</w:t>
            </w:r>
          </w:p>
        </w:tc>
      </w:tr>
      <w:tr w:rsidR="002E554D" w:rsidRPr="002E554D" w14:paraId="4C79A148" w14:textId="77777777" w:rsidTr="00590292">
        <w:trPr>
          <w:trHeight w:val="300"/>
          <w:jc w:val="center"/>
        </w:trPr>
        <w:tc>
          <w:tcPr>
            <w:tcW w:w="645" w:type="pct"/>
            <w:tcBorders>
              <w:left w:val="single" w:sz="4" w:space="0" w:color="auto"/>
              <w:right w:val="single" w:sz="4" w:space="0" w:color="auto"/>
            </w:tcBorders>
            <w:shd w:val="clear" w:color="auto" w:fill="auto"/>
            <w:noWrap/>
            <w:vAlign w:val="bottom"/>
            <w:hideMark/>
          </w:tcPr>
          <w:p w14:paraId="5DF01679"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42" w:type="pct"/>
            <w:tcBorders>
              <w:left w:val="single" w:sz="4" w:space="0" w:color="auto"/>
              <w:right w:val="single" w:sz="4" w:space="0" w:color="auto"/>
            </w:tcBorders>
            <w:shd w:val="clear" w:color="auto" w:fill="auto"/>
            <w:noWrap/>
            <w:hideMark/>
          </w:tcPr>
          <w:p w14:paraId="5E9B021D" w14:textId="42F3A25B"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2.449</w:t>
            </w:r>
          </w:p>
        </w:tc>
        <w:tc>
          <w:tcPr>
            <w:tcW w:w="469" w:type="pct"/>
            <w:tcBorders>
              <w:left w:val="single" w:sz="4" w:space="0" w:color="auto"/>
            </w:tcBorders>
            <w:shd w:val="clear" w:color="auto" w:fill="auto"/>
            <w:noWrap/>
            <w:hideMark/>
          </w:tcPr>
          <w:p w14:paraId="7BACEA6C" w14:textId="31931649" w:rsidR="0040102E" w:rsidRPr="002E554D" w:rsidRDefault="0040102E" w:rsidP="0040102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-3.083</w:t>
            </w:r>
          </w:p>
        </w:tc>
        <w:tc>
          <w:tcPr>
            <w:tcW w:w="469" w:type="pct"/>
            <w:shd w:val="clear" w:color="auto" w:fill="auto"/>
            <w:noWrap/>
            <w:hideMark/>
          </w:tcPr>
          <w:p w14:paraId="33AA33E9" w14:textId="67F9A8A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-2.426</w:t>
            </w:r>
          </w:p>
        </w:tc>
        <w:tc>
          <w:tcPr>
            <w:tcW w:w="497" w:type="pct"/>
            <w:tcBorders>
              <w:right w:val="single" w:sz="4" w:space="0" w:color="auto"/>
            </w:tcBorders>
            <w:shd w:val="clear" w:color="auto" w:fill="auto"/>
            <w:noWrap/>
            <w:hideMark/>
          </w:tcPr>
          <w:p w14:paraId="23964318" w14:textId="66B06C8C"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-2.083</w:t>
            </w:r>
          </w:p>
        </w:tc>
        <w:tc>
          <w:tcPr>
            <w:tcW w:w="742" w:type="pct"/>
            <w:tcBorders>
              <w:left w:val="single" w:sz="4" w:space="0" w:color="auto"/>
              <w:right w:val="single" w:sz="4" w:space="0" w:color="auto"/>
            </w:tcBorders>
            <w:shd w:val="clear" w:color="auto" w:fill="auto"/>
            <w:noWrap/>
            <w:hideMark/>
          </w:tcPr>
          <w:p w14:paraId="5698B434" w14:textId="08420D09" w:rsidR="0040102E" w:rsidRPr="002E554D" w:rsidRDefault="0040102E" w:rsidP="0040102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hideMark/>
          </w:tcPr>
          <w:p w14:paraId="3B46097B" w14:textId="79752B8D"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-2.541</w:t>
            </w:r>
          </w:p>
        </w:tc>
        <w:tc>
          <w:tcPr>
            <w:tcW w:w="499" w:type="pct"/>
            <w:shd w:val="clear" w:color="auto" w:fill="auto"/>
            <w:noWrap/>
            <w:hideMark/>
          </w:tcPr>
          <w:p w14:paraId="08E67E51" w14:textId="7BDBD3AF"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-1.865</w:t>
            </w:r>
          </w:p>
        </w:tc>
        <w:tc>
          <w:tcPr>
            <w:tcW w:w="469" w:type="pct"/>
            <w:tcBorders>
              <w:right w:val="single" w:sz="4" w:space="0" w:color="auto"/>
            </w:tcBorders>
            <w:shd w:val="clear" w:color="auto" w:fill="auto"/>
            <w:noWrap/>
            <w:hideMark/>
          </w:tcPr>
          <w:p w14:paraId="0D88999C" w14:textId="41572E9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-1.505</w:t>
            </w:r>
          </w:p>
        </w:tc>
      </w:tr>
      <w:tr w:rsidR="002E554D" w:rsidRPr="002E554D" w14:paraId="3A993BC7" w14:textId="77777777" w:rsidTr="00590292">
        <w:trPr>
          <w:trHeight w:val="300"/>
          <w:jc w:val="center"/>
        </w:trPr>
        <w:tc>
          <w:tcPr>
            <w:tcW w:w="645" w:type="pct"/>
            <w:tcBorders>
              <w:left w:val="single" w:sz="4" w:space="0" w:color="auto"/>
              <w:right w:val="single" w:sz="4" w:space="0" w:color="auto"/>
            </w:tcBorders>
            <w:shd w:val="clear" w:color="auto" w:fill="auto"/>
            <w:noWrap/>
            <w:vAlign w:val="bottom"/>
            <w:hideMark/>
          </w:tcPr>
          <w:p w14:paraId="712D160E"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42" w:type="pct"/>
            <w:tcBorders>
              <w:left w:val="single" w:sz="4" w:space="0" w:color="auto"/>
              <w:right w:val="single" w:sz="4" w:space="0" w:color="auto"/>
            </w:tcBorders>
            <w:shd w:val="clear" w:color="auto" w:fill="auto"/>
            <w:noWrap/>
            <w:hideMark/>
          </w:tcPr>
          <w:p w14:paraId="69B3FB30" w14:textId="72E7D524"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2.682</w:t>
            </w:r>
          </w:p>
        </w:tc>
        <w:tc>
          <w:tcPr>
            <w:tcW w:w="469" w:type="pct"/>
            <w:tcBorders>
              <w:left w:val="single" w:sz="4" w:space="0" w:color="auto"/>
            </w:tcBorders>
            <w:shd w:val="clear" w:color="auto" w:fill="auto"/>
            <w:noWrap/>
            <w:hideMark/>
          </w:tcPr>
          <w:p w14:paraId="38B8540D" w14:textId="75C3D8A5" w:rsidR="0040102E" w:rsidRPr="002E554D" w:rsidRDefault="0040102E" w:rsidP="0040102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-3.023</w:t>
            </w:r>
          </w:p>
        </w:tc>
        <w:tc>
          <w:tcPr>
            <w:tcW w:w="469" w:type="pct"/>
            <w:shd w:val="clear" w:color="auto" w:fill="auto"/>
            <w:noWrap/>
            <w:hideMark/>
          </w:tcPr>
          <w:p w14:paraId="127D5AFB" w14:textId="43440DC8"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-2.370</w:t>
            </w:r>
          </w:p>
        </w:tc>
        <w:tc>
          <w:tcPr>
            <w:tcW w:w="497" w:type="pct"/>
            <w:tcBorders>
              <w:right w:val="single" w:sz="4" w:space="0" w:color="auto"/>
            </w:tcBorders>
            <w:shd w:val="clear" w:color="auto" w:fill="auto"/>
            <w:noWrap/>
            <w:hideMark/>
          </w:tcPr>
          <w:p w14:paraId="6E180401" w14:textId="16825192"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-2.023</w:t>
            </w:r>
          </w:p>
        </w:tc>
        <w:tc>
          <w:tcPr>
            <w:tcW w:w="742" w:type="pct"/>
            <w:tcBorders>
              <w:left w:val="single" w:sz="4" w:space="0" w:color="auto"/>
              <w:right w:val="single" w:sz="4" w:space="0" w:color="auto"/>
            </w:tcBorders>
            <w:shd w:val="clear" w:color="auto" w:fill="auto"/>
            <w:noWrap/>
            <w:hideMark/>
          </w:tcPr>
          <w:p w14:paraId="2A5E9CBD" w14:textId="37DD8AD8" w:rsidR="0040102E" w:rsidRPr="002E554D" w:rsidRDefault="0040102E" w:rsidP="0040102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hideMark/>
          </w:tcPr>
          <w:p w14:paraId="0AAFDA9A" w14:textId="132AB48E"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-2.412</w:t>
            </w:r>
          </w:p>
        </w:tc>
        <w:tc>
          <w:tcPr>
            <w:tcW w:w="499" w:type="pct"/>
            <w:shd w:val="clear" w:color="auto" w:fill="auto"/>
            <w:noWrap/>
            <w:hideMark/>
          </w:tcPr>
          <w:p w14:paraId="1761F48E" w14:textId="61F7D044"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-1.733</w:t>
            </w:r>
          </w:p>
        </w:tc>
        <w:tc>
          <w:tcPr>
            <w:tcW w:w="469" w:type="pct"/>
            <w:tcBorders>
              <w:right w:val="single" w:sz="4" w:space="0" w:color="auto"/>
            </w:tcBorders>
            <w:shd w:val="clear" w:color="auto" w:fill="auto"/>
            <w:noWrap/>
            <w:hideMark/>
          </w:tcPr>
          <w:p w14:paraId="23EF9E50" w14:textId="710156EE"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-1.373</w:t>
            </w:r>
          </w:p>
        </w:tc>
      </w:tr>
      <w:tr w:rsidR="002E554D" w:rsidRPr="002E554D" w14:paraId="56D37ADA" w14:textId="77777777" w:rsidTr="00590292">
        <w:trPr>
          <w:trHeight w:val="300"/>
          <w:jc w:val="center"/>
        </w:trPr>
        <w:tc>
          <w:tcPr>
            <w:tcW w:w="645" w:type="pct"/>
            <w:tcBorders>
              <w:left w:val="single" w:sz="4" w:space="0" w:color="auto"/>
              <w:right w:val="single" w:sz="4" w:space="0" w:color="auto"/>
            </w:tcBorders>
            <w:shd w:val="clear" w:color="auto" w:fill="auto"/>
            <w:noWrap/>
            <w:vAlign w:val="bottom"/>
            <w:hideMark/>
          </w:tcPr>
          <w:p w14:paraId="23971D88"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42" w:type="pct"/>
            <w:tcBorders>
              <w:left w:val="single" w:sz="4" w:space="0" w:color="auto"/>
              <w:right w:val="single" w:sz="4" w:space="0" w:color="auto"/>
            </w:tcBorders>
            <w:shd w:val="clear" w:color="auto" w:fill="auto"/>
            <w:noWrap/>
            <w:hideMark/>
          </w:tcPr>
          <w:p w14:paraId="7754B4E2" w14:textId="699EB86F"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2.781</w:t>
            </w:r>
          </w:p>
        </w:tc>
        <w:tc>
          <w:tcPr>
            <w:tcW w:w="469" w:type="pct"/>
            <w:tcBorders>
              <w:left w:val="single" w:sz="4" w:space="0" w:color="auto"/>
            </w:tcBorders>
            <w:shd w:val="clear" w:color="auto" w:fill="auto"/>
            <w:noWrap/>
            <w:hideMark/>
          </w:tcPr>
          <w:p w14:paraId="07AC3113" w14:textId="3B7C0057" w:rsidR="0040102E" w:rsidRPr="002E554D" w:rsidRDefault="0040102E" w:rsidP="0040102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-2.841</w:t>
            </w:r>
          </w:p>
        </w:tc>
        <w:tc>
          <w:tcPr>
            <w:tcW w:w="469" w:type="pct"/>
            <w:shd w:val="clear" w:color="auto" w:fill="auto"/>
            <w:noWrap/>
            <w:hideMark/>
          </w:tcPr>
          <w:p w14:paraId="73E359D3" w14:textId="0B1AA385"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-2.172</w:t>
            </w:r>
          </w:p>
        </w:tc>
        <w:tc>
          <w:tcPr>
            <w:tcW w:w="497" w:type="pct"/>
            <w:tcBorders>
              <w:right w:val="single" w:sz="4" w:space="0" w:color="auto"/>
            </w:tcBorders>
            <w:shd w:val="clear" w:color="auto" w:fill="auto"/>
            <w:noWrap/>
            <w:hideMark/>
          </w:tcPr>
          <w:p w14:paraId="73F9EF22" w14:textId="500C944F"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-1.813</w:t>
            </w:r>
          </w:p>
        </w:tc>
        <w:tc>
          <w:tcPr>
            <w:tcW w:w="742" w:type="pct"/>
            <w:tcBorders>
              <w:left w:val="single" w:sz="4" w:space="0" w:color="auto"/>
              <w:right w:val="single" w:sz="4" w:space="0" w:color="auto"/>
            </w:tcBorders>
            <w:shd w:val="clear" w:color="auto" w:fill="auto"/>
            <w:noWrap/>
            <w:hideMark/>
          </w:tcPr>
          <w:p w14:paraId="5657D260" w14:textId="120E3C60" w:rsidR="0040102E" w:rsidRPr="002E554D" w:rsidRDefault="0040102E" w:rsidP="0040102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0.080</w:t>
            </w:r>
          </w:p>
        </w:tc>
        <w:tc>
          <w:tcPr>
            <w:tcW w:w="469" w:type="pct"/>
            <w:tcBorders>
              <w:left w:val="single" w:sz="4" w:space="0" w:color="auto"/>
            </w:tcBorders>
            <w:shd w:val="clear" w:color="auto" w:fill="auto"/>
            <w:noWrap/>
            <w:hideMark/>
          </w:tcPr>
          <w:p w14:paraId="022EA3CA" w14:textId="6D5800BC"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-2.566</w:t>
            </w:r>
          </w:p>
        </w:tc>
        <w:tc>
          <w:tcPr>
            <w:tcW w:w="499" w:type="pct"/>
            <w:shd w:val="clear" w:color="auto" w:fill="auto"/>
            <w:noWrap/>
            <w:hideMark/>
          </w:tcPr>
          <w:p w14:paraId="524E39F9" w14:textId="65B27352"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-1.891</w:t>
            </w:r>
          </w:p>
        </w:tc>
        <w:tc>
          <w:tcPr>
            <w:tcW w:w="469" w:type="pct"/>
            <w:tcBorders>
              <w:right w:val="single" w:sz="4" w:space="0" w:color="auto"/>
            </w:tcBorders>
            <w:shd w:val="clear" w:color="auto" w:fill="auto"/>
            <w:noWrap/>
            <w:hideMark/>
          </w:tcPr>
          <w:p w14:paraId="1E12EB24" w14:textId="14BB05CF"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-1.531</w:t>
            </w:r>
          </w:p>
        </w:tc>
      </w:tr>
      <w:tr w:rsidR="002E554D" w:rsidRPr="002E554D" w14:paraId="44780FDD" w14:textId="77777777" w:rsidTr="007C6DD0">
        <w:trPr>
          <w:gridAfter w:val="4"/>
          <w:wAfter w:w="2179" w:type="pct"/>
          <w:trHeight w:val="300"/>
          <w:jc w:val="center"/>
        </w:trPr>
        <w:tc>
          <w:tcPr>
            <w:tcW w:w="645" w:type="pct"/>
            <w:tcBorders>
              <w:left w:val="single" w:sz="4" w:space="0" w:color="auto"/>
              <w:right w:val="single" w:sz="4" w:space="0" w:color="auto"/>
            </w:tcBorders>
            <w:shd w:val="clear" w:color="auto" w:fill="auto"/>
            <w:noWrap/>
            <w:vAlign w:val="bottom"/>
          </w:tcPr>
          <w:p w14:paraId="0A1CCE92" w14:textId="77777777" w:rsidR="006F5984" w:rsidRPr="002E554D" w:rsidRDefault="006F5984" w:rsidP="009F7755">
            <w:pPr>
              <w:spacing w:after="0" w:line="240" w:lineRule="auto"/>
              <w:jc w:val="center"/>
              <w:rPr>
                <w:rFonts w:ascii="Garamond" w:eastAsia="Times New Roman" w:hAnsi="Garamond" w:cs="Calibri"/>
                <w:color w:val="FF0000"/>
                <w:lang w:val="en-GB" w:eastAsia="en-GB"/>
              </w:rPr>
            </w:pPr>
          </w:p>
        </w:tc>
        <w:tc>
          <w:tcPr>
            <w:tcW w:w="2177" w:type="pct"/>
            <w:gridSpan w:val="4"/>
            <w:tcBorders>
              <w:left w:val="single" w:sz="4" w:space="0" w:color="auto"/>
              <w:right w:val="single" w:sz="4" w:space="0" w:color="auto"/>
            </w:tcBorders>
            <w:shd w:val="clear" w:color="auto" w:fill="auto"/>
            <w:noWrap/>
            <w:vAlign w:val="center"/>
            <w:hideMark/>
          </w:tcPr>
          <w:p w14:paraId="0E2D748F" w14:textId="77777777" w:rsidR="006F5984" w:rsidRPr="002E554D" w:rsidRDefault="006F5984" w:rsidP="009F7755">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Ruthenium</w:t>
            </w:r>
          </w:p>
        </w:tc>
      </w:tr>
      <w:tr w:rsidR="002E554D" w:rsidRPr="002E554D" w14:paraId="651F21CE" w14:textId="77777777" w:rsidTr="00765564">
        <w:trPr>
          <w:gridAfter w:val="4"/>
          <w:wAfter w:w="2179" w:type="pct"/>
          <w:trHeight w:val="300"/>
          <w:jc w:val="center"/>
        </w:trPr>
        <w:tc>
          <w:tcPr>
            <w:tcW w:w="645" w:type="pct"/>
            <w:tcBorders>
              <w:left w:val="single" w:sz="4" w:space="0" w:color="auto"/>
              <w:right w:val="single" w:sz="4" w:space="0" w:color="auto"/>
            </w:tcBorders>
            <w:shd w:val="clear" w:color="auto" w:fill="auto"/>
            <w:noWrap/>
            <w:vAlign w:val="bottom"/>
            <w:hideMark/>
          </w:tcPr>
          <w:p w14:paraId="4D056B5A"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42" w:type="pct"/>
            <w:tcBorders>
              <w:left w:val="single" w:sz="4" w:space="0" w:color="auto"/>
              <w:right w:val="single" w:sz="4" w:space="0" w:color="auto"/>
            </w:tcBorders>
            <w:shd w:val="clear" w:color="auto" w:fill="auto"/>
            <w:noWrap/>
          </w:tcPr>
          <w:p w14:paraId="63F4275F" w14:textId="1CA6B26A"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-413.668***</w:t>
            </w:r>
          </w:p>
        </w:tc>
        <w:tc>
          <w:tcPr>
            <w:tcW w:w="469" w:type="pct"/>
            <w:tcBorders>
              <w:left w:val="single" w:sz="4" w:space="0" w:color="auto"/>
            </w:tcBorders>
            <w:shd w:val="clear" w:color="auto" w:fill="auto"/>
            <w:noWrap/>
          </w:tcPr>
          <w:p w14:paraId="289752E3" w14:textId="4593E079"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-2.514</w:t>
            </w:r>
          </w:p>
        </w:tc>
        <w:tc>
          <w:tcPr>
            <w:tcW w:w="469" w:type="pct"/>
            <w:shd w:val="clear" w:color="auto" w:fill="auto"/>
            <w:noWrap/>
          </w:tcPr>
          <w:p w14:paraId="50538D1B" w14:textId="7BB0B836"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-1.837</w:t>
            </w:r>
          </w:p>
        </w:tc>
        <w:tc>
          <w:tcPr>
            <w:tcW w:w="497" w:type="pct"/>
            <w:tcBorders>
              <w:right w:val="single" w:sz="4" w:space="0" w:color="auto"/>
            </w:tcBorders>
            <w:shd w:val="clear" w:color="auto" w:fill="auto"/>
            <w:noWrap/>
          </w:tcPr>
          <w:p w14:paraId="305918F4" w14:textId="6DF83E24"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-1.477</w:t>
            </w:r>
          </w:p>
        </w:tc>
      </w:tr>
      <w:tr w:rsidR="002E554D" w:rsidRPr="002E554D" w14:paraId="6053FEC2" w14:textId="77777777" w:rsidTr="00765564">
        <w:trPr>
          <w:gridAfter w:val="4"/>
          <w:wAfter w:w="2179" w:type="pct"/>
          <w:trHeight w:val="300"/>
          <w:jc w:val="center"/>
        </w:trPr>
        <w:tc>
          <w:tcPr>
            <w:tcW w:w="645" w:type="pct"/>
            <w:tcBorders>
              <w:left w:val="single" w:sz="4" w:space="0" w:color="auto"/>
              <w:right w:val="single" w:sz="4" w:space="0" w:color="auto"/>
            </w:tcBorders>
            <w:shd w:val="clear" w:color="auto" w:fill="auto"/>
            <w:noWrap/>
            <w:vAlign w:val="bottom"/>
            <w:hideMark/>
          </w:tcPr>
          <w:p w14:paraId="7660BB84"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42" w:type="pct"/>
            <w:tcBorders>
              <w:left w:val="single" w:sz="4" w:space="0" w:color="auto"/>
              <w:right w:val="single" w:sz="4" w:space="0" w:color="auto"/>
            </w:tcBorders>
            <w:shd w:val="clear" w:color="auto" w:fill="auto"/>
            <w:noWrap/>
          </w:tcPr>
          <w:p w14:paraId="7806B56E" w14:textId="098D30D6"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tcPr>
          <w:p w14:paraId="346B2E2E" w14:textId="2EC9F586"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-2.562</w:t>
            </w:r>
          </w:p>
        </w:tc>
        <w:tc>
          <w:tcPr>
            <w:tcW w:w="469" w:type="pct"/>
            <w:shd w:val="clear" w:color="auto" w:fill="auto"/>
            <w:noWrap/>
          </w:tcPr>
          <w:p w14:paraId="0ED75FE0" w14:textId="76122A35"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-1.886</w:t>
            </w:r>
          </w:p>
        </w:tc>
        <w:tc>
          <w:tcPr>
            <w:tcW w:w="497" w:type="pct"/>
            <w:tcBorders>
              <w:right w:val="single" w:sz="4" w:space="0" w:color="auto"/>
            </w:tcBorders>
            <w:shd w:val="clear" w:color="auto" w:fill="auto"/>
            <w:noWrap/>
          </w:tcPr>
          <w:p w14:paraId="7785BA96" w14:textId="7FF30AC3"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-1.526</w:t>
            </w:r>
          </w:p>
        </w:tc>
      </w:tr>
      <w:tr w:rsidR="002E554D" w:rsidRPr="002E554D" w14:paraId="2A258BCF" w14:textId="77777777" w:rsidTr="00765564">
        <w:trPr>
          <w:gridAfter w:val="4"/>
          <w:wAfter w:w="2179" w:type="pct"/>
          <w:trHeight w:val="300"/>
          <w:jc w:val="center"/>
        </w:trPr>
        <w:tc>
          <w:tcPr>
            <w:tcW w:w="645" w:type="pct"/>
            <w:tcBorders>
              <w:left w:val="single" w:sz="4" w:space="0" w:color="auto"/>
              <w:right w:val="single" w:sz="4" w:space="0" w:color="auto"/>
            </w:tcBorders>
            <w:shd w:val="clear" w:color="auto" w:fill="auto"/>
            <w:noWrap/>
            <w:vAlign w:val="bottom"/>
            <w:hideMark/>
          </w:tcPr>
          <w:p w14:paraId="11613278"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42" w:type="pct"/>
            <w:tcBorders>
              <w:left w:val="single" w:sz="4" w:space="0" w:color="auto"/>
              <w:right w:val="single" w:sz="4" w:space="0" w:color="auto"/>
            </w:tcBorders>
            <w:shd w:val="clear" w:color="auto" w:fill="auto"/>
            <w:noWrap/>
          </w:tcPr>
          <w:p w14:paraId="58D9DED6" w14:textId="192C9A04"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tcPr>
          <w:p w14:paraId="3946AF41" w14:textId="0422F2AD"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-2.653</w:t>
            </w:r>
          </w:p>
        </w:tc>
        <w:tc>
          <w:tcPr>
            <w:tcW w:w="469" w:type="pct"/>
            <w:shd w:val="clear" w:color="auto" w:fill="auto"/>
            <w:noWrap/>
          </w:tcPr>
          <w:p w14:paraId="67BE1F96" w14:textId="4B7A60AA"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-1.980</w:t>
            </w:r>
          </w:p>
        </w:tc>
        <w:tc>
          <w:tcPr>
            <w:tcW w:w="497" w:type="pct"/>
            <w:tcBorders>
              <w:right w:val="single" w:sz="4" w:space="0" w:color="auto"/>
            </w:tcBorders>
            <w:shd w:val="clear" w:color="auto" w:fill="auto"/>
            <w:noWrap/>
          </w:tcPr>
          <w:p w14:paraId="03CEA892" w14:textId="6403EA01"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-1.620</w:t>
            </w:r>
          </w:p>
        </w:tc>
      </w:tr>
      <w:tr w:rsidR="002E554D" w:rsidRPr="002E554D" w14:paraId="170A38FE" w14:textId="77777777" w:rsidTr="00765564">
        <w:trPr>
          <w:gridAfter w:val="4"/>
          <w:wAfter w:w="2179" w:type="pct"/>
          <w:trHeight w:val="300"/>
          <w:jc w:val="center"/>
        </w:trPr>
        <w:tc>
          <w:tcPr>
            <w:tcW w:w="645" w:type="pct"/>
            <w:tcBorders>
              <w:left w:val="single" w:sz="4" w:space="0" w:color="auto"/>
              <w:right w:val="single" w:sz="4" w:space="0" w:color="auto"/>
            </w:tcBorders>
            <w:shd w:val="clear" w:color="auto" w:fill="auto"/>
            <w:noWrap/>
            <w:vAlign w:val="bottom"/>
            <w:hideMark/>
          </w:tcPr>
          <w:p w14:paraId="7D714276"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42" w:type="pct"/>
            <w:tcBorders>
              <w:left w:val="single" w:sz="4" w:space="0" w:color="auto"/>
              <w:right w:val="single" w:sz="4" w:space="0" w:color="auto"/>
            </w:tcBorders>
            <w:shd w:val="clear" w:color="auto" w:fill="auto"/>
            <w:noWrap/>
          </w:tcPr>
          <w:p w14:paraId="7D0FA6E5" w14:textId="5E3AAFB5"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tcPr>
          <w:p w14:paraId="5C828D1C" w14:textId="4997815D"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-2.779</w:t>
            </w:r>
          </w:p>
        </w:tc>
        <w:tc>
          <w:tcPr>
            <w:tcW w:w="469" w:type="pct"/>
            <w:shd w:val="clear" w:color="auto" w:fill="auto"/>
            <w:noWrap/>
          </w:tcPr>
          <w:p w14:paraId="176C56FF" w14:textId="4D910930"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-2.108</w:t>
            </w:r>
          </w:p>
        </w:tc>
        <w:tc>
          <w:tcPr>
            <w:tcW w:w="497" w:type="pct"/>
            <w:tcBorders>
              <w:right w:val="single" w:sz="4" w:space="0" w:color="auto"/>
            </w:tcBorders>
            <w:shd w:val="clear" w:color="auto" w:fill="auto"/>
            <w:noWrap/>
          </w:tcPr>
          <w:p w14:paraId="325236BA" w14:textId="1B363499"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-1.748</w:t>
            </w:r>
          </w:p>
        </w:tc>
      </w:tr>
      <w:tr w:rsidR="002E554D" w:rsidRPr="002E554D" w14:paraId="2711DCE3" w14:textId="77777777" w:rsidTr="00765564">
        <w:trPr>
          <w:gridAfter w:val="4"/>
          <w:wAfter w:w="2179" w:type="pct"/>
          <w:trHeight w:val="300"/>
          <w:jc w:val="center"/>
        </w:trPr>
        <w:tc>
          <w:tcPr>
            <w:tcW w:w="645" w:type="pct"/>
            <w:tcBorders>
              <w:left w:val="single" w:sz="4" w:space="0" w:color="auto"/>
              <w:right w:val="single" w:sz="4" w:space="0" w:color="auto"/>
            </w:tcBorders>
            <w:shd w:val="clear" w:color="auto" w:fill="auto"/>
            <w:noWrap/>
            <w:vAlign w:val="bottom"/>
            <w:hideMark/>
          </w:tcPr>
          <w:p w14:paraId="7E391D52"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42" w:type="pct"/>
            <w:tcBorders>
              <w:left w:val="single" w:sz="4" w:space="0" w:color="auto"/>
              <w:right w:val="single" w:sz="4" w:space="0" w:color="auto"/>
            </w:tcBorders>
            <w:shd w:val="clear" w:color="auto" w:fill="auto"/>
            <w:noWrap/>
          </w:tcPr>
          <w:p w14:paraId="7026C3B4" w14:textId="720C9D43"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tcPr>
          <w:p w14:paraId="1A2EC668" w14:textId="5931D6D5"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-2.870</w:t>
            </w:r>
          </w:p>
        </w:tc>
        <w:tc>
          <w:tcPr>
            <w:tcW w:w="469" w:type="pct"/>
            <w:shd w:val="clear" w:color="auto" w:fill="auto"/>
            <w:noWrap/>
          </w:tcPr>
          <w:p w14:paraId="0F7E3A8F" w14:textId="1BC17803"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-2.205</w:t>
            </w:r>
          </w:p>
        </w:tc>
        <w:tc>
          <w:tcPr>
            <w:tcW w:w="497" w:type="pct"/>
            <w:tcBorders>
              <w:right w:val="single" w:sz="4" w:space="0" w:color="auto"/>
            </w:tcBorders>
            <w:shd w:val="clear" w:color="auto" w:fill="auto"/>
            <w:noWrap/>
          </w:tcPr>
          <w:p w14:paraId="78992AF4" w14:textId="0BBBEA76"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-1.848</w:t>
            </w:r>
          </w:p>
        </w:tc>
      </w:tr>
      <w:tr w:rsidR="002E554D" w:rsidRPr="002E554D" w14:paraId="45A160D5" w14:textId="77777777" w:rsidTr="00765564">
        <w:trPr>
          <w:gridAfter w:val="4"/>
          <w:wAfter w:w="2179" w:type="pct"/>
          <w:trHeight w:val="300"/>
          <w:jc w:val="center"/>
        </w:trPr>
        <w:tc>
          <w:tcPr>
            <w:tcW w:w="645" w:type="pct"/>
            <w:tcBorders>
              <w:left w:val="single" w:sz="4" w:space="0" w:color="auto"/>
              <w:right w:val="single" w:sz="4" w:space="0" w:color="auto"/>
            </w:tcBorders>
            <w:shd w:val="clear" w:color="auto" w:fill="auto"/>
            <w:noWrap/>
            <w:vAlign w:val="bottom"/>
            <w:hideMark/>
          </w:tcPr>
          <w:p w14:paraId="7353A8E2"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42" w:type="pct"/>
            <w:tcBorders>
              <w:left w:val="single" w:sz="4" w:space="0" w:color="auto"/>
              <w:right w:val="single" w:sz="4" w:space="0" w:color="auto"/>
            </w:tcBorders>
            <w:shd w:val="clear" w:color="auto" w:fill="auto"/>
            <w:noWrap/>
          </w:tcPr>
          <w:p w14:paraId="6B82DDAF" w14:textId="027D58CE"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tcPr>
          <w:p w14:paraId="167F7EE2" w14:textId="182BCE8A"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-2.566</w:t>
            </w:r>
          </w:p>
        </w:tc>
        <w:tc>
          <w:tcPr>
            <w:tcW w:w="469" w:type="pct"/>
            <w:shd w:val="clear" w:color="auto" w:fill="auto"/>
            <w:noWrap/>
          </w:tcPr>
          <w:p w14:paraId="343364C4" w14:textId="72863AE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-1.891</w:t>
            </w:r>
          </w:p>
        </w:tc>
        <w:tc>
          <w:tcPr>
            <w:tcW w:w="497" w:type="pct"/>
            <w:tcBorders>
              <w:right w:val="single" w:sz="4" w:space="0" w:color="auto"/>
            </w:tcBorders>
            <w:shd w:val="clear" w:color="auto" w:fill="auto"/>
            <w:noWrap/>
          </w:tcPr>
          <w:p w14:paraId="32AD83AD" w14:textId="579160CD"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-1.531</w:t>
            </w:r>
          </w:p>
        </w:tc>
      </w:tr>
      <w:tr w:rsidR="002E554D" w:rsidRPr="002E554D" w14:paraId="328BB4EC" w14:textId="77777777" w:rsidTr="00765564">
        <w:trPr>
          <w:gridAfter w:val="4"/>
          <w:wAfter w:w="2179" w:type="pct"/>
          <w:trHeight w:val="300"/>
          <w:jc w:val="center"/>
        </w:trPr>
        <w:tc>
          <w:tcPr>
            <w:tcW w:w="645" w:type="pct"/>
            <w:tcBorders>
              <w:left w:val="single" w:sz="4" w:space="0" w:color="auto"/>
              <w:right w:val="single" w:sz="4" w:space="0" w:color="auto"/>
            </w:tcBorders>
            <w:shd w:val="clear" w:color="auto" w:fill="auto"/>
            <w:noWrap/>
            <w:vAlign w:val="bottom"/>
            <w:hideMark/>
          </w:tcPr>
          <w:p w14:paraId="5B0CB52D"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42" w:type="pct"/>
            <w:tcBorders>
              <w:left w:val="single" w:sz="4" w:space="0" w:color="auto"/>
              <w:right w:val="single" w:sz="4" w:space="0" w:color="auto"/>
            </w:tcBorders>
            <w:shd w:val="clear" w:color="auto" w:fill="auto"/>
            <w:noWrap/>
          </w:tcPr>
          <w:p w14:paraId="118F6B79" w14:textId="26B157D5"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0.000</w:t>
            </w:r>
          </w:p>
        </w:tc>
        <w:tc>
          <w:tcPr>
            <w:tcW w:w="469" w:type="pct"/>
            <w:tcBorders>
              <w:left w:val="single" w:sz="4" w:space="0" w:color="auto"/>
            </w:tcBorders>
            <w:shd w:val="clear" w:color="auto" w:fill="auto"/>
            <w:noWrap/>
          </w:tcPr>
          <w:p w14:paraId="461AB88E" w14:textId="52AE0874"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-2.843</w:t>
            </w:r>
          </w:p>
        </w:tc>
        <w:tc>
          <w:tcPr>
            <w:tcW w:w="469" w:type="pct"/>
            <w:shd w:val="clear" w:color="auto" w:fill="auto"/>
            <w:noWrap/>
          </w:tcPr>
          <w:p w14:paraId="0A26F0E3" w14:textId="4FCFAD9D"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-2.174</w:t>
            </w:r>
          </w:p>
        </w:tc>
        <w:tc>
          <w:tcPr>
            <w:tcW w:w="497" w:type="pct"/>
            <w:tcBorders>
              <w:right w:val="single" w:sz="4" w:space="0" w:color="auto"/>
            </w:tcBorders>
            <w:shd w:val="clear" w:color="auto" w:fill="auto"/>
            <w:noWrap/>
          </w:tcPr>
          <w:p w14:paraId="12F3EB04" w14:textId="6FF0FB13"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-1.815</w:t>
            </w:r>
          </w:p>
        </w:tc>
      </w:tr>
      <w:tr w:rsidR="002E554D" w:rsidRPr="002E554D" w14:paraId="4388452C" w14:textId="77777777" w:rsidTr="00765564">
        <w:trPr>
          <w:gridAfter w:val="4"/>
          <w:wAfter w:w="2179" w:type="pct"/>
          <w:trHeight w:val="300"/>
          <w:jc w:val="center"/>
        </w:trPr>
        <w:tc>
          <w:tcPr>
            <w:tcW w:w="645" w:type="pct"/>
            <w:tcBorders>
              <w:left w:val="single" w:sz="4" w:space="0" w:color="auto"/>
              <w:right w:val="single" w:sz="4" w:space="0" w:color="auto"/>
            </w:tcBorders>
            <w:shd w:val="clear" w:color="auto" w:fill="auto"/>
            <w:noWrap/>
            <w:vAlign w:val="bottom"/>
            <w:hideMark/>
          </w:tcPr>
          <w:p w14:paraId="34A88B9D"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42" w:type="pct"/>
            <w:tcBorders>
              <w:left w:val="single" w:sz="4" w:space="0" w:color="auto"/>
              <w:right w:val="single" w:sz="4" w:space="0" w:color="auto"/>
            </w:tcBorders>
            <w:shd w:val="clear" w:color="auto" w:fill="auto"/>
            <w:noWrap/>
          </w:tcPr>
          <w:p w14:paraId="4100E39F" w14:textId="5C254A36"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4.856</w:t>
            </w:r>
          </w:p>
        </w:tc>
        <w:tc>
          <w:tcPr>
            <w:tcW w:w="469" w:type="pct"/>
            <w:tcBorders>
              <w:left w:val="single" w:sz="4" w:space="0" w:color="auto"/>
            </w:tcBorders>
            <w:shd w:val="clear" w:color="auto" w:fill="auto"/>
            <w:noWrap/>
          </w:tcPr>
          <w:p w14:paraId="5A291F94" w14:textId="249F9EB8"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-2.715</w:t>
            </w:r>
          </w:p>
        </w:tc>
        <w:tc>
          <w:tcPr>
            <w:tcW w:w="469" w:type="pct"/>
            <w:shd w:val="clear" w:color="auto" w:fill="auto"/>
            <w:noWrap/>
          </w:tcPr>
          <w:p w14:paraId="76AD6247" w14:textId="7389B8BC"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-2.043</w:t>
            </w:r>
          </w:p>
        </w:tc>
        <w:tc>
          <w:tcPr>
            <w:tcW w:w="497" w:type="pct"/>
            <w:tcBorders>
              <w:right w:val="single" w:sz="4" w:space="0" w:color="auto"/>
            </w:tcBorders>
            <w:shd w:val="clear" w:color="auto" w:fill="auto"/>
            <w:noWrap/>
          </w:tcPr>
          <w:p w14:paraId="74A0451C" w14:textId="40F29BB2"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-1.683</w:t>
            </w:r>
          </w:p>
        </w:tc>
      </w:tr>
      <w:tr w:rsidR="002E554D" w:rsidRPr="002E554D" w14:paraId="3C5E4D20" w14:textId="77777777" w:rsidTr="00765564">
        <w:trPr>
          <w:gridAfter w:val="4"/>
          <w:wAfter w:w="2179" w:type="pct"/>
          <w:trHeight w:val="300"/>
          <w:jc w:val="center"/>
        </w:trPr>
        <w:tc>
          <w:tcPr>
            <w:tcW w:w="645" w:type="pct"/>
            <w:tcBorders>
              <w:left w:val="single" w:sz="4" w:space="0" w:color="auto"/>
              <w:right w:val="single" w:sz="4" w:space="0" w:color="auto"/>
            </w:tcBorders>
            <w:shd w:val="clear" w:color="auto" w:fill="auto"/>
            <w:noWrap/>
            <w:vAlign w:val="bottom"/>
            <w:hideMark/>
          </w:tcPr>
          <w:p w14:paraId="5DD28884" w14:textId="77777777"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42" w:type="pct"/>
            <w:tcBorders>
              <w:left w:val="single" w:sz="4" w:space="0" w:color="auto"/>
              <w:right w:val="single" w:sz="4" w:space="0" w:color="auto"/>
            </w:tcBorders>
            <w:shd w:val="clear" w:color="auto" w:fill="auto"/>
            <w:noWrap/>
          </w:tcPr>
          <w:p w14:paraId="70CC207E" w14:textId="13454A54" w:rsidR="0040102E" w:rsidRPr="002E554D" w:rsidRDefault="0040102E" w:rsidP="0040102E">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3.786</w:t>
            </w:r>
          </w:p>
        </w:tc>
        <w:tc>
          <w:tcPr>
            <w:tcW w:w="469" w:type="pct"/>
            <w:tcBorders>
              <w:left w:val="single" w:sz="4" w:space="0" w:color="auto"/>
            </w:tcBorders>
            <w:shd w:val="clear" w:color="auto" w:fill="auto"/>
            <w:noWrap/>
          </w:tcPr>
          <w:p w14:paraId="62077B3B" w14:textId="3297E894" w:rsidR="0040102E" w:rsidRPr="002E554D" w:rsidRDefault="0040102E" w:rsidP="0040102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-2.362</w:t>
            </w:r>
          </w:p>
        </w:tc>
        <w:tc>
          <w:tcPr>
            <w:tcW w:w="469" w:type="pct"/>
            <w:shd w:val="clear" w:color="auto" w:fill="auto"/>
            <w:noWrap/>
          </w:tcPr>
          <w:p w14:paraId="540F7135" w14:textId="1D950B9A"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-1.683</w:t>
            </w:r>
          </w:p>
        </w:tc>
        <w:tc>
          <w:tcPr>
            <w:tcW w:w="497" w:type="pct"/>
            <w:tcBorders>
              <w:right w:val="single" w:sz="4" w:space="0" w:color="auto"/>
            </w:tcBorders>
            <w:shd w:val="clear" w:color="auto" w:fill="auto"/>
            <w:noWrap/>
          </w:tcPr>
          <w:p w14:paraId="6F76D1DF" w14:textId="3F12CBAC" w:rsidR="0040102E" w:rsidRPr="002E554D" w:rsidRDefault="0040102E" w:rsidP="0040102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-1.323</w:t>
            </w:r>
          </w:p>
        </w:tc>
      </w:tr>
    </w:tbl>
    <w:p w14:paraId="08C19ADF" w14:textId="77777777" w:rsidR="00ED53CE" w:rsidRPr="009E00D2" w:rsidRDefault="00ED53CE" w:rsidP="00ED53CE">
      <w:pPr>
        <w:pStyle w:val="NoSpacing"/>
        <w:spacing w:line="480" w:lineRule="auto"/>
        <w:rPr>
          <w:rFonts w:ascii="Garamond" w:hAnsi="Garamond"/>
          <w:sz w:val="24"/>
          <w:szCs w:val="24"/>
          <w:lang w:val="en-GB"/>
        </w:rPr>
      </w:pPr>
    </w:p>
    <w:p w14:paraId="5A4714B6" w14:textId="4AEF1466" w:rsidR="000D098C" w:rsidRPr="00DB74CB" w:rsidRDefault="000D098C" w:rsidP="00E546B1">
      <w:pPr>
        <w:pStyle w:val="NoSpacing"/>
        <w:spacing w:line="480" w:lineRule="auto"/>
        <w:ind w:firstLine="708"/>
        <w:jc w:val="both"/>
        <w:rPr>
          <w:rFonts w:ascii="Garamond" w:hAnsi="Garamond"/>
          <w:sz w:val="24"/>
          <w:szCs w:val="24"/>
          <w:lang w:val="en-GB"/>
        </w:rPr>
      </w:pPr>
      <w:r w:rsidRPr="00DB74CB">
        <w:rPr>
          <w:rFonts w:ascii="Garamond" w:hAnsi="Garamond"/>
          <w:sz w:val="24"/>
          <w:szCs w:val="24"/>
          <w:lang w:val="en-GB"/>
        </w:rPr>
        <w:t>For all metals in the sample, significant values are highlighted in bold, indicating the presence of mean reversion, i.e. instances where the null hypothesis of a unit root is rejected</w:t>
      </w:r>
      <w:r w:rsidR="007159B6">
        <w:rPr>
          <w:rFonts w:ascii="Garamond" w:hAnsi="Garamond"/>
          <w:sz w:val="24"/>
          <w:szCs w:val="24"/>
          <w:lang w:val="en-GB"/>
        </w:rPr>
        <w:t>, implying that shocks are not accumulated</w:t>
      </w:r>
      <w:r w:rsidRPr="00DB74CB">
        <w:rPr>
          <w:rFonts w:ascii="Garamond" w:hAnsi="Garamond"/>
          <w:sz w:val="24"/>
          <w:szCs w:val="24"/>
          <w:lang w:val="en-GB"/>
        </w:rPr>
        <w:t xml:space="preserve">. </w:t>
      </w:r>
    </w:p>
    <w:p w14:paraId="2BB3C43A" w14:textId="519C083E" w:rsidR="007159B6" w:rsidRDefault="00E171E7" w:rsidP="00E546B1">
      <w:pPr>
        <w:pStyle w:val="NoSpacing"/>
        <w:spacing w:line="480" w:lineRule="auto"/>
        <w:ind w:firstLine="708"/>
        <w:jc w:val="both"/>
        <w:rPr>
          <w:rFonts w:ascii="Garamond" w:hAnsi="Garamond"/>
          <w:sz w:val="24"/>
          <w:szCs w:val="24"/>
          <w:lang w:val="en-GB"/>
        </w:rPr>
      </w:pPr>
      <w:r w:rsidRPr="00DB74CB">
        <w:rPr>
          <w:rFonts w:ascii="Garamond" w:hAnsi="Garamond"/>
          <w:sz w:val="24"/>
          <w:szCs w:val="24"/>
          <w:lang w:val="en-GB"/>
        </w:rPr>
        <w:t>Using Yang and Zhao (2020) test</w:t>
      </w:r>
      <w:r w:rsidR="004E33B3" w:rsidRPr="00DB74CB">
        <w:rPr>
          <w:rFonts w:ascii="Garamond" w:hAnsi="Garamond"/>
          <w:sz w:val="24"/>
          <w:szCs w:val="24"/>
          <w:lang w:val="en-GB"/>
        </w:rPr>
        <w:t xml:space="preserve"> (YZ)</w:t>
      </w:r>
      <w:r w:rsidR="007159B6">
        <w:rPr>
          <w:rFonts w:ascii="Garamond" w:hAnsi="Garamond"/>
          <w:sz w:val="24"/>
          <w:szCs w:val="24"/>
          <w:lang w:val="en-GB"/>
        </w:rPr>
        <w:t xml:space="preserve"> results</w:t>
      </w:r>
      <w:r w:rsidRPr="00DB74CB">
        <w:rPr>
          <w:rFonts w:ascii="Garamond" w:hAnsi="Garamond"/>
          <w:sz w:val="24"/>
          <w:szCs w:val="24"/>
          <w:lang w:val="en-GB"/>
        </w:rPr>
        <w:t xml:space="preserve">, the following observations are made. </w:t>
      </w:r>
      <w:proofErr w:type="gramStart"/>
      <w:r w:rsidRPr="00DB74CB">
        <w:rPr>
          <w:rFonts w:ascii="Garamond" w:hAnsi="Garamond"/>
          <w:sz w:val="24"/>
          <w:szCs w:val="24"/>
          <w:lang w:val="en-GB"/>
        </w:rPr>
        <w:t>G</w:t>
      </w:r>
      <w:r w:rsidR="00567AC8" w:rsidRPr="00DB74CB">
        <w:rPr>
          <w:rFonts w:ascii="Garamond" w:hAnsi="Garamond"/>
          <w:sz w:val="24"/>
          <w:szCs w:val="24"/>
          <w:lang w:val="en-GB"/>
        </w:rPr>
        <w:t>old</w:t>
      </w:r>
      <w:r w:rsidRPr="00DB74CB">
        <w:rPr>
          <w:rFonts w:ascii="Garamond" w:hAnsi="Garamond"/>
          <w:sz w:val="24"/>
          <w:szCs w:val="24"/>
          <w:lang w:val="en-GB"/>
        </w:rPr>
        <w:t>,</w:t>
      </w:r>
      <w:proofErr w:type="gramEnd"/>
      <w:r w:rsidRPr="00DB74CB">
        <w:rPr>
          <w:rFonts w:ascii="Garamond" w:hAnsi="Garamond"/>
          <w:sz w:val="24"/>
          <w:szCs w:val="24"/>
          <w:lang w:val="en-GB"/>
        </w:rPr>
        <w:t xml:space="preserve"> traditionally considered a safe haven asset, exhibits mean-reverting behaviour only in the lower </w:t>
      </w:r>
      <w:r w:rsidRPr="00DB74CB">
        <w:rPr>
          <w:rFonts w:ascii="Garamond" w:hAnsi="Garamond"/>
          <w:sz w:val="24"/>
          <w:szCs w:val="24"/>
          <w:lang w:val="en-GB"/>
        </w:rPr>
        <w:lastRenderedPageBreak/>
        <w:t xml:space="preserve">quantiles </w:t>
      </w:r>
      <w:r w:rsidRPr="002E554D">
        <w:rPr>
          <w:rFonts w:ascii="Garamond" w:hAnsi="Garamond"/>
          <w:color w:val="FF0000"/>
          <w:sz w:val="24"/>
          <w:szCs w:val="24"/>
          <w:lang w:val="en-GB"/>
        </w:rPr>
        <w:t>(0.1 to 0.</w:t>
      </w:r>
      <w:r w:rsidR="006A7132" w:rsidRPr="002E554D">
        <w:rPr>
          <w:rFonts w:ascii="Garamond" w:hAnsi="Garamond"/>
          <w:color w:val="FF0000"/>
          <w:sz w:val="24"/>
          <w:szCs w:val="24"/>
          <w:lang w:val="en-GB"/>
        </w:rPr>
        <w:t>2</w:t>
      </w:r>
      <w:r w:rsidRPr="002E554D">
        <w:rPr>
          <w:rFonts w:ascii="Garamond" w:hAnsi="Garamond"/>
          <w:color w:val="FF0000"/>
          <w:sz w:val="24"/>
          <w:szCs w:val="24"/>
          <w:lang w:val="en-GB"/>
        </w:rPr>
        <w:t xml:space="preserve">) </w:t>
      </w:r>
      <w:r w:rsidRPr="00DB74CB">
        <w:rPr>
          <w:rFonts w:ascii="Garamond" w:hAnsi="Garamond"/>
          <w:sz w:val="24"/>
          <w:szCs w:val="24"/>
          <w:lang w:val="en-GB"/>
        </w:rPr>
        <w:t xml:space="preserve">of the shock. </w:t>
      </w:r>
      <w:r w:rsidR="007159B6">
        <w:rPr>
          <w:rFonts w:ascii="Garamond" w:hAnsi="Garamond"/>
          <w:sz w:val="24"/>
          <w:szCs w:val="24"/>
          <w:lang w:val="en-GB"/>
        </w:rPr>
        <w:t xml:space="preserve">For silver, we observe tendencies for mean reversion only in </w:t>
      </w:r>
      <w:r w:rsidR="007159B6" w:rsidRPr="002E554D">
        <w:rPr>
          <w:rFonts w:ascii="Garamond" w:hAnsi="Garamond"/>
          <w:color w:val="FF0000"/>
          <w:sz w:val="24"/>
          <w:szCs w:val="24"/>
          <w:lang w:val="en-GB"/>
        </w:rPr>
        <w:t>quantiles 0.</w:t>
      </w:r>
      <w:r w:rsidR="004D453B" w:rsidRPr="002E554D">
        <w:rPr>
          <w:rFonts w:ascii="Garamond" w:hAnsi="Garamond"/>
          <w:color w:val="FF0000"/>
          <w:sz w:val="24"/>
          <w:szCs w:val="24"/>
          <w:lang w:val="en-GB"/>
        </w:rPr>
        <w:t xml:space="preserve">1 </w:t>
      </w:r>
      <w:r w:rsidR="00945A1A" w:rsidRPr="002E554D">
        <w:rPr>
          <w:rFonts w:ascii="Garamond" w:hAnsi="Garamond"/>
          <w:color w:val="FF0000"/>
          <w:sz w:val="24"/>
          <w:szCs w:val="24"/>
          <w:lang w:val="en-GB"/>
        </w:rPr>
        <w:t>-</w:t>
      </w:r>
      <w:r w:rsidR="007159B6" w:rsidRPr="002E554D">
        <w:rPr>
          <w:rFonts w:ascii="Garamond" w:hAnsi="Garamond"/>
          <w:color w:val="FF0000"/>
          <w:sz w:val="24"/>
          <w:szCs w:val="24"/>
          <w:lang w:val="en-GB"/>
        </w:rPr>
        <w:t>0.</w:t>
      </w:r>
      <w:r w:rsidR="004D453B" w:rsidRPr="002E554D">
        <w:rPr>
          <w:rFonts w:ascii="Garamond" w:hAnsi="Garamond"/>
          <w:color w:val="FF0000"/>
          <w:sz w:val="24"/>
          <w:szCs w:val="24"/>
          <w:lang w:val="en-GB"/>
        </w:rPr>
        <w:t>3</w:t>
      </w:r>
      <w:r w:rsidR="007159B6" w:rsidRPr="002E554D">
        <w:rPr>
          <w:rFonts w:ascii="Garamond" w:hAnsi="Garamond"/>
          <w:color w:val="FF0000"/>
          <w:sz w:val="24"/>
          <w:szCs w:val="24"/>
          <w:lang w:val="en-GB"/>
        </w:rPr>
        <w:t xml:space="preserve">. </w:t>
      </w:r>
      <w:r w:rsidR="007159B6">
        <w:rPr>
          <w:rFonts w:ascii="Garamond" w:hAnsi="Garamond"/>
          <w:sz w:val="24"/>
          <w:szCs w:val="24"/>
          <w:lang w:val="en-GB"/>
        </w:rPr>
        <w:t xml:space="preserve">The different pattern between gold and silver can be explained by the observation of </w:t>
      </w:r>
      <w:proofErr w:type="spellStart"/>
      <w:r w:rsidR="007159B6">
        <w:rPr>
          <w:rFonts w:ascii="Garamond" w:hAnsi="Garamond"/>
          <w:sz w:val="24"/>
          <w:szCs w:val="24"/>
          <w:lang w:val="en-GB"/>
        </w:rPr>
        <w:t>Ciner</w:t>
      </w:r>
      <w:proofErr w:type="spellEnd"/>
      <w:r w:rsidR="007159B6">
        <w:rPr>
          <w:rFonts w:ascii="Garamond" w:hAnsi="Garamond"/>
          <w:sz w:val="24"/>
          <w:szCs w:val="24"/>
          <w:lang w:val="en-GB"/>
        </w:rPr>
        <w:t xml:space="preserve"> (2001), who document that in the long – run, these two commodities tend to drift apart. </w:t>
      </w:r>
      <w:r w:rsidR="003E7E5A">
        <w:rPr>
          <w:rFonts w:ascii="Garamond" w:hAnsi="Garamond"/>
          <w:sz w:val="24"/>
          <w:szCs w:val="24"/>
          <w:lang w:val="en-GB"/>
        </w:rPr>
        <w:t>Platinum has a similar pattern to silver.</w:t>
      </w:r>
      <w:r w:rsidRPr="009E00D2">
        <w:rPr>
          <w:rFonts w:ascii="Garamond" w:hAnsi="Garamond"/>
          <w:sz w:val="24"/>
          <w:szCs w:val="24"/>
          <w:lang w:val="en-GB"/>
        </w:rPr>
        <w:t xml:space="preserve"> An interesting pattern emerges for ruthenium. While strongly persistent for smaller quantiles, this metal shows mean reversion for the most extreme quantile, 0.</w:t>
      </w:r>
      <w:r w:rsidR="00185C62">
        <w:rPr>
          <w:rFonts w:ascii="Garamond" w:hAnsi="Garamond"/>
          <w:sz w:val="24"/>
          <w:szCs w:val="24"/>
          <w:lang w:val="en-GB"/>
        </w:rPr>
        <w:t>1</w:t>
      </w:r>
      <w:r w:rsidRPr="009E00D2">
        <w:rPr>
          <w:rFonts w:ascii="Garamond" w:hAnsi="Garamond"/>
          <w:sz w:val="24"/>
          <w:szCs w:val="24"/>
          <w:lang w:val="en-GB"/>
        </w:rPr>
        <w:t xml:space="preserve">. </w:t>
      </w:r>
      <w:r w:rsidR="004C6F91">
        <w:rPr>
          <w:rFonts w:ascii="Garamond" w:hAnsi="Garamond"/>
          <w:sz w:val="24"/>
          <w:szCs w:val="24"/>
          <w:lang w:val="en-GB"/>
        </w:rPr>
        <w:t xml:space="preserve">Similarly, Iridium </w:t>
      </w:r>
      <w:r w:rsidR="004C6F91" w:rsidRPr="009E00D2">
        <w:rPr>
          <w:rFonts w:ascii="Garamond" w:hAnsi="Garamond"/>
          <w:sz w:val="24"/>
          <w:szCs w:val="24"/>
          <w:lang w:val="en-GB"/>
        </w:rPr>
        <w:t xml:space="preserve">offers the scope of mean reversion in </w:t>
      </w:r>
      <w:r w:rsidR="004C6F91">
        <w:rPr>
          <w:rFonts w:ascii="Garamond" w:hAnsi="Garamond"/>
          <w:sz w:val="24"/>
          <w:szCs w:val="24"/>
          <w:lang w:val="en-GB"/>
        </w:rPr>
        <w:t>the first quantiles</w:t>
      </w:r>
      <w:r w:rsidR="004C6F91" w:rsidRPr="009E00D2">
        <w:rPr>
          <w:rFonts w:ascii="Garamond" w:hAnsi="Garamond"/>
          <w:sz w:val="24"/>
          <w:szCs w:val="24"/>
          <w:lang w:val="en-GB"/>
        </w:rPr>
        <w:t xml:space="preserve">. </w:t>
      </w:r>
      <w:r w:rsidRPr="009E00D2">
        <w:rPr>
          <w:rFonts w:ascii="Garamond" w:hAnsi="Garamond"/>
          <w:sz w:val="24"/>
          <w:szCs w:val="24"/>
          <w:lang w:val="en-GB"/>
        </w:rPr>
        <w:t>In essence, the GSCI index, which comprises several precious metals,</w:t>
      </w:r>
      <w:r w:rsidR="00891B98">
        <w:rPr>
          <w:rFonts w:ascii="Garamond" w:hAnsi="Garamond"/>
          <w:sz w:val="24"/>
          <w:szCs w:val="24"/>
          <w:lang w:val="en-GB"/>
        </w:rPr>
        <w:t xml:space="preserve"> </w:t>
      </w:r>
      <w:r w:rsidR="004C6F91">
        <w:rPr>
          <w:rFonts w:ascii="Garamond" w:hAnsi="Garamond"/>
          <w:sz w:val="24"/>
          <w:szCs w:val="24"/>
          <w:lang w:val="en-GB"/>
        </w:rPr>
        <w:t>shows an absence of mean reversion.</w:t>
      </w:r>
      <w:r w:rsidRPr="009E00D2">
        <w:rPr>
          <w:rFonts w:ascii="Garamond" w:hAnsi="Garamond"/>
          <w:sz w:val="24"/>
          <w:szCs w:val="24"/>
          <w:lang w:val="en-GB"/>
        </w:rPr>
        <w:t xml:space="preserve"> </w:t>
      </w:r>
    </w:p>
    <w:p w14:paraId="74794DF2" w14:textId="69F519D9" w:rsidR="00567AC8" w:rsidRPr="009E00D2" w:rsidRDefault="00E171E7" w:rsidP="00E546B1">
      <w:pPr>
        <w:pStyle w:val="NoSpacing"/>
        <w:spacing w:line="480" w:lineRule="auto"/>
        <w:ind w:firstLine="708"/>
        <w:jc w:val="both"/>
        <w:rPr>
          <w:rFonts w:ascii="Garamond" w:hAnsi="Garamond"/>
          <w:sz w:val="24"/>
          <w:szCs w:val="24"/>
          <w:lang w:val="en-GB"/>
        </w:rPr>
      </w:pPr>
      <w:r w:rsidRPr="009E00D2">
        <w:rPr>
          <w:rFonts w:ascii="Garamond" w:hAnsi="Garamond"/>
          <w:sz w:val="24"/>
          <w:szCs w:val="24"/>
          <w:lang w:val="en-GB"/>
        </w:rPr>
        <w:t xml:space="preserve">Results using the </w:t>
      </w:r>
      <w:proofErr w:type="spellStart"/>
      <w:r w:rsidRPr="009E00D2">
        <w:rPr>
          <w:rFonts w:ascii="Garamond" w:hAnsi="Garamond"/>
          <w:sz w:val="24"/>
          <w:szCs w:val="24"/>
          <w:lang w:val="en-GB"/>
        </w:rPr>
        <w:t>Koenker</w:t>
      </w:r>
      <w:proofErr w:type="spellEnd"/>
      <w:r w:rsidRPr="009E00D2">
        <w:rPr>
          <w:rFonts w:ascii="Garamond" w:hAnsi="Garamond"/>
          <w:sz w:val="24"/>
          <w:szCs w:val="24"/>
          <w:lang w:val="en-GB"/>
        </w:rPr>
        <w:t xml:space="preserve"> and Xiao (2004) tests </w:t>
      </w:r>
      <w:r w:rsidR="004E33B3">
        <w:rPr>
          <w:rFonts w:ascii="Garamond" w:hAnsi="Garamond"/>
          <w:sz w:val="24"/>
          <w:szCs w:val="24"/>
          <w:lang w:val="en-GB"/>
        </w:rPr>
        <w:t xml:space="preserve">(KX) </w:t>
      </w:r>
      <w:r w:rsidRPr="009E00D2">
        <w:rPr>
          <w:rFonts w:ascii="Garamond" w:hAnsi="Garamond"/>
          <w:sz w:val="24"/>
          <w:szCs w:val="24"/>
          <w:lang w:val="en-GB"/>
        </w:rPr>
        <w:t>are qualitatively similar to those reported above</w:t>
      </w:r>
      <w:r w:rsidR="007159B6">
        <w:rPr>
          <w:rFonts w:ascii="Garamond" w:hAnsi="Garamond"/>
          <w:sz w:val="24"/>
          <w:szCs w:val="24"/>
          <w:lang w:val="en-GB"/>
        </w:rPr>
        <w:t xml:space="preserve"> (see Table 5 in Appendix)</w:t>
      </w:r>
      <w:r w:rsidRPr="009E00D2">
        <w:rPr>
          <w:rFonts w:ascii="Garamond" w:hAnsi="Garamond"/>
          <w:sz w:val="24"/>
          <w:szCs w:val="24"/>
          <w:lang w:val="en-GB"/>
        </w:rPr>
        <w:t xml:space="preserve">. </w:t>
      </w:r>
    </w:p>
    <w:p w14:paraId="6287835D" w14:textId="063D5E44" w:rsidR="00412874" w:rsidRDefault="00312E31" w:rsidP="007159B6">
      <w:pPr>
        <w:pStyle w:val="NoSpacing"/>
        <w:spacing w:line="480" w:lineRule="auto"/>
        <w:ind w:firstLine="708"/>
        <w:jc w:val="both"/>
        <w:rPr>
          <w:rFonts w:ascii="Garamond" w:hAnsi="Garamond"/>
          <w:sz w:val="24"/>
          <w:szCs w:val="24"/>
          <w:lang w:val="en-GB"/>
        </w:rPr>
      </w:pPr>
      <w:r w:rsidRPr="00DB74CB">
        <w:rPr>
          <w:rFonts w:ascii="Garamond" w:hAnsi="Garamond"/>
          <w:sz w:val="24"/>
          <w:szCs w:val="24"/>
          <w:lang w:val="en-GB"/>
        </w:rPr>
        <w:t xml:space="preserve">In a nutshell, our quantile unit root tests reveal that while </w:t>
      </w:r>
      <w:r w:rsidR="00562352" w:rsidRPr="00DB74CB">
        <w:rPr>
          <w:rFonts w:ascii="Garamond" w:hAnsi="Garamond"/>
          <w:sz w:val="24"/>
          <w:szCs w:val="24"/>
          <w:lang w:val="en-GB"/>
        </w:rPr>
        <w:t>gold</w:t>
      </w:r>
      <w:r w:rsidR="00FB4DD9" w:rsidRPr="00DB74CB">
        <w:rPr>
          <w:rFonts w:ascii="Garamond" w:hAnsi="Garamond"/>
          <w:sz w:val="24"/>
          <w:szCs w:val="24"/>
          <w:lang w:val="en-GB"/>
        </w:rPr>
        <w:t>, rhodium</w:t>
      </w:r>
      <w:r w:rsidR="00562352" w:rsidRPr="00DB74CB">
        <w:rPr>
          <w:rFonts w:ascii="Garamond" w:hAnsi="Garamond"/>
          <w:sz w:val="24"/>
          <w:szCs w:val="24"/>
          <w:lang w:val="en-GB"/>
        </w:rPr>
        <w:t xml:space="preserve">, </w:t>
      </w:r>
      <w:proofErr w:type="gramStart"/>
      <w:r w:rsidR="00034295">
        <w:rPr>
          <w:rFonts w:ascii="Garamond" w:hAnsi="Garamond"/>
          <w:sz w:val="24"/>
          <w:szCs w:val="24"/>
          <w:lang w:val="en-GB"/>
        </w:rPr>
        <w:t>platinum</w:t>
      </w:r>
      <w:proofErr w:type="gramEnd"/>
      <w:r w:rsidR="00034295">
        <w:rPr>
          <w:rFonts w:ascii="Garamond" w:hAnsi="Garamond"/>
          <w:sz w:val="24"/>
          <w:szCs w:val="24"/>
          <w:lang w:val="en-GB"/>
        </w:rPr>
        <w:t xml:space="preserve"> and silver</w:t>
      </w:r>
      <w:r w:rsidR="00FB4DD9" w:rsidRPr="00DB74CB">
        <w:rPr>
          <w:rFonts w:ascii="Garamond" w:hAnsi="Garamond"/>
          <w:sz w:val="24"/>
          <w:szCs w:val="24"/>
          <w:lang w:val="en-GB"/>
        </w:rPr>
        <w:t xml:space="preserve"> </w:t>
      </w:r>
      <w:r w:rsidRPr="00DB74CB">
        <w:rPr>
          <w:rFonts w:ascii="Garamond" w:hAnsi="Garamond"/>
          <w:sz w:val="24"/>
          <w:szCs w:val="24"/>
          <w:lang w:val="en-GB"/>
        </w:rPr>
        <w:t>offer the scope to bounce back to recovery fo</w:t>
      </w:r>
      <w:r w:rsidR="00FB4DD9" w:rsidRPr="00DB74CB">
        <w:rPr>
          <w:rFonts w:ascii="Garamond" w:hAnsi="Garamond"/>
          <w:sz w:val="24"/>
          <w:szCs w:val="24"/>
          <w:lang w:val="en-GB"/>
        </w:rPr>
        <w:t>r smaller shocks only</w:t>
      </w:r>
      <w:r w:rsidR="00B75090">
        <w:rPr>
          <w:rFonts w:ascii="Garamond" w:hAnsi="Garamond"/>
          <w:sz w:val="24"/>
          <w:szCs w:val="24"/>
          <w:lang w:val="en-GB"/>
        </w:rPr>
        <w:t>.</w:t>
      </w:r>
      <w:r w:rsidR="00841AFE" w:rsidRPr="00DB74CB">
        <w:rPr>
          <w:rFonts w:ascii="Garamond" w:hAnsi="Garamond"/>
          <w:sz w:val="24"/>
          <w:szCs w:val="24"/>
          <w:lang w:val="en-GB"/>
        </w:rPr>
        <w:t xml:space="preserve"> Our</w:t>
      </w:r>
      <w:r w:rsidR="00841AFE" w:rsidRPr="009E00D2">
        <w:rPr>
          <w:rFonts w:ascii="Garamond" w:hAnsi="Garamond"/>
          <w:sz w:val="24"/>
          <w:szCs w:val="24"/>
          <w:lang w:val="en-GB"/>
        </w:rPr>
        <w:t xml:space="preserve"> results are in line with those of Gil-Alana et al. (2015) who document persistence across time for </w:t>
      </w:r>
      <w:r w:rsidR="00FB4DD9" w:rsidRPr="009E00D2">
        <w:rPr>
          <w:rFonts w:ascii="Garamond" w:hAnsi="Garamond"/>
          <w:sz w:val="24"/>
          <w:szCs w:val="24"/>
          <w:lang w:val="en-GB"/>
        </w:rPr>
        <w:t xml:space="preserve">gold, </w:t>
      </w:r>
      <w:proofErr w:type="gramStart"/>
      <w:r w:rsidR="00FB4DD9" w:rsidRPr="009E00D2">
        <w:rPr>
          <w:rFonts w:ascii="Garamond" w:hAnsi="Garamond"/>
          <w:sz w:val="24"/>
          <w:szCs w:val="24"/>
          <w:lang w:val="en-GB"/>
        </w:rPr>
        <w:t>rhodium</w:t>
      </w:r>
      <w:proofErr w:type="gramEnd"/>
      <w:r w:rsidR="00FB4DD9" w:rsidRPr="009E00D2">
        <w:rPr>
          <w:rFonts w:ascii="Garamond" w:hAnsi="Garamond"/>
          <w:sz w:val="24"/>
          <w:szCs w:val="24"/>
          <w:lang w:val="en-GB"/>
        </w:rPr>
        <w:t xml:space="preserve"> and </w:t>
      </w:r>
      <w:r w:rsidR="00841AFE" w:rsidRPr="009E00D2">
        <w:rPr>
          <w:rFonts w:ascii="Garamond" w:hAnsi="Garamond"/>
          <w:sz w:val="24"/>
          <w:szCs w:val="24"/>
          <w:lang w:val="en-GB"/>
        </w:rPr>
        <w:t>palladium</w:t>
      </w:r>
      <w:r w:rsidR="007159B6">
        <w:rPr>
          <w:rFonts w:ascii="Garamond" w:hAnsi="Garamond"/>
          <w:sz w:val="24"/>
          <w:szCs w:val="24"/>
          <w:lang w:val="en-GB"/>
        </w:rPr>
        <w:t xml:space="preserve"> due to structural breaks. </w:t>
      </w:r>
      <w:r w:rsidR="00180131" w:rsidRPr="009E00D2">
        <w:rPr>
          <w:rFonts w:ascii="Garamond" w:hAnsi="Garamond"/>
          <w:sz w:val="24"/>
          <w:szCs w:val="24"/>
          <w:lang w:val="en-GB"/>
        </w:rPr>
        <w:t xml:space="preserve">With respect to gold, our results </w:t>
      </w:r>
      <w:r w:rsidR="00412874">
        <w:rPr>
          <w:rFonts w:ascii="Garamond" w:hAnsi="Garamond"/>
          <w:sz w:val="24"/>
          <w:szCs w:val="24"/>
          <w:lang w:val="en-GB"/>
        </w:rPr>
        <w:t xml:space="preserve">are in line with Adebola et al., 2019; </w:t>
      </w:r>
      <w:proofErr w:type="spellStart"/>
      <w:r w:rsidR="00412874">
        <w:rPr>
          <w:rFonts w:ascii="Garamond" w:hAnsi="Garamond"/>
          <w:sz w:val="24"/>
          <w:szCs w:val="24"/>
          <w:lang w:val="en-GB"/>
        </w:rPr>
        <w:t>Uludag</w:t>
      </w:r>
      <w:proofErr w:type="spellEnd"/>
      <w:r w:rsidR="00412874">
        <w:rPr>
          <w:rFonts w:ascii="Garamond" w:hAnsi="Garamond"/>
          <w:sz w:val="24"/>
          <w:szCs w:val="24"/>
          <w:lang w:val="en-GB"/>
        </w:rPr>
        <w:t xml:space="preserve"> et al., 2014; Cheung and Lai, 1993 and in particular with those of L</w:t>
      </w:r>
      <w:r w:rsidR="00180131" w:rsidRPr="009E00D2">
        <w:rPr>
          <w:rFonts w:ascii="Garamond" w:hAnsi="Garamond"/>
          <w:sz w:val="24"/>
          <w:szCs w:val="24"/>
          <w:lang w:val="en-GB"/>
        </w:rPr>
        <w:t xml:space="preserve">ucey and Li (2015) who find that for the U.S., gold does not necessarily act as a safe haven and even when it does, it is not the strongest and safest safe haven expected. </w:t>
      </w:r>
    </w:p>
    <w:p w14:paraId="5BC0C41E" w14:textId="480D5ADB" w:rsidR="00412874" w:rsidRDefault="00EB388F">
      <w:pPr>
        <w:pStyle w:val="NoSpacing"/>
        <w:spacing w:line="480" w:lineRule="auto"/>
        <w:ind w:firstLine="708"/>
        <w:jc w:val="both"/>
        <w:rPr>
          <w:rFonts w:ascii="Garamond" w:hAnsi="Garamond"/>
          <w:sz w:val="24"/>
          <w:szCs w:val="24"/>
          <w:lang w:val="en-GB"/>
        </w:rPr>
      </w:pPr>
      <w:r w:rsidRPr="009E00D2">
        <w:rPr>
          <w:rFonts w:ascii="Garamond" w:hAnsi="Garamond"/>
          <w:sz w:val="24"/>
          <w:szCs w:val="24"/>
          <w:lang w:val="en-GB"/>
        </w:rPr>
        <w:t xml:space="preserve">It is </w:t>
      </w:r>
      <w:r w:rsidR="007159B6">
        <w:rPr>
          <w:rFonts w:ascii="Garamond" w:hAnsi="Garamond"/>
          <w:sz w:val="24"/>
          <w:szCs w:val="24"/>
          <w:lang w:val="en-GB"/>
        </w:rPr>
        <w:t xml:space="preserve">not </w:t>
      </w:r>
      <w:r w:rsidRPr="009E00D2">
        <w:rPr>
          <w:rFonts w:ascii="Garamond" w:hAnsi="Garamond"/>
          <w:sz w:val="24"/>
          <w:szCs w:val="24"/>
          <w:lang w:val="en-GB"/>
        </w:rPr>
        <w:t xml:space="preserve">surprisingly to see that </w:t>
      </w:r>
      <w:r w:rsidR="00412874">
        <w:rPr>
          <w:rFonts w:ascii="Garamond" w:hAnsi="Garamond"/>
          <w:sz w:val="24"/>
          <w:szCs w:val="24"/>
          <w:lang w:val="en-GB"/>
        </w:rPr>
        <w:t xml:space="preserve">some of our </w:t>
      </w:r>
      <w:r w:rsidRPr="009E00D2">
        <w:rPr>
          <w:rFonts w:ascii="Garamond" w:hAnsi="Garamond"/>
          <w:sz w:val="24"/>
          <w:szCs w:val="24"/>
          <w:lang w:val="en-GB"/>
        </w:rPr>
        <w:t>results contradict observe</w:t>
      </w:r>
      <w:r w:rsidR="00412874">
        <w:rPr>
          <w:rFonts w:ascii="Garamond" w:hAnsi="Garamond"/>
          <w:sz w:val="24"/>
          <w:szCs w:val="24"/>
          <w:lang w:val="en-GB"/>
        </w:rPr>
        <w:t>d</w:t>
      </w:r>
      <w:r w:rsidRPr="009E00D2">
        <w:rPr>
          <w:rFonts w:ascii="Garamond" w:hAnsi="Garamond"/>
          <w:sz w:val="24"/>
          <w:szCs w:val="24"/>
          <w:lang w:val="en-GB"/>
        </w:rPr>
        <w:t xml:space="preserve"> in Table 1. For instance, gold shows quick recovery after the pandemic bottom to higher-than-before maximum values (recovery rate: 118 percent) while unit root tests indicate limited potential of gold in terms of recovery. Similarly, platinum shows rather sluggish recovery in Table 1, while unit root tests suggest otherwise. Here we must remember that</w:t>
      </w:r>
      <w:r w:rsidR="009E1E70" w:rsidRPr="009E00D2">
        <w:rPr>
          <w:rFonts w:ascii="Garamond" w:hAnsi="Garamond"/>
          <w:sz w:val="24"/>
          <w:szCs w:val="24"/>
          <w:lang w:val="en-GB"/>
        </w:rPr>
        <w:t xml:space="preserve"> in Table 1,</w:t>
      </w:r>
      <w:r w:rsidRPr="009E00D2">
        <w:rPr>
          <w:rFonts w:ascii="Garamond" w:hAnsi="Garamond"/>
          <w:sz w:val="24"/>
          <w:szCs w:val="24"/>
          <w:lang w:val="en-GB"/>
        </w:rPr>
        <w:t xml:space="preserve"> we are looking at a fini</w:t>
      </w:r>
      <w:r w:rsidR="009E1E70" w:rsidRPr="009E00D2">
        <w:rPr>
          <w:rFonts w:ascii="Garamond" w:hAnsi="Garamond"/>
          <w:sz w:val="24"/>
          <w:szCs w:val="24"/>
          <w:lang w:val="en-GB"/>
        </w:rPr>
        <w:t>te period of time</w:t>
      </w:r>
      <w:r w:rsidRPr="009E00D2">
        <w:rPr>
          <w:rFonts w:ascii="Garamond" w:hAnsi="Garamond"/>
          <w:sz w:val="24"/>
          <w:szCs w:val="24"/>
          <w:lang w:val="en-GB"/>
        </w:rPr>
        <w:t xml:space="preserve"> starting 2020 and covering the pandemic. Whereas, unit root tests test with respect to a theoretical ‘long-run’ equilibrium, which may not necessarily co</w:t>
      </w:r>
      <w:r w:rsidR="00841AFE" w:rsidRPr="009E00D2">
        <w:rPr>
          <w:rFonts w:ascii="Garamond" w:hAnsi="Garamond"/>
          <w:sz w:val="24"/>
          <w:szCs w:val="24"/>
          <w:lang w:val="en-GB"/>
        </w:rPr>
        <w:t>incide with the period studied.</w:t>
      </w:r>
      <w:r w:rsidR="007159B6">
        <w:rPr>
          <w:rFonts w:ascii="Garamond" w:hAnsi="Garamond"/>
          <w:sz w:val="24"/>
          <w:szCs w:val="24"/>
          <w:lang w:val="en-GB"/>
        </w:rPr>
        <w:t xml:space="preserve"> </w:t>
      </w:r>
    </w:p>
    <w:p w14:paraId="34F8E404" w14:textId="4363511C" w:rsidR="00BB727E" w:rsidRDefault="007159B6" w:rsidP="00FA4457">
      <w:pPr>
        <w:pStyle w:val="NoSpacing"/>
        <w:spacing w:line="480" w:lineRule="auto"/>
        <w:jc w:val="both"/>
        <w:rPr>
          <w:rFonts w:ascii="Garamond" w:hAnsi="Garamond"/>
          <w:sz w:val="24"/>
          <w:szCs w:val="24"/>
          <w:lang w:val="en-GB"/>
        </w:rPr>
      </w:pPr>
      <w:r>
        <w:rPr>
          <w:rFonts w:ascii="Garamond" w:hAnsi="Garamond"/>
          <w:sz w:val="24"/>
          <w:szCs w:val="24"/>
          <w:lang w:val="en-GB"/>
        </w:rPr>
        <w:t xml:space="preserve">Also, </w:t>
      </w:r>
      <w:r w:rsidR="00412874">
        <w:rPr>
          <w:rFonts w:ascii="Garamond" w:hAnsi="Garamond"/>
          <w:sz w:val="24"/>
          <w:szCs w:val="24"/>
          <w:lang w:val="en-GB"/>
        </w:rPr>
        <w:t xml:space="preserve">another contributing factor could be </w:t>
      </w:r>
      <w:r>
        <w:rPr>
          <w:rFonts w:ascii="Garamond" w:hAnsi="Garamond"/>
          <w:sz w:val="24"/>
          <w:szCs w:val="24"/>
          <w:lang w:val="en-GB"/>
        </w:rPr>
        <w:t>unexpected events</w:t>
      </w:r>
      <w:r w:rsidR="00412874">
        <w:rPr>
          <w:rFonts w:ascii="Garamond" w:hAnsi="Garamond"/>
          <w:sz w:val="24"/>
          <w:szCs w:val="24"/>
          <w:lang w:val="en-GB"/>
        </w:rPr>
        <w:t xml:space="preserve"> such as</w:t>
      </w:r>
      <w:r>
        <w:rPr>
          <w:rFonts w:ascii="Garamond" w:hAnsi="Garamond"/>
          <w:sz w:val="24"/>
          <w:szCs w:val="24"/>
          <w:lang w:val="en-GB"/>
        </w:rPr>
        <w:t xml:space="preserve"> structural breaks</w:t>
      </w:r>
      <w:r w:rsidR="00412874">
        <w:rPr>
          <w:rFonts w:ascii="Garamond" w:hAnsi="Garamond"/>
          <w:sz w:val="24"/>
          <w:szCs w:val="24"/>
          <w:lang w:val="en-GB"/>
        </w:rPr>
        <w:t xml:space="preserve"> </w:t>
      </w:r>
      <w:r>
        <w:rPr>
          <w:rFonts w:ascii="Garamond" w:hAnsi="Garamond"/>
          <w:sz w:val="24"/>
          <w:szCs w:val="24"/>
          <w:lang w:val="en-GB"/>
        </w:rPr>
        <w:t xml:space="preserve">present </w:t>
      </w:r>
      <w:r w:rsidR="00412874">
        <w:rPr>
          <w:rFonts w:ascii="Garamond" w:hAnsi="Garamond"/>
          <w:sz w:val="24"/>
          <w:szCs w:val="24"/>
          <w:lang w:val="en-GB"/>
        </w:rPr>
        <w:t xml:space="preserve">in the metals’ time series (Pan, </w:t>
      </w:r>
      <w:r>
        <w:rPr>
          <w:rFonts w:ascii="Garamond" w:hAnsi="Garamond"/>
          <w:sz w:val="24"/>
          <w:szCs w:val="24"/>
          <w:lang w:val="en-GB"/>
        </w:rPr>
        <w:t xml:space="preserve">2018). For instance, Zhao et al. (2015) indicate that gold prices exhibit structural breaks and explosive bubbles during </w:t>
      </w:r>
      <w:r w:rsidR="00412874">
        <w:rPr>
          <w:rFonts w:ascii="Garamond" w:hAnsi="Garamond"/>
          <w:sz w:val="24"/>
          <w:szCs w:val="24"/>
          <w:lang w:val="en-GB"/>
        </w:rPr>
        <w:t xml:space="preserve">times of </w:t>
      </w:r>
      <w:r>
        <w:rPr>
          <w:rFonts w:ascii="Garamond" w:hAnsi="Garamond"/>
          <w:sz w:val="24"/>
          <w:szCs w:val="24"/>
          <w:lang w:val="en-GB"/>
        </w:rPr>
        <w:t xml:space="preserve">crisis. </w:t>
      </w:r>
      <w:proofErr w:type="spellStart"/>
      <w:r>
        <w:rPr>
          <w:rFonts w:ascii="Garamond" w:hAnsi="Garamond"/>
          <w:sz w:val="24"/>
          <w:szCs w:val="24"/>
          <w:lang w:val="en-GB"/>
        </w:rPr>
        <w:t>Arouri</w:t>
      </w:r>
      <w:proofErr w:type="spellEnd"/>
      <w:r>
        <w:rPr>
          <w:rFonts w:ascii="Garamond" w:hAnsi="Garamond"/>
          <w:sz w:val="24"/>
          <w:szCs w:val="24"/>
          <w:lang w:val="en-GB"/>
        </w:rPr>
        <w:t xml:space="preserve"> et al. (2013) support both </w:t>
      </w:r>
      <w:proofErr w:type="gramStart"/>
      <w:r>
        <w:rPr>
          <w:rFonts w:ascii="Garamond" w:hAnsi="Garamond"/>
          <w:sz w:val="24"/>
          <w:szCs w:val="24"/>
          <w:lang w:val="en-GB"/>
        </w:rPr>
        <w:lastRenderedPageBreak/>
        <w:t>long–memory</w:t>
      </w:r>
      <w:proofErr w:type="gramEnd"/>
      <w:r>
        <w:rPr>
          <w:rFonts w:ascii="Garamond" w:hAnsi="Garamond"/>
          <w:sz w:val="24"/>
          <w:szCs w:val="24"/>
          <w:lang w:val="en-GB"/>
        </w:rPr>
        <w:t xml:space="preserve"> in spot and futures prices of gold, silver, platinum and palladium, and the presence of breaks linked with crisis. </w:t>
      </w:r>
    </w:p>
    <w:p w14:paraId="7C2BC515" w14:textId="77777777" w:rsidR="004E33B3" w:rsidRPr="009E00D2" w:rsidRDefault="004E33B3" w:rsidP="00E546B1">
      <w:pPr>
        <w:pStyle w:val="NoSpacing"/>
        <w:spacing w:line="480" w:lineRule="auto"/>
        <w:ind w:firstLine="708"/>
        <w:jc w:val="both"/>
        <w:rPr>
          <w:rFonts w:ascii="Garamond" w:hAnsi="Garamond"/>
          <w:sz w:val="24"/>
          <w:szCs w:val="24"/>
          <w:lang w:val="en-GB"/>
        </w:rPr>
      </w:pPr>
    </w:p>
    <w:p w14:paraId="32FE9F9F" w14:textId="210EE90B" w:rsidR="00922462" w:rsidRPr="009E00D2" w:rsidRDefault="00D36973" w:rsidP="00697353">
      <w:pPr>
        <w:pStyle w:val="NoSpacing"/>
        <w:spacing w:line="480" w:lineRule="auto"/>
        <w:rPr>
          <w:rFonts w:ascii="Garamond" w:hAnsi="Garamond"/>
          <w:i/>
          <w:iCs/>
          <w:sz w:val="24"/>
          <w:szCs w:val="24"/>
        </w:rPr>
      </w:pPr>
      <w:r w:rsidRPr="009E00D2">
        <w:rPr>
          <w:rFonts w:ascii="Garamond" w:hAnsi="Garamond"/>
          <w:i/>
          <w:iCs/>
          <w:sz w:val="24"/>
          <w:szCs w:val="24"/>
        </w:rPr>
        <w:t xml:space="preserve">3.2. Equity </w:t>
      </w:r>
      <w:r w:rsidR="00F41C4D" w:rsidRPr="009E00D2">
        <w:rPr>
          <w:rFonts w:ascii="Garamond" w:hAnsi="Garamond"/>
          <w:i/>
          <w:iCs/>
          <w:sz w:val="24"/>
          <w:szCs w:val="24"/>
        </w:rPr>
        <w:t>indexes</w:t>
      </w:r>
      <w:r w:rsidRPr="009E00D2">
        <w:rPr>
          <w:rFonts w:ascii="Garamond" w:hAnsi="Garamond"/>
          <w:i/>
          <w:iCs/>
          <w:sz w:val="24"/>
          <w:szCs w:val="24"/>
        </w:rPr>
        <w:t xml:space="preserve"> </w:t>
      </w:r>
    </w:p>
    <w:p w14:paraId="12BAD6D0" w14:textId="22CB59E5" w:rsidR="00B54C79" w:rsidRPr="009E00D2" w:rsidRDefault="009F64B9" w:rsidP="00F4118B">
      <w:pPr>
        <w:pStyle w:val="NoSpacing"/>
        <w:spacing w:line="480" w:lineRule="auto"/>
        <w:jc w:val="both"/>
        <w:rPr>
          <w:rFonts w:ascii="Garamond" w:hAnsi="Garamond"/>
          <w:sz w:val="24"/>
          <w:szCs w:val="24"/>
        </w:rPr>
      </w:pPr>
      <w:r w:rsidRPr="009E00D2">
        <w:rPr>
          <w:rFonts w:ascii="Garamond" w:hAnsi="Garamond"/>
          <w:sz w:val="24"/>
          <w:szCs w:val="24"/>
        </w:rPr>
        <w:t>In order to account for geographical differences in the reaction to COVID</w:t>
      </w:r>
      <w:r w:rsidR="00BB727E">
        <w:rPr>
          <w:rFonts w:ascii="Garamond" w:hAnsi="Garamond"/>
          <w:sz w:val="24"/>
          <w:szCs w:val="24"/>
        </w:rPr>
        <w:t>-19</w:t>
      </w:r>
      <w:r w:rsidRPr="009E00D2">
        <w:rPr>
          <w:rFonts w:ascii="Garamond" w:hAnsi="Garamond"/>
          <w:sz w:val="24"/>
          <w:szCs w:val="24"/>
        </w:rPr>
        <w:t xml:space="preserve">, we have selected a broad range of equity indices (15 in total) covering American indices such as the S&amp;P 500, NASDAQ and Dow Jones, the Japanese NIKKEI, </w:t>
      </w:r>
      <w:r w:rsidR="007159B6">
        <w:rPr>
          <w:rFonts w:ascii="Garamond" w:hAnsi="Garamond"/>
          <w:sz w:val="24"/>
          <w:szCs w:val="24"/>
        </w:rPr>
        <w:t xml:space="preserve">UK’s FTSE, </w:t>
      </w:r>
      <w:r w:rsidRPr="009E00D2">
        <w:rPr>
          <w:rFonts w:ascii="Garamond" w:hAnsi="Garamond"/>
          <w:sz w:val="24"/>
          <w:szCs w:val="24"/>
        </w:rPr>
        <w:t xml:space="preserve">France’s CAC-40, </w:t>
      </w:r>
      <w:r w:rsidR="007159B6">
        <w:rPr>
          <w:rFonts w:ascii="Garamond" w:hAnsi="Garamond"/>
          <w:sz w:val="24"/>
          <w:szCs w:val="24"/>
        </w:rPr>
        <w:t xml:space="preserve">Germany’s DAX, </w:t>
      </w:r>
      <w:r w:rsidRPr="009E00D2">
        <w:rPr>
          <w:rFonts w:ascii="Garamond" w:hAnsi="Garamond"/>
          <w:sz w:val="24"/>
          <w:szCs w:val="24"/>
        </w:rPr>
        <w:t>Portugal’s PSI-20</w:t>
      </w:r>
      <w:r w:rsidR="007159B6">
        <w:rPr>
          <w:rFonts w:ascii="Garamond" w:hAnsi="Garamond"/>
          <w:sz w:val="24"/>
          <w:szCs w:val="24"/>
        </w:rPr>
        <w:t>, Israel’s TA125,</w:t>
      </w:r>
      <w:r w:rsidRPr="009E00D2">
        <w:rPr>
          <w:rFonts w:ascii="Garamond" w:hAnsi="Garamond"/>
          <w:sz w:val="24"/>
          <w:szCs w:val="24"/>
        </w:rPr>
        <w:t xml:space="preserve"> and </w:t>
      </w:r>
      <w:r w:rsidR="00606374" w:rsidRPr="009E00D2">
        <w:rPr>
          <w:rFonts w:ascii="Garamond" w:hAnsi="Garamond"/>
          <w:sz w:val="24"/>
          <w:szCs w:val="24"/>
        </w:rPr>
        <w:t xml:space="preserve">the European </w:t>
      </w:r>
      <w:r w:rsidRPr="009E00D2">
        <w:rPr>
          <w:rFonts w:ascii="Garamond" w:hAnsi="Garamond"/>
          <w:sz w:val="24"/>
          <w:szCs w:val="24"/>
        </w:rPr>
        <w:t>EURO STOXX</w:t>
      </w:r>
      <w:r w:rsidR="00606374" w:rsidRPr="009E00D2">
        <w:rPr>
          <w:rFonts w:ascii="Garamond" w:hAnsi="Garamond"/>
          <w:sz w:val="24"/>
          <w:szCs w:val="24"/>
        </w:rPr>
        <w:t xml:space="preserve"> indexes</w:t>
      </w:r>
      <w:r w:rsidRPr="009E00D2">
        <w:rPr>
          <w:rFonts w:ascii="Garamond" w:hAnsi="Garamond"/>
          <w:sz w:val="24"/>
          <w:szCs w:val="24"/>
        </w:rPr>
        <w:t>. One observes a rate of decline</w:t>
      </w:r>
      <w:r w:rsidR="00313C3C" w:rsidRPr="009E00D2">
        <w:rPr>
          <w:rFonts w:ascii="Garamond" w:hAnsi="Garamond"/>
          <w:sz w:val="24"/>
          <w:szCs w:val="24"/>
        </w:rPr>
        <w:t xml:space="preserve"> in the range of 28 </w:t>
      </w:r>
      <w:r w:rsidRPr="009E00D2">
        <w:rPr>
          <w:rFonts w:ascii="Garamond" w:hAnsi="Garamond"/>
          <w:sz w:val="24"/>
          <w:szCs w:val="24"/>
        </w:rPr>
        <w:t xml:space="preserve">and 42% across indices, with </w:t>
      </w:r>
      <w:r w:rsidR="0065157C" w:rsidRPr="009E00D2">
        <w:rPr>
          <w:rFonts w:ascii="Garamond" w:hAnsi="Garamond"/>
          <w:sz w:val="24"/>
          <w:szCs w:val="24"/>
        </w:rPr>
        <w:t>NASDAQ</w:t>
      </w:r>
      <w:r w:rsidRPr="009E00D2">
        <w:rPr>
          <w:rFonts w:ascii="Garamond" w:hAnsi="Garamond"/>
          <w:sz w:val="24"/>
          <w:szCs w:val="24"/>
        </w:rPr>
        <w:t xml:space="preserve"> exhibiting the lowest and UK’s FTSE250 recording the highest decline in value. </w:t>
      </w:r>
      <w:r w:rsidR="00B54C79" w:rsidRPr="009E00D2">
        <w:rPr>
          <w:rFonts w:ascii="Garamond" w:hAnsi="Garamond"/>
          <w:sz w:val="24"/>
          <w:szCs w:val="24"/>
        </w:rPr>
        <w:t>The recovery performance in the ind</w:t>
      </w:r>
      <w:r w:rsidR="00313C3C" w:rsidRPr="009E00D2">
        <w:rPr>
          <w:rFonts w:ascii="Garamond" w:hAnsi="Garamond"/>
          <w:sz w:val="24"/>
          <w:szCs w:val="24"/>
        </w:rPr>
        <w:t>ices</w:t>
      </w:r>
      <w:r w:rsidR="00B54C79" w:rsidRPr="009E00D2">
        <w:rPr>
          <w:rFonts w:ascii="Garamond" w:hAnsi="Garamond"/>
          <w:sz w:val="24"/>
          <w:szCs w:val="24"/>
        </w:rPr>
        <w:t xml:space="preserve"> varies from 115.77</w:t>
      </w:r>
      <w:r w:rsidR="00BB727E">
        <w:rPr>
          <w:rFonts w:ascii="Garamond" w:hAnsi="Garamond"/>
          <w:sz w:val="24"/>
          <w:szCs w:val="24"/>
        </w:rPr>
        <w:t>%</w:t>
      </w:r>
      <w:r w:rsidR="00B54C79" w:rsidRPr="009E00D2">
        <w:rPr>
          <w:rFonts w:ascii="Garamond" w:hAnsi="Garamond"/>
          <w:sz w:val="24"/>
          <w:szCs w:val="24"/>
        </w:rPr>
        <w:t xml:space="preserve"> for IBEX35, approx</w:t>
      </w:r>
      <w:r w:rsidR="00412874">
        <w:rPr>
          <w:rFonts w:ascii="Garamond" w:hAnsi="Garamond"/>
          <w:sz w:val="24"/>
          <w:szCs w:val="24"/>
        </w:rPr>
        <w:t>imately</w:t>
      </w:r>
      <w:r w:rsidR="00B54C79" w:rsidRPr="009E00D2">
        <w:rPr>
          <w:rFonts w:ascii="Garamond" w:hAnsi="Garamond"/>
          <w:sz w:val="24"/>
          <w:szCs w:val="24"/>
        </w:rPr>
        <w:t xml:space="preserve"> 117% for FTSE 100, PSI-20 and Nikkei225 to more than 125</w:t>
      </w:r>
      <w:r w:rsidR="00BB727E">
        <w:rPr>
          <w:rFonts w:ascii="Garamond" w:hAnsi="Garamond"/>
          <w:sz w:val="24"/>
          <w:szCs w:val="24"/>
        </w:rPr>
        <w:t>%</w:t>
      </w:r>
      <w:r w:rsidR="00B54C79" w:rsidRPr="009E00D2">
        <w:rPr>
          <w:rFonts w:ascii="Garamond" w:hAnsi="Garamond"/>
          <w:sz w:val="24"/>
          <w:szCs w:val="24"/>
        </w:rPr>
        <w:t xml:space="preserve"> for the DAX30, DJ industrial, FTSE250, and DJ65 </w:t>
      </w:r>
      <w:r w:rsidRPr="009E00D2">
        <w:rPr>
          <w:rFonts w:ascii="Garamond" w:hAnsi="Garamond"/>
          <w:sz w:val="24"/>
          <w:szCs w:val="24"/>
        </w:rPr>
        <w:t xml:space="preserve">with the FTSE250 and Dow Jones </w:t>
      </w:r>
      <w:r w:rsidR="0065157C" w:rsidRPr="009E00D2">
        <w:rPr>
          <w:rFonts w:ascii="Garamond" w:hAnsi="Garamond"/>
          <w:sz w:val="24"/>
          <w:szCs w:val="24"/>
        </w:rPr>
        <w:t xml:space="preserve">Industrial and </w:t>
      </w:r>
      <w:r w:rsidRPr="009E00D2">
        <w:rPr>
          <w:rFonts w:ascii="Garamond" w:hAnsi="Garamond"/>
          <w:sz w:val="24"/>
          <w:szCs w:val="24"/>
        </w:rPr>
        <w:t xml:space="preserve">Composite 65 exhibiting the highest recovery rates (nearly 128% of lowest value). UK’s FTSE250 depicts interesting behavior with both very high reactivity and recovery rates (see </w:t>
      </w:r>
      <w:r w:rsidR="0065157C" w:rsidRPr="009E00D2">
        <w:rPr>
          <w:rFonts w:ascii="Garamond" w:hAnsi="Garamond"/>
          <w:sz w:val="24"/>
          <w:szCs w:val="24"/>
        </w:rPr>
        <w:t>T</w:t>
      </w:r>
      <w:r w:rsidRPr="009E00D2">
        <w:rPr>
          <w:rFonts w:ascii="Garamond" w:hAnsi="Garamond"/>
          <w:sz w:val="24"/>
          <w:szCs w:val="24"/>
        </w:rPr>
        <w:t xml:space="preserve">able 1 and Fig </w:t>
      </w:r>
      <w:r w:rsidR="0065157C" w:rsidRPr="009E00D2">
        <w:rPr>
          <w:rFonts w:ascii="Garamond" w:hAnsi="Garamond"/>
          <w:sz w:val="24"/>
          <w:szCs w:val="24"/>
        </w:rPr>
        <w:t>2</w:t>
      </w:r>
      <w:r w:rsidRPr="009E00D2">
        <w:rPr>
          <w:rFonts w:ascii="Garamond" w:hAnsi="Garamond"/>
          <w:sz w:val="24"/>
          <w:szCs w:val="24"/>
        </w:rPr>
        <w:t xml:space="preserve"> below). </w:t>
      </w:r>
    </w:p>
    <w:p w14:paraId="1F49D957" w14:textId="68940970" w:rsidR="00D36973" w:rsidRPr="009E00D2" w:rsidRDefault="00A42F6F" w:rsidP="00F81F72">
      <w:pPr>
        <w:pStyle w:val="NoSpacing"/>
        <w:spacing w:line="480" w:lineRule="auto"/>
        <w:jc w:val="center"/>
        <w:rPr>
          <w:rFonts w:ascii="Garamond" w:hAnsi="Garamond"/>
          <w:sz w:val="24"/>
          <w:szCs w:val="24"/>
        </w:rPr>
      </w:pPr>
      <w:r w:rsidRPr="009E00D2">
        <w:rPr>
          <w:rFonts w:ascii="Garamond" w:hAnsi="Garamond"/>
          <w:noProof/>
          <w:lang w:val="fr-FR" w:eastAsia="fr-FR"/>
        </w:rPr>
        <w:drawing>
          <wp:inline distT="0" distB="0" distL="0" distR="0" wp14:anchorId="123AFE62" wp14:editId="5B7EADB8">
            <wp:extent cx="4572000" cy="2743200"/>
            <wp:effectExtent l="0" t="0" r="0" b="0"/>
            <wp:docPr id="5" name="Chart 5">
              <a:extLst xmlns:a="http://schemas.openxmlformats.org/drawingml/2006/main">
                <a:ext uri="{FF2B5EF4-FFF2-40B4-BE49-F238E27FC236}">
                  <a16:creationId xmlns:a16="http://schemas.microsoft.com/office/drawing/2014/main" id="{C55D6C58-C434-454C-AA78-2A0B4E72A5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A3FB68" w14:textId="52752B5D" w:rsidR="00F81F72" w:rsidRPr="009E00D2" w:rsidRDefault="00F81F72" w:rsidP="00E036A9">
      <w:pPr>
        <w:pStyle w:val="NoSpacing"/>
        <w:spacing w:line="276" w:lineRule="auto"/>
        <w:rPr>
          <w:rFonts w:ascii="Garamond" w:eastAsia="Times New Roman" w:hAnsi="Garamond" w:cs="Calibri"/>
          <w:b/>
          <w:bCs/>
          <w:sz w:val="24"/>
          <w:szCs w:val="24"/>
          <w:lang w:eastAsia="en-GB"/>
        </w:rPr>
      </w:pPr>
      <w:r w:rsidRPr="009E00D2">
        <w:rPr>
          <w:rFonts w:ascii="Garamond" w:hAnsi="Garamond"/>
          <w:b/>
          <w:bCs/>
          <w:sz w:val="24"/>
          <w:szCs w:val="24"/>
        </w:rPr>
        <w:t xml:space="preserve">Fig. </w:t>
      </w:r>
      <w:r w:rsidR="0065157C" w:rsidRPr="009E00D2">
        <w:rPr>
          <w:rFonts w:ascii="Garamond" w:hAnsi="Garamond"/>
          <w:b/>
          <w:bCs/>
          <w:sz w:val="24"/>
          <w:szCs w:val="24"/>
        </w:rPr>
        <w:t>2</w:t>
      </w:r>
      <w:r w:rsidRPr="009E00D2">
        <w:rPr>
          <w:rFonts w:ascii="Garamond" w:hAnsi="Garamond"/>
          <w:b/>
          <w:bCs/>
          <w:sz w:val="24"/>
          <w:szCs w:val="24"/>
        </w:rPr>
        <w:t xml:space="preserve">. </w:t>
      </w:r>
      <w:r w:rsidRPr="009E00D2">
        <w:rPr>
          <w:rFonts w:ascii="Garamond" w:eastAsia="Times New Roman" w:hAnsi="Garamond" w:cs="Calibri"/>
          <w:b/>
          <w:bCs/>
          <w:sz w:val="24"/>
          <w:szCs w:val="24"/>
          <w:lang w:eastAsia="en-GB"/>
        </w:rPr>
        <w:t>Losses and gains in the prices of the selected stock indexes, sorted by losses</w:t>
      </w:r>
      <w:r w:rsidR="00512338" w:rsidRPr="009E00D2">
        <w:rPr>
          <w:rFonts w:ascii="Garamond" w:eastAsia="Times New Roman" w:hAnsi="Garamond" w:cs="Calibri"/>
          <w:b/>
          <w:bCs/>
          <w:sz w:val="24"/>
          <w:szCs w:val="24"/>
          <w:lang w:eastAsia="en-GB"/>
        </w:rPr>
        <w:t>, %.</w:t>
      </w:r>
    </w:p>
    <w:p w14:paraId="412BB708" w14:textId="77777777" w:rsidR="00E036A9" w:rsidRPr="009E00D2" w:rsidRDefault="00E036A9" w:rsidP="00E036A9">
      <w:pPr>
        <w:pStyle w:val="NoSpacing"/>
        <w:spacing w:line="276" w:lineRule="auto"/>
        <w:rPr>
          <w:rFonts w:ascii="Garamond" w:hAnsi="Garamond"/>
          <w:sz w:val="24"/>
          <w:szCs w:val="24"/>
          <w:lang w:val="en-GB"/>
        </w:rPr>
      </w:pPr>
      <w:r w:rsidRPr="009E00D2">
        <w:rPr>
          <w:rFonts w:ascii="Garamond" w:hAnsi="Garamond"/>
          <w:sz w:val="24"/>
          <w:szCs w:val="24"/>
          <w:lang w:val="en-GB"/>
        </w:rPr>
        <w:t xml:space="preserve">The losses represent the pandemic bottom value relatively the maximum values in 2020. Gains are the increases relatively to the pandemic bottom values. </w:t>
      </w:r>
    </w:p>
    <w:p w14:paraId="382B268D" w14:textId="15D03B84" w:rsidR="008C3F90" w:rsidRPr="009E00D2" w:rsidRDefault="008C3F90" w:rsidP="00BB727E">
      <w:pPr>
        <w:pStyle w:val="NoSpacing"/>
        <w:spacing w:line="480" w:lineRule="auto"/>
        <w:rPr>
          <w:rFonts w:ascii="Garamond" w:hAnsi="Garamond"/>
          <w:sz w:val="24"/>
          <w:szCs w:val="24"/>
        </w:rPr>
      </w:pPr>
    </w:p>
    <w:p w14:paraId="4E7E52E4" w14:textId="77B477F8" w:rsidR="00AB2096" w:rsidRPr="00DB74CB" w:rsidRDefault="0021677E" w:rsidP="0021677E">
      <w:pPr>
        <w:pStyle w:val="NoSpacing"/>
        <w:spacing w:line="480" w:lineRule="auto"/>
        <w:ind w:firstLine="708"/>
        <w:jc w:val="both"/>
        <w:rPr>
          <w:rFonts w:ascii="Garamond" w:hAnsi="Garamond"/>
          <w:sz w:val="24"/>
          <w:szCs w:val="24"/>
        </w:rPr>
      </w:pPr>
      <w:r w:rsidRPr="009E00D2">
        <w:rPr>
          <w:rFonts w:ascii="Garamond" w:hAnsi="Garamond"/>
          <w:sz w:val="24"/>
          <w:szCs w:val="24"/>
        </w:rPr>
        <w:lastRenderedPageBreak/>
        <w:t xml:space="preserve">The tests of </w:t>
      </w:r>
      <w:r w:rsidR="00D84F9E" w:rsidRPr="009E00D2">
        <w:rPr>
          <w:rFonts w:ascii="Garamond" w:hAnsi="Garamond"/>
          <w:sz w:val="24"/>
          <w:szCs w:val="24"/>
        </w:rPr>
        <w:t xml:space="preserve">the presence of the mean-reversion processes in the selected equity indexes shows that we can reject the null </w:t>
      </w:r>
      <w:r w:rsidR="00D84F9E" w:rsidRPr="00DB74CB">
        <w:rPr>
          <w:rFonts w:ascii="Garamond" w:hAnsi="Garamond"/>
          <w:sz w:val="24"/>
          <w:szCs w:val="24"/>
        </w:rPr>
        <w:t xml:space="preserve">hypothesis </w:t>
      </w:r>
      <w:r w:rsidRPr="00DB74CB">
        <w:rPr>
          <w:rFonts w:ascii="Garamond" w:hAnsi="Garamond"/>
          <w:sz w:val="24"/>
          <w:szCs w:val="24"/>
        </w:rPr>
        <w:t xml:space="preserve">of </w:t>
      </w:r>
      <w:r w:rsidRPr="00DB74CB">
        <w:rPr>
          <w:rFonts w:ascii="Garamond" w:hAnsi="Garamond"/>
          <w:sz w:val="24"/>
          <w:szCs w:val="24"/>
          <w:lang w:val="en-GB"/>
        </w:rPr>
        <w:t>unit root</w:t>
      </w:r>
      <w:r w:rsidRPr="00DB74CB">
        <w:rPr>
          <w:rFonts w:ascii="Garamond" w:hAnsi="Garamond"/>
          <w:sz w:val="24"/>
          <w:szCs w:val="24"/>
        </w:rPr>
        <w:t xml:space="preserve"> </w:t>
      </w:r>
      <w:r w:rsidR="00FD24E1" w:rsidRPr="00DB74CB">
        <w:rPr>
          <w:rFonts w:ascii="Garamond" w:hAnsi="Garamond"/>
          <w:sz w:val="24"/>
          <w:szCs w:val="24"/>
        </w:rPr>
        <w:t>rather uniformly for all indices for the higher quantiles of the shock. (</w:t>
      </w:r>
      <w:r w:rsidR="00D84F9E" w:rsidRPr="00DB74CB">
        <w:rPr>
          <w:rFonts w:ascii="Garamond" w:hAnsi="Garamond"/>
          <w:sz w:val="24"/>
          <w:szCs w:val="24"/>
        </w:rPr>
        <w:t xml:space="preserve">Table </w:t>
      </w:r>
      <w:r w:rsidR="00454D9C" w:rsidRPr="00DB74CB">
        <w:rPr>
          <w:rFonts w:ascii="Garamond" w:hAnsi="Garamond"/>
          <w:sz w:val="24"/>
          <w:szCs w:val="24"/>
        </w:rPr>
        <w:t>3</w:t>
      </w:r>
      <w:r w:rsidR="00ED53CE" w:rsidRPr="00DB74CB">
        <w:rPr>
          <w:rFonts w:ascii="Garamond" w:hAnsi="Garamond"/>
          <w:sz w:val="24"/>
          <w:szCs w:val="24"/>
        </w:rPr>
        <w:t xml:space="preserve">; in </w:t>
      </w:r>
      <w:r w:rsidR="007159B6">
        <w:rPr>
          <w:rFonts w:ascii="Garamond" w:hAnsi="Garamond"/>
          <w:sz w:val="24"/>
          <w:szCs w:val="24"/>
        </w:rPr>
        <w:t xml:space="preserve">Appendix </w:t>
      </w:r>
      <w:r w:rsidR="00ED53CE" w:rsidRPr="00DB74CB">
        <w:rPr>
          <w:rFonts w:ascii="Garamond" w:hAnsi="Garamond"/>
          <w:sz w:val="24"/>
          <w:szCs w:val="24"/>
        </w:rPr>
        <w:t>Table A7</w:t>
      </w:r>
      <w:r w:rsidR="00ED53CE" w:rsidRPr="00DB74CB">
        <w:rPr>
          <w:rFonts w:ascii="Garamond" w:hAnsi="Garamond"/>
        </w:rPr>
        <w:t xml:space="preserve"> the </w:t>
      </w:r>
      <w:proofErr w:type="spellStart"/>
      <w:r w:rsidR="00ED53CE" w:rsidRPr="00DB74CB">
        <w:rPr>
          <w:rFonts w:ascii="Garamond" w:hAnsi="Garamond"/>
          <w:sz w:val="24"/>
          <w:szCs w:val="24"/>
        </w:rPr>
        <w:t>Koenker</w:t>
      </w:r>
      <w:proofErr w:type="spellEnd"/>
      <w:r w:rsidR="00ED53CE" w:rsidRPr="00DB74CB">
        <w:rPr>
          <w:rFonts w:ascii="Garamond" w:hAnsi="Garamond"/>
          <w:sz w:val="24"/>
          <w:szCs w:val="24"/>
        </w:rPr>
        <w:t xml:space="preserve"> </w:t>
      </w:r>
      <w:r w:rsidR="00BB727E" w:rsidRPr="00DB74CB">
        <w:rPr>
          <w:rFonts w:ascii="Garamond" w:hAnsi="Garamond"/>
          <w:sz w:val="24"/>
          <w:szCs w:val="24"/>
        </w:rPr>
        <w:t xml:space="preserve">&amp; </w:t>
      </w:r>
      <w:r w:rsidR="00ED53CE" w:rsidRPr="00DB74CB">
        <w:rPr>
          <w:rFonts w:ascii="Garamond" w:hAnsi="Garamond"/>
          <w:sz w:val="24"/>
          <w:szCs w:val="24"/>
        </w:rPr>
        <w:t xml:space="preserve">Xiao </w:t>
      </w:r>
      <w:r w:rsidR="00BB727E" w:rsidRPr="00DB74CB">
        <w:rPr>
          <w:rFonts w:ascii="Garamond" w:hAnsi="Garamond"/>
          <w:sz w:val="24"/>
          <w:szCs w:val="24"/>
        </w:rPr>
        <w:t>(</w:t>
      </w:r>
      <w:r w:rsidR="00ED53CE" w:rsidRPr="00DB74CB">
        <w:rPr>
          <w:rFonts w:ascii="Garamond" w:hAnsi="Garamond"/>
          <w:sz w:val="24"/>
          <w:szCs w:val="24"/>
        </w:rPr>
        <w:t>2004</w:t>
      </w:r>
      <w:r w:rsidR="00BB727E" w:rsidRPr="00DB74CB">
        <w:rPr>
          <w:rFonts w:ascii="Garamond" w:hAnsi="Garamond"/>
          <w:sz w:val="24"/>
          <w:szCs w:val="24"/>
        </w:rPr>
        <w:t>)</w:t>
      </w:r>
      <w:r w:rsidR="00ED53CE" w:rsidRPr="00DB74CB">
        <w:rPr>
          <w:rFonts w:ascii="Garamond" w:hAnsi="Garamond"/>
          <w:sz w:val="24"/>
          <w:szCs w:val="24"/>
        </w:rPr>
        <w:t xml:space="preserve"> test results are presented for comparison</w:t>
      </w:r>
      <w:r w:rsidR="00D84F9E" w:rsidRPr="00DB74CB">
        <w:rPr>
          <w:rFonts w:ascii="Garamond" w:hAnsi="Garamond"/>
          <w:sz w:val="24"/>
          <w:szCs w:val="24"/>
        </w:rPr>
        <w:t>).</w:t>
      </w:r>
      <w:r w:rsidR="00FD24E1" w:rsidRPr="00DB74CB">
        <w:rPr>
          <w:rFonts w:ascii="Garamond" w:hAnsi="Garamond"/>
          <w:sz w:val="24"/>
          <w:szCs w:val="24"/>
        </w:rPr>
        <w:t xml:space="preserve"> </w:t>
      </w:r>
      <w:r w:rsidR="00AB2096" w:rsidRPr="00DB74CB">
        <w:rPr>
          <w:rFonts w:ascii="Garamond" w:hAnsi="Garamond"/>
          <w:sz w:val="24"/>
          <w:szCs w:val="24"/>
        </w:rPr>
        <w:t xml:space="preserve">For instance, for the Dow Jones Industrial, </w:t>
      </w:r>
      <w:proofErr w:type="spellStart"/>
      <w:r w:rsidR="00AB2096" w:rsidRPr="00DB74CB">
        <w:rPr>
          <w:rFonts w:ascii="Garamond" w:hAnsi="Garamond"/>
          <w:sz w:val="24"/>
          <w:szCs w:val="24"/>
        </w:rPr>
        <w:t>EuroStoxx</w:t>
      </w:r>
      <w:proofErr w:type="spellEnd"/>
      <w:r w:rsidR="00AB2096" w:rsidRPr="00DB74CB">
        <w:rPr>
          <w:rFonts w:ascii="Garamond" w:hAnsi="Garamond"/>
          <w:sz w:val="24"/>
          <w:szCs w:val="24"/>
        </w:rPr>
        <w:t xml:space="preserve">, EuroStoxx50, </w:t>
      </w:r>
      <w:r w:rsidR="008C673D">
        <w:rPr>
          <w:rFonts w:ascii="Garamond" w:hAnsi="Garamond"/>
          <w:sz w:val="24"/>
          <w:szCs w:val="24"/>
        </w:rPr>
        <w:t>FTSE100</w:t>
      </w:r>
      <w:r w:rsidR="00AB2096" w:rsidRPr="00DB74CB">
        <w:rPr>
          <w:rFonts w:ascii="Garamond" w:hAnsi="Garamond"/>
          <w:sz w:val="24"/>
          <w:szCs w:val="24"/>
        </w:rPr>
        <w:t xml:space="preserve">, </w:t>
      </w:r>
      <w:r w:rsidR="00527E3B">
        <w:rPr>
          <w:rFonts w:ascii="Garamond" w:hAnsi="Garamond"/>
          <w:sz w:val="24"/>
          <w:szCs w:val="24"/>
        </w:rPr>
        <w:t xml:space="preserve">FTSE250, Israel TA 125, IBEX 35 and PSI20 </w:t>
      </w:r>
      <w:r w:rsidR="00AB2096" w:rsidRPr="00DB74CB">
        <w:rPr>
          <w:rFonts w:ascii="Garamond" w:hAnsi="Garamond"/>
          <w:sz w:val="24"/>
          <w:szCs w:val="24"/>
        </w:rPr>
        <w:t>we observe mean-reverting behavior for quantiles starting 0.</w:t>
      </w:r>
      <w:r w:rsidR="00C51BD2">
        <w:rPr>
          <w:rFonts w:ascii="Garamond" w:hAnsi="Garamond"/>
          <w:sz w:val="24"/>
          <w:szCs w:val="24"/>
        </w:rPr>
        <w:t>5</w:t>
      </w:r>
      <w:r w:rsidR="00AB2096" w:rsidRPr="00DB74CB">
        <w:rPr>
          <w:rFonts w:ascii="Garamond" w:hAnsi="Garamond"/>
          <w:sz w:val="24"/>
          <w:szCs w:val="24"/>
        </w:rPr>
        <w:t xml:space="preserve"> till 0.9, suggesting resilience to even very high magnitudes of shocks. For the </w:t>
      </w:r>
      <w:r w:rsidR="00527E3B">
        <w:rPr>
          <w:rFonts w:ascii="Garamond" w:hAnsi="Garamond"/>
          <w:sz w:val="24"/>
          <w:szCs w:val="24"/>
        </w:rPr>
        <w:t xml:space="preserve">DAX30, DJ65, CAC40, </w:t>
      </w:r>
      <w:r w:rsidR="00995F62">
        <w:rPr>
          <w:rFonts w:ascii="Garamond" w:hAnsi="Garamond"/>
          <w:sz w:val="24"/>
          <w:szCs w:val="24"/>
        </w:rPr>
        <w:t>and NASDAQ composite</w:t>
      </w:r>
      <w:r w:rsidR="00AB2096" w:rsidRPr="00DB74CB">
        <w:rPr>
          <w:rFonts w:ascii="Garamond" w:hAnsi="Garamond"/>
          <w:sz w:val="24"/>
          <w:szCs w:val="24"/>
        </w:rPr>
        <w:t xml:space="preserve">, mean-reversion is observed for quantiles 0.6 to 0.9.  </w:t>
      </w:r>
      <w:r w:rsidR="00FD24E1" w:rsidRPr="00DB74CB">
        <w:rPr>
          <w:rFonts w:ascii="Garamond" w:hAnsi="Garamond"/>
          <w:sz w:val="24"/>
          <w:szCs w:val="24"/>
        </w:rPr>
        <w:t>The only exception</w:t>
      </w:r>
      <w:r w:rsidR="00BC1E02" w:rsidRPr="00DB74CB">
        <w:rPr>
          <w:rFonts w:ascii="Garamond" w:hAnsi="Garamond"/>
          <w:sz w:val="24"/>
          <w:szCs w:val="24"/>
        </w:rPr>
        <w:t xml:space="preserve">s to this </w:t>
      </w:r>
      <w:r w:rsidR="00AB2096" w:rsidRPr="00DB74CB">
        <w:rPr>
          <w:rFonts w:ascii="Garamond" w:hAnsi="Garamond"/>
          <w:sz w:val="24"/>
          <w:szCs w:val="24"/>
        </w:rPr>
        <w:t xml:space="preserve">general </w:t>
      </w:r>
      <w:r w:rsidR="00BC1E02" w:rsidRPr="00DB74CB">
        <w:rPr>
          <w:rFonts w:ascii="Garamond" w:hAnsi="Garamond"/>
          <w:sz w:val="24"/>
          <w:szCs w:val="24"/>
        </w:rPr>
        <w:t xml:space="preserve">finding </w:t>
      </w:r>
      <w:r w:rsidR="00AB2096" w:rsidRPr="00DB74CB">
        <w:rPr>
          <w:rFonts w:ascii="Garamond" w:hAnsi="Garamond"/>
          <w:sz w:val="24"/>
          <w:szCs w:val="24"/>
        </w:rPr>
        <w:t xml:space="preserve">of mean reversion in higher quantiles </w:t>
      </w:r>
      <w:r w:rsidR="00BC1E02" w:rsidRPr="00DB74CB">
        <w:rPr>
          <w:rFonts w:ascii="Garamond" w:hAnsi="Garamond"/>
          <w:sz w:val="24"/>
          <w:szCs w:val="24"/>
        </w:rPr>
        <w:t>are</w:t>
      </w:r>
      <w:r w:rsidR="00FD24E1" w:rsidRPr="00DB74CB">
        <w:rPr>
          <w:rFonts w:ascii="Garamond" w:hAnsi="Garamond"/>
          <w:sz w:val="24"/>
          <w:szCs w:val="24"/>
        </w:rPr>
        <w:t xml:space="preserve"> NASDAQ 100 </w:t>
      </w:r>
      <w:r w:rsidR="00BC1E02" w:rsidRPr="00DB74CB">
        <w:rPr>
          <w:rFonts w:ascii="Garamond" w:hAnsi="Garamond"/>
          <w:sz w:val="24"/>
          <w:szCs w:val="24"/>
        </w:rPr>
        <w:t xml:space="preserve">and the </w:t>
      </w:r>
      <w:r w:rsidR="00995F62">
        <w:rPr>
          <w:rFonts w:ascii="Garamond" w:hAnsi="Garamond"/>
          <w:sz w:val="24"/>
          <w:szCs w:val="24"/>
        </w:rPr>
        <w:t>NIKKE</w:t>
      </w:r>
      <w:r w:rsidR="009F1BD8">
        <w:rPr>
          <w:rFonts w:ascii="Garamond" w:hAnsi="Garamond"/>
          <w:sz w:val="24"/>
          <w:szCs w:val="24"/>
        </w:rPr>
        <w:t>I225</w:t>
      </w:r>
      <w:r w:rsidR="00BC1E02" w:rsidRPr="00DB74CB">
        <w:rPr>
          <w:rFonts w:ascii="Garamond" w:hAnsi="Garamond"/>
          <w:sz w:val="24"/>
          <w:szCs w:val="24"/>
        </w:rPr>
        <w:t xml:space="preserve"> </w:t>
      </w:r>
      <w:r w:rsidR="00FD24E1" w:rsidRPr="00DB74CB">
        <w:rPr>
          <w:rFonts w:ascii="Garamond" w:hAnsi="Garamond"/>
          <w:sz w:val="24"/>
          <w:szCs w:val="24"/>
        </w:rPr>
        <w:t>for which we observe a unit root for all quantiles</w:t>
      </w:r>
      <w:r w:rsidR="009F1BD8">
        <w:rPr>
          <w:rFonts w:ascii="Garamond" w:hAnsi="Garamond"/>
          <w:sz w:val="24"/>
          <w:szCs w:val="24"/>
        </w:rPr>
        <w:t>, and the S&amp;P500</w:t>
      </w:r>
      <w:r w:rsidR="00361BB6">
        <w:rPr>
          <w:rFonts w:ascii="Garamond" w:hAnsi="Garamond"/>
          <w:sz w:val="24"/>
          <w:szCs w:val="24"/>
        </w:rPr>
        <w:t xml:space="preserve"> with mean-reversion only in the 90</w:t>
      </w:r>
      <w:r w:rsidR="00361BB6" w:rsidRPr="00361BB6">
        <w:rPr>
          <w:rFonts w:ascii="Garamond" w:hAnsi="Garamond"/>
          <w:sz w:val="24"/>
          <w:szCs w:val="24"/>
          <w:vertAlign w:val="superscript"/>
        </w:rPr>
        <w:t>th</w:t>
      </w:r>
      <w:r w:rsidR="00361BB6">
        <w:rPr>
          <w:rFonts w:ascii="Garamond" w:hAnsi="Garamond"/>
          <w:sz w:val="24"/>
          <w:szCs w:val="24"/>
        </w:rPr>
        <w:t xml:space="preserve"> quantile</w:t>
      </w:r>
      <w:r w:rsidR="00FD24E1" w:rsidRPr="00DB74CB">
        <w:rPr>
          <w:rFonts w:ascii="Garamond" w:hAnsi="Garamond"/>
          <w:sz w:val="24"/>
          <w:szCs w:val="24"/>
        </w:rPr>
        <w:t xml:space="preserve">. </w:t>
      </w:r>
      <w:r w:rsidR="00AB2096" w:rsidRPr="00DB74CB">
        <w:rPr>
          <w:rFonts w:ascii="Garamond" w:hAnsi="Garamond"/>
          <w:sz w:val="24"/>
          <w:szCs w:val="24"/>
        </w:rPr>
        <w:t>Even when both the YZ and KX tests yield similar results across the various indices studied</w:t>
      </w:r>
      <w:r w:rsidR="004C4C8B">
        <w:rPr>
          <w:rFonts w:ascii="Garamond" w:hAnsi="Garamond"/>
          <w:sz w:val="24"/>
          <w:szCs w:val="24"/>
        </w:rPr>
        <w:t>.</w:t>
      </w:r>
      <w:r w:rsidR="00AB2096" w:rsidRPr="00DB74CB">
        <w:rPr>
          <w:rFonts w:ascii="Garamond" w:hAnsi="Garamond"/>
          <w:sz w:val="24"/>
          <w:szCs w:val="24"/>
        </w:rPr>
        <w:t xml:space="preserve"> </w:t>
      </w:r>
    </w:p>
    <w:p w14:paraId="7087E854" w14:textId="4E1EB06A" w:rsidR="00D84F9E" w:rsidRPr="009E00D2" w:rsidRDefault="00FD24E1" w:rsidP="0021677E">
      <w:pPr>
        <w:pStyle w:val="NoSpacing"/>
        <w:spacing w:line="480" w:lineRule="auto"/>
        <w:ind w:firstLine="708"/>
        <w:jc w:val="both"/>
        <w:rPr>
          <w:rFonts w:ascii="Garamond" w:hAnsi="Garamond"/>
          <w:sz w:val="24"/>
          <w:szCs w:val="24"/>
        </w:rPr>
      </w:pPr>
      <w:r w:rsidRPr="00DB74CB">
        <w:rPr>
          <w:rFonts w:ascii="Garamond" w:hAnsi="Garamond"/>
          <w:sz w:val="24"/>
          <w:szCs w:val="24"/>
        </w:rPr>
        <w:t>This is a remarkable result in the sense that it sheds light on the high mean-reversion tendencies of stock market indices in general, as a group. This seems to suggest that stock markets in general seem to bounce back to long-run normal values even after significant shocks to their return series. This</w:t>
      </w:r>
      <w:r w:rsidR="00BC1E02" w:rsidRPr="00DB74CB">
        <w:rPr>
          <w:rFonts w:ascii="Garamond" w:hAnsi="Garamond"/>
          <w:sz w:val="24"/>
          <w:szCs w:val="24"/>
        </w:rPr>
        <w:t xml:space="preserve"> makes this class of assets </w:t>
      </w:r>
      <w:r w:rsidRPr="00DB74CB">
        <w:rPr>
          <w:rFonts w:ascii="Garamond" w:hAnsi="Garamond"/>
          <w:sz w:val="24"/>
          <w:szCs w:val="24"/>
        </w:rPr>
        <w:t>more predictable</w:t>
      </w:r>
      <w:r w:rsidR="00BC1E02" w:rsidRPr="00DB74CB">
        <w:rPr>
          <w:rFonts w:ascii="Garamond" w:hAnsi="Garamond"/>
          <w:sz w:val="24"/>
          <w:szCs w:val="24"/>
        </w:rPr>
        <w:t xml:space="preserve"> and comparatively less risky</w:t>
      </w:r>
      <w:r w:rsidRPr="00DB74CB">
        <w:rPr>
          <w:rFonts w:ascii="Garamond" w:hAnsi="Garamond"/>
          <w:sz w:val="24"/>
          <w:szCs w:val="24"/>
        </w:rPr>
        <w:t xml:space="preserve"> in general. This is in sharp contrast to our findings for the cryptocurrency group in this paper which exhibits very strong persistence or long-term memory.</w:t>
      </w:r>
      <w:r w:rsidRPr="009E00D2">
        <w:rPr>
          <w:rFonts w:ascii="Garamond" w:hAnsi="Garamond"/>
          <w:sz w:val="24"/>
          <w:szCs w:val="24"/>
        </w:rPr>
        <w:t xml:space="preserve"> </w:t>
      </w:r>
    </w:p>
    <w:p w14:paraId="3D94A47D" w14:textId="5A83E28E" w:rsidR="00E546B1" w:rsidRPr="00BB727E" w:rsidRDefault="00E546B1" w:rsidP="0031712F">
      <w:pPr>
        <w:pStyle w:val="NoSpacing"/>
        <w:spacing w:line="480" w:lineRule="auto"/>
        <w:ind w:firstLine="708"/>
        <w:jc w:val="both"/>
        <w:rPr>
          <w:rFonts w:ascii="Garamond" w:hAnsi="Garamond"/>
          <w:sz w:val="24"/>
          <w:szCs w:val="24"/>
          <w:lang w:val="en-GB"/>
        </w:rPr>
      </w:pPr>
      <w:r w:rsidRPr="009E00D2">
        <w:rPr>
          <w:rFonts w:ascii="Garamond" w:hAnsi="Garamond"/>
          <w:sz w:val="24"/>
          <w:szCs w:val="24"/>
          <w:lang w:val="en-GB"/>
        </w:rPr>
        <w:t xml:space="preserve">Our results </w:t>
      </w:r>
      <w:r w:rsidR="00412874">
        <w:rPr>
          <w:rFonts w:ascii="Garamond" w:hAnsi="Garamond"/>
          <w:sz w:val="24"/>
          <w:szCs w:val="24"/>
          <w:lang w:val="en-GB"/>
        </w:rPr>
        <w:t xml:space="preserve">are in line with </w:t>
      </w:r>
      <w:proofErr w:type="spellStart"/>
      <w:r w:rsidRPr="009E00D2">
        <w:rPr>
          <w:rFonts w:ascii="Garamond" w:hAnsi="Garamond"/>
          <w:sz w:val="24"/>
          <w:szCs w:val="24"/>
          <w:lang w:val="en-GB"/>
        </w:rPr>
        <w:t>Balvers</w:t>
      </w:r>
      <w:proofErr w:type="spellEnd"/>
      <w:r w:rsidRPr="009E00D2">
        <w:rPr>
          <w:rFonts w:ascii="Garamond" w:hAnsi="Garamond"/>
          <w:sz w:val="24"/>
          <w:szCs w:val="24"/>
          <w:lang w:val="en-GB"/>
        </w:rPr>
        <w:t xml:space="preserve"> et al. (2000</w:t>
      </w:r>
      <w:proofErr w:type="gramStart"/>
      <w:r w:rsidRPr="009E00D2">
        <w:rPr>
          <w:rFonts w:ascii="Garamond" w:hAnsi="Garamond"/>
          <w:sz w:val="24"/>
          <w:szCs w:val="24"/>
          <w:lang w:val="en-GB"/>
        </w:rPr>
        <w:t>)</w:t>
      </w:r>
      <w:r w:rsidR="00412874">
        <w:rPr>
          <w:rFonts w:ascii="Garamond" w:hAnsi="Garamond"/>
          <w:sz w:val="24"/>
          <w:szCs w:val="24"/>
          <w:lang w:val="en-GB"/>
        </w:rPr>
        <w:t xml:space="preserve">, </w:t>
      </w:r>
      <w:r w:rsidRPr="009E00D2">
        <w:rPr>
          <w:rFonts w:ascii="Garamond" w:hAnsi="Garamond"/>
          <w:sz w:val="24"/>
          <w:szCs w:val="24"/>
          <w:lang w:val="en-GB"/>
        </w:rPr>
        <w:t xml:space="preserve"> who</w:t>
      </w:r>
      <w:proofErr w:type="gramEnd"/>
      <w:r w:rsidRPr="009E00D2">
        <w:rPr>
          <w:rFonts w:ascii="Garamond" w:hAnsi="Garamond"/>
          <w:sz w:val="24"/>
          <w:szCs w:val="24"/>
          <w:lang w:val="en-GB"/>
        </w:rPr>
        <w:t xml:space="preserve"> document significant evidence of full mean reversion in national equity indexes, with a reversion speed of 18 to 20% per year. With respect to mean reversion in France and UK, our results support those of Borges (2010).  </w:t>
      </w:r>
      <w:r w:rsidR="00412874">
        <w:rPr>
          <w:rFonts w:ascii="Garamond" w:hAnsi="Garamond"/>
          <w:sz w:val="24"/>
          <w:szCs w:val="24"/>
          <w:lang w:val="en-GB"/>
        </w:rPr>
        <w:t xml:space="preserve">On the other hand, our results contradict those of </w:t>
      </w:r>
      <w:proofErr w:type="spellStart"/>
      <w:r w:rsidRPr="009E00D2">
        <w:rPr>
          <w:rFonts w:ascii="Garamond" w:hAnsi="Garamond"/>
          <w:sz w:val="24"/>
          <w:szCs w:val="24"/>
          <w:lang w:val="en-GB"/>
        </w:rPr>
        <w:t>Caporale</w:t>
      </w:r>
      <w:proofErr w:type="spellEnd"/>
      <w:r w:rsidRPr="009E00D2">
        <w:rPr>
          <w:rFonts w:ascii="Garamond" w:hAnsi="Garamond"/>
          <w:sz w:val="24"/>
          <w:szCs w:val="24"/>
          <w:lang w:val="en-GB"/>
        </w:rPr>
        <w:t xml:space="preserve"> et al. (2020) </w:t>
      </w:r>
      <w:r w:rsidR="00116CDB">
        <w:rPr>
          <w:rFonts w:ascii="Garamond" w:hAnsi="Garamond"/>
          <w:sz w:val="24"/>
          <w:szCs w:val="24"/>
          <w:lang w:val="en-GB"/>
        </w:rPr>
        <w:t xml:space="preserve">and Gil-Alana (2006), </w:t>
      </w:r>
      <w:r w:rsidR="00412874">
        <w:rPr>
          <w:rFonts w:ascii="Garamond" w:hAnsi="Garamond"/>
          <w:sz w:val="24"/>
          <w:szCs w:val="24"/>
          <w:lang w:val="en-GB"/>
        </w:rPr>
        <w:t xml:space="preserve">who </w:t>
      </w:r>
      <w:r w:rsidR="00116CDB">
        <w:rPr>
          <w:rFonts w:ascii="Garamond" w:hAnsi="Garamond"/>
          <w:sz w:val="24"/>
          <w:szCs w:val="24"/>
          <w:lang w:val="en-GB"/>
        </w:rPr>
        <w:t>document that</w:t>
      </w:r>
      <w:r w:rsidRPr="009E00D2">
        <w:rPr>
          <w:rFonts w:ascii="Garamond" w:hAnsi="Garamond"/>
          <w:sz w:val="24"/>
          <w:szCs w:val="24"/>
          <w:lang w:val="en-GB"/>
        </w:rPr>
        <w:t xml:space="preserve"> </w:t>
      </w:r>
      <w:r w:rsidR="00116CDB">
        <w:rPr>
          <w:rFonts w:ascii="Garamond" w:hAnsi="Garamond"/>
          <w:sz w:val="24"/>
          <w:szCs w:val="24"/>
          <w:lang w:val="en-GB"/>
        </w:rPr>
        <w:t xml:space="preserve">high persistence for some of </w:t>
      </w:r>
      <w:r w:rsidRPr="009E00D2">
        <w:rPr>
          <w:rFonts w:ascii="Garamond" w:hAnsi="Garamond"/>
          <w:sz w:val="24"/>
          <w:szCs w:val="24"/>
          <w:lang w:val="en-GB"/>
        </w:rPr>
        <w:t xml:space="preserve">the </w:t>
      </w:r>
      <w:r w:rsidR="00116CDB">
        <w:rPr>
          <w:rFonts w:ascii="Garamond" w:hAnsi="Garamond"/>
          <w:sz w:val="24"/>
          <w:szCs w:val="24"/>
          <w:lang w:val="en-GB"/>
        </w:rPr>
        <w:t xml:space="preserve">international stock indices selected in this study. For UK, our results support those of </w:t>
      </w:r>
      <w:r w:rsidR="00CD0B9B">
        <w:rPr>
          <w:rFonts w:ascii="Garamond" w:hAnsi="Garamond"/>
          <w:sz w:val="24"/>
          <w:szCs w:val="24"/>
          <w:lang w:val="en-GB"/>
        </w:rPr>
        <w:t>Poon (1996) who also finds evidence of mean reversion.</w:t>
      </w:r>
    </w:p>
    <w:p w14:paraId="64BF3139" w14:textId="77777777" w:rsidR="00D84F9E" w:rsidRPr="009E00D2" w:rsidRDefault="00D84F9E" w:rsidP="00943696">
      <w:pPr>
        <w:pStyle w:val="NoSpacing"/>
        <w:spacing w:line="480" w:lineRule="auto"/>
        <w:rPr>
          <w:rFonts w:ascii="Garamond" w:hAnsi="Garamond"/>
          <w:sz w:val="24"/>
          <w:szCs w:val="24"/>
        </w:rPr>
      </w:pPr>
    </w:p>
    <w:p w14:paraId="598B6050" w14:textId="3C890046" w:rsidR="00E57EF0" w:rsidRPr="009E00D2" w:rsidRDefault="00E57EF0" w:rsidP="00A50C0D">
      <w:pPr>
        <w:pStyle w:val="NoSpacing"/>
        <w:spacing w:line="276" w:lineRule="auto"/>
        <w:jc w:val="center"/>
        <w:rPr>
          <w:rFonts w:ascii="Garamond" w:eastAsia="Times New Roman" w:hAnsi="Garamond" w:cs="Calibri"/>
          <w:b/>
          <w:bCs/>
          <w:sz w:val="24"/>
          <w:szCs w:val="24"/>
          <w:lang w:eastAsia="en-GB"/>
        </w:rPr>
      </w:pPr>
      <w:r w:rsidRPr="009E00D2">
        <w:rPr>
          <w:rFonts w:ascii="Garamond" w:hAnsi="Garamond"/>
          <w:b/>
          <w:bCs/>
          <w:sz w:val="24"/>
          <w:szCs w:val="24"/>
          <w:lang w:val="en-GB"/>
        </w:rPr>
        <w:t xml:space="preserve">Table </w:t>
      </w:r>
      <w:r w:rsidR="00454D9C" w:rsidRPr="009E00D2">
        <w:rPr>
          <w:rFonts w:ascii="Garamond" w:hAnsi="Garamond"/>
          <w:b/>
          <w:bCs/>
          <w:sz w:val="24"/>
          <w:szCs w:val="24"/>
          <w:lang w:val="en-GB"/>
        </w:rPr>
        <w:t>3</w:t>
      </w:r>
      <w:r w:rsidRPr="009E00D2">
        <w:rPr>
          <w:rFonts w:ascii="Garamond" w:hAnsi="Garamond"/>
          <w:b/>
          <w:bCs/>
          <w:sz w:val="24"/>
          <w:szCs w:val="24"/>
          <w:lang w:val="en-GB"/>
        </w:rPr>
        <w:t xml:space="preserve"> Tests for quantile unit root, </w:t>
      </w:r>
      <w:r w:rsidRPr="009E00D2">
        <w:rPr>
          <w:rFonts w:ascii="Garamond" w:eastAsia="Times New Roman" w:hAnsi="Garamond" w:cs="Calibri"/>
          <w:b/>
          <w:bCs/>
          <w:sz w:val="24"/>
          <w:szCs w:val="24"/>
          <w:lang w:eastAsia="en-GB"/>
        </w:rPr>
        <w:t>stock indexes</w:t>
      </w:r>
    </w:p>
    <w:p w14:paraId="3C3D5927" w14:textId="644EBA2F" w:rsidR="004E33B3" w:rsidRPr="009E00D2" w:rsidRDefault="00E546B1" w:rsidP="004E33B3">
      <w:pPr>
        <w:pStyle w:val="NoSpacing"/>
        <w:spacing w:line="276" w:lineRule="auto"/>
        <w:jc w:val="both"/>
        <w:rPr>
          <w:rFonts w:ascii="Garamond" w:hAnsi="Garamond"/>
          <w:sz w:val="24"/>
          <w:szCs w:val="24"/>
          <w:lang w:val="en-GB"/>
        </w:rPr>
      </w:pPr>
      <w:r w:rsidRPr="009E00D2">
        <w:rPr>
          <w:rFonts w:ascii="Garamond" w:hAnsi="Garamond"/>
          <w:sz w:val="24"/>
          <w:szCs w:val="24"/>
          <w:lang w:val="en-GB"/>
        </w:rPr>
        <w:t xml:space="preserve">Table shows the results of the quantile nonlinear unit root tests with covariates, </w:t>
      </w:r>
      <w:proofErr w:type="spellStart"/>
      <w:r w:rsidRPr="009E00D2">
        <w:rPr>
          <w:rFonts w:ascii="Garamond" w:eastAsia="Times New Roman" w:hAnsi="Garamond" w:cs="Calibri"/>
          <w:i/>
          <w:iCs/>
          <w:color w:val="000000"/>
          <w:lang w:val="en-GB" w:eastAsia="en-GB"/>
        </w:rPr>
        <w:t>YZ</w:t>
      </w:r>
      <w:r w:rsidRPr="009E00D2">
        <w:rPr>
          <w:rFonts w:ascii="Garamond" w:eastAsia="Times New Roman" w:hAnsi="Garamond" w:cs="Calibri"/>
          <w:i/>
          <w:iCs/>
          <w:color w:val="000000"/>
          <w:sz w:val="24"/>
          <w:szCs w:val="24"/>
          <w:lang w:val="en-GB" w:eastAsia="en-GB"/>
        </w:rPr>
        <w:t>t</w:t>
      </w:r>
      <w:r w:rsidRPr="009E00D2">
        <w:rPr>
          <w:rFonts w:ascii="Garamond" w:eastAsia="Times New Roman" w:hAnsi="Garamond" w:cs="Calibri"/>
          <w:i/>
          <w:iCs/>
          <w:color w:val="000000"/>
          <w:sz w:val="24"/>
          <w:szCs w:val="24"/>
          <w:vertAlign w:val="subscript"/>
          <w:lang w:val="en-GB" w:eastAsia="en-GB"/>
        </w:rPr>
        <w:t>kss</w:t>
      </w:r>
      <w:proofErr w:type="spellEnd"/>
      <w:r w:rsidRPr="009E00D2">
        <w:rPr>
          <w:rFonts w:ascii="Garamond" w:hAnsi="Garamond"/>
          <w:sz w:val="24"/>
          <w:szCs w:val="24"/>
          <w:lang w:val="en-GB"/>
        </w:rPr>
        <w:t xml:space="preserve">, estimated as in Yang and Zhao (2020). The asymptotic critical values are calculated with significance at the </w:t>
      </w:r>
      <w:r w:rsidRPr="009E00D2">
        <w:rPr>
          <w:rFonts w:ascii="Garamond" w:hAnsi="Garamond"/>
          <w:sz w:val="24"/>
          <w:szCs w:val="24"/>
          <w:lang w:val="en-GB"/>
        </w:rPr>
        <w:lastRenderedPageBreak/>
        <w:t xml:space="preserve">1%, 5% and 10% levels. The null hypothesis of the presence of a unit root is rejected if the </w:t>
      </w:r>
      <w:proofErr w:type="gramStart"/>
      <w:r w:rsidRPr="009E00D2">
        <w:rPr>
          <w:rFonts w:ascii="Garamond" w:hAnsi="Garamond"/>
          <w:sz w:val="24"/>
          <w:szCs w:val="24"/>
          <w:lang w:val="en-GB"/>
        </w:rPr>
        <w:t>calculated  test</w:t>
      </w:r>
      <w:proofErr w:type="gramEnd"/>
      <w:r w:rsidRPr="009E00D2">
        <w:rPr>
          <w:rFonts w:ascii="Garamond" w:hAnsi="Garamond"/>
          <w:sz w:val="24"/>
          <w:szCs w:val="24"/>
          <w:lang w:val="en-GB"/>
        </w:rPr>
        <w:t xml:space="preserve"> statistic is lower in value than calculated </w:t>
      </w:r>
      <w:r w:rsidR="0031712F">
        <w:rPr>
          <w:rFonts w:ascii="Garamond" w:hAnsi="Garamond"/>
          <w:sz w:val="24"/>
          <w:szCs w:val="24"/>
          <w:lang w:val="en-GB"/>
        </w:rPr>
        <w:t xml:space="preserve">asymptotic </w:t>
      </w:r>
      <w:r w:rsidRPr="009E00D2">
        <w:rPr>
          <w:rFonts w:ascii="Garamond" w:hAnsi="Garamond"/>
          <w:sz w:val="24"/>
          <w:szCs w:val="24"/>
          <w:lang w:val="en-GB"/>
        </w:rPr>
        <w:t>critical values at the 1%</w:t>
      </w:r>
      <w:r w:rsidR="003A16EB">
        <w:rPr>
          <w:rFonts w:ascii="Garamond" w:hAnsi="Garamond"/>
          <w:sz w:val="24"/>
          <w:szCs w:val="24"/>
          <w:lang w:val="en-GB"/>
        </w:rPr>
        <w:t xml:space="preserve"> (***)</w:t>
      </w:r>
      <w:r w:rsidRPr="009E00D2">
        <w:rPr>
          <w:rFonts w:ascii="Garamond" w:hAnsi="Garamond"/>
          <w:sz w:val="24"/>
          <w:szCs w:val="24"/>
          <w:lang w:val="en-GB"/>
        </w:rPr>
        <w:t>, 5%</w:t>
      </w:r>
      <w:r w:rsidR="003A16EB">
        <w:rPr>
          <w:rFonts w:ascii="Garamond" w:hAnsi="Garamond"/>
          <w:sz w:val="24"/>
          <w:szCs w:val="24"/>
          <w:lang w:val="en-GB"/>
        </w:rPr>
        <w:t>(**)</w:t>
      </w:r>
      <w:r w:rsidRPr="009E00D2">
        <w:rPr>
          <w:rFonts w:ascii="Garamond" w:hAnsi="Garamond"/>
          <w:sz w:val="24"/>
          <w:szCs w:val="24"/>
          <w:lang w:val="en-GB"/>
        </w:rPr>
        <w:t xml:space="preserve"> and 10%</w:t>
      </w:r>
      <w:r w:rsidR="003A16EB">
        <w:rPr>
          <w:rFonts w:ascii="Garamond" w:hAnsi="Garamond"/>
          <w:sz w:val="24"/>
          <w:szCs w:val="24"/>
          <w:lang w:val="en-GB"/>
        </w:rPr>
        <w:t xml:space="preserve"> (*)</w:t>
      </w:r>
      <w:r w:rsidRPr="009E00D2">
        <w:rPr>
          <w:rFonts w:ascii="Garamond" w:hAnsi="Garamond"/>
          <w:sz w:val="24"/>
          <w:szCs w:val="24"/>
          <w:lang w:val="en-GB"/>
        </w:rPr>
        <w:t xml:space="preserve"> levels of significance.</w:t>
      </w:r>
      <w:r w:rsidR="004E33B3">
        <w:rPr>
          <w:rFonts w:ascii="Garamond" w:hAnsi="Garamond"/>
          <w:sz w:val="24"/>
          <w:szCs w:val="24"/>
          <w:lang w:val="en-GB"/>
        </w:rPr>
        <w:t xml:space="preserve"> Statistically significant values of </w:t>
      </w:r>
      <w:proofErr w:type="spellStart"/>
      <w:r w:rsidR="004E33B3" w:rsidRPr="004E33B3">
        <w:rPr>
          <w:rFonts w:ascii="Garamond" w:eastAsia="Times New Roman" w:hAnsi="Garamond" w:cs="Calibri"/>
          <w:i/>
          <w:iCs/>
          <w:color w:val="000000"/>
          <w:lang w:val="en-GB" w:eastAsia="en-GB"/>
        </w:rPr>
        <w:t>YZt</w:t>
      </w:r>
      <w:r w:rsidR="004E33B3" w:rsidRPr="004E33B3">
        <w:rPr>
          <w:rFonts w:ascii="Garamond" w:eastAsia="Times New Roman" w:hAnsi="Garamond" w:cs="Calibri"/>
          <w:i/>
          <w:iCs/>
          <w:color w:val="000000"/>
          <w:vertAlign w:val="subscript"/>
          <w:lang w:val="en-GB" w:eastAsia="en-GB"/>
        </w:rPr>
        <w:t>ks</w:t>
      </w:r>
      <w:proofErr w:type="spellEnd"/>
      <w:r w:rsidR="004E33B3" w:rsidRPr="004E33B3">
        <w:rPr>
          <w:rFonts w:ascii="Garamond" w:hAnsi="Garamond"/>
          <w:sz w:val="24"/>
          <w:szCs w:val="24"/>
          <w:lang w:val="en-GB"/>
        </w:rPr>
        <w:t xml:space="preserve"> </w:t>
      </w:r>
      <w:r w:rsidR="004E33B3">
        <w:rPr>
          <w:rFonts w:ascii="Garamond" w:hAnsi="Garamond"/>
          <w:sz w:val="24"/>
          <w:szCs w:val="24"/>
          <w:lang w:val="en-GB"/>
        </w:rPr>
        <w:t xml:space="preserve">are highlighted in bold, while the respective </w:t>
      </w:r>
      <w:r w:rsidR="004E33B3" w:rsidRPr="004E33B3">
        <w:rPr>
          <w:rFonts w:ascii="Garamond" w:hAnsi="Garamond"/>
          <w:sz w:val="24"/>
          <w:szCs w:val="24"/>
          <w:lang w:val="en-GB"/>
        </w:rPr>
        <w:t xml:space="preserve">asymptotic </w:t>
      </w:r>
      <w:r w:rsidR="004E33B3">
        <w:rPr>
          <w:rFonts w:ascii="Garamond" w:hAnsi="Garamond"/>
          <w:sz w:val="24"/>
          <w:szCs w:val="24"/>
          <w:lang w:val="en-GB"/>
        </w:rPr>
        <w:t xml:space="preserve">critical values that indicate a significance level are underlined. </w:t>
      </w:r>
    </w:p>
    <w:p w14:paraId="1D256AE9" w14:textId="77777777" w:rsidR="00CB6B3B" w:rsidRPr="009E00D2" w:rsidRDefault="00CB6B3B" w:rsidP="00E546B1">
      <w:pPr>
        <w:pStyle w:val="NoSpacing"/>
        <w:spacing w:line="276" w:lineRule="auto"/>
        <w:jc w:val="both"/>
        <w:rPr>
          <w:rFonts w:ascii="Garamond" w:hAnsi="Garamond"/>
          <w:sz w:val="24"/>
          <w:szCs w:val="24"/>
          <w:lang w:val="en-GB"/>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32"/>
        <w:gridCol w:w="1324"/>
        <w:gridCol w:w="849"/>
        <w:gridCol w:w="852"/>
        <w:gridCol w:w="939"/>
        <w:gridCol w:w="1325"/>
        <w:gridCol w:w="850"/>
        <w:gridCol w:w="939"/>
        <w:gridCol w:w="850"/>
      </w:tblGrid>
      <w:tr w:rsidR="002E554D" w:rsidRPr="002E554D" w14:paraId="68D9CDC1" w14:textId="77777777" w:rsidTr="00CB6B3B">
        <w:trPr>
          <w:trHeight w:val="300"/>
          <w:jc w:val="center"/>
        </w:trPr>
        <w:tc>
          <w:tcPr>
            <w:tcW w:w="625" w:type="pct"/>
            <w:vMerge w:val="restart"/>
            <w:tcBorders>
              <w:left w:val="single" w:sz="4" w:space="0" w:color="auto"/>
              <w:right w:val="single" w:sz="4" w:space="0" w:color="auto"/>
            </w:tcBorders>
            <w:shd w:val="clear" w:color="auto" w:fill="auto"/>
            <w:noWrap/>
            <w:vAlign w:val="center"/>
          </w:tcPr>
          <w:p w14:paraId="52FABACC" w14:textId="77777777" w:rsidR="00E57EF0" w:rsidRPr="002E554D" w:rsidRDefault="00E57EF0" w:rsidP="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Quantiles</w:t>
            </w:r>
          </w:p>
        </w:tc>
        <w:tc>
          <w:tcPr>
            <w:tcW w:w="731" w:type="pct"/>
            <w:vMerge w:val="restart"/>
            <w:tcBorders>
              <w:left w:val="single" w:sz="4" w:space="0" w:color="auto"/>
              <w:right w:val="single" w:sz="4" w:space="0" w:color="auto"/>
            </w:tcBorders>
            <w:shd w:val="clear" w:color="auto" w:fill="auto"/>
            <w:noWrap/>
            <w:vAlign w:val="center"/>
          </w:tcPr>
          <w:p w14:paraId="77DD06DD" w14:textId="6808A7E6" w:rsidR="00E57EF0" w:rsidRPr="002E554D" w:rsidRDefault="00E546B1" w:rsidP="00E57EF0">
            <w:pPr>
              <w:spacing w:after="0" w:line="240" w:lineRule="auto"/>
              <w:jc w:val="center"/>
              <w:rPr>
                <w:rFonts w:ascii="Garamond" w:eastAsia="Times New Roman" w:hAnsi="Garamond" w:cs="Calibri"/>
                <w:b/>
                <w:bCs/>
                <w:i/>
                <w:iCs/>
                <w:color w:val="FF0000"/>
                <w:lang w:val="en-GB" w:eastAsia="en-GB"/>
              </w:rPr>
            </w:pPr>
            <w:proofErr w:type="spellStart"/>
            <w:r w:rsidRPr="002E554D">
              <w:rPr>
                <w:rFonts w:ascii="Garamond" w:eastAsia="Times New Roman" w:hAnsi="Garamond" w:cs="Calibri"/>
                <w:b/>
                <w:bCs/>
                <w:i/>
                <w:iCs/>
                <w:color w:val="FF0000"/>
                <w:lang w:val="en-GB" w:eastAsia="en-GB"/>
              </w:rPr>
              <w:t>YZ</w:t>
            </w:r>
            <w:r w:rsidR="00E57EF0" w:rsidRPr="002E554D">
              <w:rPr>
                <w:rFonts w:ascii="Garamond" w:eastAsia="Times New Roman" w:hAnsi="Garamond" w:cs="Calibri"/>
                <w:b/>
                <w:bCs/>
                <w:i/>
                <w:iCs/>
                <w:color w:val="FF0000"/>
                <w:lang w:val="en-GB" w:eastAsia="en-GB"/>
              </w:rPr>
              <w:t>t</w:t>
            </w:r>
            <w:r w:rsidR="00E57EF0" w:rsidRPr="002E554D">
              <w:rPr>
                <w:rFonts w:ascii="Garamond" w:eastAsia="Times New Roman" w:hAnsi="Garamond" w:cs="Calibri"/>
                <w:b/>
                <w:bCs/>
                <w:i/>
                <w:iCs/>
                <w:color w:val="FF0000"/>
                <w:vertAlign w:val="subscript"/>
                <w:lang w:val="en-GB" w:eastAsia="en-GB"/>
              </w:rPr>
              <w:t>ks</w:t>
            </w:r>
            <w:proofErr w:type="spellEnd"/>
          </w:p>
        </w:tc>
        <w:tc>
          <w:tcPr>
            <w:tcW w:w="1457" w:type="pct"/>
            <w:gridSpan w:val="3"/>
            <w:tcBorders>
              <w:left w:val="single" w:sz="4" w:space="0" w:color="auto"/>
              <w:right w:val="single" w:sz="4" w:space="0" w:color="auto"/>
            </w:tcBorders>
            <w:shd w:val="clear" w:color="auto" w:fill="auto"/>
            <w:noWrap/>
            <w:vAlign w:val="center"/>
          </w:tcPr>
          <w:p w14:paraId="755D358E" w14:textId="77777777" w:rsidR="00E57EF0" w:rsidRPr="002E554D" w:rsidRDefault="00E57EF0" w:rsidP="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asymptotic critical values</w:t>
            </w:r>
          </w:p>
        </w:tc>
        <w:tc>
          <w:tcPr>
            <w:tcW w:w="731" w:type="pct"/>
            <w:vMerge w:val="restart"/>
            <w:tcBorders>
              <w:left w:val="single" w:sz="4" w:space="0" w:color="auto"/>
              <w:right w:val="single" w:sz="4" w:space="0" w:color="auto"/>
            </w:tcBorders>
            <w:shd w:val="clear" w:color="auto" w:fill="auto"/>
            <w:noWrap/>
            <w:vAlign w:val="center"/>
          </w:tcPr>
          <w:p w14:paraId="13DC90BC" w14:textId="2E5F89BC" w:rsidR="00E57EF0" w:rsidRPr="002E554D" w:rsidRDefault="00E546B1" w:rsidP="00E57EF0">
            <w:pPr>
              <w:spacing w:after="0" w:line="240" w:lineRule="auto"/>
              <w:jc w:val="center"/>
              <w:rPr>
                <w:rFonts w:ascii="Garamond" w:eastAsia="Times New Roman" w:hAnsi="Garamond" w:cs="Calibri"/>
                <w:b/>
                <w:bCs/>
                <w:i/>
                <w:iCs/>
                <w:color w:val="FF0000"/>
                <w:lang w:val="en-GB" w:eastAsia="en-GB"/>
              </w:rPr>
            </w:pPr>
            <w:proofErr w:type="spellStart"/>
            <w:r w:rsidRPr="002E554D">
              <w:rPr>
                <w:rFonts w:ascii="Garamond" w:eastAsia="Times New Roman" w:hAnsi="Garamond" w:cs="Calibri"/>
                <w:b/>
                <w:bCs/>
                <w:i/>
                <w:iCs/>
                <w:color w:val="FF0000"/>
                <w:lang w:val="en-GB" w:eastAsia="en-GB"/>
              </w:rPr>
              <w:t>YZ</w:t>
            </w:r>
            <w:r w:rsidR="00E57EF0" w:rsidRPr="002E554D">
              <w:rPr>
                <w:rFonts w:ascii="Garamond" w:eastAsia="Times New Roman" w:hAnsi="Garamond" w:cs="Calibri"/>
                <w:b/>
                <w:bCs/>
                <w:i/>
                <w:iCs/>
                <w:color w:val="FF0000"/>
                <w:lang w:val="en-GB" w:eastAsia="en-GB"/>
              </w:rPr>
              <w:t>t</w:t>
            </w:r>
            <w:r w:rsidR="00E57EF0" w:rsidRPr="002E554D">
              <w:rPr>
                <w:rFonts w:ascii="Garamond" w:eastAsia="Times New Roman" w:hAnsi="Garamond" w:cs="Calibri"/>
                <w:b/>
                <w:bCs/>
                <w:i/>
                <w:iCs/>
                <w:color w:val="FF0000"/>
                <w:vertAlign w:val="subscript"/>
                <w:lang w:val="en-GB" w:eastAsia="en-GB"/>
              </w:rPr>
              <w:t>ks</w:t>
            </w:r>
            <w:proofErr w:type="spellEnd"/>
          </w:p>
        </w:tc>
        <w:tc>
          <w:tcPr>
            <w:tcW w:w="1456" w:type="pct"/>
            <w:gridSpan w:val="3"/>
            <w:tcBorders>
              <w:left w:val="single" w:sz="4" w:space="0" w:color="auto"/>
              <w:right w:val="single" w:sz="4" w:space="0" w:color="auto"/>
            </w:tcBorders>
            <w:shd w:val="clear" w:color="auto" w:fill="auto"/>
            <w:noWrap/>
            <w:vAlign w:val="center"/>
          </w:tcPr>
          <w:p w14:paraId="0FA9316D" w14:textId="77777777" w:rsidR="00E57EF0" w:rsidRPr="002E554D" w:rsidRDefault="00E57EF0" w:rsidP="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asymptotic critical values</w:t>
            </w:r>
          </w:p>
        </w:tc>
      </w:tr>
      <w:tr w:rsidR="002E554D" w:rsidRPr="002E554D" w14:paraId="553489F2" w14:textId="77777777" w:rsidTr="00CB6B3B">
        <w:trPr>
          <w:trHeight w:val="300"/>
          <w:jc w:val="center"/>
        </w:trPr>
        <w:tc>
          <w:tcPr>
            <w:tcW w:w="625" w:type="pct"/>
            <w:vMerge/>
            <w:tcBorders>
              <w:left w:val="single" w:sz="4" w:space="0" w:color="auto"/>
              <w:right w:val="single" w:sz="4" w:space="0" w:color="auto"/>
            </w:tcBorders>
            <w:shd w:val="clear" w:color="auto" w:fill="auto"/>
            <w:noWrap/>
            <w:vAlign w:val="bottom"/>
            <w:hideMark/>
          </w:tcPr>
          <w:p w14:paraId="06B756EF" w14:textId="77777777" w:rsidR="00E57EF0" w:rsidRPr="002E554D" w:rsidRDefault="00E57EF0" w:rsidP="00E57EF0">
            <w:pPr>
              <w:spacing w:after="0" w:line="240" w:lineRule="auto"/>
              <w:rPr>
                <w:rFonts w:ascii="Garamond" w:eastAsia="Times New Roman" w:hAnsi="Garamond" w:cs="Calibri"/>
                <w:color w:val="FF0000"/>
                <w:lang w:val="en-GB" w:eastAsia="en-GB"/>
              </w:rPr>
            </w:pPr>
          </w:p>
        </w:tc>
        <w:tc>
          <w:tcPr>
            <w:tcW w:w="731" w:type="pct"/>
            <w:vMerge/>
            <w:tcBorders>
              <w:left w:val="single" w:sz="4" w:space="0" w:color="auto"/>
              <w:right w:val="single" w:sz="4" w:space="0" w:color="auto"/>
            </w:tcBorders>
            <w:shd w:val="clear" w:color="auto" w:fill="auto"/>
            <w:noWrap/>
            <w:vAlign w:val="center"/>
            <w:hideMark/>
          </w:tcPr>
          <w:p w14:paraId="428EBEEE" w14:textId="77777777" w:rsidR="00E57EF0" w:rsidRPr="002E554D" w:rsidRDefault="00E57EF0" w:rsidP="00E57EF0">
            <w:pPr>
              <w:spacing w:after="0" w:line="240" w:lineRule="auto"/>
              <w:jc w:val="center"/>
              <w:rPr>
                <w:rFonts w:ascii="Garamond" w:eastAsia="Times New Roman" w:hAnsi="Garamond" w:cs="Calibri"/>
                <w:b/>
                <w:bCs/>
                <w:i/>
                <w:iCs/>
                <w:color w:val="FF0000"/>
                <w:lang w:val="en-GB" w:eastAsia="en-GB"/>
              </w:rPr>
            </w:pPr>
          </w:p>
        </w:tc>
        <w:tc>
          <w:tcPr>
            <w:tcW w:w="469" w:type="pct"/>
            <w:tcBorders>
              <w:left w:val="single" w:sz="4" w:space="0" w:color="auto"/>
            </w:tcBorders>
            <w:shd w:val="clear" w:color="auto" w:fill="auto"/>
            <w:noWrap/>
            <w:vAlign w:val="center"/>
            <w:hideMark/>
          </w:tcPr>
          <w:p w14:paraId="793F7B76" w14:textId="77777777" w:rsidR="00E57EF0" w:rsidRPr="002E554D" w:rsidRDefault="00E57EF0" w:rsidP="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w:t>
            </w:r>
          </w:p>
        </w:tc>
        <w:tc>
          <w:tcPr>
            <w:tcW w:w="470" w:type="pct"/>
            <w:shd w:val="clear" w:color="auto" w:fill="auto"/>
            <w:noWrap/>
            <w:vAlign w:val="center"/>
            <w:hideMark/>
          </w:tcPr>
          <w:p w14:paraId="13705741" w14:textId="77777777" w:rsidR="00E57EF0" w:rsidRPr="002E554D" w:rsidRDefault="00E57EF0" w:rsidP="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5%</w:t>
            </w:r>
          </w:p>
        </w:tc>
        <w:tc>
          <w:tcPr>
            <w:tcW w:w="518" w:type="pct"/>
            <w:tcBorders>
              <w:right w:val="single" w:sz="4" w:space="0" w:color="auto"/>
            </w:tcBorders>
            <w:shd w:val="clear" w:color="auto" w:fill="auto"/>
            <w:noWrap/>
            <w:vAlign w:val="center"/>
            <w:hideMark/>
          </w:tcPr>
          <w:p w14:paraId="57D015FA" w14:textId="77777777" w:rsidR="00E57EF0" w:rsidRPr="002E554D" w:rsidRDefault="00E57EF0" w:rsidP="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10%</w:t>
            </w:r>
          </w:p>
        </w:tc>
        <w:tc>
          <w:tcPr>
            <w:tcW w:w="731" w:type="pct"/>
            <w:vMerge/>
            <w:tcBorders>
              <w:left w:val="single" w:sz="4" w:space="0" w:color="auto"/>
              <w:right w:val="single" w:sz="4" w:space="0" w:color="auto"/>
            </w:tcBorders>
            <w:shd w:val="clear" w:color="auto" w:fill="auto"/>
            <w:noWrap/>
            <w:vAlign w:val="center"/>
            <w:hideMark/>
          </w:tcPr>
          <w:p w14:paraId="64E80EF4" w14:textId="77777777" w:rsidR="00E57EF0" w:rsidRPr="002E554D" w:rsidRDefault="00E57EF0" w:rsidP="00E57EF0">
            <w:pPr>
              <w:spacing w:after="0" w:line="240" w:lineRule="auto"/>
              <w:jc w:val="center"/>
              <w:rPr>
                <w:rFonts w:ascii="Garamond" w:eastAsia="Times New Roman" w:hAnsi="Garamond" w:cs="Calibri"/>
                <w:b/>
                <w:bCs/>
                <w:color w:val="FF0000"/>
                <w:lang w:val="en-GB" w:eastAsia="en-GB"/>
              </w:rPr>
            </w:pPr>
          </w:p>
        </w:tc>
        <w:tc>
          <w:tcPr>
            <w:tcW w:w="469" w:type="pct"/>
            <w:tcBorders>
              <w:left w:val="single" w:sz="4" w:space="0" w:color="auto"/>
            </w:tcBorders>
            <w:shd w:val="clear" w:color="auto" w:fill="auto"/>
            <w:noWrap/>
            <w:vAlign w:val="center"/>
            <w:hideMark/>
          </w:tcPr>
          <w:p w14:paraId="35929F80" w14:textId="77777777" w:rsidR="00E57EF0" w:rsidRPr="002E554D" w:rsidRDefault="00E57EF0" w:rsidP="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w:t>
            </w:r>
          </w:p>
        </w:tc>
        <w:tc>
          <w:tcPr>
            <w:tcW w:w="518" w:type="pct"/>
            <w:shd w:val="clear" w:color="auto" w:fill="auto"/>
            <w:noWrap/>
            <w:vAlign w:val="center"/>
            <w:hideMark/>
          </w:tcPr>
          <w:p w14:paraId="54FDCAD0" w14:textId="77777777" w:rsidR="00E57EF0" w:rsidRPr="002E554D" w:rsidRDefault="00E57EF0" w:rsidP="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5%</w:t>
            </w:r>
          </w:p>
        </w:tc>
        <w:tc>
          <w:tcPr>
            <w:tcW w:w="469" w:type="pct"/>
            <w:tcBorders>
              <w:right w:val="single" w:sz="4" w:space="0" w:color="auto"/>
            </w:tcBorders>
            <w:shd w:val="clear" w:color="auto" w:fill="auto"/>
            <w:noWrap/>
            <w:vAlign w:val="center"/>
            <w:hideMark/>
          </w:tcPr>
          <w:p w14:paraId="275A7B2F" w14:textId="77777777" w:rsidR="00E57EF0" w:rsidRPr="002E554D" w:rsidRDefault="00E57EF0" w:rsidP="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10%</w:t>
            </w:r>
          </w:p>
        </w:tc>
      </w:tr>
      <w:tr w:rsidR="002E554D" w:rsidRPr="002E554D" w14:paraId="487452A9" w14:textId="77777777" w:rsidTr="00CB6B3B">
        <w:trPr>
          <w:trHeight w:val="300"/>
          <w:jc w:val="center"/>
        </w:trPr>
        <w:tc>
          <w:tcPr>
            <w:tcW w:w="625" w:type="pct"/>
            <w:vMerge/>
            <w:tcBorders>
              <w:left w:val="single" w:sz="4" w:space="0" w:color="auto"/>
              <w:right w:val="single" w:sz="4" w:space="0" w:color="auto"/>
            </w:tcBorders>
            <w:shd w:val="clear" w:color="auto" w:fill="auto"/>
            <w:noWrap/>
            <w:vAlign w:val="bottom"/>
          </w:tcPr>
          <w:p w14:paraId="5B9CFAE1" w14:textId="77777777" w:rsidR="00E57EF0" w:rsidRPr="002E554D" w:rsidRDefault="00E57EF0" w:rsidP="00E57EF0">
            <w:pPr>
              <w:spacing w:after="0" w:line="240" w:lineRule="auto"/>
              <w:rPr>
                <w:rFonts w:ascii="Garamond" w:eastAsia="Times New Roman" w:hAnsi="Garamond" w:cs="Calibri"/>
                <w:color w:val="FF0000"/>
                <w:lang w:val="en-GB" w:eastAsia="en-GB"/>
              </w:rPr>
            </w:pPr>
          </w:p>
        </w:tc>
        <w:tc>
          <w:tcPr>
            <w:tcW w:w="2188" w:type="pct"/>
            <w:gridSpan w:val="4"/>
            <w:tcBorders>
              <w:left w:val="single" w:sz="4" w:space="0" w:color="auto"/>
              <w:right w:val="single" w:sz="4" w:space="0" w:color="auto"/>
            </w:tcBorders>
            <w:shd w:val="clear" w:color="auto" w:fill="auto"/>
            <w:noWrap/>
            <w:vAlign w:val="center"/>
          </w:tcPr>
          <w:p w14:paraId="30516E25" w14:textId="122C42EE" w:rsidR="00E57EF0" w:rsidRPr="002E554D" w:rsidRDefault="00E57EF0" w:rsidP="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S&amp;P500</w:t>
            </w:r>
          </w:p>
        </w:tc>
        <w:tc>
          <w:tcPr>
            <w:tcW w:w="2188" w:type="pct"/>
            <w:gridSpan w:val="4"/>
            <w:tcBorders>
              <w:left w:val="single" w:sz="4" w:space="0" w:color="auto"/>
              <w:right w:val="single" w:sz="4" w:space="0" w:color="auto"/>
            </w:tcBorders>
            <w:shd w:val="clear" w:color="auto" w:fill="auto"/>
            <w:noWrap/>
            <w:vAlign w:val="center"/>
          </w:tcPr>
          <w:p w14:paraId="3EFB4434" w14:textId="6B9888E7" w:rsidR="00E57EF0" w:rsidRPr="002E554D" w:rsidRDefault="00E57EF0" w:rsidP="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DAX30</w:t>
            </w:r>
          </w:p>
        </w:tc>
      </w:tr>
      <w:tr w:rsidR="002E554D" w:rsidRPr="002E554D" w14:paraId="594D4103" w14:textId="77777777" w:rsidTr="00CB6B3B">
        <w:trPr>
          <w:trHeight w:val="300"/>
          <w:jc w:val="center"/>
        </w:trPr>
        <w:tc>
          <w:tcPr>
            <w:tcW w:w="625" w:type="pct"/>
            <w:tcBorders>
              <w:left w:val="single" w:sz="4" w:space="0" w:color="auto"/>
              <w:right w:val="single" w:sz="4" w:space="0" w:color="auto"/>
            </w:tcBorders>
            <w:shd w:val="clear" w:color="auto" w:fill="auto"/>
            <w:noWrap/>
            <w:vAlign w:val="bottom"/>
            <w:hideMark/>
          </w:tcPr>
          <w:p w14:paraId="3193FA15" w14:textId="7777777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31" w:type="pct"/>
            <w:tcBorders>
              <w:left w:val="single" w:sz="4" w:space="0" w:color="auto"/>
              <w:right w:val="single" w:sz="4" w:space="0" w:color="auto"/>
            </w:tcBorders>
            <w:shd w:val="clear" w:color="auto" w:fill="auto"/>
            <w:noWrap/>
          </w:tcPr>
          <w:p w14:paraId="14EDC58F" w14:textId="7F6CE41F"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0.154</w:t>
            </w:r>
          </w:p>
        </w:tc>
        <w:tc>
          <w:tcPr>
            <w:tcW w:w="469" w:type="pct"/>
            <w:tcBorders>
              <w:left w:val="single" w:sz="4" w:space="0" w:color="auto"/>
            </w:tcBorders>
            <w:shd w:val="clear" w:color="auto" w:fill="auto"/>
            <w:noWrap/>
          </w:tcPr>
          <w:p w14:paraId="00C0AED5" w14:textId="1D6B09E0"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-2.604</w:t>
            </w:r>
          </w:p>
        </w:tc>
        <w:tc>
          <w:tcPr>
            <w:tcW w:w="470" w:type="pct"/>
            <w:shd w:val="clear" w:color="auto" w:fill="auto"/>
            <w:noWrap/>
          </w:tcPr>
          <w:p w14:paraId="7AFFD779" w14:textId="2F83D934"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-1.929</w:t>
            </w:r>
          </w:p>
        </w:tc>
        <w:tc>
          <w:tcPr>
            <w:tcW w:w="518" w:type="pct"/>
            <w:tcBorders>
              <w:right w:val="single" w:sz="4" w:space="0" w:color="auto"/>
            </w:tcBorders>
            <w:shd w:val="clear" w:color="auto" w:fill="auto"/>
            <w:noWrap/>
          </w:tcPr>
          <w:p w14:paraId="43FA42B5" w14:textId="0D873A72"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-1.569</w:t>
            </w:r>
          </w:p>
        </w:tc>
        <w:tc>
          <w:tcPr>
            <w:tcW w:w="731" w:type="pct"/>
            <w:tcBorders>
              <w:left w:val="single" w:sz="4" w:space="0" w:color="auto"/>
              <w:right w:val="single" w:sz="4" w:space="0" w:color="auto"/>
            </w:tcBorders>
            <w:shd w:val="clear" w:color="auto" w:fill="auto"/>
            <w:noWrap/>
          </w:tcPr>
          <w:p w14:paraId="72DDE19B" w14:textId="2D118D55"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3.873</w:t>
            </w:r>
          </w:p>
        </w:tc>
        <w:tc>
          <w:tcPr>
            <w:tcW w:w="469" w:type="pct"/>
            <w:tcBorders>
              <w:left w:val="single" w:sz="4" w:space="0" w:color="auto"/>
            </w:tcBorders>
            <w:shd w:val="clear" w:color="auto" w:fill="auto"/>
            <w:noWrap/>
          </w:tcPr>
          <w:p w14:paraId="4524FEEE" w14:textId="49792473"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-2.804</w:t>
            </w:r>
          </w:p>
        </w:tc>
        <w:tc>
          <w:tcPr>
            <w:tcW w:w="518" w:type="pct"/>
            <w:shd w:val="clear" w:color="auto" w:fill="auto"/>
            <w:noWrap/>
          </w:tcPr>
          <w:p w14:paraId="3754C19C" w14:textId="6654B5EA"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-2.133</w:t>
            </w:r>
          </w:p>
        </w:tc>
        <w:tc>
          <w:tcPr>
            <w:tcW w:w="469" w:type="pct"/>
            <w:tcBorders>
              <w:right w:val="single" w:sz="4" w:space="0" w:color="auto"/>
            </w:tcBorders>
            <w:shd w:val="clear" w:color="auto" w:fill="auto"/>
            <w:noWrap/>
          </w:tcPr>
          <w:p w14:paraId="49944CA5" w14:textId="0A203FB5"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-1.773</w:t>
            </w:r>
          </w:p>
        </w:tc>
      </w:tr>
      <w:tr w:rsidR="002E554D" w:rsidRPr="002E554D" w14:paraId="5088B348" w14:textId="77777777" w:rsidTr="00CB6B3B">
        <w:trPr>
          <w:trHeight w:val="300"/>
          <w:jc w:val="center"/>
        </w:trPr>
        <w:tc>
          <w:tcPr>
            <w:tcW w:w="625" w:type="pct"/>
            <w:tcBorders>
              <w:left w:val="single" w:sz="4" w:space="0" w:color="auto"/>
              <w:right w:val="single" w:sz="4" w:space="0" w:color="auto"/>
            </w:tcBorders>
            <w:shd w:val="clear" w:color="auto" w:fill="auto"/>
            <w:noWrap/>
            <w:vAlign w:val="bottom"/>
            <w:hideMark/>
          </w:tcPr>
          <w:p w14:paraId="03C3FF96" w14:textId="7777777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31" w:type="pct"/>
            <w:tcBorders>
              <w:left w:val="single" w:sz="4" w:space="0" w:color="auto"/>
              <w:right w:val="single" w:sz="4" w:space="0" w:color="auto"/>
            </w:tcBorders>
            <w:shd w:val="clear" w:color="auto" w:fill="auto"/>
            <w:noWrap/>
          </w:tcPr>
          <w:p w14:paraId="1130DBC3" w14:textId="1E780E6E"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0.076</w:t>
            </w:r>
          </w:p>
        </w:tc>
        <w:tc>
          <w:tcPr>
            <w:tcW w:w="469" w:type="pct"/>
            <w:tcBorders>
              <w:left w:val="single" w:sz="4" w:space="0" w:color="auto"/>
            </w:tcBorders>
            <w:shd w:val="clear" w:color="auto" w:fill="auto"/>
            <w:noWrap/>
          </w:tcPr>
          <w:p w14:paraId="1A6B7925" w14:textId="4C4A545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-2.991</w:t>
            </w:r>
          </w:p>
        </w:tc>
        <w:tc>
          <w:tcPr>
            <w:tcW w:w="470" w:type="pct"/>
            <w:shd w:val="clear" w:color="auto" w:fill="auto"/>
            <w:noWrap/>
          </w:tcPr>
          <w:p w14:paraId="281347DA" w14:textId="3CD3DAE1"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-2.341</w:t>
            </w:r>
          </w:p>
        </w:tc>
        <w:tc>
          <w:tcPr>
            <w:tcW w:w="518" w:type="pct"/>
            <w:tcBorders>
              <w:right w:val="single" w:sz="4" w:space="0" w:color="auto"/>
            </w:tcBorders>
            <w:shd w:val="clear" w:color="auto" w:fill="auto"/>
            <w:noWrap/>
          </w:tcPr>
          <w:p w14:paraId="06B82DA5" w14:textId="368B030A"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-1.991</w:t>
            </w:r>
          </w:p>
        </w:tc>
        <w:tc>
          <w:tcPr>
            <w:tcW w:w="731" w:type="pct"/>
            <w:tcBorders>
              <w:left w:val="single" w:sz="4" w:space="0" w:color="auto"/>
              <w:right w:val="single" w:sz="4" w:space="0" w:color="auto"/>
            </w:tcBorders>
            <w:shd w:val="clear" w:color="auto" w:fill="auto"/>
            <w:noWrap/>
          </w:tcPr>
          <w:p w14:paraId="62BBD64D" w14:textId="266E7331"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3.033</w:t>
            </w:r>
          </w:p>
        </w:tc>
        <w:tc>
          <w:tcPr>
            <w:tcW w:w="469" w:type="pct"/>
            <w:tcBorders>
              <w:left w:val="single" w:sz="4" w:space="0" w:color="auto"/>
            </w:tcBorders>
            <w:shd w:val="clear" w:color="auto" w:fill="auto"/>
            <w:noWrap/>
          </w:tcPr>
          <w:p w14:paraId="5B192D20" w14:textId="723021FA"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-3.045</w:t>
            </w:r>
          </w:p>
        </w:tc>
        <w:tc>
          <w:tcPr>
            <w:tcW w:w="518" w:type="pct"/>
            <w:shd w:val="clear" w:color="auto" w:fill="auto"/>
            <w:noWrap/>
          </w:tcPr>
          <w:p w14:paraId="6FE506B4" w14:textId="4653FD09"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-2.391</w:t>
            </w:r>
          </w:p>
        </w:tc>
        <w:tc>
          <w:tcPr>
            <w:tcW w:w="469" w:type="pct"/>
            <w:tcBorders>
              <w:right w:val="single" w:sz="4" w:space="0" w:color="auto"/>
            </w:tcBorders>
            <w:shd w:val="clear" w:color="auto" w:fill="auto"/>
            <w:noWrap/>
          </w:tcPr>
          <w:p w14:paraId="403F1EAD" w14:textId="05A065B4"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-2.045</w:t>
            </w:r>
          </w:p>
        </w:tc>
      </w:tr>
      <w:tr w:rsidR="002E554D" w:rsidRPr="002E554D" w14:paraId="72C6A76F" w14:textId="77777777" w:rsidTr="00CB6B3B">
        <w:trPr>
          <w:trHeight w:val="300"/>
          <w:jc w:val="center"/>
        </w:trPr>
        <w:tc>
          <w:tcPr>
            <w:tcW w:w="625" w:type="pct"/>
            <w:tcBorders>
              <w:left w:val="single" w:sz="4" w:space="0" w:color="auto"/>
              <w:right w:val="single" w:sz="4" w:space="0" w:color="auto"/>
            </w:tcBorders>
            <w:shd w:val="clear" w:color="auto" w:fill="auto"/>
            <w:noWrap/>
            <w:vAlign w:val="bottom"/>
            <w:hideMark/>
          </w:tcPr>
          <w:p w14:paraId="2752A23B" w14:textId="7777777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31" w:type="pct"/>
            <w:tcBorders>
              <w:left w:val="single" w:sz="4" w:space="0" w:color="auto"/>
              <w:right w:val="single" w:sz="4" w:space="0" w:color="auto"/>
            </w:tcBorders>
            <w:shd w:val="clear" w:color="auto" w:fill="auto"/>
            <w:noWrap/>
          </w:tcPr>
          <w:p w14:paraId="28267971" w14:textId="412FABE8"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-0.307</w:t>
            </w:r>
          </w:p>
        </w:tc>
        <w:tc>
          <w:tcPr>
            <w:tcW w:w="469" w:type="pct"/>
            <w:tcBorders>
              <w:left w:val="single" w:sz="4" w:space="0" w:color="auto"/>
            </w:tcBorders>
            <w:shd w:val="clear" w:color="auto" w:fill="auto"/>
            <w:noWrap/>
          </w:tcPr>
          <w:p w14:paraId="670DACE1" w14:textId="00B4E8FE"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-3.187</w:t>
            </w:r>
          </w:p>
        </w:tc>
        <w:tc>
          <w:tcPr>
            <w:tcW w:w="470" w:type="pct"/>
            <w:shd w:val="clear" w:color="auto" w:fill="auto"/>
            <w:noWrap/>
          </w:tcPr>
          <w:p w14:paraId="12AE22DC" w14:textId="380A3704"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-2.548</w:t>
            </w:r>
          </w:p>
        </w:tc>
        <w:tc>
          <w:tcPr>
            <w:tcW w:w="518" w:type="pct"/>
            <w:tcBorders>
              <w:right w:val="single" w:sz="4" w:space="0" w:color="auto"/>
            </w:tcBorders>
            <w:shd w:val="clear" w:color="auto" w:fill="auto"/>
            <w:noWrap/>
          </w:tcPr>
          <w:p w14:paraId="3D7C13B6" w14:textId="7DFB4F76"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-2.208</w:t>
            </w:r>
          </w:p>
        </w:tc>
        <w:tc>
          <w:tcPr>
            <w:tcW w:w="731" w:type="pct"/>
            <w:tcBorders>
              <w:left w:val="single" w:sz="4" w:space="0" w:color="auto"/>
              <w:right w:val="single" w:sz="4" w:space="0" w:color="auto"/>
            </w:tcBorders>
            <w:shd w:val="clear" w:color="auto" w:fill="auto"/>
            <w:noWrap/>
          </w:tcPr>
          <w:p w14:paraId="5C0CF306" w14:textId="0D71B5E2"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0.826</w:t>
            </w:r>
          </w:p>
        </w:tc>
        <w:tc>
          <w:tcPr>
            <w:tcW w:w="469" w:type="pct"/>
            <w:tcBorders>
              <w:left w:val="single" w:sz="4" w:space="0" w:color="auto"/>
            </w:tcBorders>
            <w:shd w:val="clear" w:color="auto" w:fill="auto"/>
            <w:noWrap/>
          </w:tcPr>
          <w:p w14:paraId="77D41913" w14:textId="71563F9B"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-3.169</w:t>
            </w:r>
          </w:p>
        </w:tc>
        <w:tc>
          <w:tcPr>
            <w:tcW w:w="518" w:type="pct"/>
            <w:shd w:val="clear" w:color="auto" w:fill="auto"/>
            <w:noWrap/>
          </w:tcPr>
          <w:p w14:paraId="1ED2DD53" w14:textId="011D47FB"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-2.524</w:t>
            </w:r>
          </w:p>
        </w:tc>
        <w:tc>
          <w:tcPr>
            <w:tcW w:w="469" w:type="pct"/>
            <w:tcBorders>
              <w:right w:val="single" w:sz="4" w:space="0" w:color="auto"/>
            </w:tcBorders>
            <w:shd w:val="clear" w:color="auto" w:fill="auto"/>
            <w:noWrap/>
          </w:tcPr>
          <w:p w14:paraId="1A817087" w14:textId="69C65ECD"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-2.184</w:t>
            </w:r>
          </w:p>
        </w:tc>
      </w:tr>
      <w:tr w:rsidR="002E554D" w:rsidRPr="002E554D" w14:paraId="7BC5D3EA" w14:textId="77777777" w:rsidTr="00CB6B3B">
        <w:trPr>
          <w:trHeight w:val="300"/>
          <w:jc w:val="center"/>
        </w:trPr>
        <w:tc>
          <w:tcPr>
            <w:tcW w:w="625" w:type="pct"/>
            <w:tcBorders>
              <w:left w:val="single" w:sz="4" w:space="0" w:color="auto"/>
              <w:right w:val="single" w:sz="4" w:space="0" w:color="auto"/>
            </w:tcBorders>
            <w:shd w:val="clear" w:color="auto" w:fill="auto"/>
            <w:noWrap/>
            <w:vAlign w:val="bottom"/>
            <w:hideMark/>
          </w:tcPr>
          <w:p w14:paraId="4A123699" w14:textId="7777777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31" w:type="pct"/>
            <w:tcBorders>
              <w:left w:val="single" w:sz="4" w:space="0" w:color="auto"/>
              <w:right w:val="single" w:sz="4" w:space="0" w:color="auto"/>
            </w:tcBorders>
            <w:shd w:val="clear" w:color="auto" w:fill="auto"/>
            <w:noWrap/>
          </w:tcPr>
          <w:p w14:paraId="37C56D5D" w14:textId="69BBC84C"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-0.514</w:t>
            </w:r>
          </w:p>
        </w:tc>
        <w:tc>
          <w:tcPr>
            <w:tcW w:w="469" w:type="pct"/>
            <w:tcBorders>
              <w:left w:val="single" w:sz="4" w:space="0" w:color="auto"/>
            </w:tcBorders>
            <w:shd w:val="clear" w:color="auto" w:fill="auto"/>
            <w:noWrap/>
          </w:tcPr>
          <w:p w14:paraId="2C016433" w14:textId="704AE24F"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-3.221</w:t>
            </w:r>
          </w:p>
        </w:tc>
        <w:tc>
          <w:tcPr>
            <w:tcW w:w="470" w:type="pct"/>
            <w:shd w:val="clear" w:color="auto" w:fill="auto"/>
            <w:noWrap/>
          </w:tcPr>
          <w:p w14:paraId="4C6DC315" w14:textId="34D53D49"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-2.592</w:t>
            </w:r>
          </w:p>
        </w:tc>
        <w:tc>
          <w:tcPr>
            <w:tcW w:w="518" w:type="pct"/>
            <w:tcBorders>
              <w:right w:val="single" w:sz="4" w:space="0" w:color="auto"/>
            </w:tcBorders>
            <w:shd w:val="clear" w:color="auto" w:fill="auto"/>
            <w:noWrap/>
          </w:tcPr>
          <w:p w14:paraId="29E1CC34" w14:textId="633A2FBE"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-2.252</w:t>
            </w:r>
          </w:p>
        </w:tc>
        <w:tc>
          <w:tcPr>
            <w:tcW w:w="731" w:type="pct"/>
            <w:tcBorders>
              <w:left w:val="single" w:sz="4" w:space="0" w:color="auto"/>
              <w:right w:val="single" w:sz="4" w:space="0" w:color="auto"/>
            </w:tcBorders>
            <w:shd w:val="clear" w:color="auto" w:fill="auto"/>
            <w:noWrap/>
          </w:tcPr>
          <w:p w14:paraId="5663BCFB" w14:textId="14E9994A"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-0.660</w:t>
            </w:r>
          </w:p>
        </w:tc>
        <w:tc>
          <w:tcPr>
            <w:tcW w:w="469" w:type="pct"/>
            <w:tcBorders>
              <w:left w:val="single" w:sz="4" w:space="0" w:color="auto"/>
            </w:tcBorders>
            <w:shd w:val="clear" w:color="auto" w:fill="auto"/>
            <w:noWrap/>
          </w:tcPr>
          <w:p w14:paraId="4B55DE12" w14:textId="0210A9FF" w:rsidR="00BB6322" w:rsidRPr="002E554D" w:rsidRDefault="00BB6322" w:rsidP="00BB632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-3.202</w:t>
            </w:r>
          </w:p>
        </w:tc>
        <w:tc>
          <w:tcPr>
            <w:tcW w:w="518" w:type="pct"/>
            <w:shd w:val="clear" w:color="auto" w:fill="auto"/>
            <w:noWrap/>
          </w:tcPr>
          <w:p w14:paraId="3835402A" w14:textId="0D6825C0"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-2.567</w:t>
            </w:r>
          </w:p>
        </w:tc>
        <w:tc>
          <w:tcPr>
            <w:tcW w:w="469" w:type="pct"/>
            <w:tcBorders>
              <w:right w:val="single" w:sz="4" w:space="0" w:color="auto"/>
            </w:tcBorders>
            <w:shd w:val="clear" w:color="auto" w:fill="auto"/>
            <w:noWrap/>
          </w:tcPr>
          <w:p w14:paraId="6DEB6D1D" w14:textId="24583A15"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-2.227</w:t>
            </w:r>
          </w:p>
        </w:tc>
      </w:tr>
      <w:tr w:rsidR="002E554D" w:rsidRPr="002E554D" w14:paraId="3DF5D71C" w14:textId="77777777" w:rsidTr="00CB6B3B">
        <w:trPr>
          <w:trHeight w:val="300"/>
          <w:jc w:val="center"/>
        </w:trPr>
        <w:tc>
          <w:tcPr>
            <w:tcW w:w="625" w:type="pct"/>
            <w:tcBorders>
              <w:left w:val="single" w:sz="4" w:space="0" w:color="auto"/>
              <w:right w:val="single" w:sz="4" w:space="0" w:color="auto"/>
            </w:tcBorders>
            <w:shd w:val="clear" w:color="auto" w:fill="auto"/>
            <w:noWrap/>
            <w:vAlign w:val="bottom"/>
            <w:hideMark/>
          </w:tcPr>
          <w:p w14:paraId="6F5FA4E0" w14:textId="7777777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31" w:type="pct"/>
            <w:tcBorders>
              <w:left w:val="single" w:sz="4" w:space="0" w:color="auto"/>
              <w:right w:val="single" w:sz="4" w:space="0" w:color="auto"/>
            </w:tcBorders>
            <w:shd w:val="clear" w:color="auto" w:fill="auto"/>
            <w:noWrap/>
          </w:tcPr>
          <w:p w14:paraId="434522BB" w14:textId="0EFA24B2" w:rsidR="00BB6322" w:rsidRPr="002E554D" w:rsidRDefault="00BB6322" w:rsidP="00BB6322">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-1.048</w:t>
            </w:r>
          </w:p>
        </w:tc>
        <w:tc>
          <w:tcPr>
            <w:tcW w:w="469" w:type="pct"/>
            <w:tcBorders>
              <w:left w:val="single" w:sz="4" w:space="0" w:color="auto"/>
            </w:tcBorders>
            <w:shd w:val="clear" w:color="auto" w:fill="auto"/>
            <w:noWrap/>
          </w:tcPr>
          <w:p w14:paraId="4E52356D" w14:textId="1B32DF69"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-3.232</w:t>
            </w:r>
          </w:p>
        </w:tc>
        <w:tc>
          <w:tcPr>
            <w:tcW w:w="470" w:type="pct"/>
            <w:shd w:val="clear" w:color="auto" w:fill="auto"/>
            <w:noWrap/>
          </w:tcPr>
          <w:p w14:paraId="42D87A1A" w14:textId="76B25900"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-2.610</w:t>
            </w:r>
          </w:p>
        </w:tc>
        <w:tc>
          <w:tcPr>
            <w:tcW w:w="518" w:type="pct"/>
            <w:tcBorders>
              <w:right w:val="single" w:sz="4" w:space="0" w:color="auto"/>
            </w:tcBorders>
            <w:shd w:val="clear" w:color="auto" w:fill="auto"/>
            <w:noWrap/>
          </w:tcPr>
          <w:p w14:paraId="05D119AE" w14:textId="212E81C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-2.272</w:t>
            </w:r>
          </w:p>
        </w:tc>
        <w:tc>
          <w:tcPr>
            <w:tcW w:w="731" w:type="pct"/>
            <w:tcBorders>
              <w:left w:val="single" w:sz="4" w:space="0" w:color="auto"/>
              <w:right w:val="single" w:sz="4" w:space="0" w:color="auto"/>
            </w:tcBorders>
            <w:shd w:val="clear" w:color="auto" w:fill="auto"/>
            <w:noWrap/>
          </w:tcPr>
          <w:p w14:paraId="41D2E0B5" w14:textId="403C4D26"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-2.103</w:t>
            </w:r>
          </w:p>
        </w:tc>
        <w:tc>
          <w:tcPr>
            <w:tcW w:w="469" w:type="pct"/>
            <w:tcBorders>
              <w:left w:val="single" w:sz="4" w:space="0" w:color="auto"/>
            </w:tcBorders>
            <w:shd w:val="clear" w:color="auto" w:fill="auto"/>
            <w:noWrap/>
          </w:tcPr>
          <w:p w14:paraId="520357F2" w14:textId="16D29558" w:rsidR="00BB6322" w:rsidRPr="002E554D" w:rsidRDefault="00BB6322" w:rsidP="00BB632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-3.201</w:t>
            </w:r>
          </w:p>
        </w:tc>
        <w:tc>
          <w:tcPr>
            <w:tcW w:w="518" w:type="pct"/>
            <w:shd w:val="clear" w:color="auto" w:fill="auto"/>
            <w:noWrap/>
          </w:tcPr>
          <w:p w14:paraId="6551B0BC" w14:textId="59C318C2"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-2.566</w:t>
            </w:r>
          </w:p>
        </w:tc>
        <w:tc>
          <w:tcPr>
            <w:tcW w:w="469" w:type="pct"/>
            <w:tcBorders>
              <w:right w:val="single" w:sz="4" w:space="0" w:color="auto"/>
            </w:tcBorders>
            <w:shd w:val="clear" w:color="auto" w:fill="auto"/>
            <w:noWrap/>
          </w:tcPr>
          <w:p w14:paraId="09F603A0" w14:textId="1D92057B"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-2.226</w:t>
            </w:r>
          </w:p>
        </w:tc>
      </w:tr>
      <w:tr w:rsidR="002E554D" w:rsidRPr="002E554D" w14:paraId="44D68255" w14:textId="77777777" w:rsidTr="00CB6B3B">
        <w:trPr>
          <w:trHeight w:val="300"/>
          <w:jc w:val="center"/>
        </w:trPr>
        <w:tc>
          <w:tcPr>
            <w:tcW w:w="625" w:type="pct"/>
            <w:tcBorders>
              <w:left w:val="single" w:sz="4" w:space="0" w:color="auto"/>
              <w:right w:val="single" w:sz="4" w:space="0" w:color="auto"/>
            </w:tcBorders>
            <w:shd w:val="clear" w:color="auto" w:fill="auto"/>
            <w:noWrap/>
            <w:vAlign w:val="bottom"/>
            <w:hideMark/>
          </w:tcPr>
          <w:p w14:paraId="1B4A19AD" w14:textId="7777777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31" w:type="pct"/>
            <w:tcBorders>
              <w:left w:val="single" w:sz="4" w:space="0" w:color="auto"/>
              <w:right w:val="single" w:sz="4" w:space="0" w:color="auto"/>
            </w:tcBorders>
            <w:shd w:val="clear" w:color="auto" w:fill="auto"/>
            <w:noWrap/>
          </w:tcPr>
          <w:p w14:paraId="04C7C6C9" w14:textId="6E98E904" w:rsidR="00BB6322" w:rsidRPr="002E554D" w:rsidRDefault="00BB6322" w:rsidP="00BB6322">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-0.935</w:t>
            </w:r>
          </w:p>
        </w:tc>
        <w:tc>
          <w:tcPr>
            <w:tcW w:w="469" w:type="pct"/>
            <w:tcBorders>
              <w:left w:val="single" w:sz="4" w:space="0" w:color="auto"/>
            </w:tcBorders>
            <w:shd w:val="clear" w:color="auto" w:fill="auto"/>
            <w:noWrap/>
          </w:tcPr>
          <w:p w14:paraId="7F21C4B0" w14:textId="02768083" w:rsidR="00BB6322" w:rsidRPr="002E554D" w:rsidRDefault="00BB6322" w:rsidP="00BB632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-3.198</w:t>
            </w:r>
          </w:p>
        </w:tc>
        <w:tc>
          <w:tcPr>
            <w:tcW w:w="470" w:type="pct"/>
            <w:shd w:val="clear" w:color="auto" w:fill="auto"/>
            <w:noWrap/>
          </w:tcPr>
          <w:p w14:paraId="4D839291" w14:textId="2E753929"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-2.562</w:t>
            </w:r>
          </w:p>
        </w:tc>
        <w:tc>
          <w:tcPr>
            <w:tcW w:w="518" w:type="pct"/>
            <w:tcBorders>
              <w:right w:val="single" w:sz="4" w:space="0" w:color="auto"/>
            </w:tcBorders>
            <w:shd w:val="clear" w:color="auto" w:fill="auto"/>
            <w:noWrap/>
          </w:tcPr>
          <w:p w14:paraId="4B9A9D9E" w14:textId="4E15EE26"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-2.222</w:t>
            </w:r>
          </w:p>
        </w:tc>
        <w:tc>
          <w:tcPr>
            <w:tcW w:w="731" w:type="pct"/>
            <w:tcBorders>
              <w:left w:val="single" w:sz="4" w:space="0" w:color="auto"/>
              <w:right w:val="single" w:sz="4" w:space="0" w:color="auto"/>
            </w:tcBorders>
            <w:shd w:val="clear" w:color="auto" w:fill="auto"/>
            <w:noWrap/>
          </w:tcPr>
          <w:p w14:paraId="059D812E" w14:textId="6038DCC3" w:rsidR="00BB6322" w:rsidRPr="002E554D" w:rsidRDefault="00BB6322" w:rsidP="00BB6322">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-3.624***</w:t>
            </w:r>
          </w:p>
        </w:tc>
        <w:tc>
          <w:tcPr>
            <w:tcW w:w="469" w:type="pct"/>
            <w:tcBorders>
              <w:left w:val="single" w:sz="4" w:space="0" w:color="auto"/>
            </w:tcBorders>
            <w:shd w:val="clear" w:color="auto" w:fill="auto"/>
            <w:noWrap/>
          </w:tcPr>
          <w:p w14:paraId="06717FD5" w14:textId="2781E160" w:rsidR="00BB6322" w:rsidRPr="002E554D" w:rsidRDefault="00BB6322" w:rsidP="00BB632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-3.142</w:t>
            </w:r>
          </w:p>
        </w:tc>
        <w:tc>
          <w:tcPr>
            <w:tcW w:w="518" w:type="pct"/>
            <w:shd w:val="clear" w:color="auto" w:fill="auto"/>
            <w:noWrap/>
          </w:tcPr>
          <w:p w14:paraId="4B41B1BF" w14:textId="437690E6"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-2.488</w:t>
            </w:r>
          </w:p>
        </w:tc>
        <w:tc>
          <w:tcPr>
            <w:tcW w:w="469" w:type="pct"/>
            <w:tcBorders>
              <w:right w:val="single" w:sz="4" w:space="0" w:color="auto"/>
            </w:tcBorders>
            <w:shd w:val="clear" w:color="auto" w:fill="auto"/>
            <w:noWrap/>
          </w:tcPr>
          <w:p w14:paraId="324CBC09" w14:textId="6FF90589"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-2.148</w:t>
            </w:r>
          </w:p>
        </w:tc>
      </w:tr>
      <w:tr w:rsidR="002E554D" w:rsidRPr="002E554D" w14:paraId="4584F496" w14:textId="77777777" w:rsidTr="00CB6B3B">
        <w:trPr>
          <w:trHeight w:val="300"/>
          <w:jc w:val="center"/>
        </w:trPr>
        <w:tc>
          <w:tcPr>
            <w:tcW w:w="625" w:type="pct"/>
            <w:tcBorders>
              <w:left w:val="single" w:sz="4" w:space="0" w:color="auto"/>
              <w:right w:val="single" w:sz="4" w:space="0" w:color="auto"/>
            </w:tcBorders>
            <w:shd w:val="clear" w:color="auto" w:fill="auto"/>
            <w:noWrap/>
            <w:vAlign w:val="bottom"/>
            <w:hideMark/>
          </w:tcPr>
          <w:p w14:paraId="7452C148" w14:textId="7777777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31" w:type="pct"/>
            <w:tcBorders>
              <w:left w:val="single" w:sz="4" w:space="0" w:color="auto"/>
              <w:right w:val="single" w:sz="4" w:space="0" w:color="auto"/>
            </w:tcBorders>
            <w:shd w:val="clear" w:color="auto" w:fill="auto"/>
            <w:noWrap/>
          </w:tcPr>
          <w:p w14:paraId="25CDCF29" w14:textId="46FB5FE0" w:rsidR="00BB6322" w:rsidRPr="002E554D" w:rsidRDefault="00BB6322" w:rsidP="00BB6322">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-1.499</w:t>
            </w:r>
          </w:p>
        </w:tc>
        <w:tc>
          <w:tcPr>
            <w:tcW w:w="469" w:type="pct"/>
            <w:tcBorders>
              <w:left w:val="single" w:sz="4" w:space="0" w:color="auto"/>
            </w:tcBorders>
            <w:shd w:val="clear" w:color="auto" w:fill="auto"/>
            <w:noWrap/>
          </w:tcPr>
          <w:p w14:paraId="63910FDD" w14:textId="1131DBB3" w:rsidR="00BB6322" w:rsidRPr="002E554D" w:rsidRDefault="00BB6322" w:rsidP="00BB632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-3.088</w:t>
            </w:r>
          </w:p>
        </w:tc>
        <w:tc>
          <w:tcPr>
            <w:tcW w:w="470" w:type="pct"/>
            <w:shd w:val="clear" w:color="auto" w:fill="auto"/>
            <w:noWrap/>
          </w:tcPr>
          <w:p w14:paraId="4F1A856C" w14:textId="0892FA4B"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-2.430</w:t>
            </w:r>
          </w:p>
        </w:tc>
        <w:tc>
          <w:tcPr>
            <w:tcW w:w="518" w:type="pct"/>
            <w:tcBorders>
              <w:right w:val="single" w:sz="4" w:space="0" w:color="auto"/>
            </w:tcBorders>
            <w:shd w:val="clear" w:color="auto" w:fill="auto"/>
            <w:noWrap/>
          </w:tcPr>
          <w:p w14:paraId="477D6EE7" w14:textId="41F201B8"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-2.088</w:t>
            </w:r>
          </w:p>
        </w:tc>
        <w:tc>
          <w:tcPr>
            <w:tcW w:w="731" w:type="pct"/>
            <w:tcBorders>
              <w:left w:val="single" w:sz="4" w:space="0" w:color="auto"/>
              <w:right w:val="single" w:sz="4" w:space="0" w:color="auto"/>
            </w:tcBorders>
            <w:shd w:val="clear" w:color="auto" w:fill="auto"/>
            <w:noWrap/>
          </w:tcPr>
          <w:p w14:paraId="3214789F" w14:textId="2E348700" w:rsidR="00BB6322" w:rsidRPr="002E554D" w:rsidRDefault="00BB6322" w:rsidP="00BB6322">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-5.833***</w:t>
            </w:r>
          </w:p>
        </w:tc>
        <w:tc>
          <w:tcPr>
            <w:tcW w:w="469" w:type="pct"/>
            <w:tcBorders>
              <w:left w:val="single" w:sz="4" w:space="0" w:color="auto"/>
            </w:tcBorders>
            <w:shd w:val="clear" w:color="auto" w:fill="auto"/>
            <w:noWrap/>
          </w:tcPr>
          <w:p w14:paraId="56644A65" w14:textId="4B202FFE" w:rsidR="00BB6322" w:rsidRPr="002E554D" w:rsidRDefault="00BB6322" w:rsidP="00BB632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-3.090</w:t>
            </w:r>
          </w:p>
        </w:tc>
        <w:tc>
          <w:tcPr>
            <w:tcW w:w="518" w:type="pct"/>
            <w:shd w:val="clear" w:color="auto" w:fill="auto"/>
            <w:noWrap/>
          </w:tcPr>
          <w:p w14:paraId="6086EE57" w14:textId="5E940D0E"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-2.432</w:t>
            </w:r>
          </w:p>
        </w:tc>
        <w:tc>
          <w:tcPr>
            <w:tcW w:w="469" w:type="pct"/>
            <w:tcBorders>
              <w:right w:val="single" w:sz="4" w:space="0" w:color="auto"/>
            </w:tcBorders>
            <w:shd w:val="clear" w:color="auto" w:fill="auto"/>
            <w:noWrap/>
          </w:tcPr>
          <w:p w14:paraId="33725DCB" w14:textId="6C1940FB"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-2.090</w:t>
            </w:r>
          </w:p>
        </w:tc>
      </w:tr>
      <w:tr w:rsidR="002E554D" w:rsidRPr="002E554D" w14:paraId="6899C362" w14:textId="77777777" w:rsidTr="00CB6B3B">
        <w:trPr>
          <w:trHeight w:val="300"/>
          <w:jc w:val="center"/>
        </w:trPr>
        <w:tc>
          <w:tcPr>
            <w:tcW w:w="625" w:type="pct"/>
            <w:tcBorders>
              <w:left w:val="single" w:sz="4" w:space="0" w:color="auto"/>
              <w:right w:val="single" w:sz="4" w:space="0" w:color="auto"/>
            </w:tcBorders>
            <w:shd w:val="clear" w:color="auto" w:fill="auto"/>
            <w:noWrap/>
            <w:vAlign w:val="bottom"/>
            <w:hideMark/>
          </w:tcPr>
          <w:p w14:paraId="18A7EF0B" w14:textId="7777777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31" w:type="pct"/>
            <w:tcBorders>
              <w:left w:val="single" w:sz="4" w:space="0" w:color="auto"/>
              <w:right w:val="single" w:sz="4" w:space="0" w:color="auto"/>
            </w:tcBorders>
            <w:shd w:val="clear" w:color="auto" w:fill="auto"/>
            <w:noWrap/>
          </w:tcPr>
          <w:p w14:paraId="7D8A3695" w14:textId="294AB400" w:rsidR="00BB6322" w:rsidRPr="002E554D" w:rsidRDefault="00BB6322" w:rsidP="00BB6322">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-1.737</w:t>
            </w:r>
          </w:p>
        </w:tc>
        <w:tc>
          <w:tcPr>
            <w:tcW w:w="469" w:type="pct"/>
            <w:tcBorders>
              <w:left w:val="single" w:sz="4" w:space="0" w:color="auto"/>
            </w:tcBorders>
            <w:shd w:val="clear" w:color="auto" w:fill="auto"/>
            <w:noWrap/>
          </w:tcPr>
          <w:p w14:paraId="3A5CFE2C" w14:textId="3074AE03"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-2.896</w:t>
            </w:r>
          </w:p>
        </w:tc>
        <w:tc>
          <w:tcPr>
            <w:tcW w:w="470" w:type="pct"/>
            <w:shd w:val="clear" w:color="auto" w:fill="auto"/>
            <w:noWrap/>
          </w:tcPr>
          <w:p w14:paraId="1C8FA432" w14:textId="65B3EBEE" w:rsidR="00BB6322" w:rsidRPr="002E554D" w:rsidRDefault="00BB6322" w:rsidP="00BB632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-2.234</w:t>
            </w:r>
          </w:p>
        </w:tc>
        <w:tc>
          <w:tcPr>
            <w:tcW w:w="518" w:type="pct"/>
            <w:tcBorders>
              <w:right w:val="single" w:sz="4" w:space="0" w:color="auto"/>
            </w:tcBorders>
            <w:shd w:val="clear" w:color="auto" w:fill="auto"/>
            <w:noWrap/>
          </w:tcPr>
          <w:p w14:paraId="4D9ACD35" w14:textId="36F565E6"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-1.878</w:t>
            </w:r>
          </w:p>
        </w:tc>
        <w:tc>
          <w:tcPr>
            <w:tcW w:w="731" w:type="pct"/>
            <w:tcBorders>
              <w:left w:val="single" w:sz="4" w:space="0" w:color="auto"/>
              <w:right w:val="single" w:sz="4" w:space="0" w:color="auto"/>
            </w:tcBorders>
            <w:shd w:val="clear" w:color="auto" w:fill="auto"/>
            <w:noWrap/>
          </w:tcPr>
          <w:p w14:paraId="46BF4930" w14:textId="1B5F738B" w:rsidR="00BB6322" w:rsidRPr="002E554D" w:rsidRDefault="00BB6322" w:rsidP="00BB6322">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-6.404***</w:t>
            </w:r>
          </w:p>
        </w:tc>
        <w:tc>
          <w:tcPr>
            <w:tcW w:w="469" w:type="pct"/>
            <w:tcBorders>
              <w:left w:val="single" w:sz="4" w:space="0" w:color="auto"/>
            </w:tcBorders>
            <w:shd w:val="clear" w:color="auto" w:fill="auto"/>
            <w:noWrap/>
          </w:tcPr>
          <w:p w14:paraId="33679599" w14:textId="2D64E232" w:rsidR="00BB6322" w:rsidRPr="002E554D" w:rsidRDefault="00BB6322" w:rsidP="00BB632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-2.989</w:t>
            </w:r>
          </w:p>
        </w:tc>
        <w:tc>
          <w:tcPr>
            <w:tcW w:w="518" w:type="pct"/>
            <w:shd w:val="clear" w:color="auto" w:fill="auto"/>
            <w:noWrap/>
          </w:tcPr>
          <w:p w14:paraId="27E2DC49" w14:textId="311ADE5C"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-2.339</w:t>
            </w:r>
          </w:p>
        </w:tc>
        <w:tc>
          <w:tcPr>
            <w:tcW w:w="469" w:type="pct"/>
            <w:tcBorders>
              <w:right w:val="single" w:sz="4" w:space="0" w:color="auto"/>
            </w:tcBorders>
            <w:shd w:val="clear" w:color="auto" w:fill="auto"/>
            <w:noWrap/>
          </w:tcPr>
          <w:p w14:paraId="45299DDB" w14:textId="6B28A136"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-1.989</w:t>
            </w:r>
          </w:p>
        </w:tc>
      </w:tr>
      <w:tr w:rsidR="002E554D" w:rsidRPr="002E554D" w14:paraId="0E8A971C" w14:textId="77777777" w:rsidTr="00CB6B3B">
        <w:trPr>
          <w:trHeight w:val="300"/>
          <w:jc w:val="center"/>
        </w:trPr>
        <w:tc>
          <w:tcPr>
            <w:tcW w:w="625" w:type="pct"/>
            <w:tcBorders>
              <w:left w:val="single" w:sz="4" w:space="0" w:color="auto"/>
              <w:right w:val="single" w:sz="4" w:space="0" w:color="auto"/>
            </w:tcBorders>
            <w:shd w:val="clear" w:color="auto" w:fill="auto"/>
            <w:noWrap/>
            <w:vAlign w:val="bottom"/>
            <w:hideMark/>
          </w:tcPr>
          <w:p w14:paraId="6DE964DC" w14:textId="7777777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31" w:type="pct"/>
            <w:tcBorders>
              <w:left w:val="single" w:sz="4" w:space="0" w:color="auto"/>
              <w:right w:val="single" w:sz="4" w:space="0" w:color="auto"/>
            </w:tcBorders>
            <w:shd w:val="clear" w:color="auto" w:fill="auto"/>
            <w:noWrap/>
          </w:tcPr>
          <w:p w14:paraId="2DCF3918" w14:textId="3BF930AC" w:rsidR="00BB6322" w:rsidRPr="002E554D" w:rsidRDefault="00BB6322" w:rsidP="00BB6322">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-1.866*</w:t>
            </w:r>
          </w:p>
        </w:tc>
        <w:tc>
          <w:tcPr>
            <w:tcW w:w="469" w:type="pct"/>
            <w:tcBorders>
              <w:left w:val="single" w:sz="4" w:space="0" w:color="auto"/>
            </w:tcBorders>
            <w:shd w:val="clear" w:color="auto" w:fill="auto"/>
            <w:noWrap/>
          </w:tcPr>
          <w:p w14:paraId="01CE1A3A" w14:textId="32831CA9" w:rsidR="00BB6322" w:rsidRPr="002E554D" w:rsidRDefault="00BB6322" w:rsidP="00BB632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-2.590</w:t>
            </w:r>
          </w:p>
        </w:tc>
        <w:tc>
          <w:tcPr>
            <w:tcW w:w="470" w:type="pct"/>
            <w:shd w:val="clear" w:color="auto" w:fill="auto"/>
            <w:noWrap/>
          </w:tcPr>
          <w:p w14:paraId="5AD0C1A4" w14:textId="7A75ED85"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-1.916</w:t>
            </w:r>
          </w:p>
        </w:tc>
        <w:tc>
          <w:tcPr>
            <w:tcW w:w="518" w:type="pct"/>
            <w:tcBorders>
              <w:right w:val="single" w:sz="4" w:space="0" w:color="auto"/>
            </w:tcBorders>
            <w:shd w:val="clear" w:color="auto" w:fill="auto"/>
            <w:noWrap/>
          </w:tcPr>
          <w:p w14:paraId="15A18E9E" w14:textId="6026EBA7"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-1.556</w:t>
            </w:r>
          </w:p>
        </w:tc>
        <w:tc>
          <w:tcPr>
            <w:tcW w:w="731" w:type="pct"/>
            <w:tcBorders>
              <w:left w:val="single" w:sz="4" w:space="0" w:color="auto"/>
              <w:right w:val="single" w:sz="4" w:space="0" w:color="auto"/>
            </w:tcBorders>
            <w:shd w:val="clear" w:color="auto" w:fill="auto"/>
            <w:noWrap/>
          </w:tcPr>
          <w:p w14:paraId="71E90C4D" w14:textId="6AD388A0" w:rsidR="00BB6322" w:rsidRPr="002E554D" w:rsidRDefault="00BB6322" w:rsidP="00BB6322">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-4.759***</w:t>
            </w:r>
          </w:p>
        </w:tc>
        <w:tc>
          <w:tcPr>
            <w:tcW w:w="469" w:type="pct"/>
            <w:tcBorders>
              <w:left w:val="single" w:sz="4" w:space="0" w:color="auto"/>
            </w:tcBorders>
            <w:shd w:val="clear" w:color="auto" w:fill="auto"/>
            <w:noWrap/>
          </w:tcPr>
          <w:p w14:paraId="1489DC10" w14:textId="7B8FA26B" w:rsidR="00BB6322" w:rsidRPr="002E554D" w:rsidRDefault="00BB6322" w:rsidP="00BB6322">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-2.774</w:t>
            </w:r>
          </w:p>
        </w:tc>
        <w:tc>
          <w:tcPr>
            <w:tcW w:w="518" w:type="pct"/>
            <w:shd w:val="clear" w:color="auto" w:fill="auto"/>
            <w:noWrap/>
          </w:tcPr>
          <w:p w14:paraId="07CC0F7B" w14:textId="2FFEC57A" w:rsidR="00BB6322" w:rsidRPr="002E554D" w:rsidRDefault="00BB6322" w:rsidP="00BB6322">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-2.103</w:t>
            </w:r>
          </w:p>
        </w:tc>
        <w:tc>
          <w:tcPr>
            <w:tcW w:w="469" w:type="pct"/>
            <w:tcBorders>
              <w:right w:val="single" w:sz="4" w:space="0" w:color="auto"/>
            </w:tcBorders>
            <w:shd w:val="clear" w:color="auto" w:fill="auto"/>
            <w:noWrap/>
          </w:tcPr>
          <w:p w14:paraId="3A7AA7F8" w14:textId="52D740DF" w:rsidR="00BB6322" w:rsidRPr="002E554D" w:rsidRDefault="00BB6322" w:rsidP="00BB6322">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-1.743</w:t>
            </w:r>
          </w:p>
        </w:tc>
      </w:tr>
      <w:tr w:rsidR="002E554D" w:rsidRPr="002E554D" w14:paraId="3B30ECAC" w14:textId="77777777" w:rsidTr="00CB6B3B">
        <w:trPr>
          <w:trHeight w:val="300"/>
          <w:jc w:val="center"/>
        </w:trPr>
        <w:tc>
          <w:tcPr>
            <w:tcW w:w="625" w:type="pct"/>
            <w:tcBorders>
              <w:left w:val="single" w:sz="4" w:space="0" w:color="auto"/>
              <w:right w:val="single" w:sz="4" w:space="0" w:color="auto"/>
            </w:tcBorders>
            <w:shd w:val="clear" w:color="auto" w:fill="auto"/>
            <w:noWrap/>
            <w:vAlign w:val="bottom"/>
          </w:tcPr>
          <w:p w14:paraId="75D3C19E" w14:textId="77777777" w:rsidR="00E57EF0" w:rsidRPr="002E554D" w:rsidRDefault="00E57EF0" w:rsidP="00E546B1">
            <w:pPr>
              <w:spacing w:after="0" w:line="240" w:lineRule="auto"/>
              <w:jc w:val="center"/>
              <w:rPr>
                <w:rFonts w:ascii="Garamond" w:eastAsia="Times New Roman" w:hAnsi="Garamond" w:cs="Calibri"/>
                <w:color w:val="FF0000"/>
                <w:lang w:val="en-GB" w:eastAsia="en-GB"/>
              </w:rPr>
            </w:pPr>
          </w:p>
        </w:tc>
        <w:tc>
          <w:tcPr>
            <w:tcW w:w="2188" w:type="pct"/>
            <w:gridSpan w:val="4"/>
            <w:tcBorders>
              <w:left w:val="single" w:sz="4" w:space="0" w:color="auto"/>
              <w:right w:val="single" w:sz="4" w:space="0" w:color="auto"/>
            </w:tcBorders>
            <w:shd w:val="clear" w:color="auto" w:fill="auto"/>
            <w:noWrap/>
            <w:vAlign w:val="center"/>
          </w:tcPr>
          <w:p w14:paraId="41BEBDDD" w14:textId="272CB058" w:rsidR="00E57EF0" w:rsidRPr="002E554D" w:rsidRDefault="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DJ65</w:t>
            </w:r>
          </w:p>
        </w:tc>
        <w:tc>
          <w:tcPr>
            <w:tcW w:w="2188" w:type="pct"/>
            <w:gridSpan w:val="4"/>
            <w:tcBorders>
              <w:left w:val="single" w:sz="4" w:space="0" w:color="auto"/>
              <w:right w:val="single" w:sz="4" w:space="0" w:color="auto"/>
            </w:tcBorders>
            <w:shd w:val="clear" w:color="auto" w:fill="auto"/>
            <w:noWrap/>
            <w:vAlign w:val="center"/>
          </w:tcPr>
          <w:p w14:paraId="40E8B9E9" w14:textId="2D6A267A" w:rsidR="00E57EF0" w:rsidRPr="002E554D" w:rsidRDefault="00E57EF0">
            <w:pPr>
              <w:spacing w:after="0" w:line="240" w:lineRule="auto"/>
              <w:jc w:val="center"/>
              <w:rPr>
                <w:rFonts w:ascii="Garamond" w:eastAsia="Times New Roman" w:hAnsi="Garamond" w:cs="Calibri"/>
                <w:b/>
                <w:bCs/>
                <w:color w:val="FF0000"/>
                <w:lang w:val="en-GB" w:eastAsia="en-GB"/>
              </w:rPr>
            </w:pPr>
            <w:proofErr w:type="spellStart"/>
            <w:r w:rsidRPr="002E554D">
              <w:rPr>
                <w:rFonts w:ascii="Garamond" w:eastAsia="Times New Roman" w:hAnsi="Garamond" w:cs="Calibri"/>
                <w:b/>
                <w:bCs/>
                <w:color w:val="FF0000"/>
                <w:lang w:val="en-GB" w:eastAsia="en-GB"/>
              </w:rPr>
              <w:t>DJIndustr</w:t>
            </w:r>
            <w:proofErr w:type="spellEnd"/>
          </w:p>
        </w:tc>
      </w:tr>
      <w:tr w:rsidR="002E554D" w:rsidRPr="002E554D" w14:paraId="2524488A" w14:textId="77777777" w:rsidTr="003F52ED">
        <w:trPr>
          <w:trHeight w:val="300"/>
          <w:jc w:val="center"/>
        </w:trPr>
        <w:tc>
          <w:tcPr>
            <w:tcW w:w="625" w:type="pct"/>
            <w:tcBorders>
              <w:left w:val="single" w:sz="4" w:space="0" w:color="auto"/>
              <w:right w:val="single" w:sz="4" w:space="0" w:color="auto"/>
            </w:tcBorders>
            <w:shd w:val="clear" w:color="auto" w:fill="auto"/>
            <w:noWrap/>
            <w:vAlign w:val="bottom"/>
            <w:hideMark/>
          </w:tcPr>
          <w:p w14:paraId="5EF451D5" w14:textId="77777777"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31" w:type="pct"/>
            <w:tcBorders>
              <w:left w:val="single" w:sz="4" w:space="0" w:color="auto"/>
              <w:right w:val="single" w:sz="4" w:space="0" w:color="auto"/>
            </w:tcBorders>
            <w:shd w:val="clear" w:color="auto" w:fill="auto"/>
            <w:noWrap/>
          </w:tcPr>
          <w:p w14:paraId="5DF43FEE" w14:textId="51E593C1" w:rsidR="00415B79" w:rsidRPr="002E554D" w:rsidRDefault="00415B79" w:rsidP="00415B7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0.831</w:t>
            </w:r>
          </w:p>
        </w:tc>
        <w:tc>
          <w:tcPr>
            <w:tcW w:w="469" w:type="pct"/>
            <w:tcBorders>
              <w:left w:val="single" w:sz="4" w:space="0" w:color="auto"/>
            </w:tcBorders>
            <w:shd w:val="clear" w:color="auto" w:fill="auto"/>
            <w:noWrap/>
          </w:tcPr>
          <w:p w14:paraId="7E456858" w14:textId="23244CAB"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-2.644</w:t>
            </w:r>
          </w:p>
        </w:tc>
        <w:tc>
          <w:tcPr>
            <w:tcW w:w="470" w:type="pct"/>
            <w:shd w:val="clear" w:color="auto" w:fill="auto"/>
            <w:noWrap/>
          </w:tcPr>
          <w:p w14:paraId="47C104D5" w14:textId="453ED5BB" w:rsidR="00415B79" w:rsidRPr="002E554D" w:rsidRDefault="00415B79" w:rsidP="00415B7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-1.970</w:t>
            </w:r>
          </w:p>
        </w:tc>
        <w:tc>
          <w:tcPr>
            <w:tcW w:w="518" w:type="pct"/>
            <w:tcBorders>
              <w:right w:val="single" w:sz="4" w:space="0" w:color="auto"/>
            </w:tcBorders>
            <w:shd w:val="clear" w:color="auto" w:fill="auto"/>
            <w:noWrap/>
          </w:tcPr>
          <w:p w14:paraId="52E34BCD" w14:textId="3510107C"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-1.610</w:t>
            </w:r>
          </w:p>
        </w:tc>
        <w:tc>
          <w:tcPr>
            <w:tcW w:w="731" w:type="pct"/>
            <w:tcBorders>
              <w:left w:val="single" w:sz="4" w:space="0" w:color="auto"/>
              <w:right w:val="single" w:sz="4" w:space="0" w:color="auto"/>
            </w:tcBorders>
            <w:shd w:val="clear" w:color="auto" w:fill="auto"/>
            <w:noWrap/>
          </w:tcPr>
          <w:p w14:paraId="74DFCAF1" w14:textId="3E1AE697" w:rsidR="00415B79" w:rsidRPr="002E554D" w:rsidRDefault="00415B79" w:rsidP="00415B7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1.164</w:t>
            </w:r>
          </w:p>
        </w:tc>
        <w:tc>
          <w:tcPr>
            <w:tcW w:w="469" w:type="pct"/>
            <w:tcBorders>
              <w:left w:val="single" w:sz="4" w:space="0" w:color="auto"/>
            </w:tcBorders>
            <w:shd w:val="clear" w:color="auto" w:fill="auto"/>
            <w:noWrap/>
          </w:tcPr>
          <w:p w14:paraId="487966BA" w14:textId="7560D755"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-2.615</w:t>
            </w:r>
          </w:p>
        </w:tc>
        <w:tc>
          <w:tcPr>
            <w:tcW w:w="518" w:type="pct"/>
            <w:shd w:val="clear" w:color="auto" w:fill="auto"/>
            <w:noWrap/>
          </w:tcPr>
          <w:p w14:paraId="7466CC0D" w14:textId="5383CEAC"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-1.941</w:t>
            </w:r>
          </w:p>
        </w:tc>
        <w:tc>
          <w:tcPr>
            <w:tcW w:w="469" w:type="pct"/>
            <w:tcBorders>
              <w:right w:val="single" w:sz="4" w:space="0" w:color="auto"/>
            </w:tcBorders>
            <w:shd w:val="clear" w:color="auto" w:fill="auto"/>
            <w:noWrap/>
          </w:tcPr>
          <w:p w14:paraId="26AF10CD" w14:textId="486874D5"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-1.581</w:t>
            </w:r>
          </w:p>
        </w:tc>
      </w:tr>
      <w:tr w:rsidR="002E554D" w:rsidRPr="002E554D" w14:paraId="4F71A075" w14:textId="77777777" w:rsidTr="003F52ED">
        <w:trPr>
          <w:trHeight w:val="300"/>
          <w:jc w:val="center"/>
        </w:trPr>
        <w:tc>
          <w:tcPr>
            <w:tcW w:w="625" w:type="pct"/>
            <w:tcBorders>
              <w:left w:val="single" w:sz="4" w:space="0" w:color="auto"/>
              <w:right w:val="single" w:sz="4" w:space="0" w:color="auto"/>
            </w:tcBorders>
            <w:shd w:val="clear" w:color="auto" w:fill="auto"/>
            <w:noWrap/>
            <w:vAlign w:val="bottom"/>
            <w:hideMark/>
          </w:tcPr>
          <w:p w14:paraId="7BFF9538" w14:textId="77777777"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31" w:type="pct"/>
            <w:tcBorders>
              <w:left w:val="single" w:sz="4" w:space="0" w:color="auto"/>
              <w:right w:val="single" w:sz="4" w:space="0" w:color="auto"/>
            </w:tcBorders>
            <w:shd w:val="clear" w:color="auto" w:fill="auto"/>
            <w:noWrap/>
          </w:tcPr>
          <w:p w14:paraId="170C834D" w14:textId="137771DE" w:rsidR="00415B79" w:rsidRPr="002E554D" w:rsidRDefault="00415B79" w:rsidP="00415B7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0.695</w:t>
            </w:r>
          </w:p>
        </w:tc>
        <w:tc>
          <w:tcPr>
            <w:tcW w:w="469" w:type="pct"/>
            <w:tcBorders>
              <w:left w:val="single" w:sz="4" w:space="0" w:color="auto"/>
            </w:tcBorders>
            <w:shd w:val="clear" w:color="auto" w:fill="auto"/>
            <w:noWrap/>
          </w:tcPr>
          <w:p w14:paraId="5615E17C" w14:textId="13FD2BF9"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-2.972</w:t>
            </w:r>
          </w:p>
        </w:tc>
        <w:tc>
          <w:tcPr>
            <w:tcW w:w="470" w:type="pct"/>
            <w:shd w:val="clear" w:color="auto" w:fill="auto"/>
            <w:noWrap/>
          </w:tcPr>
          <w:p w14:paraId="20783AF3" w14:textId="18A3F8E1"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-2.320</w:t>
            </w:r>
          </w:p>
        </w:tc>
        <w:tc>
          <w:tcPr>
            <w:tcW w:w="518" w:type="pct"/>
            <w:tcBorders>
              <w:right w:val="single" w:sz="4" w:space="0" w:color="auto"/>
            </w:tcBorders>
            <w:shd w:val="clear" w:color="auto" w:fill="auto"/>
            <w:noWrap/>
          </w:tcPr>
          <w:p w14:paraId="3F7A3B24" w14:textId="4D92A7B0"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-1.969</w:t>
            </w:r>
          </w:p>
        </w:tc>
        <w:tc>
          <w:tcPr>
            <w:tcW w:w="731" w:type="pct"/>
            <w:tcBorders>
              <w:left w:val="single" w:sz="4" w:space="0" w:color="auto"/>
              <w:right w:val="single" w:sz="4" w:space="0" w:color="auto"/>
            </w:tcBorders>
            <w:shd w:val="clear" w:color="auto" w:fill="auto"/>
            <w:noWrap/>
          </w:tcPr>
          <w:p w14:paraId="4F3BBD21" w14:textId="226C1B76" w:rsidR="00415B79" w:rsidRPr="002E554D" w:rsidRDefault="00415B79" w:rsidP="00415B7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0.307</w:t>
            </w:r>
          </w:p>
        </w:tc>
        <w:tc>
          <w:tcPr>
            <w:tcW w:w="469" w:type="pct"/>
            <w:tcBorders>
              <w:left w:val="single" w:sz="4" w:space="0" w:color="auto"/>
            </w:tcBorders>
            <w:shd w:val="clear" w:color="auto" w:fill="auto"/>
            <w:noWrap/>
          </w:tcPr>
          <w:p w14:paraId="41D367CA" w14:textId="76E9A753"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-2.965</w:t>
            </w:r>
          </w:p>
        </w:tc>
        <w:tc>
          <w:tcPr>
            <w:tcW w:w="518" w:type="pct"/>
            <w:shd w:val="clear" w:color="auto" w:fill="auto"/>
            <w:noWrap/>
          </w:tcPr>
          <w:p w14:paraId="66419130" w14:textId="2CE03009"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-2.312</w:t>
            </w:r>
          </w:p>
        </w:tc>
        <w:tc>
          <w:tcPr>
            <w:tcW w:w="469" w:type="pct"/>
            <w:tcBorders>
              <w:right w:val="single" w:sz="4" w:space="0" w:color="auto"/>
            </w:tcBorders>
            <w:shd w:val="clear" w:color="auto" w:fill="auto"/>
            <w:noWrap/>
          </w:tcPr>
          <w:p w14:paraId="7C6BD259" w14:textId="19BD00CC"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-1.960</w:t>
            </w:r>
          </w:p>
        </w:tc>
      </w:tr>
      <w:tr w:rsidR="002E554D" w:rsidRPr="002E554D" w14:paraId="2E7C6DF9" w14:textId="77777777" w:rsidTr="003F52ED">
        <w:trPr>
          <w:trHeight w:val="300"/>
          <w:jc w:val="center"/>
        </w:trPr>
        <w:tc>
          <w:tcPr>
            <w:tcW w:w="625" w:type="pct"/>
            <w:tcBorders>
              <w:left w:val="single" w:sz="4" w:space="0" w:color="auto"/>
              <w:right w:val="single" w:sz="4" w:space="0" w:color="auto"/>
            </w:tcBorders>
            <w:shd w:val="clear" w:color="auto" w:fill="auto"/>
            <w:noWrap/>
            <w:vAlign w:val="bottom"/>
            <w:hideMark/>
          </w:tcPr>
          <w:p w14:paraId="552599B8" w14:textId="77777777"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31" w:type="pct"/>
            <w:tcBorders>
              <w:left w:val="single" w:sz="4" w:space="0" w:color="auto"/>
              <w:right w:val="single" w:sz="4" w:space="0" w:color="auto"/>
            </w:tcBorders>
            <w:shd w:val="clear" w:color="auto" w:fill="auto"/>
            <w:noWrap/>
          </w:tcPr>
          <w:p w14:paraId="1E87134B" w14:textId="1070420E" w:rsidR="00415B79" w:rsidRPr="002E554D" w:rsidRDefault="00415B79" w:rsidP="00415B7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0.347</w:t>
            </w:r>
          </w:p>
        </w:tc>
        <w:tc>
          <w:tcPr>
            <w:tcW w:w="469" w:type="pct"/>
            <w:tcBorders>
              <w:left w:val="single" w:sz="4" w:space="0" w:color="auto"/>
            </w:tcBorders>
            <w:shd w:val="clear" w:color="auto" w:fill="auto"/>
            <w:noWrap/>
          </w:tcPr>
          <w:p w14:paraId="3EFBE9DB" w14:textId="2AC4BBAC"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-3.203</w:t>
            </w:r>
          </w:p>
        </w:tc>
        <w:tc>
          <w:tcPr>
            <w:tcW w:w="470" w:type="pct"/>
            <w:shd w:val="clear" w:color="auto" w:fill="auto"/>
            <w:noWrap/>
          </w:tcPr>
          <w:p w14:paraId="61474695" w14:textId="0A368289"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-2.568</w:t>
            </w:r>
          </w:p>
        </w:tc>
        <w:tc>
          <w:tcPr>
            <w:tcW w:w="518" w:type="pct"/>
            <w:tcBorders>
              <w:right w:val="single" w:sz="4" w:space="0" w:color="auto"/>
            </w:tcBorders>
            <w:shd w:val="clear" w:color="auto" w:fill="auto"/>
            <w:noWrap/>
          </w:tcPr>
          <w:p w14:paraId="066B9BAC" w14:textId="27D8AABB"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-2.228</w:t>
            </w:r>
          </w:p>
        </w:tc>
        <w:tc>
          <w:tcPr>
            <w:tcW w:w="731" w:type="pct"/>
            <w:tcBorders>
              <w:left w:val="single" w:sz="4" w:space="0" w:color="auto"/>
              <w:right w:val="single" w:sz="4" w:space="0" w:color="auto"/>
            </w:tcBorders>
            <w:shd w:val="clear" w:color="auto" w:fill="auto"/>
            <w:noWrap/>
          </w:tcPr>
          <w:p w14:paraId="693FCB48" w14:textId="2416E1D2" w:rsidR="00415B79" w:rsidRPr="002E554D" w:rsidRDefault="00415B79" w:rsidP="00415B7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-0.120</w:t>
            </w:r>
          </w:p>
        </w:tc>
        <w:tc>
          <w:tcPr>
            <w:tcW w:w="469" w:type="pct"/>
            <w:tcBorders>
              <w:left w:val="single" w:sz="4" w:space="0" w:color="auto"/>
            </w:tcBorders>
            <w:shd w:val="clear" w:color="auto" w:fill="auto"/>
            <w:noWrap/>
          </w:tcPr>
          <w:p w14:paraId="4F667308" w14:textId="2696973C"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-3.205</w:t>
            </w:r>
          </w:p>
        </w:tc>
        <w:tc>
          <w:tcPr>
            <w:tcW w:w="518" w:type="pct"/>
            <w:shd w:val="clear" w:color="auto" w:fill="auto"/>
            <w:noWrap/>
          </w:tcPr>
          <w:p w14:paraId="2857C6A2" w14:textId="50FE1CAC"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-2.571</w:t>
            </w:r>
          </w:p>
        </w:tc>
        <w:tc>
          <w:tcPr>
            <w:tcW w:w="469" w:type="pct"/>
            <w:tcBorders>
              <w:right w:val="single" w:sz="4" w:space="0" w:color="auto"/>
            </w:tcBorders>
            <w:shd w:val="clear" w:color="auto" w:fill="auto"/>
            <w:noWrap/>
          </w:tcPr>
          <w:p w14:paraId="4A6C0EB1" w14:textId="4C8401A1"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-2.231</w:t>
            </w:r>
          </w:p>
        </w:tc>
      </w:tr>
      <w:tr w:rsidR="002E554D" w:rsidRPr="002E554D" w14:paraId="30A04FB2" w14:textId="77777777" w:rsidTr="003F52ED">
        <w:trPr>
          <w:trHeight w:val="300"/>
          <w:jc w:val="center"/>
        </w:trPr>
        <w:tc>
          <w:tcPr>
            <w:tcW w:w="625" w:type="pct"/>
            <w:tcBorders>
              <w:left w:val="single" w:sz="4" w:space="0" w:color="auto"/>
              <w:right w:val="single" w:sz="4" w:space="0" w:color="auto"/>
            </w:tcBorders>
            <w:shd w:val="clear" w:color="auto" w:fill="auto"/>
            <w:noWrap/>
            <w:vAlign w:val="bottom"/>
            <w:hideMark/>
          </w:tcPr>
          <w:p w14:paraId="7693C2D8" w14:textId="77777777"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31" w:type="pct"/>
            <w:tcBorders>
              <w:left w:val="single" w:sz="4" w:space="0" w:color="auto"/>
              <w:right w:val="single" w:sz="4" w:space="0" w:color="auto"/>
            </w:tcBorders>
            <w:shd w:val="clear" w:color="auto" w:fill="auto"/>
            <w:noWrap/>
          </w:tcPr>
          <w:p w14:paraId="1DA6CD0F" w14:textId="1B13E4C4" w:rsidR="00415B79" w:rsidRPr="002E554D" w:rsidRDefault="00415B79" w:rsidP="00415B7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-0.862</w:t>
            </w:r>
          </w:p>
        </w:tc>
        <w:tc>
          <w:tcPr>
            <w:tcW w:w="469" w:type="pct"/>
            <w:tcBorders>
              <w:left w:val="single" w:sz="4" w:space="0" w:color="auto"/>
            </w:tcBorders>
            <w:shd w:val="clear" w:color="auto" w:fill="auto"/>
            <w:noWrap/>
          </w:tcPr>
          <w:p w14:paraId="23158434" w14:textId="4618F25E"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-3.222</w:t>
            </w:r>
          </w:p>
        </w:tc>
        <w:tc>
          <w:tcPr>
            <w:tcW w:w="470" w:type="pct"/>
            <w:shd w:val="clear" w:color="auto" w:fill="auto"/>
            <w:noWrap/>
          </w:tcPr>
          <w:p w14:paraId="0B7D8ADF" w14:textId="732BEDCF"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-2.593</w:t>
            </w:r>
          </w:p>
        </w:tc>
        <w:tc>
          <w:tcPr>
            <w:tcW w:w="518" w:type="pct"/>
            <w:tcBorders>
              <w:right w:val="single" w:sz="4" w:space="0" w:color="auto"/>
            </w:tcBorders>
            <w:shd w:val="clear" w:color="auto" w:fill="auto"/>
            <w:noWrap/>
          </w:tcPr>
          <w:p w14:paraId="6A454787" w14:textId="2D1557CB"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-2.253</w:t>
            </w:r>
          </w:p>
        </w:tc>
        <w:tc>
          <w:tcPr>
            <w:tcW w:w="731" w:type="pct"/>
            <w:tcBorders>
              <w:left w:val="single" w:sz="4" w:space="0" w:color="auto"/>
              <w:right w:val="single" w:sz="4" w:space="0" w:color="auto"/>
            </w:tcBorders>
            <w:shd w:val="clear" w:color="auto" w:fill="auto"/>
            <w:noWrap/>
          </w:tcPr>
          <w:p w14:paraId="7ED600EC" w14:textId="3F4D5D6D" w:rsidR="00415B79" w:rsidRPr="002E554D" w:rsidRDefault="00415B79" w:rsidP="00415B7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-0.886</w:t>
            </w:r>
          </w:p>
        </w:tc>
        <w:tc>
          <w:tcPr>
            <w:tcW w:w="469" w:type="pct"/>
            <w:tcBorders>
              <w:left w:val="single" w:sz="4" w:space="0" w:color="auto"/>
            </w:tcBorders>
            <w:shd w:val="clear" w:color="auto" w:fill="auto"/>
            <w:noWrap/>
          </w:tcPr>
          <w:p w14:paraId="72EE59BD" w14:textId="7BF0CB30"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-3.231</w:t>
            </w:r>
          </w:p>
        </w:tc>
        <w:tc>
          <w:tcPr>
            <w:tcW w:w="518" w:type="pct"/>
            <w:shd w:val="clear" w:color="auto" w:fill="auto"/>
            <w:noWrap/>
          </w:tcPr>
          <w:p w14:paraId="3CF5992D" w14:textId="79766EEE"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-2.608</w:t>
            </w:r>
          </w:p>
        </w:tc>
        <w:tc>
          <w:tcPr>
            <w:tcW w:w="469" w:type="pct"/>
            <w:tcBorders>
              <w:right w:val="single" w:sz="4" w:space="0" w:color="auto"/>
            </w:tcBorders>
            <w:shd w:val="clear" w:color="auto" w:fill="auto"/>
            <w:noWrap/>
          </w:tcPr>
          <w:p w14:paraId="35023461" w14:textId="1109708D" w:rsidR="00415B79" w:rsidRPr="002E554D" w:rsidRDefault="00415B79" w:rsidP="00415B7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-2.270</w:t>
            </w:r>
          </w:p>
        </w:tc>
      </w:tr>
      <w:tr w:rsidR="002E554D" w:rsidRPr="002E554D" w14:paraId="48E0B510" w14:textId="77777777" w:rsidTr="003F52ED">
        <w:trPr>
          <w:trHeight w:val="300"/>
          <w:jc w:val="center"/>
        </w:trPr>
        <w:tc>
          <w:tcPr>
            <w:tcW w:w="625" w:type="pct"/>
            <w:tcBorders>
              <w:left w:val="single" w:sz="4" w:space="0" w:color="auto"/>
              <w:right w:val="single" w:sz="4" w:space="0" w:color="auto"/>
            </w:tcBorders>
            <w:shd w:val="clear" w:color="auto" w:fill="auto"/>
            <w:noWrap/>
            <w:vAlign w:val="bottom"/>
            <w:hideMark/>
          </w:tcPr>
          <w:p w14:paraId="111E2D11" w14:textId="77777777"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31" w:type="pct"/>
            <w:tcBorders>
              <w:left w:val="single" w:sz="4" w:space="0" w:color="auto"/>
              <w:right w:val="single" w:sz="4" w:space="0" w:color="auto"/>
            </w:tcBorders>
            <w:shd w:val="clear" w:color="auto" w:fill="auto"/>
            <w:noWrap/>
          </w:tcPr>
          <w:p w14:paraId="4DB3B101" w14:textId="7391C921" w:rsidR="00415B79" w:rsidRPr="002E554D" w:rsidRDefault="00415B79" w:rsidP="00415B79">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-1.788</w:t>
            </w:r>
          </w:p>
        </w:tc>
        <w:tc>
          <w:tcPr>
            <w:tcW w:w="469" w:type="pct"/>
            <w:tcBorders>
              <w:left w:val="single" w:sz="4" w:space="0" w:color="auto"/>
            </w:tcBorders>
            <w:shd w:val="clear" w:color="auto" w:fill="auto"/>
            <w:noWrap/>
          </w:tcPr>
          <w:p w14:paraId="019A4650" w14:textId="70ABA12F" w:rsidR="00415B79" w:rsidRPr="002E554D" w:rsidRDefault="00415B79" w:rsidP="00415B7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-3.215</w:t>
            </w:r>
          </w:p>
        </w:tc>
        <w:tc>
          <w:tcPr>
            <w:tcW w:w="470" w:type="pct"/>
            <w:shd w:val="clear" w:color="auto" w:fill="auto"/>
            <w:noWrap/>
          </w:tcPr>
          <w:p w14:paraId="16882177" w14:textId="330AE6B9" w:rsidR="00415B79" w:rsidRPr="002E554D" w:rsidRDefault="00415B79" w:rsidP="00415B7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-2.584</w:t>
            </w:r>
          </w:p>
        </w:tc>
        <w:tc>
          <w:tcPr>
            <w:tcW w:w="518" w:type="pct"/>
            <w:tcBorders>
              <w:right w:val="single" w:sz="4" w:space="0" w:color="auto"/>
            </w:tcBorders>
            <w:shd w:val="clear" w:color="auto" w:fill="auto"/>
            <w:noWrap/>
          </w:tcPr>
          <w:p w14:paraId="7F7880C2" w14:textId="33B3834F"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-2.244</w:t>
            </w:r>
          </w:p>
        </w:tc>
        <w:tc>
          <w:tcPr>
            <w:tcW w:w="731" w:type="pct"/>
            <w:tcBorders>
              <w:left w:val="single" w:sz="4" w:space="0" w:color="auto"/>
              <w:right w:val="single" w:sz="4" w:space="0" w:color="auto"/>
            </w:tcBorders>
            <w:shd w:val="clear" w:color="auto" w:fill="auto"/>
            <w:noWrap/>
          </w:tcPr>
          <w:p w14:paraId="4CF09676" w14:textId="691E0419" w:rsidR="00415B79" w:rsidRPr="002E554D" w:rsidRDefault="00415B79" w:rsidP="00415B7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-2.355***</w:t>
            </w:r>
          </w:p>
        </w:tc>
        <w:tc>
          <w:tcPr>
            <w:tcW w:w="469" w:type="pct"/>
            <w:tcBorders>
              <w:left w:val="single" w:sz="4" w:space="0" w:color="auto"/>
            </w:tcBorders>
            <w:shd w:val="clear" w:color="auto" w:fill="auto"/>
            <w:noWrap/>
          </w:tcPr>
          <w:p w14:paraId="44C91864" w14:textId="0196883E" w:rsidR="00415B79" w:rsidRPr="002E554D" w:rsidRDefault="00415B79" w:rsidP="00415B7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-3.237</w:t>
            </w:r>
          </w:p>
        </w:tc>
        <w:tc>
          <w:tcPr>
            <w:tcW w:w="518" w:type="pct"/>
            <w:shd w:val="clear" w:color="auto" w:fill="auto"/>
            <w:noWrap/>
          </w:tcPr>
          <w:p w14:paraId="71B980E7" w14:textId="1050F46D"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-2.617</w:t>
            </w:r>
          </w:p>
        </w:tc>
        <w:tc>
          <w:tcPr>
            <w:tcW w:w="469" w:type="pct"/>
            <w:tcBorders>
              <w:right w:val="single" w:sz="4" w:space="0" w:color="auto"/>
            </w:tcBorders>
            <w:shd w:val="clear" w:color="auto" w:fill="auto"/>
            <w:noWrap/>
          </w:tcPr>
          <w:p w14:paraId="7493102E" w14:textId="6350B763"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-2.281</w:t>
            </w:r>
          </w:p>
        </w:tc>
      </w:tr>
      <w:tr w:rsidR="002E554D" w:rsidRPr="002E554D" w14:paraId="2FBA1B4D" w14:textId="77777777" w:rsidTr="003F52ED">
        <w:trPr>
          <w:trHeight w:val="300"/>
          <w:jc w:val="center"/>
        </w:trPr>
        <w:tc>
          <w:tcPr>
            <w:tcW w:w="625" w:type="pct"/>
            <w:tcBorders>
              <w:left w:val="single" w:sz="4" w:space="0" w:color="auto"/>
              <w:right w:val="single" w:sz="4" w:space="0" w:color="auto"/>
            </w:tcBorders>
            <w:shd w:val="clear" w:color="auto" w:fill="auto"/>
            <w:noWrap/>
            <w:vAlign w:val="bottom"/>
            <w:hideMark/>
          </w:tcPr>
          <w:p w14:paraId="6F8F067E" w14:textId="77777777"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31" w:type="pct"/>
            <w:tcBorders>
              <w:left w:val="single" w:sz="4" w:space="0" w:color="auto"/>
              <w:right w:val="single" w:sz="4" w:space="0" w:color="auto"/>
            </w:tcBorders>
            <w:shd w:val="clear" w:color="auto" w:fill="auto"/>
            <w:noWrap/>
          </w:tcPr>
          <w:p w14:paraId="5CF90E40" w14:textId="6BBBF5CA" w:rsidR="00415B79" w:rsidRPr="002E554D" w:rsidRDefault="00415B79" w:rsidP="00415B7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-3.104**</w:t>
            </w:r>
          </w:p>
        </w:tc>
        <w:tc>
          <w:tcPr>
            <w:tcW w:w="469" w:type="pct"/>
            <w:tcBorders>
              <w:left w:val="single" w:sz="4" w:space="0" w:color="auto"/>
            </w:tcBorders>
            <w:shd w:val="clear" w:color="auto" w:fill="auto"/>
            <w:noWrap/>
          </w:tcPr>
          <w:p w14:paraId="59A49E77" w14:textId="53B2101E" w:rsidR="00415B79" w:rsidRPr="002E554D" w:rsidRDefault="00415B79" w:rsidP="00415B7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-3.167</w:t>
            </w:r>
          </w:p>
        </w:tc>
        <w:tc>
          <w:tcPr>
            <w:tcW w:w="470" w:type="pct"/>
            <w:shd w:val="clear" w:color="auto" w:fill="auto"/>
            <w:noWrap/>
          </w:tcPr>
          <w:p w14:paraId="1B6026AE" w14:textId="1F641500"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-2.521</w:t>
            </w:r>
          </w:p>
        </w:tc>
        <w:tc>
          <w:tcPr>
            <w:tcW w:w="518" w:type="pct"/>
            <w:tcBorders>
              <w:right w:val="single" w:sz="4" w:space="0" w:color="auto"/>
            </w:tcBorders>
            <w:shd w:val="clear" w:color="auto" w:fill="auto"/>
            <w:noWrap/>
          </w:tcPr>
          <w:p w14:paraId="52B8A6D2" w14:textId="06779195"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-2.181</w:t>
            </w:r>
          </w:p>
        </w:tc>
        <w:tc>
          <w:tcPr>
            <w:tcW w:w="731" w:type="pct"/>
            <w:tcBorders>
              <w:left w:val="single" w:sz="4" w:space="0" w:color="auto"/>
              <w:right w:val="single" w:sz="4" w:space="0" w:color="auto"/>
            </w:tcBorders>
            <w:shd w:val="clear" w:color="auto" w:fill="auto"/>
            <w:noWrap/>
          </w:tcPr>
          <w:p w14:paraId="10E49651" w14:textId="19BBCCD1" w:rsidR="00415B79" w:rsidRPr="002E554D" w:rsidRDefault="00415B79" w:rsidP="00415B7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-2.790**</w:t>
            </w:r>
          </w:p>
        </w:tc>
        <w:tc>
          <w:tcPr>
            <w:tcW w:w="469" w:type="pct"/>
            <w:tcBorders>
              <w:left w:val="single" w:sz="4" w:space="0" w:color="auto"/>
            </w:tcBorders>
            <w:shd w:val="clear" w:color="auto" w:fill="auto"/>
            <w:noWrap/>
          </w:tcPr>
          <w:p w14:paraId="2C67549A" w14:textId="5B0D38E8" w:rsidR="00415B79" w:rsidRPr="002E554D" w:rsidRDefault="00415B79" w:rsidP="00415B7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-3.204</w:t>
            </w:r>
          </w:p>
        </w:tc>
        <w:tc>
          <w:tcPr>
            <w:tcW w:w="518" w:type="pct"/>
            <w:shd w:val="clear" w:color="auto" w:fill="auto"/>
            <w:noWrap/>
          </w:tcPr>
          <w:p w14:paraId="1325741C" w14:textId="18C9640D"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-2.569</w:t>
            </w:r>
          </w:p>
        </w:tc>
        <w:tc>
          <w:tcPr>
            <w:tcW w:w="469" w:type="pct"/>
            <w:tcBorders>
              <w:right w:val="single" w:sz="4" w:space="0" w:color="auto"/>
            </w:tcBorders>
            <w:shd w:val="clear" w:color="auto" w:fill="auto"/>
            <w:noWrap/>
          </w:tcPr>
          <w:p w14:paraId="1EE419AF" w14:textId="5F31AEDA"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-2.229</w:t>
            </w:r>
          </w:p>
        </w:tc>
      </w:tr>
      <w:tr w:rsidR="002E554D" w:rsidRPr="002E554D" w14:paraId="1D30A43E" w14:textId="77777777" w:rsidTr="003F52ED">
        <w:trPr>
          <w:trHeight w:val="300"/>
          <w:jc w:val="center"/>
        </w:trPr>
        <w:tc>
          <w:tcPr>
            <w:tcW w:w="625" w:type="pct"/>
            <w:tcBorders>
              <w:left w:val="single" w:sz="4" w:space="0" w:color="auto"/>
              <w:right w:val="single" w:sz="4" w:space="0" w:color="auto"/>
            </w:tcBorders>
            <w:shd w:val="clear" w:color="auto" w:fill="auto"/>
            <w:noWrap/>
            <w:vAlign w:val="bottom"/>
            <w:hideMark/>
          </w:tcPr>
          <w:p w14:paraId="11B632D1" w14:textId="77777777"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31" w:type="pct"/>
            <w:tcBorders>
              <w:left w:val="single" w:sz="4" w:space="0" w:color="auto"/>
              <w:right w:val="single" w:sz="4" w:space="0" w:color="auto"/>
            </w:tcBorders>
            <w:shd w:val="clear" w:color="auto" w:fill="auto"/>
            <w:noWrap/>
          </w:tcPr>
          <w:p w14:paraId="15C8273D" w14:textId="4F710949" w:rsidR="00415B79" w:rsidRPr="002E554D" w:rsidRDefault="00415B79" w:rsidP="00415B7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-3.308***</w:t>
            </w:r>
          </w:p>
        </w:tc>
        <w:tc>
          <w:tcPr>
            <w:tcW w:w="469" w:type="pct"/>
            <w:tcBorders>
              <w:left w:val="single" w:sz="4" w:space="0" w:color="auto"/>
            </w:tcBorders>
            <w:shd w:val="clear" w:color="auto" w:fill="auto"/>
            <w:noWrap/>
          </w:tcPr>
          <w:p w14:paraId="3A960230" w14:textId="2406D8F8" w:rsidR="00415B79" w:rsidRPr="002E554D" w:rsidRDefault="00415B79" w:rsidP="00415B7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-3.082</w:t>
            </w:r>
          </w:p>
        </w:tc>
        <w:tc>
          <w:tcPr>
            <w:tcW w:w="470" w:type="pct"/>
            <w:shd w:val="clear" w:color="auto" w:fill="auto"/>
            <w:noWrap/>
          </w:tcPr>
          <w:p w14:paraId="27DEB9AA" w14:textId="66E79A08"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-2.425</w:t>
            </w:r>
          </w:p>
        </w:tc>
        <w:tc>
          <w:tcPr>
            <w:tcW w:w="518" w:type="pct"/>
            <w:tcBorders>
              <w:right w:val="single" w:sz="4" w:space="0" w:color="auto"/>
            </w:tcBorders>
            <w:shd w:val="clear" w:color="auto" w:fill="auto"/>
            <w:noWrap/>
          </w:tcPr>
          <w:p w14:paraId="26857A83" w14:textId="3408B1E3"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-2.082</w:t>
            </w:r>
          </w:p>
        </w:tc>
        <w:tc>
          <w:tcPr>
            <w:tcW w:w="731" w:type="pct"/>
            <w:tcBorders>
              <w:left w:val="single" w:sz="4" w:space="0" w:color="auto"/>
              <w:right w:val="single" w:sz="4" w:space="0" w:color="auto"/>
            </w:tcBorders>
            <w:shd w:val="clear" w:color="auto" w:fill="auto"/>
            <w:noWrap/>
          </w:tcPr>
          <w:p w14:paraId="69B9BF91" w14:textId="35B8FDF7" w:rsidR="00415B79" w:rsidRPr="002E554D" w:rsidRDefault="00415B79" w:rsidP="00415B7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-3.411***</w:t>
            </w:r>
          </w:p>
        </w:tc>
        <w:tc>
          <w:tcPr>
            <w:tcW w:w="469" w:type="pct"/>
            <w:tcBorders>
              <w:left w:val="single" w:sz="4" w:space="0" w:color="auto"/>
            </w:tcBorders>
            <w:shd w:val="clear" w:color="auto" w:fill="auto"/>
            <w:noWrap/>
          </w:tcPr>
          <w:p w14:paraId="15F6FE90" w14:textId="6CEE8D27" w:rsidR="00415B79" w:rsidRPr="002E554D" w:rsidRDefault="00415B79" w:rsidP="00415B7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-3.088</w:t>
            </w:r>
          </w:p>
        </w:tc>
        <w:tc>
          <w:tcPr>
            <w:tcW w:w="518" w:type="pct"/>
            <w:shd w:val="clear" w:color="auto" w:fill="auto"/>
            <w:noWrap/>
          </w:tcPr>
          <w:p w14:paraId="3F908878" w14:textId="11168D21"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-2.430</w:t>
            </w:r>
          </w:p>
        </w:tc>
        <w:tc>
          <w:tcPr>
            <w:tcW w:w="469" w:type="pct"/>
            <w:tcBorders>
              <w:right w:val="single" w:sz="4" w:space="0" w:color="auto"/>
            </w:tcBorders>
            <w:shd w:val="clear" w:color="auto" w:fill="auto"/>
            <w:noWrap/>
          </w:tcPr>
          <w:p w14:paraId="26D0393D" w14:textId="5127002C"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-2.088</w:t>
            </w:r>
          </w:p>
        </w:tc>
      </w:tr>
      <w:tr w:rsidR="002E554D" w:rsidRPr="002E554D" w14:paraId="3DCEBD71" w14:textId="77777777" w:rsidTr="003F52ED">
        <w:trPr>
          <w:trHeight w:val="300"/>
          <w:jc w:val="center"/>
        </w:trPr>
        <w:tc>
          <w:tcPr>
            <w:tcW w:w="625" w:type="pct"/>
            <w:tcBorders>
              <w:left w:val="single" w:sz="4" w:space="0" w:color="auto"/>
              <w:right w:val="single" w:sz="4" w:space="0" w:color="auto"/>
            </w:tcBorders>
            <w:shd w:val="clear" w:color="auto" w:fill="auto"/>
            <w:noWrap/>
            <w:vAlign w:val="bottom"/>
            <w:hideMark/>
          </w:tcPr>
          <w:p w14:paraId="6E199226" w14:textId="77777777"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31" w:type="pct"/>
            <w:tcBorders>
              <w:left w:val="single" w:sz="4" w:space="0" w:color="auto"/>
              <w:right w:val="single" w:sz="4" w:space="0" w:color="auto"/>
            </w:tcBorders>
            <w:shd w:val="clear" w:color="auto" w:fill="auto"/>
            <w:noWrap/>
          </w:tcPr>
          <w:p w14:paraId="66089B69" w14:textId="5B55D043" w:rsidR="00415B79" w:rsidRPr="002E554D" w:rsidRDefault="00415B79" w:rsidP="00415B7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-3.572***</w:t>
            </w:r>
          </w:p>
        </w:tc>
        <w:tc>
          <w:tcPr>
            <w:tcW w:w="469" w:type="pct"/>
            <w:tcBorders>
              <w:left w:val="single" w:sz="4" w:space="0" w:color="auto"/>
            </w:tcBorders>
            <w:shd w:val="clear" w:color="auto" w:fill="auto"/>
            <w:noWrap/>
          </w:tcPr>
          <w:p w14:paraId="733F02A7" w14:textId="6F448415" w:rsidR="00415B79" w:rsidRPr="002E554D" w:rsidRDefault="00415B79" w:rsidP="00415B7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-2.903</w:t>
            </w:r>
          </w:p>
        </w:tc>
        <w:tc>
          <w:tcPr>
            <w:tcW w:w="470" w:type="pct"/>
            <w:shd w:val="clear" w:color="auto" w:fill="auto"/>
            <w:noWrap/>
          </w:tcPr>
          <w:p w14:paraId="5355B601" w14:textId="44910913"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-2.243</w:t>
            </w:r>
          </w:p>
        </w:tc>
        <w:tc>
          <w:tcPr>
            <w:tcW w:w="518" w:type="pct"/>
            <w:tcBorders>
              <w:right w:val="single" w:sz="4" w:space="0" w:color="auto"/>
            </w:tcBorders>
            <w:shd w:val="clear" w:color="auto" w:fill="auto"/>
            <w:noWrap/>
          </w:tcPr>
          <w:p w14:paraId="1A342F97" w14:textId="62CB7CD8"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-1.887</w:t>
            </w:r>
          </w:p>
        </w:tc>
        <w:tc>
          <w:tcPr>
            <w:tcW w:w="731" w:type="pct"/>
            <w:tcBorders>
              <w:left w:val="single" w:sz="4" w:space="0" w:color="auto"/>
              <w:right w:val="single" w:sz="4" w:space="0" w:color="auto"/>
            </w:tcBorders>
            <w:shd w:val="clear" w:color="auto" w:fill="auto"/>
            <w:noWrap/>
          </w:tcPr>
          <w:p w14:paraId="5F12648F" w14:textId="3060FF8C" w:rsidR="00415B79" w:rsidRPr="002E554D" w:rsidRDefault="00415B79" w:rsidP="00415B7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-3.506***</w:t>
            </w:r>
          </w:p>
        </w:tc>
        <w:tc>
          <w:tcPr>
            <w:tcW w:w="469" w:type="pct"/>
            <w:tcBorders>
              <w:left w:val="single" w:sz="4" w:space="0" w:color="auto"/>
            </w:tcBorders>
            <w:shd w:val="clear" w:color="auto" w:fill="auto"/>
            <w:noWrap/>
          </w:tcPr>
          <w:p w14:paraId="5FA89E56" w14:textId="2B565C1D" w:rsidR="00415B79" w:rsidRPr="002E554D" w:rsidRDefault="00415B79" w:rsidP="00415B7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-2.912</w:t>
            </w:r>
          </w:p>
        </w:tc>
        <w:tc>
          <w:tcPr>
            <w:tcW w:w="518" w:type="pct"/>
            <w:shd w:val="clear" w:color="auto" w:fill="auto"/>
            <w:noWrap/>
          </w:tcPr>
          <w:p w14:paraId="62CF21A8" w14:textId="69F9809F"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-2.252</w:t>
            </w:r>
          </w:p>
        </w:tc>
        <w:tc>
          <w:tcPr>
            <w:tcW w:w="469" w:type="pct"/>
            <w:tcBorders>
              <w:right w:val="single" w:sz="4" w:space="0" w:color="auto"/>
            </w:tcBorders>
            <w:shd w:val="clear" w:color="auto" w:fill="auto"/>
            <w:noWrap/>
          </w:tcPr>
          <w:p w14:paraId="3F4B10C2" w14:textId="578099F2"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-1.897</w:t>
            </w:r>
          </w:p>
        </w:tc>
      </w:tr>
      <w:tr w:rsidR="002E554D" w:rsidRPr="002E554D" w14:paraId="7CEA7984" w14:textId="77777777" w:rsidTr="003F52ED">
        <w:trPr>
          <w:trHeight w:val="300"/>
          <w:jc w:val="center"/>
        </w:trPr>
        <w:tc>
          <w:tcPr>
            <w:tcW w:w="625" w:type="pct"/>
            <w:tcBorders>
              <w:left w:val="single" w:sz="4" w:space="0" w:color="auto"/>
              <w:right w:val="single" w:sz="4" w:space="0" w:color="auto"/>
            </w:tcBorders>
            <w:shd w:val="clear" w:color="auto" w:fill="auto"/>
            <w:noWrap/>
            <w:vAlign w:val="bottom"/>
            <w:hideMark/>
          </w:tcPr>
          <w:p w14:paraId="3F465F28" w14:textId="77777777"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31" w:type="pct"/>
            <w:tcBorders>
              <w:left w:val="single" w:sz="4" w:space="0" w:color="auto"/>
              <w:right w:val="single" w:sz="4" w:space="0" w:color="auto"/>
            </w:tcBorders>
            <w:shd w:val="clear" w:color="auto" w:fill="auto"/>
            <w:noWrap/>
          </w:tcPr>
          <w:p w14:paraId="09BD69D6" w14:textId="58B1CEBB" w:rsidR="00415B79" w:rsidRPr="002E554D" w:rsidRDefault="00415B79" w:rsidP="00415B7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-2.766***</w:t>
            </w:r>
          </w:p>
        </w:tc>
        <w:tc>
          <w:tcPr>
            <w:tcW w:w="469" w:type="pct"/>
            <w:tcBorders>
              <w:left w:val="single" w:sz="4" w:space="0" w:color="auto"/>
            </w:tcBorders>
            <w:shd w:val="clear" w:color="auto" w:fill="auto"/>
            <w:noWrap/>
          </w:tcPr>
          <w:p w14:paraId="4291E439" w14:textId="44450FA7" w:rsidR="00415B79" w:rsidRPr="002E554D" w:rsidRDefault="00415B79" w:rsidP="00415B7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-2.691</w:t>
            </w:r>
          </w:p>
        </w:tc>
        <w:tc>
          <w:tcPr>
            <w:tcW w:w="470" w:type="pct"/>
            <w:shd w:val="clear" w:color="auto" w:fill="auto"/>
            <w:noWrap/>
          </w:tcPr>
          <w:p w14:paraId="71ED425C" w14:textId="5EAD550A"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-2.019</w:t>
            </w:r>
          </w:p>
        </w:tc>
        <w:tc>
          <w:tcPr>
            <w:tcW w:w="518" w:type="pct"/>
            <w:tcBorders>
              <w:right w:val="single" w:sz="4" w:space="0" w:color="auto"/>
            </w:tcBorders>
            <w:shd w:val="clear" w:color="auto" w:fill="auto"/>
            <w:noWrap/>
          </w:tcPr>
          <w:p w14:paraId="3617B397" w14:textId="4CAB5FDE"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-1.659</w:t>
            </w:r>
          </w:p>
        </w:tc>
        <w:tc>
          <w:tcPr>
            <w:tcW w:w="731" w:type="pct"/>
            <w:tcBorders>
              <w:left w:val="single" w:sz="4" w:space="0" w:color="auto"/>
              <w:right w:val="single" w:sz="4" w:space="0" w:color="auto"/>
            </w:tcBorders>
            <w:shd w:val="clear" w:color="auto" w:fill="auto"/>
            <w:noWrap/>
          </w:tcPr>
          <w:p w14:paraId="46517E8C" w14:textId="2830E29C" w:rsidR="00415B79" w:rsidRPr="002E554D" w:rsidRDefault="00415B79" w:rsidP="00415B7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-3.078***</w:t>
            </w:r>
          </w:p>
        </w:tc>
        <w:tc>
          <w:tcPr>
            <w:tcW w:w="469" w:type="pct"/>
            <w:tcBorders>
              <w:left w:val="single" w:sz="4" w:space="0" w:color="auto"/>
            </w:tcBorders>
            <w:shd w:val="clear" w:color="auto" w:fill="auto"/>
            <w:noWrap/>
          </w:tcPr>
          <w:p w14:paraId="3F70A0C5" w14:textId="43F6EBC4" w:rsidR="00415B79" w:rsidRPr="002E554D" w:rsidRDefault="00415B79" w:rsidP="00415B7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-2.581</w:t>
            </w:r>
          </w:p>
        </w:tc>
        <w:tc>
          <w:tcPr>
            <w:tcW w:w="518" w:type="pct"/>
            <w:shd w:val="clear" w:color="auto" w:fill="auto"/>
            <w:noWrap/>
          </w:tcPr>
          <w:p w14:paraId="5ED46C39" w14:textId="3B3E6F69"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-1.906</w:t>
            </w:r>
          </w:p>
        </w:tc>
        <w:tc>
          <w:tcPr>
            <w:tcW w:w="469" w:type="pct"/>
            <w:tcBorders>
              <w:right w:val="single" w:sz="4" w:space="0" w:color="auto"/>
            </w:tcBorders>
            <w:shd w:val="clear" w:color="auto" w:fill="auto"/>
            <w:noWrap/>
          </w:tcPr>
          <w:p w14:paraId="1648AB90" w14:textId="1E5D6C39" w:rsidR="00415B79" w:rsidRPr="002E554D" w:rsidRDefault="00415B79" w:rsidP="00415B7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-1.546</w:t>
            </w:r>
          </w:p>
        </w:tc>
      </w:tr>
      <w:tr w:rsidR="002E554D" w:rsidRPr="002E554D" w14:paraId="6370D896" w14:textId="77777777" w:rsidTr="00CB6B3B">
        <w:trPr>
          <w:trHeight w:val="300"/>
          <w:jc w:val="center"/>
        </w:trPr>
        <w:tc>
          <w:tcPr>
            <w:tcW w:w="625" w:type="pct"/>
            <w:tcBorders>
              <w:left w:val="single" w:sz="4" w:space="0" w:color="auto"/>
              <w:right w:val="single" w:sz="4" w:space="0" w:color="auto"/>
            </w:tcBorders>
            <w:shd w:val="clear" w:color="auto" w:fill="auto"/>
            <w:noWrap/>
            <w:vAlign w:val="bottom"/>
          </w:tcPr>
          <w:p w14:paraId="4A44C4B9" w14:textId="77777777" w:rsidR="00E57EF0" w:rsidRPr="002E554D" w:rsidRDefault="00E57EF0" w:rsidP="00E546B1">
            <w:pPr>
              <w:spacing w:after="0" w:line="240" w:lineRule="auto"/>
              <w:jc w:val="center"/>
              <w:rPr>
                <w:rFonts w:ascii="Garamond" w:eastAsia="Times New Roman" w:hAnsi="Garamond" w:cs="Calibri"/>
                <w:b/>
                <w:bCs/>
                <w:color w:val="FF0000"/>
                <w:lang w:val="en-GB" w:eastAsia="en-GB"/>
              </w:rPr>
            </w:pPr>
          </w:p>
        </w:tc>
        <w:tc>
          <w:tcPr>
            <w:tcW w:w="2188" w:type="pct"/>
            <w:gridSpan w:val="4"/>
            <w:tcBorders>
              <w:left w:val="single" w:sz="4" w:space="0" w:color="auto"/>
              <w:right w:val="single" w:sz="4" w:space="0" w:color="auto"/>
            </w:tcBorders>
            <w:shd w:val="clear" w:color="auto" w:fill="auto"/>
            <w:noWrap/>
            <w:vAlign w:val="center"/>
          </w:tcPr>
          <w:p w14:paraId="5013603D" w14:textId="187D847E" w:rsidR="00E57EF0" w:rsidRPr="002E554D" w:rsidRDefault="00E57EF0">
            <w:pPr>
              <w:spacing w:after="0" w:line="240" w:lineRule="auto"/>
              <w:jc w:val="center"/>
              <w:rPr>
                <w:rFonts w:ascii="Garamond" w:eastAsia="Times New Roman" w:hAnsi="Garamond" w:cs="Calibri"/>
                <w:b/>
                <w:bCs/>
                <w:color w:val="FF0000"/>
                <w:lang w:val="en-GB" w:eastAsia="en-GB"/>
              </w:rPr>
            </w:pPr>
            <w:proofErr w:type="spellStart"/>
            <w:r w:rsidRPr="002E554D">
              <w:rPr>
                <w:rFonts w:ascii="Garamond" w:eastAsia="Times New Roman" w:hAnsi="Garamond" w:cs="Calibri"/>
                <w:b/>
                <w:bCs/>
                <w:color w:val="FF0000"/>
                <w:lang w:val="en-GB" w:eastAsia="en-GB"/>
              </w:rPr>
              <w:t>EuroStoxx</w:t>
            </w:r>
            <w:proofErr w:type="spellEnd"/>
          </w:p>
        </w:tc>
        <w:tc>
          <w:tcPr>
            <w:tcW w:w="2188" w:type="pct"/>
            <w:gridSpan w:val="4"/>
            <w:tcBorders>
              <w:left w:val="single" w:sz="4" w:space="0" w:color="auto"/>
              <w:right w:val="single" w:sz="4" w:space="0" w:color="auto"/>
            </w:tcBorders>
            <w:shd w:val="clear" w:color="auto" w:fill="auto"/>
            <w:noWrap/>
            <w:vAlign w:val="center"/>
          </w:tcPr>
          <w:p w14:paraId="0102CCA0" w14:textId="23EC2ABF" w:rsidR="00E57EF0" w:rsidRPr="002E554D" w:rsidRDefault="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EuroStoxx50</w:t>
            </w:r>
          </w:p>
        </w:tc>
      </w:tr>
      <w:tr w:rsidR="002E554D" w:rsidRPr="002E554D" w14:paraId="44756325" w14:textId="77777777" w:rsidTr="003647AB">
        <w:trPr>
          <w:trHeight w:val="300"/>
          <w:jc w:val="center"/>
        </w:trPr>
        <w:tc>
          <w:tcPr>
            <w:tcW w:w="625" w:type="pct"/>
            <w:tcBorders>
              <w:left w:val="single" w:sz="4" w:space="0" w:color="auto"/>
              <w:right w:val="single" w:sz="4" w:space="0" w:color="auto"/>
            </w:tcBorders>
            <w:shd w:val="clear" w:color="auto" w:fill="auto"/>
            <w:noWrap/>
            <w:vAlign w:val="bottom"/>
            <w:hideMark/>
          </w:tcPr>
          <w:p w14:paraId="7B31D0C0" w14:textId="77777777"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31" w:type="pct"/>
            <w:tcBorders>
              <w:left w:val="single" w:sz="4" w:space="0" w:color="auto"/>
              <w:right w:val="single" w:sz="4" w:space="0" w:color="auto"/>
            </w:tcBorders>
            <w:shd w:val="clear" w:color="auto" w:fill="auto"/>
            <w:noWrap/>
          </w:tcPr>
          <w:p w14:paraId="41224E63" w14:textId="0D30EAAE" w:rsidR="000C3C89" w:rsidRPr="002E554D" w:rsidRDefault="000C3C89" w:rsidP="000C3C8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2.946</w:t>
            </w:r>
          </w:p>
        </w:tc>
        <w:tc>
          <w:tcPr>
            <w:tcW w:w="469" w:type="pct"/>
            <w:tcBorders>
              <w:left w:val="single" w:sz="4" w:space="0" w:color="auto"/>
            </w:tcBorders>
            <w:shd w:val="clear" w:color="auto" w:fill="auto"/>
            <w:noWrap/>
          </w:tcPr>
          <w:p w14:paraId="5C25F086" w14:textId="47915C32"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-2.770</w:t>
            </w:r>
          </w:p>
        </w:tc>
        <w:tc>
          <w:tcPr>
            <w:tcW w:w="470" w:type="pct"/>
            <w:shd w:val="clear" w:color="auto" w:fill="auto"/>
            <w:noWrap/>
          </w:tcPr>
          <w:p w14:paraId="3689263D" w14:textId="1D5762FC"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-2.099</w:t>
            </w:r>
          </w:p>
        </w:tc>
        <w:tc>
          <w:tcPr>
            <w:tcW w:w="518" w:type="pct"/>
            <w:tcBorders>
              <w:right w:val="single" w:sz="4" w:space="0" w:color="auto"/>
            </w:tcBorders>
            <w:shd w:val="clear" w:color="auto" w:fill="auto"/>
            <w:noWrap/>
          </w:tcPr>
          <w:p w14:paraId="468CB8AB" w14:textId="27B4C5D1"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-1.739</w:t>
            </w:r>
          </w:p>
        </w:tc>
        <w:tc>
          <w:tcPr>
            <w:tcW w:w="731" w:type="pct"/>
            <w:tcBorders>
              <w:left w:val="single" w:sz="4" w:space="0" w:color="auto"/>
              <w:right w:val="single" w:sz="4" w:space="0" w:color="auto"/>
            </w:tcBorders>
            <w:shd w:val="clear" w:color="auto" w:fill="auto"/>
            <w:noWrap/>
          </w:tcPr>
          <w:p w14:paraId="1F954F0A" w14:textId="49C73A40" w:rsidR="000C3C89" w:rsidRPr="002E554D" w:rsidRDefault="000C3C89" w:rsidP="000C3C8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2.689</w:t>
            </w:r>
          </w:p>
        </w:tc>
        <w:tc>
          <w:tcPr>
            <w:tcW w:w="469" w:type="pct"/>
            <w:tcBorders>
              <w:left w:val="single" w:sz="4" w:space="0" w:color="auto"/>
            </w:tcBorders>
            <w:shd w:val="clear" w:color="auto" w:fill="auto"/>
            <w:noWrap/>
          </w:tcPr>
          <w:p w14:paraId="3E060115" w14:textId="0EE8AA4B"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-2.843</w:t>
            </w:r>
          </w:p>
        </w:tc>
        <w:tc>
          <w:tcPr>
            <w:tcW w:w="518" w:type="pct"/>
            <w:shd w:val="clear" w:color="auto" w:fill="auto"/>
            <w:noWrap/>
          </w:tcPr>
          <w:p w14:paraId="0764634A" w14:textId="4EBBCB1F"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-2.174</w:t>
            </w:r>
          </w:p>
        </w:tc>
        <w:tc>
          <w:tcPr>
            <w:tcW w:w="469" w:type="pct"/>
            <w:tcBorders>
              <w:right w:val="single" w:sz="4" w:space="0" w:color="auto"/>
            </w:tcBorders>
            <w:shd w:val="clear" w:color="auto" w:fill="auto"/>
            <w:noWrap/>
          </w:tcPr>
          <w:p w14:paraId="3141CD80" w14:textId="77435E56"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-1.815</w:t>
            </w:r>
          </w:p>
        </w:tc>
      </w:tr>
      <w:tr w:rsidR="002E554D" w:rsidRPr="002E554D" w14:paraId="04E8D21C" w14:textId="77777777" w:rsidTr="003647AB">
        <w:trPr>
          <w:trHeight w:val="300"/>
          <w:jc w:val="center"/>
        </w:trPr>
        <w:tc>
          <w:tcPr>
            <w:tcW w:w="625" w:type="pct"/>
            <w:tcBorders>
              <w:left w:val="single" w:sz="4" w:space="0" w:color="auto"/>
              <w:right w:val="single" w:sz="4" w:space="0" w:color="auto"/>
            </w:tcBorders>
            <w:shd w:val="clear" w:color="auto" w:fill="auto"/>
            <w:noWrap/>
            <w:vAlign w:val="bottom"/>
            <w:hideMark/>
          </w:tcPr>
          <w:p w14:paraId="66694C65" w14:textId="77777777"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31" w:type="pct"/>
            <w:tcBorders>
              <w:left w:val="single" w:sz="4" w:space="0" w:color="auto"/>
              <w:right w:val="single" w:sz="4" w:space="0" w:color="auto"/>
            </w:tcBorders>
            <w:shd w:val="clear" w:color="auto" w:fill="auto"/>
            <w:noWrap/>
          </w:tcPr>
          <w:p w14:paraId="70A4A33E" w14:textId="21687162" w:rsidR="000C3C89" w:rsidRPr="002E554D" w:rsidRDefault="000C3C89" w:rsidP="000C3C8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1.503</w:t>
            </w:r>
          </w:p>
        </w:tc>
        <w:tc>
          <w:tcPr>
            <w:tcW w:w="469" w:type="pct"/>
            <w:tcBorders>
              <w:left w:val="single" w:sz="4" w:space="0" w:color="auto"/>
            </w:tcBorders>
            <w:shd w:val="clear" w:color="auto" w:fill="auto"/>
            <w:noWrap/>
          </w:tcPr>
          <w:p w14:paraId="77177895" w14:textId="2D97D91B"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-3.060</w:t>
            </w:r>
          </w:p>
        </w:tc>
        <w:tc>
          <w:tcPr>
            <w:tcW w:w="470" w:type="pct"/>
            <w:shd w:val="clear" w:color="auto" w:fill="auto"/>
            <w:noWrap/>
          </w:tcPr>
          <w:p w14:paraId="5A79DE18" w14:textId="40258A71"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-2.405</w:t>
            </w:r>
          </w:p>
        </w:tc>
        <w:tc>
          <w:tcPr>
            <w:tcW w:w="518" w:type="pct"/>
            <w:tcBorders>
              <w:right w:val="single" w:sz="4" w:space="0" w:color="auto"/>
            </w:tcBorders>
            <w:shd w:val="clear" w:color="auto" w:fill="auto"/>
            <w:noWrap/>
          </w:tcPr>
          <w:p w14:paraId="104A2333" w14:textId="6D1CE6B4"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-2.060</w:t>
            </w:r>
          </w:p>
        </w:tc>
        <w:tc>
          <w:tcPr>
            <w:tcW w:w="731" w:type="pct"/>
            <w:tcBorders>
              <w:left w:val="single" w:sz="4" w:space="0" w:color="auto"/>
              <w:right w:val="single" w:sz="4" w:space="0" w:color="auto"/>
            </w:tcBorders>
            <w:shd w:val="clear" w:color="auto" w:fill="auto"/>
            <w:noWrap/>
          </w:tcPr>
          <w:p w14:paraId="07352543" w14:textId="4A2F5271" w:rsidR="000C3C89" w:rsidRPr="002E554D" w:rsidRDefault="000C3C89" w:rsidP="000C3C8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2.867</w:t>
            </w:r>
          </w:p>
        </w:tc>
        <w:tc>
          <w:tcPr>
            <w:tcW w:w="469" w:type="pct"/>
            <w:tcBorders>
              <w:left w:val="single" w:sz="4" w:space="0" w:color="auto"/>
            </w:tcBorders>
            <w:shd w:val="clear" w:color="auto" w:fill="auto"/>
            <w:noWrap/>
          </w:tcPr>
          <w:p w14:paraId="1CE324A1" w14:textId="3D340892"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-3.038</w:t>
            </w:r>
          </w:p>
        </w:tc>
        <w:tc>
          <w:tcPr>
            <w:tcW w:w="518" w:type="pct"/>
            <w:shd w:val="clear" w:color="auto" w:fill="auto"/>
            <w:noWrap/>
          </w:tcPr>
          <w:p w14:paraId="5100EB2F" w14:textId="0C7B36D0"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-2.385</w:t>
            </w:r>
          </w:p>
        </w:tc>
        <w:tc>
          <w:tcPr>
            <w:tcW w:w="469" w:type="pct"/>
            <w:tcBorders>
              <w:right w:val="single" w:sz="4" w:space="0" w:color="auto"/>
            </w:tcBorders>
            <w:shd w:val="clear" w:color="auto" w:fill="auto"/>
            <w:noWrap/>
          </w:tcPr>
          <w:p w14:paraId="2B4B5AD8" w14:textId="0B493395"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-2.038</w:t>
            </w:r>
          </w:p>
        </w:tc>
      </w:tr>
      <w:tr w:rsidR="002E554D" w:rsidRPr="002E554D" w14:paraId="2ED26F1A" w14:textId="77777777" w:rsidTr="003647AB">
        <w:trPr>
          <w:trHeight w:val="300"/>
          <w:jc w:val="center"/>
        </w:trPr>
        <w:tc>
          <w:tcPr>
            <w:tcW w:w="625" w:type="pct"/>
            <w:tcBorders>
              <w:left w:val="single" w:sz="4" w:space="0" w:color="auto"/>
              <w:right w:val="single" w:sz="4" w:space="0" w:color="auto"/>
            </w:tcBorders>
            <w:shd w:val="clear" w:color="auto" w:fill="auto"/>
            <w:noWrap/>
            <w:vAlign w:val="bottom"/>
            <w:hideMark/>
          </w:tcPr>
          <w:p w14:paraId="72D13424" w14:textId="77777777"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31" w:type="pct"/>
            <w:tcBorders>
              <w:left w:val="single" w:sz="4" w:space="0" w:color="auto"/>
              <w:right w:val="single" w:sz="4" w:space="0" w:color="auto"/>
            </w:tcBorders>
            <w:shd w:val="clear" w:color="auto" w:fill="auto"/>
            <w:noWrap/>
          </w:tcPr>
          <w:p w14:paraId="5ECA3D37" w14:textId="7EAB572D" w:rsidR="000C3C89" w:rsidRPr="002E554D" w:rsidRDefault="000C3C89" w:rsidP="000C3C8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1.999</w:t>
            </w:r>
          </w:p>
        </w:tc>
        <w:tc>
          <w:tcPr>
            <w:tcW w:w="469" w:type="pct"/>
            <w:tcBorders>
              <w:left w:val="single" w:sz="4" w:space="0" w:color="auto"/>
            </w:tcBorders>
            <w:shd w:val="clear" w:color="auto" w:fill="auto"/>
            <w:noWrap/>
          </w:tcPr>
          <w:p w14:paraId="0F9B55CD" w14:textId="3A97FB51"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-3.158</w:t>
            </w:r>
          </w:p>
        </w:tc>
        <w:tc>
          <w:tcPr>
            <w:tcW w:w="470" w:type="pct"/>
            <w:shd w:val="clear" w:color="auto" w:fill="auto"/>
            <w:noWrap/>
          </w:tcPr>
          <w:p w14:paraId="553765C0" w14:textId="1FAA48ED"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-2.509</w:t>
            </w:r>
          </w:p>
        </w:tc>
        <w:tc>
          <w:tcPr>
            <w:tcW w:w="518" w:type="pct"/>
            <w:tcBorders>
              <w:right w:val="single" w:sz="4" w:space="0" w:color="auto"/>
            </w:tcBorders>
            <w:shd w:val="clear" w:color="auto" w:fill="auto"/>
            <w:noWrap/>
          </w:tcPr>
          <w:p w14:paraId="49474D24" w14:textId="71940616" w:rsidR="000C3C89" w:rsidRPr="002E554D" w:rsidRDefault="000C3C89" w:rsidP="000C3C8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-2.169</w:t>
            </w:r>
          </w:p>
        </w:tc>
        <w:tc>
          <w:tcPr>
            <w:tcW w:w="731" w:type="pct"/>
            <w:tcBorders>
              <w:left w:val="single" w:sz="4" w:space="0" w:color="auto"/>
              <w:right w:val="single" w:sz="4" w:space="0" w:color="auto"/>
            </w:tcBorders>
            <w:shd w:val="clear" w:color="auto" w:fill="auto"/>
            <w:noWrap/>
          </w:tcPr>
          <w:p w14:paraId="4F67487A" w14:textId="205D8715" w:rsidR="000C3C89" w:rsidRPr="002E554D" w:rsidRDefault="000C3C89" w:rsidP="000C3C8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1.224</w:t>
            </w:r>
          </w:p>
        </w:tc>
        <w:tc>
          <w:tcPr>
            <w:tcW w:w="469" w:type="pct"/>
            <w:tcBorders>
              <w:left w:val="single" w:sz="4" w:space="0" w:color="auto"/>
            </w:tcBorders>
            <w:shd w:val="clear" w:color="auto" w:fill="auto"/>
            <w:noWrap/>
          </w:tcPr>
          <w:p w14:paraId="48544776" w14:textId="7CD746CD"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-3.157</w:t>
            </w:r>
          </w:p>
        </w:tc>
        <w:tc>
          <w:tcPr>
            <w:tcW w:w="518" w:type="pct"/>
            <w:shd w:val="clear" w:color="auto" w:fill="auto"/>
            <w:noWrap/>
          </w:tcPr>
          <w:p w14:paraId="64465D38" w14:textId="22662B1E"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-2.508</w:t>
            </w:r>
          </w:p>
        </w:tc>
        <w:tc>
          <w:tcPr>
            <w:tcW w:w="469" w:type="pct"/>
            <w:tcBorders>
              <w:right w:val="single" w:sz="4" w:space="0" w:color="auto"/>
            </w:tcBorders>
            <w:shd w:val="clear" w:color="auto" w:fill="auto"/>
            <w:noWrap/>
          </w:tcPr>
          <w:p w14:paraId="7A732800" w14:textId="05BC9F05"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-2.168</w:t>
            </w:r>
          </w:p>
        </w:tc>
      </w:tr>
      <w:tr w:rsidR="002E554D" w:rsidRPr="002E554D" w14:paraId="153B7500" w14:textId="77777777" w:rsidTr="003647AB">
        <w:trPr>
          <w:trHeight w:val="300"/>
          <w:jc w:val="center"/>
        </w:trPr>
        <w:tc>
          <w:tcPr>
            <w:tcW w:w="625" w:type="pct"/>
            <w:tcBorders>
              <w:left w:val="single" w:sz="4" w:space="0" w:color="auto"/>
              <w:right w:val="single" w:sz="4" w:space="0" w:color="auto"/>
            </w:tcBorders>
            <w:shd w:val="clear" w:color="auto" w:fill="auto"/>
            <w:noWrap/>
            <w:vAlign w:val="bottom"/>
            <w:hideMark/>
          </w:tcPr>
          <w:p w14:paraId="59FD0FE3" w14:textId="77777777"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31" w:type="pct"/>
            <w:tcBorders>
              <w:left w:val="single" w:sz="4" w:space="0" w:color="auto"/>
              <w:right w:val="single" w:sz="4" w:space="0" w:color="auto"/>
            </w:tcBorders>
            <w:shd w:val="clear" w:color="auto" w:fill="auto"/>
            <w:noWrap/>
          </w:tcPr>
          <w:p w14:paraId="5C575054" w14:textId="495C3404" w:rsidR="000C3C89" w:rsidRPr="002E554D" w:rsidRDefault="000C3C89" w:rsidP="000C3C8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-0.744</w:t>
            </w:r>
          </w:p>
        </w:tc>
        <w:tc>
          <w:tcPr>
            <w:tcW w:w="469" w:type="pct"/>
            <w:tcBorders>
              <w:left w:val="single" w:sz="4" w:space="0" w:color="auto"/>
            </w:tcBorders>
            <w:shd w:val="clear" w:color="auto" w:fill="auto"/>
            <w:noWrap/>
          </w:tcPr>
          <w:p w14:paraId="1CB190B1" w14:textId="67093C14"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-3.217</w:t>
            </w:r>
          </w:p>
        </w:tc>
        <w:tc>
          <w:tcPr>
            <w:tcW w:w="470" w:type="pct"/>
            <w:shd w:val="clear" w:color="auto" w:fill="auto"/>
            <w:noWrap/>
          </w:tcPr>
          <w:p w14:paraId="63089889" w14:textId="486EEDA2"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-2.586</w:t>
            </w:r>
          </w:p>
        </w:tc>
        <w:tc>
          <w:tcPr>
            <w:tcW w:w="518" w:type="pct"/>
            <w:tcBorders>
              <w:right w:val="single" w:sz="4" w:space="0" w:color="auto"/>
            </w:tcBorders>
            <w:shd w:val="clear" w:color="auto" w:fill="auto"/>
            <w:noWrap/>
          </w:tcPr>
          <w:p w14:paraId="5BD0AF7C" w14:textId="0FC020A2"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-2.246</w:t>
            </w:r>
          </w:p>
        </w:tc>
        <w:tc>
          <w:tcPr>
            <w:tcW w:w="731" w:type="pct"/>
            <w:tcBorders>
              <w:left w:val="single" w:sz="4" w:space="0" w:color="auto"/>
              <w:right w:val="single" w:sz="4" w:space="0" w:color="auto"/>
            </w:tcBorders>
            <w:shd w:val="clear" w:color="auto" w:fill="auto"/>
            <w:noWrap/>
          </w:tcPr>
          <w:p w14:paraId="6FE92194" w14:textId="534BF89D" w:rsidR="000C3C89" w:rsidRPr="002E554D" w:rsidRDefault="000C3C89" w:rsidP="000C3C8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-1.218</w:t>
            </w:r>
          </w:p>
        </w:tc>
        <w:tc>
          <w:tcPr>
            <w:tcW w:w="469" w:type="pct"/>
            <w:tcBorders>
              <w:left w:val="single" w:sz="4" w:space="0" w:color="auto"/>
            </w:tcBorders>
            <w:shd w:val="clear" w:color="auto" w:fill="auto"/>
            <w:noWrap/>
          </w:tcPr>
          <w:p w14:paraId="5DBA1C6E" w14:textId="631812E6"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-3.220</w:t>
            </w:r>
          </w:p>
        </w:tc>
        <w:tc>
          <w:tcPr>
            <w:tcW w:w="518" w:type="pct"/>
            <w:shd w:val="clear" w:color="auto" w:fill="auto"/>
            <w:noWrap/>
          </w:tcPr>
          <w:p w14:paraId="47E196EE" w14:textId="03C754C1"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-2.590</w:t>
            </w:r>
          </w:p>
        </w:tc>
        <w:tc>
          <w:tcPr>
            <w:tcW w:w="469" w:type="pct"/>
            <w:tcBorders>
              <w:right w:val="single" w:sz="4" w:space="0" w:color="auto"/>
            </w:tcBorders>
            <w:shd w:val="clear" w:color="auto" w:fill="auto"/>
            <w:noWrap/>
          </w:tcPr>
          <w:p w14:paraId="346802AD" w14:textId="7283D37C"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-2.250</w:t>
            </w:r>
          </w:p>
        </w:tc>
      </w:tr>
      <w:tr w:rsidR="002E554D" w:rsidRPr="002E554D" w14:paraId="6267E610" w14:textId="77777777" w:rsidTr="003647AB">
        <w:trPr>
          <w:trHeight w:val="300"/>
          <w:jc w:val="center"/>
        </w:trPr>
        <w:tc>
          <w:tcPr>
            <w:tcW w:w="625" w:type="pct"/>
            <w:tcBorders>
              <w:left w:val="single" w:sz="4" w:space="0" w:color="auto"/>
              <w:right w:val="single" w:sz="4" w:space="0" w:color="auto"/>
            </w:tcBorders>
            <w:shd w:val="clear" w:color="auto" w:fill="auto"/>
            <w:noWrap/>
            <w:vAlign w:val="bottom"/>
            <w:hideMark/>
          </w:tcPr>
          <w:p w14:paraId="250445C9" w14:textId="77777777"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31" w:type="pct"/>
            <w:tcBorders>
              <w:left w:val="single" w:sz="4" w:space="0" w:color="auto"/>
              <w:right w:val="single" w:sz="4" w:space="0" w:color="auto"/>
            </w:tcBorders>
            <w:shd w:val="clear" w:color="auto" w:fill="auto"/>
            <w:noWrap/>
          </w:tcPr>
          <w:p w14:paraId="2FF6001F" w14:textId="5AECA104" w:rsidR="000C3C89" w:rsidRPr="002E554D" w:rsidRDefault="000C3C89" w:rsidP="000C3C8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-2.827**</w:t>
            </w:r>
          </w:p>
        </w:tc>
        <w:tc>
          <w:tcPr>
            <w:tcW w:w="469" w:type="pct"/>
            <w:tcBorders>
              <w:left w:val="single" w:sz="4" w:space="0" w:color="auto"/>
            </w:tcBorders>
            <w:shd w:val="clear" w:color="auto" w:fill="auto"/>
            <w:noWrap/>
          </w:tcPr>
          <w:p w14:paraId="0B6F5F69" w14:textId="43B8A017"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-3.215</w:t>
            </w:r>
          </w:p>
        </w:tc>
        <w:tc>
          <w:tcPr>
            <w:tcW w:w="470" w:type="pct"/>
            <w:shd w:val="clear" w:color="auto" w:fill="auto"/>
            <w:noWrap/>
          </w:tcPr>
          <w:p w14:paraId="4AABF0D2" w14:textId="34049B5B"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-2.584</w:t>
            </w:r>
          </w:p>
        </w:tc>
        <w:tc>
          <w:tcPr>
            <w:tcW w:w="518" w:type="pct"/>
            <w:tcBorders>
              <w:right w:val="single" w:sz="4" w:space="0" w:color="auto"/>
            </w:tcBorders>
            <w:shd w:val="clear" w:color="auto" w:fill="auto"/>
            <w:noWrap/>
          </w:tcPr>
          <w:p w14:paraId="4142928A" w14:textId="4490D03F"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-2.244</w:t>
            </w:r>
          </w:p>
        </w:tc>
        <w:tc>
          <w:tcPr>
            <w:tcW w:w="731" w:type="pct"/>
            <w:tcBorders>
              <w:left w:val="single" w:sz="4" w:space="0" w:color="auto"/>
              <w:right w:val="single" w:sz="4" w:space="0" w:color="auto"/>
            </w:tcBorders>
            <w:shd w:val="clear" w:color="auto" w:fill="auto"/>
            <w:noWrap/>
          </w:tcPr>
          <w:p w14:paraId="31FC8157" w14:textId="7E873A4E" w:rsidR="000C3C89" w:rsidRPr="002E554D" w:rsidRDefault="000C3C89" w:rsidP="000C3C8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-4.375***</w:t>
            </w:r>
          </w:p>
        </w:tc>
        <w:tc>
          <w:tcPr>
            <w:tcW w:w="469" w:type="pct"/>
            <w:tcBorders>
              <w:left w:val="single" w:sz="4" w:space="0" w:color="auto"/>
            </w:tcBorders>
            <w:shd w:val="clear" w:color="auto" w:fill="auto"/>
            <w:noWrap/>
          </w:tcPr>
          <w:p w14:paraId="3EFAABD7" w14:textId="13AEAC01"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-3.193</w:t>
            </w:r>
          </w:p>
        </w:tc>
        <w:tc>
          <w:tcPr>
            <w:tcW w:w="518" w:type="pct"/>
            <w:shd w:val="clear" w:color="auto" w:fill="auto"/>
            <w:noWrap/>
          </w:tcPr>
          <w:p w14:paraId="319F2AA7" w14:textId="16A18E96"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-2.555</w:t>
            </w:r>
          </w:p>
        </w:tc>
        <w:tc>
          <w:tcPr>
            <w:tcW w:w="469" w:type="pct"/>
            <w:tcBorders>
              <w:right w:val="single" w:sz="4" w:space="0" w:color="auto"/>
            </w:tcBorders>
            <w:shd w:val="clear" w:color="auto" w:fill="auto"/>
            <w:noWrap/>
          </w:tcPr>
          <w:p w14:paraId="42341073" w14:textId="2F9D2D01"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-2.215</w:t>
            </w:r>
          </w:p>
        </w:tc>
      </w:tr>
      <w:tr w:rsidR="002E554D" w:rsidRPr="002E554D" w14:paraId="0B3988AF" w14:textId="77777777" w:rsidTr="003647AB">
        <w:trPr>
          <w:trHeight w:val="300"/>
          <w:jc w:val="center"/>
        </w:trPr>
        <w:tc>
          <w:tcPr>
            <w:tcW w:w="625" w:type="pct"/>
            <w:tcBorders>
              <w:left w:val="single" w:sz="4" w:space="0" w:color="auto"/>
              <w:right w:val="single" w:sz="4" w:space="0" w:color="auto"/>
            </w:tcBorders>
            <w:shd w:val="clear" w:color="auto" w:fill="auto"/>
            <w:noWrap/>
            <w:vAlign w:val="bottom"/>
            <w:hideMark/>
          </w:tcPr>
          <w:p w14:paraId="46F1EF4B" w14:textId="77777777"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31" w:type="pct"/>
            <w:tcBorders>
              <w:left w:val="single" w:sz="4" w:space="0" w:color="auto"/>
              <w:right w:val="single" w:sz="4" w:space="0" w:color="auto"/>
            </w:tcBorders>
            <w:shd w:val="clear" w:color="auto" w:fill="auto"/>
            <w:noWrap/>
          </w:tcPr>
          <w:p w14:paraId="4A75F746" w14:textId="1D8CB628" w:rsidR="000C3C89" w:rsidRPr="002E554D" w:rsidRDefault="000C3C89" w:rsidP="000C3C8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-3.790***</w:t>
            </w:r>
          </w:p>
        </w:tc>
        <w:tc>
          <w:tcPr>
            <w:tcW w:w="469" w:type="pct"/>
            <w:tcBorders>
              <w:left w:val="single" w:sz="4" w:space="0" w:color="auto"/>
            </w:tcBorders>
            <w:shd w:val="clear" w:color="auto" w:fill="auto"/>
            <w:noWrap/>
          </w:tcPr>
          <w:p w14:paraId="2A9C08E8" w14:textId="038D83BE"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-3.130</w:t>
            </w:r>
          </w:p>
        </w:tc>
        <w:tc>
          <w:tcPr>
            <w:tcW w:w="470" w:type="pct"/>
            <w:shd w:val="clear" w:color="auto" w:fill="auto"/>
            <w:noWrap/>
          </w:tcPr>
          <w:p w14:paraId="3F0E62E8" w14:textId="15F9FC7A"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-2.473</w:t>
            </w:r>
          </w:p>
        </w:tc>
        <w:tc>
          <w:tcPr>
            <w:tcW w:w="518" w:type="pct"/>
            <w:tcBorders>
              <w:right w:val="single" w:sz="4" w:space="0" w:color="auto"/>
            </w:tcBorders>
            <w:shd w:val="clear" w:color="auto" w:fill="auto"/>
            <w:noWrap/>
          </w:tcPr>
          <w:p w14:paraId="25F521B8" w14:textId="654334C9"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-2.133</w:t>
            </w:r>
          </w:p>
        </w:tc>
        <w:tc>
          <w:tcPr>
            <w:tcW w:w="731" w:type="pct"/>
            <w:tcBorders>
              <w:left w:val="single" w:sz="4" w:space="0" w:color="auto"/>
              <w:right w:val="single" w:sz="4" w:space="0" w:color="auto"/>
            </w:tcBorders>
            <w:shd w:val="clear" w:color="auto" w:fill="auto"/>
            <w:noWrap/>
          </w:tcPr>
          <w:p w14:paraId="481B559A" w14:textId="4D22927D" w:rsidR="000C3C89" w:rsidRPr="002E554D" w:rsidRDefault="000C3C89" w:rsidP="000C3C8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-4.075***</w:t>
            </w:r>
          </w:p>
        </w:tc>
        <w:tc>
          <w:tcPr>
            <w:tcW w:w="469" w:type="pct"/>
            <w:tcBorders>
              <w:left w:val="single" w:sz="4" w:space="0" w:color="auto"/>
            </w:tcBorders>
            <w:shd w:val="clear" w:color="auto" w:fill="auto"/>
            <w:noWrap/>
          </w:tcPr>
          <w:p w14:paraId="5BAFD2E7" w14:textId="5D0AD247"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-3.101</w:t>
            </w:r>
          </w:p>
        </w:tc>
        <w:tc>
          <w:tcPr>
            <w:tcW w:w="518" w:type="pct"/>
            <w:shd w:val="clear" w:color="auto" w:fill="auto"/>
            <w:noWrap/>
          </w:tcPr>
          <w:p w14:paraId="033ADF95" w14:textId="2A4E064C"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-2.442</w:t>
            </w:r>
          </w:p>
        </w:tc>
        <w:tc>
          <w:tcPr>
            <w:tcW w:w="469" w:type="pct"/>
            <w:tcBorders>
              <w:right w:val="single" w:sz="4" w:space="0" w:color="auto"/>
            </w:tcBorders>
            <w:shd w:val="clear" w:color="auto" w:fill="auto"/>
            <w:noWrap/>
          </w:tcPr>
          <w:p w14:paraId="04A00DAE" w14:textId="56019697"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-2.101</w:t>
            </w:r>
          </w:p>
        </w:tc>
      </w:tr>
      <w:tr w:rsidR="002E554D" w:rsidRPr="002E554D" w14:paraId="6ABE3869" w14:textId="77777777" w:rsidTr="003647AB">
        <w:trPr>
          <w:trHeight w:val="300"/>
          <w:jc w:val="center"/>
        </w:trPr>
        <w:tc>
          <w:tcPr>
            <w:tcW w:w="625" w:type="pct"/>
            <w:tcBorders>
              <w:left w:val="single" w:sz="4" w:space="0" w:color="auto"/>
              <w:right w:val="single" w:sz="4" w:space="0" w:color="auto"/>
            </w:tcBorders>
            <w:shd w:val="clear" w:color="auto" w:fill="auto"/>
            <w:noWrap/>
            <w:vAlign w:val="bottom"/>
            <w:hideMark/>
          </w:tcPr>
          <w:p w14:paraId="393D5C16" w14:textId="77777777"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31" w:type="pct"/>
            <w:tcBorders>
              <w:left w:val="single" w:sz="4" w:space="0" w:color="auto"/>
              <w:right w:val="single" w:sz="4" w:space="0" w:color="auto"/>
            </w:tcBorders>
            <w:shd w:val="clear" w:color="auto" w:fill="auto"/>
            <w:noWrap/>
          </w:tcPr>
          <w:p w14:paraId="02027D42" w14:textId="691FD85C" w:rsidR="000C3C89" w:rsidRPr="002E554D" w:rsidRDefault="000C3C89" w:rsidP="000C3C8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-4.116***</w:t>
            </w:r>
          </w:p>
        </w:tc>
        <w:tc>
          <w:tcPr>
            <w:tcW w:w="469" w:type="pct"/>
            <w:tcBorders>
              <w:left w:val="single" w:sz="4" w:space="0" w:color="auto"/>
            </w:tcBorders>
            <w:shd w:val="clear" w:color="auto" w:fill="auto"/>
            <w:noWrap/>
          </w:tcPr>
          <w:p w14:paraId="348C0194" w14:textId="3111050F"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-3.017</w:t>
            </w:r>
          </w:p>
        </w:tc>
        <w:tc>
          <w:tcPr>
            <w:tcW w:w="470" w:type="pct"/>
            <w:shd w:val="clear" w:color="auto" w:fill="auto"/>
            <w:noWrap/>
          </w:tcPr>
          <w:p w14:paraId="7A2551DF" w14:textId="7F550AAE"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-2.365</w:t>
            </w:r>
          </w:p>
        </w:tc>
        <w:tc>
          <w:tcPr>
            <w:tcW w:w="518" w:type="pct"/>
            <w:tcBorders>
              <w:right w:val="single" w:sz="4" w:space="0" w:color="auto"/>
            </w:tcBorders>
            <w:shd w:val="clear" w:color="auto" w:fill="auto"/>
            <w:noWrap/>
          </w:tcPr>
          <w:p w14:paraId="04C2D752" w14:textId="7DD72EC9"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-2.017</w:t>
            </w:r>
          </w:p>
        </w:tc>
        <w:tc>
          <w:tcPr>
            <w:tcW w:w="731" w:type="pct"/>
            <w:tcBorders>
              <w:left w:val="single" w:sz="4" w:space="0" w:color="auto"/>
              <w:right w:val="single" w:sz="4" w:space="0" w:color="auto"/>
            </w:tcBorders>
            <w:shd w:val="clear" w:color="auto" w:fill="auto"/>
            <w:noWrap/>
          </w:tcPr>
          <w:p w14:paraId="41CB0948" w14:textId="57D87B66" w:rsidR="000C3C89" w:rsidRPr="002E554D" w:rsidRDefault="000C3C89" w:rsidP="000C3C8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-4.650***</w:t>
            </w:r>
          </w:p>
        </w:tc>
        <w:tc>
          <w:tcPr>
            <w:tcW w:w="469" w:type="pct"/>
            <w:tcBorders>
              <w:left w:val="single" w:sz="4" w:space="0" w:color="auto"/>
            </w:tcBorders>
            <w:shd w:val="clear" w:color="auto" w:fill="auto"/>
            <w:noWrap/>
          </w:tcPr>
          <w:p w14:paraId="252FD43E" w14:textId="73597A98"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-3.035</w:t>
            </w:r>
          </w:p>
        </w:tc>
        <w:tc>
          <w:tcPr>
            <w:tcW w:w="518" w:type="pct"/>
            <w:shd w:val="clear" w:color="auto" w:fill="auto"/>
            <w:noWrap/>
          </w:tcPr>
          <w:p w14:paraId="36EE1422" w14:textId="6D57F1A3"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-2.382</w:t>
            </w:r>
          </w:p>
        </w:tc>
        <w:tc>
          <w:tcPr>
            <w:tcW w:w="469" w:type="pct"/>
            <w:tcBorders>
              <w:right w:val="single" w:sz="4" w:space="0" w:color="auto"/>
            </w:tcBorders>
            <w:shd w:val="clear" w:color="auto" w:fill="auto"/>
            <w:noWrap/>
          </w:tcPr>
          <w:p w14:paraId="66872C5F" w14:textId="18A9718E"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-2.035</w:t>
            </w:r>
          </w:p>
        </w:tc>
      </w:tr>
      <w:tr w:rsidR="002E554D" w:rsidRPr="002E554D" w14:paraId="1558DEE0" w14:textId="77777777" w:rsidTr="003647AB">
        <w:trPr>
          <w:trHeight w:val="300"/>
          <w:jc w:val="center"/>
        </w:trPr>
        <w:tc>
          <w:tcPr>
            <w:tcW w:w="625" w:type="pct"/>
            <w:tcBorders>
              <w:left w:val="single" w:sz="4" w:space="0" w:color="auto"/>
              <w:right w:val="single" w:sz="4" w:space="0" w:color="auto"/>
            </w:tcBorders>
            <w:shd w:val="clear" w:color="auto" w:fill="auto"/>
            <w:noWrap/>
            <w:vAlign w:val="bottom"/>
            <w:hideMark/>
          </w:tcPr>
          <w:p w14:paraId="1E8716AC" w14:textId="77777777"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31" w:type="pct"/>
            <w:tcBorders>
              <w:left w:val="single" w:sz="4" w:space="0" w:color="auto"/>
              <w:right w:val="single" w:sz="4" w:space="0" w:color="auto"/>
            </w:tcBorders>
            <w:shd w:val="clear" w:color="auto" w:fill="auto"/>
            <w:noWrap/>
          </w:tcPr>
          <w:p w14:paraId="3F7D87FF" w14:textId="40303DFB" w:rsidR="000C3C89" w:rsidRPr="002E554D" w:rsidRDefault="000C3C89" w:rsidP="000C3C8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-5.046***</w:t>
            </w:r>
          </w:p>
        </w:tc>
        <w:tc>
          <w:tcPr>
            <w:tcW w:w="469" w:type="pct"/>
            <w:tcBorders>
              <w:left w:val="single" w:sz="4" w:space="0" w:color="auto"/>
            </w:tcBorders>
            <w:shd w:val="clear" w:color="auto" w:fill="auto"/>
            <w:noWrap/>
          </w:tcPr>
          <w:p w14:paraId="4DD70E5D" w14:textId="247162ED"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-2.947</w:t>
            </w:r>
          </w:p>
        </w:tc>
        <w:tc>
          <w:tcPr>
            <w:tcW w:w="470" w:type="pct"/>
            <w:shd w:val="clear" w:color="auto" w:fill="auto"/>
            <w:noWrap/>
          </w:tcPr>
          <w:p w14:paraId="4E4EDFA0" w14:textId="143C458F"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-2.292</w:t>
            </w:r>
          </w:p>
        </w:tc>
        <w:tc>
          <w:tcPr>
            <w:tcW w:w="518" w:type="pct"/>
            <w:tcBorders>
              <w:right w:val="single" w:sz="4" w:space="0" w:color="auto"/>
            </w:tcBorders>
            <w:shd w:val="clear" w:color="auto" w:fill="auto"/>
            <w:noWrap/>
          </w:tcPr>
          <w:p w14:paraId="42E5CECC" w14:textId="67E26C48"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-1.939</w:t>
            </w:r>
          </w:p>
        </w:tc>
        <w:tc>
          <w:tcPr>
            <w:tcW w:w="731" w:type="pct"/>
            <w:tcBorders>
              <w:left w:val="single" w:sz="4" w:space="0" w:color="auto"/>
              <w:right w:val="single" w:sz="4" w:space="0" w:color="auto"/>
            </w:tcBorders>
            <w:shd w:val="clear" w:color="auto" w:fill="auto"/>
            <w:noWrap/>
          </w:tcPr>
          <w:p w14:paraId="053B4181" w14:textId="2697180A" w:rsidR="000C3C89" w:rsidRPr="002E554D" w:rsidRDefault="000C3C89" w:rsidP="000C3C8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-4.942***</w:t>
            </w:r>
          </w:p>
        </w:tc>
        <w:tc>
          <w:tcPr>
            <w:tcW w:w="469" w:type="pct"/>
            <w:tcBorders>
              <w:left w:val="single" w:sz="4" w:space="0" w:color="auto"/>
            </w:tcBorders>
            <w:shd w:val="clear" w:color="auto" w:fill="auto"/>
            <w:noWrap/>
          </w:tcPr>
          <w:p w14:paraId="4D4C99BA" w14:textId="4EE69077"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-2.989</w:t>
            </w:r>
          </w:p>
        </w:tc>
        <w:tc>
          <w:tcPr>
            <w:tcW w:w="518" w:type="pct"/>
            <w:shd w:val="clear" w:color="auto" w:fill="auto"/>
            <w:noWrap/>
          </w:tcPr>
          <w:p w14:paraId="0EB24053" w14:textId="1FA2BA69"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-2.339</w:t>
            </w:r>
          </w:p>
        </w:tc>
        <w:tc>
          <w:tcPr>
            <w:tcW w:w="469" w:type="pct"/>
            <w:tcBorders>
              <w:right w:val="single" w:sz="4" w:space="0" w:color="auto"/>
            </w:tcBorders>
            <w:shd w:val="clear" w:color="auto" w:fill="auto"/>
            <w:noWrap/>
          </w:tcPr>
          <w:p w14:paraId="675A7C21" w14:textId="6F142AE5"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-1.988</w:t>
            </w:r>
          </w:p>
        </w:tc>
      </w:tr>
      <w:tr w:rsidR="002E554D" w:rsidRPr="002E554D" w14:paraId="063AF252" w14:textId="77777777" w:rsidTr="003647AB">
        <w:trPr>
          <w:trHeight w:val="300"/>
          <w:jc w:val="center"/>
        </w:trPr>
        <w:tc>
          <w:tcPr>
            <w:tcW w:w="625" w:type="pct"/>
            <w:tcBorders>
              <w:left w:val="single" w:sz="4" w:space="0" w:color="auto"/>
              <w:right w:val="single" w:sz="4" w:space="0" w:color="auto"/>
            </w:tcBorders>
            <w:shd w:val="clear" w:color="auto" w:fill="auto"/>
            <w:noWrap/>
            <w:vAlign w:val="bottom"/>
            <w:hideMark/>
          </w:tcPr>
          <w:p w14:paraId="0D6AE589" w14:textId="77777777"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31" w:type="pct"/>
            <w:tcBorders>
              <w:left w:val="single" w:sz="4" w:space="0" w:color="auto"/>
              <w:right w:val="single" w:sz="4" w:space="0" w:color="auto"/>
            </w:tcBorders>
            <w:shd w:val="clear" w:color="auto" w:fill="auto"/>
            <w:noWrap/>
          </w:tcPr>
          <w:p w14:paraId="58F4680C" w14:textId="0F357EF8" w:rsidR="000C3C89" w:rsidRPr="002E554D" w:rsidRDefault="000C3C89" w:rsidP="000C3C8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-8.123***</w:t>
            </w:r>
          </w:p>
        </w:tc>
        <w:tc>
          <w:tcPr>
            <w:tcW w:w="469" w:type="pct"/>
            <w:tcBorders>
              <w:left w:val="single" w:sz="4" w:space="0" w:color="auto"/>
            </w:tcBorders>
            <w:shd w:val="clear" w:color="auto" w:fill="auto"/>
            <w:noWrap/>
          </w:tcPr>
          <w:p w14:paraId="334885CD" w14:textId="1ECE2EE7"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-2.596</w:t>
            </w:r>
          </w:p>
        </w:tc>
        <w:tc>
          <w:tcPr>
            <w:tcW w:w="470" w:type="pct"/>
            <w:shd w:val="clear" w:color="auto" w:fill="auto"/>
            <w:noWrap/>
          </w:tcPr>
          <w:p w14:paraId="0041E377" w14:textId="3ACE8381"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-1.921</w:t>
            </w:r>
          </w:p>
        </w:tc>
        <w:tc>
          <w:tcPr>
            <w:tcW w:w="518" w:type="pct"/>
            <w:tcBorders>
              <w:right w:val="single" w:sz="4" w:space="0" w:color="auto"/>
            </w:tcBorders>
            <w:shd w:val="clear" w:color="auto" w:fill="auto"/>
            <w:noWrap/>
          </w:tcPr>
          <w:p w14:paraId="7AC00579" w14:textId="193B4216"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-1.561</w:t>
            </w:r>
          </w:p>
        </w:tc>
        <w:tc>
          <w:tcPr>
            <w:tcW w:w="731" w:type="pct"/>
            <w:tcBorders>
              <w:left w:val="single" w:sz="4" w:space="0" w:color="auto"/>
              <w:right w:val="single" w:sz="4" w:space="0" w:color="auto"/>
            </w:tcBorders>
            <w:shd w:val="clear" w:color="auto" w:fill="auto"/>
            <w:noWrap/>
          </w:tcPr>
          <w:p w14:paraId="339EEA78" w14:textId="3351179E" w:rsidR="000C3C89" w:rsidRPr="002E554D" w:rsidRDefault="000C3C89" w:rsidP="000C3C8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-8.073***</w:t>
            </w:r>
          </w:p>
        </w:tc>
        <w:tc>
          <w:tcPr>
            <w:tcW w:w="469" w:type="pct"/>
            <w:tcBorders>
              <w:left w:val="single" w:sz="4" w:space="0" w:color="auto"/>
            </w:tcBorders>
            <w:shd w:val="clear" w:color="auto" w:fill="auto"/>
            <w:noWrap/>
          </w:tcPr>
          <w:p w14:paraId="7295DB07" w14:textId="6CBB1403" w:rsidR="000C3C89" w:rsidRPr="002E554D" w:rsidRDefault="000C3C89" w:rsidP="000C3C8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-2.581</w:t>
            </w:r>
          </w:p>
        </w:tc>
        <w:tc>
          <w:tcPr>
            <w:tcW w:w="518" w:type="pct"/>
            <w:shd w:val="clear" w:color="auto" w:fill="auto"/>
            <w:noWrap/>
          </w:tcPr>
          <w:p w14:paraId="7A0088C9" w14:textId="51D6E211"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-1.906</w:t>
            </w:r>
          </w:p>
        </w:tc>
        <w:tc>
          <w:tcPr>
            <w:tcW w:w="469" w:type="pct"/>
            <w:tcBorders>
              <w:right w:val="single" w:sz="4" w:space="0" w:color="auto"/>
            </w:tcBorders>
            <w:shd w:val="clear" w:color="auto" w:fill="auto"/>
            <w:noWrap/>
          </w:tcPr>
          <w:p w14:paraId="018C80EF" w14:textId="3C94940D" w:rsidR="000C3C89" w:rsidRPr="002E554D" w:rsidRDefault="000C3C89" w:rsidP="000C3C8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-1.546</w:t>
            </w:r>
          </w:p>
        </w:tc>
      </w:tr>
      <w:tr w:rsidR="002E554D" w:rsidRPr="002E554D" w14:paraId="000AA54E" w14:textId="77777777" w:rsidTr="00CB6B3B">
        <w:trPr>
          <w:trHeight w:val="300"/>
          <w:jc w:val="center"/>
        </w:trPr>
        <w:tc>
          <w:tcPr>
            <w:tcW w:w="625" w:type="pct"/>
            <w:tcBorders>
              <w:left w:val="single" w:sz="4" w:space="0" w:color="auto"/>
              <w:right w:val="single" w:sz="4" w:space="0" w:color="auto"/>
            </w:tcBorders>
            <w:shd w:val="clear" w:color="auto" w:fill="auto"/>
            <w:noWrap/>
            <w:vAlign w:val="bottom"/>
          </w:tcPr>
          <w:p w14:paraId="1E6EEEB0" w14:textId="77777777" w:rsidR="00E57EF0" w:rsidRPr="002E554D" w:rsidRDefault="00E57EF0" w:rsidP="00E546B1">
            <w:pPr>
              <w:spacing w:after="0" w:line="240" w:lineRule="auto"/>
              <w:jc w:val="center"/>
              <w:rPr>
                <w:rFonts w:ascii="Garamond" w:eastAsia="Times New Roman" w:hAnsi="Garamond" w:cs="Calibri"/>
                <w:color w:val="FF0000"/>
                <w:lang w:val="en-GB" w:eastAsia="en-GB"/>
              </w:rPr>
            </w:pPr>
          </w:p>
        </w:tc>
        <w:tc>
          <w:tcPr>
            <w:tcW w:w="2188" w:type="pct"/>
            <w:gridSpan w:val="4"/>
            <w:tcBorders>
              <w:left w:val="single" w:sz="4" w:space="0" w:color="auto"/>
              <w:right w:val="single" w:sz="4" w:space="0" w:color="auto"/>
            </w:tcBorders>
            <w:shd w:val="clear" w:color="auto" w:fill="auto"/>
            <w:noWrap/>
            <w:vAlign w:val="center"/>
          </w:tcPr>
          <w:p w14:paraId="22555696" w14:textId="0A58A122" w:rsidR="00E57EF0" w:rsidRPr="002E554D" w:rsidRDefault="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CAC40</w:t>
            </w:r>
          </w:p>
        </w:tc>
        <w:tc>
          <w:tcPr>
            <w:tcW w:w="2188" w:type="pct"/>
            <w:gridSpan w:val="4"/>
            <w:tcBorders>
              <w:left w:val="single" w:sz="4" w:space="0" w:color="auto"/>
              <w:right w:val="single" w:sz="4" w:space="0" w:color="auto"/>
            </w:tcBorders>
            <w:shd w:val="clear" w:color="auto" w:fill="auto"/>
            <w:noWrap/>
            <w:vAlign w:val="center"/>
          </w:tcPr>
          <w:p w14:paraId="4FFEE100" w14:textId="3BD26409" w:rsidR="00E57EF0" w:rsidRPr="002E554D" w:rsidRDefault="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FTSE100</w:t>
            </w:r>
          </w:p>
        </w:tc>
      </w:tr>
      <w:tr w:rsidR="002E554D" w:rsidRPr="002E554D" w14:paraId="2A78CE06" w14:textId="77777777" w:rsidTr="005D145C">
        <w:trPr>
          <w:trHeight w:val="300"/>
          <w:jc w:val="center"/>
        </w:trPr>
        <w:tc>
          <w:tcPr>
            <w:tcW w:w="625" w:type="pct"/>
            <w:tcBorders>
              <w:left w:val="single" w:sz="4" w:space="0" w:color="auto"/>
              <w:right w:val="single" w:sz="4" w:space="0" w:color="auto"/>
            </w:tcBorders>
            <w:shd w:val="clear" w:color="auto" w:fill="auto"/>
            <w:noWrap/>
            <w:vAlign w:val="bottom"/>
            <w:hideMark/>
          </w:tcPr>
          <w:p w14:paraId="33744ED2" w14:textId="7777777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31" w:type="pct"/>
            <w:tcBorders>
              <w:left w:val="single" w:sz="4" w:space="0" w:color="auto"/>
              <w:right w:val="single" w:sz="4" w:space="0" w:color="auto"/>
            </w:tcBorders>
            <w:shd w:val="clear" w:color="auto" w:fill="auto"/>
            <w:noWrap/>
          </w:tcPr>
          <w:p w14:paraId="10008B96" w14:textId="689F3B18" w:rsidR="00EE4B9E" w:rsidRPr="002E554D" w:rsidRDefault="00EE4B9E" w:rsidP="00EE4B9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2.845</w:t>
            </w:r>
          </w:p>
        </w:tc>
        <w:tc>
          <w:tcPr>
            <w:tcW w:w="469" w:type="pct"/>
            <w:tcBorders>
              <w:left w:val="single" w:sz="4" w:space="0" w:color="auto"/>
            </w:tcBorders>
            <w:shd w:val="clear" w:color="auto" w:fill="auto"/>
            <w:noWrap/>
          </w:tcPr>
          <w:p w14:paraId="7FF7AA91" w14:textId="1CD7D761"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-2.770</w:t>
            </w:r>
          </w:p>
        </w:tc>
        <w:tc>
          <w:tcPr>
            <w:tcW w:w="470" w:type="pct"/>
            <w:shd w:val="clear" w:color="auto" w:fill="auto"/>
            <w:noWrap/>
          </w:tcPr>
          <w:p w14:paraId="5B577BE7" w14:textId="677295CA"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-2.098</w:t>
            </w:r>
          </w:p>
        </w:tc>
        <w:tc>
          <w:tcPr>
            <w:tcW w:w="518" w:type="pct"/>
            <w:tcBorders>
              <w:right w:val="single" w:sz="4" w:space="0" w:color="auto"/>
            </w:tcBorders>
            <w:shd w:val="clear" w:color="auto" w:fill="auto"/>
            <w:noWrap/>
          </w:tcPr>
          <w:p w14:paraId="4639373E" w14:textId="5D710F72"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-1.738</w:t>
            </w:r>
          </w:p>
        </w:tc>
        <w:tc>
          <w:tcPr>
            <w:tcW w:w="731" w:type="pct"/>
            <w:tcBorders>
              <w:left w:val="single" w:sz="4" w:space="0" w:color="auto"/>
              <w:right w:val="single" w:sz="4" w:space="0" w:color="auto"/>
            </w:tcBorders>
            <w:shd w:val="clear" w:color="auto" w:fill="auto"/>
            <w:noWrap/>
          </w:tcPr>
          <w:p w14:paraId="1C0915B3" w14:textId="3A7A5A99" w:rsidR="00EE4B9E" w:rsidRPr="002E554D" w:rsidRDefault="00EE4B9E" w:rsidP="00EE4B9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4.661</w:t>
            </w:r>
          </w:p>
        </w:tc>
        <w:tc>
          <w:tcPr>
            <w:tcW w:w="469" w:type="pct"/>
            <w:tcBorders>
              <w:left w:val="single" w:sz="4" w:space="0" w:color="auto"/>
            </w:tcBorders>
            <w:shd w:val="clear" w:color="auto" w:fill="auto"/>
            <w:noWrap/>
          </w:tcPr>
          <w:p w14:paraId="23923524" w14:textId="2A799DCC"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-2.610</w:t>
            </w:r>
          </w:p>
        </w:tc>
        <w:tc>
          <w:tcPr>
            <w:tcW w:w="518" w:type="pct"/>
            <w:shd w:val="clear" w:color="auto" w:fill="auto"/>
            <w:noWrap/>
          </w:tcPr>
          <w:p w14:paraId="3B0D7A00" w14:textId="2E9AF558"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-1.936</w:t>
            </w:r>
          </w:p>
        </w:tc>
        <w:tc>
          <w:tcPr>
            <w:tcW w:w="469" w:type="pct"/>
            <w:tcBorders>
              <w:right w:val="single" w:sz="4" w:space="0" w:color="auto"/>
            </w:tcBorders>
            <w:shd w:val="clear" w:color="auto" w:fill="auto"/>
            <w:noWrap/>
          </w:tcPr>
          <w:p w14:paraId="0F0E1643" w14:textId="1A7CB922"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-1.576</w:t>
            </w:r>
          </w:p>
        </w:tc>
      </w:tr>
      <w:tr w:rsidR="002E554D" w:rsidRPr="002E554D" w14:paraId="0345330E" w14:textId="77777777" w:rsidTr="005D145C">
        <w:trPr>
          <w:trHeight w:val="300"/>
          <w:jc w:val="center"/>
        </w:trPr>
        <w:tc>
          <w:tcPr>
            <w:tcW w:w="625" w:type="pct"/>
            <w:tcBorders>
              <w:left w:val="single" w:sz="4" w:space="0" w:color="auto"/>
              <w:right w:val="single" w:sz="4" w:space="0" w:color="auto"/>
            </w:tcBorders>
            <w:shd w:val="clear" w:color="auto" w:fill="auto"/>
            <w:noWrap/>
            <w:vAlign w:val="bottom"/>
            <w:hideMark/>
          </w:tcPr>
          <w:p w14:paraId="7784932B" w14:textId="7777777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31" w:type="pct"/>
            <w:tcBorders>
              <w:left w:val="single" w:sz="4" w:space="0" w:color="auto"/>
              <w:right w:val="single" w:sz="4" w:space="0" w:color="auto"/>
            </w:tcBorders>
            <w:shd w:val="clear" w:color="auto" w:fill="auto"/>
            <w:noWrap/>
          </w:tcPr>
          <w:p w14:paraId="340ED467" w14:textId="6EB258FD" w:rsidR="00EE4B9E" w:rsidRPr="002E554D" w:rsidRDefault="00EE4B9E" w:rsidP="00EE4B9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3.635</w:t>
            </w:r>
          </w:p>
        </w:tc>
        <w:tc>
          <w:tcPr>
            <w:tcW w:w="469" w:type="pct"/>
            <w:tcBorders>
              <w:left w:val="single" w:sz="4" w:space="0" w:color="auto"/>
            </w:tcBorders>
            <w:shd w:val="clear" w:color="auto" w:fill="auto"/>
            <w:noWrap/>
          </w:tcPr>
          <w:p w14:paraId="37F74FF5" w14:textId="4526687E"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-3.030</w:t>
            </w:r>
          </w:p>
        </w:tc>
        <w:tc>
          <w:tcPr>
            <w:tcW w:w="470" w:type="pct"/>
            <w:shd w:val="clear" w:color="auto" w:fill="auto"/>
            <w:noWrap/>
          </w:tcPr>
          <w:p w14:paraId="25C329FF" w14:textId="6AC9FF48"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-2.377</w:t>
            </w:r>
          </w:p>
        </w:tc>
        <w:tc>
          <w:tcPr>
            <w:tcW w:w="518" w:type="pct"/>
            <w:tcBorders>
              <w:right w:val="single" w:sz="4" w:space="0" w:color="auto"/>
            </w:tcBorders>
            <w:shd w:val="clear" w:color="auto" w:fill="auto"/>
            <w:noWrap/>
          </w:tcPr>
          <w:p w14:paraId="4B2ED3C2" w14:textId="31D71F5D"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-2.030</w:t>
            </w:r>
          </w:p>
        </w:tc>
        <w:tc>
          <w:tcPr>
            <w:tcW w:w="731" w:type="pct"/>
            <w:tcBorders>
              <w:left w:val="single" w:sz="4" w:space="0" w:color="auto"/>
              <w:right w:val="single" w:sz="4" w:space="0" w:color="auto"/>
            </w:tcBorders>
            <w:shd w:val="clear" w:color="auto" w:fill="auto"/>
            <w:noWrap/>
          </w:tcPr>
          <w:p w14:paraId="5E7E9530" w14:textId="7D72893C" w:rsidR="00EE4B9E" w:rsidRPr="002E554D" w:rsidRDefault="00EE4B9E" w:rsidP="00EE4B9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2.524</w:t>
            </w:r>
          </w:p>
        </w:tc>
        <w:tc>
          <w:tcPr>
            <w:tcW w:w="469" w:type="pct"/>
            <w:tcBorders>
              <w:left w:val="single" w:sz="4" w:space="0" w:color="auto"/>
            </w:tcBorders>
            <w:shd w:val="clear" w:color="auto" w:fill="auto"/>
            <w:noWrap/>
          </w:tcPr>
          <w:p w14:paraId="392E38DD" w14:textId="79C274E6"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-3.020</w:t>
            </w:r>
          </w:p>
        </w:tc>
        <w:tc>
          <w:tcPr>
            <w:tcW w:w="518" w:type="pct"/>
            <w:shd w:val="clear" w:color="auto" w:fill="auto"/>
            <w:noWrap/>
          </w:tcPr>
          <w:p w14:paraId="3D485BBD" w14:textId="3DED016E"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-2.368</w:t>
            </w:r>
          </w:p>
        </w:tc>
        <w:tc>
          <w:tcPr>
            <w:tcW w:w="469" w:type="pct"/>
            <w:tcBorders>
              <w:right w:val="single" w:sz="4" w:space="0" w:color="auto"/>
            </w:tcBorders>
            <w:shd w:val="clear" w:color="auto" w:fill="auto"/>
            <w:noWrap/>
          </w:tcPr>
          <w:p w14:paraId="1BF43941" w14:textId="28D3C22C"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-2.020</w:t>
            </w:r>
          </w:p>
        </w:tc>
      </w:tr>
      <w:tr w:rsidR="002E554D" w:rsidRPr="002E554D" w14:paraId="674F44B9" w14:textId="77777777" w:rsidTr="005D145C">
        <w:trPr>
          <w:trHeight w:val="300"/>
          <w:jc w:val="center"/>
        </w:trPr>
        <w:tc>
          <w:tcPr>
            <w:tcW w:w="625" w:type="pct"/>
            <w:tcBorders>
              <w:left w:val="single" w:sz="4" w:space="0" w:color="auto"/>
              <w:right w:val="single" w:sz="4" w:space="0" w:color="auto"/>
            </w:tcBorders>
            <w:shd w:val="clear" w:color="auto" w:fill="auto"/>
            <w:noWrap/>
            <w:vAlign w:val="bottom"/>
            <w:hideMark/>
          </w:tcPr>
          <w:p w14:paraId="10C45BA8" w14:textId="7777777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31" w:type="pct"/>
            <w:tcBorders>
              <w:left w:val="single" w:sz="4" w:space="0" w:color="auto"/>
              <w:right w:val="single" w:sz="4" w:space="0" w:color="auto"/>
            </w:tcBorders>
            <w:shd w:val="clear" w:color="auto" w:fill="auto"/>
            <w:noWrap/>
          </w:tcPr>
          <w:p w14:paraId="57FCFF05" w14:textId="02C80491" w:rsidR="00EE4B9E" w:rsidRPr="002E554D" w:rsidRDefault="00EE4B9E" w:rsidP="00EE4B9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2.776</w:t>
            </w:r>
          </w:p>
        </w:tc>
        <w:tc>
          <w:tcPr>
            <w:tcW w:w="469" w:type="pct"/>
            <w:tcBorders>
              <w:left w:val="single" w:sz="4" w:space="0" w:color="auto"/>
            </w:tcBorders>
            <w:shd w:val="clear" w:color="auto" w:fill="auto"/>
            <w:noWrap/>
          </w:tcPr>
          <w:p w14:paraId="1FD03C22" w14:textId="6AA54FCB"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-3.174</w:t>
            </w:r>
          </w:p>
        </w:tc>
        <w:tc>
          <w:tcPr>
            <w:tcW w:w="470" w:type="pct"/>
            <w:shd w:val="clear" w:color="auto" w:fill="auto"/>
            <w:noWrap/>
          </w:tcPr>
          <w:p w14:paraId="129FAB9D" w14:textId="239B261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-2.531</w:t>
            </w:r>
          </w:p>
        </w:tc>
        <w:tc>
          <w:tcPr>
            <w:tcW w:w="518" w:type="pct"/>
            <w:tcBorders>
              <w:right w:val="single" w:sz="4" w:space="0" w:color="auto"/>
            </w:tcBorders>
            <w:shd w:val="clear" w:color="auto" w:fill="auto"/>
            <w:noWrap/>
          </w:tcPr>
          <w:p w14:paraId="12874F8C" w14:textId="31D9A7DC"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-2.191</w:t>
            </w:r>
          </w:p>
        </w:tc>
        <w:tc>
          <w:tcPr>
            <w:tcW w:w="731" w:type="pct"/>
            <w:tcBorders>
              <w:left w:val="single" w:sz="4" w:space="0" w:color="auto"/>
              <w:right w:val="single" w:sz="4" w:space="0" w:color="auto"/>
            </w:tcBorders>
            <w:shd w:val="clear" w:color="auto" w:fill="auto"/>
            <w:noWrap/>
          </w:tcPr>
          <w:p w14:paraId="6C037976" w14:textId="71136DC9" w:rsidR="00EE4B9E" w:rsidRPr="002E554D" w:rsidRDefault="00EE4B9E" w:rsidP="00EE4B9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-0.224</w:t>
            </w:r>
          </w:p>
        </w:tc>
        <w:tc>
          <w:tcPr>
            <w:tcW w:w="469" w:type="pct"/>
            <w:tcBorders>
              <w:left w:val="single" w:sz="4" w:space="0" w:color="auto"/>
            </w:tcBorders>
            <w:shd w:val="clear" w:color="auto" w:fill="auto"/>
            <w:noWrap/>
          </w:tcPr>
          <w:p w14:paraId="5C578845" w14:textId="52585CEF"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-3.201</w:t>
            </w:r>
          </w:p>
        </w:tc>
        <w:tc>
          <w:tcPr>
            <w:tcW w:w="518" w:type="pct"/>
            <w:shd w:val="clear" w:color="auto" w:fill="auto"/>
            <w:noWrap/>
          </w:tcPr>
          <w:p w14:paraId="2513A831" w14:textId="3E47D351"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-2.565</w:t>
            </w:r>
          </w:p>
        </w:tc>
        <w:tc>
          <w:tcPr>
            <w:tcW w:w="469" w:type="pct"/>
            <w:tcBorders>
              <w:right w:val="single" w:sz="4" w:space="0" w:color="auto"/>
            </w:tcBorders>
            <w:shd w:val="clear" w:color="auto" w:fill="auto"/>
            <w:noWrap/>
          </w:tcPr>
          <w:p w14:paraId="7E283391" w14:textId="00B40F99"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-2.225</w:t>
            </w:r>
          </w:p>
        </w:tc>
      </w:tr>
      <w:tr w:rsidR="002E554D" w:rsidRPr="002E554D" w14:paraId="61C0E5D4" w14:textId="77777777" w:rsidTr="005D145C">
        <w:trPr>
          <w:trHeight w:val="300"/>
          <w:jc w:val="center"/>
        </w:trPr>
        <w:tc>
          <w:tcPr>
            <w:tcW w:w="625" w:type="pct"/>
            <w:tcBorders>
              <w:left w:val="single" w:sz="4" w:space="0" w:color="auto"/>
              <w:right w:val="single" w:sz="4" w:space="0" w:color="auto"/>
            </w:tcBorders>
            <w:shd w:val="clear" w:color="auto" w:fill="auto"/>
            <w:noWrap/>
            <w:vAlign w:val="bottom"/>
            <w:hideMark/>
          </w:tcPr>
          <w:p w14:paraId="670C6192" w14:textId="7777777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31" w:type="pct"/>
            <w:tcBorders>
              <w:left w:val="single" w:sz="4" w:space="0" w:color="auto"/>
              <w:right w:val="single" w:sz="4" w:space="0" w:color="auto"/>
            </w:tcBorders>
            <w:shd w:val="clear" w:color="auto" w:fill="auto"/>
            <w:noWrap/>
          </w:tcPr>
          <w:p w14:paraId="6107FB40" w14:textId="328BB2F7" w:rsidR="00EE4B9E" w:rsidRPr="002E554D" w:rsidRDefault="00EE4B9E" w:rsidP="00EE4B9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0.313</w:t>
            </w:r>
          </w:p>
        </w:tc>
        <w:tc>
          <w:tcPr>
            <w:tcW w:w="469" w:type="pct"/>
            <w:tcBorders>
              <w:left w:val="single" w:sz="4" w:space="0" w:color="auto"/>
            </w:tcBorders>
            <w:shd w:val="clear" w:color="auto" w:fill="auto"/>
            <w:noWrap/>
          </w:tcPr>
          <w:p w14:paraId="0A3E9E98" w14:textId="00F916CE" w:rsidR="00EE4B9E" w:rsidRPr="002E554D" w:rsidRDefault="00EE4B9E" w:rsidP="00EE4B9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-3.202</w:t>
            </w:r>
          </w:p>
        </w:tc>
        <w:tc>
          <w:tcPr>
            <w:tcW w:w="470" w:type="pct"/>
            <w:shd w:val="clear" w:color="auto" w:fill="auto"/>
            <w:noWrap/>
          </w:tcPr>
          <w:p w14:paraId="1F56E69E" w14:textId="036C2A1F"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-2.567</w:t>
            </w:r>
          </w:p>
        </w:tc>
        <w:tc>
          <w:tcPr>
            <w:tcW w:w="518" w:type="pct"/>
            <w:tcBorders>
              <w:right w:val="single" w:sz="4" w:space="0" w:color="auto"/>
            </w:tcBorders>
            <w:shd w:val="clear" w:color="auto" w:fill="auto"/>
            <w:noWrap/>
          </w:tcPr>
          <w:p w14:paraId="63D9F41E" w14:textId="62F9A76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-2.227</w:t>
            </w:r>
          </w:p>
        </w:tc>
        <w:tc>
          <w:tcPr>
            <w:tcW w:w="731" w:type="pct"/>
            <w:tcBorders>
              <w:left w:val="single" w:sz="4" w:space="0" w:color="auto"/>
              <w:right w:val="single" w:sz="4" w:space="0" w:color="auto"/>
            </w:tcBorders>
            <w:shd w:val="clear" w:color="auto" w:fill="auto"/>
            <w:noWrap/>
          </w:tcPr>
          <w:p w14:paraId="3B770FFF" w14:textId="6DFA7963" w:rsidR="00EE4B9E" w:rsidRPr="002E554D" w:rsidRDefault="00EE4B9E" w:rsidP="00EE4B9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-0.961</w:t>
            </w:r>
          </w:p>
        </w:tc>
        <w:tc>
          <w:tcPr>
            <w:tcW w:w="469" w:type="pct"/>
            <w:tcBorders>
              <w:left w:val="single" w:sz="4" w:space="0" w:color="auto"/>
            </w:tcBorders>
            <w:shd w:val="clear" w:color="auto" w:fill="auto"/>
            <w:noWrap/>
          </w:tcPr>
          <w:p w14:paraId="61AD6F18" w14:textId="20FC3D64"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-3.201</w:t>
            </w:r>
          </w:p>
        </w:tc>
        <w:tc>
          <w:tcPr>
            <w:tcW w:w="518" w:type="pct"/>
            <w:shd w:val="clear" w:color="auto" w:fill="auto"/>
            <w:noWrap/>
          </w:tcPr>
          <w:p w14:paraId="558BD42B" w14:textId="33CD370D"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-2.565</w:t>
            </w:r>
          </w:p>
        </w:tc>
        <w:tc>
          <w:tcPr>
            <w:tcW w:w="469" w:type="pct"/>
            <w:tcBorders>
              <w:right w:val="single" w:sz="4" w:space="0" w:color="auto"/>
            </w:tcBorders>
            <w:shd w:val="clear" w:color="auto" w:fill="auto"/>
            <w:noWrap/>
          </w:tcPr>
          <w:p w14:paraId="70575766" w14:textId="5591B2FF"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-2.225</w:t>
            </w:r>
          </w:p>
        </w:tc>
      </w:tr>
      <w:tr w:rsidR="002E554D" w:rsidRPr="002E554D" w14:paraId="0072B469" w14:textId="77777777" w:rsidTr="005D145C">
        <w:trPr>
          <w:trHeight w:val="300"/>
          <w:jc w:val="center"/>
        </w:trPr>
        <w:tc>
          <w:tcPr>
            <w:tcW w:w="625" w:type="pct"/>
            <w:tcBorders>
              <w:left w:val="single" w:sz="4" w:space="0" w:color="auto"/>
              <w:right w:val="single" w:sz="4" w:space="0" w:color="auto"/>
            </w:tcBorders>
            <w:shd w:val="clear" w:color="auto" w:fill="auto"/>
            <w:noWrap/>
            <w:vAlign w:val="bottom"/>
            <w:hideMark/>
          </w:tcPr>
          <w:p w14:paraId="403DE6EF" w14:textId="7777777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31" w:type="pct"/>
            <w:tcBorders>
              <w:left w:val="single" w:sz="4" w:space="0" w:color="auto"/>
              <w:right w:val="single" w:sz="4" w:space="0" w:color="auto"/>
            </w:tcBorders>
            <w:shd w:val="clear" w:color="auto" w:fill="auto"/>
            <w:noWrap/>
          </w:tcPr>
          <w:p w14:paraId="21D12E66" w14:textId="47798E87" w:rsidR="00EE4B9E" w:rsidRPr="002E554D" w:rsidRDefault="00EE4B9E" w:rsidP="00EE4B9E">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-1.709</w:t>
            </w:r>
          </w:p>
        </w:tc>
        <w:tc>
          <w:tcPr>
            <w:tcW w:w="469" w:type="pct"/>
            <w:tcBorders>
              <w:left w:val="single" w:sz="4" w:space="0" w:color="auto"/>
            </w:tcBorders>
            <w:shd w:val="clear" w:color="auto" w:fill="auto"/>
            <w:noWrap/>
          </w:tcPr>
          <w:p w14:paraId="70EDD525" w14:textId="2C018254" w:rsidR="00EE4B9E" w:rsidRPr="002E554D" w:rsidRDefault="00EE4B9E" w:rsidP="00EE4B9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-3.195</w:t>
            </w:r>
          </w:p>
        </w:tc>
        <w:tc>
          <w:tcPr>
            <w:tcW w:w="470" w:type="pct"/>
            <w:shd w:val="clear" w:color="auto" w:fill="auto"/>
            <w:noWrap/>
          </w:tcPr>
          <w:p w14:paraId="6F16E154" w14:textId="60A0080F"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-2.557</w:t>
            </w:r>
          </w:p>
        </w:tc>
        <w:tc>
          <w:tcPr>
            <w:tcW w:w="518" w:type="pct"/>
            <w:tcBorders>
              <w:right w:val="single" w:sz="4" w:space="0" w:color="auto"/>
            </w:tcBorders>
            <w:shd w:val="clear" w:color="auto" w:fill="auto"/>
            <w:noWrap/>
          </w:tcPr>
          <w:p w14:paraId="5BCF3B24" w14:textId="2B0BAC35"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-2.217</w:t>
            </w:r>
          </w:p>
        </w:tc>
        <w:tc>
          <w:tcPr>
            <w:tcW w:w="731" w:type="pct"/>
            <w:tcBorders>
              <w:left w:val="single" w:sz="4" w:space="0" w:color="auto"/>
              <w:right w:val="single" w:sz="4" w:space="0" w:color="auto"/>
            </w:tcBorders>
            <w:shd w:val="clear" w:color="auto" w:fill="auto"/>
            <w:noWrap/>
          </w:tcPr>
          <w:p w14:paraId="381CB603" w14:textId="6A772A4B" w:rsidR="00EE4B9E" w:rsidRPr="002E554D" w:rsidRDefault="00EE4B9E" w:rsidP="00EE4B9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-2.894**</w:t>
            </w:r>
          </w:p>
        </w:tc>
        <w:tc>
          <w:tcPr>
            <w:tcW w:w="469" w:type="pct"/>
            <w:tcBorders>
              <w:left w:val="single" w:sz="4" w:space="0" w:color="auto"/>
            </w:tcBorders>
            <w:shd w:val="clear" w:color="auto" w:fill="auto"/>
            <w:noWrap/>
          </w:tcPr>
          <w:p w14:paraId="407F5413" w14:textId="5FD4B8EC"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-3.221</w:t>
            </w:r>
          </w:p>
        </w:tc>
        <w:tc>
          <w:tcPr>
            <w:tcW w:w="518" w:type="pct"/>
            <w:shd w:val="clear" w:color="auto" w:fill="auto"/>
            <w:noWrap/>
          </w:tcPr>
          <w:p w14:paraId="6FC94593" w14:textId="37A45571" w:rsidR="00EE4B9E" w:rsidRPr="002E554D" w:rsidRDefault="00EE4B9E" w:rsidP="00EE4B9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-2.592</w:t>
            </w:r>
          </w:p>
        </w:tc>
        <w:tc>
          <w:tcPr>
            <w:tcW w:w="469" w:type="pct"/>
            <w:tcBorders>
              <w:right w:val="single" w:sz="4" w:space="0" w:color="auto"/>
            </w:tcBorders>
            <w:shd w:val="clear" w:color="auto" w:fill="auto"/>
            <w:noWrap/>
          </w:tcPr>
          <w:p w14:paraId="177F0F17" w14:textId="4F9214D3"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-2.252</w:t>
            </w:r>
          </w:p>
        </w:tc>
      </w:tr>
      <w:tr w:rsidR="002E554D" w:rsidRPr="002E554D" w14:paraId="057134DA" w14:textId="77777777" w:rsidTr="005D145C">
        <w:trPr>
          <w:trHeight w:val="300"/>
          <w:jc w:val="center"/>
        </w:trPr>
        <w:tc>
          <w:tcPr>
            <w:tcW w:w="625" w:type="pct"/>
            <w:tcBorders>
              <w:left w:val="single" w:sz="4" w:space="0" w:color="auto"/>
              <w:right w:val="single" w:sz="4" w:space="0" w:color="auto"/>
            </w:tcBorders>
            <w:shd w:val="clear" w:color="auto" w:fill="auto"/>
            <w:noWrap/>
            <w:vAlign w:val="bottom"/>
            <w:hideMark/>
          </w:tcPr>
          <w:p w14:paraId="4B7FC575" w14:textId="7777777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31" w:type="pct"/>
            <w:tcBorders>
              <w:left w:val="single" w:sz="4" w:space="0" w:color="auto"/>
              <w:right w:val="single" w:sz="4" w:space="0" w:color="auto"/>
            </w:tcBorders>
            <w:shd w:val="clear" w:color="auto" w:fill="auto"/>
            <w:noWrap/>
          </w:tcPr>
          <w:p w14:paraId="7FC704E0" w14:textId="1877C17E" w:rsidR="00EE4B9E" w:rsidRPr="002E554D" w:rsidRDefault="00EE4B9E" w:rsidP="00EE4B9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-4.005***</w:t>
            </w:r>
          </w:p>
        </w:tc>
        <w:tc>
          <w:tcPr>
            <w:tcW w:w="469" w:type="pct"/>
            <w:tcBorders>
              <w:left w:val="single" w:sz="4" w:space="0" w:color="auto"/>
            </w:tcBorders>
            <w:shd w:val="clear" w:color="auto" w:fill="auto"/>
            <w:noWrap/>
          </w:tcPr>
          <w:p w14:paraId="1112F5D8" w14:textId="0E3F1853" w:rsidR="00EE4B9E" w:rsidRPr="002E554D" w:rsidRDefault="00EE4B9E" w:rsidP="00EE4B9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-3.156</w:t>
            </w:r>
          </w:p>
        </w:tc>
        <w:tc>
          <w:tcPr>
            <w:tcW w:w="470" w:type="pct"/>
            <w:shd w:val="clear" w:color="auto" w:fill="auto"/>
            <w:noWrap/>
          </w:tcPr>
          <w:p w14:paraId="1F6E2BAC" w14:textId="5CC5A99F"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-2.507</w:t>
            </w:r>
          </w:p>
        </w:tc>
        <w:tc>
          <w:tcPr>
            <w:tcW w:w="518" w:type="pct"/>
            <w:tcBorders>
              <w:right w:val="single" w:sz="4" w:space="0" w:color="auto"/>
            </w:tcBorders>
            <w:shd w:val="clear" w:color="auto" w:fill="auto"/>
            <w:noWrap/>
          </w:tcPr>
          <w:p w14:paraId="608E34E8" w14:textId="479F52A6"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-2.167</w:t>
            </w:r>
          </w:p>
        </w:tc>
        <w:tc>
          <w:tcPr>
            <w:tcW w:w="731" w:type="pct"/>
            <w:tcBorders>
              <w:left w:val="single" w:sz="4" w:space="0" w:color="auto"/>
              <w:right w:val="single" w:sz="4" w:space="0" w:color="auto"/>
            </w:tcBorders>
            <w:shd w:val="clear" w:color="auto" w:fill="auto"/>
            <w:noWrap/>
          </w:tcPr>
          <w:p w14:paraId="4A9096CD" w14:textId="7FC4E710" w:rsidR="00EE4B9E" w:rsidRPr="002E554D" w:rsidRDefault="00EE4B9E" w:rsidP="00EE4B9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-6.601***</w:t>
            </w:r>
          </w:p>
        </w:tc>
        <w:tc>
          <w:tcPr>
            <w:tcW w:w="469" w:type="pct"/>
            <w:tcBorders>
              <w:left w:val="single" w:sz="4" w:space="0" w:color="auto"/>
            </w:tcBorders>
            <w:shd w:val="clear" w:color="auto" w:fill="auto"/>
            <w:noWrap/>
          </w:tcPr>
          <w:p w14:paraId="27F60D3E" w14:textId="1AB049EB"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-3.183</w:t>
            </w:r>
          </w:p>
        </w:tc>
        <w:tc>
          <w:tcPr>
            <w:tcW w:w="518" w:type="pct"/>
            <w:shd w:val="clear" w:color="auto" w:fill="auto"/>
            <w:noWrap/>
          </w:tcPr>
          <w:p w14:paraId="2566C40A" w14:textId="2971AB93"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-2.541</w:t>
            </w:r>
          </w:p>
        </w:tc>
        <w:tc>
          <w:tcPr>
            <w:tcW w:w="469" w:type="pct"/>
            <w:tcBorders>
              <w:right w:val="single" w:sz="4" w:space="0" w:color="auto"/>
            </w:tcBorders>
            <w:shd w:val="clear" w:color="auto" w:fill="auto"/>
            <w:noWrap/>
          </w:tcPr>
          <w:p w14:paraId="727B762B" w14:textId="2CFCAF56"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-2.201</w:t>
            </w:r>
          </w:p>
        </w:tc>
      </w:tr>
      <w:tr w:rsidR="002E554D" w:rsidRPr="002E554D" w14:paraId="64D0F3A4" w14:textId="77777777" w:rsidTr="005D145C">
        <w:trPr>
          <w:trHeight w:val="300"/>
          <w:jc w:val="center"/>
        </w:trPr>
        <w:tc>
          <w:tcPr>
            <w:tcW w:w="625" w:type="pct"/>
            <w:tcBorders>
              <w:left w:val="single" w:sz="4" w:space="0" w:color="auto"/>
              <w:right w:val="single" w:sz="4" w:space="0" w:color="auto"/>
            </w:tcBorders>
            <w:shd w:val="clear" w:color="auto" w:fill="auto"/>
            <w:noWrap/>
            <w:vAlign w:val="bottom"/>
            <w:hideMark/>
          </w:tcPr>
          <w:p w14:paraId="630551F4" w14:textId="7777777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31" w:type="pct"/>
            <w:tcBorders>
              <w:left w:val="single" w:sz="4" w:space="0" w:color="auto"/>
              <w:right w:val="single" w:sz="4" w:space="0" w:color="auto"/>
            </w:tcBorders>
            <w:shd w:val="clear" w:color="auto" w:fill="auto"/>
            <w:noWrap/>
          </w:tcPr>
          <w:p w14:paraId="5E25F7C6" w14:textId="7C7BE65E" w:rsidR="00EE4B9E" w:rsidRPr="002E554D" w:rsidRDefault="00EE4B9E" w:rsidP="00EE4B9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-4.556***</w:t>
            </w:r>
          </w:p>
        </w:tc>
        <w:tc>
          <w:tcPr>
            <w:tcW w:w="469" w:type="pct"/>
            <w:tcBorders>
              <w:left w:val="single" w:sz="4" w:space="0" w:color="auto"/>
            </w:tcBorders>
            <w:shd w:val="clear" w:color="auto" w:fill="auto"/>
            <w:noWrap/>
          </w:tcPr>
          <w:p w14:paraId="719F439D" w14:textId="5591D09E" w:rsidR="00EE4B9E" w:rsidRPr="002E554D" w:rsidRDefault="00EE4B9E" w:rsidP="00EE4B9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-3.088</w:t>
            </w:r>
          </w:p>
        </w:tc>
        <w:tc>
          <w:tcPr>
            <w:tcW w:w="470" w:type="pct"/>
            <w:shd w:val="clear" w:color="auto" w:fill="auto"/>
            <w:noWrap/>
          </w:tcPr>
          <w:p w14:paraId="05F1D254" w14:textId="6A2388D0"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-2.431</w:t>
            </w:r>
          </w:p>
        </w:tc>
        <w:tc>
          <w:tcPr>
            <w:tcW w:w="518" w:type="pct"/>
            <w:tcBorders>
              <w:right w:val="single" w:sz="4" w:space="0" w:color="auto"/>
            </w:tcBorders>
            <w:shd w:val="clear" w:color="auto" w:fill="auto"/>
            <w:noWrap/>
          </w:tcPr>
          <w:p w14:paraId="291E9066" w14:textId="0E08C45E"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-2.088</w:t>
            </w:r>
          </w:p>
        </w:tc>
        <w:tc>
          <w:tcPr>
            <w:tcW w:w="731" w:type="pct"/>
            <w:tcBorders>
              <w:left w:val="single" w:sz="4" w:space="0" w:color="auto"/>
              <w:right w:val="single" w:sz="4" w:space="0" w:color="auto"/>
            </w:tcBorders>
            <w:shd w:val="clear" w:color="auto" w:fill="auto"/>
            <w:noWrap/>
          </w:tcPr>
          <w:p w14:paraId="14964F28" w14:textId="2F582222" w:rsidR="00EE4B9E" w:rsidRPr="002E554D" w:rsidRDefault="00EE4B9E" w:rsidP="00EE4B9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-7.523***</w:t>
            </w:r>
          </w:p>
        </w:tc>
        <w:tc>
          <w:tcPr>
            <w:tcW w:w="469" w:type="pct"/>
            <w:tcBorders>
              <w:left w:val="single" w:sz="4" w:space="0" w:color="auto"/>
            </w:tcBorders>
            <w:shd w:val="clear" w:color="auto" w:fill="auto"/>
            <w:noWrap/>
          </w:tcPr>
          <w:p w14:paraId="65676A8D" w14:textId="531F0840"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-3.070</w:t>
            </w:r>
          </w:p>
        </w:tc>
        <w:tc>
          <w:tcPr>
            <w:tcW w:w="518" w:type="pct"/>
            <w:shd w:val="clear" w:color="auto" w:fill="auto"/>
            <w:noWrap/>
          </w:tcPr>
          <w:p w14:paraId="4B6F85D4" w14:textId="6B035BDF"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-2.413</w:t>
            </w:r>
          </w:p>
        </w:tc>
        <w:tc>
          <w:tcPr>
            <w:tcW w:w="469" w:type="pct"/>
            <w:tcBorders>
              <w:right w:val="single" w:sz="4" w:space="0" w:color="auto"/>
            </w:tcBorders>
            <w:shd w:val="clear" w:color="auto" w:fill="auto"/>
            <w:noWrap/>
          </w:tcPr>
          <w:p w14:paraId="106DF15B" w14:textId="3FEB0CAA"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-2.070</w:t>
            </w:r>
          </w:p>
        </w:tc>
      </w:tr>
      <w:tr w:rsidR="002E554D" w:rsidRPr="002E554D" w14:paraId="6109D33D" w14:textId="77777777" w:rsidTr="005D145C">
        <w:trPr>
          <w:trHeight w:val="300"/>
          <w:jc w:val="center"/>
        </w:trPr>
        <w:tc>
          <w:tcPr>
            <w:tcW w:w="625" w:type="pct"/>
            <w:tcBorders>
              <w:left w:val="single" w:sz="4" w:space="0" w:color="auto"/>
              <w:right w:val="single" w:sz="4" w:space="0" w:color="auto"/>
            </w:tcBorders>
            <w:shd w:val="clear" w:color="auto" w:fill="auto"/>
            <w:noWrap/>
            <w:vAlign w:val="bottom"/>
            <w:hideMark/>
          </w:tcPr>
          <w:p w14:paraId="3F1FD4A3" w14:textId="7777777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lastRenderedPageBreak/>
              <w:t>0.8</w:t>
            </w:r>
          </w:p>
        </w:tc>
        <w:tc>
          <w:tcPr>
            <w:tcW w:w="731" w:type="pct"/>
            <w:tcBorders>
              <w:left w:val="single" w:sz="4" w:space="0" w:color="auto"/>
              <w:right w:val="single" w:sz="4" w:space="0" w:color="auto"/>
            </w:tcBorders>
            <w:shd w:val="clear" w:color="auto" w:fill="auto"/>
            <w:noWrap/>
          </w:tcPr>
          <w:p w14:paraId="432D46EF" w14:textId="3F096EBF" w:rsidR="00EE4B9E" w:rsidRPr="002E554D" w:rsidRDefault="00EE4B9E" w:rsidP="00EE4B9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-5.929***</w:t>
            </w:r>
          </w:p>
        </w:tc>
        <w:tc>
          <w:tcPr>
            <w:tcW w:w="469" w:type="pct"/>
            <w:tcBorders>
              <w:left w:val="single" w:sz="4" w:space="0" w:color="auto"/>
            </w:tcBorders>
            <w:shd w:val="clear" w:color="auto" w:fill="auto"/>
            <w:noWrap/>
          </w:tcPr>
          <w:p w14:paraId="3B0710DF" w14:textId="19C3758D" w:rsidR="00EE4B9E" w:rsidRPr="002E554D" w:rsidRDefault="00EE4B9E" w:rsidP="00EE4B9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-2.932</w:t>
            </w:r>
          </w:p>
        </w:tc>
        <w:tc>
          <w:tcPr>
            <w:tcW w:w="470" w:type="pct"/>
            <w:shd w:val="clear" w:color="auto" w:fill="auto"/>
            <w:noWrap/>
          </w:tcPr>
          <w:p w14:paraId="191F10E2" w14:textId="521E6EF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-2.274</w:t>
            </w:r>
          </w:p>
        </w:tc>
        <w:tc>
          <w:tcPr>
            <w:tcW w:w="518" w:type="pct"/>
            <w:tcBorders>
              <w:right w:val="single" w:sz="4" w:space="0" w:color="auto"/>
            </w:tcBorders>
            <w:shd w:val="clear" w:color="auto" w:fill="auto"/>
            <w:noWrap/>
          </w:tcPr>
          <w:p w14:paraId="57D767B8" w14:textId="67FA04C2"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-1.921</w:t>
            </w:r>
          </w:p>
        </w:tc>
        <w:tc>
          <w:tcPr>
            <w:tcW w:w="731" w:type="pct"/>
            <w:tcBorders>
              <w:left w:val="single" w:sz="4" w:space="0" w:color="auto"/>
              <w:right w:val="single" w:sz="4" w:space="0" w:color="auto"/>
            </w:tcBorders>
            <w:shd w:val="clear" w:color="auto" w:fill="auto"/>
            <w:noWrap/>
          </w:tcPr>
          <w:p w14:paraId="7DB2F1D4" w14:textId="009F3192" w:rsidR="00EE4B9E" w:rsidRPr="002E554D" w:rsidRDefault="00EE4B9E" w:rsidP="00EE4B9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-10.036***</w:t>
            </w:r>
          </w:p>
        </w:tc>
        <w:tc>
          <w:tcPr>
            <w:tcW w:w="469" w:type="pct"/>
            <w:tcBorders>
              <w:left w:val="single" w:sz="4" w:space="0" w:color="auto"/>
            </w:tcBorders>
            <w:shd w:val="clear" w:color="auto" w:fill="auto"/>
            <w:noWrap/>
          </w:tcPr>
          <w:p w14:paraId="54F4591C" w14:textId="0E05E08F"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-2.953</w:t>
            </w:r>
          </w:p>
        </w:tc>
        <w:tc>
          <w:tcPr>
            <w:tcW w:w="518" w:type="pct"/>
            <w:shd w:val="clear" w:color="auto" w:fill="auto"/>
            <w:noWrap/>
          </w:tcPr>
          <w:p w14:paraId="3D0B7431" w14:textId="025FED83"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-2.299</w:t>
            </w:r>
          </w:p>
        </w:tc>
        <w:tc>
          <w:tcPr>
            <w:tcW w:w="469" w:type="pct"/>
            <w:tcBorders>
              <w:right w:val="single" w:sz="4" w:space="0" w:color="auto"/>
            </w:tcBorders>
            <w:shd w:val="clear" w:color="auto" w:fill="auto"/>
            <w:noWrap/>
          </w:tcPr>
          <w:p w14:paraId="7B7560A7" w14:textId="452F0E6B"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-1.946</w:t>
            </w:r>
          </w:p>
        </w:tc>
      </w:tr>
      <w:tr w:rsidR="002E554D" w:rsidRPr="002E554D" w14:paraId="128F5E3F" w14:textId="77777777" w:rsidTr="005D145C">
        <w:trPr>
          <w:trHeight w:val="300"/>
          <w:jc w:val="center"/>
        </w:trPr>
        <w:tc>
          <w:tcPr>
            <w:tcW w:w="625" w:type="pct"/>
            <w:tcBorders>
              <w:left w:val="single" w:sz="4" w:space="0" w:color="auto"/>
              <w:right w:val="single" w:sz="4" w:space="0" w:color="auto"/>
            </w:tcBorders>
            <w:shd w:val="clear" w:color="auto" w:fill="auto"/>
            <w:noWrap/>
            <w:vAlign w:val="bottom"/>
            <w:hideMark/>
          </w:tcPr>
          <w:p w14:paraId="50F9ACA4" w14:textId="77777777"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31" w:type="pct"/>
            <w:tcBorders>
              <w:left w:val="single" w:sz="4" w:space="0" w:color="auto"/>
              <w:right w:val="single" w:sz="4" w:space="0" w:color="auto"/>
            </w:tcBorders>
            <w:shd w:val="clear" w:color="auto" w:fill="auto"/>
            <w:noWrap/>
          </w:tcPr>
          <w:p w14:paraId="1560F57C" w14:textId="4CBBC861" w:rsidR="00EE4B9E" w:rsidRPr="002E554D" w:rsidRDefault="00EE4B9E" w:rsidP="00EE4B9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-5.598***</w:t>
            </w:r>
          </w:p>
        </w:tc>
        <w:tc>
          <w:tcPr>
            <w:tcW w:w="469" w:type="pct"/>
            <w:tcBorders>
              <w:left w:val="single" w:sz="4" w:space="0" w:color="auto"/>
            </w:tcBorders>
            <w:shd w:val="clear" w:color="auto" w:fill="auto"/>
            <w:noWrap/>
          </w:tcPr>
          <w:p w14:paraId="43B64AB9" w14:textId="098E21C2" w:rsidR="00EE4B9E" w:rsidRPr="002E554D" w:rsidRDefault="00EE4B9E" w:rsidP="00EE4B9E">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-2.694</w:t>
            </w:r>
          </w:p>
        </w:tc>
        <w:tc>
          <w:tcPr>
            <w:tcW w:w="470" w:type="pct"/>
            <w:shd w:val="clear" w:color="auto" w:fill="auto"/>
            <w:noWrap/>
          </w:tcPr>
          <w:p w14:paraId="435D6948" w14:textId="39DEA455"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-2.022</w:t>
            </w:r>
          </w:p>
        </w:tc>
        <w:tc>
          <w:tcPr>
            <w:tcW w:w="518" w:type="pct"/>
            <w:tcBorders>
              <w:right w:val="single" w:sz="4" w:space="0" w:color="auto"/>
            </w:tcBorders>
            <w:shd w:val="clear" w:color="auto" w:fill="auto"/>
            <w:noWrap/>
          </w:tcPr>
          <w:p w14:paraId="719CD355" w14:textId="68953DCB"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-1.662</w:t>
            </w:r>
          </w:p>
        </w:tc>
        <w:tc>
          <w:tcPr>
            <w:tcW w:w="731" w:type="pct"/>
            <w:tcBorders>
              <w:left w:val="single" w:sz="4" w:space="0" w:color="auto"/>
              <w:right w:val="single" w:sz="4" w:space="0" w:color="auto"/>
            </w:tcBorders>
            <w:shd w:val="clear" w:color="auto" w:fill="auto"/>
            <w:noWrap/>
          </w:tcPr>
          <w:p w14:paraId="28645E77" w14:textId="1722BA2F" w:rsidR="00EE4B9E" w:rsidRPr="002E554D" w:rsidRDefault="00EE4B9E" w:rsidP="00EE4B9E">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-11.849***</w:t>
            </w:r>
          </w:p>
        </w:tc>
        <w:tc>
          <w:tcPr>
            <w:tcW w:w="469" w:type="pct"/>
            <w:tcBorders>
              <w:left w:val="single" w:sz="4" w:space="0" w:color="auto"/>
            </w:tcBorders>
            <w:shd w:val="clear" w:color="auto" w:fill="auto"/>
            <w:noWrap/>
          </w:tcPr>
          <w:p w14:paraId="2D88B500" w14:textId="7D8A7F0F"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-2.598</w:t>
            </w:r>
          </w:p>
        </w:tc>
        <w:tc>
          <w:tcPr>
            <w:tcW w:w="518" w:type="pct"/>
            <w:shd w:val="clear" w:color="auto" w:fill="auto"/>
            <w:noWrap/>
          </w:tcPr>
          <w:p w14:paraId="70949C8F" w14:textId="45D80EFF"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-1.924</w:t>
            </w:r>
          </w:p>
        </w:tc>
        <w:tc>
          <w:tcPr>
            <w:tcW w:w="469" w:type="pct"/>
            <w:tcBorders>
              <w:right w:val="single" w:sz="4" w:space="0" w:color="auto"/>
            </w:tcBorders>
            <w:shd w:val="clear" w:color="auto" w:fill="auto"/>
            <w:noWrap/>
          </w:tcPr>
          <w:p w14:paraId="104718CE" w14:textId="5E9CEA1E" w:rsidR="00EE4B9E" w:rsidRPr="002E554D" w:rsidRDefault="00EE4B9E" w:rsidP="00EE4B9E">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-1.564</w:t>
            </w:r>
          </w:p>
        </w:tc>
      </w:tr>
      <w:tr w:rsidR="002E554D" w:rsidRPr="002E554D" w14:paraId="39FC1756" w14:textId="77777777" w:rsidTr="00CB6B3B">
        <w:trPr>
          <w:trHeight w:val="300"/>
          <w:jc w:val="center"/>
        </w:trPr>
        <w:tc>
          <w:tcPr>
            <w:tcW w:w="625" w:type="pct"/>
            <w:tcBorders>
              <w:left w:val="single" w:sz="4" w:space="0" w:color="auto"/>
              <w:right w:val="single" w:sz="4" w:space="0" w:color="auto"/>
            </w:tcBorders>
            <w:shd w:val="clear" w:color="auto" w:fill="auto"/>
            <w:noWrap/>
            <w:vAlign w:val="bottom"/>
          </w:tcPr>
          <w:p w14:paraId="2D8E5D1F" w14:textId="77777777" w:rsidR="00E57EF0" w:rsidRPr="002E554D" w:rsidRDefault="00E57EF0" w:rsidP="00E546B1">
            <w:pPr>
              <w:spacing w:after="0" w:line="240" w:lineRule="auto"/>
              <w:jc w:val="center"/>
              <w:rPr>
                <w:rFonts w:ascii="Garamond" w:eastAsia="Times New Roman" w:hAnsi="Garamond" w:cs="Calibri"/>
                <w:color w:val="FF0000"/>
                <w:lang w:val="en-GB" w:eastAsia="en-GB"/>
              </w:rPr>
            </w:pPr>
          </w:p>
        </w:tc>
        <w:tc>
          <w:tcPr>
            <w:tcW w:w="2188" w:type="pct"/>
            <w:gridSpan w:val="4"/>
            <w:tcBorders>
              <w:left w:val="single" w:sz="4" w:space="0" w:color="auto"/>
              <w:right w:val="single" w:sz="4" w:space="0" w:color="auto"/>
            </w:tcBorders>
            <w:shd w:val="clear" w:color="auto" w:fill="auto"/>
            <w:noWrap/>
            <w:vAlign w:val="center"/>
          </w:tcPr>
          <w:p w14:paraId="4A79AD58" w14:textId="1496DB14" w:rsidR="00E57EF0" w:rsidRPr="002E554D" w:rsidRDefault="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FTSE250</w:t>
            </w:r>
          </w:p>
        </w:tc>
        <w:tc>
          <w:tcPr>
            <w:tcW w:w="2188" w:type="pct"/>
            <w:gridSpan w:val="4"/>
            <w:tcBorders>
              <w:left w:val="single" w:sz="4" w:space="0" w:color="auto"/>
              <w:right w:val="single" w:sz="4" w:space="0" w:color="auto"/>
            </w:tcBorders>
            <w:shd w:val="clear" w:color="auto" w:fill="auto"/>
            <w:noWrap/>
            <w:vAlign w:val="center"/>
          </w:tcPr>
          <w:p w14:paraId="31197DCE" w14:textId="193E406F" w:rsidR="00E57EF0" w:rsidRPr="002E554D" w:rsidRDefault="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Israel</w:t>
            </w:r>
            <w:r w:rsidR="00EB6DEA" w:rsidRPr="002E554D">
              <w:rPr>
                <w:rFonts w:ascii="Garamond" w:eastAsia="Times New Roman" w:hAnsi="Garamond" w:cs="Calibri"/>
                <w:b/>
                <w:bCs/>
                <w:color w:val="FF0000"/>
                <w:lang w:val="en-GB" w:eastAsia="en-GB"/>
              </w:rPr>
              <w:t xml:space="preserve"> TA125</w:t>
            </w:r>
          </w:p>
        </w:tc>
      </w:tr>
      <w:tr w:rsidR="002E554D" w:rsidRPr="002E554D" w14:paraId="046066E5" w14:textId="77777777" w:rsidTr="00985F33">
        <w:trPr>
          <w:trHeight w:val="300"/>
          <w:jc w:val="center"/>
        </w:trPr>
        <w:tc>
          <w:tcPr>
            <w:tcW w:w="625" w:type="pct"/>
            <w:tcBorders>
              <w:left w:val="single" w:sz="4" w:space="0" w:color="auto"/>
              <w:right w:val="single" w:sz="4" w:space="0" w:color="auto"/>
            </w:tcBorders>
            <w:shd w:val="clear" w:color="auto" w:fill="auto"/>
            <w:noWrap/>
            <w:vAlign w:val="bottom"/>
            <w:hideMark/>
          </w:tcPr>
          <w:p w14:paraId="17180D5F" w14:textId="77777777"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31" w:type="pct"/>
            <w:tcBorders>
              <w:left w:val="single" w:sz="4" w:space="0" w:color="auto"/>
              <w:right w:val="single" w:sz="4" w:space="0" w:color="auto"/>
            </w:tcBorders>
            <w:shd w:val="clear" w:color="auto" w:fill="auto"/>
            <w:noWrap/>
          </w:tcPr>
          <w:p w14:paraId="10C5A1CC" w14:textId="37BB6AE5"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5.604</w:t>
            </w:r>
          </w:p>
        </w:tc>
        <w:tc>
          <w:tcPr>
            <w:tcW w:w="469" w:type="pct"/>
            <w:tcBorders>
              <w:left w:val="single" w:sz="4" w:space="0" w:color="auto"/>
            </w:tcBorders>
            <w:shd w:val="clear" w:color="auto" w:fill="auto"/>
            <w:noWrap/>
          </w:tcPr>
          <w:p w14:paraId="08DCD000" w14:textId="2F2372CA"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-2.786</w:t>
            </w:r>
          </w:p>
        </w:tc>
        <w:tc>
          <w:tcPr>
            <w:tcW w:w="470" w:type="pct"/>
            <w:shd w:val="clear" w:color="auto" w:fill="auto"/>
            <w:noWrap/>
          </w:tcPr>
          <w:p w14:paraId="1A244F04" w14:textId="1A137B81"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-2.115</w:t>
            </w:r>
          </w:p>
        </w:tc>
        <w:tc>
          <w:tcPr>
            <w:tcW w:w="518" w:type="pct"/>
            <w:tcBorders>
              <w:right w:val="single" w:sz="4" w:space="0" w:color="auto"/>
            </w:tcBorders>
            <w:shd w:val="clear" w:color="auto" w:fill="auto"/>
            <w:noWrap/>
          </w:tcPr>
          <w:p w14:paraId="7DF81D13" w14:textId="5AFB28C1"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-1.755</w:t>
            </w:r>
          </w:p>
        </w:tc>
        <w:tc>
          <w:tcPr>
            <w:tcW w:w="731" w:type="pct"/>
            <w:tcBorders>
              <w:left w:val="single" w:sz="4" w:space="0" w:color="auto"/>
              <w:right w:val="single" w:sz="4" w:space="0" w:color="auto"/>
            </w:tcBorders>
            <w:shd w:val="clear" w:color="auto" w:fill="auto"/>
            <w:noWrap/>
          </w:tcPr>
          <w:p w14:paraId="32804CD3" w14:textId="25D287B3"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0.996</w:t>
            </w:r>
          </w:p>
        </w:tc>
        <w:tc>
          <w:tcPr>
            <w:tcW w:w="469" w:type="pct"/>
            <w:tcBorders>
              <w:left w:val="single" w:sz="4" w:space="0" w:color="auto"/>
            </w:tcBorders>
            <w:shd w:val="clear" w:color="auto" w:fill="auto"/>
            <w:noWrap/>
          </w:tcPr>
          <w:p w14:paraId="7F101C48" w14:textId="34759890"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-2.547</w:t>
            </w:r>
          </w:p>
        </w:tc>
        <w:tc>
          <w:tcPr>
            <w:tcW w:w="518" w:type="pct"/>
            <w:shd w:val="clear" w:color="auto" w:fill="auto"/>
            <w:noWrap/>
          </w:tcPr>
          <w:p w14:paraId="2819E9FF" w14:textId="7C7AB794"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-1.872</w:t>
            </w:r>
          </w:p>
        </w:tc>
        <w:tc>
          <w:tcPr>
            <w:tcW w:w="469" w:type="pct"/>
            <w:tcBorders>
              <w:right w:val="single" w:sz="4" w:space="0" w:color="auto"/>
            </w:tcBorders>
            <w:shd w:val="clear" w:color="auto" w:fill="auto"/>
            <w:noWrap/>
          </w:tcPr>
          <w:p w14:paraId="0532AE96" w14:textId="0CCE92D9"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-1.512</w:t>
            </w:r>
          </w:p>
        </w:tc>
      </w:tr>
      <w:tr w:rsidR="002E554D" w:rsidRPr="002E554D" w14:paraId="6BE1590C" w14:textId="77777777" w:rsidTr="00985F33">
        <w:trPr>
          <w:trHeight w:val="300"/>
          <w:jc w:val="center"/>
        </w:trPr>
        <w:tc>
          <w:tcPr>
            <w:tcW w:w="625" w:type="pct"/>
            <w:tcBorders>
              <w:left w:val="single" w:sz="4" w:space="0" w:color="auto"/>
              <w:right w:val="single" w:sz="4" w:space="0" w:color="auto"/>
            </w:tcBorders>
            <w:shd w:val="clear" w:color="auto" w:fill="auto"/>
            <w:noWrap/>
            <w:vAlign w:val="bottom"/>
            <w:hideMark/>
          </w:tcPr>
          <w:p w14:paraId="01580DBA" w14:textId="77777777"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31" w:type="pct"/>
            <w:tcBorders>
              <w:left w:val="single" w:sz="4" w:space="0" w:color="auto"/>
              <w:right w:val="single" w:sz="4" w:space="0" w:color="auto"/>
            </w:tcBorders>
            <w:shd w:val="clear" w:color="auto" w:fill="auto"/>
            <w:noWrap/>
          </w:tcPr>
          <w:p w14:paraId="2A134455" w14:textId="615ECF6A"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4.401</w:t>
            </w:r>
          </w:p>
        </w:tc>
        <w:tc>
          <w:tcPr>
            <w:tcW w:w="469" w:type="pct"/>
            <w:tcBorders>
              <w:left w:val="single" w:sz="4" w:space="0" w:color="auto"/>
            </w:tcBorders>
            <w:shd w:val="clear" w:color="auto" w:fill="auto"/>
            <w:noWrap/>
          </w:tcPr>
          <w:p w14:paraId="4031275A" w14:textId="1C56F3C4"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-2.991</w:t>
            </w:r>
          </w:p>
        </w:tc>
        <w:tc>
          <w:tcPr>
            <w:tcW w:w="470" w:type="pct"/>
            <w:shd w:val="clear" w:color="auto" w:fill="auto"/>
            <w:noWrap/>
          </w:tcPr>
          <w:p w14:paraId="38BF8F0F" w14:textId="769EFBB1"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-2.341</w:t>
            </w:r>
          </w:p>
        </w:tc>
        <w:tc>
          <w:tcPr>
            <w:tcW w:w="518" w:type="pct"/>
            <w:tcBorders>
              <w:right w:val="single" w:sz="4" w:space="0" w:color="auto"/>
            </w:tcBorders>
            <w:shd w:val="clear" w:color="auto" w:fill="auto"/>
            <w:noWrap/>
          </w:tcPr>
          <w:p w14:paraId="27E00F10" w14:textId="1A96893D"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-1.991</w:t>
            </w:r>
          </w:p>
        </w:tc>
        <w:tc>
          <w:tcPr>
            <w:tcW w:w="731" w:type="pct"/>
            <w:tcBorders>
              <w:left w:val="single" w:sz="4" w:space="0" w:color="auto"/>
              <w:right w:val="single" w:sz="4" w:space="0" w:color="auto"/>
            </w:tcBorders>
            <w:shd w:val="clear" w:color="auto" w:fill="auto"/>
            <w:noWrap/>
          </w:tcPr>
          <w:p w14:paraId="59AE9FC5" w14:textId="2CB15AD1"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-0.394</w:t>
            </w:r>
          </w:p>
        </w:tc>
        <w:tc>
          <w:tcPr>
            <w:tcW w:w="469" w:type="pct"/>
            <w:tcBorders>
              <w:left w:val="single" w:sz="4" w:space="0" w:color="auto"/>
            </w:tcBorders>
            <w:shd w:val="clear" w:color="auto" w:fill="auto"/>
            <w:noWrap/>
          </w:tcPr>
          <w:p w14:paraId="1B3422EF" w14:textId="3138E8B1"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-3.006</w:t>
            </w:r>
          </w:p>
        </w:tc>
        <w:tc>
          <w:tcPr>
            <w:tcW w:w="518" w:type="pct"/>
            <w:shd w:val="clear" w:color="auto" w:fill="auto"/>
            <w:noWrap/>
          </w:tcPr>
          <w:p w14:paraId="3A2CE08C" w14:textId="10DE4708"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-2.354</w:t>
            </w:r>
          </w:p>
        </w:tc>
        <w:tc>
          <w:tcPr>
            <w:tcW w:w="469" w:type="pct"/>
            <w:tcBorders>
              <w:right w:val="single" w:sz="4" w:space="0" w:color="auto"/>
            </w:tcBorders>
            <w:shd w:val="clear" w:color="auto" w:fill="auto"/>
            <w:noWrap/>
          </w:tcPr>
          <w:p w14:paraId="66AF3DC3" w14:textId="50795711"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-2.006</w:t>
            </w:r>
          </w:p>
        </w:tc>
      </w:tr>
      <w:tr w:rsidR="002E554D" w:rsidRPr="002E554D" w14:paraId="70550534" w14:textId="77777777" w:rsidTr="00985F33">
        <w:trPr>
          <w:trHeight w:val="300"/>
          <w:jc w:val="center"/>
        </w:trPr>
        <w:tc>
          <w:tcPr>
            <w:tcW w:w="625" w:type="pct"/>
            <w:tcBorders>
              <w:left w:val="single" w:sz="4" w:space="0" w:color="auto"/>
              <w:right w:val="single" w:sz="4" w:space="0" w:color="auto"/>
            </w:tcBorders>
            <w:shd w:val="clear" w:color="auto" w:fill="auto"/>
            <w:noWrap/>
            <w:vAlign w:val="bottom"/>
            <w:hideMark/>
          </w:tcPr>
          <w:p w14:paraId="3F222130" w14:textId="77777777"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31" w:type="pct"/>
            <w:tcBorders>
              <w:left w:val="single" w:sz="4" w:space="0" w:color="auto"/>
              <w:right w:val="single" w:sz="4" w:space="0" w:color="auto"/>
            </w:tcBorders>
            <w:shd w:val="clear" w:color="auto" w:fill="auto"/>
            <w:noWrap/>
          </w:tcPr>
          <w:p w14:paraId="1B6003C9" w14:textId="6AE7844A"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2.869</w:t>
            </w:r>
          </w:p>
        </w:tc>
        <w:tc>
          <w:tcPr>
            <w:tcW w:w="469" w:type="pct"/>
            <w:tcBorders>
              <w:left w:val="single" w:sz="4" w:space="0" w:color="auto"/>
            </w:tcBorders>
            <w:shd w:val="clear" w:color="auto" w:fill="auto"/>
            <w:noWrap/>
          </w:tcPr>
          <w:p w14:paraId="4D7DE539" w14:textId="5BA39D20"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-3.174</w:t>
            </w:r>
          </w:p>
        </w:tc>
        <w:tc>
          <w:tcPr>
            <w:tcW w:w="470" w:type="pct"/>
            <w:shd w:val="clear" w:color="auto" w:fill="auto"/>
            <w:noWrap/>
          </w:tcPr>
          <w:p w14:paraId="71CFA62D" w14:textId="701D0022"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-2.531</w:t>
            </w:r>
          </w:p>
        </w:tc>
        <w:tc>
          <w:tcPr>
            <w:tcW w:w="518" w:type="pct"/>
            <w:tcBorders>
              <w:right w:val="single" w:sz="4" w:space="0" w:color="auto"/>
            </w:tcBorders>
            <w:shd w:val="clear" w:color="auto" w:fill="auto"/>
            <w:noWrap/>
          </w:tcPr>
          <w:p w14:paraId="462710D2" w14:textId="0E29C6DC"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-2.191</w:t>
            </w:r>
          </w:p>
        </w:tc>
        <w:tc>
          <w:tcPr>
            <w:tcW w:w="731" w:type="pct"/>
            <w:tcBorders>
              <w:left w:val="single" w:sz="4" w:space="0" w:color="auto"/>
              <w:right w:val="single" w:sz="4" w:space="0" w:color="auto"/>
            </w:tcBorders>
            <w:shd w:val="clear" w:color="auto" w:fill="auto"/>
            <w:noWrap/>
          </w:tcPr>
          <w:p w14:paraId="63BD2785" w14:textId="67F8F4B9"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-0.780</w:t>
            </w:r>
          </w:p>
        </w:tc>
        <w:tc>
          <w:tcPr>
            <w:tcW w:w="469" w:type="pct"/>
            <w:tcBorders>
              <w:left w:val="single" w:sz="4" w:space="0" w:color="auto"/>
            </w:tcBorders>
            <w:shd w:val="clear" w:color="auto" w:fill="auto"/>
            <w:noWrap/>
          </w:tcPr>
          <w:p w14:paraId="6AA21459" w14:textId="7E415F17"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-3.206</w:t>
            </w:r>
          </w:p>
        </w:tc>
        <w:tc>
          <w:tcPr>
            <w:tcW w:w="518" w:type="pct"/>
            <w:shd w:val="clear" w:color="auto" w:fill="auto"/>
            <w:noWrap/>
          </w:tcPr>
          <w:p w14:paraId="66F37DE9" w14:textId="25B509C0"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-2.571</w:t>
            </w:r>
          </w:p>
        </w:tc>
        <w:tc>
          <w:tcPr>
            <w:tcW w:w="469" w:type="pct"/>
            <w:tcBorders>
              <w:right w:val="single" w:sz="4" w:space="0" w:color="auto"/>
            </w:tcBorders>
            <w:shd w:val="clear" w:color="auto" w:fill="auto"/>
            <w:noWrap/>
          </w:tcPr>
          <w:p w14:paraId="26323CD9" w14:textId="1EDC3B18"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-2.231</w:t>
            </w:r>
          </w:p>
        </w:tc>
      </w:tr>
      <w:tr w:rsidR="002E554D" w:rsidRPr="002E554D" w14:paraId="31A303E9" w14:textId="77777777" w:rsidTr="00985F33">
        <w:trPr>
          <w:trHeight w:val="300"/>
          <w:jc w:val="center"/>
        </w:trPr>
        <w:tc>
          <w:tcPr>
            <w:tcW w:w="625" w:type="pct"/>
            <w:tcBorders>
              <w:left w:val="single" w:sz="4" w:space="0" w:color="auto"/>
              <w:right w:val="single" w:sz="4" w:space="0" w:color="auto"/>
            </w:tcBorders>
            <w:shd w:val="clear" w:color="auto" w:fill="auto"/>
            <w:noWrap/>
            <w:vAlign w:val="bottom"/>
            <w:hideMark/>
          </w:tcPr>
          <w:p w14:paraId="08B59AD3" w14:textId="77777777"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31" w:type="pct"/>
            <w:tcBorders>
              <w:left w:val="single" w:sz="4" w:space="0" w:color="auto"/>
              <w:right w:val="single" w:sz="4" w:space="0" w:color="auto"/>
            </w:tcBorders>
            <w:shd w:val="clear" w:color="auto" w:fill="auto"/>
            <w:noWrap/>
          </w:tcPr>
          <w:p w14:paraId="3A0138BD" w14:textId="71A55482"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0.890</w:t>
            </w:r>
          </w:p>
        </w:tc>
        <w:tc>
          <w:tcPr>
            <w:tcW w:w="469" w:type="pct"/>
            <w:tcBorders>
              <w:left w:val="single" w:sz="4" w:space="0" w:color="auto"/>
            </w:tcBorders>
            <w:shd w:val="clear" w:color="auto" w:fill="auto"/>
            <w:noWrap/>
          </w:tcPr>
          <w:p w14:paraId="5BEA8B51" w14:textId="3DCB3309"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-3.220</w:t>
            </w:r>
          </w:p>
        </w:tc>
        <w:tc>
          <w:tcPr>
            <w:tcW w:w="470" w:type="pct"/>
            <w:shd w:val="clear" w:color="auto" w:fill="auto"/>
            <w:noWrap/>
          </w:tcPr>
          <w:p w14:paraId="4FEF8867" w14:textId="2198CEDD"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-2.590</w:t>
            </w:r>
          </w:p>
        </w:tc>
        <w:tc>
          <w:tcPr>
            <w:tcW w:w="518" w:type="pct"/>
            <w:tcBorders>
              <w:right w:val="single" w:sz="4" w:space="0" w:color="auto"/>
            </w:tcBorders>
            <w:shd w:val="clear" w:color="auto" w:fill="auto"/>
            <w:noWrap/>
          </w:tcPr>
          <w:p w14:paraId="3350B96D" w14:textId="2BF8A919"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-2.250</w:t>
            </w:r>
          </w:p>
        </w:tc>
        <w:tc>
          <w:tcPr>
            <w:tcW w:w="731" w:type="pct"/>
            <w:tcBorders>
              <w:left w:val="single" w:sz="4" w:space="0" w:color="auto"/>
              <w:right w:val="single" w:sz="4" w:space="0" w:color="auto"/>
            </w:tcBorders>
            <w:shd w:val="clear" w:color="auto" w:fill="auto"/>
            <w:noWrap/>
          </w:tcPr>
          <w:p w14:paraId="3AE6548D" w14:textId="3325DA50"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-1.995</w:t>
            </w:r>
          </w:p>
        </w:tc>
        <w:tc>
          <w:tcPr>
            <w:tcW w:w="469" w:type="pct"/>
            <w:tcBorders>
              <w:left w:val="single" w:sz="4" w:space="0" w:color="auto"/>
            </w:tcBorders>
            <w:shd w:val="clear" w:color="auto" w:fill="auto"/>
            <w:noWrap/>
          </w:tcPr>
          <w:p w14:paraId="314689C7" w14:textId="5F3401AD"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-3.241</w:t>
            </w:r>
          </w:p>
        </w:tc>
        <w:tc>
          <w:tcPr>
            <w:tcW w:w="518" w:type="pct"/>
            <w:shd w:val="clear" w:color="auto" w:fill="auto"/>
            <w:noWrap/>
          </w:tcPr>
          <w:p w14:paraId="7A2067FD" w14:textId="1E411C75" w:rsidR="003747B8" w:rsidRPr="002E554D" w:rsidRDefault="003747B8" w:rsidP="003747B8">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-2.624</w:t>
            </w:r>
          </w:p>
        </w:tc>
        <w:tc>
          <w:tcPr>
            <w:tcW w:w="469" w:type="pct"/>
            <w:tcBorders>
              <w:right w:val="single" w:sz="4" w:space="0" w:color="auto"/>
            </w:tcBorders>
            <w:shd w:val="clear" w:color="auto" w:fill="auto"/>
            <w:noWrap/>
          </w:tcPr>
          <w:p w14:paraId="484246CD" w14:textId="2819E119"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-2.289</w:t>
            </w:r>
          </w:p>
        </w:tc>
      </w:tr>
      <w:tr w:rsidR="002E554D" w:rsidRPr="002E554D" w14:paraId="2AEB0BF2" w14:textId="77777777" w:rsidTr="00985F33">
        <w:trPr>
          <w:trHeight w:val="300"/>
          <w:jc w:val="center"/>
        </w:trPr>
        <w:tc>
          <w:tcPr>
            <w:tcW w:w="625" w:type="pct"/>
            <w:tcBorders>
              <w:left w:val="single" w:sz="4" w:space="0" w:color="auto"/>
              <w:right w:val="single" w:sz="4" w:space="0" w:color="auto"/>
            </w:tcBorders>
            <w:shd w:val="clear" w:color="auto" w:fill="auto"/>
            <w:noWrap/>
            <w:vAlign w:val="bottom"/>
            <w:hideMark/>
          </w:tcPr>
          <w:p w14:paraId="55D9C887" w14:textId="77777777"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31" w:type="pct"/>
            <w:tcBorders>
              <w:left w:val="single" w:sz="4" w:space="0" w:color="auto"/>
              <w:right w:val="single" w:sz="4" w:space="0" w:color="auto"/>
            </w:tcBorders>
            <w:shd w:val="clear" w:color="auto" w:fill="auto"/>
            <w:noWrap/>
          </w:tcPr>
          <w:p w14:paraId="1EEEB671" w14:textId="01237696" w:rsidR="003747B8" w:rsidRPr="002E554D" w:rsidRDefault="003747B8" w:rsidP="003747B8">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-2.828**</w:t>
            </w:r>
          </w:p>
        </w:tc>
        <w:tc>
          <w:tcPr>
            <w:tcW w:w="469" w:type="pct"/>
            <w:tcBorders>
              <w:left w:val="single" w:sz="4" w:space="0" w:color="auto"/>
            </w:tcBorders>
            <w:shd w:val="clear" w:color="auto" w:fill="auto"/>
            <w:noWrap/>
          </w:tcPr>
          <w:p w14:paraId="46D9C6E5" w14:textId="649FEFB2"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-3.192</w:t>
            </w:r>
          </w:p>
        </w:tc>
        <w:tc>
          <w:tcPr>
            <w:tcW w:w="470" w:type="pct"/>
            <w:shd w:val="clear" w:color="auto" w:fill="auto"/>
            <w:noWrap/>
          </w:tcPr>
          <w:p w14:paraId="2BB021B9" w14:textId="3F1D1C3D"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-2.554</w:t>
            </w:r>
          </w:p>
        </w:tc>
        <w:tc>
          <w:tcPr>
            <w:tcW w:w="518" w:type="pct"/>
            <w:tcBorders>
              <w:right w:val="single" w:sz="4" w:space="0" w:color="auto"/>
            </w:tcBorders>
            <w:shd w:val="clear" w:color="auto" w:fill="auto"/>
            <w:noWrap/>
          </w:tcPr>
          <w:p w14:paraId="1F0A8A94" w14:textId="25399431"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-2.214</w:t>
            </w:r>
          </w:p>
        </w:tc>
        <w:tc>
          <w:tcPr>
            <w:tcW w:w="731" w:type="pct"/>
            <w:tcBorders>
              <w:left w:val="single" w:sz="4" w:space="0" w:color="auto"/>
              <w:right w:val="single" w:sz="4" w:space="0" w:color="auto"/>
            </w:tcBorders>
            <w:shd w:val="clear" w:color="auto" w:fill="auto"/>
            <w:noWrap/>
          </w:tcPr>
          <w:p w14:paraId="72731778" w14:textId="6CEC7C4F" w:rsidR="003747B8" w:rsidRPr="002E554D" w:rsidRDefault="003747B8" w:rsidP="003747B8">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-3.329***</w:t>
            </w:r>
          </w:p>
        </w:tc>
        <w:tc>
          <w:tcPr>
            <w:tcW w:w="469" w:type="pct"/>
            <w:tcBorders>
              <w:left w:val="single" w:sz="4" w:space="0" w:color="auto"/>
            </w:tcBorders>
            <w:shd w:val="clear" w:color="auto" w:fill="auto"/>
            <w:noWrap/>
          </w:tcPr>
          <w:p w14:paraId="44585047" w14:textId="3CBCE99E" w:rsidR="003747B8" w:rsidRPr="002E554D" w:rsidRDefault="003747B8" w:rsidP="003747B8">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-3.231</w:t>
            </w:r>
          </w:p>
        </w:tc>
        <w:tc>
          <w:tcPr>
            <w:tcW w:w="518" w:type="pct"/>
            <w:shd w:val="clear" w:color="auto" w:fill="auto"/>
            <w:noWrap/>
          </w:tcPr>
          <w:p w14:paraId="0B0C8D09" w14:textId="5F92564D"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-2.608</w:t>
            </w:r>
          </w:p>
        </w:tc>
        <w:tc>
          <w:tcPr>
            <w:tcW w:w="469" w:type="pct"/>
            <w:tcBorders>
              <w:right w:val="single" w:sz="4" w:space="0" w:color="auto"/>
            </w:tcBorders>
            <w:shd w:val="clear" w:color="auto" w:fill="auto"/>
            <w:noWrap/>
          </w:tcPr>
          <w:p w14:paraId="7B8B528E" w14:textId="50BB679C"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-2.271</w:t>
            </w:r>
          </w:p>
        </w:tc>
      </w:tr>
      <w:tr w:rsidR="002E554D" w:rsidRPr="002E554D" w14:paraId="411702AF" w14:textId="77777777" w:rsidTr="00985F33">
        <w:trPr>
          <w:trHeight w:val="300"/>
          <w:jc w:val="center"/>
        </w:trPr>
        <w:tc>
          <w:tcPr>
            <w:tcW w:w="625" w:type="pct"/>
            <w:tcBorders>
              <w:left w:val="single" w:sz="4" w:space="0" w:color="auto"/>
              <w:right w:val="single" w:sz="4" w:space="0" w:color="auto"/>
            </w:tcBorders>
            <w:shd w:val="clear" w:color="auto" w:fill="auto"/>
            <w:noWrap/>
            <w:vAlign w:val="bottom"/>
            <w:hideMark/>
          </w:tcPr>
          <w:p w14:paraId="16360E38" w14:textId="77777777"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31" w:type="pct"/>
            <w:tcBorders>
              <w:left w:val="single" w:sz="4" w:space="0" w:color="auto"/>
              <w:right w:val="single" w:sz="4" w:space="0" w:color="auto"/>
            </w:tcBorders>
            <w:shd w:val="clear" w:color="auto" w:fill="auto"/>
            <w:noWrap/>
          </w:tcPr>
          <w:p w14:paraId="32CC42E0" w14:textId="164A5BED" w:rsidR="003747B8" w:rsidRPr="002E554D" w:rsidRDefault="003747B8" w:rsidP="003747B8">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-9.155***</w:t>
            </w:r>
          </w:p>
        </w:tc>
        <w:tc>
          <w:tcPr>
            <w:tcW w:w="469" w:type="pct"/>
            <w:tcBorders>
              <w:left w:val="single" w:sz="4" w:space="0" w:color="auto"/>
            </w:tcBorders>
            <w:shd w:val="clear" w:color="auto" w:fill="auto"/>
            <w:noWrap/>
          </w:tcPr>
          <w:p w14:paraId="612E5E9E" w14:textId="763ECB60" w:rsidR="003747B8" w:rsidRPr="002E554D" w:rsidRDefault="003747B8" w:rsidP="003747B8">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-3.073</w:t>
            </w:r>
          </w:p>
        </w:tc>
        <w:tc>
          <w:tcPr>
            <w:tcW w:w="470" w:type="pct"/>
            <w:shd w:val="clear" w:color="auto" w:fill="auto"/>
            <w:noWrap/>
          </w:tcPr>
          <w:p w14:paraId="4AF0CC08" w14:textId="2CCFEBCA"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-2.417</w:t>
            </w:r>
          </w:p>
        </w:tc>
        <w:tc>
          <w:tcPr>
            <w:tcW w:w="518" w:type="pct"/>
            <w:tcBorders>
              <w:right w:val="single" w:sz="4" w:space="0" w:color="auto"/>
            </w:tcBorders>
            <w:shd w:val="clear" w:color="auto" w:fill="auto"/>
            <w:noWrap/>
          </w:tcPr>
          <w:p w14:paraId="12D039AF" w14:textId="64070EAA"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-2.073</w:t>
            </w:r>
          </w:p>
        </w:tc>
        <w:tc>
          <w:tcPr>
            <w:tcW w:w="731" w:type="pct"/>
            <w:tcBorders>
              <w:left w:val="single" w:sz="4" w:space="0" w:color="auto"/>
              <w:right w:val="single" w:sz="4" w:space="0" w:color="auto"/>
            </w:tcBorders>
            <w:shd w:val="clear" w:color="auto" w:fill="auto"/>
            <w:noWrap/>
          </w:tcPr>
          <w:p w14:paraId="59419BD4" w14:textId="0B98A931" w:rsidR="003747B8" w:rsidRPr="002E554D" w:rsidRDefault="003747B8" w:rsidP="003747B8">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-3.544***</w:t>
            </w:r>
          </w:p>
        </w:tc>
        <w:tc>
          <w:tcPr>
            <w:tcW w:w="469" w:type="pct"/>
            <w:tcBorders>
              <w:left w:val="single" w:sz="4" w:space="0" w:color="auto"/>
            </w:tcBorders>
            <w:shd w:val="clear" w:color="auto" w:fill="auto"/>
            <w:noWrap/>
          </w:tcPr>
          <w:p w14:paraId="45040921" w14:textId="264D252C" w:rsidR="003747B8" w:rsidRPr="002E554D" w:rsidRDefault="003747B8" w:rsidP="003747B8">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-3.208</w:t>
            </w:r>
          </w:p>
        </w:tc>
        <w:tc>
          <w:tcPr>
            <w:tcW w:w="518" w:type="pct"/>
            <w:shd w:val="clear" w:color="auto" w:fill="auto"/>
            <w:noWrap/>
          </w:tcPr>
          <w:p w14:paraId="46DF0D28" w14:textId="726D5248"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-2.574</w:t>
            </w:r>
          </w:p>
        </w:tc>
        <w:tc>
          <w:tcPr>
            <w:tcW w:w="469" w:type="pct"/>
            <w:tcBorders>
              <w:right w:val="single" w:sz="4" w:space="0" w:color="auto"/>
            </w:tcBorders>
            <w:shd w:val="clear" w:color="auto" w:fill="auto"/>
            <w:noWrap/>
          </w:tcPr>
          <w:p w14:paraId="76088D05" w14:textId="37289303"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-2.234</w:t>
            </w:r>
          </w:p>
        </w:tc>
      </w:tr>
      <w:tr w:rsidR="002E554D" w:rsidRPr="002E554D" w14:paraId="3221CC34" w14:textId="77777777" w:rsidTr="00985F33">
        <w:trPr>
          <w:trHeight w:val="300"/>
          <w:jc w:val="center"/>
        </w:trPr>
        <w:tc>
          <w:tcPr>
            <w:tcW w:w="625" w:type="pct"/>
            <w:tcBorders>
              <w:left w:val="single" w:sz="4" w:space="0" w:color="auto"/>
              <w:right w:val="single" w:sz="4" w:space="0" w:color="auto"/>
            </w:tcBorders>
            <w:shd w:val="clear" w:color="auto" w:fill="auto"/>
            <w:noWrap/>
            <w:vAlign w:val="bottom"/>
            <w:hideMark/>
          </w:tcPr>
          <w:p w14:paraId="2ACED5CF" w14:textId="77777777"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31" w:type="pct"/>
            <w:tcBorders>
              <w:left w:val="single" w:sz="4" w:space="0" w:color="auto"/>
              <w:right w:val="single" w:sz="4" w:space="0" w:color="auto"/>
            </w:tcBorders>
            <w:shd w:val="clear" w:color="auto" w:fill="auto"/>
            <w:noWrap/>
          </w:tcPr>
          <w:p w14:paraId="5BED1EB2" w14:textId="2C4DD356" w:rsidR="003747B8" w:rsidRPr="002E554D" w:rsidRDefault="003747B8" w:rsidP="003747B8">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-14.381***</w:t>
            </w:r>
          </w:p>
        </w:tc>
        <w:tc>
          <w:tcPr>
            <w:tcW w:w="469" w:type="pct"/>
            <w:tcBorders>
              <w:left w:val="single" w:sz="4" w:space="0" w:color="auto"/>
            </w:tcBorders>
            <w:shd w:val="clear" w:color="auto" w:fill="auto"/>
            <w:noWrap/>
          </w:tcPr>
          <w:p w14:paraId="32BF6ADB" w14:textId="6941B788" w:rsidR="003747B8" w:rsidRPr="002E554D" w:rsidRDefault="003747B8" w:rsidP="003747B8">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-2.935</w:t>
            </w:r>
          </w:p>
        </w:tc>
        <w:tc>
          <w:tcPr>
            <w:tcW w:w="470" w:type="pct"/>
            <w:shd w:val="clear" w:color="auto" w:fill="auto"/>
            <w:noWrap/>
          </w:tcPr>
          <w:p w14:paraId="74732561" w14:textId="19224398"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-2.278</w:t>
            </w:r>
          </w:p>
        </w:tc>
        <w:tc>
          <w:tcPr>
            <w:tcW w:w="518" w:type="pct"/>
            <w:tcBorders>
              <w:right w:val="single" w:sz="4" w:space="0" w:color="auto"/>
            </w:tcBorders>
            <w:shd w:val="clear" w:color="auto" w:fill="auto"/>
            <w:noWrap/>
          </w:tcPr>
          <w:p w14:paraId="006DE192" w14:textId="3F173040"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-1.925</w:t>
            </w:r>
          </w:p>
        </w:tc>
        <w:tc>
          <w:tcPr>
            <w:tcW w:w="731" w:type="pct"/>
            <w:tcBorders>
              <w:left w:val="single" w:sz="4" w:space="0" w:color="auto"/>
              <w:right w:val="single" w:sz="4" w:space="0" w:color="auto"/>
            </w:tcBorders>
            <w:shd w:val="clear" w:color="auto" w:fill="auto"/>
            <w:noWrap/>
          </w:tcPr>
          <w:p w14:paraId="12733DBD" w14:textId="2D8B6C5A" w:rsidR="003747B8" w:rsidRPr="002E554D" w:rsidRDefault="003747B8" w:rsidP="003747B8">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-4.608***</w:t>
            </w:r>
          </w:p>
        </w:tc>
        <w:tc>
          <w:tcPr>
            <w:tcW w:w="469" w:type="pct"/>
            <w:tcBorders>
              <w:left w:val="single" w:sz="4" w:space="0" w:color="auto"/>
            </w:tcBorders>
            <w:shd w:val="clear" w:color="auto" w:fill="auto"/>
            <w:noWrap/>
          </w:tcPr>
          <w:p w14:paraId="6A1428C4" w14:textId="070046C1" w:rsidR="003747B8" w:rsidRPr="002E554D" w:rsidRDefault="003747B8" w:rsidP="003747B8">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-3.078</w:t>
            </w:r>
          </w:p>
        </w:tc>
        <w:tc>
          <w:tcPr>
            <w:tcW w:w="518" w:type="pct"/>
            <w:shd w:val="clear" w:color="auto" w:fill="auto"/>
            <w:noWrap/>
          </w:tcPr>
          <w:p w14:paraId="226CD9E2" w14:textId="151CFBE2"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-2.421</w:t>
            </w:r>
          </w:p>
        </w:tc>
        <w:tc>
          <w:tcPr>
            <w:tcW w:w="469" w:type="pct"/>
            <w:tcBorders>
              <w:right w:val="single" w:sz="4" w:space="0" w:color="auto"/>
            </w:tcBorders>
            <w:shd w:val="clear" w:color="auto" w:fill="auto"/>
            <w:noWrap/>
          </w:tcPr>
          <w:p w14:paraId="44EF79D5" w14:textId="22956016"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-2.078</w:t>
            </w:r>
          </w:p>
        </w:tc>
      </w:tr>
      <w:tr w:rsidR="002E554D" w:rsidRPr="002E554D" w14:paraId="22E258ED" w14:textId="77777777" w:rsidTr="00985F33">
        <w:trPr>
          <w:trHeight w:val="300"/>
          <w:jc w:val="center"/>
        </w:trPr>
        <w:tc>
          <w:tcPr>
            <w:tcW w:w="625" w:type="pct"/>
            <w:tcBorders>
              <w:left w:val="single" w:sz="4" w:space="0" w:color="auto"/>
              <w:right w:val="single" w:sz="4" w:space="0" w:color="auto"/>
            </w:tcBorders>
            <w:shd w:val="clear" w:color="auto" w:fill="auto"/>
            <w:noWrap/>
            <w:vAlign w:val="bottom"/>
            <w:hideMark/>
          </w:tcPr>
          <w:p w14:paraId="55A3A8FA" w14:textId="77777777"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31" w:type="pct"/>
            <w:tcBorders>
              <w:left w:val="single" w:sz="4" w:space="0" w:color="auto"/>
              <w:right w:val="single" w:sz="4" w:space="0" w:color="auto"/>
            </w:tcBorders>
            <w:shd w:val="clear" w:color="auto" w:fill="auto"/>
            <w:noWrap/>
          </w:tcPr>
          <w:p w14:paraId="0296609B" w14:textId="54A64559" w:rsidR="003747B8" w:rsidRPr="002E554D" w:rsidRDefault="003747B8" w:rsidP="003747B8">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-12.955***</w:t>
            </w:r>
          </w:p>
        </w:tc>
        <w:tc>
          <w:tcPr>
            <w:tcW w:w="469" w:type="pct"/>
            <w:tcBorders>
              <w:left w:val="single" w:sz="4" w:space="0" w:color="auto"/>
            </w:tcBorders>
            <w:shd w:val="clear" w:color="auto" w:fill="auto"/>
            <w:noWrap/>
          </w:tcPr>
          <w:p w14:paraId="5E04CF5B" w14:textId="7CEBA016" w:rsidR="003747B8" w:rsidRPr="002E554D" w:rsidRDefault="003747B8" w:rsidP="003747B8">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-2.858</w:t>
            </w:r>
          </w:p>
        </w:tc>
        <w:tc>
          <w:tcPr>
            <w:tcW w:w="470" w:type="pct"/>
            <w:shd w:val="clear" w:color="auto" w:fill="auto"/>
            <w:noWrap/>
          </w:tcPr>
          <w:p w14:paraId="7993C6FA" w14:textId="460F4469"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-2.191</w:t>
            </w:r>
          </w:p>
        </w:tc>
        <w:tc>
          <w:tcPr>
            <w:tcW w:w="518" w:type="pct"/>
            <w:tcBorders>
              <w:right w:val="single" w:sz="4" w:space="0" w:color="auto"/>
            </w:tcBorders>
            <w:shd w:val="clear" w:color="auto" w:fill="auto"/>
            <w:noWrap/>
          </w:tcPr>
          <w:p w14:paraId="35454B66" w14:textId="358CDE19"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-1.833</w:t>
            </w:r>
          </w:p>
        </w:tc>
        <w:tc>
          <w:tcPr>
            <w:tcW w:w="731" w:type="pct"/>
            <w:tcBorders>
              <w:left w:val="single" w:sz="4" w:space="0" w:color="auto"/>
              <w:right w:val="single" w:sz="4" w:space="0" w:color="auto"/>
            </w:tcBorders>
            <w:shd w:val="clear" w:color="auto" w:fill="auto"/>
            <w:noWrap/>
          </w:tcPr>
          <w:p w14:paraId="3E6A5528" w14:textId="32EBC9FA" w:rsidR="003747B8" w:rsidRPr="002E554D" w:rsidRDefault="003747B8" w:rsidP="003747B8">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-4.904***</w:t>
            </w:r>
          </w:p>
        </w:tc>
        <w:tc>
          <w:tcPr>
            <w:tcW w:w="469" w:type="pct"/>
            <w:tcBorders>
              <w:left w:val="single" w:sz="4" w:space="0" w:color="auto"/>
            </w:tcBorders>
            <w:shd w:val="clear" w:color="auto" w:fill="auto"/>
            <w:noWrap/>
          </w:tcPr>
          <w:p w14:paraId="1051B5DA" w14:textId="59BE9F7D" w:rsidR="003747B8" w:rsidRPr="002E554D" w:rsidRDefault="003747B8" w:rsidP="003747B8">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-2.939</w:t>
            </w:r>
          </w:p>
        </w:tc>
        <w:tc>
          <w:tcPr>
            <w:tcW w:w="518" w:type="pct"/>
            <w:shd w:val="clear" w:color="auto" w:fill="auto"/>
            <w:noWrap/>
          </w:tcPr>
          <w:p w14:paraId="29BA2943" w14:textId="786244EE" w:rsidR="003747B8" w:rsidRPr="002E554D" w:rsidRDefault="003747B8" w:rsidP="003747B8">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-2.282</w:t>
            </w:r>
          </w:p>
        </w:tc>
        <w:tc>
          <w:tcPr>
            <w:tcW w:w="469" w:type="pct"/>
            <w:tcBorders>
              <w:right w:val="single" w:sz="4" w:space="0" w:color="auto"/>
            </w:tcBorders>
            <w:shd w:val="clear" w:color="auto" w:fill="auto"/>
            <w:noWrap/>
          </w:tcPr>
          <w:p w14:paraId="65CDCA9A" w14:textId="7E804A1A"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-1.929</w:t>
            </w:r>
          </w:p>
        </w:tc>
      </w:tr>
      <w:tr w:rsidR="002E554D" w:rsidRPr="002E554D" w14:paraId="3A023A08" w14:textId="77777777" w:rsidTr="00985F33">
        <w:trPr>
          <w:trHeight w:val="300"/>
          <w:jc w:val="center"/>
        </w:trPr>
        <w:tc>
          <w:tcPr>
            <w:tcW w:w="625" w:type="pct"/>
            <w:tcBorders>
              <w:left w:val="single" w:sz="4" w:space="0" w:color="auto"/>
              <w:right w:val="single" w:sz="4" w:space="0" w:color="auto"/>
            </w:tcBorders>
            <w:shd w:val="clear" w:color="auto" w:fill="auto"/>
            <w:noWrap/>
            <w:vAlign w:val="bottom"/>
            <w:hideMark/>
          </w:tcPr>
          <w:p w14:paraId="607A53E9" w14:textId="77777777"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31" w:type="pct"/>
            <w:tcBorders>
              <w:left w:val="single" w:sz="4" w:space="0" w:color="auto"/>
              <w:right w:val="single" w:sz="4" w:space="0" w:color="auto"/>
            </w:tcBorders>
            <w:shd w:val="clear" w:color="auto" w:fill="auto"/>
            <w:noWrap/>
          </w:tcPr>
          <w:p w14:paraId="4FF20D5A" w14:textId="50CDD046" w:rsidR="003747B8" w:rsidRPr="002E554D" w:rsidRDefault="003747B8" w:rsidP="003747B8">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-10.761***</w:t>
            </w:r>
          </w:p>
        </w:tc>
        <w:tc>
          <w:tcPr>
            <w:tcW w:w="469" w:type="pct"/>
            <w:tcBorders>
              <w:left w:val="single" w:sz="4" w:space="0" w:color="auto"/>
            </w:tcBorders>
            <w:shd w:val="clear" w:color="auto" w:fill="auto"/>
            <w:noWrap/>
          </w:tcPr>
          <w:p w14:paraId="13F70B44" w14:textId="79076BD9" w:rsidR="003747B8" w:rsidRPr="002E554D" w:rsidRDefault="003747B8" w:rsidP="003747B8">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-2.514</w:t>
            </w:r>
          </w:p>
        </w:tc>
        <w:tc>
          <w:tcPr>
            <w:tcW w:w="470" w:type="pct"/>
            <w:shd w:val="clear" w:color="auto" w:fill="auto"/>
            <w:noWrap/>
          </w:tcPr>
          <w:p w14:paraId="0777F3D1" w14:textId="0F4D5FDE"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-1.837</w:t>
            </w:r>
          </w:p>
        </w:tc>
        <w:tc>
          <w:tcPr>
            <w:tcW w:w="518" w:type="pct"/>
            <w:tcBorders>
              <w:right w:val="single" w:sz="4" w:space="0" w:color="auto"/>
            </w:tcBorders>
            <w:shd w:val="clear" w:color="auto" w:fill="auto"/>
            <w:noWrap/>
          </w:tcPr>
          <w:p w14:paraId="1FD150AD" w14:textId="54150E2A"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-1.477</w:t>
            </w:r>
          </w:p>
        </w:tc>
        <w:tc>
          <w:tcPr>
            <w:tcW w:w="731" w:type="pct"/>
            <w:tcBorders>
              <w:left w:val="single" w:sz="4" w:space="0" w:color="auto"/>
              <w:right w:val="single" w:sz="4" w:space="0" w:color="auto"/>
            </w:tcBorders>
            <w:shd w:val="clear" w:color="auto" w:fill="auto"/>
            <w:noWrap/>
          </w:tcPr>
          <w:p w14:paraId="3C10B5B8" w14:textId="6C840341" w:rsidR="003747B8" w:rsidRPr="002E554D" w:rsidRDefault="003747B8" w:rsidP="003747B8">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-3.927***</w:t>
            </w:r>
          </w:p>
        </w:tc>
        <w:tc>
          <w:tcPr>
            <w:tcW w:w="469" w:type="pct"/>
            <w:tcBorders>
              <w:left w:val="single" w:sz="4" w:space="0" w:color="auto"/>
            </w:tcBorders>
            <w:shd w:val="clear" w:color="auto" w:fill="auto"/>
            <w:noWrap/>
          </w:tcPr>
          <w:p w14:paraId="68182883" w14:textId="180E82F6" w:rsidR="003747B8" w:rsidRPr="002E554D" w:rsidRDefault="003747B8" w:rsidP="003747B8">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-2.730</w:t>
            </w:r>
          </w:p>
        </w:tc>
        <w:tc>
          <w:tcPr>
            <w:tcW w:w="518" w:type="pct"/>
            <w:shd w:val="clear" w:color="auto" w:fill="auto"/>
            <w:noWrap/>
          </w:tcPr>
          <w:p w14:paraId="01D70D2C" w14:textId="70E95B3F"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-2.058</w:t>
            </w:r>
          </w:p>
        </w:tc>
        <w:tc>
          <w:tcPr>
            <w:tcW w:w="469" w:type="pct"/>
            <w:tcBorders>
              <w:right w:val="single" w:sz="4" w:space="0" w:color="auto"/>
            </w:tcBorders>
            <w:shd w:val="clear" w:color="auto" w:fill="auto"/>
            <w:noWrap/>
          </w:tcPr>
          <w:p w14:paraId="322113D2" w14:textId="1B4245A8" w:rsidR="003747B8" w:rsidRPr="002E554D" w:rsidRDefault="003747B8" w:rsidP="003747B8">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-1.698</w:t>
            </w:r>
          </w:p>
        </w:tc>
      </w:tr>
      <w:tr w:rsidR="002E554D" w:rsidRPr="002E554D" w14:paraId="74A6A708" w14:textId="77777777" w:rsidTr="00CB6B3B">
        <w:trPr>
          <w:trHeight w:val="300"/>
          <w:jc w:val="center"/>
        </w:trPr>
        <w:tc>
          <w:tcPr>
            <w:tcW w:w="625" w:type="pct"/>
            <w:tcBorders>
              <w:left w:val="single" w:sz="4" w:space="0" w:color="auto"/>
              <w:right w:val="single" w:sz="4" w:space="0" w:color="auto"/>
            </w:tcBorders>
            <w:shd w:val="clear" w:color="auto" w:fill="auto"/>
            <w:noWrap/>
            <w:vAlign w:val="bottom"/>
          </w:tcPr>
          <w:p w14:paraId="02790E1E" w14:textId="77777777" w:rsidR="00E57EF0" w:rsidRPr="002E554D" w:rsidRDefault="00E57EF0" w:rsidP="00E546B1">
            <w:pPr>
              <w:spacing w:after="0" w:line="240" w:lineRule="auto"/>
              <w:jc w:val="center"/>
              <w:rPr>
                <w:rFonts w:ascii="Garamond" w:eastAsia="Times New Roman" w:hAnsi="Garamond" w:cs="Calibri"/>
                <w:b/>
                <w:bCs/>
                <w:color w:val="FF0000"/>
                <w:lang w:val="en-GB" w:eastAsia="en-GB"/>
              </w:rPr>
            </w:pPr>
          </w:p>
        </w:tc>
        <w:tc>
          <w:tcPr>
            <w:tcW w:w="2188" w:type="pct"/>
            <w:gridSpan w:val="4"/>
            <w:tcBorders>
              <w:left w:val="single" w:sz="4" w:space="0" w:color="auto"/>
              <w:right w:val="single" w:sz="4" w:space="0" w:color="auto"/>
            </w:tcBorders>
            <w:shd w:val="clear" w:color="auto" w:fill="auto"/>
            <w:noWrap/>
            <w:vAlign w:val="center"/>
          </w:tcPr>
          <w:p w14:paraId="3D11E01D" w14:textId="779F4223" w:rsidR="00E57EF0" w:rsidRPr="002E554D" w:rsidRDefault="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IBEX35</w:t>
            </w:r>
          </w:p>
        </w:tc>
        <w:tc>
          <w:tcPr>
            <w:tcW w:w="2188" w:type="pct"/>
            <w:gridSpan w:val="4"/>
            <w:tcBorders>
              <w:left w:val="single" w:sz="4" w:space="0" w:color="auto"/>
              <w:right w:val="single" w:sz="4" w:space="0" w:color="auto"/>
            </w:tcBorders>
            <w:shd w:val="clear" w:color="auto" w:fill="auto"/>
            <w:noWrap/>
            <w:vAlign w:val="center"/>
          </w:tcPr>
          <w:p w14:paraId="43ECF603" w14:textId="15D2BECE" w:rsidR="00E57EF0" w:rsidRPr="002E554D" w:rsidRDefault="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NASDAQ100</w:t>
            </w:r>
          </w:p>
        </w:tc>
      </w:tr>
      <w:tr w:rsidR="002E554D" w:rsidRPr="002E554D" w14:paraId="1F67DB83" w14:textId="77777777" w:rsidTr="00380783">
        <w:trPr>
          <w:trHeight w:val="300"/>
          <w:jc w:val="center"/>
        </w:trPr>
        <w:tc>
          <w:tcPr>
            <w:tcW w:w="625" w:type="pct"/>
            <w:tcBorders>
              <w:left w:val="single" w:sz="4" w:space="0" w:color="auto"/>
              <w:right w:val="single" w:sz="4" w:space="0" w:color="auto"/>
            </w:tcBorders>
            <w:shd w:val="clear" w:color="auto" w:fill="auto"/>
            <w:noWrap/>
            <w:vAlign w:val="bottom"/>
            <w:hideMark/>
          </w:tcPr>
          <w:p w14:paraId="3862C4DC" w14:textId="77777777"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31" w:type="pct"/>
            <w:tcBorders>
              <w:left w:val="single" w:sz="4" w:space="0" w:color="auto"/>
              <w:right w:val="single" w:sz="4" w:space="0" w:color="auto"/>
            </w:tcBorders>
            <w:shd w:val="clear" w:color="auto" w:fill="auto"/>
            <w:noWrap/>
          </w:tcPr>
          <w:p w14:paraId="4026F594" w14:textId="2DE2FAF4"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5.052</w:t>
            </w:r>
          </w:p>
        </w:tc>
        <w:tc>
          <w:tcPr>
            <w:tcW w:w="469" w:type="pct"/>
            <w:tcBorders>
              <w:left w:val="single" w:sz="4" w:space="0" w:color="auto"/>
            </w:tcBorders>
            <w:shd w:val="clear" w:color="auto" w:fill="auto"/>
            <w:noWrap/>
          </w:tcPr>
          <w:p w14:paraId="31A7F773" w14:textId="6CFF613F"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-2.686</w:t>
            </w:r>
          </w:p>
        </w:tc>
        <w:tc>
          <w:tcPr>
            <w:tcW w:w="470" w:type="pct"/>
            <w:shd w:val="clear" w:color="auto" w:fill="auto"/>
            <w:noWrap/>
          </w:tcPr>
          <w:p w14:paraId="13CCB199" w14:textId="44B03F04"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-2.013</w:t>
            </w:r>
          </w:p>
        </w:tc>
        <w:tc>
          <w:tcPr>
            <w:tcW w:w="518" w:type="pct"/>
            <w:tcBorders>
              <w:right w:val="single" w:sz="4" w:space="0" w:color="auto"/>
            </w:tcBorders>
            <w:shd w:val="clear" w:color="auto" w:fill="auto"/>
            <w:noWrap/>
          </w:tcPr>
          <w:p w14:paraId="2EC6049D" w14:textId="7D641C3B"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-1.653</w:t>
            </w:r>
          </w:p>
        </w:tc>
        <w:tc>
          <w:tcPr>
            <w:tcW w:w="731" w:type="pct"/>
            <w:tcBorders>
              <w:left w:val="single" w:sz="4" w:space="0" w:color="auto"/>
              <w:right w:val="single" w:sz="4" w:space="0" w:color="auto"/>
            </w:tcBorders>
            <w:shd w:val="clear" w:color="auto" w:fill="auto"/>
            <w:noWrap/>
          </w:tcPr>
          <w:p w14:paraId="7DABC031" w14:textId="0AA95EEA"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-0.162</w:t>
            </w:r>
          </w:p>
        </w:tc>
        <w:tc>
          <w:tcPr>
            <w:tcW w:w="469" w:type="pct"/>
            <w:tcBorders>
              <w:left w:val="single" w:sz="4" w:space="0" w:color="auto"/>
            </w:tcBorders>
            <w:shd w:val="clear" w:color="auto" w:fill="auto"/>
            <w:noWrap/>
          </w:tcPr>
          <w:p w14:paraId="40F90ABE" w14:textId="20DDC719"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-2.782</w:t>
            </w:r>
          </w:p>
        </w:tc>
        <w:tc>
          <w:tcPr>
            <w:tcW w:w="518" w:type="pct"/>
            <w:shd w:val="clear" w:color="auto" w:fill="auto"/>
            <w:noWrap/>
          </w:tcPr>
          <w:p w14:paraId="2D1DE714" w14:textId="646A24BD"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-2.112</w:t>
            </w:r>
          </w:p>
        </w:tc>
        <w:tc>
          <w:tcPr>
            <w:tcW w:w="469" w:type="pct"/>
            <w:tcBorders>
              <w:right w:val="single" w:sz="4" w:space="0" w:color="auto"/>
            </w:tcBorders>
            <w:shd w:val="clear" w:color="auto" w:fill="auto"/>
            <w:noWrap/>
          </w:tcPr>
          <w:p w14:paraId="6F36ABC0" w14:textId="29EE0D7A"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-1.752</w:t>
            </w:r>
          </w:p>
        </w:tc>
      </w:tr>
      <w:tr w:rsidR="002E554D" w:rsidRPr="002E554D" w14:paraId="64AC08E4" w14:textId="77777777" w:rsidTr="00380783">
        <w:trPr>
          <w:trHeight w:val="300"/>
          <w:jc w:val="center"/>
        </w:trPr>
        <w:tc>
          <w:tcPr>
            <w:tcW w:w="625" w:type="pct"/>
            <w:tcBorders>
              <w:left w:val="single" w:sz="4" w:space="0" w:color="auto"/>
              <w:right w:val="single" w:sz="4" w:space="0" w:color="auto"/>
            </w:tcBorders>
            <w:shd w:val="clear" w:color="auto" w:fill="auto"/>
            <w:noWrap/>
            <w:vAlign w:val="bottom"/>
            <w:hideMark/>
          </w:tcPr>
          <w:p w14:paraId="6E5D06AE" w14:textId="77777777"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31" w:type="pct"/>
            <w:tcBorders>
              <w:left w:val="single" w:sz="4" w:space="0" w:color="auto"/>
              <w:right w:val="single" w:sz="4" w:space="0" w:color="auto"/>
            </w:tcBorders>
            <w:shd w:val="clear" w:color="auto" w:fill="auto"/>
            <w:noWrap/>
          </w:tcPr>
          <w:p w14:paraId="01D6361A" w14:textId="7104ED5E"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3.540</w:t>
            </w:r>
          </w:p>
        </w:tc>
        <w:tc>
          <w:tcPr>
            <w:tcW w:w="469" w:type="pct"/>
            <w:tcBorders>
              <w:left w:val="single" w:sz="4" w:space="0" w:color="auto"/>
            </w:tcBorders>
            <w:shd w:val="clear" w:color="auto" w:fill="auto"/>
            <w:noWrap/>
          </w:tcPr>
          <w:p w14:paraId="11E644B6" w14:textId="2CEF774D"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-2.983</w:t>
            </w:r>
          </w:p>
        </w:tc>
        <w:tc>
          <w:tcPr>
            <w:tcW w:w="470" w:type="pct"/>
            <w:shd w:val="clear" w:color="auto" w:fill="auto"/>
            <w:noWrap/>
          </w:tcPr>
          <w:p w14:paraId="49E6B59D" w14:textId="6CD30C28"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-2.332</w:t>
            </w:r>
          </w:p>
        </w:tc>
        <w:tc>
          <w:tcPr>
            <w:tcW w:w="518" w:type="pct"/>
            <w:tcBorders>
              <w:right w:val="single" w:sz="4" w:space="0" w:color="auto"/>
            </w:tcBorders>
            <w:shd w:val="clear" w:color="auto" w:fill="auto"/>
            <w:noWrap/>
          </w:tcPr>
          <w:p w14:paraId="32D21B0F" w14:textId="74E4179D"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-1.981</w:t>
            </w:r>
          </w:p>
        </w:tc>
        <w:tc>
          <w:tcPr>
            <w:tcW w:w="731" w:type="pct"/>
            <w:tcBorders>
              <w:left w:val="single" w:sz="4" w:space="0" w:color="auto"/>
              <w:right w:val="single" w:sz="4" w:space="0" w:color="auto"/>
            </w:tcBorders>
            <w:shd w:val="clear" w:color="auto" w:fill="auto"/>
            <w:noWrap/>
          </w:tcPr>
          <w:p w14:paraId="4164CBD1" w14:textId="723D4D95"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-0.238</w:t>
            </w:r>
          </w:p>
        </w:tc>
        <w:tc>
          <w:tcPr>
            <w:tcW w:w="469" w:type="pct"/>
            <w:tcBorders>
              <w:left w:val="single" w:sz="4" w:space="0" w:color="auto"/>
            </w:tcBorders>
            <w:shd w:val="clear" w:color="auto" w:fill="auto"/>
            <w:noWrap/>
          </w:tcPr>
          <w:p w14:paraId="52EBE1B3" w14:textId="1A5C1EE8"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-3.021</w:t>
            </w:r>
          </w:p>
        </w:tc>
        <w:tc>
          <w:tcPr>
            <w:tcW w:w="518" w:type="pct"/>
            <w:shd w:val="clear" w:color="auto" w:fill="auto"/>
            <w:noWrap/>
          </w:tcPr>
          <w:p w14:paraId="3E3E6286" w14:textId="20742BA8"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-2.369</w:t>
            </w:r>
          </w:p>
        </w:tc>
        <w:tc>
          <w:tcPr>
            <w:tcW w:w="469" w:type="pct"/>
            <w:tcBorders>
              <w:right w:val="single" w:sz="4" w:space="0" w:color="auto"/>
            </w:tcBorders>
            <w:shd w:val="clear" w:color="auto" w:fill="auto"/>
            <w:noWrap/>
          </w:tcPr>
          <w:p w14:paraId="7A5687FE" w14:textId="6C0BC4E7"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-2.021</w:t>
            </w:r>
          </w:p>
        </w:tc>
      </w:tr>
      <w:tr w:rsidR="002E554D" w:rsidRPr="002E554D" w14:paraId="343E0130" w14:textId="77777777" w:rsidTr="00380783">
        <w:trPr>
          <w:trHeight w:val="300"/>
          <w:jc w:val="center"/>
        </w:trPr>
        <w:tc>
          <w:tcPr>
            <w:tcW w:w="625" w:type="pct"/>
            <w:tcBorders>
              <w:left w:val="single" w:sz="4" w:space="0" w:color="auto"/>
              <w:right w:val="single" w:sz="4" w:space="0" w:color="auto"/>
            </w:tcBorders>
            <w:shd w:val="clear" w:color="auto" w:fill="auto"/>
            <w:noWrap/>
            <w:vAlign w:val="bottom"/>
            <w:hideMark/>
          </w:tcPr>
          <w:p w14:paraId="36DE0924" w14:textId="77777777"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31" w:type="pct"/>
            <w:tcBorders>
              <w:left w:val="single" w:sz="4" w:space="0" w:color="auto"/>
              <w:right w:val="single" w:sz="4" w:space="0" w:color="auto"/>
            </w:tcBorders>
            <w:shd w:val="clear" w:color="auto" w:fill="auto"/>
            <w:noWrap/>
          </w:tcPr>
          <w:p w14:paraId="7F117CA5" w14:textId="38B54D10"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0.715</w:t>
            </w:r>
          </w:p>
        </w:tc>
        <w:tc>
          <w:tcPr>
            <w:tcW w:w="469" w:type="pct"/>
            <w:tcBorders>
              <w:left w:val="single" w:sz="4" w:space="0" w:color="auto"/>
            </w:tcBorders>
            <w:shd w:val="clear" w:color="auto" w:fill="auto"/>
            <w:noWrap/>
          </w:tcPr>
          <w:p w14:paraId="5CE7CC96" w14:textId="05227D05"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-3.147</w:t>
            </w:r>
          </w:p>
        </w:tc>
        <w:tc>
          <w:tcPr>
            <w:tcW w:w="470" w:type="pct"/>
            <w:shd w:val="clear" w:color="auto" w:fill="auto"/>
            <w:noWrap/>
          </w:tcPr>
          <w:p w14:paraId="43A08011" w14:textId="2CA11AFE"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-2.494</w:t>
            </w:r>
          </w:p>
        </w:tc>
        <w:tc>
          <w:tcPr>
            <w:tcW w:w="518" w:type="pct"/>
            <w:tcBorders>
              <w:right w:val="single" w:sz="4" w:space="0" w:color="auto"/>
            </w:tcBorders>
            <w:shd w:val="clear" w:color="auto" w:fill="auto"/>
            <w:noWrap/>
          </w:tcPr>
          <w:p w14:paraId="7F5DE364" w14:textId="69D96EC7"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-2.154</w:t>
            </w:r>
          </w:p>
        </w:tc>
        <w:tc>
          <w:tcPr>
            <w:tcW w:w="731" w:type="pct"/>
            <w:tcBorders>
              <w:left w:val="single" w:sz="4" w:space="0" w:color="auto"/>
              <w:right w:val="single" w:sz="4" w:space="0" w:color="auto"/>
            </w:tcBorders>
            <w:shd w:val="clear" w:color="auto" w:fill="auto"/>
            <w:noWrap/>
          </w:tcPr>
          <w:p w14:paraId="4FE95DA7" w14:textId="4CF0EA86"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-1.057</w:t>
            </w:r>
          </w:p>
        </w:tc>
        <w:tc>
          <w:tcPr>
            <w:tcW w:w="469" w:type="pct"/>
            <w:tcBorders>
              <w:left w:val="single" w:sz="4" w:space="0" w:color="auto"/>
            </w:tcBorders>
            <w:shd w:val="clear" w:color="auto" w:fill="auto"/>
            <w:noWrap/>
          </w:tcPr>
          <w:p w14:paraId="46BA9FEB" w14:textId="36718330"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-3.230</w:t>
            </w:r>
          </w:p>
        </w:tc>
        <w:tc>
          <w:tcPr>
            <w:tcW w:w="518" w:type="pct"/>
            <w:shd w:val="clear" w:color="auto" w:fill="auto"/>
            <w:noWrap/>
          </w:tcPr>
          <w:p w14:paraId="0095C275" w14:textId="3120DA46"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-2.606</w:t>
            </w:r>
          </w:p>
        </w:tc>
        <w:tc>
          <w:tcPr>
            <w:tcW w:w="469" w:type="pct"/>
            <w:tcBorders>
              <w:right w:val="single" w:sz="4" w:space="0" w:color="auto"/>
            </w:tcBorders>
            <w:shd w:val="clear" w:color="auto" w:fill="auto"/>
            <w:noWrap/>
          </w:tcPr>
          <w:p w14:paraId="0C51ABF1" w14:textId="609B2BDF"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-2.268</w:t>
            </w:r>
          </w:p>
        </w:tc>
      </w:tr>
      <w:tr w:rsidR="002E554D" w:rsidRPr="002E554D" w14:paraId="329172BC" w14:textId="77777777" w:rsidTr="00380783">
        <w:trPr>
          <w:trHeight w:val="300"/>
          <w:jc w:val="center"/>
        </w:trPr>
        <w:tc>
          <w:tcPr>
            <w:tcW w:w="625" w:type="pct"/>
            <w:tcBorders>
              <w:left w:val="single" w:sz="4" w:space="0" w:color="auto"/>
              <w:right w:val="single" w:sz="4" w:space="0" w:color="auto"/>
            </w:tcBorders>
            <w:shd w:val="clear" w:color="auto" w:fill="auto"/>
            <w:noWrap/>
            <w:vAlign w:val="bottom"/>
            <w:hideMark/>
          </w:tcPr>
          <w:p w14:paraId="49C05C1A" w14:textId="77777777"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31" w:type="pct"/>
            <w:tcBorders>
              <w:left w:val="single" w:sz="4" w:space="0" w:color="auto"/>
              <w:right w:val="single" w:sz="4" w:space="0" w:color="auto"/>
            </w:tcBorders>
            <w:shd w:val="clear" w:color="auto" w:fill="auto"/>
            <w:noWrap/>
          </w:tcPr>
          <w:p w14:paraId="739A227A" w14:textId="055229A5"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-0.387</w:t>
            </w:r>
          </w:p>
        </w:tc>
        <w:tc>
          <w:tcPr>
            <w:tcW w:w="469" w:type="pct"/>
            <w:tcBorders>
              <w:left w:val="single" w:sz="4" w:space="0" w:color="auto"/>
            </w:tcBorders>
            <w:shd w:val="clear" w:color="auto" w:fill="auto"/>
            <w:noWrap/>
          </w:tcPr>
          <w:p w14:paraId="7B29A059" w14:textId="7317DFA0"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-3.226</w:t>
            </w:r>
          </w:p>
        </w:tc>
        <w:tc>
          <w:tcPr>
            <w:tcW w:w="470" w:type="pct"/>
            <w:shd w:val="clear" w:color="auto" w:fill="auto"/>
            <w:noWrap/>
          </w:tcPr>
          <w:p w14:paraId="06F96441" w14:textId="527B5778"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-2.599</w:t>
            </w:r>
          </w:p>
        </w:tc>
        <w:tc>
          <w:tcPr>
            <w:tcW w:w="518" w:type="pct"/>
            <w:tcBorders>
              <w:right w:val="single" w:sz="4" w:space="0" w:color="auto"/>
            </w:tcBorders>
            <w:shd w:val="clear" w:color="auto" w:fill="auto"/>
            <w:noWrap/>
          </w:tcPr>
          <w:p w14:paraId="2887D713" w14:textId="45E40E45"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-2.260</w:t>
            </w:r>
          </w:p>
        </w:tc>
        <w:tc>
          <w:tcPr>
            <w:tcW w:w="731" w:type="pct"/>
            <w:tcBorders>
              <w:left w:val="single" w:sz="4" w:space="0" w:color="auto"/>
              <w:right w:val="single" w:sz="4" w:space="0" w:color="auto"/>
            </w:tcBorders>
            <w:shd w:val="clear" w:color="auto" w:fill="auto"/>
            <w:noWrap/>
          </w:tcPr>
          <w:p w14:paraId="7E52B5FC" w14:textId="56C1D2B4"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-1.315</w:t>
            </w:r>
          </w:p>
        </w:tc>
        <w:tc>
          <w:tcPr>
            <w:tcW w:w="469" w:type="pct"/>
            <w:tcBorders>
              <w:left w:val="single" w:sz="4" w:space="0" w:color="auto"/>
            </w:tcBorders>
            <w:shd w:val="clear" w:color="auto" w:fill="auto"/>
            <w:noWrap/>
          </w:tcPr>
          <w:p w14:paraId="461C8CB1" w14:textId="4636D0AF"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-3.268</w:t>
            </w:r>
          </w:p>
        </w:tc>
        <w:tc>
          <w:tcPr>
            <w:tcW w:w="518" w:type="pct"/>
            <w:shd w:val="clear" w:color="auto" w:fill="auto"/>
            <w:noWrap/>
          </w:tcPr>
          <w:p w14:paraId="504E3DCA" w14:textId="0C9D57FD"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-2.666</w:t>
            </w:r>
          </w:p>
        </w:tc>
        <w:tc>
          <w:tcPr>
            <w:tcW w:w="469" w:type="pct"/>
            <w:tcBorders>
              <w:right w:val="single" w:sz="4" w:space="0" w:color="auto"/>
            </w:tcBorders>
            <w:shd w:val="clear" w:color="auto" w:fill="auto"/>
            <w:noWrap/>
          </w:tcPr>
          <w:p w14:paraId="64A53FE7" w14:textId="77663898"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-2.336</w:t>
            </w:r>
          </w:p>
        </w:tc>
      </w:tr>
      <w:tr w:rsidR="002E554D" w:rsidRPr="002E554D" w14:paraId="24C6EC60" w14:textId="77777777" w:rsidTr="00380783">
        <w:trPr>
          <w:trHeight w:val="300"/>
          <w:jc w:val="center"/>
        </w:trPr>
        <w:tc>
          <w:tcPr>
            <w:tcW w:w="625" w:type="pct"/>
            <w:tcBorders>
              <w:left w:val="single" w:sz="4" w:space="0" w:color="auto"/>
              <w:right w:val="single" w:sz="4" w:space="0" w:color="auto"/>
            </w:tcBorders>
            <w:shd w:val="clear" w:color="auto" w:fill="auto"/>
            <w:noWrap/>
            <w:vAlign w:val="bottom"/>
            <w:hideMark/>
          </w:tcPr>
          <w:p w14:paraId="10EB6CC4" w14:textId="77777777"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31" w:type="pct"/>
            <w:tcBorders>
              <w:left w:val="single" w:sz="4" w:space="0" w:color="auto"/>
              <w:right w:val="single" w:sz="4" w:space="0" w:color="auto"/>
            </w:tcBorders>
            <w:shd w:val="clear" w:color="auto" w:fill="auto"/>
            <w:noWrap/>
          </w:tcPr>
          <w:p w14:paraId="32B86635" w14:textId="08FBF9C2" w:rsidR="00557893" w:rsidRPr="002E554D" w:rsidRDefault="00557893" w:rsidP="00557893">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-3.083**</w:t>
            </w:r>
          </w:p>
        </w:tc>
        <w:tc>
          <w:tcPr>
            <w:tcW w:w="469" w:type="pct"/>
            <w:tcBorders>
              <w:left w:val="single" w:sz="4" w:space="0" w:color="auto"/>
            </w:tcBorders>
            <w:shd w:val="clear" w:color="auto" w:fill="auto"/>
            <w:noWrap/>
          </w:tcPr>
          <w:p w14:paraId="6735D246" w14:textId="58EE780C"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-3.221</w:t>
            </w:r>
          </w:p>
        </w:tc>
        <w:tc>
          <w:tcPr>
            <w:tcW w:w="470" w:type="pct"/>
            <w:shd w:val="clear" w:color="auto" w:fill="auto"/>
            <w:noWrap/>
          </w:tcPr>
          <w:p w14:paraId="16D0AB29" w14:textId="08182299"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-2.591</w:t>
            </w:r>
          </w:p>
        </w:tc>
        <w:tc>
          <w:tcPr>
            <w:tcW w:w="518" w:type="pct"/>
            <w:tcBorders>
              <w:right w:val="single" w:sz="4" w:space="0" w:color="auto"/>
            </w:tcBorders>
            <w:shd w:val="clear" w:color="auto" w:fill="auto"/>
            <w:noWrap/>
          </w:tcPr>
          <w:p w14:paraId="5E4314AA" w14:textId="495552BE"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-2.251</w:t>
            </w:r>
          </w:p>
        </w:tc>
        <w:tc>
          <w:tcPr>
            <w:tcW w:w="731" w:type="pct"/>
            <w:tcBorders>
              <w:left w:val="single" w:sz="4" w:space="0" w:color="auto"/>
              <w:right w:val="single" w:sz="4" w:space="0" w:color="auto"/>
            </w:tcBorders>
            <w:shd w:val="clear" w:color="auto" w:fill="auto"/>
            <w:noWrap/>
          </w:tcPr>
          <w:p w14:paraId="4E7CB69E" w14:textId="43A53666"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-0.721</w:t>
            </w:r>
          </w:p>
        </w:tc>
        <w:tc>
          <w:tcPr>
            <w:tcW w:w="469" w:type="pct"/>
            <w:tcBorders>
              <w:left w:val="single" w:sz="4" w:space="0" w:color="auto"/>
            </w:tcBorders>
            <w:shd w:val="clear" w:color="auto" w:fill="auto"/>
            <w:noWrap/>
          </w:tcPr>
          <w:p w14:paraId="2176A4B7" w14:textId="030B6BB8"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-3.261</w:t>
            </w:r>
          </w:p>
        </w:tc>
        <w:tc>
          <w:tcPr>
            <w:tcW w:w="518" w:type="pct"/>
            <w:shd w:val="clear" w:color="auto" w:fill="auto"/>
            <w:noWrap/>
          </w:tcPr>
          <w:p w14:paraId="5F99C7BC" w14:textId="18B2FC60"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-2.655</w:t>
            </w:r>
          </w:p>
        </w:tc>
        <w:tc>
          <w:tcPr>
            <w:tcW w:w="469" w:type="pct"/>
            <w:tcBorders>
              <w:right w:val="single" w:sz="4" w:space="0" w:color="auto"/>
            </w:tcBorders>
            <w:shd w:val="clear" w:color="auto" w:fill="auto"/>
            <w:noWrap/>
          </w:tcPr>
          <w:p w14:paraId="29906D89" w14:textId="04A3F590"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-2.323</w:t>
            </w:r>
          </w:p>
        </w:tc>
      </w:tr>
      <w:tr w:rsidR="002E554D" w:rsidRPr="002E554D" w14:paraId="66824C63" w14:textId="77777777" w:rsidTr="00380783">
        <w:trPr>
          <w:trHeight w:val="300"/>
          <w:jc w:val="center"/>
        </w:trPr>
        <w:tc>
          <w:tcPr>
            <w:tcW w:w="625" w:type="pct"/>
            <w:tcBorders>
              <w:left w:val="single" w:sz="4" w:space="0" w:color="auto"/>
              <w:right w:val="single" w:sz="4" w:space="0" w:color="auto"/>
            </w:tcBorders>
            <w:shd w:val="clear" w:color="auto" w:fill="auto"/>
            <w:noWrap/>
            <w:vAlign w:val="bottom"/>
            <w:hideMark/>
          </w:tcPr>
          <w:p w14:paraId="7E66DCEA" w14:textId="77777777"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31" w:type="pct"/>
            <w:tcBorders>
              <w:left w:val="single" w:sz="4" w:space="0" w:color="auto"/>
              <w:right w:val="single" w:sz="4" w:space="0" w:color="auto"/>
            </w:tcBorders>
            <w:shd w:val="clear" w:color="auto" w:fill="auto"/>
            <w:noWrap/>
          </w:tcPr>
          <w:p w14:paraId="4B35E622" w14:textId="61EA474A" w:rsidR="00557893" w:rsidRPr="002E554D" w:rsidRDefault="00557893" w:rsidP="00557893">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-5.400***</w:t>
            </w:r>
          </w:p>
        </w:tc>
        <w:tc>
          <w:tcPr>
            <w:tcW w:w="469" w:type="pct"/>
            <w:tcBorders>
              <w:left w:val="single" w:sz="4" w:space="0" w:color="auto"/>
            </w:tcBorders>
            <w:shd w:val="clear" w:color="auto" w:fill="auto"/>
            <w:noWrap/>
          </w:tcPr>
          <w:p w14:paraId="6DCA7A32" w14:textId="4546C35D" w:rsidR="00557893" w:rsidRPr="002E554D" w:rsidRDefault="00557893" w:rsidP="00557893">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-3.186</w:t>
            </w:r>
          </w:p>
        </w:tc>
        <w:tc>
          <w:tcPr>
            <w:tcW w:w="470" w:type="pct"/>
            <w:shd w:val="clear" w:color="auto" w:fill="auto"/>
            <w:noWrap/>
          </w:tcPr>
          <w:p w14:paraId="0BBEB3D2" w14:textId="0E1C21B6"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-2.546</w:t>
            </w:r>
          </w:p>
        </w:tc>
        <w:tc>
          <w:tcPr>
            <w:tcW w:w="518" w:type="pct"/>
            <w:tcBorders>
              <w:right w:val="single" w:sz="4" w:space="0" w:color="auto"/>
            </w:tcBorders>
            <w:shd w:val="clear" w:color="auto" w:fill="auto"/>
            <w:noWrap/>
          </w:tcPr>
          <w:p w14:paraId="2E05493F" w14:textId="6292CE8A"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-2.206</w:t>
            </w:r>
          </w:p>
        </w:tc>
        <w:tc>
          <w:tcPr>
            <w:tcW w:w="731" w:type="pct"/>
            <w:tcBorders>
              <w:left w:val="single" w:sz="4" w:space="0" w:color="auto"/>
              <w:right w:val="single" w:sz="4" w:space="0" w:color="auto"/>
            </w:tcBorders>
            <w:shd w:val="clear" w:color="auto" w:fill="auto"/>
            <w:noWrap/>
          </w:tcPr>
          <w:p w14:paraId="1BD7B414" w14:textId="0874C2AE"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0.005</w:t>
            </w:r>
          </w:p>
        </w:tc>
        <w:tc>
          <w:tcPr>
            <w:tcW w:w="469" w:type="pct"/>
            <w:tcBorders>
              <w:left w:val="single" w:sz="4" w:space="0" w:color="auto"/>
            </w:tcBorders>
            <w:shd w:val="clear" w:color="auto" w:fill="auto"/>
            <w:noWrap/>
          </w:tcPr>
          <w:p w14:paraId="3D2433F7" w14:textId="4E81B1DE"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-3.216</w:t>
            </w:r>
          </w:p>
        </w:tc>
        <w:tc>
          <w:tcPr>
            <w:tcW w:w="518" w:type="pct"/>
            <w:shd w:val="clear" w:color="auto" w:fill="auto"/>
            <w:noWrap/>
          </w:tcPr>
          <w:p w14:paraId="30EA5642" w14:textId="470075A3"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-2.585</w:t>
            </w:r>
          </w:p>
        </w:tc>
        <w:tc>
          <w:tcPr>
            <w:tcW w:w="469" w:type="pct"/>
            <w:tcBorders>
              <w:right w:val="single" w:sz="4" w:space="0" w:color="auto"/>
            </w:tcBorders>
            <w:shd w:val="clear" w:color="auto" w:fill="auto"/>
            <w:noWrap/>
          </w:tcPr>
          <w:p w14:paraId="28FBFF6A" w14:textId="5E768E90"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-2.245</w:t>
            </w:r>
          </w:p>
        </w:tc>
      </w:tr>
      <w:tr w:rsidR="002E554D" w:rsidRPr="002E554D" w14:paraId="21CBAAF1" w14:textId="77777777" w:rsidTr="00380783">
        <w:trPr>
          <w:trHeight w:val="300"/>
          <w:jc w:val="center"/>
        </w:trPr>
        <w:tc>
          <w:tcPr>
            <w:tcW w:w="625" w:type="pct"/>
            <w:tcBorders>
              <w:left w:val="single" w:sz="4" w:space="0" w:color="auto"/>
              <w:right w:val="single" w:sz="4" w:space="0" w:color="auto"/>
            </w:tcBorders>
            <w:shd w:val="clear" w:color="auto" w:fill="auto"/>
            <w:noWrap/>
            <w:vAlign w:val="bottom"/>
            <w:hideMark/>
          </w:tcPr>
          <w:p w14:paraId="2FB96BBA" w14:textId="77777777"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31" w:type="pct"/>
            <w:tcBorders>
              <w:left w:val="single" w:sz="4" w:space="0" w:color="auto"/>
              <w:right w:val="single" w:sz="4" w:space="0" w:color="auto"/>
            </w:tcBorders>
            <w:shd w:val="clear" w:color="auto" w:fill="auto"/>
            <w:noWrap/>
          </w:tcPr>
          <w:p w14:paraId="77667869" w14:textId="1AA67962" w:rsidR="00557893" w:rsidRPr="002E554D" w:rsidRDefault="00557893" w:rsidP="00557893">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-7.756***</w:t>
            </w:r>
          </w:p>
        </w:tc>
        <w:tc>
          <w:tcPr>
            <w:tcW w:w="469" w:type="pct"/>
            <w:tcBorders>
              <w:left w:val="single" w:sz="4" w:space="0" w:color="auto"/>
            </w:tcBorders>
            <w:shd w:val="clear" w:color="auto" w:fill="auto"/>
            <w:noWrap/>
          </w:tcPr>
          <w:p w14:paraId="31265D0A" w14:textId="372A6A9C" w:rsidR="00557893" w:rsidRPr="002E554D" w:rsidRDefault="00557893" w:rsidP="00557893">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-3.058</w:t>
            </w:r>
          </w:p>
        </w:tc>
        <w:tc>
          <w:tcPr>
            <w:tcW w:w="470" w:type="pct"/>
            <w:shd w:val="clear" w:color="auto" w:fill="auto"/>
            <w:noWrap/>
          </w:tcPr>
          <w:p w14:paraId="27CC1D14" w14:textId="0C2779C7"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-2.403</w:t>
            </w:r>
          </w:p>
        </w:tc>
        <w:tc>
          <w:tcPr>
            <w:tcW w:w="518" w:type="pct"/>
            <w:tcBorders>
              <w:right w:val="single" w:sz="4" w:space="0" w:color="auto"/>
            </w:tcBorders>
            <w:shd w:val="clear" w:color="auto" w:fill="auto"/>
            <w:noWrap/>
          </w:tcPr>
          <w:p w14:paraId="5C8456F0" w14:textId="3FBEE876"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-2.058</w:t>
            </w:r>
          </w:p>
        </w:tc>
        <w:tc>
          <w:tcPr>
            <w:tcW w:w="731" w:type="pct"/>
            <w:tcBorders>
              <w:left w:val="single" w:sz="4" w:space="0" w:color="auto"/>
              <w:right w:val="single" w:sz="4" w:space="0" w:color="auto"/>
            </w:tcBorders>
            <w:shd w:val="clear" w:color="auto" w:fill="auto"/>
            <w:noWrap/>
          </w:tcPr>
          <w:p w14:paraId="5C082AC0" w14:textId="37529826"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0.101</w:t>
            </w:r>
          </w:p>
        </w:tc>
        <w:tc>
          <w:tcPr>
            <w:tcW w:w="469" w:type="pct"/>
            <w:tcBorders>
              <w:left w:val="single" w:sz="4" w:space="0" w:color="auto"/>
            </w:tcBorders>
            <w:shd w:val="clear" w:color="auto" w:fill="auto"/>
            <w:noWrap/>
          </w:tcPr>
          <w:p w14:paraId="405CE15D" w14:textId="0516914A"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-3.106</w:t>
            </w:r>
          </w:p>
        </w:tc>
        <w:tc>
          <w:tcPr>
            <w:tcW w:w="518" w:type="pct"/>
            <w:shd w:val="clear" w:color="auto" w:fill="auto"/>
            <w:noWrap/>
          </w:tcPr>
          <w:p w14:paraId="463E8FEA" w14:textId="4F29F0FE"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-2.447</w:t>
            </w:r>
          </w:p>
        </w:tc>
        <w:tc>
          <w:tcPr>
            <w:tcW w:w="469" w:type="pct"/>
            <w:tcBorders>
              <w:right w:val="single" w:sz="4" w:space="0" w:color="auto"/>
            </w:tcBorders>
            <w:shd w:val="clear" w:color="auto" w:fill="auto"/>
            <w:noWrap/>
          </w:tcPr>
          <w:p w14:paraId="6923E9C2" w14:textId="3B524639"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-2.106</w:t>
            </w:r>
          </w:p>
        </w:tc>
      </w:tr>
      <w:tr w:rsidR="002E554D" w:rsidRPr="002E554D" w14:paraId="6ACE76BF" w14:textId="77777777" w:rsidTr="00380783">
        <w:trPr>
          <w:trHeight w:val="300"/>
          <w:jc w:val="center"/>
        </w:trPr>
        <w:tc>
          <w:tcPr>
            <w:tcW w:w="625" w:type="pct"/>
            <w:tcBorders>
              <w:left w:val="single" w:sz="4" w:space="0" w:color="auto"/>
              <w:right w:val="single" w:sz="4" w:space="0" w:color="auto"/>
            </w:tcBorders>
            <w:shd w:val="clear" w:color="auto" w:fill="auto"/>
            <w:noWrap/>
            <w:vAlign w:val="bottom"/>
            <w:hideMark/>
          </w:tcPr>
          <w:p w14:paraId="1D69B5DF" w14:textId="77777777"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31" w:type="pct"/>
            <w:tcBorders>
              <w:left w:val="single" w:sz="4" w:space="0" w:color="auto"/>
              <w:right w:val="single" w:sz="4" w:space="0" w:color="auto"/>
            </w:tcBorders>
            <w:shd w:val="clear" w:color="auto" w:fill="auto"/>
            <w:noWrap/>
          </w:tcPr>
          <w:p w14:paraId="7B72E913" w14:textId="6D74CB49" w:rsidR="00557893" w:rsidRPr="002E554D" w:rsidRDefault="00557893" w:rsidP="00557893">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-9.682***</w:t>
            </w:r>
          </w:p>
        </w:tc>
        <w:tc>
          <w:tcPr>
            <w:tcW w:w="469" w:type="pct"/>
            <w:tcBorders>
              <w:left w:val="single" w:sz="4" w:space="0" w:color="auto"/>
            </w:tcBorders>
            <w:shd w:val="clear" w:color="auto" w:fill="auto"/>
            <w:noWrap/>
          </w:tcPr>
          <w:p w14:paraId="02647F88" w14:textId="006CDAD4" w:rsidR="00557893" w:rsidRPr="002E554D" w:rsidRDefault="00557893" w:rsidP="00557893">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-2.939</w:t>
            </w:r>
          </w:p>
        </w:tc>
        <w:tc>
          <w:tcPr>
            <w:tcW w:w="470" w:type="pct"/>
            <w:shd w:val="clear" w:color="auto" w:fill="auto"/>
            <w:noWrap/>
          </w:tcPr>
          <w:p w14:paraId="647D412C" w14:textId="697E181B"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-2.282</w:t>
            </w:r>
          </w:p>
        </w:tc>
        <w:tc>
          <w:tcPr>
            <w:tcW w:w="518" w:type="pct"/>
            <w:tcBorders>
              <w:right w:val="single" w:sz="4" w:space="0" w:color="auto"/>
            </w:tcBorders>
            <w:shd w:val="clear" w:color="auto" w:fill="auto"/>
            <w:noWrap/>
          </w:tcPr>
          <w:p w14:paraId="343A1ABE" w14:textId="4672B5CE"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-1.929</w:t>
            </w:r>
          </w:p>
        </w:tc>
        <w:tc>
          <w:tcPr>
            <w:tcW w:w="731" w:type="pct"/>
            <w:tcBorders>
              <w:left w:val="single" w:sz="4" w:space="0" w:color="auto"/>
              <w:right w:val="single" w:sz="4" w:space="0" w:color="auto"/>
            </w:tcBorders>
            <w:shd w:val="clear" w:color="auto" w:fill="auto"/>
            <w:noWrap/>
          </w:tcPr>
          <w:p w14:paraId="3420A8C4" w14:textId="2873A8A3"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0.319</w:t>
            </w:r>
          </w:p>
        </w:tc>
        <w:tc>
          <w:tcPr>
            <w:tcW w:w="469" w:type="pct"/>
            <w:tcBorders>
              <w:left w:val="single" w:sz="4" w:space="0" w:color="auto"/>
            </w:tcBorders>
            <w:shd w:val="clear" w:color="auto" w:fill="auto"/>
            <w:noWrap/>
          </w:tcPr>
          <w:p w14:paraId="63F73474" w14:textId="7E22DBF2"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-2.907</w:t>
            </w:r>
          </w:p>
        </w:tc>
        <w:tc>
          <w:tcPr>
            <w:tcW w:w="518" w:type="pct"/>
            <w:shd w:val="clear" w:color="auto" w:fill="auto"/>
            <w:noWrap/>
          </w:tcPr>
          <w:p w14:paraId="1DA42A66" w14:textId="732519C9"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-2.247</w:t>
            </w:r>
          </w:p>
        </w:tc>
        <w:tc>
          <w:tcPr>
            <w:tcW w:w="469" w:type="pct"/>
            <w:tcBorders>
              <w:right w:val="single" w:sz="4" w:space="0" w:color="auto"/>
            </w:tcBorders>
            <w:shd w:val="clear" w:color="auto" w:fill="auto"/>
            <w:noWrap/>
          </w:tcPr>
          <w:p w14:paraId="3DFB3FE1" w14:textId="503A7FB2"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-1.892</w:t>
            </w:r>
          </w:p>
        </w:tc>
      </w:tr>
      <w:tr w:rsidR="002E554D" w:rsidRPr="002E554D" w14:paraId="273112D4" w14:textId="77777777" w:rsidTr="00380783">
        <w:trPr>
          <w:trHeight w:val="300"/>
          <w:jc w:val="center"/>
        </w:trPr>
        <w:tc>
          <w:tcPr>
            <w:tcW w:w="625" w:type="pct"/>
            <w:tcBorders>
              <w:left w:val="single" w:sz="4" w:space="0" w:color="auto"/>
              <w:right w:val="single" w:sz="4" w:space="0" w:color="auto"/>
            </w:tcBorders>
            <w:shd w:val="clear" w:color="auto" w:fill="auto"/>
            <w:noWrap/>
            <w:vAlign w:val="bottom"/>
            <w:hideMark/>
          </w:tcPr>
          <w:p w14:paraId="0DAE7FB1" w14:textId="77777777"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31" w:type="pct"/>
            <w:tcBorders>
              <w:left w:val="single" w:sz="4" w:space="0" w:color="auto"/>
              <w:right w:val="single" w:sz="4" w:space="0" w:color="auto"/>
            </w:tcBorders>
            <w:shd w:val="clear" w:color="auto" w:fill="auto"/>
            <w:noWrap/>
          </w:tcPr>
          <w:p w14:paraId="7A6557FA" w14:textId="636699DB" w:rsidR="00557893" w:rsidRPr="002E554D" w:rsidRDefault="00557893" w:rsidP="00557893">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-9.832***</w:t>
            </w:r>
          </w:p>
        </w:tc>
        <w:tc>
          <w:tcPr>
            <w:tcW w:w="469" w:type="pct"/>
            <w:tcBorders>
              <w:left w:val="single" w:sz="4" w:space="0" w:color="auto"/>
            </w:tcBorders>
            <w:shd w:val="clear" w:color="auto" w:fill="auto"/>
            <w:noWrap/>
          </w:tcPr>
          <w:p w14:paraId="1CED183F" w14:textId="1A4543F2" w:rsidR="00557893" w:rsidRPr="002E554D" w:rsidRDefault="00557893" w:rsidP="00557893">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-2.696</w:t>
            </w:r>
          </w:p>
        </w:tc>
        <w:tc>
          <w:tcPr>
            <w:tcW w:w="470" w:type="pct"/>
            <w:shd w:val="clear" w:color="auto" w:fill="auto"/>
            <w:noWrap/>
          </w:tcPr>
          <w:p w14:paraId="4EC7D744" w14:textId="0359421F"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-2.023</w:t>
            </w:r>
          </w:p>
        </w:tc>
        <w:tc>
          <w:tcPr>
            <w:tcW w:w="518" w:type="pct"/>
            <w:tcBorders>
              <w:right w:val="single" w:sz="4" w:space="0" w:color="auto"/>
            </w:tcBorders>
            <w:shd w:val="clear" w:color="auto" w:fill="auto"/>
            <w:noWrap/>
          </w:tcPr>
          <w:p w14:paraId="639A3640" w14:textId="476EF8AE"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-1.663</w:t>
            </w:r>
          </w:p>
        </w:tc>
        <w:tc>
          <w:tcPr>
            <w:tcW w:w="731" w:type="pct"/>
            <w:tcBorders>
              <w:left w:val="single" w:sz="4" w:space="0" w:color="auto"/>
              <w:right w:val="single" w:sz="4" w:space="0" w:color="auto"/>
            </w:tcBorders>
            <w:shd w:val="clear" w:color="auto" w:fill="auto"/>
            <w:noWrap/>
          </w:tcPr>
          <w:p w14:paraId="2E201A54" w14:textId="4674FB80" w:rsidR="00557893" w:rsidRPr="002E554D" w:rsidRDefault="00557893" w:rsidP="00557893">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-0.032</w:t>
            </w:r>
          </w:p>
        </w:tc>
        <w:tc>
          <w:tcPr>
            <w:tcW w:w="469" w:type="pct"/>
            <w:tcBorders>
              <w:left w:val="single" w:sz="4" w:space="0" w:color="auto"/>
            </w:tcBorders>
            <w:shd w:val="clear" w:color="auto" w:fill="auto"/>
            <w:noWrap/>
          </w:tcPr>
          <w:p w14:paraId="209EE3A1" w14:textId="2931EC01"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-2.641</w:t>
            </w:r>
          </w:p>
        </w:tc>
        <w:tc>
          <w:tcPr>
            <w:tcW w:w="518" w:type="pct"/>
            <w:shd w:val="clear" w:color="auto" w:fill="auto"/>
            <w:noWrap/>
          </w:tcPr>
          <w:p w14:paraId="0A8F6C89" w14:textId="246FA63D"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-1.968</w:t>
            </w:r>
          </w:p>
        </w:tc>
        <w:tc>
          <w:tcPr>
            <w:tcW w:w="469" w:type="pct"/>
            <w:tcBorders>
              <w:right w:val="single" w:sz="4" w:space="0" w:color="auto"/>
            </w:tcBorders>
            <w:shd w:val="clear" w:color="auto" w:fill="auto"/>
            <w:noWrap/>
          </w:tcPr>
          <w:p w14:paraId="3B437D77" w14:textId="13862C45" w:rsidR="00557893" w:rsidRPr="002E554D" w:rsidRDefault="00557893" w:rsidP="00557893">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-1.608</w:t>
            </w:r>
          </w:p>
        </w:tc>
      </w:tr>
      <w:tr w:rsidR="002E554D" w:rsidRPr="002E554D" w14:paraId="184CEF7E" w14:textId="77777777" w:rsidTr="00CB6B3B">
        <w:trPr>
          <w:trHeight w:val="300"/>
          <w:jc w:val="center"/>
        </w:trPr>
        <w:tc>
          <w:tcPr>
            <w:tcW w:w="625" w:type="pct"/>
            <w:tcBorders>
              <w:left w:val="single" w:sz="4" w:space="0" w:color="auto"/>
              <w:right w:val="single" w:sz="4" w:space="0" w:color="auto"/>
            </w:tcBorders>
            <w:shd w:val="clear" w:color="auto" w:fill="auto"/>
            <w:noWrap/>
            <w:vAlign w:val="bottom"/>
          </w:tcPr>
          <w:p w14:paraId="20AC0544" w14:textId="77777777" w:rsidR="00E57EF0" w:rsidRPr="002E554D" w:rsidRDefault="00E57EF0" w:rsidP="00E546B1">
            <w:pPr>
              <w:spacing w:after="0" w:line="240" w:lineRule="auto"/>
              <w:jc w:val="center"/>
              <w:rPr>
                <w:rFonts w:ascii="Garamond" w:eastAsia="Times New Roman" w:hAnsi="Garamond" w:cs="Calibri"/>
                <w:color w:val="FF0000"/>
                <w:lang w:val="en-GB" w:eastAsia="en-GB"/>
              </w:rPr>
            </w:pPr>
          </w:p>
        </w:tc>
        <w:tc>
          <w:tcPr>
            <w:tcW w:w="2188" w:type="pct"/>
            <w:gridSpan w:val="4"/>
            <w:tcBorders>
              <w:left w:val="single" w:sz="4" w:space="0" w:color="auto"/>
              <w:right w:val="single" w:sz="4" w:space="0" w:color="auto"/>
            </w:tcBorders>
            <w:shd w:val="clear" w:color="auto" w:fill="auto"/>
            <w:noWrap/>
            <w:vAlign w:val="center"/>
          </w:tcPr>
          <w:p w14:paraId="3CE8D5C2" w14:textId="1F54E8D5" w:rsidR="00E57EF0" w:rsidRPr="002E554D" w:rsidRDefault="00E57EF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NIKKEI.225</w:t>
            </w:r>
          </w:p>
        </w:tc>
        <w:tc>
          <w:tcPr>
            <w:tcW w:w="2188" w:type="pct"/>
            <w:gridSpan w:val="4"/>
            <w:tcBorders>
              <w:left w:val="single" w:sz="4" w:space="0" w:color="auto"/>
              <w:right w:val="single" w:sz="4" w:space="0" w:color="auto"/>
            </w:tcBorders>
            <w:shd w:val="clear" w:color="auto" w:fill="auto"/>
            <w:noWrap/>
            <w:vAlign w:val="center"/>
          </w:tcPr>
          <w:p w14:paraId="55C24138" w14:textId="1ADEB7EC" w:rsidR="00E57EF0" w:rsidRPr="002E554D" w:rsidRDefault="006F07CC">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PSI20</w:t>
            </w:r>
          </w:p>
        </w:tc>
      </w:tr>
      <w:tr w:rsidR="002E554D" w:rsidRPr="002E554D" w14:paraId="047A06C8" w14:textId="77777777" w:rsidTr="0032420F">
        <w:trPr>
          <w:trHeight w:val="300"/>
          <w:jc w:val="center"/>
        </w:trPr>
        <w:tc>
          <w:tcPr>
            <w:tcW w:w="625" w:type="pct"/>
            <w:tcBorders>
              <w:left w:val="single" w:sz="4" w:space="0" w:color="auto"/>
              <w:right w:val="single" w:sz="4" w:space="0" w:color="auto"/>
            </w:tcBorders>
            <w:shd w:val="clear" w:color="auto" w:fill="auto"/>
            <w:noWrap/>
            <w:vAlign w:val="bottom"/>
            <w:hideMark/>
          </w:tcPr>
          <w:p w14:paraId="5A8C68B3" w14:textId="7777777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31" w:type="pct"/>
            <w:tcBorders>
              <w:left w:val="single" w:sz="4" w:space="0" w:color="auto"/>
              <w:right w:val="single" w:sz="4" w:space="0" w:color="auto"/>
            </w:tcBorders>
            <w:shd w:val="clear" w:color="auto" w:fill="auto"/>
            <w:noWrap/>
          </w:tcPr>
          <w:p w14:paraId="57997025" w14:textId="2AC8D6A3" w:rsidR="00564139" w:rsidRPr="002E554D" w:rsidRDefault="00564139" w:rsidP="0056413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-0.823</w:t>
            </w:r>
          </w:p>
        </w:tc>
        <w:tc>
          <w:tcPr>
            <w:tcW w:w="469" w:type="pct"/>
            <w:tcBorders>
              <w:left w:val="single" w:sz="4" w:space="0" w:color="auto"/>
            </w:tcBorders>
            <w:shd w:val="clear" w:color="auto" w:fill="auto"/>
            <w:noWrap/>
          </w:tcPr>
          <w:p w14:paraId="34702278" w14:textId="0692AA1E"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-2.840</w:t>
            </w:r>
          </w:p>
        </w:tc>
        <w:tc>
          <w:tcPr>
            <w:tcW w:w="470" w:type="pct"/>
            <w:shd w:val="clear" w:color="auto" w:fill="auto"/>
            <w:noWrap/>
          </w:tcPr>
          <w:p w14:paraId="4CE72611" w14:textId="43F15E3D"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-2.171</w:t>
            </w:r>
          </w:p>
        </w:tc>
        <w:tc>
          <w:tcPr>
            <w:tcW w:w="518" w:type="pct"/>
            <w:tcBorders>
              <w:right w:val="single" w:sz="4" w:space="0" w:color="auto"/>
            </w:tcBorders>
            <w:shd w:val="clear" w:color="auto" w:fill="auto"/>
            <w:noWrap/>
          </w:tcPr>
          <w:p w14:paraId="5AAC3729" w14:textId="6103388D"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-1.812</w:t>
            </w:r>
          </w:p>
        </w:tc>
        <w:tc>
          <w:tcPr>
            <w:tcW w:w="731" w:type="pct"/>
            <w:tcBorders>
              <w:left w:val="single" w:sz="4" w:space="0" w:color="auto"/>
              <w:right w:val="single" w:sz="4" w:space="0" w:color="auto"/>
            </w:tcBorders>
            <w:shd w:val="clear" w:color="auto" w:fill="auto"/>
            <w:noWrap/>
          </w:tcPr>
          <w:p w14:paraId="1BCD09B2" w14:textId="7D00A64E" w:rsidR="00564139" w:rsidRPr="002E554D" w:rsidRDefault="00564139" w:rsidP="0056413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4.024</w:t>
            </w:r>
          </w:p>
        </w:tc>
        <w:tc>
          <w:tcPr>
            <w:tcW w:w="469" w:type="pct"/>
            <w:tcBorders>
              <w:left w:val="single" w:sz="4" w:space="0" w:color="auto"/>
            </w:tcBorders>
            <w:shd w:val="clear" w:color="auto" w:fill="auto"/>
            <w:noWrap/>
          </w:tcPr>
          <w:p w14:paraId="23F9B76D" w14:textId="17DF3F28"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-2.770</w:t>
            </w:r>
          </w:p>
        </w:tc>
        <w:tc>
          <w:tcPr>
            <w:tcW w:w="518" w:type="pct"/>
            <w:shd w:val="clear" w:color="auto" w:fill="auto"/>
            <w:noWrap/>
          </w:tcPr>
          <w:p w14:paraId="3DFE8832" w14:textId="4B6AB8BB"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-2.098</w:t>
            </w:r>
          </w:p>
        </w:tc>
        <w:tc>
          <w:tcPr>
            <w:tcW w:w="469" w:type="pct"/>
            <w:tcBorders>
              <w:right w:val="single" w:sz="4" w:space="0" w:color="auto"/>
            </w:tcBorders>
            <w:shd w:val="clear" w:color="auto" w:fill="auto"/>
            <w:noWrap/>
          </w:tcPr>
          <w:p w14:paraId="68BBB776" w14:textId="51FF6144"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-1.738</w:t>
            </w:r>
          </w:p>
        </w:tc>
      </w:tr>
      <w:tr w:rsidR="002E554D" w:rsidRPr="002E554D" w14:paraId="61E4E053" w14:textId="77777777" w:rsidTr="0032420F">
        <w:trPr>
          <w:trHeight w:val="300"/>
          <w:jc w:val="center"/>
        </w:trPr>
        <w:tc>
          <w:tcPr>
            <w:tcW w:w="625" w:type="pct"/>
            <w:tcBorders>
              <w:left w:val="single" w:sz="4" w:space="0" w:color="auto"/>
              <w:right w:val="single" w:sz="4" w:space="0" w:color="auto"/>
            </w:tcBorders>
            <w:shd w:val="clear" w:color="auto" w:fill="auto"/>
            <w:noWrap/>
            <w:vAlign w:val="bottom"/>
            <w:hideMark/>
          </w:tcPr>
          <w:p w14:paraId="5862E31F" w14:textId="7777777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31" w:type="pct"/>
            <w:tcBorders>
              <w:left w:val="single" w:sz="4" w:space="0" w:color="auto"/>
              <w:right w:val="single" w:sz="4" w:space="0" w:color="auto"/>
            </w:tcBorders>
            <w:shd w:val="clear" w:color="auto" w:fill="auto"/>
            <w:noWrap/>
          </w:tcPr>
          <w:p w14:paraId="64B00C81" w14:textId="596531FF" w:rsidR="00564139" w:rsidRPr="002E554D" w:rsidRDefault="00564139" w:rsidP="0056413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0.405</w:t>
            </w:r>
          </w:p>
        </w:tc>
        <w:tc>
          <w:tcPr>
            <w:tcW w:w="469" w:type="pct"/>
            <w:tcBorders>
              <w:left w:val="single" w:sz="4" w:space="0" w:color="auto"/>
            </w:tcBorders>
            <w:shd w:val="clear" w:color="auto" w:fill="auto"/>
            <w:noWrap/>
          </w:tcPr>
          <w:p w14:paraId="50DC8E73" w14:textId="05E020AB"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-3.039</w:t>
            </w:r>
          </w:p>
        </w:tc>
        <w:tc>
          <w:tcPr>
            <w:tcW w:w="470" w:type="pct"/>
            <w:shd w:val="clear" w:color="auto" w:fill="auto"/>
            <w:noWrap/>
          </w:tcPr>
          <w:p w14:paraId="3851A699" w14:textId="1D4B82A3"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-2.386</w:t>
            </w:r>
          </w:p>
        </w:tc>
        <w:tc>
          <w:tcPr>
            <w:tcW w:w="518" w:type="pct"/>
            <w:tcBorders>
              <w:right w:val="single" w:sz="4" w:space="0" w:color="auto"/>
            </w:tcBorders>
            <w:shd w:val="clear" w:color="auto" w:fill="auto"/>
            <w:noWrap/>
          </w:tcPr>
          <w:p w14:paraId="2F7106BD" w14:textId="378A6245"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-2.039</w:t>
            </w:r>
          </w:p>
        </w:tc>
        <w:tc>
          <w:tcPr>
            <w:tcW w:w="731" w:type="pct"/>
            <w:tcBorders>
              <w:left w:val="single" w:sz="4" w:space="0" w:color="auto"/>
              <w:right w:val="single" w:sz="4" w:space="0" w:color="auto"/>
            </w:tcBorders>
            <w:shd w:val="clear" w:color="auto" w:fill="auto"/>
            <w:noWrap/>
          </w:tcPr>
          <w:p w14:paraId="1E1C3B42" w14:textId="2A2D84E2" w:rsidR="00564139" w:rsidRPr="002E554D" w:rsidRDefault="00564139" w:rsidP="0056413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3.468</w:t>
            </w:r>
          </w:p>
        </w:tc>
        <w:tc>
          <w:tcPr>
            <w:tcW w:w="469" w:type="pct"/>
            <w:tcBorders>
              <w:left w:val="single" w:sz="4" w:space="0" w:color="auto"/>
            </w:tcBorders>
            <w:shd w:val="clear" w:color="auto" w:fill="auto"/>
            <w:noWrap/>
          </w:tcPr>
          <w:p w14:paraId="3C1A081A" w14:textId="1D44FC95"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-3.012</w:t>
            </w:r>
          </w:p>
        </w:tc>
        <w:tc>
          <w:tcPr>
            <w:tcW w:w="518" w:type="pct"/>
            <w:shd w:val="clear" w:color="auto" w:fill="auto"/>
            <w:noWrap/>
          </w:tcPr>
          <w:p w14:paraId="4DB59EF7" w14:textId="169C18CE"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-2.360</w:t>
            </w:r>
          </w:p>
        </w:tc>
        <w:tc>
          <w:tcPr>
            <w:tcW w:w="469" w:type="pct"/>
            <w:tcBorders>
              <w:right w:val="single" w:sz="4" w:space="0" w:color="auto"/>
            </w:tcBorders>
            <w:shd w:val="clear" w:color="auto" w:fill="auto"/>
            <w:noWrap/>
          </w:tcPr>
          <w:p w14:paraId="4BA05B8C" w14:textId="56DCFC5F"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-2.012</w:t>
            </w:r>
          </w:p>
        </w:tc>
      </w:tr>
      <w:tr w:rsidR="002E554D" w:rsidRPr="002E554D" w14:paraId="0CA0BF32" w14:textId="77777777" w:rsidTr="0032420F">
        <w:trPr>
          <w:trHeight w:val="300"/>
          <w:jc w:val="center"/>
        </w:trPr>
        <w:tc>
          <w:tcPr>
            <w:tcW w:w="625" w:type="pct"/>
            <w:tcBorders>
              <w:left w:val="single" w:sz="4" w:space="0" w:color="auto"/>
              <w:right w:val="single" w:sz="4" w:space="0" w:color="auto"/>
            </w:tcBorders>
            <w:shd w:val="clear" w:color="auto" w:fill="auto"/>
            <w:noWrap/>
            <w:vAlign w:val="bottom"/>
            <w:hideMark/>
          </w:tcPr>
          <w:p w14:paraId="247EC185" w14:textId="7777777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31" w:type="pct"/>
            <w:tcBorders>
              <w:left w:val="single" w:sz="4" w:space="0" w:color="auto"/>
              <w:right w:val="single" w:sz="4" w:space="0" w:color="auto"/>
            </w:tcBorders>
            <w:shd w:val="clear" w:color="auto" w:fill="auto"/>
            <w:noWrap/>
          </w:tcPr>
          <w:p w14:paraId="2DD2DE57" w14:textId="46C00355" w:rsidR="00564139" w:rsidRPr="002E554D" w:rsidRDefault="00564139" w:rsidP="0056413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0.081</w:t>
            </w:r>
          </w:p>
        </w:tc>
        <w:tc>
          <w:tcPr>
            <w:tcW w:w="469" w:type="pct"/>
            <w:tcBorders>
              <w:left w:val="single" w:sz="4" w:space="0" w:color="auto"/>
            </w:tcBorders>
            <w:shd w:val="clear" w:color="auto" w:fill="auto"/>
            <w:noWrap/>
          </w:tcPr>
          <w:p w14:paraId="0DA86CFA" w14:textId="4E3AE04A"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-3.225</w:t>
            </w:r>
          </w:p>
        </w:tc>
        <w:tc>
          <w:tcPr>
            <w:tcW w:w="470" w:type="pct"/>
            <w:shd w:val="clear" w:color="auto" w:fill="auto"/>
            <w:noWrap/>
          </w:tcPr>
          <w:p w14:paraId="11695D3C" w14:textId="026B2E06"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-2.598</w:t>
            </w:r>
          </w:p>
        </w:tc>
        <w:tc>
          <w:tcPr>
            <w:tcW w:w="518" w:type="pct"/>
            <w:tcBorders>
              <w:right w:val="single" w:sz="4" w:space="0" w:color="auto"/>
            </w:tcBorders>
            <w:shd w:val="clear" w:color="auto" w:fill="auto"/>
            <w:noWrap/>
          </w:tcPr>
          <w:p w14:paraId="122A72EF" w14:textId="4C42F935"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-2.259</w:t>
            </w:r>
          </w:p>
        </w:tc>
        <w:tc>
          <w:tcPr>
            <w:tcW w:w="731" w:type="pct"/>
            <w:tcBorders>
              <w:left w:val="single" w:sz="4" w:space="0" w:color="auto"/>
              <w:right w:val="single" w:sz="4" w:space="0" w:color="auto"/>
            </w:tcBorders>
            <w:shd w:val="clear" w:color="auto" w:fill="auto"/>
            <w:noWrap/>
          </w:tcPr>
          <w:p w14:paraId="0187EDC8" w14:textId="5A88FCEA" w:rsidR="00564139" w:rsidRPr="002E554D" w:rsidRDefault="00564139" w:rsidP="0056413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3.441</w:t>
            </w:r>
          </w:p>
        </w:tc>
        <w:tc>
          <w:tcPr>
            <w:tcW w:w="469" w:type="pct"/>
            <w:tcBorders>
              <w:left w:val="single" w:sz="4" w:space="0" w:color="auto"/>
            </w:tcBorders>
            <w:shd w:val="clear" w:color="auto" w:fill="auto"/>
            <w:noWrap/>
          </w:tcPr>
          <w:p w14:paraId="56B9B28C" w14:textId="5355BB3A"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-3.121</w:t>
            </w:r>
          </w:p>
        </w:tc>
        <w:tc>
          <w:tcPr>
            <w:tcW w:w="518" w:type="pct"/>
            <w:shd w:val="clear" w:color="auto" w:fill="auto"/>
            <w:noWrap/>
          </w:tcPr>
          <w:p w14:paraId="2D039B19" w14:textId="662ACB4B"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-2.461</w:t>
            </w:r>
          </w:p>
        </w:tc>
        <w:tc>
          <w:tcPr>
            <w:tcW w:w="469" w:type="pct"/>
            <w:tcBorders>
              <w:right w:val="single" w:sz="4" w:space="0" w:color="auto"/>
            </w:tcBorders>
            <w:shd w:val="clear" w:color="auto" w:fill="auto"/>
            <w:noWrap/>
          </w:tcPr>
          <w:p w14:paraId="7E61E525" w14:textId="4D08C0C4"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-2.121</w:t>
            </w:r>
          </w:p>
        </w:tc>
      </w:tr>
      <w:tr w:rsidR="002E554D" w:rsidRPr="002E554D" w14:paraId="6B46E832" w14:textId="77777777" w:rsidTr="0032420F">
        <w:trPr>
          <w:trHeight w:val="300"/>
          <w:jc w:val="center"/>
        </w:trPr>
        <w:tc>
          <w:tcPr>
            <w:tcW w:w="625" w:type="pct"/>
            <w:tcBorders>
              <w:left w:val="single" w:sz="4" w:space="0" w:color="auto"/>
              <w:right w:val="single" w:sz="4" w:space="0" w:color="auto"/>
            </w:tcBorders>
            <w:shd w:val="clear" w:color="auto" w:fill="auto"/>
            <w:noWrap/>
            <w:vAlign w:val="bottom"/>
            <w:hideMark/>
          </w:tcPr>
          <w:p w14:paraId="0DD3934B" w14:textId="7777777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31" w:type="pct"/>
            <w:tcBorders>
              <w:left w:val="single" w:sz="4" w:space="0" w:color="auto"/>
              <w:right w:val="single" w:sz="4" w:space="0" w:color="auto"/>
            </w:tcBorders>
            <w:shd w:val="clear" w:color="auto" w:fill="auto"/>
            <w:noWrap/>
          </w:tcPr>
          <w:p w14:paraId="08C66B95" w14:textId="201F566C" w:rsidR="00564139" w:rsidRPr="002E554D" w:rsidRDefault="00564139" w:rsidP="0056413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-0.721</w:t>
            </w:r>
          </w:p>
        </w:tc>
        <w:tc>
          <w:tcPr>
            <w:tcW w:w="469" w:type="pct"/>
            <w:tcBorders>
              <w:left w:val="single" w:sz="4" w:space="0" w:color="auto"/>
            </w:tcBorders>
            <w:shd w:val="clear" w:color="auto" w:fill="auto"/>
            <w:noWrap/>
          </w:tcPr>
          <w:p w14:paraId="3F19E39C" w14:textId="432B1936"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-3.246</w:t>
            </w:r>
          </w:p>
        </w:tc>
        <w:tc>
          <w:tcPr>
            <w:tcW w:w="470" w:type="pct"/>
            <w:shd w:val="clear" w:color="auto" w:fill="auto"/>
            <w:noWrap/>
          </w:tcPr>
          <w:p w14:paraId="5F3D9F27" w14:textId="43C87CCC"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-2.632</w:t>
            </w:r>
          </w:p>
        </w:tc>
        <w:tc>
          <w:tcPr>
            <w:tcW w:w="518" w:type="pct"/>
            <w:tcBorders>
              <w:right w:val="single" w:sz="4" w:space="0" w:color="auto"/>
            </w:tcBorders>
            <w:shd w:val="clear" w:color="auto" w:fill="auto"/>
            <w:noWrap/>
          </w:tcPr>
          <w:p w14:paraId="5A0F7FF2" w14:textId="292255BB"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-2.297</w:t>
            </w:r>
          </w:p>
        </w:tc>
        <w:tc>
          <w:tcPr>
            <w:tcW w:w="731" w:type="pct"/>
            <w:tcBorders>
              <w:left w:val="single" w:sz="4" w:space="0" w:color="auto"/>
              <w:right w:val="single" w:sz="4" w:space="0" w:color="auto"/>
            </w:tcBorders>
            <w:shd w:val="clear" w:color="auto" w:fill="auto"/>
            <w:noWrap/>
          </w:tcPr>
          <w:p w14:paraId="1FAC4C85" w14:textId="6D6EC434" w:rsidR="00564139" w:rsidRPr="002E554D" w:rsidRDefault="00564139" w:rsidP="0056413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-0.299</w:t>
            </w:r>
          </w:p>
        </w:tc>
        <w:tc>
          <w:tcPr>
            <w:tcW w:w="469" w:type="pct"/>
            <w:tcBorders>
              <w:left w:val="single" w:sz="4" w:space="0" w:color="auto"/>
            </w:tcBorders>
            <w:shd w:val="clear" w:color="auto" w:fill="auto"/>
            <w:noWrap/>
          </w:tcPr>
          <w:p w14:paraId="3000497B" w14:textId="73C5ABFC"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-3.245</w:t>
            </w:r>
          </w:p>
        </w:tc>
        <w:tc>
          <w:tcPr>
            <w:tcW w:w="518" w:type="pct"/>
            <w:shd w:val="clear" w:color="auto" w:fill="auto"/>
            <w:noWrap/>
          </w:tcPr>
          <w:p w14:paraId="160FD23F" w14:textId="6D3E7141"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-2.630</w:t>
            </w:r>
          </w:p>
        </w:tc>
        <w:tc>
          <w:tcPr>
            <w:tcW w:w="469" w:type="pct"/>
            <w:tcBorders>
              <w:right w:val="single" w:sz="4" w:space="0" w:color="auto"/>
            </w:tcBorders>
            <w:shd w:val="clear" w:color="auto" w:fill="auto"/>
            <w:noWrap/>
          </w:tcPr>
          <w:p w14:paraId="78017733" w14:textId="7F0AC6FD" w:rsidR="00564139" w:rsidRPr="002E554D" w:rsidRDefault="00564139" w:rsidP="0056413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-2.295</w:t>
            </w:r>
          </w:p>
        </w:tc>
      </w:tr>
      <w:tr w:rsidR="002E554D" w:rsidRPr="002E554D" w14:paraId="5C29D94D" w14:textId="77777777" w:rsidTr="0032420F">
        <w:trPr>
          <w:trHeight w:val="300"/>
          <w:jc w:val="center"/>
        </w:trPr>
        <w:tc>
          <w:tcPr>
            <w:tcW w:w="625" w:type="pct"/>
            <w:tcBorders>
              <w:left w:val="single" w:sz="4" w:space="0" w:color="auto"/>
              <w:right w:val="single" w:sz="4" w:space="0" w:color="auto"/>
            </w:tcBorders>
            <w:shd w:val="clear" w:color="auto" w:fill="auto"/>
            <w:noWrap/>
            <w:vAlign w:val="bottom"/>
            <w:hideMark/>
          </w:tcPr>
          <w:p w14:paraId="1A46ABFF" w14:textId="7777777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31" w:type="pct"/>
            <w:tcBorders>
              <w:left w:val="single" w:sz="4" w:space="0" w:color="auto"/>
              <w:right w:val="single" w:sz="4" w:space="0" w:color="auto"/>
            </w:tcBorders>
            <w:shd w:val="clear" w:color="auto" w:fill="auto"/>
            <w:noWrap/>
          </w:tcPr>
          <w:p w14:paraId="2441036C" w14:textId="1743DB17" w:rsidR="00564139" w:rsidRPr="002E554D" w:rsidRDefault="00564139" w:rsidP="0056413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-0.175</w:t>
            </w:r>
          </w:p>
        </w:tc>
        <w:tc>
          <w:tcPr>
            <w:tcW w:w="469" w:type="pct"/>
            <w:tcBorders>
              <w:left w:val="single" w:sz="4" w:space="0" w:color="auto"/>
            </w:tcBorders>
            <w:shd w:val="clear" w:color="auto" w:fill="auto"/>
            <w:noWrap/>
          </w:tcPr>
          <w:p w14:paraId="6D2CF909" w14:textId="1A41413D"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-3.236</w:t>
            </w:r>
          </w:p>
        </w:tc>
        <w:tc>
          <w:tcPr>
            <w:tcW w:w="470" w:type="pct"/>
            <w:shd w:val="clear" w:color="auto" w:fill="auto"/>
            <w:noWrap/>
          </w:tcPr>
          <w:p w14:paraId="715AADF3" w14:textId="7C733DA3"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-2.615</w:t>
            </w:r>
          </w:p>
        </w:tc>
        <w:tc>
          <w:tcPr>
            <w:tcW w:w="518" w:type="pct"/>
            <w:tcBorders>
              <w:right w:val="single" w:sz="4" w:space="0" w:color="auto"/>
            </w:tcBorders>
            <w:shd w:val="clear" w:color="auto" w:fill="auto"/>
            <w:noWrap/>
          </w:tcPr>
          <w:p w14:paraId="3ED041D5" w14:textId="53B21541"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-2.279</w:t>
            </w:r>
          </w:p>
        </w:tc>
        <w:tc>
          <w:tcPr>
            <w:tcW w:w="731" w:type="pct"/>
            <w:tcBorders>
              <w:left w:val="single" w:sz="4" w:space="0" w:color="auto"/>
              <w:right w:val="single" w:sz="4" w:space="0" w:color="auto"/>
            </w:tcBorders>
            <w:shd w:val="clear" w:color="auto" w:fill="auto"/>
            <w:noWrap/>
          </w:tcPr>
          <w:p w14:paraId="567A5A46" w14:textId="30640EF3" w:rsidR="00564139" w:rsidRPr="002E554D" w:rsidRDefault="00564139" w:rsidP="0056413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-5.508***</w:t>
            </w:r>
          </w:p>
        </w:tc>
        <w:tc>
          <w:tcPr>
            <w:tcW w:w="469" w:type="pct"/>
            <w:tcBorders>
              <w:left w:val="single" w:sz="4" w:space="0" w:color="auto"/>
            </w:tcBorders>
            <w:shd w:val="clear" w:color="auto" w:fill="auto"/>
            <w:noWrap/>
          </w:tcPr>
          <w:p w14:paraId="2EE61DBA" w14:textId="63926C0F"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-3.246</w:t>
            </w:r>
          </w:p>
        </w:tc>
        <w:tc>
          <w:tcPr>
            <w:tcW w:w="518" w:type="pct"/>
            <w:shd w:val="clear" w:color="auto" w:fill="auto"/>
            <w:noWrap/>
          </w:tcPr>
          <w:p w14:paraId="4D0F2A6F" w14:textId="0C6F41DB"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-2.632</w:t>
            </w:r>
          </w:p>
        </w:tc>
        <w:tc>
          <w:tcPr>
            <w:tcW w:w="469" w:type="pct"/>
            <w:tcBorders>
              <w:right w:val="single" w:sz="4" w:space="0" w:color="auto"/>
            </w:tcBorders>
            <w:shd w:val="clear" w:color="auto" w:fill="auto"/>
            <w:noWrap/>
          </w:tcPr>
          <w:p w14:paraId="59DBB133" w14:textId="21BAFB4A"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-2.297</w:t>
            </w:r>
          </w:p>
        </w:tc>
      </w:tr>
      <w:tr w:rsidR="002E554D" w:rsidRPr="002E554D" w14:paraId="42F09989" w14:textId="77777777" w:rsidTr="0032420F">
        <w:trPr>
          <w:trHeight w:val="300"/>
          <w:jc w:val="center"/>
        </w:trPr>
        <w:tc>
          <w:tcPr>
            <w:tcW w:w="625" w:type="pct"/>
            <w:tcBorders>
              <w:left w:val="single" w:sz="4" w:space="0" w:color="auto"/>
              <w:right w:val="single" w:sz="4" w:space="0" w:color="auto"/>
            </w:tcBorders>
            <w:shd w:val="clear" w:color="auto" w:fill="auto"/>
            <w:noWrap/>
            <w:vAlign w:val="bottom"/>
            <w:hideMark/>
          </w:tcPr>
          <w:p w14:paraId="4C824EC4" w14:textId="7777777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31" w:type="pct"/>
            <w:tcBorders>
              <w:left w:val="single" w:sz="4" w:space="0" w:color="auto"/>
              <w:right w:val="single" w:sz="4" w:space="0" w:color="auto"/>
            </w:tcBorders>
            <w:shd w:val="clear" w:color="auto" w:fill="auto"/>
            <w:noWrap/>
          </w:tcPr>
          <w:p w14:paraId="3E148F58" w14:textId="2A3E32BA" w:rsidR="00564139" w:rsidRPr="002E554D" w:rsidRDefault="00564139" w:rsidP="00564139">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-1.255</w:t>
            </w:r>
          </w:p>
        </w:tc>
        <w:tc>
          <w:tcPr>
            <w:tcW w:w="469" w:type="pct"/>
            <w:tcBorders>
              <w:left w:val="single" w:sz="4" w:space="0" w:color="auto"/>
            </w:tcBorders>
            <w:shd w:val="clear" w:color="auto" w:fill="auto"/>
            <w:noWrap/>
          </w:tcPr>
          <w:p w14:paraId="35CBEA27" w14:textId="6337BD33" w:rsidR="00564139" w:rsidRPr="002E554D" w:rsidRDefault="00564139" w:rsidP="0056413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-3.239</w:t>
            </w:r>
          </w:p>
        </w:tc>
        <w:tc>
          <w:tcPr>
            <w:tcW w:w="470" w:type="pct"/>
            <w:shd w:val="clear" w:color="auto" w:fill="auto"/>
            <w:noWrap/>
          </w:tcPr>
          <w:p w14:paraId="6AE2A312" w14:textId="114A1C3F" w:rsidR="00564139" w:rsidRPr="002E554D" w:rsidRDefault="00564139" w:rsidP="00564139">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-2.620</w:t>
            </w:r>
          </w:p>
        </w:tc>
        <w:tc>
          <w:tcPr>
            <w:tcW w:w="518" w:type="pct"/>
            <w:tcBorders>
              <w:right w:val="single" w:sz="4" w:space="0" w:color="auto"/>
            </w:tcBorders>
            <w:shd w:val="clear" w:color="auto" w:fill="auto"/>
            <w:noWrap/>
          </w:tcPr>
          <w:p w14:paraId="1396DFA1" w14:textId="6D1FA600"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-2.283</w:t>
            </w:r>
          </w:p>
        </w:tc>
        <w:tc>
          <w:tcPr>
            <w:tcW w:w="731" w:type="pct"/>
            <w:tcBorders>
              <w:left w:val="single" w:sz="4" w:space="0" w:color="auto"/>
              <w:right w:val="single" w:sz="4" w:space="0" w:color="auto"/>
            </w:tcBorders>
            <w:shd w:val="clear" w:color="auto" w:fill="auto"/>
            <w:noWrap/>
          </w:tcPr>
          <w:p w14:paraId="1E0DE128" w14:textId="15764B6F" w:rsidR="00564139" w:rsidRPr="002E554D" w:rsidRDefault="00564139" w:rsidP="0056413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-5.700***</w:t>
            </w:r>
          </w:p>
        </w:tc>
        <w:tc>
          <w:tcPr>
            <w:tcW w:w="469" w:type="pct"/>
            <w:tcBorders>
              <w:left w:val="single" w:sz="4" w:space="0" w:color="auto"/>
            </w:tcBorders>
            <w:shd w:val="clear" w:color="auto" w:fill="auto"/>
            <w:noWrap/>
          </w:tcPr>
          <w:p w14:paraId="158381D1" w14:textId="5675173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-3.222</w:t>
            </w:r>
          </w:p>
        </w:tc>
        <w:tc>
          <w:tcPr>
            <w:tcW w:w="518" w:type="pct"/>
            <w:shd w:val="clear" w:color="auto" w:fill="auto"/>
            <w:noWrap/>
          </w:tcPr>
          <w:p w14:paraId="7117F0EF" w14:textId="13C18A94" w:rsidR="00564139" w:rsidRPr="002E554D" w:rsidRDefault="00564139" w:rsidP="0056413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-2.594</w:t>
            </w:r>
          </w:p>
        </w:tc>
        <w:tc>
          <w:tcPr>
            <w:tcW w:w="469" w:type="pct"/>
            <w:tcBorders>
              <w:right w:val="single" w:sz="4" w:space="0" w:color="auto"/>
            </w:tcBorders>
            <w:shd w:val="clear" w:color="auto" w:fill="auto"/>
            <w:noWrap/>
          </w:tcPr>
          <w:p w14:paraId="3E830200" w14:textId="0385CA9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-2.254</w:t>
            </w:r>
          </w:p>
        </w:tc>
      </w:tr>
      <w:tr w:rsidR="002E554D" w:rsidRPr="002E554D" w14:paraId="0BD95DB0" w14:textId="77777777" w:rsidTr="0032420F">
        <w:trPr>
          <w:trHeight w:val="300"/>
          <w:jc w:val="center"/>
        </w:trPr>
        <w:tc>
          <w:tcPr>
            <w:tcW w:w="625" w:type="pct"/>
            <w:tcBorders>
              <w:left w:val="single" w:sz="4" w:space="0" w:color="auto"/>
              <w:right w:val="single" w:sz="4" w:space="0" w:color="auto"/>
            </w:tcBorders>
            <w:shd w:val="clear" w:color="auto" w:fill="auto"/>
            <w:noWrap/>
            <w:vAlign w:val="bottom"/>
            <w:hideMark/>
          </w:tcPr>
          <w:p w14:paraId="233EE6F3" w14:textId="7777777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31" w:type="pct"/>
            <w:tcBorders>
              <w:left w:val="single" w:sz="4" w:space="0" w:color="auto"/>
              <w:right w:val="single" w:sz="4" w:space="0" w:color="auto"/>
            </w:tcBorders>
            <w:shd w:val="clear" w:color="auto" w:fill="auto"/>
            <w:noWrap/>
          </w:tcPr>
          <w:p w14:paraId="3F2ECB60" w14:textId="4199B99F" w:rsidR="00564139" w:rsidRPr="002E554D" w:rsidRDefault="00564139" w:rsidP="00564139">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-1.162</w:t>
            </w:r>
          </w:p>
        </w:tc>
        <w:tc>
          <w:tcPr>
            <w:tcW w:w="469" w:type="pct"/>
            <w:tcBorders>
              <w:left w:val="single" w:sz="4" w:space="0" w:color="auto"/>
            </w:tcBorders>
            <w:shd w:val="clear" w:color="auto" w:fill="auto"/>
            <w:noWrap/>
          </w:tcPr>
          <w:p w14:paraId="013CE637" w14:textId="6F43C16D"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-3.189</w:t>
            </w:r>
          </w:p>
        </w:tc>
        <w:tc>
          <w:tcPr>
            <w:tcW w:w="470" w:type="pct"/>
            <w:shd w:val="clear" w:color="auto" w:fill="auto"/>
            <w:noWrap/>
          </w:tcPr>
          <w:p w14:paraId="18587246" w14:textId="2D3595D8" w:rsidR="00564139" w:rsidRPr="002E554D" w:rsidRDefault="00564139" w:rsidP="0056413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-2.549</w:t>
            </w:r>
          </w:p>
        </w:tc>
        <w:tc>
          <w:tcPr>
            <w:tcW w:w="518" w:type="pct"/>
            <w:tcBorders>
              <w:right w:val="single" w:sz="4" w:space="0" w:color="auto"/>
            </w:tcBorders>
            <w:shd w:val="clear" w:color="auto" w:fill="auto"/>
            <w:noWrap/>
          </w:tcPr>
          <w:p w14:paraId="142493F1" w14:textId="6A7B96C6"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-2.209</w:t>
            </w:r>
          </w:p>
        </w:tc>
        <w:tc>
          <w:tcPr>
            <w:tcW w:w="731" w:type="pct"/>
            <w:tcBorders>
              <w:left w:val="single" w:sz="4" w:space="0" w:color="auto"/>
              <w:right w:val="single" w:sz="4" w:space="0" w:color="auto"/>
            </w:tcBorders>
            <w:shd w:val="clear" w:color="auto" w:fill="auto"/>
            <w:noWrap/>
          </w:tcPr>
          <w:p w14:paraId="5A4C3F7B" w14:textId="466EFA3E" w:rsidR="00564139" w:rsidRPr="002E554D" w:rsidRDefault="00564139" w:rsidP="0056413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-7.622***</w:t>
            </w:r>
          </w:p>
        </w:tc>
        <w:tc>
          <w:tcPr>
            <w:tcW w:w="469" w:type="pct"/>
            <w:tcBorders>
              <w:left w:val="single" w:sz="4" w:space="0" w:color="auto"/>
            </w:tcBorders>
            <w:shd w:val="clear" w:color="auto" w:fill="auto"/>
            <w:noWrap/>
          </w:tcPr>
          <w:p w14:paraId="3A2C3959" w14:textId="4E4FA945" w:rsidR="00564139" w:rsidRPr="002E554D" w:rsidRDefault="00564139" w:rsidP="0056413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-3.133</w:t>
            </w:r>
          </w:p>
        </w:tc>
        <w:tc>
          <w:tcPr>
            <w:tcW w:w="518" w:type="pct"/>
            <w:shd w:val="clear" w:color="auto" w:fill="auto"/>
            <w:noWrap/>
          </w:tcPr>
          <w:p w14:paraId="4DA0DD74" w14:textId="49823AA1"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-2.477</w:t>
            </w:r>
          </w:p>
        </w:tc>
        <w:tc>
          <w:tcPr>
            <w:tcW w:w="469" w:type="pct"/>
            <w:tcBorders>
              <w:right w:val="single" w:sz="4" w:space="0" w:color="auto"/>
            </w:tcBorders>
            <w:shd w:val="clear" w:color="auto" w:fill="auto"/>
            <w:noWrap/>
          </w:tcPr>
          <w:p w14:paraId="2F5C87FA" w14:textId="195F058A"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-2.137</w:t>
            </w:r>
          </w:p>
        </w:tc>
      </w:tr>
      <w:tr w:rsidR="002E554D" w:rsidRPr="002E554D" w14:paraId="63A27179" w14:textId="77777777" w:rsidTr="0032420F">
        <w:trPr>
          <w:trHeight w:val="300"/>
          <w:jc w:val="center"/>
        </w:trPr>
        <w:tc>
          <w:tcPr>
            <w:tcW w:w="625" w:type="pct"/>
            <w:tcBorders>
              <w:left w:val="single" w:sz="4" w:space="0" w:color="auto"/>
              <w:right w:val="single" w:sz="4" w:space="0" w:color="auto"/>
            </w:tcBorders>
            <w:shd w:val="clear" w:color="auto" w:fill="auto"/>
            <w:noWrap/>
            <w:vAlign w:val="bottom"/>
            <w:hideMark/>
          </w:tcPr>
          <w:p w14:paraId="2CEBD093" w14:textId="7777777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31" w:type="pct"/>
            <w:tcBorders>
              <w:left w:val="single" w:sz="4" w:space="0" w:color="auto"/>
              <w:right w:val="single" w:sz="4" w:space="0" w:color="auto"/>
            </w:tcBorders>
            <w:shd w:val="clear" w:color="auto" w:fill="auto"/>
            <w:noWrap/>
          </w:tcPr>
          <w:p w14:paraId="6DAD749C" w14:textId="0F128C5C" w:rsidR="00564139" w:rsidRPr="002E554D" w:rsidRDefault="00564139" w:rsidP="00564139">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-1.987</w:t>
            </w:r>
          </w:p>
        </w:tc>
        <w:tc>
          <w:tcPr>
            <w:tcW w:w="469" w:type="pct"/>
            <w:tcBorders>
              <w:left w:val="single" w:sz="4" w:space="0" w:color="auto"/>
            </w:tcBorders>
            <w:shd w:val="clear" w:color="auto" w:fill="auto"/>
            <w:noWrap/>
          </w:tcPr>
          <w:p w14:paraId="325F8360" w14:textId="5C3C4B92" w:rsidR="00564139" w:rsidRPr="002E554D" w:rsidRDefault="00564139" w:rsidP="0056413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-3.023</w:t>
            </w:r>
          </w:p>
        </w:tc>
        <w:tc>
          <w:tcPr>
            <w:tcW w:w="470" w:type="pct"/>
            <w:shd w:val="clear" w:color="auto" w:fill="auto"/>
            <w:noWrap/>
          </w:tcPr>
          <w:p w14:paraId="153FD9B6" w14:textId="057697E0"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-2.371</w:t>
            </w:r>
          </w:p>
        </w:tc>
        <w:tc>
          <w:tcPr>
            <w:tcW w:w="518" w:type="pct"/>
            <w:tcBorders>
              <w:right w:val="single" w:sz="4" w:space="0" w:color="auto"/>
            </w:tcBorders>
            <w:shd w:val="clear" w:color="auto" w:fill="auto"/>
            <w:noWrap/>
          </w:tcPr>
          <w:p w14:paraId="4D8FDACE" w14:textId="5989416B"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-2.023</w:t>
            </w:r>
          </w:p>
        </w:tc>
        <w:tc>
          <w:tcPr>
            <w:tcW w:w="731" w:type="pct"/>
            <w:tcBorders>
              <w:left w:val="single" w:sz="4" w:space="0" w:color="auto"/>
              <w:right w:val="single" w:sz="4" w:space="0" w:color="auto"/>
            </w:tcBorders>
            <w:shd w:val="clear" w:color="auto" w:fill="auto"/>
            <w:noWrap/>
          </w:tcPr>
          <w:p w14:paraId="22C9F9D0" w14:textId="00FABE7E" w:rsidR="00564139" w:rsidRPr="002E554D" w:rsidRDefault="00564139" w:rsidP="0056413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-9.183***</w:t>
            </w:r>
          </w:p>
        </w:tc>
        <w:tc>
          <w:tcPr>
            <w:tcW w:w="469" w:type="pct"/>
            <w:tcBorders>
              <w:left w:val="single" w:sz="4" w:space="0" w:color="auto"/>
            </w:tcBorders>
            <w:shd w:val="clear" w:color="auto" w:fill="auto"/>
            <w:noWrap/>
          </w:tcPr>
          <w:p w14:paraId="39816665" w14:textId="450BDF78" w:rsidR="00564139" w:rsidRPr="002E554D" w:rsidRDefault="00564139" w:rsidP="0056413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-2.944</w:t>
            </w:r>
          </w:p>
        </w:tc>
        <w:tc>
          <w:tcPr>
            <w:tcW w:w="518" w:type="pct"/>
            <w:shd w:val="clear" w:color="auto" w:fill="auto"/>
            <w:noWrap/>
          </w:tcPr>
          <w:p w14:paraId="3442159F" w14:textId="61DE8346"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-2.288</w:t>
            </w:r>
          </w:p>
        </w:tc>
        <w:tc>
          <w:tcPr>
            <w:tcW w:w="469" w:type="pct"/>
            <w:tcBorders>
              <w:right w:val="single" w:sz="4" w:space="0" w:color="auto"/>
            </w:tcBorders>
            <w:shd w:val="clear" w:color="auto" w:fill="auto"/>
            <w:noWrap/>
          </w:tcPr>
          <w:p w14:paraId="664441F0" w14:textId="46CA8903"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-1.935</w:t>
            </w:r>
          </w:p>
        </w:tc>
      </w:tr>
      <w:tr w:rsidR="002E554D" w:rsidRPr="002E554D" w14:paraId="4C615F31" w14:textId="77777777" w:rsidTr="0032420F">
        <w:trPr>
          <w:trHeight w:val="300"/>
          <w:jc w:val="center"/>
        </w:trPr>
        <w:tc>
          <w:tcPr>
            <w:tcW w:w="625" w:type="pct"/>
            <w:tcBorders>
              <w:left w:val="single" w:sz="4" w:space="0" w:color="auto"/>
              <w:right w:val="single" w:sz="4" w:space="0" w:color="auto"/>
            </w:tcBorders>
            <w:shd w:val="clear" w:color="auto" w:fill="auto"/>
            <w:noWrap/>
            <w:vAlign w:val="bottom"/>
            <w:hideMark/>
          </w:tcPr>
          <w:p w14:paraId="69E80E43" w14:textId="7777777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31" w:type="pct"/>
            <w:tcBorders>
              <w:left w:val="single" w:sz="4" w:space="0" w:color="auto"/>
              <w:right w:val="single" w:sz="4" w:space="0" w:color="auto"/>
            </w:tcBorders>
            <w:shd w:val="clear" w:color="auto" w:fill="auto"/>
            <w:noWrap/>
          </w:tcPr>
          <w:p w14:paraId="06782258" w14:textId="608B686C" w:rsidR="00564139" w:rsidRPr="002E554D" w:rsidRDefault="00564139" w:rsidP="00564139">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-1.472</w:t>
            </w:r>
          </w:p>
        </w:tc>
        <w:tc>
          <w:tcPr>
            <w:tcW w:w="469" w:type="pct"/>
            <w:tcBorders>
              <w:left w:val="single" w:sz="4" w:space="0" w:color="auto"/>
            </w:tcBorders>
            <w:shd w:val="clear" w:color="auto" w:fill="auto"/>
            <w:noWrap/>
          </w:tcPr>
          <w:p w14:paraId="49CA4310" w14:textId="1967726A" w:rsidR="00564139" w:rsidRPr="002E554D" w:rsidRDefault="00564139" w:rsidP="0056413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-2.762</w:t>
            </w:r>
          </w:p>
        </w:tc>
        <w:tc>
          <w:tcPr>
            <w:tcW w:w="470" w:type="pct"/>
            <w:shd w:val="clear" w:color="auto" w:fill="auto"/>
            <w:noWrap/>
          </w:tcPr>
          <w:p w14:paraId="6F7BA662" w14:textId="14513E7C"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-2.090</w:t>
            </w:r>
          </w:p>
        </w:tc>
        <w:tc>
          <w:tcPr>
            <w:tcW w:w="518" w:type="pct"/>
            <w:tcBorders>
              <w:right w:val="single" w:sz="4" w:space="0" w:color="auto"/>
            </w:tcBorders>
            <w:shd w:val="clear" w:color="auto" w:fill="auto"/>
            <w:noWrap/>
          </w:tcPr>
          <w:p w14:paraId="75AAFB2E" w14:textId="4E4173DF"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-1.730</w:t>
            </w:r>
          </w:p>
        </w:tc>
        <w:tc>
          <w:tcPr>
            <w:tcW w:w="731" w:type="pct"/>
            <w:tcBorders>
              <w:left w:val="single" w:sz="4" w:space="0" w:color="auto"/>
              <w:right w:val="single" w:sz="4" w:space="0" w:color="auto"/>
            </w:tcBorders>
            <w:shd w:val="clear" w:color="auto" w:fill="auto"/>
            <w:noWrap/>
          </w:tcPr>
          <w:p w14:paraId="3B72FE09" w14:textId="1CCC8A70" w:rsidR="00564139" w:rsidRPr="002E554D" w:rsidRDefault="00564139" w:rsidP="00564139">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-8.573***</w:t>
            </w:r>
          </w:p>
        </w:tc>
        <w:tc>
          <w:tcPr>
            <w:tcW w:w="469" w:type="pct"/>
            <w:tcBorders>
              <w:left w:val="single" w:sz="4" w:space="0" w:color="auto"/>
            </w:tcBorders>
            <w:shd w:val="clear" w:color="auto" w:fill="auto"/>
            <w:noWrap/>
          </w:tcPr>
          <w:p w14:paraId="45886F85" w14:textId="573B1F2A" w:rsidR="00564139" w:rsidRPr="002E554D" w:rsidRDefault="00564139" w:rsidP="00564139">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-2.676</w:t>
            </w:r>
          </w:p>
        </w:tc>
        <w:tc>
          <w:tcPr>
            <w:tcW w:w="518" w:type="pct"/>
            <w:shd w:val="clear" w:color="auto" w:fill="auto"/>
            <w:noWrap/>
          </w:tcPr>
          <w:p w14:paraId="1E2B0966" w14:textId="0F0A7F27"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-2.003</w:t>
            </w:r>
          </w:p>
        </w:tc>
        <w:tc>
          <w:tcPr>
            <w:tcW w:w="469" w:type="pct"/>
            <w:tcBorders>
              <w:right w:val="single" w:sz="4" w:space="0" w:color="auto"/>
            </w:tcBorders>
            <w:shd w:val="clear" w:color="auto" w:fill="auto"/>
            <w:noWrap/>
          </w:tcPr>
          <w:p w14:paraId="74145DDA" w14:textId="7FE6D43C" w:rsidR="00564139" w:rsidRPr="002E554D" w:rsidRDefault="00564139" w:rsidP="00564139">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-1.643</w:t>
            </w:r>
          </w:p>
        </w:tc>
      </w:tr>
      <w:tr w:rsidR="002E554D" w:rsidRPr="002E554D" w14:paraId="143DA027" w14:textId="77777777" w:rsidTr="00CB6B3B">
        <w:trPr>
          <w:gridAfter w:val="4"/>
          <w:wAfter w:w="2188" w:type="pct"/>
          <w:trHeight w:val="300"/>
          <w:jc w:val="center"/>
        </w:trPr>
        <w:tc>
          <w:tcPr>
            <w:tcW w:w="625" w:type="pct"/>
            <w:tcBorders>
              <w:left w:val="single" w:sz="4" w:space="0" w:color="auto"/>
              <w:right w:val="single" w:sz="4" w:space="0" w:color="auto"/>
            </w:tcBorders>
            <w:shd w:val="clear" w:color="auto" w:fill="auto"/>
            <w:noWrap/>
            <w:vAlign w:val="bottom"/>
          </w:tcPr>
          <w:p w14:paraId="0ED1CD6A" w14:textId="77777777" w:rsidR="007922D9" w:rsidRPr="002E554D" w:rsidRDefault="007922D9" w:rsidP="00E546B1">
            <w:pPr>
              <w:spacing w:after="0" w:line="240" w:lineRule="auto"/>
              <w:jc w:val="center"/>
              <w:rPr>
                <w:rFonts w:ascii="Garamond" w:eastAsia="Times New Roman" w:hAnsi="Garamond" w:cs="Calibri"/>
                <w:color w:val="FF0000"/>
                <w:lang w:val="en-GB" w:eastAsia="en-GB"/>
              </w:rPr>
            </w:pPr>
          </w:p>
        </w:tc>
        <w:tc>
          <w:tcPr>
            <w:tcW w:w="2188" w:type="pct"/>
            <w:gridSpan w:val="4"/>
            <w:tcBorders>
              <w:left w:val="single" w:sz="4" w:space="0" w:color="auto"/>
              <w:right w:val="single" w:sz="4" w:space="0" w:color="auto"/>
            </w:tcBorders>
            <w:shd w:val="clear" w:color="auto" w:fill="auto"/>
            <w:noWrap/>
            <w:vAlign w:val="center"/>
          </w:tcPr>
          <w:p w14:paraId="21C22550" w14:textId="055141B9" w:rsidR="007922D9" w:rsidRPr="002E554D" w:rsidRDefault="007922D9">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NASDAQ</w:t>
            </w:r>
            <w:r w:rsidRPr="002E554D">
              <w:rPr>
                <w:rFonts w:ascii="Garamond" w:hAnsi="Garamond"/>
                <w:color w:val="FF0000"/>
              </w:rPr>
              <w:t xml:space="preserve"> </w:t>
            </w:r>
            <w:r w:rsidRPr="002E554D">
              <w:rPr>
                <w:rFonts w:ascii="Garamond" w:eastAsia="Times New Roman" w:hAnsi="Garamond" w:cs="Calibri"/>
                <w:b/>
                <w:bCs/>
                <w:color w:val="FF0000"/>
                <w:lang w:val="en-GB" w:eastAsia="en-GB"/>
              </w:rPr>
              <w:t>COMPOSITE</w:t>
            </w:r>
          </w:p>
        </w:tc>
      </w:tr>
      <w:tr w:rsidR="002E554D" w:rsidRPr="002E554D" w14:paraId="20E41C3D" w14:textId="77777777" w:rsidTr="00347EEB">
        <w:trPr>
          <w:gridAfter w:val="4"/>
          <w:wAfter w:w="2188" w:type="pct"/>
          <w:trHeight w:val="300"/>
          <w:jc w:val="center"/>
        </w:trPr>
        <w:tc>
          <w:tcPr>
            <w:tcW w:w="625" w:type="pct"/>
            <w:tcBorders>
              <w:left w:val="single" w:sz="4" w:space="0" w:color="auto"/>
              <w:right w:val="single" w:sz="4" w:space="0" w:color="auto"/>
            </w:tcBorders>
            <w:shd w:val="clear" w:color="auto" w:fill="auto"/>
            <w:noWrap/>
            <w:vAlign w:val="bottom"/>
            <w:hideMark/>
          </w:tcPr>
          <w:p w14:paraId="1B35C2F3" w14:textId="77777777"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731" w:type="pct"/>
            <w:tcBorders>
              <w:left w:val="single" w:sz="4" w:space="0" w:color="auto"/>
              <w:right w:val="single" w:sz="4" w:space="0" w:color="auto"/>
            </w:tcBorders>
            <w:shd w:val="clear" w:color="auto" w:fill="auto"/>
            <w:noWrap/>
          </w:tcPr>
          <w:p w14:paraId="7884A264" w14:textId="58B38DC7" w:rsidR="00A655E6" w:rsidRPr="002E554D" w:rsidRDefault="00A655E6" w:rsidP="00A655E6">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5.729</w:t>
            </w:r>
          </w:p>
        </w:tc>
        <w:tc>
          <w:tcPr>
            <w:tcW w:w="469" w:type="pct"/>
            <w:tcBorders>
              <w:left w:val="single" w:sz="4" w:space="0" w:color="auto"/>
            </w:tcBorders>
            <w:shd w:val="clear" w:color="auto" w:fill="auto"/>
            <w:noWrap/>
          </w:tcPr>
          <w:p w14:paraId="1356C66D" w14:textId="371BB04A"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-2.517</w:t>
            </w:r>
          </w:p>
        </w:tc>
        <w:tc>
          <w:tcPr>
            <w:tcW w:w="470" w:type="pct"/>
            <w:shd w:val="clear" w:color="auto" w:fill="auto"/>
            <w:noWrap/>
          </w:tcPr>
          <w:p w14:paraId="0306ECE3" w14:textId="069525F8"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-1.841</w:t>
            </w:r>
          </w:p>
        </w:tc>
        <w:tc>
          <w:tcPr>
            <w:tcW w:w="518" w:type="pct"/>
            <w:tcBorders>
              <w:right w:val="single" w:sz="4" w:space="0" w:color="auto"/>
            </w:tcBorders>
            <w:shd w:val="clear" w:color="auto" w:fill="auto"/>
            <w:noWrap/>
          </w:tcPr>
          <w:p w14:paraId="3BBA772A" w14:textId="44EF0EEB"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-1.481</w:t>
            </w:r>
          </w:p>
        </w:tc>
      </w:tr>
      <w:tr w:rsidR="002E554D" w:rsidRPr="002E554D" w14:paraId="49294A3C" w14:textId="77777777" w:rsidTr="00347EEB">
        <w:trPr>
          <w:gridAfter w:val="4"/>
          <w:wAfter w:w="2188" w:type="pct"/>
          <w:trHeight w:val="300"/>
          <w:jc w:val="center"/>
        </w:trPr>
        <w:tc>
          <w:tcPr>
            <w:tcW w:w="625" w:type="pct"/>
            <w:tcBorders>
              <w:left w:val="single" w:sz="4" w:space="0" w:color="auto"/>
              <w:right w:val="single" w:sz="4" w:space="0" w:color="auto"/>
            </w:tcBorders>
            <w:shd w:val="clear" w:color="auto" w:fill="auto"/>
            <w:noWrap/>
            <w:vAlign w:val="bottom"/>
            <w:hideMark/>
          </w:tcPr>
          <w:p w14:paraId="6A1C07E8" w14:textId="77777777"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731" w:type="pct"/>
            <w:tcBorders>
              <w:left w:val="single" w:sz="4" w:space="0" w:color="auto"/>
              <w:right w:val="single" w:sz="4" w:space="0" w:color="auto"/>
            </w:tcBorders>
            <w:shd w:val="clear" w:color="auto" w:fill="auto"/>
            <w:noWrap/>
          </w:tcPr>
          <w:p w14:paraId="50682E84" w14:textId="2DEDCAB8" w:rsidR="00A655E6" w:rsidRPr="002E554D" w:rsidRDefault="00A655E6" w:rsidP="00A655E6">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4.803</w:t>
            </w:r>
          </w:p>
        </w:tc>
        <w:tc>
          <w:tcPr>
            <w:tcW w:w="469" w:type="pct"/>
            <w:tcBorders>
              <w:left w:val="single" w:sz="4" w:space="0" w:color="auto"/>
            </w:tcBorders>
            <w:shd w:val="clear" w:color="auto" w:fill="auto"/>
            <w:noWrap/>
          </w:tcPr>
          <w:p w14:paraId="47CD529F" w14:textId="4CED5EA9"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-2.435</w:t>
            </w:r>
          </w:p>
        </w:tc>
        <w:tc>
          <w:tcPr>
            <w:tcW w:w="470" w:type="pct"/>
            <w:shd w:val="clear" w:color="auto" w:fill="auto"/>
            <w:noWrap/>
          </w:tcPr>
          <w:p w14:paraId="2AE78158" w14:textId="687B4112"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-1.757</w:t>
            </w:r>
          </w:p>
        </w:tc>
        <w:tc>
          <w:tcPr>
            <w:tcW w:w="518" w:type="pct"/>
            <w:tcBorders>
              <w:right w:val="single" w:sz="4" w:space="0" w:color="auto"/>
            </w:tcBorders>
            <w:shd w:val="clear" w:color="auto" w:fill="auto"/>
            <w:noWrap/>
          </w:tcPr>
          <w:p w14:paraId="0E59CFCF" w14:textId="49E10B25"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-1.397</w:t>
            </w:r>
          </w:p>
        </w:tc>
      </w:tr>
      <w:tr w:rsidR="002E554D" w:rsidRPr="002E554D" w14:paraId="7CA7BD8D" w14:textId="77777777" w:rsidTr="00347EEB">
        <w:trPr>
          <w:gridAfter w:val="4"/>
          <w:wAfter w:w="2188" w:type="pct"/>
          <w:trHeight w:val="300"/>
          <w:jc w:val="center"/>
        </w:trPr>
        <w:tc>
          <w:tcPr>
            <w:tcW w:w="625" w:type="pct"/>
            <w:tcBorders>
              <w:left w:val="single" w:sz="4" w:space="0" w:color="auto"/>
              <w:right w:val="single" w:sz="4" w:space="0" w:color="auto"/>
            </w:tcBorders>
            <w:shd w:val="clear" w:color="auto" w:fill="auto"/>
            <w:noWrap/>
            <w:vAlign w:val="bottom"/>
            <w:hideMark/>
          </w:tcPr>
          <w:p w14:paraId="5011BCEF" w14:textId="77777777"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731" w:type="pct"/>
            <w:tcBorders>
              <w:left w:val="single" w:sz="4" w:space="0" w:color="auto"/>
              <w:right w:val="single" w:sz="4" w:space="0" w:color="auto"/>
            </w:tcBorders>
            <w:shd w:val="clear" w:color="auto" w:fill="auto"/>
            <w:noWrap/>
          </w:tcPr>
          <w:p w14:paraId="5389EE32" w14:textId="0880A53A" w:rsidR="00A655E6" w:rsidRPr="002E554D" w:rsidRDefault="00A655E6" w:rsidP="00A655E6">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3.576</w:t>
            </w:r>
          </w:p>
        </w:tc>
        <w:tc>
          <w:tcPr>
            <w:tcW w:w="469" w:type="pct"/>
            <w:tcBorders>
              <w:left w:val="single" w:sz="4" w:space="0" w:color="auto"/>
            </w:tcBorders>
            <w:shd w:val="clear" w:color="auto" w:fill="auto"/>
            <w:noWrap/>
          </w:tcPr>
          <w:p w14:paraId="6D83D80B" w14:textId="619A21A2"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-2.440</w:t>
            </w:r>
          </w:p>
        </w:tc>
        <w:tc>
          <w:tcPr>
            <w:tcW w:w="470" w:type="pct"/>
            <w:shd w:val="clear" w:color="auto" w:fill="auto"/>
            <w:noWrap/>
          </w:tcPr>
          <w:p w14:paraId="7603FCB4" w14:textId="066019FE"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-1.762</w:t>
            </w:r>
          </w:p>
        </w:tc>
        <w:tc>
          <w:tcPr>
            <w:tcW w:w="518" w:type="pct"/>
            <w:tcBorders>
              <w:right w:val="single" w:sz="4" w:space="0" w:color="auto"/>
            </w:tcBorders>
            <w:shd w:val="clear" w:color="auto" w:fill="auto"/>
            <w:noWrap/>
          </w:tcPr>
          <w:p w14:paraId="12027603" w14:textId="21890302"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-1.402</w:t>
            </w:r>
          </w:p>
        </w:tc>
      </w:tr>
      <w:tr w:rsidR="002E554D" w:rsidRPr="002E554D" w14:paraId="2E32879E" w14:textId="77777777" w:rsidTr="00347EEB">
        <w:trPr>
          <w:gridAfter w:val="4"/>
          <w:wAfter w:w="2188" w:type="pct"/>
          <w:trHeight w:val="300"/>
          <w:jc w:val="center"/>
        </w:trPr>
        <w:tc>
          <w:tcPr>
            <w:tcW w:w="625" w:type="pct"/>
            <w:tcBorders>
              <w:left w:val="single" w:sz="4" w:space="0" w:color="auto"/>
              <w:right w:val="single" w:sz="4" w:space="0" w:color="auto"/>
            </w:tcBorders>
            <w:shd w:val="clear" w:color="auto" w:fill="auto"/>
            <w:noWrap/>
            <w:vAlign w:val="bottom"/>
            <w:hideMark/>
          </w:tcPr>
          <w:p w14:paraId="4A1FB6DE" w14:textId="77777777"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731" w:type="pct"/>
            <w:tcBorders>
              <w:left w:val="single" w:sz="4" w:space="0" w:color="auto"/>
              <w:right w:val="single" w:sz="4" w:space="0" w:color="auto"/>
            </w:tcBorders>
            <w:shd w:val="clear" w:color="auto" w:fill="auto"/>
            <w:noWrap/>
          </w:tcPr>
          <w:p w14:paraId="3DB74B2D" w14:textId="197A8AD2" w:rsidR="00A655E6" w:rsidRPr="002E554D" w:rsidRDefault="00A655E6" w:rsidP="00A655E6">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1.139</w:t>
            </w:r>
          </w:p>
        </w:tc>
        <w:tc>
          <w:tcPr>
            <w:tcW w:w="469" w:type="pct"/>
            <w:tcBorders>
              <w:left w:val="single" w:sz="4" w:space="0" w:color="auto"/>
            </w:tcBorders>
            <w:shd w:val="clear" w:color="auto" w:fill="auto"/>
            <w:noWrap/>
          </w:tcPr>
          <w:p w14:paraId="3BCBBFBC" w14:textId="76A7B5C5"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-2.412</w:t>
            </w:r>
          </w:p>
        </w:tc>
        <w:tc>
          <w:tcPr>
            <w:tcW w:w="470" w:type="pct"/>
            <w:shd w:val="clear" w:color="auto" w:fill="auto"/>
            <w:noWrap/>
          </w:tcPr>
          <w:p w14:paraId="12876697" w14:textId="4DEB0DD9"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-1.733</w:t>
            </w:r>
          </w:p>
        </w:tc>
        <w:tc>
          <w:tcPr>
            <w:tcW w:w="518" w:type="pct"/>
            <w:tcBorders>
              <w:right w:val="single" w:sz="4" w:space="0" w:color="auto"/>
            </w:tcBorders>
            <w:shd w:val="clear" w:color="auto" w:fill="auto"/>
            <w:noWrap/>
          </w:tcPr>
          <w:p w14:paraId="6F7779C8" w14:textId="213A41F5"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-1.373</w:t>
            </w:r>
          </w:p>
        </w:tc>
      </w:tr>
      <w:tr w:rsidR="002E554D" w:rsidRPr="002E554D" w14:paraId="379FB08D" w14:textId="77777777" w:rsidTr="00347EEB">
        <w:trPr>
          <w:gridAfter w:val="4"/>
          <w:wAfter w:w="2188" w:type="pct"/>
          <w:trHeight w:val="300"/>
          <w:jc w:val="center"/>
        </w:trPr>
        <w:tc>
          <w:tcPr>
            <w:tcW w:w="625" w:type="pct"/>
            <w:tcBorders>
              <w:left w:val="single" w:sz="4" w:space="0" w:color="auto"/>
              <w:right w:val="single" w:sz="4" w:space="0" w:color="auto"/>
            </w:tcBorders>
            <w:shd w:val="clear" w:color="auto" w:fill="auto"/>
            <w:noWrap/>
            <w:vAlign w:val="bottom"/>
            <w:hideMark/>
          </w:tcPr>
          <w:p w14:paraId="63897A42" w14:textId="77777777"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731" w:type="pct"/>
            <w:tcBorders>
              <w:left w:val="single" w:sz="4" w:space="0" w:color="auto"/>
              <w:right w:val="single" w:sz="4" w:space="0" w:color="auto"/>
            </w:tcBorders>
            <w:shd w:val="clear" w:color="auto" w:fill="auto"/>
            <w:noWrap/>
          </w:tcPr>
          <w:p w14:paraId="2C242938" w14:textId="6D90BCED" w:rsidR="00A655E6" w:rsidRPr="002E554D" w:rsidRDefault="00A655E6" w:rsidP="00A655E6">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-0.776</w:t>
            </w:r>
          </w:p>
        </w:tc>
        <w:tc>
          <w:tcPr>
            <w:tcW w:w="469" w:type="pct"/>
            <w:tcBorders>
              <w:left w:val="single" w:sz="4" w:space="0" w:color="auto"/>
            </w:tcBorders>
            <w:shd w:val="clear" w:color="auto" w:fill="auto"/>
            <w:noWrap/>
          </w:tcPr>
          <w:p w14:paraId="024E0AC3" w14:textId="516FF1CB"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-2.418</w:t>
            </w:r>
          </w:p>
        </w:tc>
        <w:tc>
          <w:tcPr>
            <w:tcW w:w="470" w:type="pct"/>
            <w:shd w:val="clear" w:color="auto" w:fill="auto"/>
            <w:noWrap/>
          </w:tcPr>
          <w:p w14:paraId="06FF7DE9" w14:textId="4ED0094A"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-1.740</w:t>
            </w:r>
          </w:p>
        </w:tc>
        <w:tc>
          <w:tcPr>
            <w:tcW w:w="518" w:type="pct"/>
            <w:tcBorders>
              <w:right w:val="single" w:sz="4" w:space="0" w:color="auto"/>
            </w:tcBorders>
            <w:shd w:val="clear" w:color="auto" w:fill="auto"/>
            <w:noWrap/>
          </w:tcPr>
          <w:p w14:paraId="128E076D" w14:textId="2DD03EE4"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-1.380</w:t>
            </w:r>
          </w:p>
        </w:tc>
      </w:tr>
      <w:tr w:rsidR="002E554D" w:rsidRPr="002E554D" w14:paraId="2BDFE3B4" w14:textId="77777777" w:rsidTr="00347EEB">
        <w:trPr>
          <w:gridAfter w:val="4"/>
          <w:wAfter w:w="2188" w:type="pct"/>
          <w:trHeight w:val="300"/>
          <w:jc w:val="center"/>
        </w:trPr>
        <w:tc>
          <w:tcPr>
            <w:tcW w:w="625" w:type="pct"/>
            <w:tcBorders>
              <w:left w:val="single" w:sz="4" w:space="0" w:color="auto"/>
              <w:right w:val="single" w:sz="4" w:space="0" w:color="auto"/>
            </w:tcBorders>
            <w:shd w:val="clear" w:color="auto" w:fill="auto"/>
            <w:noWrap/>
            <w:vAlign w:val="bottom"/>
            <w:hideMark/>
          </w:tcPr>
          <w:p w14:paraId="0444F209" w14:textId="77777777"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731" w:type="pct"/>
            <w:tcBorders>
              <w:left w:val="single" w:sz="4" w:space="0" w:color="auto"/>
              <w:right w:val="single" w:sz="4" w:space="0" w:color="auto"/>
            </w:tcBorders>
            <w:shd w:val="clear" w:color="auto" w:fill="auto"/>
            <w:noWrap/>
          </w:tcPr>
          <w:p w14:paraId="6405EA75" w14:textId="556EEF60" w:rsidR="00A655E6" w:rsidRPr="002E554D" w:rsidRDefault="00A655E6" w:rsidP="00A655E6">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-3.301***</w:t>
            </w:r>
          </w:p>
        </w:tc>
        <w:tc>
          <w:tcPr>
            <w:tcW w:w="469" w:type="pct"/>
            <w:tcBorders>
              <w:left w:val="single" w:sz="4" w:space="0" w:color="auto"/>
            </w:tcBorders>
            <w:shd w:val="clear" w:color="auto" w:fill="auto"/>
            <w:noWrap/>
          </w:tcPr>
          <w:p w14:paraId="52006444" w14:textId="71F42206"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-2.400</w:t>
            </w:r>
          </w:p>
        </w:tc>
        <w:tc>
          <w:tcPr>
            <w:tcW w:w="470" w:type="pct"/>
            <w:shd w:val="clear" w:color="auto" w:fill="auto"/>
            <w:noWrap/>
          </w:tcPr>
          <w:p w14:paraId="741375C4" w14:textId="131D610A" w:rsidR="00A655E6" w:rsidRPr="002E554D" w:rsidRDefault="00A655E6" w:rsidP="00A655E6">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-1.721</w:t>
            </w:r>
          </w:p>
        </w:tc>
        <w:tc>
          <w:tcPr>
            <w:tcW w:w="518" w:type="pct"/>
            <w:tcBorders>
              <w:right w:val="single" w:sz="4" w:space="0" w:color="auto"/>
            </w:tcBorders>
            <w:shd w:val="clear" w:color="auto" w:fill="auto"/>
            <w:noWrap/>
          </w:tcPr>
          <w:p w14:paraId="2999E414" w14:textId="1CA4D1E8"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-1.361</w:t>
            </w:r>
          </w:p>
        </w:tc>
      </w:tr>
      <w:tr w:rsidR="002E554D" w:rsidRPr="002E554D" w14:paraId="1EC14853" w14:textId="77777777" w:rsidTr="00347EEB">
        <w:trPr>
          <w:gridAfter w:val="4"/>
          <w:wAfter w:w="2188" w:type="pct"/>
          <w:trHeight w:val="300"/>
          <w:jc w:val="center"/>
        </w:trPr>
        <w:tc>
          <w:tcPr>
            <w:tcW w:w="625" w:type="pct"/>
            <w:tcBorders>
              <w:left w:val="single" w:sz="4" w:space="0" w:color="auto"/>
              <w:right w:val="single" w:sz="4" w:space="0" w:color="auto"/>
            </w:tcBorders>
            <w:shd w:val="clear" w:color="auto" w:fill="auto"/>
            <w:noWrap/>
            <w:vAlign w:val="bottom"/>
            <w:hideMark/>
          </w:tcPr>
          <w:p w14:paraId="472F39F8" w14:textId="77777777"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731" w:type="pct"/>
            <w:tcBorders>
              <w:left w:val="single" w:sz="4" w:space="0" w:color="auto"/>
              <w:right w:val="single" w:sz="4" w:space="0" w:color="auto"/>
            </w:tcBorders>
            <w:shd w:val="clear" w:color="auto" w:fill="auto"/>
            <w:noWrap/>
          </w:tcPr>
          <w:p w14:paraId="79CFC72A" w14:textId="4A6D41FA" w:rsidR="00A655E6" w:rsidRPr="002E554D" w:rsidRDefault="00A655E6" w:rsidP="00A655E6">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-4.297***</w:t>
            </w:r>
          </w:p>
        </w:tc>
        <w:tc>
          <w:tcPr>
            <w:tcW w:w="469" w:type="pct"/>
            <w:tcBorders>
              <w:left w:val="single" w:sz="4" w:space="0" w:color="auto"/>
            </w:tcBorders>
            <w:shd w:val="clear" w:color="auto" w:fill="auto"/>
            <w:noWrap/>
          </w:tcPr>
          <w:p w14:paraId="3318A1ED" w14:textId="0FC11A66"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-2.364</w:t>
            </w:r>
          </w:p>
        </w:tc>
        <w:tc>
          <w:tcPr>
            <w:tcW w:w="470" w:type="pct"/>
            <w:shd w:val="clear" w:color="auto" w:fill="auto"/>
            <w:noWrap/>
          </w:tcPr>
          <w:p w14:paraId="5308CAC0" w14:textId="6F6975C0"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-1.685</w:t>
            </w:r>
          </w:p>
        </w:tc>
        <w:tc>
          <w:tcPr>
            <w:tcW w:w="518" w:type="pct"/>
            <w:tcBorders>
              <w:right w:val="single" w:sz="4" w:space="0" w:color="auto"/>
            </w:tcBorders>
            <w:shd w:val="clear" w:color="auto" w:fill="auto"/>
            <w:noWrap/>
          </w:tcPr>
          <w:p w14:paraId="135716CC" w14:textId="4A00F076"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-1.325</w:t>
            </w:r>
          </w:p>
        </w:tc>
      </w:tr>
      <w:tr w:rsidR="002E554D" w:rsidRPr="002E554D" w14:paraId="33C153C3" w14:textId="77777777" w:rsidTr="00347EEB">
        <w:trPr>
          <w:gridAfter w:val="4"/>
          <w:wAfter w:w="2188" w:type="pct"/>
          <w:trHeight w:val="300"/>
          <w:jc w:val="center"/>
        </w:trPr>
        <w:tc>
          <w:tcPr>
            <w:tcW w:w="625" w:type="pct"/>
            <w:tcBorders>
              <w:left w:val="single" w:sz="4" w:space="0" w:color="auto"/>
              <w:right w:val="single" w:sz="4" w:space="0" w:color="auto"/>
            </w:tcBorders>
            <w:shd w:val="clear" w:color="auto" w:fill="auto"/>
            <w:noWrap/>
            <w:vAlign w:val="bottom"/>
            <w:hideMark/>
          </w:tcPr>
          <w:p w14:paraId="78004BB3" w14:textId="77777777"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731" w:type="pct"/>
            <w:tcBorders>
              <w:left w:val="single" w:sz="4" w:space="0" w:color="auto"/>
              <w:right w:val="single" w:sz="4" w:space="0" w:color="auto"/>
            </w:tcBorders>
            <w:shd w:val="clear" w:color="auto" w:fill="auto"/>
            <w:noWrap/>
          </w:tcPr>
          <w:p w14:paraId="3E651108" w14:textId="1D9AC78B" w:rsidR="00A655E6" w:rsidRPr="002E554D" w:rsidRDefault="00A655E6" w:rsidP="00A655E6">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-5.854***</w:t>
            </w:r>
          </w:p>
        </w:tc>
        <w:tc>
          <w:tcPr>
            <w:tcW w:w="469" w:type="pct"/>
            <w:tcBorders>
              <w:left w:val="single" w:sz="4" w:space="0" w:color="auto"/>
            </w:tcBorders>
            <w:shd w:val="clear" w:color="auto" w:fill="auto"/>
            <w:noWrap/>
          </w:tcPr>
          <w:p w14:paraId="464B3540" w14:textId="6D2BDB77"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-2.480</w:t>
            </w:r>
          </w:p>
        </w:tc>
        <w:tc>
          <w:tcPr>
            <w:tcW w:w="470" w:type="pct"/>
            <w:shd w:val="clear" w:color="auto" w:fill="auto"/>
            <w:noWrap/>
          </w:tcPr>
          <w:p w14:paraId="4E46ADD1" w14:textId="036386CD"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-1.803</w:t>
            </w:r>
          </w:p>
        </w:tc>
        <w:tc>
          <w:tcPr>
            <w:tcW w:w="518" w:type="pct"/>
            <w:tcBorders>
              <w:right w:val="single" w:sz="4" w:space="0" w:color="auto"/>
            </w:tcBorders>
            <w:shd w:val="clear" w:color="auto" w:fill="auto"/>
            <w:noWrap/>
          </w:tcPr>
          <w:p w14:paraId="08871567" w14:textId="07D47D7F"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-1.443</w:t>
            </w:r>
          </w:p>
        </w:tc>
      </w:tr>
      <w:tr w:rsidR="002E554D" w:rsidRPr="002E554D" w14:paraId="33F5AC8E" w14:textId="77777777" w:rsidTr="00347EEB">
        <w:trPr>
          <w:gridAfter w:val="4"/>
          <w:wAfter w:w="2188" w:type="pct"/>
          <w:trHeight w:val="300"/>
          <w:jc w:val="center"/>
        </w:trPr>
        <w:tc>
          <w:tcPr>
            <w:tcW w:w="625" w:type="pct"/>
            <w:tcBorders>
              <w:left w:val="single" w:sz="4" w:space="0" w:color="auto"/>
              <w:right w:val="single" w:sz="4" w:space="0" w:color="auto"/>
            </w:tcBorders>
            <w:shd w:val="clear" w:color="auto" w:fill="auto"/>
            <w:noWrap/>
            <w:vAlign w:val="bottom"/>
            <w:hideMark/>
          </w:tcPr>
          <w:p w14:paraId="1AB7418D" w14:textId="77777777"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731" w:type="pct"/>
            <w:tcBorders>
              <w:left w:val="single" w:sz="4" w:space="0" w:color="auto"/>
              <w:right w:val="single" w:sz="4" w:space="0" w:color="auto"/>
            </w:tcBorders>
            <w:shd w:val="clear" w:color="auto" w:fill="auto"/>
            <w:noWrap/>
          </w:tcPr>
          <w:p w14:paraId="035A6C4F" w14:textId="303B8E45" w:rsidR="00A655E6" w:rsidRPr="002E554D" w:rsidRDefault="00A655E6" w:rsidP="00A655E6">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-7.301***</w:t>
            </w:r>
          </w:p>
        </w:tc>
        <w:tc>
          <w:tcPr>
            <w:tcW w:w="469" w:type="pct"/>
            <w:tcBorders>
              <w:left w:val="single" w:sz="4" w:space="0" w:color="auto"/>
            </w:tcBorders>
            <w:shd w:val="clear" w:color="auto" w:fill="auto"/>
            <w:noWrap/>
          </w:tcPr>
          <w:p w14:paraId="3EF9BB03" w14:textId="5ADAF4FD"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-2.387</w:t>
            </w:r>
          </w:p>
        </w:tc>
        <w:tc>
          <w:tcPr>
            <w:tcW w:w="470" w:type="pct"/>
            <w:shd w:val="clear" w:color="auto" w:fill="auto"/>
            <w:noWrap/>
          </w:tcPr>
          <w:p w14:paraId="0D88314B" w14:textId="10997FE5"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-1.708</w:t>
            </w:r>
          </w:p>
        </w:tc>
        <w:tc>
          <w:tcPr>
            <w:tcW w:w="518" w:type="pct"/>
            <w:tcBorders>
              <w:right w:val="single" w:sz="4" w:space="0" w:color="auto"/>
            </w:tcBorders>
            <w:shd w:val="clear" w:color="auto" w:fill="auto"/>
            <w:noWrap/>
          </w:tcPr>
          <w:p w14:paraId="3CD7BD7F" w14:textId="13DDE87E" w:rsidR="00A655E6" w:rsidRPr="002E554D" w:rsidRDefault="00A655E6" w:rsidP="00A655E6">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-1.348</w:t>
            </w:r>
          </w:p>
        </w:tc>
      </w:tr>
    </w:tbl>
    <w:p w14:paraId="6EBCBC29" w14:textId="61A572E5" w:rsidR="00E57EF0" w:rsidRDefault="00E57EF0" w:rsidP="004309C7">
      <w:pPr>
        <w:pStyle w:val="NoSpacing"/>
        <w:spacing w:line="480" w:lineRule="auto"/>
        <w:ind w:firstLine="708"/>
        <w:rPr>
          <w:rFonts w:ascii="Garamond" w:hAnsi="Garamond"/>
          <w:sz w:val="24"/>
          <w:szCs w:val="24"/>
        </w:rPr>
      </w:pPr>
    </w:p>
    <w:p w14:paraId="2335A272" w14:textId="77777777" w:rsidR="00F4118B" w:rsidRDefault="00F4118B" w:rsidP="004309C7">
      <w:pPr>
        <w:pStyle w:val="NoSpacing"/>
        <w:spacing w:line="480" w:lineRule="auto"/>
        <w:ind w:firstLine="708"/>
        <w:rPr>
          <w:rFonts w:ascii="Garamond" w:hAnsi="Garamond"/>
          <w:sz w:val="24"/>
          <w:szCs w:val="24"/>
        </w:rPr>
      </w:pPr>
    </w:p>
    <w:p w14:paraId="307C27BC" w14:textId="25014769" w:rsidR="00BB727E" w:rsidRPr="009E00D2" w:rsidRDefault="00FA1105" w:rsidP="00697353">
      <w:pPr>
        <w:pStyle w:val="NoSpacing"/>
        <w:spacing w:line="480" w:lineRule="auto"/>
        <w:rPr>
          <w:rFonts w:ascii="Garamond" w:hAnsi="Garamond"/>
          <w:i/>
          <w:iCs/>
          <w:sz w:val="24"/>
          <w:szCs w:val="24"/>
        </w:rPr>
      </w:pPr>
      <w:r w:rsidRPr="009E00D2">
        <w:rPr>
          <w:rFonts w:ascii="Garamond" w:hAnsi="Garamond"/>
          <w:i/>
          <w:iCs/>
          <w:sz w:val="24"/>
          <w:szCs w:val="24"/>
        </w:rPr>
        <w:lastRenderedPageBreak/>
        <w:t xml:space="preserve">3.3. Benchmark </w:t>
      </w:r>
      <w:proofErr w:type="gramStart"/>
      <w:r w:rsidRPr="009E00D2">
        <w:rPr>
          <w:rFonts w:ascii="Garamond" w:hAnsi="Garamond"/>
          <w:i/>
          <w:iCs/>
          <w:sz w:val="24"/>
          <w:szCs w:val="24"/>
        </w:rPr>
        <w:t>10 year</w:t>
      </w:r>
      <w:proofErr w:type="gramEnd"/>
      <w:r w:rsidRPr="009E00D2">
        <w:rPr>
          <w:rFonts w:ascii="Garamond" w:hAnsi="Garamond"/>
          <w:i/>
          <w:iCs/>
          <w:sz w:val="24"/>
          <w:szCs w:val="24"/>
        </w:rPr>
        <w:t xml:space="preserve"> bonds</w:t>
      </w:r>
    </w:p>
    <w:p w14:paraId="7F8F5CD3" w14:textId="6823159E" w:rsidR="009F64B9" w:rsidRPr="009E00D2" w:rsidRDefault="00BB727E" w:rsidP="00F4118B">
      <w:pPr>
        <w:pStyle w:val="NoSpacing"/>
        <w:spacing w:line="480" w:lineRule="auto"/>
        <w:jc w:val="both"/>
        <w:rPr>
          <w:rFonts w:ascii="Garamond" w:hAnsi="Garamond"/>
          <w:sz w:val="24"/>
          <w:szCs w:val="24"/>
        </w:rPr>
      </w:pPr>
      <w:r>
        <w:rPr>
          <w:rFonts w:ascii="Garamond" w:hAnsi="Garamond"/>
          <w:sz w:val="24"/>
          <w:szCs w:val="24"/>
        </w:rPr>
        <w:t xml:space="preserve">Our sample covers </w:t>
      </w:r>
      <w:r w:rsidR="009F64B9" w:rsidRPr="009E00D2">
        <w:rPr>
          <w:rFonts w:ascii="Garamond" w:hAnsi="Garamond"/>
          <w:sz w:val="24"/>
          <w:szCs w:val="24"/>
        </w:rPr>
        <w:t xml:space="preserve">10-year treasury bonds issued by Germany, USA, </w:t>
      </w:r>
      <w:proofErr w:type="gramStart"/>
      <w:r w:rsidR="009F64B9" w:rsidRPr="009E00D2">
        <w:rPr>
          <w:rFonts w:ascii="Garamond" w:hAnsi="Garamond"/>
          <w:sz w:val="24"/>
          <w:szCs w:val="24"/>
        </w:rPr>
        <w:t>France</w:t>
      </w:r>
      <w:proofErr w:type="gramEnd"/>
      <w:r w:rsidR="009F64B9" w:rsidRPr="009E00D2">
        <w:rPr>
          <w:rFonts w:ascii="Garamond" w:hAnsi="Garamond"/>
          <w:sz w:val="24"/>
          <w:szCs w:val="24"/>
        </w:rPr>
        <w:t xml:space="preserve"> and UK.</w:t>
      </w:r>
      <w:r w:rsidR="00B2291F" w:rsidRPr="009E00D2">
        <w:rPr>
          <w:rFonts w:ascii="Garamond" w:hAnsi="Garamond"/>
        </w:rPr>
        <w:t xml:space="preserve"> </w:t>
      </w:r>
      <w:r w:rsidR="00B2291F" w:rsidRPr="009E00D2">
        <w:rPr>
          <w:rFonts w:ascii="Garamond" w:hAnsi="Garamond"/>
          <w:sz w:val="24"/>
          <w:szCs w:val="24"/>
        </w:rPr>
        <w:t xml:space="preserve">The pandemic bottom dates for all four bonds are very close, i.e., – 18/03/2020 for the US and French bonds, and on the next day for the German and UK government bonds. </w:t>
      </w:r>
      <w:r w:rsidR="009F64B9" w:rsidRPr="009E00D2">
        <w:rPr>
          <w:rFonts w:ascii="Garamond" w:hAnsi="Garamond"/>
          <w:sz w:val="24"/>
          <w:szCs w:val="24"/>
        </w:rPr>
        <w:t xml:space="preserve"> One observes that for this category, the drop in prices remains rather capped between 5.</w:t>
      </w:r>
      <w:r w:rsidR="00736F4A" w:rsidRPr="009E00D2">
        <w:rPr>
          <w:rFonts w:ascii="Garamond" w:hAnsi="Garamond"/>
          <w:sz w:val="24"/>
          <w:szCs w:val="24"/>
        </w:rPr>
        <w:t>6</w:t>
      </w:r>
      <w:r w:rsidR="009F64B9" w:rsidRPr="009E00D2">
        <w:rPr>
          <w:rFonts w:ascii="Garamond" w:hAnsi="Garamond"/>
          <w:sz w:val="24"/>
          <w:szCs w:val="24"/>
        </w:rPr>
        <w:t xml:space="preserve"> and 6.5% of the highest value in 2020. While the UK bonds suffer the least decline (5.55%), German ones lose the maximum value among the lot (6.48%). Recovery rates remain low too, ranging between 10</w:t>
      </w:r>
      <w:r w:rsidR="00CA0D80" w:rsidRPr="009E00D2">
        <w:rPr>
          <w:rFonts w:ascii="Garamond" w:hAnsi="Garamond"/>
          <w:sz w:val="24"/>
          <w:szCs w:val="24"/>
        </w:rPr>
        <w:t>3.65</w:t>
      </w:r>
      <w:r w:rsidR="009F64B9" w:rsidRPr="009E00D2">
        <w:rPr>
          <w:rFonts w:ascii="Garamond" w:hAnsi="Garamond"/>
          <w:sz w:val="24"/>
          <w:szCs w:val="24"/>
        </w:rPr>
        <w:t xml:space="preserve">% (German) and 105.96% (US). This seems to suggest that while German bonds demonstrate the highest value decline and poorest recovery after the pandemic bottom day, US bonds not only react less negatively to the shock, but also end up </w:t>
      </w:r>
      <w:r w:rsidR="00AE1382" w:rsidRPr="009E00D2">
        <w:rPr>
          <w:rFonts w:ascii="Garamond" w:hAnsi="Garamond"/>
          <w:sz w:val="24"/>
          <w:szCs w:val="24"/>
        </w:rPr>
        <w:t xml:space="preserve">reaching </w:t>
      </w:r>
      <w:r w:rsidR="009F64B9" w:rsidRPr="009E00D2">
        <w:rPr>
          <w:rFonts w:ascii="Garamond" w:hAnsi="Garamond"/>
          <w:sz w:val="24"/>
          <w:szCs w:val="24"/>
        </w:rPr>
        <w:t>their highest 2020 value post-COVID.</w:t>
      </w:r>
    </w:p>
    <w:p w14:paraId="39E8F4FA" w14:textId="77777777" w:rsidR="009F64B9" w:rsidRPr="009E00D2" w:rsidRDefault="009F64B9" w:rsidP="009F64B9">
      <w:pPr>
        <w:pStyle w:val="NoSpacing"/>
        <w:spacing w:line="480" w:lineRule="auto"/>
        <w:ind w:firstLine="708"/>
        <w:jc w:val="both"/>
        <w:rPr>
          <w:rFonts w:ascii="Garamond" w:hAnsi="Garamond"/>
          <w:sz w:val="24"/>
          <w:szCs w:val="24"/>
        </w:rPr>
      </w:pPr>
      <w:r w:rsidRPr="009E00D2">
        <w:rPr>
          <w:rFonts w:ascii="Garamond" w:hAnsi="Garamond"/>
          <w:sz w:val="24"/>
          <w:szCs w:val="24"/>
        </w:rPr>
        <w:t xml:space="preserve">As a broad category, 10-year Treasury bonds represent safety, lower reactivity to the crisis and reasonable rates of recovery post-crisis. </w:t>
      </w:r>
    </w:p>
    <w:p w14:paraId="500D7470" w14:textId="77777777" w:rsidR="00C12973" w:rsidRPr="009E00D2" w:rsidRDefault="00C12973" w:rsidP="00697353">
      <w:pPr>
        <w:pStyle w:val="NoSpacing"/>
        <w:spacing w:line="480" w:lineRule="auto"/>
        <w:rPr>
          <w:rFonts w:ascii="Garamond" w:hAnsi="Garamond"/>
          <w:sz w:val="24"/>
          <w:szCs w:val="24"/>
        </w:rPr>
      </w:pPr>
    </w:p>
    <w:p w14:paraId="660310E0" w14:textId="32E66539" w:rsidR="00FA1105" w:rsidRPr="009E00D2" w:rsidRDefault="001A56AB" w:rsidP="00512338">
      <w:pPr>
        <w:pStyle w:val="NoSpacing"/>
        <w:spacing w:line="480" w:lineRule="auto"/>
        <w:jc w:val="center"/>
        <w:rPr>
          <w:rFonts w:ascii="Garamond" w:hAnsi="Garamond"/>
          <w:sz w:val="24"/>
          <w:szCs w:val="24"/>
        </w:rPr>
      </w:pPr>
      <w:r w:rsidRPr="009E00D2">
        <w:rPr>
          <w:rFonts w:ascii="Garamond" w:hAnsi="Garamond"/>
          <w:noProof/>
          <w:lang w:val="fr-FR" w:eastAsia="fr-FR"/>
        </w:rPr>
        <w:drawing>
          <wp:inline distT="0" distB="0" distL="0" distR="0" wp14:anchorId="4BC60BCE" wp14:editId="476F6F9F">
            <wp:extent cx="4572000" cy="2743200"/>
            <wp:effectExtent l="0" t="0" r="0" b="0"/>
            <wp:docPr id="10" name="Chart 10">
              <a:extLst xmlns:a="http://schemas.openxmlformats.org/drawingml/2006/main">
                <a:ext uri="{FF2B5EF4-FFF2-40B4-BE49-F238E27FC236}">
                  <a16:creationId xmlns:a16="http://schemas.microsoft.com/office/drawing/2014/main" id="{BC72716D-9A06-41B3-A240-0C4CFB9462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ED3E76" w14:textId="765D5587" w:rsidR="00512338" w:rsidRPr="009E00D2" w:rsidRDefault="00512338" w:rsidP="00E036A9">
      <w:pPr>
        <w:pStyle w:val="NoSpacing"/>
        <w:spacing w:line="276" w:lineRule="auto"/>
        <w:rPr>
          <w:rFonts w:ascii="Garamond" w:eastAsia="Times New Roman" w:hAnsi="Garamond" w:cs="Calibri"/>
          <w:b/>
          <w:bCs/>
          <w:sz w:val="24"/>
          <w:szCs w:val="24"/>
          <w:lang w:eastAsia="en-GB"/>
        </w:rPr>
      </w:pPr>
      <w:r w:rsidRPr="00265FA7">
        <w:rPr>
          <w:rFonts w:ascii="Garamond" w:hAnsi="Garamond"/>
          <w:b/>
          <w:bCs/>
          <w:sz w:val="24"/>
          <w:szCs w:val="24"/>
          <w:highlight w:val="yellow"/>
        </w:rPr>
        <w:t>Fig.</w:t>
      </w:r>
      <w:r w:rsidR="00265FA7" w:rsidRPr="00265FA7">
        <w:rPr>
          <w:rFonts w:ascii="Garamond" w:hAnsi="Garamond"/>
          <w:b/>
          <w:bCs/>
          <w:sz w:val="24"/>
          <w:szCs w:val="24"/>
          <w:highlight w:val="yellow"/>
        </w:rPr>
        <w:t>3</w:t>
      </w:r>
      <w:r w:rsidRPr="00265FA7">
        <w:rPr>
          <w:rFonts w:ascii="Garamond" w:hAnsi="Garamond"/>
          <w:b/>
          <w:bCs/>
          <w:sz w:val="24"/>
          <w:szCs w:val="24"/>
          <w:highlight w:val="yellow"/>
        </w:rPr>
        <w:t xml:space="preserve">. </w:t>
      </w:r>
      <w:r w:rsidRPr="00265FA7">
        <w:rPr>
          <w:rFonts w:ascii="Garamond" w:eastAsia="Times New Roman" w:hAnsi="Garamond" w:cs="Calibri"/>
          <w:b/>
          <w:bCs/>
          <w:sz w:val="24"/>
          <w:szCs w:val="24"/>
          <w:highlight w:val="yellow"/>
          <w:lang w:eastAsia="en-GB"/>
        </w:rPr>
        <w:t>Losses</w:t>
      </w:r>
      <w:r w:rsidRPr="009E00D2">
        <w:rPr>
          <w:rFonts w:ascii="Garamond" w:eastAsia="Times New Roman" w:hAnsi="Garamond" w:cs="Calibri"/>
          <w:b/>
          <w:bCs/>
          <w:sz w:val="24"/>
          <w:szCs w:val="24"/>
          <w:lang w:eastAsia="en-GB"/>
        </w:rPr>
        <w:t xml:space="preserve"> and gains in the prices of the selected benchmark 10 y. government bonds, sorted by losses, %</w:t>
      </w:r>
      <w:r w:rsidR="00E036A9" w:rsidRPr="009E00D2">
        <w:rPr>
          <w:rFonts w:ascii="Garamond" w:eastAsia="Times New Roman" w:hAnsi="Garamond" w:cs="Calibri"/>
          <w:b/>
          <w:bCs/>
          <w:sz w:val="24"/>
          <w:szCs w:val="24"/>
          <w:lang w:eastAsia="en-GB"/>
        </w:rPr>
        <w:t>.</w:t>
      </w:r>
    </w:p>
    <w:p w14:paraId="3A2F4769" w14:textId="77777777" w:rsidR="00E036A9" w:rsidRPr="009E00D2" w:rsidRDefault="00E036A9" w:rsidP="00E036A9">
      <w:pPr>
        <w:pStyle w:val="NoSpacing"/>
        <w:spacing w:line="276" w:lineRule="auto"/>
        <w:rPr>
          <w:rFonts w:ascii="Garamond" w:hAnsi="Garamond"/>
          <w:sz w:val="24"/>
          <w:szCs w:val="24"/>
          <w:lang w:val="en-GB"/>
        </w:rPr>
      </w:pPr>
      <w:r w:rsidRPr="009E00D2">
        <w:rPr>
          <w:rFonts w:ascii="Garamond" w:hAnsi="Garamond"/>
          <w:sz w:val="24"/>
          <w:szCs w:val="24"/>
          <w:lang w:val="en-GB"/>
        </w:rPr>
        <w:t xml:space="preserve">The losses represent the pandemic bottom value relatively the maximum values in 2020. Gains are the increases relatively to the pandemic bottom values. </w:t>
      </w:r>
    </w:p>
    <w:p w14:paraId="05F59A5B" w14:textId="77777777" w:rsidR="00E036A9" w:rsidRPr="009E00D2" w:rsidRDefault="00E036A9" w:rsidP="00512338">
      <w:pPr>
        <w:pStyle w:val="NoSpacing"/>
        <w:spacing w:line="480" w:lineRule="auto"/>
        <w:rPr>
          <w:rFonts w:ascii="Garamond" w:eastAsia="Times New Roman" w:hAnsi="Garamond" w:cs="Calibri"/>
          <w:b/>
          <w:bCs/>
          <w:sz w:val="24"/>
          <w:szCs w:val="24"/>
          <w:lang w:val="en-GB" w:eastAsia="en-GB"/>
        </w:rPr>
      </w:pPr>
    </w:p>
    <w:p w14:paraId="27CEF095" w14:textId="26877BF9" w:rsidR="00E97EFB" w:rsidRDefault="00A308B1" w:rsidP="00E97EFB">
      <w:pPr>
        <w:pStyle w:val="NoSpacing"/>
        <w:spacing w:line="480" w:lineRule="auto"/>
        <w:ind w:firstLine="708"/>
        <w:jc w:val="both"/>
        <w:rPr>
          <w:rFonts w:ascii="Garamond" w:eastAsia="Times New Roman" w:hAnsi="Garamond" w:cs="Calibri"/>
          <w:sz w:val="24"/>
          <w:szCs w:val="24"/>
          <w:lang w:eastAsia="en-GB"/>
        </w:rPr>
      </w:pPr>
      <w:r w:rsidRPr="00DB74CB">
        <w:rPr>
          <w:rFonts w:ascii="Garamond" w:eastAsia="Times New Roman" w:hAnsi="Garamond" w:cs="Calibri"/>
          <w:sz w:val="24"/>
          <w:szCs w:val="24"/>
          <w:lang w:eastAsia="en-GB"/>
        </w:rPr>
        <w:lastRenderedPageBreak/>
        <w:t xml:space="preserve">Mean reversion </w:t>
      </w:r>
      <w:r w:rsidR="00AE1382" w:rsidRPr="00DB74CB">
        <w:rPr>
          <w:rFonts w:ascii="Garamond" w:eastAsia="Times New Roman" w:hAnsi="Garamond" w:cs="Calibri"/>
          <w:sz w:val="24"/>
          <w:szCs w:val="24"/>
          <w:lang w:eastAsia="en-GB"/>
        </w:rPr>
        <w:t xml:space="preserve">test results for </w:t>
      </w:r>
      <w:r w:rsidRPr="00DB74CB">
        <w:rPr>
          <w:rFonts w:ascii="Garamond" w:eastAsia="Times New Roman" w:hAnsi="Garamond" w:cs="Calibri"/>
          <w:sz w:val="24"/>
          <w:szCs w:val="24"/>
          <w:lang w:eastAsia="en-GB"/>
        </w:rPr>
        <w:t xml:space="preserve">bonds </w:t>
      </w:r>
      <w:r w:rsidR="00AE1382" w:rsidRPr="00DB74CB">
        <w:rPr>
          <w:rFonts w:ascii="Garamond" w:eastAsia="Times New Roman" w:hAnsi="Garamond" w:cs="Calibri"/>
          <w:sz w:val="24"/>
          <w:szCs w:val="24"/>
          <w:lang w:eastAsia="en-GB"/>
        </w:rPr>
        <w:t>are</w:t>
      </w:r>
      <w:r w:rsidRPr="00DB74CB">
        <w:rPr>
          <w:rFonts w:ascii="Garamond" w:eastAsia="Times New Roman" w:hAnsi="Garamond" w:cs="Calibri"/>
          <w:sz w:val="24"/>
          <w:szCs w:val="24"/>
          <w:lang w:eastAsia="en-GB"/>
        </w:rPr>
        <w:t xml:space="preserve"> presented in the table below</w:t>
      </w:r>
      <w:r w:rsidR="00C43EA6" w:rsidRPr="00DB74CB">
        <w:rPr>
          <w:rFonts w:ascii="Garamond" w:eastAsia="Times New Roman" w:hAnsi="Garamond" w:cs="Calibri"/>
          <w:sz w:val="24"/>
          <w:szCs w:val="24"/>
          <w:lang w:eastAsia="en-GB"/>
        </w:rPr>
        <w:t xml:space="preserve"> (see Table</w:t>
      </w:r>
      <w:r w:rsidR="00563E28" w:rsidRPr="00DB74CB">
        <w:rPr>
          <w:rFonts w:ascii="Garamond" w:eastAsia="Times New Roman" w:hAnsi="Garamond" w:cs="Calibri"/>
          <w:sz w:val="24"/>
          <w:szCs w:val="24"/>
          <w:lang w:eastAsia="en-GB"/>
        </w:rPr>
        <w:t xml:space="preserve"> 4;</w:t>
      </w:r>
      <w:r w:rsidR="00563E28" w:rsidRPr="00DB74CB">
        <w:rPr>
          <w:rFonts w:ascii="Garamond" w:hAnsi="Garamond"/>
        </w:rPr>
        <w:t xml:space="preserve"> the </w:t>
      </w:r>
      <w:proofErr w:type="spellStart"/>
      <w:r w:rsidR="00563E28" w:rsidRPr="00DB74CB">
        <w:rPr>
          <w:rFonts w:ascii="Garamond" w:eastAsia="Times New Roman" w:hAnsi="Garamond" w:cs="Calibri"/>
          <w:sz w:val="24"/>
          <w:szCs w:val="24"/>
          <w:lang w:eastAsia="en-GB"/>
        </w:rPr>
        <w:t>Koenker</w:t>
      </w:r>
      <w:proofErr w:type="spellEnd"/>
      <w:r w:rsidR="00563E28" w:rsidRPr="00DB74CB">
        <w:rPr>
          <w:rFonts w:ascii="Garamond" w:eastAsia="Times New Roman" w:hAnsi="Garamond" w:cs="Calibri"/>
          <w:sz w:val="24"/>
          <w:szCs w:val="24"/>
          <w:lang w:eastAsia="en-GB"/>
        </w:rPr>
        <w:t xml:space="preserve"> </w:t>
      </w:r>
      <w:r w:rsidR="00EB70F3" w:rsidRPr="00DB74CB">
        <w:rPr>
          <w:rFonts w:ascii="Garamond" w:eastAsia="Times New Roman" w:hAnsi="Garamond" w:cs="Calibri"/>
          <w:sz w:val="24"/>
          <w:szCs w:val="24"/>
          <w:lang w:eastAsia="en-GB"/>
        </w:rPr>
        <w:t>&amp;</w:t>
      </w:r>
      <w:r w:rsidR="00563E28" w:rsidRPr="00DB74CB">
        <w:rPr>
          <w:rFonts w:ascii="Garamond" w:eastAsia="Times New Roman" w:hAnsi="Garamond" w:cs="Calibri"/>
          <w:sz w:val="24"/>
          <w:szCs w:val="24"/>
          <w:lang w:eastAsia="en-GB"/>
        </w:rPr>
        <w:t xml:space="preserve"> Xiao </w:t>
      </w:r>
      <w:r w:rsidR="00EB70F3" w:rsidRPr="00DB74CB">
        <w:rPr>
          <w:rFonts w:ascii="Garamond" w:eastAsia="Times New Roman" w:hAnsi="Garamond" w:cs="Calibri"/>
          <w:sz w:val="24"/>
          <w:szCs w:val="24"/>
          <w:lang w:eastAsia="en-GB"/>
        </w:rPr>
        <w:t>(</w:t>
      </w:r>
      <w:r w:rsidR="00563E28" w:rsidRPr="00DB74CB">
        <w:rPr>
          <w:rFonts w:ascii="Garamond" w:eastAsia="Times New Roman" w:hAnsi="Garamond" w:cs="Calibri"/>
          <w:sz w:val="24"/>
          <w:szCs w:val="24"/>
          <w:lang w:eastAsia="en-GB"/>
        </w:rPr>
        <w:t>2004</w:t>
      </w:r>
      <w:r w:rsidR="00EB70F3" w:rsidRPr="00DB74CB">
        <w:rPr>
          <w:rFonts w:ascii="Garamond" w:eastAsia="Times New Roman" w:hAnsi="Garamond" w:cs="Calibri"/>
          <w:sz w:val="24"/>
          <w:szCs w:val="24"/>
          <w:lang w:eastAsia="en-GB"/>
        </w:rPr>
        <w:t>)</w:t>
      </w:r>
      <w:r w:rsidR="00563E28" w:rsidRPr="00DB74CB">
        <w:rPr>
          <w:rFonts w:ascii="Garamond" w:eastAsia="Times New Roman" w:hAnsi="Garamond" w:cs="Calibri"/>
          <w:sz w:val="24"/>
          <w:szCs w:val="24"/>
          <w:lang w:eastAsia="en-GB"/>
        </w:rPr>
        <w:t xml:space="preserve"> test results are presented in Table A7 in Appendix</w:t>
      </w:r>
      <w:r w:rsidR="00C43EA6" w:rsidRPr="00DB74CB">
        <w:rPr>
          <w:rFonts w:ascii="Garamond" w:eastAsia="Times New Roman" w:hAnsi="Garamond" w:cs="Calibri"/>
          <w:sz w:val="24"/>
          <w:szCs w:val="24"/>
          <w:lang w:eastAsia="en-GB"/>
        </w:rPr>
        <w:t xml:space="preserve">). </w:t>
      </w:r>
      <w:r w:rsidR="00AE1382" w:rsidRPr="00DB74CB">
        <w:rPr>
          <w:rFonts w:ascii="Garamond" w:eastAsia="Times New Roman" w:hAnsi="Garamond" w:cs="Calibri"/>
          <w:sz w:val="24"/>
          <w:szCs w:val="24"/>
          <w:lang w:eastAsia="en-GB"/>
        </w:rPr>
        <w:t>A bird’s eye view on the overall results suggests high persistence and the possibility for mean reversion only in very low quantile</w:t>
      </w:r>
      <w:r w:rsidR="003B64F9">
        <w:rPr>
          <w:rFonts w:ascii="Garamond" w:eastAsia="Times New Roman" w:hAnsi="Garamond" w:cs="Calibri"/>
          <w:sz w:val="24"/>
          <w:szCs w:val="24"/>
          <w:lang w:eastAsia="en-GB"/>
        </w:rPr>
        <w:t xml:space="preserve"> </w:t>
      </w:r>
      <w:proofErr w:type="gramStart"/>
      <w:r w:rsidR="008A31C8">
        <w:rPr>
          <w:rFonts w:ascii="Garamond" w:eastAsia="Times New Roman" w:hAnsi="Garamond" w:cs="Calibri"/>
          <w:sz w:val="24"/>
          <w:szCs w:val="24"/>
          <w:lang w:eastAsia="en-GB"/>
        </w:rPr>
        <w:t>for  UK</w:t>
      </w:r>
      <w:proofErr w:type="gramEnd"/>
      <w:r w:rsidR="008A31C8">
        <w:rPr>
          <w:rFonts w:ascii="Garamond" w:eastAsia="Times New Roman" w:hAnsi="Garamond" w:cs="Calibri"/>
          <w:sz w:val="24"/>
          <w:szCs w:val="24"/>
          <w:lang w:eastAsia="en-GB"/>
        </w:rPr>
        <w:t xml:space="preserve"> bonds, while for French bonds </w:t>
      </w:r>
      <w:r w:rsidR="007516D9">
        <w:rPr>
          <w:rFonts w:ascii="Garamond" w:eastAsia="Times New Roman" w:hAnsi="Garamond" w:cs="Calibri"/>
          <w:sz w:val="24"/>
          <w:szCs w:val="24"/>
          <w:lang w:eastAsia="en-GB"/>
        </w:rPr>
        <w:t>we can reject</w:t>
      </w:r>
      <w:r w:rsidR="007516D9" w:rsidRPr="007516D9">
        <w:rPr>
          <w:rFonts w:ascii="Garamond" w:eastAsia="Times New Roman" w:hAnsi="Garamond" w:cs="Calibri"/>
          <w:sz w:val="24"/>
          <w:szCs w:val="24"/>
          <w:lang w:eastAsia="en-GB"/>
        </w:rPr>
        <w:t xml:space="preserve"> </w:t>
      </w:r>
      <w:r w:rsidR="007516D9" w:rsidRPr="00DB74CB">
        <w:rPr>
          <w:rFonts w:ascii="Garamond" w:eastAsia="Times New Roman" w:hAnsi="Garamond" w:cs="Calibri"/>
          <w:sz w:val="24"/>
          <w:szCs w:val="24"/>
          <w:lang w:eastAsia="en-GB"/>
        </w:rPr>
        <w:t>the null for unit root</w:t>
      </w:r>
      <w:r w:rsidR="007516D9">
        <w:rPr>
          <w:rFonts w:ascii="Garamond" w:eastAsia="Times New Roman" w:hAnsi="Garamond" w:cs="Calibri"/>
          <w:sz w:val="24"/>
          <w:szCs w:val="24"/>
          <w:lang w:eastAsia="en-GB"/>
        </w:rPr>
        <w:t xml:space="preserve"> in the higher quantiles</w:t>
      </w:r>
      <w:r w:rsidR="00AE1382" w:rsidRPr="00DB74CB">
        <w:rPr>
          <w:rFonts w:ascii="Garamond" w:eastAsia="Times New Roman" w:hAnsi="Garamond" w:cs="Calibri"/>
          <w:sz w:val="24"/>
          <w:szCs w:val="24"/>
          <w:lang w:eastAsia="en-GB"/>
        </w:rPr>
        <w:t xml:space="preserve">. For all other quantiles, a high degree of persistence is observed. It is interesting to compare these results with those from the KX tests. Using the latter, we observe a highly persistent series, with no possibility of mean reversion whatsoever. </w:t>
      </w:r>
      <w:r w:rsidR="00E97EFB">
        <w:rPr>
          <w:rFonts w:ascii="Garamond" w:eastAsia="Times New Roman" w:hAnsi="Garamond" w:cs="Calibri"/>
          <w:sz w:val="24"/>
          <w:szCs w:val="24"/>
          <w:lang w:eastAsia="en-GB"/>
        </w:rPr>
        <w:t xml:space="preserve">Our results contradict to some recent studies, e.g., </w:t>
      </w:r>
      <w:proofErr w:type="spellStart"/>
      <w:r w:rsidR="00E97EFB">
        <w:rPr>
          <w:rFonts w:ascii="Garamond" w:eastAsia="Times New Roman" w:hAnsi="Garamond" w:cs="Calibri"/>
          <w:sz w:val="24"/>
          <w:szCs w:val="24"/>
          <w:lang w:eastAsia="en-GB"/>
        </w:rPr>
        <w:t>Caporale</w:t>
      </w:r>
      <w:proofErr w:type="spellEnd"/>
      <w:r w:rsidR="00E97EFB">
        <w:rPr>
          <w:rFonts w:ascii="Garamond" w:eastAsia="Times New Roman" w:hAnsi="Garamond" w:cs="Calibri"/>
          <w:sz w:val="24"/>
          <w:szCs w:val="24"/>
          <w:lang w:eastAsia="en-GB"/>
        </w:rPr>
        <w:t xml:space="preserve"> and Gil-Alana (2019) who find evidence of mean reversion for UK,</w:t>
      </w:r>
      <w:r w:rsidR="00E97EFB">
        <w:t xml:space="preserve"> </w:t>
      </w:r>
      <w:proofErr w:type="gramStart"/>
      <w:r w:rsidR="00E97EFB">
        <w:rPr>
          <w:rFonts w:ascii="Garamond" w:eastAsia="Times New Roman" w:hAnsi="Garamond" w:cs="Calibri"/>
          <w:sz w:val="24"/>
          <w:szCs w:val="24"/>
          <w:lang w:eastAsia="en-GB"/>
        </w:rPr>
        <w:t>France</w:t>
      </w:r>
      <w:proofErr w:type="gramEnd"/>
      <w:r w:rsidR="00E97EFB">
        <w:rPr>
          <w:rFonts w:ascii="Garamond" w:eastAsia="Times New Roman" w:hAnsi="Garamond" w:cs="Calibri"/>
          <w:sz w:val="24"/>
          <w:szCs w:val="24"/>
          <w:lang w:eastAsia="en-GB"/>
        </w:rPr>
        <w:t xml:space="preserve"> and Germany, implying that shocks have transitory effect that disappears in the long run. </w:t>
      </w:r>
    </w:p>
    <w:p w14:paraId="25CC0EF0" w14:textId="1493F5A3" w:rsidR="00C43EA6" w:rsidRPr="009E00D2" w:rsidRDefault="00E97EFB" w:rsidP="00E97EFB">
      <w:pPr>
        <w:pStyle w:val="NoSpacing"/>
        <w:spacing w:line="480" w:lineRule="auto"/>
        <w:ind w:firstLine="708"/>
        <w:jc w:val="both"/>
        <w:rPr>
          <w:rFonts w:ascii="Garamond" w:hAnsi="Garamond"/>
          <w:sz w:val="24"/>
          <w:szCs w:val="24"/>
          <w:lang w:val="en-GB"/>
        </w:rPr>
      </w:pPr>
      <w:r>
        <w:rPr>
          <w:rFonts w:ascii="Garamond" w:eastAsia="Times New Roman" w:hAnsi="Garamond" w:cs="Calibri"/>
          <w:sz w:val="24"/>
          <w:szCs w:val="24"/>
          <w:lang w:eastAsia="en-GB"/>
        </w:rPr>
        <w:t xml:space="preserve">Our result can be explained in </w:t>
      </w:r>
      <w:r w:rsidR="00CD0B9B">
        <w:rPr>
          <w:rFonts w:ascii="Garamond" w:eastAsia="Times New Roman" w:hAnsi="Garamond" w:cs="Calibri"/>
          <w:sz w:val="24"/>
          <w:szCs w:val="24"/>
          <w:lang w:eastAsia="en-GB"/>
        </w:rPr>
        <w:t>the light of</w:t>
      </w:r>
      <w:r>
        <w:rPr>
          <w:rFonts w:ascii="Garamond" w:eastAsia="Times New Roman" w:hAnsi="Garamond" w:cs="Calibri"/>
          <w:sz w:val="24"/>
          <w:szCs w:val="24"/>
          <w:lang w:eastAsia="en-GB"/>
        </w:rPr>
        <w:t xml:space="preserve"> monetary policy. According to </w:t>
      </w:r>
      <w:proofErr w:type="spellStart"/>
      <w:r>
        <w:rPr>
          <w:rFonts w:ascii="Garamond" w:eastAsia="Times New Roman" w:hAnsi="Garamond" w:cs="Calibri"/>
          <w:sz w:val="24"/>
          <w:szCs w:val="24"/>
          <w:lang w:eastAsia="en-GB"/>
        </w:rPr>
        <w:t>Seo</w:t>
      </w:r>
      <w:proofErr w:type="spellEnd"/>
      <w:r>
        <w:rPr>
          <w:rFonts w:ascii="Garamond" w:eastAsia="Times New Roman" w:hAnsi="Garamond" w:cs="Calibri"/>
          <w:sz w:val="24"/>
          <w:szCs w:val="24"/>
          <w:lang w:eastAsia="en-GB"/>
        </w:rPr>
        <w:t xml:space="preserve"> (2003)</w:t>
      </w:r>
      <w:r w:rsidR="00CD0B9B">
        <w:rPr>
          <w:rFonts w:ascii="Garamond" w:eastAsia="Times New Roman" w:hAnsi="Garamond" w:cs="Calibri"/>
          <w:sz w:val="24"/>
          <w:szCs w:val="24"/>
          <w:lang w:eastAsia="en-GB"/>
        </w:rPr>
        <w:t>,</w:t>
      </w:r>
      <w:r>
        <w:rPr>
          <w:rFonts w:ascii="Garamond" w:eastAsia="Times New Roman" w:hAnsi="Garamond" w:cs="Calibri"/>
          <w:sz w:val="24"/>
          <w:szCs w:val="24"/>
          <w:lang w:eastAsia="en-GB"/>
        </w:rPr>
        <w:t xml:space="preserve"> the persistent behavior of the term spread may depend </w:t>
      </w:r>
      <w:r w:rsidR="00CD0B9B">
        <w:rPr>
          <w:rFonts w:ascii="Garamond" w:eastAsia="Times New Roman" w:hAnsi="Garamond" w:cs="Calibri"/>
          <w:sz w:val="24"/>
          <w:szCs w:val="24"/>
          <w:lang w:eastAsia="en-GB"/>
        </w:rPr>
        <w:t>up</w:t>
      </w:r>
      <w:r>
        <w:rPr>
          <w:rFonts w:ascii="Garamond" w:eastAsia="Times New Roman" w:hAnsi="Garamond" w:cs="Calibri"/>
          <w:sz w:val="24"/>
          <w:szCs w:val="24"/>
          <w:lang w:eastAsia="en-GB"/>
        </w:rPr>
        <w:t xml:space="preserve">on the monetary policy. Rudebusch (1995) and </w:t>
      </w:r>
      <w:proofErr w:type="spellStart"/>
      <w:r>
        <w:rPr>
          <w:rFonts w:ascii="Garamond" w:eastAsia="Times New Roman" w:hAnsi="Garamond" w:cs="Calibri"/>
          <w:sz w:val="24"/>
          <w:szCs w:val="24"/>
          <w:lang w:eastAsia="en-GB"/>
        </w:rPr>
        <w:t>Balduzzi</w:t>
      </w:r>
      <w:proofErr w:type="spellEnd"/>
      <w:r>
        <w:rPr>
          <w:rFonts w:ascii="Garamond" w:eastAsia="Times New Roman" w:hAnsi="Garamond" w:cs="Calibri"/>
          <w:sz w:val="24"/>
          <w:szCs w:val="24"/>
          <w:lang w:eastAsia="en-GB"/>
        </w:rPr>
        <w:t xml:space="preserve"> et al. (1997) document that unexpected changes made by monet</w:t>
      </w:r>
      <w:r w:rsidR="00CD0B9B">
        <w:rPr>
          <w:rFonts w:ascii="Garamond" w:eastAsia="Times New Roman" w:hAnsi="Garamond" w:cs="Calibri"/>
          <w:sz w:val="24"/>
          <w:szCs w:val="24"/>
          <w:lang w:eastAsia="en-GB"/>
        </w:rPr>
        <w:t xml:space="preserve">ary authorities can explain </w:t>
      </w:r>
      <w:r>
        <w:rPr>
          <w:rFonts w:ascii="Garamond" w:eastAsia="Times New Roman" w:hAnsi="Garamond" w:cs="Calibri"/>
          <w:sz w:val="24"/>
          <w:szCs w:val="24"/>
          <w:lang w:eastAsia="en-GB"/>
        </w:rPr>
        <w:t xml:space="preserve">future changes in the interest rates. Thus, given that the monetary authorities use interest rates as a tool of economic policy, especially in the conditions COVID-19, the term spread </w:t>
      </w:r>
      <w:r w:rsidR="00CD0B9B">
        <w:rPr>
          <w:rFonts w:ascii="Garamond" w:eastAsia="Times New Roman" w:hAnsi="Garamond" w:cs="Calibri"/>
          <w:sz w:val="24"/>
          <w:szCs w:val="24"/>
          <w:lang w:eastAsia="en-GB"/>
        </w:rPr>
        <w:t>may end up being</w:t>
      </w:r>
      <w:r>
        <w:rPr>
          <w:rFonts w:ascii="Garamond" w:eastAsia="Times New Roman" w:hAnsi="Garamond" w:cs="Calibri"/>
          <w:sz w:val="24"/>
          <w:szCs w:val="24"/>
          <w:lang w:eastAsia="en-GB"/>
        </w:rPr>
        <w:t xml:space="preserve"> persistent.</w:t>
      </w:r>
    </w:p>
    <w:p w14:paraId="22B9812F" w14:textId="2FAD8B3C" w:rsidR="0043757F" w:rsidRDefault="00E97EFB" w:rsidP="00C43EA6">
      <w:pPr>
        <w:pStyle w:val="NoSpacing"/>
        <w:spacing w:line="480" w:lineRule="auto"/>
        <w:ind w:firstLine="708"/>
        <w:jc w:val="both"/>
        <w:rPr>
          <w:rFonts w:ascii="Garamond" w:hAnsi="Garamond"/>
          <w:sz w:val="24"/>
          <w:szCs w:val="24"/>
          <w:lang w:val="en-GB"/>
        </w:rPr>
      </w:pPr>
      <w:r>
        <w:rPr>
          <w:rFonts w:ascii="Garamond" w:hAnsi="Garamond"/>
          <w:sz w:val="24"/>
          <w:szCs w:val="24"/>
          <w:lang w:val="en-GB"/>
        </w:rPr>
        <w:t>Thus, a</w:t>
      </w:r>
      <w:r w:rsidR="0043757F" w:rsidRPr="00DB74CB">
        <w:rPr>
          <w:rFonts w:ascii="Garamond" w:hAnsi="Garamond"/>
          <w:sz w:val="24"/>
          <w:szCs w:val="24"/>
          <w:lang w:val="en-GB"/>
        </w:rPr>
        <w:t xml:space="preserve">s a group, </w:t>
      </w:r>
      <w:r>
        <w:rPr>
          <w:rFonts w:ascii="Garamond" w:hAnsi="Garamond"/>
          <w:sz w:val="24"/>
          <w:szCs w:val="24"/>
          <w:lang w:val="en-GB"/>
        </w:rPr>
        <w:t xml:space="preserve">10-year </w:t>
      </w:r>
      <w:r w:rsidR="0043757F" w:rsidRPr="00DB74CB">
        <w:rPr>
          <w:rFonts w:ascii="Garamond" w:hAnsi="Garamond"/>
          <w:sz w:val="24"/>
          <w:szCs w:val="24"/>
          <w:lang w:val="en-GB"/>
        </w:rPr>
        <w:t xml:space="preserve">Government bonds display high persistence with </w:t>
      </w:r>
      <w:r w:rsidR="00DB3734">
        <w:rPr>
          <w:rFonts w:ascii="Garamond" w:hAnsi="Garamond"/>
          <w:sz w:val="24"/>
          <w:szCs w:val="24"/>
          <w:lang w:val="en-GB"/>
        </w:rPr>
        <w:t xml:space="preserve">German, </w:t>
      </w:r>
      <w:r w:rsidR="0043757F" w:rsidRPr="00DB74CB">
        <w:rPr>
          <w:rFonts w:ascii="Garamond" w:hAnsi="Garamond"/>
          <w:sz w:val="24"/>
          <w:szCs w:val="24"/>
          <w:lang w:val="en-GB"/>
        </w:rPr>
        <w:t>UK</w:t>
      </w:r>
      <w:r w:rsidR="00775333">
        <w:rPr>
          <w:rFonts w:ascii="Garamond" w:hAnsi="Garamond"/>
          <w:sz w:val="24"/>
          <w:szCs w:val="24"/>
          <w:lang w:val="en-GB"/>
        </w:rPr>
        <w:t xml:space="preserve"> and US</w:t>
      </w:r>
      <w:r w:rsidR="0043757F" w:rsidRPr="00DB74CB">
        <w:rPr>
          <w:rFonts w:ascii="Garamond" w:hAnsi="Garamond"/>
          <w:sz w:val="24"/>
          <w:szCs w:val="24"/>
          <w:lang w:val="en-GB"/>
        </w:rPr>
        <w:t xml:space="preserve"> bonds being the most persistent of the 4 studied. </w:t>
      </w:r>
      <w:r w:rsidR="0043757F" w:rsidRPr="009E00D2">
        <w:rPr>
          <w:rFonts w:ascii="Garamond" w:hAnsi="Garamond"/>
          <w:sz w:val="24"/>
          <w:szCs w:val="24"/>
          <w:lang w:val="en-GB"/>
        </w:rPr>
        <w:t xml:space="preserve">French bonds show some tendency to mean revert, the possibility remains limited to </w:t>
      </w:r>
      <w:r w:rsidR="00DB3734">
        <w:rPr>
          <w:rFonts w:ascii="Garamond" w:hAnsi="Garamond"/>
          <w:sz w:val="24"/>
          <w:szCs w:val="24"/>
          <w:lang w:val="en-GB"/>
        </w:rPr>
        <w:t>high</w:t>
      </w:r>
      <w:r w:rsidR="0043757F" w:rsidRPr="009E00D2">
        <w:rPr>
          <w:rFonts w:ascii="Garamond" w:hAnsi="Garamond"/>
          <w:sz w:val="24"/>
          <w:szCs w:val="24"/>
          <w:lang w:val="en-GB"/>
        </w:rPr>
        <w:t xml:space="preserve"> quantiles of the shock only. </w:t>
      </w:r>
    </w:p>
    <w:p w14:paraId="2BDB3295" w14:textId="77777777" w:rsidR="00FA4457" w:rsidRPr="009E00D2" w:rsidRDefault="00FA4457" w:rsidP="00C43EA6">
      <w:pPr>
        <w:pStyle w:val="NoSpacing"/>
        <w:spacing w:line="480" w:lineRule="auto"/>
        <w:ind w:firstLine="708"/>
        <w:jc w:val="both"/>
        <w:rPr>
          <w:rFonts w:ascii="Garamond" w:hAnsi="Garamond"/>
          <w:sz w:val="24"/>
          <w:szCs w:val="24"/>
          <w:lang w:val="en-GB"/>
        </w:rPr>
      </w:pPr>
    </w:p>
    <w:p w14:paraId="1301EDCF" w14:textId="1DB68E35" w:rsidR="00A308B1" w:rsidRPr="009E00D2" w:rsidRDefault="00A308B1" w:rsidP="00454D9C">
      <w:pPr>
        <w:pStyle w:val="NoSpacing"/>
        <w:spacing w:line="276" w:lineRule="auto"/>
        <w:jc w:val="center"/>
        <w:rPr>
          <w:rFonts w:ascii="Garamond" w:eastAsia="Times New Roman" w:hAnsi="Garamond" w:cs="Calibri"/>
          <w:b/>
          <w:bCs/>
          <w:sz w:val="24"/>
          <w:szCs w:val="24"/>
          <w:lang w:eastAsia="en-GB"/>
        </w:rPr>
      </w:pPr>
      <w:r w:rsidRPr="009E00D2">
        <w:rPr>
          <w:rFonts w:ascii="Garamond" w:eastAsia="Times New Roman" w:hAnsi="Garamond" w:cs="Calibri"/>
          <w:b/>
          <w:bCs/>
          <w:sz w:val="24"/>
          <w:szCs w:val="24"/>
          <w:lang w:eastAsia="en-GB"/>
        </w:rPr>
        <w:t>Table</w:t>
      </w:r>
      <w:r w:rsidR="00454D9C" w:rsidRPr="009E00D2">
        <w:rPr>
          <w:rFonts w:ascii="Garamond" w:eastAsia="Times New Roman" w:hAnsi="Garamond" w:cs="Calibri"/>
          <w:b/>
          <w:bCs/>
          <w:sz w:val="24"/>
          <w:szCs w:val="24"/>
          <w:lang w:eastAsia="en-GB"/>
        </w:rPr>
        <w:t xml:space="preserve"> 4</w:t>
      </w:r>
      <w:r w:rsidR="0021677E" w:rsidRPr="009E00D2">
        <w:rPr>
          <w:rFonts w:ascii="Garamond" w:eastAsia="Times New Roman" w:hAnsi="Garamond" w:cs="Calibri"/>
          <w:b/>
          <w:bCs/>
          <w:sz w:val="24"/>
          <w:szCs w:val="24"/>
          <w:lang w:eastAsia="en-GB"/>
        </w:rPr>
        <w:t xml:space="preserve"> </w:t>
      </w:r>
      <w:r w:rsidRPr="009E00D2">
        <w:rPr>
          <w:rFonts w:ascii="Garamond" w:hAnsi="Garamond"/>
          <w:b/>
          <w:bCs/>
          <w:sz w:val="24"/>
          <w:szCs w:val="24"/>
          <w:lang w:val="en-GB"/>
        </w:rPr>
        <w:t xml:space="preserve">Tests for quantile unit root, </w:t>
      </w:r>
      <w:r w:rsidRPr="009E00D2">
        <w:rPr>
          <w:rFonts w:ascii="Garamond" w:eastAsia="Times New Roman" w:hAnsi="Garamond" w:cs="Calibri"/>
          <w:b/>
          <w:bCs/>
          <w:sz w:val="24"/>
          <w:szCs w:val="24"/>
          <w:lang w:eastAsia="en-GB"/>
        </w:rPr>
        <w:t>government bonds.</w:t>
      </w:r>
    </w:p>
    <w:p w14:paraId="3E5B6FDE" w14:textId="02BF93B5" w:rsidR="003A16EB" w:rsidRPr="009E00D2" w:rsidRDefault="00E546B1" w:rsidP="003A16EB">
      <w:pPr>
        <w:pStyle w:val="NoSpacing"/>
        <w:spacing w:line="276" w:lineRule="auto"/>
        <w:jc w:val="both"/>
        <w:rPr>
          <w:rFonts w:ascii="Garamond" w:hAnsi="Garamond"/>
          <w:sz w:val="24"/>
          <w:szCs w:val="24"/>
          <w:lang w:val="en-GB"/>
        </w:rPr>
      </w:pPr>
      <w:r w:rsidRPr="009E00D2">
        <w:rPr>
          <w:rFonts w:ascii="Garamond" w:hAnsi="Garamond"/>
          <w:sz w:val="24"/>
          <w:szCs w:val="24"/>
          <w:lang w:val="en-GB"/>
        </w:rPr>
        <w:t xml:space="preserve">Table shows the results of the quantile nonlinear unit root tests with covariates, </w:t>
      </w:r>
      <w:proofErr w:type="spellStart"/>
      <w:r w:rsidRPr="009E00D2">
        <w:rPr>
          <w:rFonts w:ascii="Garamond" w:eastAsia="Times New Roman" w:hAnsi="Garamond" w:cs="Calibri"/>
          <w:i/>
          <w:iCs/>
          <w:color w:val="000000"/>
          <w:lang w:val="en-GB" w:eastAsia="en-GB"/>
        </w:rPr>
        <w:t>YZ</w:t>
      </w:r>
      <w:r w:rsidRPr="009E00D2">
        <w:rPr>
          <w:rFonts w:ascii="Garamond" w:eastAsia="Times New Roman" w:hAnsi="Garamond" w:cs="Calibri"/>
          <w:i/>
          <w:iCs/>
          <w:color w:val="000000"/>
          <w:sz w:val="24"/>
          <w:szCs w:val="24"/>
          <w:lang w:val="en-GB" w:eastAsia="en-GB"/>
        </w:rPr>
        <w:t>t</w:t>
      </w:r>
      <w:r w:rsidRPr="009E00D2">
        <w:rPr>
          <w:rFonts w:ascii="Garamond" w:eastAsia="Times New Roman" w:hAnsi="Garamond" w:cs="Calibri"/>
          <w:i/>
          <w:iCs/>
          <w:color w:val="000000"/>
          <w:sz w:val="24"/>
          <w:szCs w:val="24"/>
          <w:vertAlign w:val="subscript"/>
          <w:lang w:val="en-GB" w:eastAsia="en-GB"/>
        </w:rPr>
        <w:t>kss</w:t>
      </w:r>
      <w:proofErr w:type="spellEnd"/>
      <w:r w:rsidRPr="009E00D2">
        <w:rPr>
          <w:rFonts w:ascii="Garamond" w:hAnsi="Garamond"/>
          <w:sz w:val="24"/>
          <w:szCs w:val="24"/>
          <w:lang w:val="en-GB"/>
        </w:rPr>
        <w:t xml:space="preserve">, estimated as in Yang and Zhao (2020). The asymptotic critical values are calculated with significance at the 1%, 5% and 10% levels. The null hypothesis of the presence of a unit root is rejected if the </w:t>
      </w:r>
      <w:proofErr w:type="gramStart"/>
      <w:r w:rsidRPr="009E00D2">
        <w:rPr>
          <w:rFonts w:ascii="Garamond" w:hAnsi="Garamond"/>
          <w:sz w:val="24"/>
          <w:szCs w:val="24"/>
          <w:lang w:val="en-GB"/>
        </w:rPr>
        <w:t>calculated  test</w:t>
      </w:r>
      <w:proofErr w:type="gramEnd"/>
      <w:r w:rsidRPr="009E00D2">
        <w:rPr>
          <w:rFonts w:ascii="Garamond" w:hAnsi="Garamond"/>
          <w:sz w:val="24"/>
          <w:szCs w:val="24"/>
          <w:lang w:val="en-GB"/>
        </w:rPr>
        <w:t xml:space="preserve"> statistic is lower in value than calculated </w:t>
      </w:r>
      <w:r w:rsidR="00E97EFB" w:rsidRPr="009E00D2">
        <w:rPr>
          <w:rFonts w:ascii="Garamond" w:hAnsi="Garamond"/>
          <w:sz w:val="24"/>
          <w:szCs w:val="24"/>
          <w:lang w:val="en-GB"/>
        </w:rPr>
        <w:t xml:space="preserve">asymptotic </w:t>
      </w:r>
      <w:r w:rsidRPr="009E00D2">
        <w:rPr>
          <w:rFonts w:ascii="Garamond" w:hAnsi="Garamond"/>
          <w:sz w:val="24"/>
          <w:szCs w:val="24"/>
          <w:lang w:val="en-GB"/>
        </w:rPr>
        <w:t>critical values at the 1%</w:t>
      </w:r>
      <w:r w:rsidR="003A16EB">
        <w:rPr>
          <w:rFonts w:ascii="Garamond" w:hAnsi="Garamond"/>
          <w:sz w:val="24"/>
          <w:szCs w:val="24"/>
          <w:lang w:val="en-GB"/>
        </w:rPr>
        <w:t xml:space="preserve"> (***)</w:t>
      </w:r>
      <w:r w:rsidRPr="009E00D2">
        <w:rPr>
          <w:rFonts w:ascii="Garamond" w:hAnsi="Garamond"/>
          <w:sz w:val="24"/>
          <w:szCs w:val="24"/>
          <w:lang w:val="en-GB"/>
        </w:rPr>
        <w:t xml:space="preserve">, 5% </w:t>
      </w:r>
      <w:r w:rsidR="003A16EB">
        <w:rPr>
          <w:rFonts w:ascii="Garamond" w:hAnsi="Garamond"/>
          <w:sz w:val="24"/>
          <w:szCs w:val="24"/>
          <w:lang w:val="en-GB"/>
        </w:rPr>
        <w:t xml:space="preserve">(**) </w:t>
      </w:r>
      <w:r w:rsidRPr="009E00D2">
        <w:rPr>
          <w:rFonts w:ascii="Garamond" w:hAnsi="Garamond"/>
          <w:sz w:val="24"/>
          <w:szCs w:val="24"/>
          <w:lang w:val="en-GB"/>
        </w:rPr>
        <w:t>and 10%</w:t>
      </w:r>
      <w:r w:rsidR="003A16EB">
        <w:rPr>
          <w:rFonts w:ascii="Garamond" w:hAnsi="Garamond"/>
          <w:sz w:val="24"/>
          <w:szCs w:val="24"/>
          <w:lang w:val="en-GB"/>
        </w:rPr>
        <w:t xml:space="preserve"> (*)</w:t>
      </w:r>
      <w:r w:rsidRPr="009E00D2">
        <w:rPr>
          <w:rFonts w:ascii="Garamond" w:hAnsi="Garamond"/>
          <w:sz w:val="24"/>
          <w:szCs w:val="24"/>
          <w:lang w:val="en-GB"/>
        </w:rPr>
        <w:t xml:space="preserve"> levels of significance.</w:t>
      </w:r>
      <w:r w:rsidR="003A16EB">
        <w:rPr>
          <w:rFonts w:ascii="Garamond" w:hAnsi="Garamond"/>
          <w:sz w:val="24"/>
          <w:szCs w:val="24"/>
          <w:lang w:val="en-GB"/>
        </w:rPr>
        <w:t xml:space="preserve"> Statistically significant values of </w:t>
      </w:r>
      <w:proofErr w:type="spellStart"/>
      <w:r w:rsidR="003A16EB" w:rsidRPr="004E33B3">
        <w:rPr>
          <w:rFonts w:ascii="Garamond" w:eastAsia="Times New Roman" w:hAnsi="Garamond" w:cs="Calibri"/>
          <w:i/>
          <w:iCs/>
          <w:color w:val="000000"/>
          <w:lang w:val="en-GB" w:eastAsia="en-GB"/>
        </w:rPr>
        <w:t>YZt</w:t>
      </w:r>
      <w:r w:rsidR="003A16EB" w:rsidRPr="004E33B3">
        <w:rPr>
          <w:rFonts w:ascii="Garamond" w:eastAsia="Times New Roman" w:hAnsi="Garamond" w:cs="Calibri"/>
          <w:i/>
          <w:iCs/>
          <w:color w:val="000000"/>
          <w:vertAlign w:val="subscript"/>
          <w:lang w:val="en-GB" w:eastAsia="en-GB"/>
        </w:rPr>
        <w:t>ks</w:t>
      </w:r>
      <w:proofErr w:type="spellEnd"/>
      <w:r w:rsidR="003A16EB" w:rsidRPr="004E33B3">
        <w:rPr>
          <w:rFonts w:ascii="Garamond" w:hAnsi="Garamond"/>
          <w:sz w:val="24"/>
          <w:szCs w:val="24"/>
          <w:lang w:val="en-GB"/>
        </w:rPr>
        <w:t xml:space="preserve"> </w:t>
      </w:r>
      <w:r w:rsidR="003A16EB">
        <w:rPr>
          <w:rFonts w:ascii="Garamond" w:hAnsi="Garamond"/>
          <w:sz w:val="24"/>
          <w:szCs w:val="24"/>
          <w:lang w:val="en-GB"/>
        </w:rPr>
        <w:t xml:space="preserve">are highlighted in bold, while the respective </w:t>
      </w:r>
      <w:r w:rsidR="003A16EB" w:rsidRPr="004E33B3">
        <w:rPr>
          <w:rFonts w:ascii="Garamond" w:hAnsi="Garamond"/>
          <w:sz w:val="24"/>
          <w:szCs w:val="24"/>
          <w:lang w:val="en-GB"/>
        </w:rPr>
        <w:t xml:space="preserve">asymptotic </w:t>
      </w:r>
      <w:r w:rsidR="003A16EB">
        <w:rPr>
          <w:rFonts w:ascii="Garamond" w:hAnsi="Garamond"/>
          <w:sz w:val="24"/>
          <w:szCs w:val="24"/>
          <w:lang w:val="en-GB"/>
        </w:rPr>
        <w:t xml:space="preserve">critical values that indicate a significance level are underlined. </w:t>
      </w:r>
    </w:p>
    <w:p w14:paraId="47084972" w14:textId="77777777" w:rsidR="003A16EB" w:rsidRPr="009E00D2" w:rsidRDefault="003A16EB" w:rsidP="00E546B1">
      <w:pPr>
        <w:pStyle w:val="NoSpacing"/>
        <w:spacing w:line="276" w:lineRule="auto"/>
        <w:jc w:val="both"/>
        <w:rPr>
          <w:rFonts w:ascii="Garamond" w:hAnsi="Garamond"/>
          <w:sz w:val="24"/>
          <w:szCs w:val="24"/>
          <w:lang w:val="en-GB"/>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41"/>
        <w:gridCol w:w="1239"/>
        <w:gridCol w:w="909"/>
        <w:gridCol w:w="913"/>
        <w:gridCol w:w="1000"/>
        <w:gridCol w:w="1288"/>
        <w:gridCol w:w="887"/>
        <w:gridCol w:w="972"/>
        <w:gridCol w:w="911"/>
      </w:tblGrid>
      <w:tr w:rsidR="002E554D" w:rsidRPr="002E554D" w14:paraId="200C6E8A" w14:textId="77777777" w:rsidTr="00D644AB">
        <w:trPr>
          <w:trHeight w:val="300"/>
          <w:jc w:val="center"/>
        </w:trPr>
        <w:tc>
          <w:tcPr>
            <w:tcW w:w="519" w:type="pct"/>
            <w:vMerge w:val="restart"/>
            <w:tcBorders>
              <w:left w:val="single" w:sz="4" w:space="0" w:color="auto"/>
              <w:right w:val="single" w:sz="4" w:space="0" w:color="auto"/>
            </w:tcBorders>
            <w:shd w:val="clear" w:color="auto" w:fill="auto"/>
            <w:noWrap/>
            <w:vAlign w:val="center"/>
          </w:tcPr>
          <w:p w14:paraId="47E4D34E" w14:textId="77777777" w:rsidR="00A308B1" w:rsidRPr="002E554D" w:rsidRDefault="00A308B1">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Quantiles</w:t>
            </w:r>
          </w:p>
        </w:tc>
        <w:tc>
          <w:tcPr>
            <w:tcW w:w="689" w:type="pct"/>
            <w:vMerge w:val="restart"/>
            <w:tcBorders>
              <w:left w:val="single" w:sz="4" w:space="0" w:color="auto"/>
            </w:tcBorders>
            <w:shd w:val="clear" w:color="auto" w:fill="auto"/>
            <w:noWrap/>
            <w:vAlign w:val="center"/>
          </w:tcPr>
          <w:p w14:paraId="308B29AF" w14:textId="2780423C" w:rsidR="00A308B1" w:rsidRPr="002E554D" w:rsidRDefault="00E546B1">
            <w:pPr>
              <w:spacing w:after="0" w:line="240" w:lineRule="auto"/>
              <w:jc w:val="center"/>
              <w:rPr>
                <w:rFonts w:ascii="Garamond" w:eastAsia="Times New Roman" w:hAnsi="Garamond" w:cs="Calibri"/>
                <w:b/>
                <w:bCs/>
                <w:i/>
                <w:iCs/>
                <w:color w:val="FF0000"/>
                <w:lang w:val="en-GB" w:eastAsia="en-GB"/>
              </w:rPr>
            </w:pPr>
            <w:proofErr w:type="spellStart"/>
            <w:r w:rsidRPr="002E554D">
              <w:rPr>
                <w:rFonts w:ascii="Garamond" w:eastAsia="Times New Roman" w:hAnsi="Garamond" w:cs="Calibri"/>
                <w:b/>
                <w:bCs/>
                <w:i/>
                <w:iCs/>
                <w:color w:val="FF0000"/>
                <w:lang w:val="en-GB" w:eastAsia="en-GB"/>
              </w:rPr>
              <w:t>YZ</w:t>
            </w:r>
            <w:r w:rsidR="00A308B1" w:rsidRPr="002E554D">
              <w:rPr>
                <w:rFonts w:ascii="Garamond" w:eastAsia="Times New Roman" w:hAnsi="Garamond" w:cs="Calibri"/>
                <w:b/>
                <w:bCs/>
                <w:i/>
                <w:iCs/>
                <w:color w:val="FF0000"/>
                <w:lang w:val="en-GB" w:eastAsia="en-GB"/>
              </w:rPr>
              <w:t>t</w:t>
            </w:r>
            <w:r w:rsidR="00A308B1" w:rsidRPr="002E554D">
              <w:rPr>
                <w:rFonts w:ascii="Garamond" w:eastAsia="Times New Roman" w:hAnsi="Garamond" w:cs="Calibri"/>
                <w:b/>
                <w:bCs/>
                <w:i/>
                <w:iCs/>
                <w:color w:val="FF0000"/>
                <w:vertAlign w:val="subscript"/>
                <w:lang w:val="en-GB" w:eastAsia="en-GB"/>
              </w:rPr>
              <w:t>ks</w:t>
            </w:r>
            <w:proofErr w:type="spellEnd"/>
          </w:p>
        </w:tc>
        <w:tc>
          <w:tcPr>
            <w:tcW w:w="1552" w:type="pct"/>
            <w:gridSpan w:val="3"/>
            <w:tcBorders>
              <w:right w:val="single" w:sz="4" w:space="0" w:color="auto"/>
            </w:tcBorders>
            <w:shd w:val="clear" w:color="auto" w:fill="auto"/>
            <w:noWrap/>
            <w:vAlign w:val="center"/>
          </w:tcPr>
          <w:p w14:paraId="65CAE9F3" w14:textId="77777777" w:rsidR="00A308B1" w:rsidRPr="002E554D" w:rsidRDefault="00A308B1">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asymptotic critical values</w:t>
            </w:r>
          </w:p>
        </w:tc>
        <w:tc>
          <w:tcPr>
            <w:tcW w:w="717" w:type="pct"/>
            <w:vMerge w:val="restart"/>
            <w:tcBorders>
              <w:left w:val="single" w:sz="4" w:space="0" w:color="auto"/>
              <w:right w:val="single" w:sz="4" w:space="0" w:color="auto"/>
            </w:tcBorders>
            <w:shd w:val="clear" w:color="auto" w:fill="auto"/>
            <w:noWrap/>
            <w:vAlign w:val="center"/>
          </w:tcPr>
          <w:p w14:paraId="347E0524" w14:textId="7E79CE8F" w:rsidR="00A308B1" w:rsidRPr="002E554D" w:rsidRDefault="00E546B1">
            <w:pPr>
              <w:spacing w:after="0" w:line="240" w:lineRule="auto"/>
              <w:jc w:val="center"/>
              <w:rPr>
                <w:rFonts w:ascii="Garamond" w:eastAsia="Times New Roman" w:hAnsi="Garamond" w:cs="Calibri"/>
                <w:b/>
                <w:bCs/>
                <w:i/>
                <w:iCs/>
                <w:color w:val="FF0000"/>
                <w:lang w:val="en-GB" w:eastAsia="en-GB"/>
              </w:rPr>
            </w:pPr>
            <w:proofErr w:type="spellStart"/>
            <w:r w:rsidRPr="002E554D">
              <w:rPr>
                <w:rFonts w:ascii="Garamond" w:eastAsia="Times New Roman" w:hAnsi="Garamond" w:cs="Calibri"/>
                <w:b/>
                <w:bCs/>
                <w:i/>
                <w:iCs/>
                <w:color w:val="FF0000"/>
                <w:lang w:val="en-GB" w:eastAsia="en-GB"/>
              </w:rPr>
              <w:t>YZ</w:t>
            </w:r>
            <w:r w:rsidR="00A308B1" w:rsidRPr="002E554D">
              <w:rPr>
                <w:rFonts w:ascii="Garamond" w:eastAsia="Times New Roman" w:hAnsi="Garamond" w:cs="Calibri"/>
                <w:b/>
                <w:bCs/>
                <w:i/>
                <w:iCs/>
                <w:color w:val="FF0000"/>
                <w:lang w:val="en-GB" w:eastAsia="en-GB"/>
              </w:rPr>
              <w:t>t</w:t>
            </w:r>
            <w:r w:rsidR="00A308B1" w:rsidRPr="002E554D">
              <w:rPr>
                <w:rFonts w:ascii="Garamond" w:eastAsia="Times New Roman" w:hAnsi="Garamond" w:cs="Calibri"/>
                <w:b/>
                <w:bCs/>
                <w:i/>
                <w:iCs/>
                <w:color w:val="FF0000"/>
                <w:vertAlign w:val="subscript"/>
                <w:lang w:val="en-GB" w:eastAsia="en-GB"/>
              </w:rPr>
              <w:t>ks</w:t>
            </w:r>
            <w:proofErr w:type="spellEnd"/>
          </w:p>
        </w:tc>
        <w:tc>
          <w:tcPr>
            <w:tcW w:w="1522" w:type="pct"/>
            <w:gridSpan w:val="3"/>
            <w:tcBorders>
              <w:left w:val="single" w:sz="4" w:space="0" w:color="auto"/>
              <w:right w:val="single" w:sz="4" w:space="0" w:color="auto"/>
            </w:tcBorders>
            <w:shd w:val="clear" w:color="auto" w:fill="auto"/>
            <w:noWrap/>
            <w:vAlign w:val="center"/>
          </w:tcPr>
          <w:p w14:paraId="61980533" w14:textId="77777777" w:rsidR="00A308B1" w:rsidRPr="002E554D" w:rsidRDefault="00A308B1">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asymptotic critical values</w:t>
            </w:r>
          </w:p>
        </w:tc>
      </w:tr>
      <w:tr w:rsidR="002E554D" w:rsidRPr="002E554D" w14:paraId="20181757" w14:textId="77777777" w:rsidTr="00D644AB">
        <w:trPr>
          <w:trHeight w:val="300"/>
          <w:jc w:val="center"/>
        </w:trPr>
        <w:tc>
          <w:tcPr>
            <w:tcW w:w="519" w:type="pct"/>
            <w:vMerge/>
            <w:tcBorders>
              <w:left w:val="single" w:sz="4" w:space="0" w:color="auto"/>
              <w:right w:val="single" w:sz="4" w:space="0" w:color="auto"/>
            </w:tcBorders>
            <w:shd w:val="clear" w:color="auto" w:fill="auto"/>
            <w:noWrap/>
            <w:vAlign w:val="bottom"/>
            <w:hideMark/>
          </w:tcPr>
          <w:p w14:paraId="17F96506" w14:textId="77777777" w:rsidR="00A308B1" w:rsidRPr="002E554D" w:rsidRDefault="00A308B1">
            <w:pPr>
              <w:spacing w:after="0" w:line="240" w:lineRule="auto"/>
              <w:rPr>
                <w:rFonts w:ascii="Garamond" w:eastAsia="Times New Roman" w:hAnsi="Garamond" w:cs="Calibri"/>
                <w:color w:val="FF0000"/>
                <w:lang w:val="en-GB" w:eastAsia="en-GB"/>
              </w:rPr>
            </w:pPr>
          </w:p>
        </w:tc>
        <w:tc>
          <w:tcPr>
            <w:tcW w:w="689" w:type="pct"/>
            <w:vMerge/>
            <w:tcBorders>
              <w:left w:val="single" w:sz="4" w:space="0" w:color="auto"/>
            </w:tcBorders>
            <w:shd w:val="clear" w:color="auto" w:fill="auto"/>
            <w:noWrap/>
            <w:vAlign w:val="center"/>
            <w:hideMark/>
          </w:tcPr>
          <w:p w14:paraId="55A55632" w14:textId="77777777" w:rsidR="00A308B1" w:rsidRPr="002E554D" w:rsidRDefault="00A308B1">
            <w:pPr>
              <w:spacing w:after="0" w:line="240" w:lineRule="auto"/>
              <w:jc w:val="center"/>
              <w:rPr>
                <w:rFonts w:ascii="Garamond" w:eastAsia="Times New Roman" w:hAnsi="Garamond" w:cs="Calibri"/>
                <w:b/>
                <w:bCs/>
                <w:i/>
                <w:iCs/>
                <w:color w:val="FF0000"/>
                <w:lang w:val="en-GB" w:eastAsia="en-GB"/>
              </w:rPr>
            </w:pPr>
          </w:p>
        </w:tc>
        <w:tc>
          <w:tcPr>
            <w:tcW w:w="499" w:type="pct"/>
            <w:shd w:val="clear" w:color="auto" w:fill="auto"/>
            <w:noWrap/>
            <w:vAlign w:val="center"/>
            <w:hideMark/>
          </w:tcPr>
          <w:p w14:paraId="42E88CC9" w14:textId="77777777" w:rsidR="00A308B1" w:rsidRPr="002E554D" w:rsidRDefault="00A308B1">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w:t>
            </w:r>
          </w:p>
        </w:tc>
        <w:tc>
          <w:tcPr>
            <w:tcW w:w="502" w:type="pct"/>
            <w:shd w:val="clear" w:color="auto" w:fill="auto"/>
            <w:noWrap/>
            <w:vAlign w:val="center"/>
            <w:hideMark/>
          </w:tcPr>
          <w:p w14:paraId="6E6DE5F1" w14:textId="77777777" w:rsidR="00A308B1" w:rsidRPr="002E554D" w:rsidRDefault="00A308B1">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5%</w:t>
            </w:r>
          </w:p>
        </w:tc>
        <w:tc>
          <w:tcPr>
            <w:tcW w:w="552" w:type="pct"/>
            <w:tcBorders>
              <w:right w:val="single" w:sz="4" w:space="0" w:color="auto"/>
            </w:tcBorders>
            <w:shd w:val="clear" w:color="auto" w:fill="auto"/>
            <w:noWrap/>
            <w:vAlign w:val="center"/>
            <w:hideMark/>
          </w:tcPr>
          <w:p w14:paraId="091B301C" w14:textId="77777777" w:rsidR="00A308B1" w:rsidRPr="002E554D" w:rsidRDefault="00A308B1">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10%</w:t>
            </w:r>
          </w:p>
        </w:tc>
        <w:tc>
          <w:tcPr>
            <w:tcW w:w="717" w:type="pct"/>
            <w:vMerge/>
            <w:tcBorders>
              <w:left w:val="single" w:sz="4" w:space="0" w:color="auto"/>
              <w:right w:val="single" w:sz="4" w:space="0" w:color="auto"/>
            </w:tcBorders>
            <w:shd w:val="clear" w:color="auto" w:fill="auto"/>
            <w:noWrap/>
            <w:vAlign w:val="center"/>
            <w:hideMark/>
          </w:tcPr>
          <w:p w14:paraId="731168D4" w14:textId="77777777" w:rsidR="00A308B1" w:rsidRPr="002E554D" w:rsidRDefault="00A308B1">
            <w:pPr>
              <w:spacing w:after="0" w:line="240" w:lineRule="auto"/>
              <w:jc w:val="center"/>
              <w:rPr>
                <w:rFonts w:ascii="Garamond" w:eastAsia="Times New Roman" w:hAnsi="Garamond" w:cs="Calibri"/>
                <w:b/>
                <w:bCs/>
                <w:color w:val="FF0000"/>
                <w:lang w:val="en-GB" w:eastAsia="en-GB"/>
              </w:rPr>
            </w:pPr>
          </w:p>
        </w:tc>
        <w:tc>
          <w:tcPr>
            <w:tcW w:w="486" w:type="pct"/>
            <w:tcBorders>
              <w:left w:val="single" w:sz="4" w:space="0" w:color="auto"/>
            </w:tcBorders>
            <w:shd w:val="clear" w:color="auto" w:fill="auto"/>
            <w:noWrap/>
            <w:vAlign w:val="center"/>
            <w:hideMark/>
          </w:tcPr>
          <w:p w14:paraId="7DEF71DE" w14:textId="77777777" w:rsidR="00A308B1" w:rsidRPr="002E554D" w:rsidRDefault="00A308B1">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w:t>
            </w:r>
          </w:p>
        </w:tc>
        <w:tc>
          <w:tcPr>
            <w:tcW w:w="536" w:type="pct"/>
            <w:shd w:val="clear" w:color="auto" w:fill="auto"/>
            <w:noWrap/>
            <w:vAlign w:val="center"/>
            <w:hideMark/>
          </w:tcPr>
          <w:p w14:paraId="65F03E5E" w14:textId="77777777" w:rsidR="00A308B1" w:rsidRPr="002E554D" w:rsidRDefault="00A308B1">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5%</w:t>
            </w:r>
          </w:p>
        </w:tc>
        <w:tc>
          <w:tcPr>
            <w:tcW w:w="499" w:type="pct"/>
            <w:tcBorders>
              <w:right w:val="single" w:sz="4" w:space="0" w:color="auto"/>
            </w:tcBorders>
            <w:shd w:val="clear" w:color="auto" w:fill="auto"/>
            <w:noWrap/>
            <w:vAlign w:val="center"/>
            <w:hideMark/>
          </w:tcPr>
          <w:p w14:paraId="4C958B91" w14:textId="77777777" w:rsidR="00A308B1" w:rsidRPr="002E554D" w:rsidRDefault="00A308B1">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10%</w:t>
            </w:r>
          </w:p>
        </w:tc>
      </w:tr>
      <w:tr w:rsidR="002E554D" w:rsidRPr="002E554D" w14:paraId="68614148" w14:textId="77777777" w:rsidTr="00D22E4B">
        <w:trPr>
          <w:trHeight w:val="300"/>
          <w:jc w:val="center"/>
        </w:trPr>
        <w:tc>
          <w:tcPr>
            <w:tcW w:w="519" w:type="pct"/>
            <w:vMerge/>
            <w:tcBorders>
              <w:left w:val="single" w:sz="4" w:space="0" w:color="auto"/>
              <w:right w:val="single" w:sz="4" w:space="0" w:color="auto"/>
            </w:tcBorders>
            <w:shd w:val="clear" w:color="auto" w:fill="auto"/>
            <w:noWrap/>
            <w:vAlign w:val="bottom"/>
          </w:tcPr>
          <w:p w14:paraId="57441A07" w14:textId="77777777" w:rsidR="001D2C51" w:rsidRPr="002E554D" w:rsidRDefault="001D2C51">
            <w:pPr>
              <w:spacing w:after="0" w:line="240" w:lineRule="auto"/>
              <w:rPr>
                <w:rFonts w:ascii="Garamond" w:eastAsia="Times New Roman" w:hAnsi="Garamond" w:cs="Calibri"/>
                <w:color w:val="FF0000"/>
                <w:lang w:val="en-GB" w:eastAsia="en-GB"/>
              </w:rPr>
            </w:pPr>
          </w:p>
        </w:tc>
        <w:tc>
          <w:tcPr>
            <w:tcW w:w="2241" w:type="pct"/>
            <w:gridSpan w:val="4"/>
            <w:tcBorders>
              <w:left w:val="single" w:sz="4" w:space="0" w:color="auto"/>
              <w:right w:val="single" w:sz="4" w:space="0" w:color="auto"/>
            </w:tcBorders>
            <w:shd w:val="clear" w:color="auto" w:fill="auto"/>
            <w:noWrap/>
            <w:vAlign w:val="center"/>
          </w:tcPr>
          <w:p w14:paraId="6AA76BF0" w14:textId="266435D5" w:rsidR="001D2C51" w:rsidRPr="002E554D" w:rsidRDefault="001D2C51">
            <w:pPr>
              <w:spacing w:after="0" w:line="240" w:lineRule="auto"/>
              <w:jc w:val="center"/>
              <w:rPr>
                <w:rFonts w:ascii="Garamond" w:eastAsia="Times New Roman" w:hAnsi="Garamond" w:cs="Calibri"/>
                <w:b/>
                <w:bCs/>
                <w:color w:val="FF0000"/>
                <w:lang w:val="en-GB" w:eastAsia="en-GB"/>
              </w:rPr>
            </w:pPr>
            <w:r w:rsidRPr="002E554D">
              <w:rPr>
                <w:rFonts w:ascii="Garamond" w:hAnsi="Garamond" w:cs="Calibri"/>
                <w:b/>
                <w:bCs/>
                <w:color w:val="FF0000"/>
              </w:rPr>
              <w:t>BD BENCHMARK 10 YEAR DS GOVT. INDEX</w:t>
            </w:r>
          </w:p>
        </w:tc>
        <w:tc>
          <w:tcPr>
            <w:tcW w:w="2240" w:type="pct"/>
            <w:gridSpan w:val="4"/>
            <w:tcBorders>
              <w:left w:val="single" w:sz="4" w:space="0" w:color="auto"/>
              <w:right w:val="single" w:sz="4" w:space="0" w:color="auto"/>
            </w:tcBorders>
            <w:shd w:val="clear" w:color="auto" w:fill="auto"/>
            <w:noWrap/>
            <w:vAlign w:val="bottom"/>
          </w:tcPr>
          <w:p w14:paraId="33E4B785" w14:textId="2F2AD81F" w:rsidR="001D2C51" w:rsidRPr="002E554D" w:rsidRDefault="001D2C51">
            <w:pPr>
              <w:spacing w:after="0" w:line="240" w:lineRule="auto"/>
              <w:jc w:val="center"/>
              <w:rPr>
                <w:rFonts w:ascii="Garamond" w:eastAsia="Times New Roman" w:hAnsi="Garamond" w:cs="Calibri"/>
                <w:b/>
                <w:bCs/>
                <w:color w:val="FF0000"/>
                <w:lang w:val="en-GB" w:eastAsia="en-GB"/>
              </w:rPr>
            </w:pPr>
            <w:r w:rsidRPr="002E554D">
              <w:rPr>
                <w:rFonts w:ascii="Garamond" w:hAnsi="Garamond" w:cs="Calibri"/>
                <w:b/>
                <w:bCs/>
                <w:color w:val="FF0000"/>
              </w:rPr>
              <w:t xml:space="preserve">US BENCHMARK 10 YEAR DS GOVT. INDEX </w:t>
            </w:r>
          </w:p>
        </w:tc>
      </w:tr>
      <w:tr w:rsidR="002E554D" w:rsidRPr="002E554D" w14:paraId="23031D2B"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76124A6F" w14:textId="77777777"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lastRenderedPageBreak/>
              <w:t>0.1</w:t>
            </w:r>
          </w:p>
        </w:tc>
        <w:tc>
          <w:tcPr>
            <w:tcW w:w="689" w:type="pct"/>
            <w:tcBorders>
              <w:left w:val="single" w:sz="4" w:space="0" w:color="auto"/>
              <w:right w:val="single" w:sz="4" w:space="0" w:color="auto"/>
            </w:tcBorders>
            <w:shd w:val="clear" w:color="auto" w:fill="auto"/>
            <w:noWrap/>
          </w:tcPr>
          <w:p w14:paraId="36BE7804" w14:textId="3FD1A0A5"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-0.470</w:t>
            </w:r>
          </w:p>
        </w:tc>
        <w:tc>
          <w:tcPr>
            <w:tcW w:w="499" w:type="pct"/>
            <w:tcBorders>
              <w:left w:val="single" w:sz="4" w:space="0" w:color="auto"/>
            </w:tcBorders>
            <w:shd w:val="clear" w:color="auto" w:fill="auto"/>
            <w:noWrap/>
          </w:tcPr>
          <w:p w14:paraId="440EF650" w14:textId="4CB2964C"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-2.836</w:t>
            </w:r>
          </w:p>
        </w:tc>
        <w:tc>
          <w:tcPr>
            <w:tcW w:w="502" w:type="pct"/>
            <w:shd w:val="clear" w:color="auto" w:fill="auto"/>
            <w:noWrap/>
          </w:tcPr>
          <w:p w14:paraId="0D0C3222" w14:textId="0A0678E3"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-2.167</w:t>
            </w:r>
          </w:p>
        </w:tc>
        <w:tc>
          <w:tcPr>
            <w:tcW w:w="552" w:type="pct"/>
            <w:tcBorders>
              <w:right w:val="single" w:sz="4" w:space="0" w:color="auto"/>
            </w:tcBorders>
            <w:shd w:val="clear" w:color="auto" w:fill="auto"/>
            <w:noWrap/>
          </w:tcPr>
          <w:p w14:paraId="27EBF860" w14:textId="1A94C47B"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-1.807</w:t>
            </w:r>
          </w:p>
        </w:tc>
        <w:tc>
          <w:tcPr>
            <w:tcW w:w="717" w:type="pct"/>
            <w:tcBorders>
              <w:left w:val="single" w:sz="4" w:space="0" w:color="auto"/>
              <w:right w:val="single" w:sz="4" w:space="0" w:color="auto"/>
            </w:tcBorders>
            <w:shd w:val="clear" w:color="auto" w:fill="auto"/>
            <w:noWrap/>
          </w:tcPr>
          <w:p w14:paraId="22A4534B" w14:textId="5C87CF54" w:rsidR="00D22E4B" w:rsidRPr="002E554D" w:rsidRDefault="00D22E4B" w:rsidP="00D22E4B">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-1.783</w:t>
            </w:r>
          </w:p>
        </w:tc>
        <w:tc>
          <w:tcPr>
            <w:tcW w:w="486" w:type="pct"/>
            <w:tcBorders>
              <w:left w:val="single" w:sz="4" w:space="0" w:color="auto"/>
            </w:tcBorders>
            <w:shd w:val="clear" w:color="auto" w:fill="auto"/>
            <w:noWrap/>
          </w:tcPr>
          <w:p w14:paraId="151C249D" w14:textId="16EAFA88" w:rsidR="00D22E4B" w:rsidRPr="002E554D" w:rsidRDefault="00D22E4B" w:rsidP="00D22E4B">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-2.914</w:t>
            </w:r>
          </w:p>
        </w:tc>
        <w:tc>
          <w:tcPr>
            <w:tcW w:w="536" w:type="pct"/>
            <w:shd w:val="clear" w:color="auto" w:fill="auto"/>
            <w:noWrap/>
          </w:tcPr>
          <w:p w14:paraId="73B54FA2" w14:textId="62432F58"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-2.255</w:t>
            </w:r>
          </w:p>
        </w:tc>
        <w:tc>
          <w:tcPr>
            <w:tcW w:w="499" w:type="pct"/>
            <w:tcBorders>
              <w:right w:val="single" w:sz="4" w:space="0" w:color="auto"/>
            </w:tcBorders>
            <w:shd w:val="clear" w:color="auto" w:fill="auto"/>
            <w:noWrap/>
          </w:tcPr>
          <w:p w14:paraId="0DBCE753" w14:textId="24D9C6CF"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-1.900</w:t>
            </w:r>
          </w:p>
        </w:tc>
      </w:tr>
      <w:tr w:rsidR="002E554D" w:rsidRPr="002E554D" w14:paraId="0E2AD759"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4982AF12" w14:textId="77777777"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689" w:type="pct"/>
            <w:tcBorders>
              <w:left w:val="single" w:sz="4" w:space="0" w:color="auto"/>
              <w:right w:val="single" w:sz="4" w:space="0" w:color="auto"/>
            </w:tcBorders>
            <w:shd w:val="clear" w:color="auto" w:fill="auto"/>
            <w:noWrap/>
          </w:tcPr>
          <w:p w14:paraId="35832513" w14:textId="058E21F3"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-0.688</w:t>
            </w:r>
          </w:p>
        </w:tc>
        <w:tc>
          <w:tcPr>
            <w:tcW w:w="499" w:type="pct"/>
            <w:tcBorders>
              <w:left w:val="single" w:sz="4" w:space="0" w:color="auto"/>
            </w:tcBorders>
            <w:shd w:val="clear" w:color="auto" w:fill="auto"/>
            <w:noWrap/>
          </w:tcPr>
          <w:p w14:paraId="03321416" w14:textId="2D810F9A"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-3.014</w:t>
            </w:r>
          </w:p>
        </w:tc>
        <w:tc>
          <w:tcPr>
            <w:tcW w:w="502" w:type="pct"/>
            <w:shd w:val="clear" w:color="auto" w:fill="auto"/>
            <w:noWrap/>
          </w:tcPr>
          <w:p w14:paraId="33393CBA" w14:textId="7C6F777C" w:rsidR="00D22E4B" w:rsidRPr="002E554D" w:rsidRDefault="00D22E4B" w:rsidP="00D22E4B">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-2.363</w:t>
            </w:r>
          </w:p>
        </w:tc>
        <w:tc>
          <w:tcPr>
            <w:tcW w:w="552" w:type="pct"/>
            <w:tcBorders>
              <w:right w:val="single" w:sz="4" w:space="0" w:color="auto"/>
            </w:tcBorders>
            <w:shd w:val="clear" w:color="auto" w:fill="auto"/>
            <w:noWrap/>
          </w:tcPr>
          <w:p w14:paraId="35DB6FE9" w14:textId="6E492AC5"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-2.014</w:t>
            </w:r>
          </w:p>
        </w:tc>
        <w:tc>
          <w:tcPr>
            <w:tcW w:w="717" w:type="pct"/>
            <w:tcBorders>
              <w:left w:val="single" w:sz="4" w:space="0" w:color="auto"/>
              <w:right w:val="single" w:sz="4" w:space="0" w:color="auto"/>
            </w:tcBorders>
            <w:shd w:val="clear" w:color="auto" w:fill="auto"/>
            <w:noWrap/>
          </w:tcPr>
          <w:p w14:paraId="3E60FAF0" w14:textId="6B687FA4" w:rsidR="00D22E4B" w:rsidRPr="002E554D" w:rsidRDefault="00D22E4B" w:rsidP="00D22E4B">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-1.145</w:t>
            </w:r>
          </w:p>
        </w:tc>
        <w:tc>
          <w:tcPr>
            <w:tcW w:w="486" w:type="pct"/>
            <w:tcBorders>
              <w:left w:val="single" w:sz="4" w:space="0" w:color="auto"/>
            </w:tcBorders>
            <w:shd w:val="clear" w:color="auto" w:fill="auto"/>
            <w:noWrap/>
          </w:tcPr>
          <w:p w14:paraId="298792FE" w14:textId="45CB5B57" w:rsidR="00D22E4B" w:rsidRPr="002E554D" w:rsidRDefault="00D22E4B" w:rsidP="00D22E4B">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-3.072</w:t>
            </w:r>
          </w:p>
        </w:tc>
        <w:tc>
          <w:tcPr>
            <w:tcW w:w="536" w:type="pct"/>
            <w:shd w:val="clear" w:color="auto" w:fill="auto"/>
            <w:noWrap/>
          </w:tcPr>
          <w:p w14:paraId="511EF0E4" w14:textId="1DCBFFB4"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-2.416</w:t>
            </w:r>
          </w:p>
        </w:tc>
        <w:tc>
          <w:tcPr>
            <w:tcW w:w="499" w:type="pct"/>
            <w:tcBorders>
              <w:right w:val="single" w:sz="4" w:space="0" w:color="auto"/>
            </w:tcBorders>
            <w:shd w:val="clear" w:color="auto" w:fill="auto"/>
            <w:noWrap/>
          </w:tcPr>
          <w:p w14:paraId="2B0C33C5" w14:textId="1E48A0EB"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-2.072</w:t>
            </w:r>
          </w:p>
        </w:tc>
      </w:tr>
      <w:tr w:rsidR="002E554D" w:rsidRPr="002E554D" w14:paraId="41934398"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1C942F73" w14:textId="77777777"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689" w:type="pct"/>
            <w:tcBorders>
              <w:left w:val="single" w:sz="4" w:space="0" w:color="auto"/>
              <w:right w:val="single" w:sz="4" w:space="0" w:color="auto"/>
            </w:tcBorders>
            <w:shd w:val="clear" w:color="auto" w:fill="auto"/>
            <w:noWrap/>
          </w:tcPr>
          <w:p w14:paraId="7BED1881" w14:textId="37172D0C"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-0.866</w:t>
            </w:r>
          </w:p>
        </w:tc>
        <w:tc>
          <w:tcPr>
            <w:tcW w:w="499" w:type="pct"/>
            <w:tcBorders>
              <w:left w:val="single" w:sz="4" w:space="0" w:color="auto"/>
            </w:tcBorders>
            <w:shd w:val="clear" w:color="auto" w:fill="auto"/>
            <w:noWrap/>
          </w:tcPr>
          <w:p w14:paraId="51D202E0" w14:textId="09D85756"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-3.226</w:t>
            </w:r>
          </w:p>
        </w:tc>
        <w:tc>
          <w:tcPr>
            <w:tcW w:w="502" w:type="pct"/>
            <w:shd w:val="clear" w:color="auto" w:fill="auto"/>
            <w:noWrap/>
          </w:tcPr>
          <w:p w14:paraId="00C52884" w14:textId="1BE9105B"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-2.599</w:t>
            </w:r>
          </w:p>
        </w:tc>
        <w:tc>
          <w:tcPr>
            <w:tcW w:w="552" w:type="pct"/>
            <w:tcBorders>
              <w:right w:val="single" w:sz="4" w:space="0" w:color="auto"/>
            </w:tcBorders>
            <w:shd w:val="clear" w:color="auto" w:fill="auto"/>
            <w:noWrap/>
          </w:tcPr>
          <w:p w14:paraId="26AFFAF7" w14:textId="4763C605"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-2.260</w:t>
            </w:r>
          </w:p>
        </w:tc>
        <w:tc>
          <w:tcPr>
            <w:tcW w:w="717" w:type="pct"/>
            <w:tcBorders>
              <w:left w:val="single" w:sz="4" w:space="0" w:color="auto"/>
              <w:right w:val="single" w:sz="4" w:space="0" w:color="auto"/>
            </w:tcBorders>
            <w:shd w:val="clear" w:color="auto" w:fill="auto"/>
            <w:noWrap/>
          </w:tcPr>
          <w:p w14:paraId="483B933F" w14:textId="5D7F981D"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-1.104</w:t>
            </w:r>
          </w:p>
        </w:tc>
        <w:tc>
          <w:tcPr>
            <w:tcW w:w="486" w:type="pct"/>
            <w:tcBorders>
              <w:left w:val="single" w:sz="4" w:space="0" w:color="auto"/>
            </w:tcBorders>
            <w:shd w:val="clear" w:color="auto" w:fill="auto"/>
            <w:noWrap/>
          </w:tcPr>
          <w:p w14:paraId="308CC219" w14:textId="0600EA73"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-3.194</w:t>
            </w:r>
          </w:p>
        </w:tc>
        <w:tc>
          <w:tcPr>
            <w:tcW w:w="536" w:type="pct"/>
            <w:shd w:val="clear" w:color="auto" w:fill="auto"/>
            <w:noWrap/>
          </w:tcPr>
          <w:p w14:paraId="22FF11F3" w14:textId="61F83B9C"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-2.556</w:t>
            </w:r>
          </w:p>
        </w:tc>
        <w:tc>
          <w:tcPr>
            <w:tcW w:w="499" w:type="pct"/>
            <w:tcBorders>
              <w:right w:val="single" w:sz="4" w:space="0" w:color="auto"/>
            </w:tcBorders>
            <w:shd w:val="clear" w:color="auto" w:fill="auto"/>
            <w:noWrap/>
          </w:tcPr>
          <w:p w14:paraId="2E605B17" w14:textId="105FE9F7" w:rsidR="00D22E4B" w:rsidRPr="002E554D" w:rsidRDefault="00D22E4B" w:rsidP="00D22E4B">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-2.216</w:t>
            </w:r>
          </w:p>
        </w:tc>
      </w:tr>
      <w:tr w:rsidR="002E554D" w:rsidRPr="002E554D" w14:paraId="47ACDBDC"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4994E793" w14:textId="77777777"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689" w:type="pct"/>
            <w:tcBorders>
              <w:left w:val="single" w:sz="4" w:space="0" w:color="auto"/>
              <w:right w:val="single" w:sz="4" w:space="0" w:color="auto"/>
            </w:tcBorders>
            <w:shd w:val="clear" w:color="auto" w:fill="auto"/>
            <w:noWrap/>
          </w:tcPr>
          <w:p w14:paraId="7084C592" w14:textId="63347681"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-1.491</w:t>
            </w:r>
          </w:p>
        </w:tc>
        <w:tc>
          <w:tcPr>
            <w:tcW w:w="499" w:type="pct"/>
            <w:tcBorders>
              <w:left w:val="single" w:sz="4" w:space="0" w:color="auto"/>
            </w:tcBorders>
            <w:shd w:val="clear" w:color="auto" w:fill="auto"/>
            <w:noWrap/>
          </w:tcPr>
          <w:p w14:paraId="309C63B5" w14:textId="69901DCE"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-3.283</w:t>
            </w:r>
          </w:p>
        </w:tc>
        <w:tc>
          <w:tcPr>
            <w:tcW w:w="502" w:type="pct"/>
            <w:shd w:val="clear" w:color="auto" w:fill="auto"/>
            <w:noWrap/>
          </w:tcPr>
          <w:p w14:paraId="7AA9DF5B" w14:textId="660FEBAB"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-2.683</w:t>
            </w:r>
          </w:p>
        </w:tc>
        <w:tc>
          <w:tcPr>
            <w:tcW w:w="552" w:type="pct"/>
            <w:tcBorders>
              <w:right w:val="single" w:sz="4" w:space="0" w:color="auto"/>
            </w:tcBorders>
            <w:shd w:val="clear" w:color="auto" w:fill="auto"/>
            <w:noWrap/>
          </w:tcPr>
          <w:p w14:paraId="61EAA6A2" w14:textId="67849700"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-2.357</w:t>
            </w:r>
          </w:p>
        </w:tc>
        <w:tc>
          <w:tcPr>
            <w:tcW w:w="717" w:type="pct"/>
            <w:tcBorders>
              <w:left w:val="single" w:sz="4" w:space="0" w:color="auto"/>
              <w:right w:val="single" w:sz="4" w:space="0" w:color="auto"/>
            </w:tcBorders>
            <w:shd w:val="clear" w:color="auto" w:fill="auto"/>
            <w:noWrap/>
          </w:tcPr>
          <w:p w14:paraId="0207895F" w14:textId="61AF0BBF"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-0.643</w:t>
            </w:r>
          </w:p>
        </w:tc>
        <w:tc>
          <w:tcPr>
            <w:tcW w:w="486" w:type="pct"/>
            <w:tcBorders>
              <w:left w:val="single" w:sz="4" w:space="0" w:color="auto"/>
            </w:tcBorders>
            <w:shd w:val="clear" w:color="auto" w:fill="auto"/>
            <w:noWrap/>
          </w:tcPr>
          <w:p w14:paraId="762D9FEE" w14:textId="4817A7CA"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-3.298</w:t>
            </w:r>
          </w:p>
        </w:tc>
        <w:tc>
          <w:tcPr>
            <w:tcW w:w="536" w:type="pct"/>
            <w:shd w:val="clear" w:color="auto" w:fill="auto"/>
            <w:noWrap/>
          </w:tcPr>
          <w:p w14:paraId="4F5D63ED" w14:textId="084854A0"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-2.698</w:t>
            </w:r>
          </w:p>
        </w:tc>
        <w:tc>
          <w:tcPr>
            <w:tcW w:w="499" w:type="pct"/>
            <w:tcBorders>
              <w:right w:val="single" w:sz="4" w:space="0" w:color="auto"/>
            </w:tcBorders>
            <w:shd w:val="clear" w:color="auto" w:fill="auto"/>
            <w:noWrap/>
          </w:tcPr>
          <w:p w14:paraId="4CCF4C3F" w14:textId="7E9ED3D6"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-2.375</w:t>
            </w:r>
          </w:p>
        </w:tc>
      </w:tr>
      <w:tr w:rsidR="002E554D" w:rsidRPr="002E554D" w14:paraId="21EB113D"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4D7B71FE" w14:textId="77777777"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689" w:type="pct"/>
            <w:tcBorders>
              <w:left w:val="single" w:sz="4" w:space="0" w:color="auto"/>
              <w:right w:val="single" w:sz="4" w:space="0" w:color="auto"/>
            </w:tcBorders>
            <w:shd w:val="clear" w:color="auto" w:fill="auto"/>
            <w:noWrap/>
          </w:tcPr>
          <w:p w14:paraId="13D10CC5" w14:textId="2E7A818D"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-1.627</w:t>
            </w:r>
          </w:p>
        </w:tc>
        <w:tc>
          <w:tcPr>
            <w:tcW w:w="499" w:type="pct"/>
            <w:tcBorders>
              <w:left w:val="single" w:sz="4" w:space="0" w:color="auto"/>
            </w:tcBorders>
            <w:shd w:val="clear" w:color="auto" w:fill="auto"/>
            <w:noWrap/>
          </w:tcPr>
          <w:p w14:paraId="55E39FD5" w14:textId="2BC5E126"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-3.260</w:t>
            </w:r>
          </w:p>
        </w:tc>
        <w:tc>
          <w:tcPr>
            <w:tcW w:w="502" w:type="pct"/>
            <w:shd w:val="clear" w:color="auto" w:fill="auto"/>
            <w:noWrap/>
          </w:tcPr>
          <w:p w14:paraId="1877860C" w14:textId="019DA60E"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-2.654</w:t>
            </w:r>
          </w:p>
        </w:tc>
        <w:tc>
          <w:tcPr>
            <w:tcW w:w="552" w:type="pct"/>
            <w:tcBorders>
              <w:right w:val="single" w:sz="4" w:space="0" w:color="auto"/>
            </w:tcBorders>
            <w:shd w:val="clear" w:color="auto" w:fill="auto"/>
            <w:noWrap/>
          </w:tcPr>
          <w:p w14:paraId="3C5E41C4" w14:textId="23735FBF"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-2.322</w:t>
            </w:r>
          </w:p>
        </w:tc>
        <w:tc>
          <w:tcPr>
            <w:tcW w:w="717" w:type="pct"/>
            <w:tcBorders>
              <w:left w:val="single" w:sz="4" w:space="0" w:color="auto"/>
              <w:right w:val="single" w:sz="4" w:space="0" w:color="auto"/>
            </w:tcBorders>
            <w:shd w:val="clear" w:color="auto" w:fill="auto"/>
            <w:noWrap/>
          </w:tcPr>
          <w:p w14:paraId="070DDA04" w14:textId="413E13F1"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-0.390</w:t>
            </w:r>
          </w:p>
        </w:tc>
        <w:tc>
          <w:tcPr>
            <w:tcW w:w="486" w:type="pct"/>
            <w:tcBorders>
              <w:left w:val="single" w:sz="4" w:space="0" w:color="auto"/>
            </w:tcBorders>
            <w:shd w:val="clear" w:color="auto" w:fill="auto"/>
            <w:noWrap/>
          </w:tcPr>
          <w:p w14:paraId="39718ED0" w14:textId="7B229632"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-3.284</w:t>
            </w:r>
          </w:p>
        </w:tc>
        <w:tc>
          <w:tcPr>
            <w:tcW w:w="536" w:type="pct"/>
            <w:shd w:val="clear" w:color="auto" w:fill="auto"/>
            <w:noWrap/>
          </w:tcPr>
          <w:p w14:paraId="5480A6B7" w14:textId="1C15601C"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-2.684</w:t>
            </w:r>
          </w:p>
        </w:tc>
        <w:tc>
          <w:tcPr>
            <w:tcW w:w="499" w:type="pct"/>
            <w:tcBorders>
              <w:right w:val="single" w:sz="4" w:space="0" w:color="auto"/>
            </w:tcBorders>
            <w:shd w:val="clear" w:color="auto" w:fill="auto"/>
            <w:noWrap/>
          </w:tcPr>
          <w:p w14:paraId="66889C8F" w14:textId="680EB60B"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-2.357</w:t>
            </w:r>
          </w:p>
        </w:tc>
      </w:tr>
      <w:tr w:rsidR="002E554D" w:rsidRPr="002E554D" w14:paraId="140CB467"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52010B3B" w14:textId="77777777"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689" w:type="pct"/>
            <w:tcBorders>
              <w:left w:val="single" w:sz="4" w:space="0" w:color="auto"/>
              <w:right w:val="single" w:sz="4" w:space="0" w:color="auto"/>
            </w:tcBorders>
            <w:shd w:val="clear" w:color="auto" w:fill="auto"/>
            <w:noWrap/>
          </w:tcPr>
          <w:p w14:paraId="0D18A782" w14:textId="034CB066"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-1.155</w:t>
            </w:r>
          </w:p>
        </w:tc>
        <w:tc>
          <w:tcPr>
            <w:tcW w:w="499" w:type="pct"/>
            <w:tcBorders>
              <w:left w:val="single" w:sz="4" w:space="0" w:color="auto"/>
            </w:tcBorders>
            <w:shd w:val="clear" w:color="auto" w:fill="auto"/>
            <w:noWrap/>
          </w:tcPr>
          <w:p w14:paraId="05DEEE3D" w14:textId="21B8B50F"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-3.231</w:t>
            </w:r>
          </w:p>
        </w:tc>
        <w:tc>
          <w:tcPr>
            <w:tcW w:w="502" w:type="pct"/>
            <w:shd w:val="clear" w:color="auto" w:fill="auto"/>
            <w:noWrap/>
          </w:tcPr>
          <w:p w14:paraId="54663CA0" w14:textId="0E93DA45"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-2.607</w:t>
            </w:r>
          </w:p>
        </w:tc>
        <w:tc>
          <w:tcPr>
            <w:tcW w:w="552" w:type="pct"/>
            <w:tcBorders>
              <w:right w:val="single" w:sz="4" w:space="0" w:color="auto"/>
            </w:tcBorders>
            <w:shd w:val="clear" w:color="auto" w:fill="auto"/>
            <w:noWrap/>
          </w:tcPr>
          <w:p w14:paraId="7130B53E" w14:textId="2120AE59"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-2.269</w:t>
            </w:r>
          </w:p>
        </w:tc>
        <w:tc>
          <w:tcPr>
            <w:tcW w:w="717" w:type="pct"/>
            <w:tcBorders>
              <w:left w:val="single" w:sz="4" w:space="0" w:color="auto"/>
              <w:right w:val="single" w:sz="4" w:space="0" w:color="auto"/>
            </w:tcBorders>
            <w:shd w:val="clear" w:color="auto" w:fill="auto"/>
            <w:noWrap/>
          </w:tcPr>
          <w:p w14:paraId="74A5F3AC" w14:textId="71A5DBDC"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-0.894</w:t>
            </w:r>
          </w:p>
        </w:tc>
        <w:tc>
          <w:tcPr>
            <w:tcW w:w="486" w:type="pct"/>
            <w:tcBorders>
              <w:left w:val="single" w:sz="4" w:space="0" w:color="auto"/>
            </w:tcBorders>
            <w:shd w:val="clear" w:color="auto" w:fill="auto"/>
            <w:noWrap/>
          </w:tcPr>
          <w:p w14:paraId="1D81F9E8" w14:textId="5C1B9ACF"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-3.258</w:t>
            </w:r>
          </w:p>
        </w:tc>
        <w:tc>
          <w:tcPr>
            <w:tcW w:w="536" w:type="pct"/>
            <w:shd w:val="clear" w:color="auto" w:fill="auto"/>
            <w:noWrap/>
          </w:tcPr>
          <w:p w14:paraId="1E5D0CD4" w14:textId="15D5310B"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-2.651</w:t>
            </w:r>
          </w:p>
        </w:tc>
        <w:tc>
          <w:tcPr>
            <w:tcW w:w="499" w:type="pct"/>
            <w:tcBorders>
              <w:right w:val="single" w:sz="4" w:space="0" w:color="auto"/>
            </w:tcBorders>
            <w:shd w:val="clear" w:color="auto" w:fill="auto"/>
            <w:noWrap/>
          </w:tcPr>
          <w:p w14:paraId="72C1E8CB" w14:textId="2A4C73EC"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-2.319</w:t>
            </w:r>
          </w:p>
        </w:tc>
      </w:tr>
      <w:tr w:rsidR="002E554D" w:rsidRPr="002E554D" w14:paraId="4100A504"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46718240" w14:textId="77777777"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689" w:type="pct"/>
            <w:tcBorders>
              <w:left w:val="single" w:sz="4" w:space="0" w:color="auto"/>
              <w:right w:val="single" w:sz="4" w:space="0" w:color="auto"/>
            </w:tcBorders>
            <w:shd w:val="clear" w:color="auto" w:fill="auto"/>
            <w:noWrap/>
          </w:tcPr>
          <w:p w14:paraId="0B9E98E3" w14:textId="476BCA7B"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-1.277</w:t>
            </w:r>
          </w:p>
        </w:tc>
        <w:tc>
          <w:tcPr>
            <w:tcW w:w="499" w:type="pct"/>
            <w:tcBorders>
              <w:left w:val="single" w:sz="4" w:space="0" w:color="auto"/>
            </w:tcBorders>
            <w:shd w:val="clear" w:color="auto" w:fill="auto"/>
            <w:noWrap/>
          </w:tcPr>
          <w:p w14:paraId="5E5BE274" w14:textId="79225AA4"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-3.125</w:t>
            </w:r>
          </w:p>
        </w:tc>
        <w:tc>
          <w:tcPr>
            <w:tcW w:w="502" w:type="pct"/>
            <w:shd w:val="clear" w:color="auto" w:fill="auto"/>
            <w:noWrap/>
          </w:tcPr>
          <w:p w14:paraId="060B5981" w14:textId="27C375CA"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-2.467</w:t>
            </w:r>
          </w:p>
        </w:tc>
        <w:tc>
          <w:tcPr>
            <w:tcW w:w="552" w:type="pct"/>
            <w:tcBorders>
              <w:right w:val="single" w:sz="4" w:space="0" w:color="auto"/>
            </w:tcBorders>
            <w:shd w:val="clear" w:color="auto" w:fill="auto"/>
            <w:noWrap/>
          </w:tcPr>
          <w:p w14:paraId="7C7569C6" w14:textId="2BED5909"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-2.127</w:t>
            </w:r>
          </w:p>
        </w:tc>
        <w:tc>
          <w:tcPr>
            <w:tcW w:w="717" w:type="pct"/>
            <w:tcBorders>
              <w:left w:val="single" w:sz="4" w:space="0" w:color="auto"/>
              <w:right w:val="single" w:sz="4" w:space="0" w:color="auto"/>
            </w:tcBorders>
            <w:shd w:val="clear" w:color="auto" w:fill="auto"/>
            <w:noWrap/>
          </w:tcPr>
          <w:p w14:paraId="3F67CECF" w14:textId="1573B976"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-1.207</w:t>
            </w:r>
          </w:p>
        </w:tc>
        <w:tc>
          <w:tcPr>
            <w:tcW w:w="486" w:type="pct"/>
            <w:tcBorders>
              <w:left w:val="single" w:sz="4" w:space="0" w:color="auto"/>
            </w:tcBorders>
            <w:shd w:val="clear" w:color="auto" w:fill="auto"/>
            <w:noWrap/>
          </w:tcPr>
          <w:p w14:paraId="0C75BB09" w14:textId="4591231B"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-3.132</w:t>
            </w:r>
          </w:p>
        </w:tc>
        <w:tc>
          <w:tcPr>
            <w:tcW w:w="536" w:type="pct"/>
            <w:shd w:val="clear" w:color="auto" w:fill="auto"/>
            <w:noWrap/>
          </w:tcPr>
          <w:p w14:paraId="1B9507F6" w14:textId="5723462E"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-2.475</w:t>
            </w:r>
          </w:p>
        </w:tc>
        <w:tc>
          <w:tcPr>
            <w:tcW w:w="499" w:type="pct"/>
            <w:tcBorders>
              <w:right w:val="single" w:sz="4" w:space="0" w:color="auto"/>
            </w:tcBorders>
            <w:shd w:val="clear" w:color="auto" w:fill="auto"/>
            <w:noWrap/>
          </w:tcPr>
          <w:p w14:paraId="3F5F2AFB" w14:textId="102F5FE5"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-2.135</w:t>
            </w:r>
          </w:p>
        </w:tc>
      </w:tr>
      <w:tr w:rsidR="002E554D" w:rsidRPr="002E554D" w14:paraId="6B7451F0"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50C76F61" w14:textId="77777777"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689" w:type="pct"/>
            <w:tcBorders>
              <w:left w:val="single" w:sz="4" w:space="0" w:color="auto"/>
              <w:right w:val="single" w:sz="4" w:space="0" w:color="auto"/>
            </w:tcBorders>
            <w:shd w:val="clear" w:color="auto" w:fill="auto"/>
            <w:noWrap/>
          </w:tcPr>
          <w:p w14:paraId="0E08CFC8" w14:textId="71888184" w:rsidR="00D22E4B" w:rsidRPr="002E554D" w:rsidRDefault="00D22E4B" w:rsidP="00D22E4B">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-2.398**</w:t>
            </w:r>
          </w:p>
        </w:tc>
        <w:tc>
          <w:tcPr>
            <w:tcW w:w="499" w:type="pct"/>
            <w:tcBorders>
              <w:left w:val="single" w:sz="4" w:space="0" w:color="auto"/>
            </w:tcBorders>
            <w:shd w:val="clear" w:color="auto" w:fill="auto"/>
            <w:noWrap/>
          </w:tcPr>
          <w:p w14:paraId="0317E295" w14:textId="37C192A7"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-3.033</w:t>
            </w:r>
          </w:p>
        </w:tc>
        <w:tc>
          <w:tcPr>
            <w:tcW w:w="502" w:type="pct"/>
            <w:shd w:val="clear" w:color="auto" w:fill="auto"/>
            <w:noWrap/>
          </w:tcPr>
          <w:p w14:paraId="465C2713" w14:textId="36891C26"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-2.380</w:t>
            </w:r>
          </w:p>
        </w:tc>
        <w:tc>
          <w:tcPr>
            <w:tcW w:w="552" w:type="pct"/>
            <w:tcBorders>
              <w:right w:val="single" w:sz="4" w:space="0" w:color="auto"/>
            </w:tcBorders>
            <w:shd w:val="clear" w:color="auto" w:fill="auto"/>
            <w:noWrap/>
          </w:tcPr>
          <w:p w14:paraId="5853DF8A" w14:textId="1D75CD8B"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-2.033</w:t>
            </w:r>
          </w:p>
        </w:tc>
        <w:tc>
          <w:tcPr>
            <w:tcW w:w="717" w:type="pct"/>
            <w:tcBorders>
              <w:left w:val="single" w:sz="4" w:space="0" w:color="auto"/>
              <w:right w:val="single" w:sz="4" w:space="0" w:color="auto"/>
            </w:tcBorders>
            <w:shd w:val="clear" w:color="auto" w:fill="auto"/>
            <w:noWrap/>
          </w:tcPr>
          <w:p w14:paraId="24B3A799" w14:textId="0835599F"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-1.014</w:t>
            </w:r>
          </w:p>
        </w:tc>
        <w:tc>
          <w:tcPr>
            <w:tcW w:w="486" w:type="pct"/>
            <w:tcBorders>
              <w:left w:val="single" w:sz="4" w:space="0" w:color="auto"/>
            </w:tcBorders>
            <w:shd w:val="clear" w:color="auto" w:fill="auto"/>
            <w:noWrap/>
          </w:tcPr>
          <w:p w14:paraId="1B3152BB" w14:textId="1DA9B118"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-3.023</w:t>
            </w:r>
          </w:p>
        </w:tc>
        <w:tc>
          <w:tcPr>
            <w:tcW w:w="536" w:type="pct"/>
            <w:shd w:val="clear" w:color="auto" w:fill="auto"/>
            <w:noWrap/>
          </w:tcPr>
          <w:p w14:paraId="4E3F819C" w14:textId="00024FDF"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-2.370</w:t>
            </w:r>
          </w:p>
        </w:tc>
        <w:tc>
          <w:tcPr>
            <w:tcW w:w="499" w:type="pct"/>
            <w:tcBorders>
              <w:right w:val="single" w:sz="4" w:space="0" w:color="auto"/>
            </w:tcBorders>
            <w:shd w:val="clear" w:color="auto" w:fill="auto"/>
            <w:noWrap/>
          </w:tcPr>
          <w:p w14:paraId="755C27EB" w14:textId="7BC7CAF3"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-2.023</w:t>
            </w:r>
          </w:p>
        </w:tc>
      </w:tr>
      <w:tr w:rsidR="002E554D" w:rsidRPr="002E554D" w14:paraId="42EAC530"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68784FDB" w14:textId="77777777"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689" w:type="pct"/>
            <w:tcBorders>
              <w:left w:val="single" w:sz="4" w:space="0" w:color="auto"/>
              <w:right w:val="single" w:sz="4" w:space="0" w:color="auto"/>
            </w:tcBorders>
            <w:shd w:val="clear" w:color="auto" w:fill="auto"/>
            <w:noWrap/>
          </w:tcPr>
          <w:p w14:paraId="6A9C8582" w14:textId="7F1B6CC9"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-1.540</w:t>
            </w:r>
          </w:p>
        </w:tc>
        <w:tc>
          <w:tcPr>
            <w:tcW w:w="499" w:type="pct"/>
            <w:tcBorders>
              <w:left w:val="single" w:sz="4" w:space="0" w:color="auto"/>
            </w:tcBorders>
            <w:shd w:val="clear" w:color="auto" w:fill="auto"/>
            <w:noWrap/>
          </w:tcPr>
          <w:p w14:paraId="11BABD39" w14:textId="01217A13"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-2.756</w:t>
            </w:r>
          </w:p>
        </w:tc>
        <w:tc>
          <w:tcPr>
            <w:tcW w:w="502" w:type="pct"/>
            <w:shd w:val="clear" w:color="auto" w:fill="auto"/>
            <w:noWrap/>
          </w:tcPr>
          <w:p w14:paraId="43F9E3E3" w14:textId="5E06AADE"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-2.085</w:t>
            </w:r>
          </w:p>
        </w:tc>
        <w:tc>
          <w:tcPr>
            <w:tcW w:w="552" w:type="pct"/>
            <w:tcBorders>
              <w:right w:val="single" w:sz="4" w:space="0" w:color="auto"/>
            </w:tcBorders>
            <w:shd w:val="clear" w:color="auto" w:fill="auto"/>
            <w:noWrap/>
          </w:tcPr>
          <w:p w14:paraId="64A84D6F" w14:textId="6B4DC7D5"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-1.725</w:t>
            </w:r>
          </w:p>
        </w:tc>
        <w:tc>
          <w:tcPr>
            <w:tcW w:w="717" w:type="pct"/>
            <w:tcBorders>
              <w:left w:val="single" w:sz="4" w:space="0" w:color="auto"/>
              <w:right w:val="single" w:sz="4" w:space="0" w:color="auto"/>
            </w:tcBorders>
            <w:shd w:val="clear" w:color="auto" w:fill="auto"/>
            <w:noWrap/>
          </w:tcPr>
          <w:p w14:paraId="27AF9097" w14:textId="368C6AEA"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-1.179</w:t>
            </w:r>
          </w:p>
        </w:tc>
        <w:tc>
          <w:tcPr>
            <w:tcW w:w="486" w:type="pct"/>
            <w:tcBorders>
              <w:left w:val="single" w:sz="4" w:space="0" w:color="auto"/>
            </w:tcBorders>
            <w:shd w:val="clear" w:color="auto" w:fill="auto"/>
            <w:noWrap/>
          </w:tcPr>
          <w:p w14:paraId="154AAE99" w14:textId="2DFAA52F"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-2.693</w:t>
            </w:r>
          </w:p>
        </w:tc>
        <w:tc>
          <w:tcPr>
            <w:tcW w:w="536" w:type="pct"/>
            <w:shd w:val="clear" w:color="auto" w:fill="auto"/>
            <w:noWrap/>
          </w:tcPr>
          <w:p w14:paraId="6D18F0D5" w14:textId="256E28BA" w:rsidR="00D22E4B" w:rsidRPr="002E554D" w:rsidRDefault="00D22E4B" w:rsidP="00D22E4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-2.021</w:t>
            </w:r>
          </w:p>
        </w:tc>
        <w:tc>
          <w:tcPr>
            <w:tcW w:w="499" w:type="pct"/>
            <w:tcBorders>
              <w:right w:val="single" w:sz="4" w:space="0" w:color="auto"/>
            </w:tcBorders>
            <w:shd w:val="clear" w:color="auto" w:fill="auto"/>
            <w:noWrap/>
          </w:tcPr>
          <w:p w14:paraId="70DBFFA1" w14:textId="0EA90144" w:rsidR="00D22E4B" w:rsidRPr="002E554D" w:rsidRDefault="00D22E4B" w:rsidP="00D22E4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-1.661</w:t>
            </w:r>
          </w:p>
        </w:tc>
      </w:tr>
      <w:tr w:rsidR="002E554D" w:rsidRPr="002E554D" w14:paraId="10BA3A88" w14:textId="77777777" w:rsidTr="00D22E4B">
        <w:trPr>
          <w:trHeight w:val="300"/>
          <w:jc w:val="center"/>
        </w:trPr>
        <w:tc>
          <w:tcPr>
            <w:tcW w:w="519" w:type="pct"/>
            <w:tcBorders>
              <w:left w:val="single" w:sz="4" w:space="0" w:color="auto"/>
              <w:right w:val="single" w:sz="4" w:space="0" w:color="auto"/>
            </w:tcBorders>
            <w:shd w:val="clear" w:color="auto" w:fill="auto"/>
            <w:noWrap/>
            <w:vAlign w:val="bottom"/>
          </w:tcPr>
          <w:p w14:paraId="439BAC76" w14:textId="0FA6CC89" w:rsidR="001D2C51" w:rsidRPr="002E554D" w:rsidRDefault="00EB70F3">
            <w:pPr>
              <w:spacing w:after="0" w:line="240" w:lineRule="auto"/>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Quantiles</w:t>
            </w:r>
          </w:p>
        </w:tc>
        <w:tc>
          <w:tcPr>
            <w:tcW w:w="2241" w:type="pct"/>
            <w:gridSpan w:val="4"/>
            <w:tcBorders>
              <w:left w:val="single" w:sz="4" w:space="0" w:color="auto"/>
              <w:right w:val="single" w:sz="4" w:space="0" w:color="auto"/>
            </w:tcBorders>
            <w:shd w:val="clear" w:color="auto" w:fill="auto"/>
            <w:noWrap/>
            <w:vAlign w:val="center"/>
          </w:tcPr>
          <w:p w14:paraId="54C50401" w14:textId="729B3F8C" w:rsidR="001D2C51" w:rsidRPr="002E554D" w:rsidRDefault="001D2C51">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FR BENCHMARK 10 YEAR DS GOVT. INDEX</w:t>
            </w:r>
          </w:p>
        </w:tc>
        <w:tc>
          <w:tcPr>
            <w:tcW w:w="2240" w:type="pct"/>
            <w:gridSpan w:val="4"/>
            <w:tcBorders>
              <w:left w:val="single" w:sz="4" w:space="0" w:color="auto"/>
              <w:right w:val="single" w:sz="4" w:space="0" w:color="auto"/>
            </w:tcBorders>
            <w:shd w:val="clear" w:color="auto" w:fill="auto"/>
            <w:noWrap/>
            <w:vAlign w:val="center"/>
          </w:tcPr>
          <w:p w14:paraId="5A552D5D" w14:textId="751621AD" w:rsidR="001D2C51" w:rsidRPr="002E554D" w:rsidRDefault="001D2C51">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UK BENCHMARK 10 YEAR DS GOVT. INDEX</w:t>
            </w:r>
          </w:p>
        </w:tc>
      </w:tr>
      <w:tr w:rsidR="002E554D" w:rsidRPr="002E554D" w14:paraId="2FD5476C"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53641C8B" w14:textId="7777777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689" w:type="pct"/>
            <w:tcBorders>
              <w:left w:val="single" w:sz="4" w:space="0" w:color="auto"/>
              <w:right w:val="single" w:sz="4" w:space="0" w:color="auto"/>
            </w:tcBorders>
            <w:shd w:val="clear" w:color="auto" w:fill="auto"/>
            <w:noWrap/>
          </w:tcPr>
          <w:p w14:paraId="42A7CF9F" w14:textId="48B07B50"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-0.889</w:t>
            </w:r>
          </w:p>
        </w:tc>
        <w:tc>
          <w:tcPr>
            <w:tcW w:w="499" w:type="pct"/>
            <w:tcBorders>
              <w:left w:val="single" w:sz="4" w:space="0" w:color="auto"/>
            </w:tcBorders>
            <w:shd w:val="clear" w:color="auto" w:fill="auto"/>
            <w:noWrap/>
          </w:tcPr>
          <w:p w14:paraId="3AD4D969" w14:textId="4780A7C2"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-2.744</w:t>
            </w:r>
          </w:p>
        </w:tc>
        <w:tc>
          <w:tcPr>
            <w:tcW w:w="502" w:type="pct"/>
            <w:shd w:val="clear" w:color="auto" w:fill="auto"/>
            <w:noWrap/>
          </w:tcPr>
          <w:p w14:paraId="12A55209" w14:textId="6CC0780A"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-2.072</w:t>
            </w:r>
          </w:p>
        </w:tc>
        <w:tc>
          <w:tcPr>
            <w:tcW w:w="552" w:type="pct"/>
            <w:tcBorders>
              <w:right w:val="single" w:sz="4" w:space="0" w:color="auto"/>
            </w:tcBorders>
            <w:shd w:val="clear" w:color="auto" w:fill="auto"/>
            <w:noWrap/>
          </w:tcPr>
          <w:p w14:paraId="6B48E248" w14:textId="1A0CBDF9"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-1.712</w:t>
            </w:r>
          </w:p>
        </w:tc>
        <w:tc>
          <w:tcPr>
            <w:tcW w:w="717" w:type="pct"/>
            <w:tcBorders>
              <w:left w:val="single" w:sz="4" w:space="0" w:color="auto"/>
              <w:right w:val="single" w:sz="4" w:space="0" w:color="auto"/>
            </w:tcBorders>
            <w:shd w:val="clear" w:color="auto" w:fill="auto"/>
            <w:noWrap/>
          </w:tcPr>
          <w:p w14:paraId="661DDB24" w14:textId="5ED59543" w:rsidR="00D644AB" w:rsidRPr="002E554D" w:rsidRDefault="00D644AB" w:rsidP="00D644AB">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-2.296*</w:t>
            </w:r>
            <w:r w:rsidR="00C42F97" w:rsidRPr="002E554D">
              <w:rPr>
                <w:rFonts w:ascii="Garamond" w:hAnsi="Garamond"/>
                <w:b/>
                <w:bCs/>
                <w:color w:val="FF0000"/>
              </w:rPr>
              <w:t>*</w:t>
            </w:r>
          </w:p>
        </w:tc>
        <w:tc>
          <w:tcPr>
            <w:tcW w:w="486" w:type="pct"/>
            <w:tcBorders>
              <w:left w:val="single" w:sz="4" w:space="0" w:color="auto"/>
            </w:tcBorders>
            <w:shd w:val="clear" w:color="auto" w:fill="auto"/>
            <w:noWrap/>
            <w:vAlign w:val="center"/>
          </w:tcPr>
          <w:p w14:paraId="226CDF01" w14:textId="7AE9E933"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-2.8768</w:t>
            </w:r>
          </w:p>
        </w:tc>
        <w:tc>
          <w:tcPr>
            <w:tcW w:w="536" w:type="pct"/>
            <w:shd w:val="clear" w:color="auto" w:fill="auto"/>
            <w:noWrap/>
            <w:vAlign w:val="center"/>
          </w:tcPr>
          <w:p w14:paraId="45B3E48E" w14:textId="7AA4332C"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-2.2126</w:t>
            </w:r>
          </w:p>
        </w:tc>
        <w:tc>
          <w:tcPr>
            <w:tcW w:w="499" w:type="pct"/>
            <w:tcBorders>
              <w:right w:val="single" w:sz="4" w:space="0" w:color="auto"/>
            </w:tcBorders>
            <w:shd w:val="clear" w:color="auto" w:fill="auto"/>
            <w:noWrap/>
            <w:vAlign w:val="center"/>
          </w:tcPr>
          <w:p w14:paraId="21540875" w14:textId="084C23B0"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-1.8555</w:t>
            </w:r>
          </w:p>
        </w:tc>
      </w:tr>
      <w:tr w:rsidR="002E554D" w:rsidRPr="002E554D" w14:paraId="041DC1B2"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2421C8B0" w14:textId="7777777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689" w:type="pct"/>
            <w:tcBorders>
              <w:left w:val="single" w:sz="4" w:space="0" w:color="auto"/>
              <w:right w:val="single" w:sz="4" w:space="0" w:color="auto"/>
            </w:tcBorders>
            <w:shd w:val="clear" w:color="auto" w:fill="auto"/>
            <w:noWrap/>
          </w:tcPr>
          <w:p w14:paraId="3F1CC23B" w14:textId="4B988D7B" w:rsidR="00D644AB" w:rsidRPr="002E554D" w:rsidRDefault="00D644AB" w:rsidP="00D644AB">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0.039</w:t>
            </w:r>
          </w:p>
        </w:tc>
        <w:tc>
          <w:tcPr>
            <w:tcW w:w="499" w:type="pct"/>
            <w:tcBorders>
              <w:left w:val="single" w:sz="4" w:space="0" w:color="auto"/>
            </w:tcBorders>
            <w:shd w:val="clear" w:color="auto" w:fill="auto"/>
            <w:noWrap/>
          </w:tcPr>
          <w:p w14:paraId="4D543769" w14:textId="49A5F0FD"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-2.986</w:t>
            </w:r>
          </w:p>
        </w:tc>
        <w:tc>
          <w:tcPr>
            <w:tcW w:w="502" w:type="pct"/>
            <w:shd w:val="clear" w:color="auto" w:fill="auto"/>
            <w:noWrap/>
          </w:tcPr>
          <w:p w14:paraId="32DE9927" w14:textId="697EF002" w:rsidR="00D644AB" w:rsidRPr="002E554D" w:rsidRDefault="00D644AB" w:rsidP="00D644AB">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-2.335</w:t>
            </w:r>
          </w:p>
        </w:tc>
        <w:tc>
          <w:tcPr>
            <w:tcW w:w="552" w:type="pct"/>
            <w:tcBorders>
              <w:right w:val="single" w:sz="4" w:space="0" w:color="auto"/>
            </w:tcBorders>
            <w:shd w:val="clear" w:color="auto" w:fill="auto"/>
            <w:noWrap/>
          </w:tcPr>
          <w:p w14:paraId="20A63720" w14:textId="01DD2285"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-1.985</w:t>
            </w:r>
          </w:p>
        </w:tc>
        <w:tc>
          <w:tcPr>
            <w:tcW w:w="717" w:type="pct"/>
            <w:tcBorders>
              <w:left w:val="single" w:sz="4" w:space="0" w:color="auto"/>
              <w:right w:val="single" w:sz="4" w:space="0" w:color="auto"/>
            </w:tcBorders>
            <w:shd w:val="clear" w:color="auto" w:fill="auto"/>
            <w:noWrap/>
          </w:tcPr>
          <w:p w14:paraId="239D84D1" w14:textId="4F827C1D"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-1.747</w:t>
            </w:r>
          </w:p>
        </w:tc>
        <w:tc>
          <w:tcPr>
            <w:tcW w:w="486" w:type="pct"/>
            <w:tcBorders>
              <w:left w:val="single" w:sz="4" w:space="0" w:color="auto"/>
            </w:tcBorders>
            <w:shd w:val="clear" w:color="auto" w:fill="auto"/>
            <w:noWrap/>
            <w:vAlign w:val="center"/>
          </w:tcPr>
          <w:p w14:paraId="6CFD169F" w14:textId="70650083"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-3.1569</w:t>
            </w:r>
          </w:p>
        </w:tc>
        <w:tc>
          <w:tcPr>
            <w:tcW w:w="536" w:type="pct"/>
            <w:shd w:val="clear" w:color="auto" w:fill="auto"/>
            <w:noWrap/>
            <w:vAlign w:val="center"/>
          </w:tcPr>
          <w:p w14:paraId="4459C3A7" w14:textId="6DD1829F"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-2.508</w:t>
            </w:r>
          </w:p>
        </w:tc>
        <w:tc>
          <w:tcPr>
            <w:tcW w:w="499" w:type="pct"/>
            <w:tcBorders>
              <w:right w:val="single" w:sz="4" w:space="0" w:color="auto"/>
            </w:tcBorders>
            <w:shd w:val="clear" w:color="auto" w:fill="auto"/>
            <w:noWrap/>
            <w:vAlign w:val="center"/>
          </w:tcPr>
          <w:p w14:paraId="42B3BB1B" w14:textId="198CF04C"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-2.168</w:t>
            </w:r>
          </w:p>
        </w:tc>
      </w:tr>
      <w:tr w:rsidR="002E554D" w:rsidRPr="002E554D" w14:paraId="064961EA"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049C76B3" w14:textId="7777777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689" w:type="pct"/>
            <w:tcBorders>
              <w:left w:val="single" w:sz="4" w:space="0" w:color="auto"/>
              <w:right w:val="single" w:sz="4" w:space="0" w:color="auto"/>
            </w:tcBorders>
            <w:shd w:val="clear" w:color="auto" w:fill="auto"/>
            <w:noWrap/>
          </w:tcPr>
          <w:p w14:paraId="01826AE0" w14:textId="6415B2E2"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-0.935</w:t>
            </w:r>
          </w:p>
        </w:tc>
        <w:tc>
          <w:tcPr>
            <w:tcW w:w="499" w:type="pct"/>
            <w:tcBorders>
              <w:left w:val="single" w:sz="4" w:space="0" w:color="auto"/>
            </w:tcBorders>
            <w:shd w:val="clear" w:color="auto" w:fill="auto"/>
            <w:noWrap/>
          </w:tcPr>
          <w:p w14:paraId="034ACF8C" w14:textId="57498CB9"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-3.183</w:t>
            </w:r>
          </w:p>
        </w:tc>
        <w:tc>
          <w:tcPr>
            <w:tcW w:w="502" w:type="pct"/>
            <w:shd w:val="clear" w:color="auto" w:fill="auto"/>
            <w:noWrap/>
          </w:tcPr>
          <w:p w14:paraId="6808DBDD" w14:textId="492040DE"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-2.542</w:t>
            </w:r>
          </w:p>
        </w:tc>
        <w:tc>
          <w:tcPr>
            <w:tcW w:w="552" w:type="pct"/>
            <w:tcBorders>
              <w:right w:val="single" w:sz="4" w:space="0" w:color="auto"/>
            </w:tcBorders>
            <w:shd w:val="clear" w:color="auto" w:fill="auto"/>
            <w:noWrap/>
          </w:tcPr>
          <w:p w14:paraId="36E7A6DB" w14:textId="4A5FF02E"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-2.202</w:t>
            </w:r>
          </w:p>
        </w:tc>
        <w:tc>
          <w:tcPr>
            <w:tcW w:w="717" w:type="pct"/>
            <w:tcBorders>
              <w:left w:val="single" w:sz="4" w:space="0" w:color="auto"/>
              <w:right w:val="single" w:sz="4" w:space="0" w:color="auto"/>
            </w:tcBorders>
            <w:shd w:val="clear" w:color="auto" w:fill="auto"/>
            <w:noWrap/>
          </w:tcPr>
          <w:p w14:paraId="6FF8EA8F" w14:textId="42CEC82F"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-0.699</w:t>
            </w:r>
          </w:p>
        </w:tc>
        <w:tc>
          <w:tcPr>
            <w:tcW w:w="486" w:type="pct"/>
            <w:tcBorders>
              <w:left w:val="single" w:sz="4" w:space="0" w:color="auto"/>
            </w:tcBorders>
            <w:shd w:val="clear" w:color="auto" w:fill="auto"/>
            <w:noWrap/>
            <w:vAlign w:val="center"/>
          </w:tcPr>
          <w:p w14:paraId="3B4B6955" w14:textId="3F921B1C"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-3.2435</w:t>
            </w:r>
          </w:p>
        </w:tc>
        <w:tc>
          <w:tcPr>
            <w:tcW w:w="536" w:type="pct"/>
            <w:shd w:val="clear" w:color="auto" w:fill="auto"/>
            <w:noWrap/>
            <w:vAlign w:val="center"/>
          </w:tcPr>
          <w:p w14:paraId="5714C59B" w14:textId="6326CE45"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-2.6275</w:t>
            </w:r>
          </w:p>
        </w:tc>
        <w:tc>
          <w:tcPr>
            <w:tcW w:w="499" w:type="pct"/>
            <w:tcBorders>
              <w:right w:val="single" w:sz="4" w:space="0" w:color="auto"/>
            </w:tcBorders>
            <w:shd w:val="clear" w:color="auto" w:fill="auto"/>
            <w:noWrap/>
            <w:vAlign w:val="center"/>
          </w:tcPr>
          <w:p w14:paraId="52EDC272" w14:textId="62C429BF"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-2.2922</w:t>
            </w:r>
          </w:p>
        </w:tc>
      </w:tr>
      <w:tr w:rsidR="002E554D" w:rsidRPr="002E554D" w14:paraId="16E4672D"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483E00F5" w14:textId="7777777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689" w:type="pct"/>
            <w:tcBorders>
              <w:left w:val="single" w:sz="4" w:space="0" w:color="auto"/>
              <w:right w:val="single" w:sz="4" w:space="0" w:color="auto"/>
            </w:tcBorders>
            <w:shd w:val="clear" w:color="auto" w:fill="auto"/>
            <w:noWrap/>
          </w:tcPr>
          <w:p w14:paraId="0DB7A4A1" w14:textId="29F11E4B"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-0.927</w:t>
            </w:r>
          </w:p>
        </w:tc>
        <w:tc>
          <w:tcPr>
            <w:tcW w:w="499" w:type="pct"/>
            <w:tcBorders>
              <w:left w:val="single" w:sz="4" w:space="0" w:color="auto"/>
            </w:tcBorders>
            <w:shd w:val="clear" w:color="auto" w:fill="auto"/>
            <w:noWrap/>
          </w:tcPr>
          <w:p w14:paraId="59335DFF" w14:textId="54F9BCFB"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-3.298</w:t>
            </w:r>
          </w:p>
        </w:tc>
        <w:tc>
          <w:tcPr>
            <w:tcW w:w="502" w:type="pct"/>
            <w:shd w:val="clear" w:color="auto" w:fill="auto"/>
            <w:noWrap/>
          </w:tcPr>
          <w:p w14:paraId="22A9F19B" w14:textId="5688C7DE"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-2.698</w:t>
            </w:r>
          </w:p>
        </w:tc>
        <w:tc>
          <w:tcPr>
            <w:tcW w:w="552" w:type="pct"/>
            <w:tcBorders>
              <w:right w:val="single" w:sz="4" w:space="0" w:color="auto"/>
            </w:tcBorders>
            <w:shd w:val="clear" w:color="auto" w:fill="auto"/>
            <w:noWrap/>
          </w:tcPr>
          <w:p w14:paraId="6CA68559" w14:textId="39B7A5AB"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-2.377</w:t>
            </w:r>
          </w:p>
        </w:tc>
        <w:tc>
          <w:tcPr>
            <w:tcW w:w="717" w:type="pct"/>
            <w:tcBorders>
              <w:left w:val="single" w:sz="4" w:space="0" w:color="auto"/>
              <w:right w:val="single" w:sz="4" w:space="0" w:color="auto"/>
            </w:tcBorders>
            <w:shd w:val="clear" w:color="auto" w:fill="auto"/>
            <w:noWrap/>
          </w:tcPr>
          <w:p w14:paraId="4B569075" w14:textId="38AF9C6D"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-0.962</w:t>
            </w:r>
          </w:p>
        </w:tc>
        <w:tc>
          <w:tcPr>
            <w:tcW w:w="486" w:type="pct"/>
            <w:tcBorders>
              <w:left w:val="single" w:sz="4" w:space="0" w:color="auto"/>
            </w:tcBorders>
            <w:shd w:val="clear" w:color="auto" w:fill="auto"/>
            <w:noWrap/>
            <w:vAlign w:val="center"/>
          </w:tcPr>
          <w:p w14:paraId="52F0AC59" w14:textId="1DCD3CBA"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-3.2806</w:t>
            </w:r>
          </w:p>
        </w:tc>
        <w:tc>
          <w:tcPr>
            <w:tcW w:w="536" w:type="pct"/>
            <w:shd w:val="clear" w:color="auto" w:fill="auto"/>
            <w:noWrap/>
            <w:vAlign w:val="center"/>
          </w:tcPr>
          <w:p w14:paraId="7610B5FC" w14:textId="659F6FAE"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-2.6806</w:t>
            </w:r>
          </w:p>
        </w:tc>
        <w:tc>
          <w:tcPr>
            <w:tcW w:w="499" w:type="pct"/>
            <w:tcBorders>
              <w:right w:val="single" w:sz="4" w:space="0" w:color="auto"/>
            </w:tcBorders>
            <w:shd w:val="clear" w:color="auto" w:fill="auto"/>
            <w:noWrap/>
            <w:vAlign w:val="center"/>
          </w:tcPr>
          <w:p w14:paraId="7A2274B6" w14:textId="308C4452"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-2.3537</w:t>
            </w:r>
          </w:p>
        </w:tc>
      </w:tr>
      <w:tr w:rsidR="002E554D" w:rsidRPr="002E554D" w14:paraId="055DEEB1"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5356E2F7" w14:textId="7777777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689" w:type="pct"/>
            <w:tcBorders>
              <w:left w:val="single" w:sz="4" w:space="0" w:color="auto"/>
              <w:right w:val="single" w:sz="4" w:space="0" w:color="auto"/>
            </w:tcBorders>
            <w:shd w:val="clear" w:color="auto" w:fill="auto"/>
            <w:noWrap/>
          </w:tcPr>
          <w:p w14:paraId="474E11B8" w14:textId="2D460682"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-0.950</w:t>
            </w:r>
          </w:p>
        </w:tc>
        <w:tc>
          <w:tcPr>
            <w:tcW w:w="499" w:type="pct"/>
            <w:tcBorders>
              <w:left w:val="single" w:sz="4" w:space="0" w:color="auto"/>
            </w:tcBorders>
            <w:shd w:val="clear" w:color="auto" w:fill="auto"/>
            <w:noWrap/>
          </w:tcPr>
          <w:p w14:paraId="190AA094" w14:textId="79CC80BE"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-3.259</w:t>
            </w:r>
          </w:p>
        </w:tc>
        <w:tc>
          <w:tcPr>
            <w:tcW w:w="502" w:type="pct"/>
            <w:shd w:val="clear" w:color="auto" w:fill="auto"/>
            <w:noWrap/>
          </w:tcPr>
          <w:p w14:paraId="47BF1459" w14:textId="3C750018"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-2.653</w:t>
            </w:r>
          </w:p>
        </w:tc>
        <w:tc>
          <w:tcPr>
            <w:tcW w:w="552" w:type="pct"/>
            <w:tcBorders>
              <w:right w:val="single" w:sz="4" w:space="0" w:color="auto"/>
            </w:tcBorders>
            <w:shd w:val="clear" w:color="auto" w:fill="auto"/>
            <w:noWrap/>
          </w:tcPr>
          <w:p w14:paraId="087C7839" w14:textId="3A26C6A6"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-2.321</w:t>
            </w:r>
          </w:p>
        </w:tc>
        <w:tc>
          <w:tcPr>
            <w:tcW w:w="717" w:type="pct"/>
            <w:tcBorders>
              <w:left w:val="single" w:sz="4" w:space="0" w:color="auto"/>
              <w:right w:val="single" w:sz="4" w:space="0" w:color="auto"/>
            </w:tcBorders>
            <w:shd w:val="clear" w:color="auto" w:fill="auto"/>
            <w:noWrap/>
          </w:tcPr>
          <w:p w14:paraId="2A1CC6AD" w14:textId="53FEBD89"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0.000</w:t>
            </w:r>
          </w:p>
        </w:tc>
        <w:tc>
          <w:tcPr>
            <w:tcW w:w="486" w:type="pct"/>
            <w:tcBorders>
              <w:left w:val="single" w:sz="4" w:space="0" w:color="auto"/>
            </w:tcBorders>
            <w:shd w:val="clear" w:color="auto" w:fill="auto"/>
            <w:noWrap/>
            <w:vAlign w:val="center"/>
          </w:tcPr>
          <w:p w14:paraId="2CFE9585" w14:textId="67EFA251"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-3.2914</w:t>
            </w:r>
          </w:p>
        </w:tc>
        <w:tc>
          <w:tcPr>
            <w:tcW w:w="536" w:type="pct"/>
            <w:shd w:val="clear" w:color="auto" w:fill="auto"/>
            <w:noWrap/>
            <w:vAlign w:val="center"/>
          </w:tcPr>
          <w:p w14:paraId="3DBACB69" w14:textId="6F32F216"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-2.6914</w:t>
            </w:r>
          </w:p>
        </w:tc>
        <w:tc>
          <w:tcPr>
            <w:tcW w:w="499" w:type="pct"/>
            <w:tcBorders>
              <w:right w:val="single" w:sz="4" w:space="0" w:color="auto"/>
            </w:tcBorders>
            <w:shd w:val="clear" w:color="auto" w:fill="auto"/>
            <w:noWrap/>
            <w:vAlign w:val="center"/>
          </w:tcPr>
          <w:p w14:paraId="421A488C" w14:textId="107E2F14"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-2.3675</w:t>
            </w:r>
          </w:p>
        </w:tc>
      </w:tr>
      <w:tr w:rsidR="002E554D" w:rsidRPr="002E554D" w14:paraId="3507EF42"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7F9AA8E1" w14:textId="7777777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689" w:type="pct"/>
            <w:tcBorders>
              <w:left w:val="single" w:sz="4" w:space="0" w:color="auto"/>
              <w:right w:val="single" w:sz="4" w:space="0" w:color="auto"/>
            </w:tcBorders>
            <w:shd w:val="clear" w:color="auto" w:fill="auto"/>
            <w:noWrap/>
          </w:tcPr>
          <w:p w14:paraId="6B4DC2DC" w14:textId="7ECAEC75" w:rsidR="00D644AB" w:rsidRPr="002E554D" w:rsidRDefault="00D644AB" w:rsidP="00D644AB">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-2.467**</w:t>
            </w:r>
          </w:p>
        </w:tc>
        <w:tc>
          <w:tcPr>
            <w:tcW w:w="499" w:type="pct"/>
            <w:tcBorders>
              <w:left w:val="single" w:sz="4" w:space="0" w:color="auto"/>
            </w:tcBorders>
            <w:shd w:val="clear" w:color="auto" w:fill="auto"/>
            <w:noWrap/>
          </w:tcPr>
          <w:p w14:paraId="21396D55" w14:textId="27D25A72"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-3.173</w:t>
            </w:r>
          </w:p>
        </w:tc>
        <w:tc>
          <w:tcPr>
            <w:tcW w:w="502" w:type="pct"/>
            <w:shd w:val="clear" w:color="auto" w:fill="auto"/>
            <w:noWrap/>
          </w:tcPr>
          <w:p w14:paraId="33240FA6" w14:textId="1887804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-2.529</w:t>
            </w:r>
          </w:p>
        </w:tc>
        <w:tc>
          <w:tcPr>
            <w:tcW w:w="552" w:type="pct"/>
            <w:tcBorders>
              <w:right w:val="single" w:sz="4" w:space="0" w:color="auto"/>
            </w:tcBorders>
            <w:shd w:val="clear" w:color="auto" w:fill="auto"/>
            <w:noWrap/>
          </w:tcPr>
          <w:p w14:paraId="09792EDF" w14:textId="365C385C"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-2.189</w:t>
            </w:r>
          </w:p>
        </w:tc>
        <w:tc>
          <w:tcPr>
            <w:tcW w:w="717" w:type="pct"/>
            <w:tcBorders>
              <w:left w:val="single" w:sz="4" w:space="0" w:color="auto"/>
              <w:right w:val="single" w:sz="4" w:space="0" w:color="auto"/>
            </w:tcBorders>
            <w:shd w:val="clear" w:color="auto" w:fill="auto"/>
            <w:noWrap/>
          </w:tcPr>
          <w:p w14:paraId="0907D324" w14:textId="70C02527"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-0.548</w:t>
            </w:r>
          </w:p>
        </w:tc>
        <w:tc>
          <w:tcPr>
            <w:tcW w:w="486" w:type="pct"/>
            <w:tcBorders>
              <w:left w:val="single" w:sz="4" w:space="0" w:color="auto"/>
            </w:tcBorders>
            <w:shd w:val="clear" w:color="auto" w:fill="auto"/>
            <w:noWrap/>
            <w:vAlign w:val="center"/>
          </w:tcPr>
          <w:p w14:paraId="0C3BD36A" w14:textId="15BC0E59"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-3.2066</w:t>
            </w:r>
          </w:p>
        </w:tc>
        <w:tc>
          <w:tcPr>
            <w:tcW w:w="536" w:type="pct"/>
            <w:shd w:val="clear" w:color="auto" w:fill="auto"/>
            <w:noWrap/>
            <w:vAlign w:val="center"/>
          </w:tcPr>
          <w:p w14:paraId="6E2A39FC" w14:textId="6A7F321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-2.5725</w:t>
            </w:r>
          </w:p>
        </w:tc>
        <w:tc>
          <w:tcPr>
            <w:tcW w:w="499" w:type="pct"/>
            <w:tcBorders>
              <w:right w:val="single" w:sz="4" w:space="0" w:color="auto"/>
            </w:tcBorders>
            <w:shd w:val="clear" w:color="auto" w:fill="auto"/>
            <w:noWrap/>
            <w:vAlign w:val="center"/>
          </w:tcPr>
          <w:p w14:paraId="64FF6664" w14:textId="2CB17A51"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-2.2325</w:t>
            </w:r>
          </w:p>
        </w:tc>
      </w:tr>
      <w:tr w:rsidR="002E554D" w:rsidRPr="002E554D" w14:paraId="7AAC31E1"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0C728428" w14:textId="7777777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689" w:type="pct"/>
            <w:tcBorders>
              <w:left w:val="single" w:sz="4" w:space="0" w:color="auto"/>
              <w:right w:val="single" w:sz="4" w:space="0" w:color="auto"/>
            </w:tcBorders>
            <w:shd w:val="clear" w:color="auto" w:fill="auto"/>
            <w:noWrap/>
          </w:tcPr>
          <w:p w14:paraId="2044A975" w14:textId="49DE39EB" w:rsidR="00D644AB" w:rsidRPr="002E554D" w:rsidRDefault="00D644AB" w:rsidP="00D644AB">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-2.347*</w:t>
            </w:r>
          </w:p>
        </w:tc>
        <w:tc>
          <w:tcPr>
            <w:tcW w:w="499" w:type="pct"/>
            <w:tcBorders>
              <w:left w:val="single" w:sz="4" w:space="0" w:color="auto"/>
            </w:tcBorders>
            <w:shd w:val="clear" w:color="auto" w:fill="auto"/>
            <w:noWrap/>
          </w:tcPr>
          <w:p w14:paraId="0525A674" w14:textId="4C56EBBA"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-3.117</w:t>
            </w:r>
          </w:p>
        </w:tc>
        <w:tc>
          <w:tcPr>
            <w:tcW w:w="502" w:type="pct"/>
            <w:shd w:val="clear" w:color="auto" w:fill="auto"/>
            <w:noWrap/>
          </w:tcPr>
          <w:p w14:paraId="106F656B" w14:textId="7329FC30"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-2.457</w:t>
            </w:r>
          </w:p>
        </w:tc>
        <w:tc>
          <w:tcPr>
            <w:tcW w:w="552" w:type="pct"/>
            <w:tcBorders>
              <w:right w:val="single" w:sz="4" w:space="0" w:color="auto"/>
            </w:tcBorders>
            <w:shd w:val="clear" w:color="auto" w:fill="auto"/>
            <w:noWrap/>
          </w:tcPr>
          <w:p w14:paraId="1C9272F8" w14:textId="5D4E8A92"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-2.117</w:t>
            </w:r>
          </w:p>
        </w:tc>
        <w:tc>
          <w:tcPr>
            <w:tcW w:w="717" w:type="pct"/>
            <w:tcBorders>
              <w:left w:val="single" w:sz="4" w:space="0" w:color="auto"/>
              <w:right w:val="single" w:sz="4" w:space="0" w:color="auto"/>
            </w:tcBorders>
            <w:shd w:val="clear" w:color="auto" w:fill="auto"/>
            <w:noWrap/>
          </w:tcPr>
          <w:p w14:paraId="3951574E" w14:textId="39EC965D"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0.168</w:t>
            </w:r>
          </w:p>
        </w:tc>
        <w:tc>
          <w:tcPr>
            <w:tcW w:w="486" w:type="pct"/>
            <w:tcBorders>
              <w:left w:val="single" w:sz="4" w:space="0" w:color="auto"/>
            </w:tcBorders>
            <w:shd w:val="clear" w:color="auto" w:fill="auto"/>
            <w:noWrap/>
            <w:vAlign w:val="center"/>
          </w:tcPr>
          <w:p w14:paraId="008F228F" w14:textId="6A9F7BB2"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-3.1097</w:t>
            </w:r>
          </w:p>
        </w:tc>
        <w:tc>
          <w:tcPr>
            <w:tcW w:w="536" w:type="pct"/>
            <w:shd w:val="clear" w:color="auto" w:fill="auto"/>
            <w:noWrap/>
            <w:vAlign w:val="center"/>
          </w:tcPr>
          <w:p w14:paraId="0E2D658D" w14:textId="0359542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-2.4505</w:t>
            </w:r>
          </w:p>
        </w:tc>
        <w:tc>
          <w:tcPr>
            <w:tcW w:w="499" w:type="pct"/>
            <w:tcBorders>
              <w:right w:val="single" w:sz="4" w:space="0" w:color="auto"/>
            </w:tcBorders>
            <w:shd w:val="clear" w:color="auto" w:fill="auto"/>
            <w:noWrap/>
            <w:vAlign w:val="center"/>
          </w:tcPr>
          <w:p w14:paraId="7E9D7C08" w14:textId="14FE12A5"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-2.1097</w:t>
            </w:r>
          </w:p>
        </w:tc>
      </w:tr>
      <w:tr w:rsidR="002E554D" w:rsidRPr="002E554D" w14:paraId="31107C40"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3B028DC8" w14:textId="7777777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689" w:type="pct"/>
            <w:tcBorders>
              <w:left w:val="single" w:sz="4" w:space="0" w:color="auto"/>
              <w:right w:val="single" w:sz="4" w:space="0" w:color="auto"/>
            </w:tcBorders>
            <w:shd w:val="clear" w:color="auto" w:fill="auto"/>
            <w:noWrap/>
          </w:tcPr>
          <w:p w14:paraId="6C061409" w14:textId="32846F9A" w:rsidR="00D644AB" w:rsidRPr="002E554D" w:rsidRDefault="00D644AB" w:rsidP="00D644AB">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-2.236**</w:t>
            </w:r>
          </w:p>
        </w:tc>
        <w:tc>
          <w:tcPr>
            <w:tcW w:w="499" w:type="pct"/>
            <w:tcBorders>
              <w:left w:val="single" w:sz="4" w:space="0" w:color="auto"/>
            </w:tcBorders>
            <w:shd w:val="clear" w:color="auto" w:fill="auto"/>
            <w:noWrap/>
          </w:tcPr>
          <w:p w14:paraId="403B8A11" w14:textId="7D58B952"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-2.857</w:t>
            </w:r>
          </w:p>
        </w:tc>
        <w:tc>
          <w:tcPr>
            <w:tcW w:w="502" w:type="pct"/>
            <w:shd w:val="clear" w:color="auto" w:fill="auto"/>
            <w:noWrap/>
          </w:tcPr>
          <w:p w14:paraId="472C7E20" w14:textId="238869DA"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-2.190</w:t>
            </w:r>
          </w:p>
        </w:tc>
        <w:tc>
          <w:tcPr>
            <w:tcW w:w="552" w:type="pct"/>
            <w:tcBorders>
              <w:right w:val="single" w:sz="4" w:space="0" w:color="auto"/>
            </w:tcBorders>
            <w:shd w:val="clear" w:color="auto" w:fill="auto"/>
            <w:noWrap/>
          </w:tcPr>
          <w:p w14:paraId="10EF6433" w14:textId="2B71356C"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-1.832</w:t>
            </w:r>
          </w:p>
        </w:tc>
        <w:tc>
          <w:tcPr>
            <w:tcW w:w="717" w:type="pct"/>
            <w:tcBorders>
              <w:left w:val="single" w:sz="4" w:space="0" w:color="auto"/>
              <w:right w:val="single" w:sz="4" w:space="0" w:color="auto"/>
            </w:tcBorders>
            <w:shd w:val="clear" w:color="auto" w:fill="auto"/>
            <w:noWrap/>
          </w:tcPr>
          <w:p w14:paraId="4AE3B272" w14:textId="7BC2C77A"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0.374</w:t>
            </w:r>
          </w:p>
        </w:tc>
        <w:tc>
          <w:tcPr>
            <w:tcW w:w="486" w:type="pct"/>
            <w:tcBorders>
              <w:left w:val="single" w:sz="4" w:space="0" w:color="auto"/>
            </w:tcBorders>
            <w:shd w:val="clear" w:color="auto" w:fill="auto"/>
            <w:noWrap/>
            <w:vAlign w:val="center"/>
          </w:tcPr>
          <w:p w14:paraId="1C41A8EA" w14:textId="040E6E0A"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-3.0064</w:t>
            </w:r>
          </w:p>
        </w:tc>
        <w:tc>
          <w:tcPr>
            <w:tcW w:w="536" w:type="pct"/>
            <w:shd w:val="clear" w:color="auto" w:fill="auto"/>
            <w:noWrap/>
            <w:vAlign w:val="center"/>
          </w:tcPr>
          <w:p w14:paraId="1DF9E942" w14:textId="38A039AB"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-2.3551</w:t>
            </w:r>
          </w:p>
        </w:tc>
        <w:tc>
          <w:tcPr>
            <w:tcW w:w="499" w:type="pct"/>
            <w:tcBorders>
              <w:right w:val="single" w:sz="4" w:space="0" w:color="auto"/>
            </w:tcBorders>
            <w:shd w:val="clear" w:color="auto" w:fill="auto"/>
            <w:noWrap/>
            <w:vAlign w:val="center"/>
          </w:tcPr>
          <w:p w14:paraId="1776510F" w14:textId="75D12C42"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-2.0064</w:t>
            </w:r>
          </w:p>
        </w:tc>
      </w:tr>
      <w:tr w:rsidR="00D644AB" w:rsidRPr="002E554D" w14:paraId="3F1B86AD" w14:textId="77777777" w:rsidTr="005A2460">
        <w:trPr>
          <w:trHeight w:val="300"/>
          <w:jc w:val="center"/>
        </w:trPr>
        <w:tc>
          <w:tcPr>
            <w:tcW w:w="519" w:type="pct"/>
            <w:tcBorders>
              <w:left w:val="single" w:sz="4" w:space="0" w:color="auto"/>
              <w:right w:val="single" w:sz="4" w:space="0" w:color="auto"/>
            </w:tcBorders>
            <w:shd w:val="clear" w:color="auto" w:fill="auto"/>
            <w:noWrap/>
            <w:vAlign w:val="bottom"/>
            <w:hideMark/>
          </w:tcPr>
          <w:p w14:paraId="607B67E2" w14:textId="77777777"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689" w:type="pct"/>
            <w:tcBorders>
              <w:left w:val="single" w:sz="4" w:space="0" w:color="auto"/>
              <w:right w:val="single" w:sz="4" w:space="0" w:color="auto"/>
            </w:tcBorders>
            <w:shd w:val="clear" w:color="auto" w:fill="auto"/>
            <w:noWrap/>
          </w:tcPr>
          <w:p w14:paraId="794D31A0" w14:textId="7CB9864F"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-1.658</w:t>
            </w:r>
          </w:p>
        </w:tc>
        <w:tc>
          <w:tcPr>
            <w:tcW w:w="499" w:type="pct"/>
            <w:tcBorders>
              <w:left w:val="single" w:sz="4" w:space="0" w:color="auto"/>
            </w:tcBorders>
            <w:shd w:val="clear" w:color="auto" w:fill="auto"/>
            <w:noWrap/>
          </w:tcPr>
          <w:p w14:paraId="2175AFE1" w14:textId="7EEB2DC4"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-2.721</w:t>
            </w:r>
          </w:p>
        </w:tc>
        <w:tc>
          <w:tcPr>
            <w:tcW w:w="502" w:type="pct"/>
            <w:shd w:val="clear" w:color="auto" w:fill="auto"/>
            <w:noWrap/>
          </w:tcPr>
          <w:p w14:paraId="3AE8FBD1" w14:textId="1F012DF1"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-2.049</w:t>
            </w:r>
          </w:p>
        </w:tc>
        <w:tc>
          <w:tcPr>
            <w:tcW w:w="552" w:type="pct"/>
            <w:tcBorders>
              <w:right w:val="single" w:sz="4" w:space="0" w:color="auto"/>
            </w:tcBorders>
            <w:shd w:val="clear" w:color="auto" w:fill="auto"/>
            <w:noWrap/>
          </w:tcPr>
          <w:p w14:paraId="171159CB" w14:textId="072E1B1A"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-1.689</w:t>
            </w:r>
          </w:p>
        </w:tc>
        <w:tc>
          <w:tcPr>
            <w:tcW w:w="717" w:type="pct"/>
            <w:tcBorders>
              <w:left w:val="single" w:sz="4" w:space="0" w:color="auto"/>
              <w:right w:val="single" w:sz="4" w:space="0" w:color="auto"/>
            </w:tcBorders>
            <w:shd w:val="clear" w:color="auto" w:fill="auto"/>
            <w:noWrap/>
          </w:tcPr>
          <w:p w14:paraId="0FAE848F" w14:textId="0B243792" w:rsidR="00D644AB" w:rsidRPr="002E554D" w:rsidRDefault="00D644AB" w:rsidP="00D644AB">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1.134</w:t>
            </w:r>
          </w:p>
        </w:tc>
        <w:tc>
          <w:tcPr>
            <w:tcW w:w="486" w:type="pct"/>
            <w:tcBorders>
              <w:left w:val="single" w:sz="4" w:space="0" w:color="auto"/>
            </w:tcBorders>
            <w:shd w:val="clear" w:color="auto" w:fill="auto"/>
            <w:noWrap/>
            <w:vAlign w:val="center"/>
          </w:tcPr>
          <w:p w14:paraId="35202430" w14:textId="52D977A6"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-2.7163</w:t>
            </w:r>
          </w:p>
        </w:tc>
        <w:tc>
          <w:tcPr>
            <w:tcW w:w="536" w:type="pct"/>
            <w:shd w:val="clear" w:color="auto" w:fill="auto"/>
            <w:noWrap/>
            <w:vAlign w:val="center"/>
          </w:tcPr>
          <w:p w14:paraId="2D190ECB" w14:textId="7BCFFD88"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-2.044</w:t>
            </w:r>
          </w:p>
        </w:tc>
        <w:tc>
          <w:tcPr>
            <w:tcW w:w="499" w:type="pct"/>
            <w:tcBorders>
              <w:right w:val="single" w:sz="4" w:space="0" w:color="auto"/>
            </w:tcBorders>
            <w:shd w:val="clear" w:color="auto" w:fill="auto"/>
            <w:noWrap/>
            <w:vAlign w:val="center"/>
          </w:tcPr>
          <w:p w14:paraId="355954EB" w14:textId="753E4FA0" w:rsidR="00D644AB" w:rsidRPr="002E554D" w:rsidRDefault="00D644AB" w:rsidP="00D644AB">
            <w:pPr>
              <w:spacing w:after="0" w:line="240" w:lineRule="auto"/>
              <w:jc w:val="center"/>
              <w:rPr>
                <w:rFonts w:ascii="Garamond" w:eastAsia="Times New Roman" w:hAnsi="Garamond" w:cs="Calibri"/>
                <w:color w:val="FF0000"/>
                <w:lang w:val="en-GB" w:eastAsia="en-GB"/>
              </w:rPr>
            </w:pPr>
            <w:r w:rsidRPr="002E554D">
              <w:rPr>
                <w:rFonts w:ascii="Garamond" w:hAnsi="Garamond" w:cs="Calibri"/>
                <w:color w:val="FF0000"/>
              </w:rPr>
              <w:t>-1.684</w:t>
            </w:r>
          </w:p>
        </w:tc>
      </w:tr>
    </w:tbl>
    <w:p w14:paraId="23266629" w14:textId="133052F3" w:rsidR="001D2C51" w:rsidRPr="002E554D" w:rsidRDefault="001D2C51" w:rsidP="00697353">
      <w:pPr>
        <w:pStyle w:val="NoSpacing"/>
        <w:spacing w:line="480" w:lineRule="auto"/>
        <w:rPr>
          <w:rFonts w:ascii="Garamond" w:hAnsi="Garamond"/>
          <w:i/>
          <w:iCs/>
          <w:color w:val="FF0000"/>
          <w:sz w:val="24"/>
          <w:szCs w:val="24"/>
        </w:rPr>
      </w:pPr>
    </w:p>
    <w:p w14:paraId="3FEAFF6E" w14:textId="77777777" w:rsidR="00FA4457" w:rsidRPr="002E554D" w:rsidRDefault="00FA4457" w:rsidP="00697353">
      <w:pPr>
        <w:pStyle w:val="NoSpacing"/>
        <w:spacing w:line="480" w:lineRule="auto"/>
        <w:rPr>
          <w:rFonts w:ascii="Garamond" w:hAnsi="Garamond"/>
          <w:i/>
          <w:iCs/>
          <w:color w:val="FF0000"/>
          <w:sz w:val="24"/>
          <w:szCs w:val="24"/>
        </w:rPr>
      </w:pPr>
    </w:p>
    <w:p w14:paraId="0C010C9C" w14:textId="71162EB6" w:rsidR="00FA1105" w:rsidRPr="009E00D2" w:rsidRDefault="00DA72C5" w:rsidP="00697353">
      <w:pPr>
        <w:pStyle w:val="NoSpacing"/>
        <w:spacing w:line="480" w:lineRule="auto"/>
        <w:rPr>
          <w:rFonts w:ascii="Garamond" w:hAnsi="Garamond"/>
          <w:i/>
          <w:iCs/>
          <w:sz w:val="24"/>
          <w:szCs w:val="24"/>
        </w:rPr>
      </w:pPr>
      <w:r w:rsidRPr="009E00D2">
        <w:rPr>
          <w:rFonts w:ascii="Garamond" w:hAnsi="Garamond"/>
          <w:i/>
          <w:iCs/>
          <w:sz w:val="24"/>
          <w:szCs w:val="24"/>
        </w:rPr>
        <w:t>3.4. Cryptocurrency market</w:t>
      </w:r>
    </w:p>
    <w:p w14:paraId="70216A78" w14:textId="430D2DDD" w:rsidR="009F64B9" w:rsidRPr="009E00D2" w:rsidRDefault="009F64B9" w:rsidP="00F4118B">
      <w:pPr>
        <w:pStyle w:val="NoSpacing"/>
        <w:spacing w:line="480" w:lineRule="auto"/>
        <w:jc w:val="both"/>
        <w:rPr>
          <w:rFonts w:ascii="Garamond" w:hAnsi="Garamond"/>
          <w:sz w:val="24"/>
          <w:szCs w:val="24"/>
        </w:rPr>
      </w:pPr>
      <w:r w:rsidRPr="009E00D2">
        <w:rPr>
          <w:rFonts w:ascii="Garamond" w:hAnsi="Garamond"/>
          <w:sz w:val="24"/>
          <w:szCs w:val="24"/>
        </w:rPr>
        <w:t xml:space="preserve">Our sample comprises the three main cryptocurrencies – Bitcoin, Ethereum and Litecoin. </w:t>
      </w:r>
      <w:bookmarkStart w:id="1" w:name="_Hlk40302258"/>
      <w:r w:rsidR="0010243B" w:rsidRPr="009E00D2">
        <w:rPr>
          <w:rFonts w:ascii="Garamond" w:hAnsi="Garamond"/>
          <w:sz w:val="24"/>
          <w:szCs w:val="24"/>
        </w:rPr>
        <w:t xml:space="preserve">Table 1 reveals that interestingly for all these three cryptocurrencies, the worst impact of the pandemic is noticed on the same date - </w:t>
      </w:r>
      <w:r w:rsidRPr="009E00D2">
        <w:rPr>
          <w:rFonts w:ascii="Garamond" w:hAnsi="Garamond"/>
          <w:sz w:val="24"/>
          <w:szCs w:val="24"/>
        </w:rPr>
        <w:t xml:space="preserve">12/03/2020, suggesting </w:t>
      </w:r>
      <w:proofErr w:type="gramStart"/>
      <w:r w:rsidR="005E25ED" w:rsidRPr="009E00D2">
        <w:rPr>
          <w:rFonts w:ascii="Garamond" w:hAnsi="Garamond"/>
          <w:sz w:val="24"/>
          <w:szCs w:val="24"/>
        </w:rPr>
        <w:t>some kind of co-movement</w:t>
      </w:r>
      <w:proofErr w:type="gramEnd"/>
      <w:r w:rsidR="005E25ED" w:rsidRPr="009E00D2">
        <w:rPr>
          <w:rFonts w:ascii="Garamond" w:hAnsi="Garamond"/>
          <w:sz w:val="24"/>
          <w:szCs w:val="24"/>
        </w:rPr>
        <w:t xml:space="preserve"> among the three inter-related markets. While all three cryptocurrencies lose more than half of their pre-pandemic highest values following the COVID, </w:t>
      </w:r>
      <w:bookmarkEnd w:id="1"/>
      <w:r w:rsidR="005E25ED" w:rsidRPr="009E00D2">
        <w:rPr>
          <w:rFonts w:ascii="Garamond" w:hAnsi="Garamond"/>
          <w:sz w:val="24"/>
          <w:szCs w:val="24"/>
        </w:rPr>
        <w:t>t</w:t>
      </w:r>
      <w:r w:rsidRPr="009E00D2">
        <w:rPr>
          <w:rFonts w:ascii="Garamond" w:hAnsi="Garamond"/>
          <w:sz w:val="24"/>
          <w:szCs w:val="24"/>
        </w:rPr>
        <w:t xml:space="preserve">he highest decrease is observed for LTC (approx. 64%), while </w:t>
      </w:r>
      <w:r w:rsidR="005E25ED" w:rsidRPr="009E00D2">
        <w:rPr>
          <w:rFonts w:ascii="Garamond" w:hAnsi="Garamond"/>
          <w:sz w:val="24"/>
          <w:szCs w:val="24"/>
        </w:rPr>
        <w:t xml:space="preserve">Bitcoin loses </w:t>
      </w:r>
      <w:r w:rsidRPr="009E00D2">
        <w:rPr>
          <w:rFonts w:ascii="Garamond" w:hAnsi="Garamond"/>
          <w:sz w:val="24"/>
          <w:szCs w:val="24"/>
        </w:rPr>
        <w:t>the least</w:t>
      </w:r>
      <w:r w:rsidR="005E25ED" w:rsidRPr="009E00D2">
        <w:rPr>
          <w:rFonts w:ascii="Garamond" w:hAnsi="Garamond"/>
          <w:sz w:val="24"/>
          <w:szCs w:val="24"/>
        </w:rPr>
        <w:t xml:space="preserve">, </w:t>
      </w:r>
      <w:r w:rsidRPr="009E00D2">
        <w:rPr>
          <w:rFonts w:ascii="Garamond" w:hAnsi="Garamond"/>
          <w:sz w:val="24"/>
          <w:szCs w:val="24"/>
        </w:rPr>
        <w:t xml:space="preserve">53%. </w:t>
      </w:r>
      <w:r w:rsidR="005E25ED" w:rsidRPr="009E00D2">
        <w:rPr>
          <w:rFonts w:ascii="Garamond" w:hAnsi="Garamond"/>
          <w:sz w:val="24"/>
          <w:szCs w:val="24"/>
        </w:rPr>
        <w:t xml:space="preserve">Just as sharp as the reactions are the recovery rates for all the three cryptocurrencies with gains exceeding 50% over lowest values. While Ethereum tops the list with the highest </w:t>
      </w:r>
      <w:r w:rsidRPr="009E00D2">
        <w:rPr>
          <w:rFonts w:ascii="Garamond" w:hAnsi="Garamond"/>
          <w:sz w:val="24"/>
          <w:szCs w:val="24"/>
        </w:rPr>
        <w:t xml:space="preserve">recovery rate </w:t>
      </w:r>
      <w:r w:rsidR="005E25ED" w:rsidRPr="009E00D2">
        <w:rPr>
          <w:rFonts w:ascii="Garamond" w:hAnsi="Garamond"/>
          <w:sz w:val="24"/>
          <w:szCs w:val="24"/>
        </w:rPr>
        <w:t xml:space="preserve">of </w:t>
      </w:r>
      <w:r w:rsidRPr="009E00D2">
        <w:rPr>
          <w:rFonts w:ascii="Garamond" w:hAnsi="Garamond"/>
          <w:sz w:val="24"/>
          <w:szCs w:val="24"/>
        </w:rPr>
        <w:t>157.17%</w:t>
      </w:r>
      <w:r w:rsidR="005E25ED" w:rsidRPr="009E00D2">
        <w:rPr>
          <w:rFonts w:ascii="Garamond" w:hAnsi="Garamond"/>
          <w:sz w:val="24"/>
          <w:szCs w:val="24"/>
        </w:rPr>
        <w:t>,</w:t>
      </w:r>
      <w:r w:rsidR="00EB70F3">
        <w:rPr>
          <w:rFonts w:ascii="Garamond" w:hAnsi="Garamond"/>
          <w:sz w:val="24"/>
          <w:szCs w:val="24"/>
        </w:rPr>
        <w:t xml:space="preserve"> </w:t>
      </w:r>
      <w:r w:rsidRPr="009E00D2">
        <w:rPr>
          <w:rFonts w:ascii="Garamond" w:hAnsi="Garamond"/>
          <w:sz w:val="24"/>
          <w:szCs w:val="24"/>
        </w:rPr>
        <w:t xml:space="preserve">Bitcoin shows the </w:t>
      </w:r>
      <w:r w:rsidR="005E25ED" w:rsidRPr="009E00D2">
        <w:rPr>
          <w:rFonts w:ascii="Garamond" w:hAnsi="Garamond"/>
          <w:sz w:val="24"/>
          <w:szCs w:val="24"/>
        </w:rPr>
        <w:t xml:space="preserve">most sluggish recovery at </w:t>
      </w:r>
      <w:r w:rsidRPr="009E00D2">
        <w:rPr>
          <w:rFonts w:ascii="Garamond" w:hAnsi="Garamond"/>
          <w:sz w:val="24"/>
          <w:szCs w:val="24"/>
        </w:rPr>
        <w:t>only 151.74%</w:t>
      </w:r>
      <w:r w:rsidR="00E97EFB">
        <w:rPr>
          <w:rFonts w:ascii="Garamond" w:hAnsi="Garamond"/>
          <w:sz w:val="24"/>
          <w:szCs w:val="24"/>
        </w:rPr>
        <w:t xml:space="preserve"> of the pandemic bottom</w:t>
      </w:r>
      <w:r w:rsidR="005E25ED" w:rsidRPr="009E00D2">
        <w:rPr>
          <w:rFonts w:ascii="Garamond" w:hAnsi="Garamond"/>
          <w:sz w:val="24"/>
          <w:szCs w:val="24"/>
        </w:rPr>
        <w:t>. Despite these high recovery rates, none of the three cryptocurrencies</w:t>
      </w:r>
      <w:r w:rsidRPr="009E00D2">
        <w:rPr>
          <w:rFonts w:ascii="Garamond" w:hAnsi="Garamond"/>
          <w:sz w:val="24"/>
          <w:szCs w:val="24"/>
        </w:rPr>
        <w:t xml:space="preserve"> </w:t>
      </w:r>
      <w:proofErr w:type="gramStart"/>
      <w:r w:rsidR="005E25ED" w:rsidRPr="009E00D2">
        <w:rPr>
          <w:rFonts w:ascii="Garamond" w:hAnsi="Garamond"/>
          <w:sz w:val="24"/>
          <w:szCs w:val="24"/>
        </w:rPr>
        <w:t>are able to</w:t>
      </w:r>
      <w:proofErr w:type="gramEnd"/>
      <w:r w:rsidR="005E25ED" w:rsidRPr="009E00D2">
        <w:rPr>
          <w:rFonts w:ascii="Garamond" w:hAnsi="Garamond"/>
          <w:sz w:val="24"/>
          <w:szCs w:val="24"/>
        </w:rPr>
        <w:t xml:space="preserve"> achieve their pre-pandemic highest values in 2020. </w:t>
      </w:r>
    </w:p>
    <w:p w14:paraId="4CFE6405" w14:textId="22964709" w:rsidR="009F64B9" w:rsidRPr="009E00D2" w:rsidRDefault="009F64B9" w:rsidP="009F64B9">
      <w:pPr>
        <w:pStyle w:val="NoSpacing"/>
        <w:spacing w:line="480" w:lineRule="auto"/>
        <w:ind w:firstLine="708"/>
        <w:jc w:val="both"/>
        <w:rPr>
          <w:rFonts w:ascii="Garamond" w:hAnsi="Garamond"/>
          <w:sz w:val="24"/>
          <w:szCs w:val="24"/>
        </w:rPr>
      </w:pPr>
      <w:r w:rsidRPr="009E00D2">
        <w:rPr>
          <w:rFonts w:ascii="Garamond" w:hAnsi="Garamond"/>
          <w:sz w:val="24"/>
          <w:szCs w:val="24"/>
        </w:rPr>
        <w:t xml:space="preserve">As a group, cryptocurrencies </w:t>
      </w:r>
      <w:r w:rsidR="005E25ED" w:rsidRPr="009E00D2">
        <w:rPr>
          <w:rFonts w:ascii="Garamond" w:hAnsi="Garamond"/>
          <w:sz w:val="24"/>
          <w:szCs w:val="24"/>
        </w:rPr>
        <w:t xml:space="preserve">exhibit one of the highest reactivity and recovery rates among the financial assets studied. Decline in values exceed 50% in all cases, and so do recovery rates. </w:t>
      </w:r>
      <w:r w:rsidR="005E25ED" w:rsidRPr="009E00D2">
        <w:rPr>
          <w:rFonts w:ascii="Garamond" w:hAnsi="Garamond"/>
          <w:sz w:val="24"/>
          <w:szCs w:val="24"/>
        </w:rPr>
        <w:lastRenderedPageBreak/>
        <w:t>Cryptocurrencies as a group offer the highest recovery rate with the only exception of Rhodium with a gain of 175% over the pandemic bottom value. Despite these high</w:t>
      </w:r>
      <w:r w:rsidR="00BA08FD" w:rsidRPr="009E00D2">
        <w:rPr>
          <w:rFonts w:ascii="Garamond" w:hAnsi="Garamond"/>
          <w:sz w:val="24"/>
          <w:szCs w:val="24"/>
        </w:rPr>
        <w:t xml:space="preserve"> </w:t>
      </w:r>
      <w:r w:rsidRPr="009E00D2">
        <w:rPr>
          <w:rFonts w:ascii="Garamond" w:hAnsi="Garamond"/>
          <w:sz w:val="24"/>
          <w:szCs w:val="24"/>
        </w:rPr>
        <w:t>recovery rates</w:t>
      </w:r>
      <w:r w:rsidR="005E25ED" w:rsidRPr="009E00D2">
        <w:rPr>
          <w:rFonts w:ascii="Garamond" w:hAnsi="Garamond"/>
          <w:sz w:val="24"/>
          <w:szCs w:val="24"/>
        </w:rPr>
        <w:t xml:space="preserve">, values in April fail to </w:t>
      </w:r>
      <w:r w:rsidRPr="009E00D2">
        <w:rPr>
          <w:rFonts w:ascii="Garamond" w:hAnsi="Garamond"/>
          <w:sz w:val="24"/>
          <w:szCs w:val="24"/>
        </w:rPr>
        <w:t>catch up with pre-crisis values.</w:t>
      </w:r>
      <w:r w:rsidR="00BA08FD" w:rsidRPr="009E00D2">
        <w:rPr>
          <w:rFonts w:ascii="Garamond" w:hAnsi="Garamond"/>
          <w:sz w:val="24"/>
          <w:szCs w:val="24"/>
        </w:rPr>
        <w:t xml:space="preserve"> </w:t>
      </w:r>
    </w:p>
    <w:p w14:paraId="15C16EB3" w14:textId="77777777" w:rsidR="00BA08FD" w:rsidRPr="009E00D2" w:rsidRDefault="00BA08FD" w:rsidP="009F64B9">
      <w:pPr>
        <w:pStyle w:val="NoSpacing"/>
        <w:spacing w:line="480" w:lineRule="auto"/>
        <w:ind w:firstLine="708"/>
        <w:jc w:val="both"/>
        <w:rPr>
          <w:rFonts w:ascii="Garamond" w:hAnsi="Garamond"/>
          <w:sz w:val="24"/>
          <w:szCs w:val="24"/>
        </w:rPr>
      </w:pPr>
    </w:p>
    <w:p w14:paraId="6B66669C" w14:textId="60BF5B32" w:rsidR="00DA72C5" w:rsidRPr="009E00D2" w:rsidRDefault="00A76FC1" w:rsidP="00333264">
      <w:pPr>
        <w:pStyle w:val="NoSpacing"/>
        <w:spacing w:line="480" w:lineRule="auto"/>
        <w:jc w:val="center"/>
        <w:rPr>
          <w:rFonts w:ascii="Garamond" w:hAnsi="Garamond"/>
          <w:sz w:val="24"/>
          <w:szCs w:val="24"/>
        </w:rPr>
      </w:pPr>
      <w:r w:rsidRPr="009E00D2">
        <w:rPr>
          <w:rFonts w:ascii="Garamond" w:hAnsi="Garamond"/>
          <w:noProof/>
          <w:lang w:val="fr-FR" w:eastAsia="fr-FR"/>
        </w:rPr>
        <w:drawing>
          <wp:inline distT="0" distB="0" distL="0" distR="0" wp14:anchorId="281A78EA" wp14:editId="7092B5FE">
            <wp:extent cx="4572000" cy="2809875"/>
            <wp:effectExtent l="0" t="0" r="0" b="0"/>
            <wp:docPr id="14" name="Chart 14">
              <a:extLst xmlns:a="http://schemas.openxmlformats.org/drawingml/2006/main">
                <a:ext uri="{FF2B5EF4-FFF2-40B4-BE49-F238E27FC236}">
                  <a16:creationId xmlns:a16="http://schemas.microsoft.com/office/drawing/2014/main" id="{362CDBAF-6B7C-4FE7-AF3B-9CFE6DFD76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870A6A" w14:textId="078541E7" w:rsidR="00333264" w:rsidRPr="009E00D2" w:rsidRDefault="00333264" w:rsidP="00E036A9">
      <w:pPr>
        <w:pStyle w:val="NoSpacing"/>
        <w:spacing w:line="276" w:lineRule="auto"/>
        <w:rPr>
          <w:rFonts w:ascii="Garamond" w:eastAsia="Times New Roman" w:hAnsi="Garamond" w:cs="Calibri"/>
          <w:b/>
          <w:bCs/>
          <w:sz w:val="24"/>
          <w:szCs w:val="24"/>
          <w:lang w:eastAsia="en-GB"/>
        </w:rPr>
      </w:pPr>
      <w:r w:rsidRPr="00A23BD6">
        <w:rPr>
          <w:rFonts w:ascii="Garamond" w:hAnsi="Garamond"/>
          <w:b/>
          <w:bCs/>
          <w:sz w:val="24"/>
          <w:szCs w:val="24"/>
          <w:highlight w:val="yellow"/>
        </w:rPr>
        <w:t xml:space="preserve">Fig. </w:t>
      </w:r>
      <w:r w:rsidR="00A23BD6" w:rsidRPr="00A23BD6">
        <w:rPr>
          <w:rFonts w:ascii="Garamond" w:hAnsi="Garamond"/>
          <w:b/>
          <w:bCs/>
          <w:sz w:val="24"/>
          <w:szCs w:val="24"/>
          <w:highlight w:val="yellow"/>
        </w:rPr>
        <w:t>4</w:t>
      </w:r>
      <w:r w:rsidRPr="00A23BD6">
        <w:rPr>
          <w:rFonts w:ascii="Garamond" w:hAnsi="Garamond"/>
          <w:b/>
          <w:bCs/>
          <w:sz w:val="24"/>
          <w:szCs w:val="24"/>
          <w:highlight w:val="yellow"/>
        </w:rPr>
        <w:t>.</w:t>
      </w:r>
      <w:r w:rsidRPr="009E00D2">
        <w:rPr>
          <w:rFonts w:ascii="Garamond" w:hAnsi="Garamond"/>
          <w:b/>
          <w:bCs/>
          <w:sz w:val="24"/>
          <w:szCs w:val="24"/>
        </w:rPr>
        <w:t xml:space="preserve"> </w:t>
      </w:r>
      <w:r w:rsidRPr="009E00D2">
        <w:rPr>
          <w:rFonts w:ascii="Garamond" w:eastAsia="Times New Roman" w:hAnsi="Garamond" w:cs="Calibri"/>
          <w:b/>
          <w:bCs/>
          <w:sz w:val="24"/>
          <w:szCs w:val="24"/>
          <w:lang w:eastAsia="en-GB"/>
        </w:rPr>
        <w:t>Losses and gains in the prices of the selected cryptocurrencies, sorted by losses, %</w:t>
      </w:r>
      <w:r w:rsidR="00E036A9" w:rsidRPr="009E00D2">
        <w:rPr>
          <w:rFonts w:ascii="Garamond" w:eastAsia="Times New Roman" w:hAnsi="Garamond" w:cs="Calibri"/>
          <w:b/>
          <w:bCs/>
          <w:sz w:val="24"/>
          <w:szCs w:val="24"/>
          <w:lang w:eastAsia="en-GB"/>
        </w:rPr>
        <w:t>.</w:t>
      </w:r>
    </w:p>
    <w:p w14:paraId="3A70ED82" w14:textId="77777777" w:rsidR="00E036A9" w:rsidRPr="009E00D2" w:rsidRDefault="00E036A9" w:rsidP="00E036A9">
      <w:pPr>
        <w:pStyle w:val="NoSpacing"/>
        <w:spacing w:line="276" w:lineRule="auto"/>
        <w:rPr>
          <w:rFonts w:ascii="Garamond" w:hAnsi="Garamond"/>
          <w:sz w:val="24"/>
          <w:szCs w:val="24"/>
          <w:lang w:val="en-GB"/>
        </w:rPr>
      </w:pPr>
      <w:r w:rsidRPr="009E00D2">
        <w:rPr>
          <w:rFonts w:ascii="Garamond" w:hAnsi="Garamond"/>
          <w:sz w:val="24"/>
          <w:szCs w:val="24"/>
          <w:lang w:val="en-GB"/>
        </w:rPr>
        <w:t xml:space="preserve">The losses represent the pandemic bottom value relatively the maximum values in 2020. Gains are the increases relatively to the pandemic bottom values. </w:t>
      </w:r>
    </w:p>
    <w:p w14:paraId="06CB25AC" w14:textId="2D3E490E" w:rsidR="00E036A9" w:rsidRPr="009E00D2" w:rsidRDefault="00E036A9" w:rsidP="00333264">
      <w:pPr>
        <w:pStyle w:val="NoSpacing"/>
        <w:spacing w:line="480" w:lineRule="auto"/>
        <w:rPr>
          <w:rFonts w:ascii="Garamond" w:eastAsia="Times New Roman" w:hAnsi="Garamond" w:cs="Calibri"/>
          <w:sz w:val="24"/>
          <w:szCs w:val="24"/>
          <w:lang w:val="en-GB" w:eastAsia="en-GB"/>
        </w:rPr>
      </w:pPr>
    </w:p>
    <w:p w14:paraId="4C7F776D" w14:textId="7B0A1F73" w:rsidR="006B6F94" w:rsidRPr="00DB74CB" w:rsidRDefault="00DA7AEE" w:rsidP="00E546B1">
      <w:pPr>
        <w:pStyle w:val="NoSpacing"/>
        <w:spacing w:line="480" w:lineRule="auto"/>
        <w:ind w:firstLine="708"/>
        <w:jc w:val="both"/>
        <w:rPr>
          <w:rFonts w:ascii="Garamond" w:eastAsia="Times New Roman" w:hAnsi="Garamond" w:cs="Calibri"/>
          <w:sz w:val="24"/>
          <w:szCs w:val="24"/>
          <w:lang w:val="en-GB" w:eastAsia="en-GB"/>
        </w:rPr>
      </w:pPr>
      <w:r w:rsidRPr="009E00D2">
        <w:rPr>
          <w:rFonts w:ascii="Garamond" w:eastAsia="Times New Roman" w:hAnsi="Garamond" w:cs="Calibri"/>
          <w:sz w:val="24"/>
          <w:szCs w:val="24"/>
          <w:lang w:val="en-GB" w:eastAsia="en-GB"/>
        </w:rPr>
        <w:t xml:space="preserve">Results of the quantile unit root tests for </w:t>
      </w:r>
      <w:r w:rsidR="00685E1C" w:rsidRPr="009E00D2">
        <w:rPr>
          <w:rFonts w:ascii="Garamond" w:eastAsia="Times New Roman" w:hAnsi="Garamond" w:cs="Calibri"/>
          <w:sz w:val="24"/>
          <w:szCs w:val="24"/>
          <w:lang w:val="en-GB" w:eastAsia="en-GB"/>
        </w:rPr>
        <w:t>cryptocurrencies are presented in Table 5</w:t>
      </w:r>
      <w:r w:rsidR="00563E28" w:rsidRPr="009E00D2">
        <w:rPr>
          <w:rFonts w:ascii="Garamond" w:eastAsia="Times New Roman" w:hAnsi="Garamond" w:cs="Calibri"/>
          <w:sz w:val="24"/>
          <w:szCs w:val="24"/>
          <w:lang w:val="en-GB" w:eastAsia="en-GB"/>
        </w:rPr>
        <w:t xml:space="preserve"> (Table A8 contains the</w:t>
      </w:r>
      <w:r w:rsidR="00563E28" w:rsidRPr="009E00D2">
        <w:rPr>
          <w:rFonts w:ascii="Garamond" w:hAnsi="Garamond"/>
        </w:rPr>
        <w:t xml:space="preserve"> </w:t>
      </w:r>
      <w:proofErr w:type="spellStart"/>
      <w:r w:rsidR="00563E28" w:rsidRPr="009E00D2">
        <w:rPr>
          <w:rFonts w:ascii="Garamond" w:eastAsia="Times New Roman" w:hAnsi="Garamond" w:cs="Calibri"/>
          <w:sz w:val="24"/>
          <w:szCs w:val="24"/>
          <w:lang w:val="en-GB" w:eastAsia="en-GB"/>
        </w:rPr>
        <w:t>Koenker</w:t>
      </w:r>
      <w:proofErr w:type="spellEnd"/>
      <w:r w:rsidR="00563E28" w:rsidRPr="009E00D2">
        <w:rPr>
          <w:rFonts w:ascii="Garamond" w:eastAsia="Times New Roman" w:hAnsi="Garamond" w:cs="Calibri"/>
          <w:sz w:val="24"/>
          <w:szCs w:val="24"/>
          <w:lang w:val="en-GB" w:eastAsia="en-GB"/>
        </w:rPr>
        <w:t xml:space="preserve"> </w:t>
      </w:r>
      <w:r w:rsidR="00EB70F3">
        <w:rPr>
          <w:rFonts w:ascii="Garamond" w:eastAsia="Times New Roman" w:hAnsi="Garamond" w:cs="Calibri"/>
          <w:sz w:val="24"/>
          <w:szCs w:val="24"/>
          <w:lang w:val="en-GB" w:eastAsia="en-GB"/>
        </w:rPr>
        <w:t>&amp;</w:t>
      </w:r>
      <w:r w:rsidR="00563E28" w:rsidRPr="009E00D2">
        <w:rPr>
          <w:rFonts w:ascii="Garamond" w:eastAsia="Times New Roman" w:hAnsi="Garamond" w:cs="Calibri"/>
          <w:sz w:val="24"/>
          <w:szCs w:val="24"/>
          <w:lang w:val="en-GB" w:eastAsia="en-GB"/>
        </w:rPr>
        <w:t xml:space="preserve"> Xiao </w:t>
      </w:r>
      <w:r w:rsidR="00EB70F3">
        <w:rPr>
          <w:rFonts w:ascii="Garamond" w:eastAsia="Times New Roman" w:hAnsi="Garamond" w:cs="Calibri"/>
          <w:sz w:val="24"/>
          <w:szCs w:val="24"/>
          <w:lang w:val="en-GB" w:eastAsia="en-GB"/>
        </w:rPr>
        <w:t>(</w:t>
      </w:r>
      <w:r w:rsidR="00563E28" w:rsidRPr="009E00D2">
        <w:rPr>
          <w:rFonts w:ascii="Garamond" w:eastAsia="Times New Roman" w:hAnsi="Garamond" w:cs="Calibri"/>
          <w:sz w:val="24"/>
          <w:szCs w:val="24"/>
          <w:lang w:val="en-GB" w:eastAsia="en-GB"/>
        </w:rPr>
        <w:t>2004</w:t>
      </w:r>
      <w:r w:rsidR="00EB70F3">
        <w:rPr>
          <w:rFonts w:ascii="Garamond" w:eastAsia="Times New Roman" w:hAnsi="Garamond" w:cs="Calibri"/>
          <w:sz w:val="24"/>
          <w:szCs w:val="24"/>
          <w:lang w:val="en-GB" w:eastAsia="en-GB"/>
        </w:rPr>
        <w:t>)</w:t>
      </w:r>
      <w:r w:rsidR="00563E28" w:rsidRPr="009E00D2">
        <w:rPr>
          <w:rFonts w:ascii="Garamond" w:eastAsia="Times New Roman" w:hAnsi="Garamond" w:cs="Calibri"/>
          <w:sz w:val="24"/>
          <w:szCs w:val="24"/>
          <w:lang w:val="en-GB" w:eastAsia="en-GB"/>
        </w:rPr>
        <w:t xml:space="preserve"> test results for comparison)</w:t>
      </w:r>
      <w:r w:rsidR="00685E1C" w:rsidRPr="009E00D2">
        <w:rPr>
          <w:rFonts w:ascii="Garamond" w:eastAsia="Times New Roman" w:hAnsi="Garamond" w:cs="Calibri"/>
          <w:sz w:val="24"/>
          <w:szCs w:val="24"/>
          <w:lang w:val="en-GB" w:eastAsia="en-GB"/>
        </w:rPr>
        <w:t xml:space="preserve">. </w:t>
      </w:r>
      <w:r w:rsidR="00181B1D" w:rsidRPr="009E00D2">
        <w:rPr>
          <w:rFonts w:ascii="Garamond" w:eastAsia="Times New Roman" w:hAnsi="Garamond" w:cs="Calibri"/>
          <w:sz w:val="24"/>
          <w:szCs w:val="24"/>
          <w:lang w:val="en-GB" w:eastAsia="en-GB"/>
        </w:rPr>
        <w:t xml:space="preserve">For the Bitcoin, using the Yang and Zhao (2020) tests, we fail to reject the null of unit root for </w:t>
      </w:r>
      <w:r w:rsidR="00C54B42">
        <w:rPr>
          <w:rFonts w:ascii="Garamond" w:eastAsia="Times New Roman" w:hAnsi="Garamond" w:cs="Calibri"/>
          <w:sz w:val="24"/>
          <w:szCs w:val="24"/>
          <w:lang w:val="en-GB" w:eastAsia="en-GB"/>
        </w:rPr>
        <w:t xml:space="preserve">higher </w:t>
      </w:r>
      <w:r w:rsidR="00181B1D" w:rsidRPr="009E00D2">
        <w:rPr>
          <w:rFonts w:ascii="Garamond" w:eastAsia="Times New Roman" w:hAnsi="Garamond" w:cs="Calibri"/>
          <w:sz w:val="24"/>
          <w:szCs w:val="24"/>
          <w:lang w:val="en-GB" w:eastAsia="en-GB"/>
        </w:rPr>
        <w:t>quantiles studied</w:t>
      </w:r>
      <w:r w:rsidR="006D2218">
        <w:rPr>
          <w:rFonts w:ascii="Garamond" w:eastAsia="Times New Roman" w:hAnsi="Garamond" w:cs="Calibri"/>
          <w:sz w:val="24"/>
          <w:szCs w:val="24"/>
          <w:lang w:val="en-GB" w:eastAsia="en-GB"/>
        </w:rPr>
        <w:t xml:space="preserve"> (&gt;3)</w:t>
      </w:r>
      <w:r w:rsidR="00181B1D" w:rsidRPr="009E00D2">
        <w:rPr>
          <w:rFonts w:ascii="Garamond" w:eastAsia="Times New Roman" w:hAnsi="Garamond" w:cs="Calibri"/>
          <w:sz w:val="24"/>
          <w:szCs w:val="24"/>
          <w:lang w:val="en-GB" w:eastAsia="en-GB"/>
        </w:rPr>
        <w:t xml:space="preserve">. This implies a very high degree of persistence. </w:t>
      </w:r>
      <w:r w:rsidR="00035932">
        <w:rPr>
          <w:rFonts w:ascii="Garamond" w:eastAsia="Times New Roman" w:hAnsi="Garamond" w:cs="Calibri"/>
          <w:sz w:val="24"/>
          <w:szCs w:val="24"/>
          <w:lang w:val="en-GB" w:eastAsia="en-GB"/>
        </w:rPr>
        <w:t>R</w:t>
      </w:r>
      <w:r w:rsidR="00181B1D" w:rsidRPr="009E00D2">
        <w:rPr>
          <w:rFonts w:ascii="Garamond" w:eastAsia="Times New Roman" w:hAnsi="Garamond" w:cs="Calibri"/>
          <w:sz w:val="24"/>
          <w:szCs w:val="24"/>
          <w:lang w:val="en-GB" w:eastAsia="en-GB"/>
        </w:rPr>
        <w:t xml:space="preserve">esults using </w:t>
      </w:r>
      <w:proofErr w:type="spellStart"/>
      <w:r w:rsidR="00181B1D" w:rsidRPr="009E00D2">
        <w:rPr>
          <w:rFonts w:ascii="Garamond" w:eastAsia="Times New Roman" w:hAnsi="Garamond" w:cs="Calibri"/>
          <w:sz w:val="24"/>
          <w:szCs w:val="24"/>
          <w:lang w:val="en-GB" w:eastAsia="en-GB"/>
        </w:rPr>
        <w:t>Koenker</w:t>
      </w:r>
      <w:proofErr w:type="spellEnd"/>
      <w:r w:rsidR="00181B1D" w:rsidRPr="009E00D2">
        <w:rPr>
          <w:rFonts w:ascii="Garamond" w:eastAsia="Times New Roman" w:hAnsi="Garamond" w:cs="Calibri"/>
          <w:sz w:val="24"/>
          <w:szCs w:val="24"/>
          <w:lang w:val="en-GB" w:eastAsia="en-GB"/>
        </w:rPr>
        <w:t xml:space="preserve"> and Xiao (2004) offer </w:t>
      </w:r>
      <w:r w:rsidR="00035932">
        <w:rPr>
          <w:rFonts w:ascii="Garamond" w:eastAsia="Times New Roman" w:hAnsi="Garamond" w:cs="Calibri"/>
          <w:sz w:val="24"/>
          <w:szCs w:val="24"/>
          <w:lang w:val="en-GB" w:eastAsia="en-GB"/>
        </w:rPr>
        <w:t>the similar pattern</w:t>
      </w:r>
      <w:r w:rsidR="00181B1D" w:rsidRPr="009E00D2">
        <w:rPr>
          <w:rFonts w:ascii="Garamond" w:eastAsia="Times New Roman" w:hAnsi="Garamond" w:cs="Calibri"/>
          <w:sz w:val="24"/>
          <w:szCs w:val="24"/>
          <w:lang w:val="en-GB" w:eastAsia="en-GB"/>
        </w:rPr>
        <w:t xml:space="preserve">. </w:t>
      </w:r>
      <w:r w:rsidR="002A4170">
        <w:rPr>
          <w:rFonts w:ascii="Garamond" w:eastAsia="Times New Roman" w:hAnsi="Garamond" w:cs="Calibri"/>
          <w:sz w:val="24"/>
          <w:szCs w:val="24"/>
          <w:lang w:val="en-GB" w:eastAsia="en-GB"/>
        </w:rPr>
        <w:t>W</w:t>
      </w:r>
      <w:r w:rsidR="00181B1D" w:rsidRPr="00DB74CB">
        <w:rPr>
          <w:rFonts w:ascii="Garamond" w:eastAsia="Times New Roman" w:hAnsi="Garamond" w:cs="Calibri"/>
          <w:sz w:val="24"/>
          <w:szCs w:val="24"/>
          <w:lang w:val="en-GB" w:eastAsia="en-GB"/>
        </w:rPr>
        <w:t xml:space="preserve">e observe </w:t>
      </w:r>
      <w:r w:rsidR="00685E1C" w:rsidRPr="00DB74CB">
        <w:rPr>
          <w:rFonts w:ascii="Garamond" w:eastAsia="Times New Roman" w:hAnsi="Garamond" w:cs="Calibri"/>
          <w:sz w:val="24"/>
          <w:szCs w:val="24"/>
          <w:lang w:val="en-GB" w:eastAsia="en-GB"/>
        </w:rPr>
        <w:t>the potential for mean reversion only in lower quantiles of the shock (</w:t>
      </w:r>
      <w:r w:rsidR="002A4170">
        <w:rPr>
          <w:rFonts w:ascii="Garamond" w:eastAsia="Times New Roman" w:hAnsi="Garamond" w:cs="Calibri"/>
          <w:sz w:val="24"/>
          <w:szCs w:val="24"/>
          <w:lang w:val="en-GB" w:eastAsia="en-GB"/>
        </w:rPr>
        <w:t xml:space="preserve">up to </w:t>
      </w:r>
      <w:r w:rsidR="00685E1C" w:rsidRPr="00DB74CB">
        <w:rPr>
          <w:rFonts w:ascii="Garamond" w:eastAsia="Times New Roman" w:hAnsi="Garamond" w:cs="Calibri"/>
          <w:sz w:val="24"/>
          <w:szCs w:val="24"/>
          <w:lang w:val="en-GB" w:eastAsia="en-GB"/>
        </w:rPr>
        <w:t xml:space="preserve">0.3), while for all other quantiles, the return series depicts a very high persistence, suggesting long-term memory behaviour. </w:t>
      </w:r>
      <w:r w:rsidR="00367E4A">
        <w:rPr>
          <w:rFonts w:ascii="Garamond" w:eastAsia="Times New Roman" w:hAnsi="Garamond" w:cs="Calibri"/>
          <w:sz w:val="24"/>
          <w:szCs w:val="24"/>
          <w:lang w:val="en-GB" w:eastAsia="en-GB"/>
        </w:rPr>
        <w:t>Ethereum</w:t>
      </w:r>
      <w:r w:rsidR="00685E1C" w:rsidRPr="00DB74CB">
        <w:rPr>
          <w:rFonts w:ascii="Garamond" w:eastAsia="Times New Roman" w:hAnsi="Garamond" w:cs="Calibri"/>
          <w:sz w:val="24"/>
          <w:szCs w:val="24"/>
          <w:lang w:val="en-GB" w:eastAsia="en-GB"/>
        </w:rPr>
        <w:t xml:space="preserve"> </w:t>
      </w:r>
      <w:r w:rsidR="00CA4110">
        <w:rPr>
          <w:rFonts w:ascii="Garamond" w:eastAsia="Times New Roman" w:hAnsi="Garamond" w:cs="Calibri"/>
          <w:sz w:val="24"/>
          <w:szCs w:val="24"/>
          <w:lang w:val="en-GB" w:eastAsia="en-GB"/>
        </w:rPr>
        <w:t xml:space="preserve">and Litecoin </w:t>
      </w:r>
      <w:r w:rsidR="00685E1C" w:rsidRPr="00DB74CB">
        <w:rPr>
          <w:rFonts w:ascii="Garamond" w:eastAsia="Times New Roman" w:hAnsi="Garamond" w:cs="Calibri"/>
          <w:sz w:val="24"/>
          <w:szCs w:val="24"/>
          <w:lang w:val="en-GB" w:eastAsia="en-GB"/>
        </w:rPr>
        <w:t xml:space="preserve">display roughly the </w:t>
      </w:r>
      <w:r w:rsidR="005B5E17">
        <w:rPr>
          <w:rFonts w:ascii="Garamond" w:eastAsia="Times New Roman" w:hAnsi="Garamond" w:cs="Calibri"/>
          <w:sz w:val="24"/>
          <w:szCs w:val="24"/>
          <w:lang w:val="en-GB" w:eastAsia="en-GB"/>
        </w:rPr>
        <w:t>similar</w:t>
      </w:r>
      <w:r w:rsidR="00685E1C" w:rsidRPr="00DB74CB">
        <w:rPr>
          <w:rFonts w:ascii="Garamond" w:eastAsia="Times New Roman" w:hAnsi="Garamond" w:cs="Calibri"/>
          <w:sz w:val="24"/>
          <w:szCs w:val="24"/>
          <w:lang w:val="en-GB" w:eastAsia="en-GB"/>
        </w:rPr>
        <w:t xml:space="preserve"> pattern with mean reversion only in </w:t>
      </w:r>
      <w:r w:rsidR="006B6F94" w:rsidRPr="00DB74CB">
        <w:rPr>
          <w:rFonts w:ascii="Garamond" w:eastAsia="Times New Roman" w:hAnsi="Garamond" w:cs="Calibri"/>
          <w:sz w:val="24"/>
          <w:szCs w:val="24"/>
          <w:lang w:val="en-GB" w:eastAsia="en-GB"/>
        </w:rPr>
        <w:t>the lowe</w:t>
      </w:r>
      <w:r w:rsidR="005B5E17">
        <w:rPr>
          <w:rFonts w:ascii="Garamond" w:eastAsia="Times New Roman" w:hAnsi="Garamond" w:cs="Calibri"/>
          <w:sz w:val="24"/>
          <w:szCs w:val="24"/>
          <w:lang w:val="en-GB" w:eastAsia="en-GB"/>
        </w:rPr>
        <w:t>st</w:t>
      </w:r>
      <w:r w:rsidR="006B6F94" w:rsidRPr="00DB74CB">
        <w:rPr>
          <w:rFonts w:ascii="Garamond" w:eastAsia="Times New Roman" w:hAnsi="Garamond" w:cs="Calibri"/>
          <w:sz w:val="24"/>
          <w:szCs w:val="24"/>
          <w:lang w:val="en-GB" w:eastAsia="en-GB"/>
        </w:rPr>
        <w:t xml:space="preserve"> </w:t>
      </w:r>
      <w:r w:rsidR="00685E1C" w:rsidRPr="00DB74CB">
        <w:rPr>
          <w:rFonts w:ascii="Garamond" w:eastAsia="Times New Roman" w:hAnsi="Garamond" w:cs="Calibri"/>
          <w:sz w:val="24"/>
          <w:szCs w:val="24"/>
          <w:lang w:val="en-GB" w:eastAsia="en-GB"/>
        </w:rPr>
        <w:t xml:space="preserve">quantiles. </w:t>
      </w:r>
      <w:r w:rsidR="006B6F94" w:rsidRPr="00DB74CB">
        <w:rPr>
          <w:rFonts w:ascii="Garamond" w:eastAsia="Times New Roman" w:hAnsi="Garamond" w:cs="Calibri"/>
          <w:sz w:val="24"/>
          <w:szCs w:val="24"/>
          <w:lang w:val="en-GB" w:eastAsia="en-GB"/>
        </w:rPr>
        <w:t xml:space="preserve">This suggests the inability of </w:t>
      </w:r>
      <w:r w:rsidR="00CA4110">
        <w:rPr>
          <w:rFonts w:ascii="Garamond" w:eastAsia="Times New Roman" w:hAnsi="Garamond" w:cs="Calibri"/>
          <w:sz w:val="24"/>
          <w:szCs w:val="24"/>
          <w:lang w:val="en-GB" w:eastAsia="en-GB"/>
        </w:rPr>
        <w:t xml:space="preserve">them </w:t>
      </w:r>
      <w:r w:rsidR="006B6F94" w:rsidRPr="00DB74CB">
        <w:rPr>
          <w:rFonts w:ascii="Garamond" w:eastAsia="Times New Roman" w:hAnsi="Garamond" w:cs="Calibri"/>
          <w:sz w:val="24"/>
          <w:szCs w:val="24"/>
          <w:lang w:val="en-GB" w:eastAsia="en-GB"/>
        </w:rPr>
        <w:t xml:space="preserve">to revert to normal values at very high levels of shock. </w:t>
      </w:r>
    </w:p>
    <w:p w14:paraId="10A9B9FA" w14:textId="7FAF6CCC" w:rsidR="00507A50" w:rsidRDefault="00507A50" w:rsidP="00507A50">
      <w:pPr>
        <w:pStyle w:val="NoSpacing"/>
        <w:spacing w:line="480" w:lineRule="auto"/>
        <w:rPr>
          <w:rFonts w:ascii="Garamond" w:eastAsia="Times New Roman" w:hAnsi="Garamond" w:cs="Calibri"/>
          <w:sz w:val="24"/>
          <w:szCs w:val="24"/>
          <w:lang w:eastAsia="en-GB"/>
        </w:rPr>
      </w:pPr>
    </w:p>
    <w:p w14:paraId="6DC6BB4F" w14:textId="7A2FF710" w:rsidR="00507A50" w:rsidRPr="009E00D2" w:rsidRDefault="00507A50" w:rsidP="00454D9C">
      <w:pPr>
        <w:pStyle w:val="NoSpacing"/>
        <w:spacing w:line="276" w:lineRule="auto"/>
        <w:jc w:val="center"/>
        <w:rPr>
          <w:rFonts w:ascii="Garamond" w:eastAsia="Times New Roman" w:hAnsi="Garamond" w:cs="Calibri"/>
          <w:b/>
          <w:bCs/>
          <w:sz w:val="24"/>
          <w:szCs w:val="24"/>
          <w:lang w:eastAsia="en-GB"/>
        </w:rPr>
      </w:pPr>
      <w:r w:rsidRPr="009E00D2">
        <w:rPr>
          <w:rFonts w:ascii="Garamond" w:eastAsia="Times New Roman" w:hAnsi="Garamond" w:cs="Calibri"/>
          <w:b/>
          <w:bCs/>
          <w:sz w:val="24"/>
          <w:szCs w:val="24"/>
          <w:lang w:eastAsia="en-GB"/>
        </w:rPr>
        <w:lastRenderedPageBreak/>
        <w:t>Table</w:t>
      </w:r>
      <w:r w:rsidR="00454D9C" w:rsidRPr="009E00D2">
        <w:rPr>
          <w:rFonts w:ascii="Garamond" w:eastAsia="Times New Roman" w:hAnsi="Garamond" w:cs="Calibri"/>
          <w:b/>
          <w:bCs/>
          <w:sz w:val="24"/>
          <w:szCs w:val="24"/>
          <w:lang w:eastAsia="en-GB"/>
        </w:rPr>
        <w:t xml:space="preserve"> 5</w:t>
      </w:r>
      <w:r w:rsidRPr="009E00D2">
        <w:rPr>
          <w:rFonts w:ascii="Garamond" w:eastAsia="Times New Roman" w:hAnsi="Garamond" w:cs="Calibri"/>
          <w:b/>
          <w:bCs/>
          <w:sz w:val="24"/>
          <w:szCs w:val="24"/>
          <w:lang w:eastAsia="en-GB"/>
        </w:rPr>
        <w:t xml:space="preserve"> </w:t>
      </w:r>
      <w:r w:rsidRPr="009E00D2">
        <w:rPr>
          <w:rFonts w:ascii="Garamond" w:hAnsi="Garamond"/>
          <w:b/>
          <w:bCs/>
          <w:sz w:val="24"/>
          <w:szCs w:val="24"/>
          <w:lang w:val="en-GB"/>
        </w:rPr>
        <w:t xml:space="preserve">Tests for quantile unit root, </w:t>
      </w:r>
      <w:r w:rsidR="00746C3B" w:rsidRPr="009E00D2">
        <w:rPr>
          <w:rFonts w:ascii="Garamond" w:eastAsia="Times New Roman" w:hAnsi="Garamond" w:cs="Calibri"/>
          <w:b/>
          <w:bCs/>
          <w:sz w:val="24"/>
          <w:szCs w:val="24"/>
          <w:lang w:eastAsia="en-GB"/>
        </w:rPr>
        <w:t>cryptocurrencies</w:t>
      </w:r>
    </w:p>
    <w:p w14:paraId="12D3CCFD" w14:textId="1D5246B2" w:rsidR="003A16EB" w:rsidRPr="009E00D2" w:rsidRDefault="00E546B1" w:rsidP="003A16EB">
      <w:pPr>
        <w:pStyle w:val="NoSpacing"/>
        <w:spacing w:line="276" w:lineRule="auto"/>
        <w:jc w:val="both"/>
        <w:rPr>
          <w:rFonts w:ascii="Garamond" w:hAnsi="Garamond"/>
          <w:sz w:val="24"/>
          <w:szCs w:val="24"/>
          <w:lang w:val="en-GB"/>
        </w:rPr>
      </w:pPr>
      <w:r w:rsidRPr="009E00D2">
        <w:rPr>
          <w:rFonts w:ascii="Garamond" w:hAnsi="Garamond"/>
          <w:sz w:val="24"/>
          <w:szCs w:val="24"/>
          <w:lang w:val="en-GB"/>
        </w:rPr>
        <w:t xml:space="preserve">Table shows the results of the quantile nonlinear unit root tests with covariates, </w:t>
      </w:r>
      <w:proofErr w:type="spellStart"/>
      <w:r w:rsidRPr="009E00D2">
        <w:rPr>
          <w:rFonts w:ascii="Garamond" w:eastAsia="Times New Roman" w:hAnsi="Garamond" w:cs="Calibri"/>
          <w:i/>
          <w:iCs/>
          <w:color w:val="000000"/>
          <w:sz w:val="24"/>
          <w:szCs w:val="24"/>
          <w:lang w:val="en-GB" w:eastAsia="en-GB"/>
        </w:rPr>
        <w:t>t</w:t>
      </w:r>
      <w:r w:rsidRPr="009E00D2">
        <w:rPr>
          <w:rFonts w:ascii="Garamond" w:eastAsia="Times New Roman" w:hAnsi="Garamond" w:cs="Calibri"/>
          <w:i/>
          <w:iCs/>
          <w:color w:val="000000"/>
          <w:sz w:val="24"/>
          <w:szCs w:val="24"/>
          <w:vertAlign w:val="subscript"/>
          <w:lang w:val="en-GB" w:eastAsia="en-GB"/>
        </w:rPr>
        <w:t>kss</w:t>
      </w:r>
      <w:proofErr w:type="spellEnd"/>
      <w:r w:rsidRPr="009E00D2">
        <w:rPr>
          <w:rFonts w:ascii="Garamond" w:hAnsi="Garamond"/>
          <w:sz w:val="24"/>
          <w:szCs w:val="24"/>
          <w:lang w:val="en-GB"/>
        </w:rPr>
        <w:t xml:space="preserve">, estimated as in Yang and Zhao (2020). The asymptotic critical values are calculated with significance at the 1%, 5% and 10% levels. The null hypothesis of the presence of a unit root is rejected if the </w:t>
      </w:r>
      <w:proofErr w:type="gramStart"/>
      <w:r w:rsidRPr="009E00D2">
        <w:rPr>
          <w:rFonts w:ascii="Garamond" w:hAnsi="Garamond"/>
          <w:sz w:val="24"/>
          <w:szCs w:val="24"/>
          <w:lang w:val="en-GB"/>
        </w:rPr>
        <w:t>calculated  test</w:t>
      </w:r>
      <w:proofErr w:type="gramEnd"/>
      <w:r w:rsidRPr="009E00D2">
        <w:rPr>
          <w:rFonts w:ascii="Garamond" w:hAnsi="Garamond"/>
          <w:sz w:val="24"/>
          <w:szCs w:val="24"/>
          <w:lang w:val="en-GB"/>
        </w:rPr>
        <w:t xml:space="preserve"> statistic is lower in value than calculated critical </w:t>
      </w:r>
      <w:r w:rsidR="00E97EFB" w:rsidRPr="009E00D2">
        <w:rPr>
          <w:rFonts w:ascii="Garamond" w:hAnsi="Garamond"/>
          <w:sz w:val="24"/>
          <w:szCs w:val="24"/>
          <w:lang w:val="en-GB"/>
        </w:rPr>
        <w:t xml:space="preserve">asymptotic </w:t>
      </w:r>
      <w:r w:rsidRPr="009E00D2">
        <w:rPr>
          <w:rFonts w:ascii="Garamond" w:hAnsi="Garamond"/>
          <w:sz w:val="24"/>
          <w:szCs w:val="24"/>
          <w:lang w:val="en-GB"/>
        </w:rPr>
        <w:t>values at the 1%</w:t>
      </w:r>
      <w:r w:rsidR="003A16EB">
        <w:rPr>
          <w:rFonts w:ascii="Garamond" w:hAnsi="Garamond"/>
          <w:sz w:val="24"/>
          <w:szCs w:val="24"/>
          <w:lang w:val="en-GB"/>
        </w:rPr>
        <w:t>(***),</w:t>
      </w:r>
      <w:r w:rsidRPr="009E00D2">
        <w:rPr>
          <w:rFonts w:ascii="Garamond" w:hAnsi="Garamond"/>
          <w:sz w:val="24"/>
          <w:szCs w:val="24"/>
          <w:lang w:val="en-GB"/>
        </w:rPr>
        <w:t xml:space="preserve"> 5%</w:t>
      </w:r>
      <w:r w:rsidR="003A16EB">
        <w:rPr>
          <w:rFonts w:ascii="Garamond" w:hAnsi="Garamond"/>
          <w:sz w:val="24"/>
          <w:szCs w:val="24"/>
          <w:lang w:val="en-GB"/>
        </w:rPr>
        <w:t>(**)</w:t>
      </w:r>
      <w:r w:rsidRPr="009E00D2">
        <w:rPr>
          <w:rFonts w:ascii="Garamond" w:hAnsi="Garamond"/>
          <w:sz w:val="24"/>
          <w:szCs w:val="24"/>
          <w:lang w:val="en-GB"/>
        </w:rPr>
        <w:t xml:space="preserve"> and 10%</w:t>
      </w:r>
      <w:r w:rsidR="003A16EB">
        <w:rPr>
          <w:rFonts w:ascii="Garamond" w:hAnsi="Garamond"/>
          <w:sz w:val="24"/>
          <w:szCs w:val="24"/>
          <w:lang w:val="en-GB"/>
        </w:rPr>
        <w:t xml:space="preserve">(*) </w:t>
      </w:r>
      <w:r w:rsidRPr="009E00D2">
        <w:rPr>
          <w:rFonts w:ascii="Garamond" w:hAnsi="Garamond"/>
          <w:sz w:val="24"/>
          <w:szCs w:val="24"/>
          <w:lang w:val="en-GB"/>
        </w:rPr>
        <w:t>levels of significance.</w:t>
      </w:r>
      <w:r w:rsidR="003A16EB">
        <w:rPr>
          <w:rFonts w:ascii="Garamond" w:hAnsi="Garamond"/>
          <w:sz w:val="24"/>
          <w:szCs w:val="24"/>
          <w:lang w:val="en-GB"/>
        </w:rPr>
        <w:t xml:space="preserve"> Statistically significant values of </w:t>
      </w:r>
      <w:proofErr w:type="spellStart"/>
      <w:r w:rsidR="003A16EB" w:rsidRPr="004E33B3">
        <w:rPr>
          <w:rFonts w:ascii="Garamond" w:eastAsia="Times New Roman" w:hAnsi="Garamond" w:cs="Calibri"/>
          <w:i/>
          <w:iCs/>
          <w:color w:val="000000"/>
          <w:lang w:val="en-GB" w:eastAsia="en-GB"/>
        </w:rPr>
        <w:t>YZt</w:t>
      </w:r>
      <w:r w:rsidR="003A16EB" w:rsidRPr="004E33B3">
        <w:rPr>
          <w:rFonts w:ascii="Garamond" w:eastAsia="Times New Roman" w:hAnsi="Garamond" w:cs="Calibri"/>
          <w:i/>
          <w:iCs/>
          <w:color w:val="000000"/>
          <w:vertAlign w:val="subscript"/>
          <w:lang w:val="en-GB" w:eastAsia="en-GB"/>
        </w:rPr>
        <w:t>ks</w:t>
      </w:r>
      <w:proofErr w:type="spellEnd"/>
      <w:r w:rsidR="003A16EB" w:rsidRPr="004E33B3">
        <w:rPr>
          <w:rFonts w:ascii="Garamond" w:hAnsi="Garamond"/>
          <w:sz w:val="24"/>
          <w:szCs w:val="24"/>
          <w:lang w:val="en-GB"/>
        </w:rPr>
        <w:t xml:space="preserve"> </w:t>
      </w:r>
      <w:r w:rsidR="003A16EB">
        <w:rPr>
          <w:rFonts w:ascii="Garamond" w:hAnsi="Garamond"/>
          <w:sz w:val="24"/>
          <w:szCs w:val="24"/>
          <w:lang w:val="en-GB"/>
        </w:rPr>
        <w:t xml:space="preserve">are highlighted in bold, while the respective </w:t>
      </w:r>
      <w:r w:rsidR="003A16EB" w:rsidRPr="004E33B3">
        <w:rPr>
          <w:rFonts w:ascii="Garamond" w:hAnsi="Garamond"/>
          <w:sz w:val="24"/>
          <w:szCs w:val="24"/>
          <w:lang w:val="en-GB"/>
        </w:rPr>
        <w:t xml:space="preserve">asymptotic </w:t>
      </w:r>
      <w:r w:rsidR="003A16EB">
        <w:rPr>
          <w:rFonts w:ascii="Garamond" w:hAnsi="Garamond"/>
          <w:sz w:val="24"/>
          <w:szCs w:val="24"/>
          <w:lang w:val="en-GB"/>
        </w:rPr>
        <w:t xml:space="preserve">critical values that indicate a significance level are underlined. </w:t>
      </w:r>
    </w:p>
    <w:p w14:paraId="589317AF" w14:textId="626BB590" w:rsidR="00E546B1" w:rsidRPr="009E00D2" w:rsidRDefault="00E546B1" w:rsidP="00E546B1">
      <w:pPr>
        <w:pStyle w:val="NoSpacing"/>
        <w:spacing w:line="276" w:lineRule="auto"/>
        <w:jc w:val="both"/>
        <w:rPr>
          <w:rFonts w:ascii="Garamond" w:hAnsi="Garamond"/>
          <w:sz w:val="24"/>
          <w:szCs w:val="24"/>
          <w:lang w:val="en-GB"/>
        </w:rPr>
      </w:pPr>
    </w:p>
    <w:tbl>
      <w:tblPr>
        <w:tblW w:w="889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04"/>
        <w:gridCol w:w="1283"/>
        <w:gridCol w:w="855"/>
        <w:gridCol w:w="855"/>
        <w:gridCol w:w="992"/>
        <w:gridCol w:w="1043"/>
        <w:gridCol w:w="770"/>
        <w:gridCol w:w="993"/>
        <w:gridCol w:w="903"/>
      </w:tblGrid>
      <w:tr w:rsidR="002E554D" w:rsidRPr="002E554D" w14:paraId="625574E0" w14:textId="77777777" w:rsidTr="005A2460">
        <w:trPr>
          <w:trHeight w:val="300"/>
          <w:jc w:val="center"/>
        </w:trPr>
        <w:tc>
          <w:tcPr>
            <w:tcW w:w="1204" w:type="dxa"/>
            <w:vMerge w:val="restart"/>
            <w:tcBorders>
              <w:left w:val="single" w:sz="4" w:space="0" w:color="auto"/>
              <w:right w:val="single" w:sz="4" w:space="0" w:color="auto"/>
            </w:tcBorders>
            <w:shd w:val="clear" w:color="auto" w:fill="auto"/>
            <w:noWrap/>
            <w:vAlign w:val="center"/>
          </w:tcPr>
          <w:p w14:paraId="7C0CBEA1" w14:textId="77777777" w:rsidR="00507A50" w:rsidRPr="002E554D" w:rsidRDefault="00507A50"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Quantiles</w:t>
            </w:r>
          </w:p>
        </w:tc>
        <w:tc>
          <w:tcPr>
            <w:tcW w:w="1283" w:type="dxa"/>
            <w:vMerge w:val="restart"/>
            <w:tcBorders>
              <w:left w:val="single" w:sz="4" w:space="0" w:color="auto"/>
              <w:right w:val="single" w:sz="4" w:space="0" w:color="auto"/>
            </w:tcBorders>
            <w:shd w:val="clear" w:color="auto" w:fill="auto"/>
            <w:noWrap/>
            <w:vAlign w:val="center"/>
          </w:tcPr>
          <w:p w14:paraId="0FFA2D4A" w14:textId="362D2E9F" w:rsidR="00507A50" w:rsidRPr="002E554D" w:rsidRDefault="00563E28" w:rsidP="00507A50">
            <w:pPr>
              <w:spacing w:after="0" w:line="240" w:lineRule="auto"/>
              <w:jc w:val="center"/>
              <w:rPr>
                <w:rFonts w:ascii="Garamond" w:eastAsia="Times New Roman" w:hAnsi="Garamond" w:cs="Calibri"/>
                <w:b/>
                <w:bCs/>
                <w:i/>
                <w:iCs/>
                <w:color w:val="FF0000"/>
                <w:lang w:val="en-GB" w:eastAsia="en-GB"/>
              </w:rPr>
            </w:pPr>
            <w:proofErr w:type="spellStart"/>
            <w:r w:rsidRPr="002E554D">
              <w:rPr>
                <w:rFonts w:ascii="Garamond" w:eastAsia="Times New Roman" w:hAnsi="Garamond" w:cs="Calibri"/>
                <w:b/>
                <w:bCs/>
                <w:i/>
                <w:iCs/>
                <w:color w:val="FF0000"/>
                <w:lang w:val="en-GB" w:eastAsia="en-GB"/>
              </w:rPr>
              <w:t>YZt</w:t>
            </w:r>
            <w:r w:rsidRPr="002E554D">
              <w:rPr>
                <w:rFonts w:ascii="Garamond" w:eastAsia="Times New Roman" w:hAnsi="Garamond" w:cs="Calibri"/>
                <w:b/>
                <w:bCs/>
                <w:i/>
                <w:iCs/>
                <w:color w:val="FF0000"/>
                <w:vertAlign w:val="subscript"/>
                <w:lang w:val="en-GB" w:eastAsia="en-GB"/>
              </w:rPr>
              <w:t>ks</w:t>
            </w:r>
            <w:proofErr w:type="spellEnd"/>
          </w:p>
        </w:tc>
        <w:tc>
          <w:tcPr>
            <w:tcW w:w="2702" w:type="dxa"/>
            <w:gridSpan w:val="3"/>
            <w:tcBorders>
              <w:left w:val="single" w:sz="4" w:space="0" w:color="auto"/>
              <w:right w:val="single" w:sz="4" w:space="0" w:color="auto"/>
            </w:tcBorders>
            <w:shd w:val="clear" w:color="auto" w:fill="auto"/>
            <w:noWrap/>
            <w:vAlign w:val="center"/>
          </w:tcPr>
          <w:p w14:paraId="0BA81AAC" w14:textId="77777777" w:rsidR="00507A50" w:rsidRPr="002E554D" w:rsidRDefault="00507A50"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asymptotic critical values</w:t>
            </w:r>
          </w:p>
        </w:tc>
        <w:tc>
          <w:tcPr>
            <w:tcW w:w="1043" w:type="dxa"/>
            <w:vMerge w:val="restart"/>
            <w:tcBorders>
              <w:left w:val="single" w:sz="4" w:space="0" w:color="auto"/>
              <w:right w:val="single" w:sz="4" w:space="0" w:color="auto"/>
            </w:tcBorders>
            <w:shd w:val="clear" w:color="auto" w:fill="auto"/>
            <w:noWrap/>
            <w:vAlign w:val="center"/>
          </w:tcPr>
          <w:p w14:paraId="4B13E118" w14:textId="1DBF51B3" w:rsidR="00507A50" w:rsidRPr="002E554D" w:rsidRDefault="00563E28" w:rsidP="00507A50">
            <w:pPr>
              <w:spacing w:after="0" w:line="240" w:lineRule="auto"/>
              <w:jc w:val="center"/>
              <w:rPr>
                <w:rFonts w:ascii="Garamond" w:eastAsia="Times New Roman" w:hAnsi="Garamond" w:cs="Calibri"/>
                <w:b/>
                <w:bCs/>
                <w:i/>
                <w:iCs/>
                <w:color w:val="FF0000"/>
                <w:lang w:val="en-GB" w:eastAsia="en-GB"/>
              </w:rPr>
            </w:pPr>
            <w:proofErr w:type="spellStart"/>
            <w:r w:rsidRPr="002E554D">
              <w:rPr>
                <w:rFonts w:ascii="Garamond" w:eastAsia="Times New Roman" w:hAnsi="Garamond" w:cs="Calibri"/>
                <w:b/>
                <w:bCs/>
                <w:i/>
                <w:iCs/>
                <w:color w:val="FF0000"/>
                <w:lang w:val="en-GB" w:eastAsia="en-GB"/>
              </w:rPr>
              <w:t>YZt</w:t>
            </w:r>
            <w:r w:rsidRPr="002E554D">
              <w:rPr>
                <w:rFonts w:ascii="Garamond" w:eastAsia="Times New Roman" w:hAnsi="Garamond" w:cs="Calibri"/>
                <w:b/>
                <w:bCs/>
                <w:i/>
                <w:iCs/>
                <w:color w:val="FF0000"/>
                <w:vertAlign w:val="subscript"/>
                <w:lang w:val="en-GB" w:eastAsia="en-GB"/>
              </w:rPr>
              <w:t>ks</w:t>
            </w:r>
            <w:proofErr w:type="spellEnd"/>
          </w:p>
        </w:tc>
        <w:tc>
          <w:tcPr>
            <w:tcW w:w="2666" w:type="dxa"/>
            <w:gridSpan w:val="3"/>
            <w:tcBorders>
              <w:left w:val="single" w:sz="4" w:space="0" w:color="auto"/>
              <w:right w:val="single" w:sz="4" w:space="0" w:color="auto"/>
            </w:tcBorders>
            <w:shd w:val="clear" w:color="auto" w:fill="auto"/>
            <w:noWrap/>
            <w:vAlign w:val="center"/>
          </w:tcPr>
          <w:p w14:paraId="54AF40CA" w14:textId="77777777" w:rsidR="00507A50" w:rsidRPr="002E554D" w:rsidRDefault="00507A50"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asymptotic critical values</w:t>
            </w:r>
          </w:p>
        </w:tc>
      </w:tr>
      <w:tr w:rsidR="002E554D" w:rsidRPr="002E554D" w14:paraId="332058E2" w14:textId="77777777" w:rsidTr="005A2460">
        <w:trPr>
          <w:trHeight w:val="300"/>
          <w:jc w:val="center"/>
        </w:trPr>
        <w:tc>
          <w:tcPr>
            <w:tcW w:w="1204" w:type="dxa"/>
            <w:vMerge/>
            <w:tcBorders>
              <w:left w:val="single" w:sz="4" w:space="0" w:color="auto"/>
              <w:right w:val="single" w:sz="4" w:space="0" w:color="auto"/>
            </w:tcBorders>
            <w:shd w:val="clear" w:color="auto" w:fill="auto"/>
            <w:noWrap/>
            <w:vAlign w:val="bottom"/>
            <w:hideMark/>
          </w:tcPr>
          <w:p w14:paraId="03719A02" w14:textId="77777777" w:rsidR="00507A50" w:rsidRPr="002E554D" w:rsidRDefault="00507A50" w:rsidP="00507A50">
            <w:pPr>
              <w:spacing w:after="0" w:line="240" w:lineRule="auto"/>
              <w:rPr>
                <w:rFonts w:ascii="Garamond" w:eastAsia="Times New Roman" w:hAnsi="Garamond" w:cs="Calibri"/>
                <w:color w:val="FF0000"/>
                <w:lang w:val="en-GB" w:eastAsia="en-GB"/>
              </w:rPr>
            </w:pPr>
          </w:p>
        </w:tc>
        <w:tc>
          <w:tcPr>
            <w:tcW w:w="1283" w:type="dxa"/>
            <w:vMerge/>
            <w:tcBorders>
              <w:left w:val="single" w:sz="4" w:space="0" w:color="auto"/>
              <w:right w:val="single" w:sz="4" w:space="0" w:color="auto"/>
            </w:tcBorders>
            <w:shd w:val="clear" w:color="auto" w:fill="auto"/>
            <w:noWrap/>
            <w:vAlign w:val="center"/>
            <w:hideMark/>
          </w:tcPr>
          <w:p w14:paraId="382DF008" w14:textId="77777777" w:rsidR="00507A50" w:rsidRPr="002E554D" w:rsidRDefault="00507A50" w:rsidP="00507A50">
            <w:pPr>
              <w:spacing w:after="0" w:line="240" w:lineRule="auto"/>
              <w:jc w:val="center"/>
              <w:rPr>
                <w:rFonts w:ascii="Garamond" w:eastAsia="Times New Roman" w:hAnsi="Garamond" w:cs="Calibri"/>
                <w:b/>
                <w:bCs/>
                <w:i/>
                <w:iCs/>
                <w:color w:val="FF0000"/>
                <w:lang w:val="en-GB" w:eastAsia="en-GB"/>
              </w:rPr>
            </w:pPr>
          </w:p>
        </w:tc>
        <w:tc>
          <w:tcPr>
            <w:tcW w:w="855" w:type="dxa"/>
            <w:tcBorders>
              <w:left w:val="single" w:sz="4" w:space="0" w:color="auto"/>
            </w:tcBorders>
            <w:shd w:val="clear" w:color="auto" w:fill="auto"/>
            <w:noWrap/>
            <w:vAlign w:val="center"/>
            <w:hideMark/>
          </w:tcPr>
          <w:p w14:paraId="555E2A50" w14:textId="77777777" w:rsidR="00507A50" w:rsidRPr="002E554D" w:rsidRDefault="00507A50"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w:t>
            </w:r>
          </w:p>
        </w:tc>
        <w:tc>
          <w:tcPr>
            <w:tcW w:w="855" w:type="dxa"/>
            <w:shd w:val="clear" w:color="auto" w:fill="auto"/>
            <w:noWrap/>
            <w:vAlign w:val="center"/>
            <w:hideMark/>
          </w:tcPr>
          <w:p w14:paraId="188A1CE0" w14:textId="77777777" w:rsidR="00507A50" w:rsidRPr="002E554D" w:rsidRDefault="00507A50"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5%</w:t>
            </w:r>
          </w:p>
        </w:tc>
        <w:tc>
          <w:tcPr>
            <w:tcW w:w="992" w:type="dxa"/>
            <w:tcBorders>
              <w:right w:val="single" w:sz="4" w:space="0" w:color="auto"/>
            </w:tcBorders>
            <w:shd w:val="clear" w:color="auto" w:fill="auto"/>
            <w:noWrap/>
            <w:vAlign w:val="center"/>
            <w:hideMark/>
          </w:tcPr>
          <w:p w14:paraId="058280BD" w14:textId="77777777" w:rsidR="00507A50" w:rsidRPr="002E554D" w:rsidRDefault="00507A50"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10%</w:t>
            </w:r>
          </w:p>
        </w:tc>
        <w:tc>
          <w:tcPr>
            <w:tcW w:w="1043" w:type="dxa"/>
            <w:vMerge/>
            <w:tcBorders>
              <w:left w:val="single" w:sz="4" w:space="0" w:color="auto"/>
              <w:right w:val="single" w:sz="4" w:space="0" w:color="auto"/>
            </w:tcBorders>
            <w:shd w:val="clear" w:color="auto" w:fill="auto"/>
            <w:noWrap/>
            <w:vAlign w:val="center"/>
            <w:hideMark/>
          </w:tcPr>
          <w:p w14:paraId="7A919172" w14:textId="77777777" w:rsidR="00507A50" w:rsidRPr="002E554D" w:rsidRDefault="00507A50" w:rsidP="00507A50">
            <w:pPr>
              <w:spacing w:after="0" w:line="240" w:lineRule="auto"/>
              <w:jc w:val="center"/>
              <w:rPr>
                <w:rFonts w:ascii="Garamond" w:eastAsia="Times New Roman" w:hAnsi="Garamond" w:cs="Calibri"/>
                <w:b/>
                <w:bCs/>
                <w:color w:val="FF0000"/>
                <w:lang w:val="en-GB" w:eastAsia="en-GB"/>
              </w:rPr>
            </w:pPr>
          </w:p>
        </w:tc>
        <w:tc>
          <w:tcPr>
            <w:tcW w:w="770" w:type="dxa"/>
            <w:tcBorders>
              <w:left w:val="single" w:sz="4" w:space="0" w:color="auto"/>
            </w:tcBorders>
            <w:shd w:val="clear" w:color="auto" w:fill="auto"/>
            <w:noWrap/>
            <w:vAlign w:val="center"/>
            <w:hideMark/>
          </w:tcPr>
          <w:p w14:paraId="3D85CADC" w14:textId="77777777" w:rsidR="00507A50" w:rsidRPr="002E554D" w:rsidRDefault="00507A50"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w:t>
            </w:r>
          </w:p>
        </w:tc>
        <w:tc>
          <w:tcPr>
            <w:tcW w:w="993" w:type="dxa"/>
            <w:shd w:val="clear" w:color="auto" w:fill="auto"/>
            <w:noWrap/>
            <w:vAlign w:val="center"/>
            <w:hideMark/>
          </w:tcPr>
          <w:p w14:paraId="50C42AEB" w14:textId="77777777" w:rsidR="00507A50" w:rsidRPr="002E554D" w:rsidRDefault="00507A50"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5%</w:t>
            </w:r>
          </w:p>
        </w:tc>
        <w:tc>
          <w:tcPr>
            <w:tcW w:w="903" w:type="dxa"/>
            <w:tcBorders>
              <w:right w:val="single" w:sz="4" w:space="0" w:color="auto"/>
            </w:tcBorders>
            <w:shd w:val="clear" w:color="auto" w:fill="auto"/>
            <w:noWrap/>
            <w:vAlign w:val="center"/>
            <w:hideMark/>
          </w:tcPr>
          <w:p w14:paraId="10AF60C6" w14:textId="77777777" w:rsidR="00507A50" w:rsidRPr="002E554D" w:rsidRDefault="00507A50"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10%</w:t>
            </w:r>
          </w:p>
        </w:tc>
      </w:tr>
      <w:tr w:rsidR="002E554D" w:rsidRPr="002E554D" w14:paraId="05CBD3F0" w14:textId="77777777" w:rsidTr="00EB70F3">
        <w:trPr>
          <w:trHeight w:val="300"/>
          <w:jc w:val="center"/>
        </w:trPr>
        <w:tc>
          <w:tcPr>
            <w:tcW w:w="1204" w:type="dxa"/>
            <w:vMerge/>
            <w:tcBorders>
              <w:left w:val="single" w:sz="4" w:space="0" w:color="auto"/>
              <w:right w:val="single" w:sz="4" w:space="0" w:color="auto"/>
            </w:tcBorders>
            <w:shd w:val="clear" w:color="auto" w:fill="auto"/>
            <w:noWrap/>
            <w:vAlign w:val="bottom"/>
          </w:tcPr>
          <w:p w14:paraId="7AFE9E7B" w14:textId="77777777" w:rsidR="00507A50" w:rsidRPr="002E554D" w:rsidRDefault="00507A50" w:rsidP="00507A50">
            <w:pPr>
              <w:spacing w:after="0" w:line="240" w:lineRule="auto"/>
              <w:rPr>
                <w:rFonts w:ascii="Garamond" w:eastAsia="Times New Roman" w:hAnsi="Garamond" w:cs="Calibri"/>
                <w:color w:val="FF0000"/>
                <w:lang w:val="en-GB" w:eastAsia="en-GB"/>
              </w:rPr>
            </w:pPr>
          </w:p>
        </w:tc>
        <w:tc>
          <w:tcPr>
            <w:tcW w:w="3985" w:type="dxa"/>
            <w:gridSpan w:val="4"/>
            <w:tcBorders>
              <w:left w:val="single" w:sz="4" w:space="0" w:color="auto"/>
              <w:right w:val="single" w:sz="4" w:space="0" w:color="auto"/>
            </w:tcBorders>
            <w:shd w:val="clear" w:color="auto" w:fill="auto"/>
            <w:noWrap/>
            <w:vAlign w:val="center"/>
          </w:tcPr>
          <w:p w14:paraId="1512C05C" w14:textId="00A1BB18" w:rsidR="00507A50" w:rsidRPr="002E554D" w:rsidRDefault="00507A50"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BTC</w:t>
            </w:r>
          </w:p>
        </w:tc>
        <w:tc>
          <w:tcPr>
            <w:tcW w:w="3709" w:type="dxa"/>
            <w:gridSpan w:val="4"/>
            <w:tcBorders>
              <w:left w:val="single" w:sz="4" w:space="0" w:color="auto"/>
              <w:right w:val="single" w:sz="4" w:space="0" w:color="auto"/>
            </w:tcBorders>
            <w:shd w:val="clear" w:color="auto" w:fill="auto"/>
            <w:noWrap/>
            <w:vAlign w:val="bottom"/>
          </w:tcPr>
          <w:p w14:paraId="0B6A3DA7" w14:textId="2163B963" w:rsidR="00507A50" w:rsidRPr="002E554D" w:rsidRDefault="00507A50"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ETH</w:t>
            </w:r>
          </w:p>
        </w:tc>
      </w:tr>
      <w:tr w:rsidR="002E554D" w:rsidRPr="002E554D" w14:paraId="173F599D" w14:textId="77777777" w:rsidTr="005A2460">
        <w:trPr>
          <w:trHeight w:val="300"/>
          <w:jc w:val="center"/>
        </w:trPr>
        <w:tc>
          <w:tcPr>
            <w:tcW w:w="1204" w:type="dxa"/>
            <w:tcBorders>
              <w:left w:val="single" w:sz="4" w:space="0" w:color="auto"/>
              <w:right w:val="single" w:sz="4" w:space="0" w:color="auto"/>
            </w:tcBorders>
            <w:shd w:val="clear" w:color="auto" w:fill="auto"/>
            <w:noWrap/>
            <w:vAlign w:val="bottom"/>
            <w:hideMark/>
          </w:tcPr>
          <w:p w14:paraId="778E4E5D" w14:textId="7777777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1283" w:type="dxa"/>
            <w:tcBorders>
              <w:left w:val="single" w:sz="4" w:space="0" w:color="auto"/>
              <w:right w:val="single" w:sz="4" w:space="0" w:color="auto"/>
            </w:tcBorders>
            <w:shd w:val="clear" w:color="auto" w:fill="auto"/>
            <w:noWrap/>
          </w:tcPr>
          <w:p w14:paraId="29613E1F" w14:textId="588D08C6" w:rsidR="00AE4614" w:rsidRPr="002E554D" w:rsidRDefault="00AE4614" w:rsidP="00AE4614">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-4.176***</w:t>
            </w:r>
          </w:p>
        </w:tc>
        <w:tc>
          <w:tcPr>
            <w:tcW w:w="855" w:type="dxa"/>
            <w:tcBorders>
              <w:left w:val="single" w:sz="4" w:space="0" w:color="auto"/>
            </w:tcBorders>
            <w:shd w:val="clear" w:color="auto" w:fill="auto"/>
            <w:noWrap/>
          </w:tcPr>
          <w:p w14:paraId="1298FA50" w14:textId="53670E33"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-2.643</w:t>
            </w:r>
          </w:p>
        </w:tc>
        <w:tc>
          <w:tcPr>
            <w:tcW w:w="855" w:type="dxa"/>
            <w:shd w:val="clear" w:color="auto" w:fill="auto"/>
            <w:noWrap/>
          </w:tcPr>
          <w:p w14:paraId="11C79ABE" w14:textId="018BD449"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-1.969</w:t>
            </w:r>
          </w:p>
        </w:tc>
        <w:tc>
          <w:tcPr>
            <w:tcW w:w="992" w:type="dxa"/>
            <w:tcBorders>
              <w:right w:val="single" w:sz="4" w:space="0" w:color="auto"/>
            </w:tcBorders>
            <w:shd w:val="clear" w:color="auto" w:fill="auto"/>
            <w:noWrap/>
          </w:tcPr>
          <w:p w14:paraId="31883009" w14:textId="15CC9658"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-1.609</w:t>
            </w:r>
          </w:p>
        </w:tc>
        <w:tc>
          <w:tcPr>
            <w:tcW w:w="1043" w:type="dxa"/>
            <w:tcBorders>
              <w:left w:val="single" w:sz="4" w:space="0" w:color="auto"/>
              <w:right w:val="single" w:sz="4" w:space="0" w:color="auto"/>
            </w:tcBorders>
            <w:shd w:val="clear" w:color="auto" w:fill="auto"/>
            <w:noWrap/>
          </w:tcPr>
          <w:p w14:paraId="50A787E9" w14:textId="1ADEF24B" w:rsidR="00AE4614" w:rsidRPr="002E554D" w:rsidRDefault="00AE4614" w:rsidP="00AE4614">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-2.99</w:t>
            </w:r>
            <w:r w:rsidR="00C559C1" w:rsidRPr="002E554D">
              <w:rPr>
                <w:rFonts w:ascii="Garamond" w:hAnsi="Garamond"/>
                <w:b/>
                <w:bCs/>
                <w:color w:val="FF0000"/>
              </w:rPr>
              <w:t>***</w:t>
            </w:r>
          </w:p>
        </w:tc>
        <w:tc>
          <w:tcPr>
            <w:tcW w:w="770" w:type="dxa"/>
            <w:tcBorders>
              <w:left w:val="single" w:sz="4" w:space="0" w:color="auto"/>
            </w:tcBorders>
            <w:shd w:val="clear" w:color="auto" w:fill="auto"/>
            <w:noWrap/>
          </w:tcPr>
          <w:p w14:paraId="4615C9CA" w14:textId="1BCCF74B"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-2.562</w:t>
            </w:r>
          </w:p>
        </w:tc>
        <w:tc>
          <w:tcPr>
            <w:tcW w:w="993" w:type="dxa"/>
            <w:shd w:val="clear" w:color="auto" w:fill="auto"/>
            <w:noWrap/>
          </w:tcPr>
          <w:p w14:paraId="4CEB238C" w14:textId="72BD679B"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-1.887</w:t>
            </w:r>
          </w:p>
        </w:tc>
        <w:tc>
          <w:tcPr>
            <w:tcW w:w="903" w:type="dxa"/>
            <w:tcBorders>
              <w:right w:val="single" w:sz="4" w:space="0" w:color="auto"/>
            </w:tcBorders>
            <w:shd w:val="clear" w:color="auto" w:fill="auto"/>
            <w:noWrap/>
          </w:tcPr>
          <w:p w14:paraId="73BF918A" w14:textId="19E62419"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-1.527</w:t>
            </w:r>
          </w:p>
        </w:tc>
      </w:tr>
      <w:tr w:rsidR="002E554D" w:rsidRPr="002E554D" w14:paraId="4EE4BDD0" w14:textId="77777777" w:rsidTr="005A2460">
        <w:trPr>
          <w:trHeight w:val="300"/>
          <w:jc w:val="center"/>
        </w:trPr>
        <w:tc>
          <w:tcPr>
            <w:tcW w:w="1204" w:type="dxa"/>
            <w:tcBorders>
              <w:left w:val="single" w:sz="4" w:space="0" w:color="auto"/>
              <w:right w:val="single" w:sz="4" w:space="0" w:color="auto"/>
            </w:tcBorders>
            <w:shd w:val="clear" w:color="auto" w:fill="auto"/>
            <w:noWrap/>
            <w:vAlign w:val="bottom"/>
            <w:hideMark/>
          </w:tcPr>
          <w:p w14:paraId="745DA6E3" w14:textId="7777777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1283" w:type="dxa"/>
            <w:tcBorders>
              <w:left w:val="single" w:sz="4" w:space="0" w:color="auto"/>
              <w:right w:val="single" w:sz="4" w:space="0" w:color="auto"/>
            </w:tcBorders>
            <w:shd w:val="clear" w:color="auto" w:fill="auto"/>
            <w:noWrap/>
          </w:tcPr>
          <w:p w14:paraId="47D83DE9" w14:textId="3CC9F6D9" w:rsidR="00AE4614" w:rsidRPr="002E554D" w:rsidRDefault="00AE4614" w:rsidP="00AE4614">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-3.984***</w:t>
            </w:r>
          </w:p>
        </w:tc>
        <w:tc>
          <w:tcPr>
            <w:tcW w:w="855" w:type="dxa"/>
            <w:tcBorders>
              <w:left w:val="single" w:sz="4" w:space="0" w:color="auto"/>
            </w:tcBorders>
            <w:shd w:val="clear" w:color="auto" w:fill="auto"/>
            <w:noWrap/>
          </w:tcPr>
          <w:p w14:paraId="4DCBFFC4" w14:textId="414A8A59"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-3.063</w:t>
            </w:r>
          </w:p>
        </w:tc>
        <w:tc>
          <w:tcPr>
            <w:tcW w:w="855" w:type="dxa"/>
            <w:shd w:val="clear" w:color="auto" w:fill="auto"/>
            <w:noWrap/>
          </w:tcPr>
          <w:p w14:paraId="261FE02A" w14:textId="18084BB2"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-2.407</w:t>
            </w:r>
          </w:p>
        </w:tc>
        <w:tc>
          <w:tcPr>
            <w:tcW w:w="992" w:type="dxa"/>
            <w:tcBorders>
              <w:right w:val="single" w:sz="4" w:space="0" w:color="auto"/>
            </w:tcBorders>
            <w:shd w:val="clear" w:color="auto" w:fill="auto"/>
            <w:noWrap/>
          </w:tcPr>
          <w:p w14:paraId="2FE77C8E" w14:textId="4705B145"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-2.063</w:t>
            </w:r>
          </w:p>
        </w:tc>
        <w:tc>
          <w:tcPr>
            <w:tcW w:w="1043" w:type="dxa"/>
            <w:tcBorders>
              <w:left w:val="single" w:sz="4" w:space="0" w:color="auto"/>
              <w:right w:val="single" w:sz="4" w:space="0" w:color="auto"/>
            </w:tcBorders>
            <w:shd w:val="clear" w:color="auto" w:fill="auto"/>
            <w:noWrap/>
          </w:tcPr>
          <w:p w14:paraId="5EA2307F" w14:textId="1371D3EE" w:rsidR="00AE4614" w:rsidRPr="002E554D" w:rsidRDefault="00AE4614" w:rsidP="00AE4614">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-3.025</w:t>
            </w:r>
            <w:r w:rsidR="0021326F" w:rsidRPr="002E554D">
              <w:rPr>
                <w:rFonts w:ascii="Garamond" w:hAnsi="Garamond"/>
                <w:b/>
                <w:bCs/>
                <w:color w:val="FF0000"/>
              </w:rPr>
              <w:t>**</w:t>
            </w:r>
          </w:p>
        </w:tc>
        <w:tc>
          <w:tcPr>
            <w:tcW w:w="770" w:type="dxa"/>
            <w:tcBorders>
              <w:left w:val="single" w:sz="4" w:space="0" w:color="auto"/>
            </w:tcBorders>
            <w:shd w:val="clear" w:color="auto" w:fill="auto"/>
            <w:noWrap/>
          </w:tcPr>
          <w:p w14:paraId="0F2B5AF8" w14:textId="7F7B09F0"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-3.151</w:t>
            </w:r>
          </w:p>
        </w:tc>
        <w:tc>
          <w:tcPr>
            <w:tcW w:w="993" w:type="dxa"/>
            <w:shd w:val="clear" w:color="auto" w:fill="auto"/>
            <w:noWrap/>
          </w:tcPr>
          <w:p w14:paraId="0D4DA5FA" w14:textId="65A63073"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-2.500</w:t>
            </w:r>
          </w:p>
        </w:tc>
        <w:tc>
          <w:tcPr>
            <w:tcW w:w="903" w:type="dxa"/>
            <w:tcBorders>
              <w:right w:val="single" w:sz="4" w:space="0" w:color="auto"/>
            </w:tcBorders>
            <w:shd w:val="clear" w:color="auto" w:fill="auto"/>
            <w:noWrap/>
          </w:tcPr>
          <w:p w14:paraId="76E51F0A" w14:textId="3ECDDC8B"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-2.160</w:t>
            </w:r>
          </w:p>
        </w:tc>
      </w:tr>
      <w:tr w:rsidR="002E554D" w:rsidRPr="002E554D" w14:paraId="44080B33" w14:textId="77777777" w:rsidTr="005A2460">
        <w:trPr>
          <w:trHeight w:val="300"/>
          <w:jc w:val="center"/>
        </w:trPr>
        <w:tc>
          <w:tcPr>
            <w:tcW w:w="1204" w:type="dxa"/>
            <w:tcBorders>
              <w:left w:val="single" w:sz="4" w:space="0" w:color="auto"/>
              <w:right w:val="single" w:sz="4" w:space="0" w:color="auto"/>
            </w:tcBorders>
            <w:shd w:val="clear" w:color="auto" w:fill="auto"/>
            <w:noWrap/>
            <w:vAlign w:val="bottom"/>
            <w:hideMark/>
          </w:tcPr>
          <w:p w14:paraId="3852C614" w14:textId="7777777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1283" w:type="dxa"/>
            <w:tcBorders>
              <w:left w:val="single" w:sz="4" w:space="0" w:color="auto"/>
              <w:right w:val="single" w:sz="4" w:space="0" w:color="auto"/>
            </w:tcBorders>
            <w:shd w:val="clear" w:color="auto" w:fill="auto"/>
            <w:noWrap/>
          </w:tcPr>
          <w:p w14:paraId="5A85CE39" w14:textId="3C4F7D5C" w:rsidR="00AE4614" w:rsidRPr="002E554D" w:rsidRDefault="00AE4614" w:rsidP="00AE4614">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-4.126***</w:t>
            </w:r>
          </w:p>
        </w:tc>
        <w:tc>
          <w:tcPr>
            <w:tcW w:w="855" w:type="dxa"/>
            <w:tcBorders>
              <w:left w:val="single" w:sz="4" w:space="0" w:color="auto"/>
            </w:tcBorders>
            <w:shd w:val="clear" w:color="auto" w:fill="auto"/>
            <w:noWrap/>
          </w:tcPr>
          <w:p w14:paraId="5A453C31" w14:textId="79A9870C"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-3.198</w:t>
            </w:r>
          </w:p>
        </w:tc>
        <w:tc>
          <w:tcPr>
            <w:tcW w:w="855" w:type="dxa"/>
            <w:shd w:val="clear" w:color="auto" w:fill="auto"/>
            <w:noWrap/>
          </w:tcPr>
          <w:p w14:paraId="2D231BB0" w14:textId="067FC472"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-2.562</w:t>
            </w:r>
          </w:p>
        </w:tc>
        <w:tc>
          <w:tcPr>
            <w:tcW w:w="992" w:type="dxa"/>
            <w:tcBorders>
              <w:right w:val="single" w:sz="4" w:space="0" w:color="auto"/>
            </w:tcBorders>
            <w:shd w:val="clear" w:color="auto" w:fill="auto"/>
            <w:noWrap/>
          </w:tcPr>
          <w:p w14:paraId="36E9FA64" w14:textId="08DE1DB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-2.222</w:t>
            </w:r>
          </w:p>
        </w:tc>
        <w:tc>
          <w:tcPr>
            <w:tcW w:w="1043" w:type="dxa"/>
            <w:tcBorders>
              <w:left w:val="single" w:sz="4" w:space="0" w:color="auto"/>
              <w:right w:val="single" w:sz="4" w:space="0" w:color="auto"/>
            </w:tcBorders>
            <w:shd w:val="clear" w:color="auto" w:fill="auto"/>
            <w:noWrap/>
          </w:tcPr>
          <w:p w14:paraId="4937A4CC" w14:textId="63E1964D"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-2.135</w:t>
            </w:r>
          </w:p>
        </w:tc>
        <w:tc>
          <w:tcPr>
            <w:tcW w:w="770" w:type="dxa"/>
            <w:tcBorders>
              <w:left w:val="single" w:sz="4" w:space="0" w:color="auto"/>
            </w:tcBorders>
            <w:shd w:val="clear" w:color="auto" w:fill="auto"/>
            <w:noWrap/>
          </w:tcPr>
          <w:p w14:paraId="76B9F11C" w14:textId="78090705"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-3.235</w:t>
            </w:r>
          </w:p>
        </w:tc>
        <w:tc>
          <w:tcPr>
            <w:tcW w:w="993" w:type="dxa"/>
            <w:shd w:val="clear" w:color="auto" w:fill="auto"/>
            <w:noWrap/>
          </w:tcPr>
          <w:p w14:paraId="5663B88E" w14:textId="18A33509"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-2.614</w:t>
            </w:r>
          </w:p>
        </w:tc>
        <w:tc>
          <w:tcPr>
            <w:tcW w:w="903" w:type="dxa"/>
            <w:tcBorders>
              <w:right w:val="single" w:sz="4" w:space="0" w:color="auto"/>
            </w:tcBorders>
            <w:shd w:val="clear" w:color="auto" w:fill="auto"/>
            <w:noWrap/>
          </w:tcPr>
          <w:p w14:paraId="4AAC0351" w14:textId="68FAAB68"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-2.277</w:t>
            </w:r>
          </w:p>
        </w:tc>
      </w:tr>
      <w:tr w:rsidR="002E554D" w:rsidRPr="002E554D" w14:paraId="7A945EBE" w14:textId="77777777" w:rsidTr="005A2460">
        <w:trPr>
          <w:trHeight w:val="300"/>
          <w:jc w:val="center"/>
        </w:trPr>
        <w:tc>
          <w:tcPr>
            <w:tcW w:w="1204" w:type="dxa"/>
            <w:tcBorders>
              <w:left w:val="single" w:sz="4" w:space="0" w:color="auto"/>
              <w:right w:val="single" w:sz="4" w:space="0" w:color="auto"/>
            </w:tcBorders>
            <w:shd w:val="clear" w:color="auto" w:fill="auto"/>
            <w:noWrap/>
            <w:vAlign w:val="bottom"/>
            <w:hideMark/>
          </w:tcPr>
          <w:p w14:paraId="03A27607" w14:textId="7777777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1283" w:type="dxa"/>
            <w:tcBorders>
              <w:left w:val="single" w:sz="4" w:space="0" w:color="auto"/>
              <w:right w:val="single" w:sz="4" w:space="0" w:color="auto"/>
            </w:tcBorders>
            <w:shd w:val="clear" w:color="auto" w:fill="auto"/>
            <w:noWrap/>
          </w:tcPr>
          <w:p w14:paraId="0A969D7F" w14:textId="7FEDAA8A"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-1.191</w:t>
            </w:r>
          </w:p>
        </w:tc>
        <w:tc>
          <w:tcPr>
            <w:tcW w:w="855" w:type="dxa"/>
            <w:tcBorders>
              <w:left w:val="single" w:sz="4" w:space="0" w:color="auto"/>
            </w:tcBorders>
            <w:shd w:val="clear" w:color="auto" w:fill="auto"/>
            <w:noWrap/>
          </w:tcPr>
          <w:p w14:paraId="4F24D865" w14:textId="313E47E8"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-3.240</w:t>
            </w:r>
          </w:p>
        </w:tc>
        <w:tc>
          <w:tcPr>
            <w:tcW w:w="855" w:type="dxa"/>
            <w:shd w:val="clear" w:color="auto" w:fill="auto"/>
            <w:noWrap/>
          </w:tcPr>
          <w:p w14:paraId="538E6A90" w14:textId="2B22706D"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-2.623</w:t>
            </w:r>
          </w:p>
        </w:tc>
        <w:tc>
          <w:tcPr>
            <w:tcW w:w="992" w:type="dxa"/>
            <w:tcBorders>
              <w:right w:val="single" w:sz="4" w:space="0" w:color="auto"/>
            </w:tcBorders>
            <w:shd w:val="clear" w:color="auto" w:fill="auto"/>
            <w:noWrap/>
          </w:tcPr>
          <w:p w14:paraId="199B0848" w14:textId="21216341"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-2.287</w:t>
            </w:r>
          </w:p>
        </w:tc>
        <w:tc>
          <w:tcPr>
            <w:tcW w:w="1043" w:type="dxa"/>
            <w:tcBorders>
              <w:left w:val="single" w:sz="4" w:space="0" w:color="auto"/>
              <w:right w:val="single" w:sz="4" w:space="0" w:color="auto"/>
            </w:tcBorders>
            <w:shd w:val="clear" w:color="auto" w:fill="auto"/>
            <w:noWrap/>
          </w:tcPr>
          <w:p w14:paraId="6B997032" w14:textId="420D3863"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0.316</w:t>
            </w:r>
          </w:p>
        </w:tc>
        <w:tc>
          <w:tcPr>
            <w:tcW w:w="770" w:type="dxa"/>
            <w:tcBorders>
              <w:left w:val="single" w:sz="4" w:space="0" w:color="auto"/>
            </w:tcBorders>
            <w:shd w:val="clear" w:color="auto" w:fill="auto"/>
            <w:noWrap/>
          </w:tcPr>
          <w:p w14:paraId="78721749" w14:textId="763B0386"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-3.257</w:t>
            </w:r>
          </w:p>
        </w:tc>
        <w:tc>
          <w:tcPr>
            <w:tcW w:w="993" w:type="dxa"/>
            <w:shd w:val="clear" w:color="auto" w:fill="auto"/>
            <w:noWrap/>
          </w:tcPr>
          <w:p w14:paraId="4BF445BA" w14:textId="7FB1E620"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-2.650</w:t>
            </w:r>
          </w:p>
        </w:tc>
        <w:tc>
          <w:tcPr>
            <w:tcW w:w="903" w:type="dxa"/>
            <w:tcBorders>
              <w:right w:val="single" w:sz="4" w:space="0" w:color="auto"/>
            </w:tcBorders>
            <w:shd w:val="clear" w:color="auto" w:fill="auto"/>
            <w:noWrap/>
          </w:tcPr>
          <w:p w14:paraId="7523D44C" w14:textId="4569AC8F"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-2.317</w:t>
            </w:r>
          </w:p>
        </w:tc>
      </w:tr>
      <w:tr w:rsidR="002E554D" w:rsidRPr="002E554D" w14:paraId="2E5BBC28" w14:textId="77777777" w:rsidTr="005A2460">
        <w:trPr>
          <w:trHeight w:val="300"/>
          <w:jc w:val="center"/>
        </w:trPr>
        <w:tc>
          <w:tcPr>
            <w:tcW w:w="1204" w:type="dxa"/>
            <w:tcBorders>
              <w:left w:val="single" w:sz="4" w:space="0" w:color="auto"/>
              <w:right w:val="single" w:sz="4" w:space="0" w:color="auto"/>
            </w:tcBorders>
            <w:shd w:val="clear" w:color="auto" w:fill="auto"/>
            <w:noWrap/>
            <w:vAlign w:val="bottom"/>
            <w:hideMark/>
          </w:tcPr>
          <w:p w14:paraId="29039809" w14:textId="7777777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1283" w:type="dxa"/>
            <w:tcBorders>
              <w:left w:val="single" w:sz="4" w:space="0" w:color="auto"/>
              <w:right w:val="single" w:sz="4" w:space="0" w:color="auto"/>
            </w:tcBorders>
            <w:shd w:val="clear" w:color="auto" w:fill="auto"/>
            <w:noWrap/>
          </w:tcPr>
          <w:p w14:paraId="09EC523C" w14:textId="4FF44D60"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1.855</w:t>
            </w:r>
          </w:p>
        </w:tc>
        <w:tc>
          <w:tcPr>
            <w:tcW w:w="855" w:type="dxa"/>
            <w:tcBorders>
              <w:left w:val="single" w:sz="4" w:space="0" w:color="auto"/>
            </w:tcBorders>
            <w:shd w:val="clear" w:color="auto" w:fill="auto"/>
            <w:noWrap/>
          </w:tcPr>
          <w:p w14:paraId="4A1B8DC8" w14:textId="18A97C1C"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-3.246</w:t>
            </w:r>
          </w:p>
        </w:tc>
        <w:tc>
          <w:tcPr>
            <w:tcW w:w="855" w:type="dxa"/>
            <w:shd w:val="clear" w:color="auto" w:fill="auto"/>
            <w:noWrap/>
          </w:tcPr>
          <w:p w14:paraId="1E1AFE29" w14:textId="7330271F"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-2.632</w:t>
            </w:r>
          </w:p>
        </w:tc>
        <w:tc>
          <w:tcPr>
            <w:tcW w:w="992" w:type="dxa"/>
            <w:tcBorders>
              <w:right w:val="single" w:sz="4" w:space="0" w:color="auto"/>
            </w:tcBorders>
            <w:shd w:val="clear" w:color="auto" w:fill="auto"/>
            <w:noWrap/>
          </w:tcPr>
          <w:p w14:paraId="0C952FD5" w14:textId="2437E738"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-2.297</w:t>
            </w:r>
          </w:p>
        </w:tc>
        <w:tc>
          <w:tcPr>
            <w:tcW w:w="1043" w:type="dxa"/>
            <w:tcBorders>
              <w:left w:val="single" w:sz="4" w:space="0" w:color="auto"/>
              <w:right w:val="single" w:sz="4" w:space="0" w:color="auto"/>
            </w:tcBorders>
            <w:shd w:val="clear" w:color="auto" w:fill="auto"/>
            <w:noWrap/>
          </w:tcPr>
          <w:p w14:paraId="5258B60D" w14:textId="62682D38"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2.272</w:t>
            </w:r>
          </w:p>
        </w:tc>
        <w:tc>
          <w:tcPr>
            <w:tcW w:w="770" w:type="dxa"/>
            <w:tcBorders>
              <w:left w:val="single" w:sz="4" w:space="0" w:color="auto"/>
            </w:tcBorders>
            <w:shd w:val="clear" w:color="auto" w:fill="auto"/>
            <w:noWrap/>
          </w:tcPr>
          <w:p w14:paraId="304CE8FD" w14:textId="5E0E74AE"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-3.255</w:t>
            </w:r>
          </w:p>
        </w:tc>
        <w:tc>
          <w:tcPr>
            <w:tcW w:w="993" w:type="dxa"/>
            <w:shd w:val="clear" w:color="auto" w:fill="auto"/>
            <w:noWrap/>
          </w:tcPr>
          <w:p w14:paraId="11930AB4" w14:textId="535A8EFE"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-2.647</w:t>
            </w:r>
          </w:p>
        </w:tc>
        <w:tc>
          <w:tcPr>
            <w:tcW w:w="903" w:type="dxa"/>
            <w:tcBorders>
              <w:right w:val="single" w:sz="4" w:space="0" w:color="auto"/>
            </w:tcBorders>
            <w:shd w:val="clear" w:color="auto" w:fill="auto"/>
            <w:noWrap/>
          </w:tcPr>
          <w:p w14:paraId="510E583B" w14:textId="4C9D0ECA"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-2.314</w:t>
            </w:r>
          </w:p>
        </w:tc>
      </w:tr>
      <w:tr w:rsidR="002E554D" w:rsidRPr="002E554D" w14:paraId="0404C819" w14:textId="77777777" w:rsidTr="005A2460">
        <w:trPr>
          <w:trHeight w:val="300"/>
          <w:jc w:val="center"/>
        </w:trPr>
        <w:tc>
          <w:tcPr>
            <w:tcW w:w="1204" w:type="dxa"/>
            <w:tcBorders>
              <w:left w:val="single" w:sz="4" w:space="0" w:color="auto"/>
              <w:right w:val="single" w:sz="4" w:space="0" w:color="auto"/>
            </w:tcBorders>
            <w:shd w:val="clear" w:color="auto" w:fill="auto"/>
            <w:noWrap/>
            <w:vAlign w:val="bottom"/>
            <w:hideMark/>
          </w:tcPr>
          <w:p w14:paraId="104E1384" w14:textId="7777777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1283" w:type="dxa"/>
            <w:tcBorders>
              <w:left w:val="single" w:sz="4" w:space="0" w:color="auto"/>
              <w:right w:val="single" w:sz="4" w:space="0" w:color="auto"/>
            </w:tcBorders>
            <w:shd w:val="clear" w:color="auto" w:fill="auto"/>
            <w:noWrap/>
          </w:tcPr>
          <w:p w14:paraId="1E4F5F49" w14:textId="2629F05D"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3.514</w:t>
            </w:r>
          </w:p>
        </w:tc>
        <w:tc>
          <w:tcPr>
            <w:tcW w:w="855" w:type="dxa"/>
            <w:tcBorders>
              <w:left w:val="single" w:sz="4" w:space="0" w:color="auto"/>
            </w:tcBorders>
            <w:shd w:val="clear" w:color="auto" w:fill="auto"/>
            <w:noWrap/>
          </w:tcPr>
          <w:p w14:paraId="66072D10" w14:textId="65CE5A9B"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-3.246</w:t>
            </w:r>
          </w:p>
        </w:tc>
        <w:tc>
          <w:tcPr>
            <w:tcW w:w="855" w:type="dxa"/>
            <w:shd w:val="clear" w:color="auto" w:fill="auto"/>
            <w:noWrap/>
          </w:tcPr>
          <w:p w14:paraId="3C58ABD5" w14:textId="3FA5111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-2.631</w:t>
            </w:r>
          </w:p>
        </w:tc>
        <w:tc>
          <w:tcPr>
            <w:tcW w:w="992" w:type="dxa"/>
            <w:tcBorders>
              <w:right w:val="single" w:sz="4" w:space="0" w:color="auto"/>
            </w:tcBorders>
            <w:shd w:val="clear" w:color="auto" w:fill="auto"/>
            <w:noWrap/>
          </w:tcPr>
          <w:p w14:paraId="30C4EF3C" w14:textId="5E83BAF3"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-2.296</w:t>
            </w:r>
          </w:p>
        </w:tc>
        <w:tc>
          <w:tcPr>
            <w:tcW w:w="1043" w:type="dxa"/>
            <w:tcBorders>
              <w:left w:val="single" w:sz="4" w:space="0" w:color="auto"/>
              <w:right w:val="single" w:sz="4" w:space="0" w:color="auto"/>
            </w:tcBorders>
            <w:shd w:val="clear" w:color="auto" w:fill="auto"/>
            <w:noWrap/>
          </w:tcPr>
          <w:p w14:paraId="0E1A9702" w14:textId="6E3BCF27"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3.772</w:t>
            </w:r>
          </w:p>
        </w:tc>
        <w:tc>
          <w:tcPr>
            <w:tcW w:w="770" w:type="dxa"/>
            <w:tcBorders>
              <w:left w:val="single" w:sz="4" w:space="0" w:color="auto"/>
            </w:tcBorders>
            <w:shd w:val="clear" w:color="auto" w:fill="auto"/>
            <w:noWrap/>
          </w:tcPr>
          <w:p w14:paraId="2D1FE2C6" w14:textId="5E09441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-3.229</w:t>
            </w:r>
          </w:p>
        </w:tc>
        <w:tc>
          <w:tcPr>
            <w:tcW w:w="993" w:type="dxa"/>
            <w:shd w:val="clear" w:color="auto" w:fill="auto"/>
            <w:noWrap/>
          </w:tcPr>
          <w:p w14:paraId="3B4B7E80" w14:textId="47E14060"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-2.604</w:t>
            </w:r>
          </w:p>
        </w:tc>
        <w:tc>
          <w:tcPr>
            <w:tcW w:w="903" w:type="dxa"/>
            <w:tcBorders>
              <w:right w:val="single" w:sz="4" w:space="0" w:color="auto"/>
            </w:tcBorders>
            <w:shd w:val="clear" w:color="auto" w:fill="auto"/>
            <w:noWrap/>
          </w:tcPr>
          <w:p w14:paraId="5A40D3A8" w14:textId="788F46FD"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-2.266</w:t>
            </w:r>
          </w:p>
        </w:tc>
      </w:tr>
      <w:tr w:rsidR="002E554D" w:rsidRPr="002E554D" w14:paraId="3134F874" w14:textId="77777777" w:rsidTr="005A2460">
        <w:trPr>
          <w:trHeight w:val="300"/>
          <w:jc w:val="center"/>
        </w:trPr>
        <w:tc>
          <w:tcPr>
            <w:tcW w:w="1204" w:type="dxa"/>
            <w:tcBorders>
              <w:left w:val="single" w:sz="4" w:space="0" w:color="auto"/>
              <w:right w:val="single" w:sz="4" w:space="0" w:color="auto"/>
            </w:tcBorders>
            <w:shd w:val="clear" w:color="auto" w:fill="auto"/>
            <w:noWrap/>
            <w:vAlign w:val="bottom"/>
            <w:hideMark/>
          </w:tcPr>
          <w:p w14:paraId="467D286B" w14:textId="7777777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1283" w:type="dxa"/>
            <w:tcBorders>
              <w:left w:val="single" w:sz="4" w:space="0" w:color="auto"/>
              <w:right w:val="single" w:sz="4" w:space="0" w:color="auto"/>
            </w:tcBorders>
            <w:shd w:val="clear" w:color="auto" w:fill="auto"/>
            <w:noWrap/>
          </w:tcPr>
          <w:p w14:paraId="4A8479B2" w14:textId="09DC16E8"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3.255</w:t>
            </w:r>
          </w:p>
        </w:tc>
        <w:tc>
          <w:tcPr>
            <w:tcW w:w="855" w:type="dxa"/>
            <w:tcBorders>
              <w:left w:val="single" w:sz="4" w:space="0" w:color="auto"/>
            </w:tcBorders>
            <w:shd w:val="clear" w:color="auto" w:fill="auto"/>
            <w:noWrap/>
          </w:tcPr>
          <w:p w14:paraId="573D7FEC" w14:textId="2D060F2A"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-3.150</w:t>
            </w:r>
          </w:p>
        </w:tc>
        <w:tc>
          <w:tcPr>
            <w:tcW w:w="855" w:type="dxa"/>
            <w:shd w:val="clear" w:color="auto" w:fill="auto"/>
            <w:noWrap/>
          </w:tcPr>
          <w:p w14:paraId="6D616DE7" w14:textId="4AC55ADC"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-2.500</w:t>
            </w:r>
          </w:p>
        </w:tc>
        <w:tc>
          <w:tcPr>
            <w:tcW w:w="992" w:type="dxa"/>
            <w:tcBorders>
              <w:right w:val="single" w:sz="4" w:space="0" w:color="auto"/>
            </w:tcBorders>
            <w:shd w:val="clear" w:color="auto" w:fill="auto"/>
            <w:noWrap/>
          </w:tcPr>
          <w:p w14:paraId="4DC229B5" w14:textId="5662DFB3"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-2.160</w:t>
            </w:r>
          </w:p>
        </w:tc>
        <w:tc>
          <w:tcPr>
            <w:tcW w:w="1043" w:type="dxa"/>
            <w:tcBorders>
              <w:left w:val="single" w:sz="4" w:space="0" w:color="auto"/>
              <w:right w:val="single" w:sz="4" w:space="0" w:color="auto"/>
            </w:tcBorders>
            <w:shd w:val="clear" w:color="auto" w:fill="auto"/>
            <w:noWrap/>
          </w:tcPr>
          <w:p w14:paraId="2CC6E916" w14:textId="3424C61C"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4.032</w:t>
            </w:r>
          </w:p>
        </w:tc>
        <w:tc>
          <w:tcPr>
            <w:tcW w:w="770" w:type="dxa"/>
            <w:tcBorders>
              <w:left w:val="single" w:sz="4" w:space="0" w:color="auto"/>
            </w:tcBorders>
            <w:shd w:val="clear" w:color="auto" w:fill="auto"/>
            <w:noWrap/>
          </w:tcPr>
          <w:p w14:paraId="65E8ACC8" w14:textId="46035A11"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-3.094</w:t>
            </w:r>
          </w:p>
        </w:tc>
        <w:tc>
          <w:tcPr>
            <w:tcW w:w="993" w:type="dxa"/>
            <w:shd w:val="clear" w:color="auto" w:fill="auto"/>
            <w:noWrap/>
          </w:tcPr>
          <w:p w14:paraId="2A3972E9" w14:textId="52AC054E"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-2.436</w:t>
            </w:r>
          </w:p>
        </w:tc>
        <w:tc>
          <w:tcPr>
            <w:tcW w:w="903" w:type="dxa"/>
            <w:tcBorders>
              <w:right w:val="single" w:sz="4" w:space="0" w:color="auto"/>
            </w:tcBorders>
            <w:shd w:val="clear" w:color="auto" w:fill="auto"/>
            <w:noWrap/>
          </w:tcPr>
          <w:p w14:paraId="78FA30F4" w14:textId="3DDB40C2"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-2.094</w:t>
            </w:r>
          </w:p>
        </w:tc>
      </w:tr>
      <w:tr w:rsidR="002E554D" w:rsidRPr="002E554D" w14:paraId="40D28738" w14:textId="77777777" w:rsidTr="005A2460">
        <w:trPr>
          <w:trHeight w:val="300"/>
          <w:jc w:val="center"/>
        </w:trPr>
        <w:tc>
          <w:tcPr>
            <w:tcW w:w="1204" w:type="dxa"/>
            <w:tcBorders>
              <w:left w:val="single" w:sz="4" w:space="0" w:color="auto"/>
              <w:right w:val="single" w:sz="4" w:space="0" w:color="auto"/>
            </w:tcBorders>
            <w:shd w:val="clear" w:color="auto" w:fill="auto"/>
            <w:noWrap/>
            <w:vAlign w:val="bottom"/>
            <w:hideMark/>
          </w:tcPr>
          <w:p w14:paraId="582C3EB3" w14:textId="7777777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1283" w:type="dxa"/>
            <w:tcBorders>
              <w:left w:val="single" w:sz="4" w:space="0" w:color="auto"/>
              <w:right w:val="single" w:sz="4" w:space="0" w:color="auto"/>
            </w:tcBorders>
            <w:shd w:val="clear" w:color="auto" w:fill="auto"/>
            <w:noWrap/>
          </w:tcPr>
          <w:p w14:paraId="346E3A96" w14:textId="122C8940"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2.841</w:t>
            </w:r>
          </w:p>
        </w:tc>
        <w:tc>
          <w:tcPr>
            <w:tcW w:w="855" w:type="dxa"/>
            <w:tcBorders>
              <w:left w:val="single" w:sz="4" w:space="0" w:color="auto"/>
            </w:tcBorders>
            <w:shd w:val="clear" w:color="auto" w:fill="auto"/>
            <w:noWrap/>
          </w:tcPr>
          <w:p w14:paraId="03CA5301" w14:textId="2059CD39"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-2.924</w:t>
            </w:r>
          </w:p>
        </w:tc>
        <w:tc>
          <w:tcPr>
            <w:tcW w:w="855" w:type="dxa"/>
            <w:shd w:val="clear" w:color="auto" w:fill="auto"/>
            <w:noWrap/>
          </w:tcPr>
          <w:p w14:paraId="03DEFDEC" w14:textId="43D69E53"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-2.266</w:t>
            </w:r>
          </w:p>
        </w:tc>
        <w:tc>
          <w:tcPr>
            <w:tcW w:w="992" w:type="dxa"/>
            <w:tcBorders>
              <w:right w:val="single" w:sz="4" w:space="0" w:color="auto"/>
            </w:tcBorders>
            <w:shd w:val="clear" w:color="auto" w:fill="auto"/>
            <w:noWrap/>
          </w:tcPr>
          <w:p w14:paraId="1CBFEED3" w14:textId="4E0FA18C"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-1.912</w:t>
            </w:r>
          </w:p>
        </w:tc>
        <w:tc>
          <w:tcPr>
            <w:tcW w:w="1043" w:type="dxa"/>
            <w:tcBorders>
              <w:left w:val="single" w:sz="4" w:space="0" w:color="auto"/>
              <w:right w:val="single" w:sz="4" w:space="0" w:color="auto"/>
            </w:tcBorders>
            <w:shd w:val="clear" w:color="auto" w:fill="auto"/>
            <w:noWrap/>
          </w:tcPr>
          <w:p w14:paraId="0A39CEF3" w14:textId="60E67AED"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3.089</w:t>
            </w:r>
          </w:p>
        </w:tc>
        <w:tc>
          <w:tcPr>
            <w:tcW w:w="770" w:type="dxa"/>
            <w:tcBorders>
              <w:left w:val="single" w:sz="4" w:space="0" w:color="auto"/>
            </w:tcBorders>
            <w:shd w:val="clear" w:color="auto" w:fill="auto"/>
            <w:noWrap/>
          </w:tcPr>
          <w:p w14:paraId="66C4FFE4" w14:textId="6D7891C5"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-2.938</w:t>
            </w:r>
          </w:p>
        </w:tc>
        <w:tc>
          <w:tcPr>
            <w:tcW w:w="993" w:type="dxa"/>
            <w:shd w:val="clear" w:color="auto" w:fill="auto"/>
            <w:noWrap/>
          </w:tcPr>
          <w:p w14:paraId="2E99AFD6" w14:textId="6CD29B2D"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-2.281</w:t>
            </w:r>
          </w:p>
        </w:tc>
        <w:tc>
          <w:tcPr>
            <w:tcW w:w="903" w:type="dxa"/>
            <w:tcBorders>
              <w:right w:val="single" w:sz="4" w:space="0" w:color="auto"/>
            </w:tcBorders>
            <w:shd w:val="clear" w:color="auto" w:fill="auto"/>
            <w:noWrap/>
          </w:tcPr>
          <w:p w14:paraId="58FB6EB2" w14:textId="704FE2EF"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-1.928</w:t>
            </w:r>
          </w:p>
        </w:tc>
      </w:tr>
      <w:tr w:rsidR="002E554D" w:rsidRPr="002E554D" w14:paraId="4873465E" w14:textId="77777777" w:rsidTr="005A2460">
        <w:trPr>
          <w:trHeight w:val="300"/>
          <w:jc w:val="center"/>
        </w:trPr>
        <w:tc>
          <w:tcPr>
            <w:tcW w:w="1204" w:type="dxa"/>
            <w:tcBorders>
              <w:left w:val="single" w:sz="4" w:space="0" w:color="auto"/>
              <w:right w:val="single" w:sz="4" w:space="0" w:color="auto"/>
            </w:tcBorders>
            <w:shd w:val="clear" w:color="auto" w:fill="auto"/>
            <w:noWrap/>
            <w:vAlign w:val="bottom"/>
            <w:hideMark/>
          </w:tcPr>
          <w:p w14:paraId="679A400A" w14:textId="77777777"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1283" w:type="dxa"/>
            <w:tcBorders>
              <w:left w:val="single" w:sz="4" w:space="0" w:color="auto"/>
              <w:right w:val="single" w:sz="4" w:space="0" w:color="auto"/>
            </w:tcBorders>
            <w:shd w:val="clear" w:color="auto" w:fill="auto"/>
            <w:noWrap/>
          </w:tcPr>
          <w:p w14:paraId="2397B187" w14:textId="6E5419F9"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0.999</w:t>
            </w:r>
          </w:p>
        </w:tc>
        <w:tc>
          <w:tcPr>
            <w:tcW w:w="855" w:type="dxa"/>
            <w:tcBorders>
              <w:left w:val="single" w:sz="4" w:space="0" w:color="auto"/>
            </w:tcBorders>
            <w:shd w:val="clear" w:color="auto" w:fill="auto"/>
            <w:noWrap/>
          </w:tcPr>
          <w:p w14:paraId="0D823F1E" w14:textId="51009F32"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-2.639</w:t>
            </w:r>
          </w:p>
        </w:tc>
        <w:tc>
          <w:tcPr>
            <w:tcW w:w="855" w:type="dxa"/>
            <w:shd w:val="clear" w:color="auto" w:fill="auto"/>
            <w:noWrap/>
          </w:tcPr>
          <w:p w14:paraId="58BC28C8" w14:textId="2497BB9A"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-1.966</w:t>
            </w:r>
          </w:p>
        </w:tc>
        <w:tc>
          <w:tcPr>
            <w:tcW w:w="992" w:type="dxa"/>
            <w:tcBorders>
              <w:right w:val="single" w:sz="4" w:space="0" w:color="auto"/>
            </w:tcBorders>
            <w:shd w:val="clear" w:color="auto" w:fill="auto"/>
            <w:noWrap/>
          </w:tcPr>
          <w:p w14:paraId="4575540D" w14:textId="0C3BBA62"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-1.606</w:t>
            </w:r>
          </w:p>
        </w:tc>
        <w:tc>
          <w:tcPr>
            <w:tcW w:w="1043" w:type="dxa"/>
            <w:tcBorders>
              <w:left w:val="single" w:sz="4" w:space="0" w:color="auto"/>
              <w:right w:val="single" w:sz="4" w:space="0" w:color="auto"/>
            </w:tcBorders>
            <w:shd w:val="clear" w:color="auto" w:fill="auto"/>
            <w:noWrap/>
          </w:tcPr>
          <w:p w14:paraId="412656EE" w14:textId="7DBC0764"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1.395</w:t>
            </w:r>
          </w:p>
        </w:tc>
        <w:tc>
          <w:tcPr>
            <w:tcW w:w="770" w:type="dxa"/>
            <w:tcBorders>
              <w:left w:val="single" w:sz="4" w:space="0" w:color="auto"/>
            </w:tcBorders>
            <w:shd w:val="clear" w:color="auto" w:fill="auto"/>
            <w:noWrap/>
          </w:tcPr>
          <w:p w14:paraId="76E1CAFD" w14:textId="60044CC4"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-2.535</w:t>
            </w:r>
          </w:p>
        </w:tc>
        <w:tc>
          <w:tcPr>
            <w:tcW w:w="993" w:type="dxa"/>
            <w:shd w:val="clear" w:color="auto" w:fill="auto"/>
            <w:noWrap/>
          </w:tcPr>
          <w:p w14:paraId="4F3546A4" w14:textId="0639406A" w:rsidR="00AE4614" w:rsidRPr="002E554D" w:rsidRDefault="00AE4614" w:rsidP="00AE4614">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-1.859</w:t>
            </w:r>
          </w:p>
        </w:tc>
        <w:tc>
          <w:tcPr>
            <w:tcW w:w="903" w:type="dxa"/>
            <w:tcBorders>
              <w:right w:val="single" w:sz="4" w:space="0" w:color="auto"/>
            </w:tcBorders>
            <w:shd w:val="clear" w:color="auto" w:fill="auto"/>
            <w:noWrap/>
          </w:tcPr>
          <w:p w14:paraId="49E3EFCC" w14:textId="1B644505" w:rsidR="00AE4614" w:rsidRPr="002E554D" w:rsidRDefault="00AE4614" w:rsidP="00AE4614">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-1.499</w:t>
            </w:r>
          </w:p>
        </w:tc>
      </w:tr>
      <w:tr w:rsidR="002E554D" w:rsidRPr="002E554D" w14:paraId="54D1C19D" w14:textId="77777777" w:rsidTr="00EB70F3">
        <w:trPr>
          <w:gridAfter w:val="4"/>
          <w:wAfter w:w="3709" w:type="dxa"/>
          <w:trHeight w:val="300"/>
          <w:jc w:val="center"/>
        </w:trPr>
        <w:tc>
          <w:tcPr>
            <w:tcW w:w="1204" w:type="dxa"/>
            <w:tcBorders>
              <w:left w:val="single" w:sz="4" w:space="0" w:color="auto"/>
              <w:right w:val="single" w:sz="4" w:space="0" w:color="auto"/>
            </w:tcBorders>
            <w:shd w:val="clear" w:color="auto" w:fill="auto"/>
            <w:noWrap/>
            <w:vAlign w:val="bottom"/>
          </w:tcPr>
          <w:p w14:paraId="095F5526" w14:textId="77777777" w:rsidR="0010243B" w:rsidRPr="002E554D" w:rsidRDefault="0010243B" w:rsidP="00507A50">
            <w:pPr>
              <w:spacing w:after="0" w:line="240" w:lineRule="auto"/>
              <w:rPr>
                <w:rFonts w:ascii="Garamond" w:eastAsia="Times New Roman" w:hAnsi="Garamond" w:cs="Calibri"/>
                <w:color w:val="FF0000"/>
                <w:lang w:val="en-GB" w:eastAsia="en-GB"/>
              </w:rPr>
            </w:pPr>
          </w:p>
        </w:tc>
        <w:tc>
          <w:tcPr>
            <w:tcW w:w="3985" w:type="dxa"/>
            <w:gridSpan w:val="4"/>
            <w:tcBorders>
              <w:left w:val="single" w:sz="4" w:space="0" w:color="auto"/>
              <w:right w:val="single" w:sz="4" w:space="0" w:color="auto"/>
            </w:tcBorders>
            <w:shd w:val="clear" w:color="auto" w:fill="auto"/>
            <w:noWrap/>
            <w:vAlign w:val="center"/>
          </w:tcPr>
          <w:p w14:paraId="295253D8" w14:textId="1A418BDA" w:rsidR="0010243B" w:rsidRPr="002E554D" w:rsidRDefault="0010243B" w:rsidP="00507A50">
            <w:pPr>
              <w:spacing w:after="0" w:line="240" w:lineRule="auto"/>
              <w:jc w:val="center"/>
              <w:rPr>
                <w:rFonts w:ascii="Garamond" w:eastAsia="Times New Roman" w:hAnsi="Garamond" w:cs="Calibri"/>
                <w:b/>
                <w:bCs/>
                <w:color w:val="FF0000"/>
                <w:lang w:val="en-GB" w:eastAsia="en-GB"/>
              </w:rPr>
            </w:pPr>
            <w:r w:rsidRPr="002E554D">
              <w:rPr>
                <w:rFonts w:ascii="Garamond" w:eastAsia="Times New Roman" w:hAnsi="Garamond" w:cs="Calibri"/>
                <w:b/>
                <w:bCs/>
                <w:color w:val="FF0000"/>
                <w:lang w:val="en-GB" w:eastAsia="en-GB"/>
              </w:rPr>
              <w:t>LTC</w:t>
            </w:r>
          </w:p>
        </w:tc>
      </w:tr>
      <w:tr w:rsidR="002E554D" w:rsidRPr="002E554D" w14:paraId="133ABB92" w14:textId="77777777" w:rsidTr="00E04686">
        <w:trPr>
          <w:gridAfter w:val="4"/>
          <w:wAfter w:w="3709" w:type="dxa"/>
          <w:trHeight w:val="300"/>
          <w:jc w:val="center"/>
        </w:trPr>
        <w:tc>
          <w:tcPr>
            <w:tcW w:w="1204" w:type="dxa"/>
            <w:tcBorders>
              <w:left w:val="single" w:sz="4" w:space="0" w:color="auto"/>
              <w:right w:val="single" w:sz="4" w:space="0" w:color="auto"/>
            </w:tcBorders>
            <w:shd w:val="clear" w:color="auto" w:fill="auto"/>
            <w:noWrap/>
            <w:vAlign w:val="bottom"/>
            <w:hideMark/>
          </w:tcPr>
          <w:p w14:paraId="0DFD8FB6" w14:textId="77777777"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0.1</w:t>
            </w:r>
          </w:p>
        </w:tc>
        <w:tc>
          <w:tcPr>
            <w:tcW w:w="1283" w:type="dxa"/>
            <w:tcBorders>
              <w:left w:val="single" w:sz="4" w:space="0" w:color="auto"/>
              <w:right w:val="single" w:sz="4" w:space="0" w:color="auto"/>
            </w:tcBorders>
            <w:shd w:val="clear" w:color="auto" w:fill="auto"/>
            <w:noWrap/>
          </w:tcPr>
          <w:p w14:paraId="537EED44" w14:textId="772E52DE" w:rsidR="00C559C1" w:rsidRPr="002E554D" w:rsidRDefault="00C559C1" w:rsidP="00C559C1">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-2.784</w:t>
            </w:r>
            <w:r w:rsidR="0021326F" w:rsidRPr="002E554D">
              <w:rPr>
                <w:rFonts w:ascii="Garamond" w:hAnsi="Garamond"/>
                <w:b/>
                <w:bCs/>
                <w:color w:val="FF0000"/>
              </w:rPr>
              <w:t>***</w:t>
            </w:r>
          </w:p>
        </w:tc>
        <w:tc>
          <w:tcPr>
            <w:tcW w:w="855" w:type="dxa"/>
            <w:tcBorders>
              <w:left w:val="single" w:sz="4" w:space="0" w:color="auto"/>
            </w:tcBorders>
            <w:shd w:val="clear" w:color="auto" w:fill="auto"/>
            <w:noWrap/>
          </w:tcPr>
          <w:p w14:paraId="476133BA" w14:textId="5F80364C"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-2.557</w:t>
            </w:r>
          </w:p>
        </w:tc>
        <w:tc>
          <w:tcPr>
            <w:tcW w:w="855" w:type="dxa"/>
            <w:shd w:val="clear" w:color="auto" w:fill="auto"/>
            <w:noWrap/>
          </w:tcPr>
          <w:p w14:paraId="770A413B" w14:textId="7D6AEF71" w:rsidR="00C559C1" w:rsidRPr="002E554D" w:rsidRDefault="00C559C1" w:rsidP="00C559C1">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-1.881</w:t>
            </w:r>
          </w:p>
        </w:tc>
        <w:tc>
          <w:tcPr>
            <w:tcW w:w="992" w:type="dxa"/>
            <w:tcBorders>
              <w:right w:val="single" w:sz="4" w:space="0" w:color="auto"/>
            </w:tcBorders>
            <w:shd w:val="clear" w:color="auto" w:fill="auto"/>
            <w:noWrap/>
          </w:tcPr>
          <w:p w14:paraId="5F756C64" w14:textId="2094637C"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-1.521</w:t>
            </w:r>
          </w:p>
        </w:tc>
      </w:tr>
      <w:tr w:rsidR="002E554D" w:rsidRPr="002E554D" w14:paraId="660F5EF1" w14:textId="77777777" w:rsidTr="00E04686">
        <w:trPr>
          <w:gridAfter w:val="4"/>
          <w:wAfter w:w="3709" w:type="dxa"/>
          <w:trHeight w:val="300"/>
          <w:jc w:val="center"/>
        </w:trPr>
        <w:tc>
          <w:tcPr>
            <w:tcW w:w="1204" w:type="dxa"/>
            <w:tcBorders>
              <w:left w:val="single" w:sz="4" w:space="0" w:color="auto"/>
              <w:right w:val="single" w:sz="4" w:space="0" w:color="auto"/>
            </w:tcBorders>
            <w:shd w:val="clear" w:color="auto" w:fill="auto"/>
            <w:noWrap/>
            <w:vAlign w:val="bottom"/>
            <w:hideMark/>
          </w:tcPr>
          <w:p w14:paraId="4F3A8E14" w14:textId="77777777"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0.2</w:t>
            </w:r>
          </w:p>
        </w:tc>
        <w:tc>
          <w:tcPr>
            <w:tcW w:w="1283" w:type="dxa"/>
            <w:tcBorders>
              <w:left w:val="single" w:sz="4" w:space="0" w:color="auto"/>
              <w:right w:val="single" w:sz="4" w:space="0" w:color="auto"/>
            </w:tcBorders>
            <w:shd w:val="clear" w:color="auto" w:fill="auto"/>
            <w:noWrap/>
          </w:tcPr>
          <w:p w14:paraId="14697E65" w14:textId="46445ECB" w:rsidR="00C559C1" w:rsidRPr="002E554D" w:rsidRDefault="00C559C1" w:rsidP="00C559C1">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-5.194</w:t>
            </w:r>
            <w:r w:rsidR="0021326F" w:rsidRPr="002E554D">
              <w:rPr>
                <w:rFonts w:ascii="Garamond" w:hAnsi="Garamond"/>
                <w:b/>
                <w:bCs/>
                <w:color w:val="FF0000"/>
              </w:rPr>
              <w:t>***</w:t>
            </w:r>
          </w:p>
        </w:tc>
        <w:tc>
          <w:tcPr>
            <w:tcW w:w="855" w:type="dxa"/>
            <w:tcBorders>
              <w:left w:val="single" w:sz="4" w:space="0" w:color="auto"/>
            </w:tcBorders>
            <w:shd w:val="clear" w:color="auto" w:fill="auto"/>
            <w:noWrap/>
          </w:tcPr>
          <w:p w14:paraId="2E229619" w14:textId="45887352"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-3.042</w:t>
            </w:r>
          </w:p>
        </w:tc>
        <w:tc>
          <w:tcPr>
            <w:tcW w:w="855" w:type="dxa"/>
            <w:shd w:val="clear" w:color="auto" w:fill="auto"/>
            <w:noWrap/>
          </w:tcPr>
          <w:p w14:paraId="7FE519C4" w14:textId="4EA4C9A1"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-2.388</w:t>
            </w:r>
          </w:p>
        </w:tc>
        <w:tc>
          <w:tcPr>
            <w:tcW w:w="992" w:type="dxa"/>
            <w:tcBorders>
              <w:right w:val="single" w:sz="4" w:space="0" w:color="auto"/>
            </w:tcBorders>
            <w:shd w:val="clear" w:color="auto" w:fill="auto"/>
            <w:noWrap/>
          </w:tcPr>
          <w:p w14:paraId="131A687F" w14:textId="52629716"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-2.042</w:t>
            </w:r>
          </w:p>
        </w:tc>
      </w:tr>
      <w:tr w:rsidR="002E554D" w:rsidRPr="002E554D" w14:paraId="7842DC6F" w14:textId="77777777" w:rsidTr="00E04686">
        <w:trPr>
          <w:gridAfter w:val="4"/>
          <w:wAfter w:w="3709" w:type="dxa"/>
          <w:trHeight w:val="300"/>
          <w:jc w:val="center"/>
        </w:trPr>
        <w:tc>
          <w:tcPr>
            <w:tcW w:w="1204" w:type="dxa"/>
            <w:tcBorders>
              <w:left w:val="single" w:sz="4" w:space="0" w:color="auto"/>
              <w:right w:val="single" w:sz="4" w:space="0" w:color="auto"/>
            </w:tcBorders>
            <w:shd w:val="clear" w:color="auto" w:fill="auto"/>
            <w:noWrap/>
            <w:vAlign w:val="bottom"/>
            <w:hideMark/>
          </w:tcPr>
          <w:p w14:paraId="76BA2E3F" w14:textId="77777777"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0.3</w:t>
            </w:r>
          </w:p>
        </w:tc>
        <w:tc>
          <w:tcPr>
            <w:tcW w:w="1283" w:type="dxa"/>
            <w:tcBorders>
              <w:left w:val="single" w:sz="4" w:space="0" w:color="auto"/>
              <w:right w:val="single" w:sz="4" w:space="0" w:color="auto"/>
            </w:tcBorders>
            <w:shd w:val="clear" w:color="auto" w:fill="auto"/>
            <w:noWrap/>
          </w:tcPr>
          <w:p w14:paraId="5F8D19E6" w14:textId="47F57088" w:rsidR="00C559C1" w:rsidRPr="002E554D" w:rsidRDefault="00C559C1" w:rsidP="00C559C1">
            <w:pPr>
              <w:spacing w:after="0" w:line="240" w:lineRule="auto"/>
              <w:jc w:val="center"/>
              <w:rPr>
                <w:rFonts w:ascii="Garamond" w:eastAsia="Times New Roman" w:hAnsi="Garamond" w:cs="Calibri"/>
                <w:b/>
                <w:bCs/>
                <w:color w:val="FF0000"/>
                <w:lang w:val="en-GB" w:eastAsia="en-GB"/>
              </w:rPr>
            </w:pPr>
            <w:r w:rsidRPr="002E554D">
              <w:rPr>
                <w:rFonts w:ascii="Garamond" w:hAnsi="Garamond"/>
                <w:b/>
                <w:bCs/>
                <w:color w:val="FF0000"/>
              </w:rPr>
              <w:t>-2.539</w:t>
            </w:r>
            <w:r w:rsidR="0021326F" w:rsidRPr="002E554D">
              <w:rPr>
                <w:rFonts w:ascii="Garamond" w:hAnsi="Garamond"/>
                <w:b/>
                <w:bCs/>
                <w:color w:val="FF0000"/>
              </w:rPr>
              <w:t>*</w:t>
            </w:r>
          </w:p>
        </w:tc>
        <w:tc>
          <w:tcPr>
            <w:tcW w:w="855" w:type="dxa"/>
            <w:tcBorders>
              <w:left w:val="single" w:sz="4" w:space="0" w:color="auto"/>
            </w:tcBorders>
            <w:shd w:val="clear" w:color="auto" w:fill="auto"/>
            <w:noWrap/>
          </w:tcPr>
          <w:p w14:paraId="432785DD" w14:textId="192CFA75"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-3.223</w:t>
            </w:r>
          </w:p>
        </w:tc>
        <w:tc>
          <w:tcPr>
            <w:tcW w:w="855" w:type="dxa"/>
            <w:shd w:val="clear" w:color="auto" w:fill="FFFFFF" w:themeFill="background1"/>
            <w:noWrap/>
          </w:tcPr>
          <w:p w14:paraId="5E474C0B" w14:textId="70175042"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-2.595</w:t>
            </w:r>
          </w:p>
        </w:tc>
        <w:tc>
          <w:tcPr>
            <w:tcW w:w="992" w:type="dxa"/>
            <w:tcBorders>
              <w:right w:val="single" w:sz="4" w:space="0" w:color="auto"/>
            </w:tcBorders>
            <w:shd w:val="clear" w:color="auto" w:fill="FFFFFF" w:themeFill="background1"/>
            <w:noWrap/>
          </w:tcPr>
          <w:p w14:paraId="703D3D40" w14:textId="40721C45"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-2.255</w:t>
            </w:r>
          </w:p>
        </w:tc>
      </w:tr>
      <w:tr w:rsidR="002E554D" w:rsidRPr="002E554D" w14:paraId="02060EBF" w14:textId="77777777" w:rsidTr="00E04686">
        <w:trPr>
          <w:gridAfter w:val="4"/>
          <w:wAfter w:w="3709" w:type="dxa"/>
          <w:trHeight w:val="300"/>
          <w:jc w:val="center"/>
        </w:trPr>
        <w:tc>
          <w:tcPr>
            <w:tcW w:w="1204" w:type="dxa"/>
            <w:tcBorders>
              <w:left w:val="single" w:sz="4" w:space="0" w:color="auto"/>
              <w:right w:val="single" w:sz="4" w:space="0" w:color="auto"/>
            </w:tcBorders>
            <w:shd w:val="clear" w:color="auto" w:fill="auto"/>
            <w:noWrap/>
            <w:vAlign w:val="bottom"/>
            <w:hideMark/>
          </w:tcPr>
          <w:p w14:paraId="380F74FA" w14:textId="77777777"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0.4</w:t>
            </w:r>
          </w:p>
        </w:tc>
        <w:tc>
          <w:tcPr>
            <w:tcW w:w="1283" w:type="dxa"/>
            <w:tcBorders>
              <w:left w:val="single" w:sz="4" w:space="0" w:color="auto"/>
              <w:right w:val="single" w:sz="4" w:space="0" w:color="auto"/>
            </w:tcBorders>
            <w:shd w:val="clear" w:color="auto" w:fill="auto"/>
            <w:noWrap/>
          </w:tcPr>
          <w:p w14:paraId="44076EF7" w14:textId="1E1FF78E" w:rsidR="00C559C1" w:rsidRPr="002E554D" w:rsidRDefault="00C559C1" w:rsidP="00C559C1">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-1.933</w:t>
            </w:r>
          </w:p>
        </w:tc>
        <w:tc>
          <w:tcPr>
            <w:tcW w:w="855" w:type="dxa"/>
            <w:tcBorders>
              <w:left w:val="single" w:sz="4" w:space="0" w:color="auto"/>
            </w:tcBorders>
            <w:shd w:val="clear" w:color="auto" w:fill="auto"/>
            <w:noWrap/>
          </w:tcPr>
          <w:p w14:paraId="6C38D2E5" w14:textId="0AB5DA25"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-3.257</w:t>
            </w:r>
          </w:p>
        </w:tc>
        <w:tc>
          <w:tcPr>
            <w:tcW w:w="855" w:type="dxa"/>
            <w:shd w:val="clear" w:color="auto" w:fill="FFFFFF" w:themeFill="background1"/>
            <w:noWrap/>
          </w:tcPr>
          <w:p w14:paraId="5AFF7AE0" w14:textId="75EA029C" w:rsidR="00C559C1" w:rsidRPr="002E554D" w:rsidRDefault="00C559C1" w:rsidP="00C559C1">
            <w:pPr>
              <w:spacing w:after="0" w:line="240" w:lineRule="auto"/>
              <w:jc w:val="center"/>
              <w:rPr>
                <w:rFonts w:ascii="Garamond" w:eastAsia="Times New Roman" w:hAnsi="Garamond" w:cs="Calibri"/>
                <w:color w:val="FF0000"/>
                <w:u w:val="single"/>
                <w:lang w:val="en-GB" w:eastAsia="en-GB"/>
              </w:rPr>
            </w:pPr>
            <w:r w:rsidRPr="002E554D">
              <w:rPr>
                <w:rFonts w:ascii="Garamond" w:hAnsi="Garamond"/>
                <w:color w:val="FF0000"/>
              </w:rPr>
              <w:t>-2.650</w:t>
            </w:r>
          </w:p>
        </w:tc>
        <w:tc>
          <w:tcPr>
            <w:tcW w:w="992" w:type="dxa"/>
            <w:tcBorders>
              <w:right w:val="single" w:sz="4" w:space="0" w:color="auto"/>
            </w:tcBorders>
            <w:shd w:val="clear" w:color="auto" w:fill="FFFFFF" w:themeFill="background1"/>
            <w:noWrap/>
          </w:tcPr>
          <w:p w14:paraId="1619BB92" w14:textId="337ED943"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-2.317</w:t>
            </w:r>
          </w:p>
        </w:tc>
      </w:tr>
      <w:tr w:rsidR="002E554D" w:rsidRPr="002E554D" w14:paraId="2379CAC7" w14:textId="77777777" w:rsidTr="00E04686">
        <w:trPr>
          <w:gridAfter w:val="4"/>
          <w:wAfter w:w="3709" w:type="dxa"/>
          <w:trHeight w:val="300"/>
          <w:jc w:val="center"/>
        </w:trPr>
        <w:tc>
          <w:tcPr>
            <w:tcW w:w="1204" w:type="dxa"/>
            <w:tcBorders>
              <w:left w:val="single" w:sz="4" w:space="0" w:color="auto"/>
              <w:right w:val="single" w:sz="4" w:space="0" w:color="auto"/>
            </w:tcBorders>
            <w:shd w:val="clear" w:color="auto" w:fill="auto"/>
            <w:noWrap/>
            <w:vAlign w:val="bottom"/>
            <w:hideMark/>
          </w:tcPr>
          <w:p w14:paraId="3D706950" w14:textId="77777777"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0.5</w:t>
            </w:r>
          </w:p>
        </w:tc>
        <w:tc>
          <w:tcPr>
            <w:tcW w:w="1283" w:type="dxa"/>
            <w:tcBorders>
              <w:left w:val="single" w:sz="4" w:space="0" w:color="auto"/>
              <w:right w:val="single" w:sz="4" w:space="0" w:color="auto"/>
            </w:tcBorders>
            <w:shd w:val="clear" w:color="auto" w:fill="auto"/>
            <w:noWrap/>
          </w:tcPr>
          <w:p w14:paraId="1C84F730" w14:textId="51C82560" w:rsidR="00C559C1" w:rsidRPr="002E554D" w:rsidRDefault="00C559C1" w:rsidP="00C559C1">
            <w:pPr>
              <w:spacing w:after="0" w:line="240" w:lineRule="auto"/>
              <w:jc w:val="center"/>
              <w:rPr>
                <w:rFonts w:ascii="Garamond" w:eastAsia="Times New Roman" w:hAnsi="Garamond" w:cs="Calibri"/>
                <w:b/>
                <w:bCs/>
                <w:color w:val="FF0000"/>
                <w:lang w:val="en-GB" w:eastAsia="en-GB"/>
              </w:rPr>
            </w:pPr>
            <w:r w:rsidRPr="002E554D">
              <w:rPr>
                <w:rFonts w:ascii="Garamond" w:hAnsi="Garamond"/>
                <w:color w:val="FF0000"/>
              </w:rPr>
              <w:t>0.493</w:t>
            </w:r>
          </w:p>
        </w:tc>
        <w:tc>
          <w:tcPr>
            <w:tcW w:w="855" w:type="dxa"/>
            <w:tcBorders>
              <w:left w:val="single" w:sz="4" w:space="0" w:color="auto"/>
            </w:tcBorders>
            <w:shd w:val="clear" w:color="auto" w:fill="auto"/>
            <w:noWrap/>
          </w:tcPr>
          <w:p w14:paraId="340B9DBE" w14:textId="16C0D0BF"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-3.259</w:t>
            </w:r>
          </w:p>
        </w:tc>
        <w:tc>
          <w:tcPr>
            <w:tcW w:w="855" w:type="dxa"/>
            <w:shd w:val="clear" w:color="auto" w:fill="FFFFFF" w:themeFill="background1"/>
            <w:noWrap/>
          </w:tcPr>
          <w:p w14:paraId="3CAF496E" w14:textId="02CBA466"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-2.653</w:t>
            </w:r>
          </w:p>
        </w:tc>
        <w:tc>
          <w:tcPr>
            <w:tcW w:w="992" w:type="dxa"/>
            <w:tcBorders>
              <w:right w:val="single" w:sz="4" w:space="0" w:color="auto"/>
            </w:tcBorders>
            <w:shd w:val="clear" w:color="auto" w:fill="FFFFFF" w:themeFill="background1"/>
            <w:noWrap/>
          </w:tcPr>
          <w:p w14:paraId="2BA0DEC6" w14:textId="03CDAA83"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-2.321</w:t>
            </w:r>
          </w:p>
        </w:tc>
      </w:tr>
      <w:tr w:rsidR="002E554D" w:rsidRPr="002E554D" w14:paraId="61B58DD4" w14:textId="77777777" w:rsidTr="00E04686">
        <w:trPr>
          <w:gridAfter w:val="4"/>
          <w:wAfter w:w="3709" w:type="dxa"/>
          <w:trHeight w:val="300"/>
          <w:jc w:val="center"/>
        </w:trPr>
        <w:tc>
          <w:tcPr>
            <w:tcW w:w="1204" w:type="dxa"/>
            <w:tcBorders>
              <w:left w:val="single" w:sz="4" w:space="0" w:color="auto"/>
              <w:right w:val="single" w:sz="4" w:space="0" w:color="auto"/>
            </w:tcBorders>
            <w:shd w:val="clear" w:color="auto" w:fill="auto"/>
            <w:noWrap/>
            <w:vAlign w:val="bottom"/>
            <w:hideMark/>
          </w:tcPr>
          <w:p w14:paraId="12650837" w14:textId="77777777"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0.6</w:t>
            </w:r>
          </w:p>
        </w:tc>
        <w:tc>
          <w:tcPr>
            <w:tcW w:w="1283" w:type="dxa"/>
            <w:tcBorders>
              <w:left w:val="single" w:sz="4" w:space="0" w:color="auto"/>
              <w:right w:val="single" w:sz="4" w:space="0" w:color="auto"/>
            </w:tcBorders>
            <w:shd w:val="clear" w:color="auto" w:fill="auto"/>
            <w:noWrap/>
          </w:tcPr>
          <w:p w14:paraId="48F8EA3D" w14:textId="6C6E4D14" w:rsidR="00C559C1" w:rsidRPr="002E554D" w:rsidRDefault="00C559C1" w:rsidP="00C559C1">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2.632</w:t>
            </w:r>
          </w:p>
        </w:tc>
        <w:tc>
          <w:tcPr>
            <w:tcW w:w="855" w:type="dxa"/>
            <w:tcBorders>
              <w:left w:val="single" w:sz="4" w:space="0" w:color="auto"/>
            </w:tcBorders>
            <w:shd w:val="clear" w:color="auto" w:fill="auto"/>
            <w:noWrap/>
          </w:tcPr>
          <w:p w14:paraId="103F1236" w14:textId="4FB57962"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-3.214</w:t>
            </w:r>
          </w:p>
        </w:tc>
        <w:tc>
          <w:tcPr>
            <w:tcW w:w="855" w:type="dxa"/>
            <w:shd w:val="clear" w:color="auto" w:fill="FFFFFF" w:themeFill="background1"/>
            <w:noWrap/>
          </w:tcPr>
          <w:p w14:paraId="5EAA523E" w14:textId="62E0943A"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-2.583</w:t>
            </w:r>
          </w:p>
        </w:tc>
        <w:tc>
          <w:tcPr>
            <w:tcW w:w="992" w:type="dxa"/>
            <w:tcBorders>
              <w:right w:val="single" w:sz="4" w:space="0" w:color="auto"/>
            </w:tcBorders>
            <w:shd w:val="clear" w:color="auto" w:fill="FFFFFF" w:themeFill="background1"/>
            <w:noWrap/>
          </w:tcPr>
          <w:p w14:paraId="4722104E" w14:textId="03B4A8AD"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-2.243</w:t>
            </w:r>
          </w:p>
        </w:tc>
      </w:tr>
      <w:tr w:rsidR="002E554D" w:rsidRPr="002E554D" w14:paraId="1FDE4A97" w14:textId="77777777" w:rsidTr="00E04686">
        <w:trPr>
          <w:gridAfter w:val="4"/>
          <w:wAfter w:w="3709" w:type="dxa"/>
          <w:trHeight w:val="300"/>
          <w:jc w:val="center"/>
        </w:trPr>
        <w:tc>
          <w:tcPr>
            <w:tcW w:w="1204" w:type="dxa"/>
            <w:tcBorders>
              <w:left w:val="single" w:sz="4" w:space="0" w:color="auto"/>
              <w:right w:val="single" w:sz="4" w:space="0" w:color="auto"/>
            </w:tcBorders>
            <w:shd w:val="clear" w:color="auto" w:fill="auto"/>
            <w:noWrap/>
            <w:vAlign w:val="bottom"/>
            <w:hideMark/>
          </w:tcPr>
          <w:p w14:paraId="0D0EF395" w14:textId="77777777"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0.7</w:t>
            </w:r>
          </w:p>
        </w:tc>
        <w:tc>
          <w:tcPr>
            <w:tcW w:w="1283" w:type="dxa"/>
            <w:tcBorders>
              <w:left w:val="single" w:sz="4" w:space="0" w:color="auto"/>
              <w:right w:val="single" w:sz="4" w:space="0" w:color="auto"/>
            </w:tcBorders>
            <w:shd w:val="clear" w:color="auto" w:fill="auto"/>
            <w:noWrap/>
          </w:tcPr>
          <w:p w14:paraId="11A34E62" w14:textId="570BAF71" w:rsidR="00C559C1" w:rsidRPr="002E554D" w:rsidRDefault="00C559C1" w:rsidP="00C559C1">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3.603</w:t>
            </w:r>
          </w:p>
        </w:tc>
        <w:tc>
          <w:tcPr>
            <w:tcW w:w="855" w:type="dxa"/>
            <w:tcBorders>
              <w:left w:val="single" w:sz="4" w:space="0" w:color="auto"/>
            </w:tcBorders>
            <w:shd w:val="clear" w:color="auto" w:fill="auto"/>
            <w:noWrap/>
          </w:tcPr>
          <w:p w14:paraId="4102C25E" w14:textId="6A7D4695"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-3.099</w:t>
            </w:r>
          </w:p>
        </w:tc>
        <w:tc>
          <w:tcPr>
            <w:tcW w:w="855" w:type="dxa"/>
            <w:shd w:val="clear" w:color="auto" w:fill="auto"/>
            <w:noWrap/>
          </w:tcPr>
          <w:p w14:paraId="21E775E7" w14:textId="07E70EC3"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-2.440</w:t>
            </w:r>
          </w:p>
        </w:tc>
        <w:tc>
          <w:tcPr>
            <w:tcW w:w="992" w:type="dxa"/>
            <w:tcBorders>
              <w:right w:val="single" w:sz="4" w:space="0" w:color="auto"/>
            </w:tcBorders>
            <w:shd w:val="clear" w:color="auto" w:fill="auto"/>
            <w:noWrap/>
          </w:tcPr>
          <w:p w14:paraId="47A2EC05" w14:textId="6EF06586"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-2.099</w:t>
            </w:r>
          </w:p>
        </w:tc>
      </w:tr>
      <w:tr w:rsidR="002E554D" w:rsidRPr="002E554D" w14:paraId="7A737C57" w14:textId="77777777" w:rsidTr="00E04686">
        <w:trPr>
          <w:gridAfter w:val="4"/>
          <w:wAfter w:w="3709" w:type="dxa"/>
          <w:trHeight w:val="300"/>
          <w:jc w:val="center"/>
        </w:trPr>
        <w:tc>
          <w:tcPr>
            <w:tcW w:w="1204" w:type="dxa"/>
            <w:tcBorders>
              <w:left w:val="single" w:sz="4" w:space="0" w:color="auto"/>
              <w:right w:val="single" w:sz="4" w:space="0" w:color="auto"/>
            </w:tcBorders>
            <w:shd w:val="clear" w:color="auto" w:fill="auto"/>
            <w:noWrap/>
            <w:vAlign w:val="bottom"/>
            <w:hideMark/>
          </w:tcPr>
          <w:p w14:paraId="2DE038E1" w14:textId="77777777"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0.8</w:t>
            </w:r>
          </w:p>
        </w:tc>
        <w:tc>
          <w:tcPr>
            <w:tcW w:w="1283" w:type="dxa"/>
            <w:tcBorders>
              <w:left w:val="single" w:sz="4" w:space="0" w:color="auto"/>
              <w:right w:val="single" w:sz="4" w:space="0" w:color="auto"/>
            </w:tcBorders>
            <w:shd w:val="clear" w:color="auto" w:fill="auto"/>
            <w:noWrap/>
          </w:tcPr>
          <w:p w14:paraId="0DF2E828" w14:textId="4FB4BE43" w:rsidR="00C559C1" w:rsidRPr="002E554D" w:rsidRDefault="00C559C1" w:rsidP="00C559C1">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3.322</w:t>
            </w:r>
          </w:p>
        </w:tc>
        <w:tc>
          <w:tcPr>
            <w:tcW w:w="855" w:type="dxa"/>
            <w:tcBorders>
              <w:left w:val="single" w:sz="4" w:space="0" w:color="auto"/>
            </w:tcBorders>
            <w:shd w:val="clear" w:color="auto" w:fill="auto"/>
            <w:noWrap/>
          </w:tcPr>
          <w:p w14:paraId="3AC106E5" w14:textId="1F8B56F6"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-2.894</w:t>
            </w:r>
          </w:p>
        </w:tc>
        <w:tc>
          <w:tcPr>
            <w:tcW w:w="855" w:type="dxa"/>
            <w:shd w:val="clear" w:color="auto" w:fill="auto"/>
            <w:noWrap/>
          </w:tcPr>
          <w:p w14:paraId="1A325A28" w14:textId="291630BB"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-2.232</w:t>
            </w:r>
          </w:p>
        </w:tc>
        <w:tc>
          <w:tcPr>
            <w:tcW w:w="992" w:type="dxa"/>
            <w:tcBorders>
              <w:right w:val="single" w:sz="4" w:space="0" w:color="auto"/>
            </w:tcBorders>
            <w:shd w:val="clear" w:color="auto" w:fill="auto"/>
            <w:noWrap/>
          </w:tcPr>
          <w:p w14:paraId="18B977A4" w14:textId="7BCE698F"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-1.876</w:t>
            </w:r>
          </w:p>
        </w:tc>
      </w:tr>
      <w:tr w:rsidR="002E554D" w:rsidRPr="002E554D" w14:paraId="233A830C" w14:textId="77777777" w:rsidTr="00E04686">
        <w:trPr>
          <w:gridAfter w:val="4"/>
          <w:wAfter w:w="3709" w:type="dxa"/>
          <w:trHeight w:val="300"/>
          <w:jc w:val="center"/>
        </w:trPr>
        <w:tc>
          <w:tcPr>
            <w:tcW w:w="1204" w:type="dxa"/>
            <w:tcBorders>
              <w:left w:val="single" w:sz="4" w:space="0" w:color="auto"/>
              <w:right w:val="single" w:sz="4" w:space="0" w:color="auto"/>
            </w:tcBorders>
            <w:shd w:val="clear" w:color="auto" w:fill="auto"/>
            <w:noWrap/>
            <w:vAlign w:val="bottom"/>
            <w:hideMark/>
          </w:tcPr>
          <w:p w14:paraId="3B7614E9" w14:textId="77777777"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eastAsia="Times New Roman" w:hAnsi="Garamond" w:cs="Calibri"/>
                <w:color w:val="FF0000"/>
                <w:lang w:val="en-GB" w:eastAsia="en-GB"/>
              </w:rPr>
              <w:t>0.9</w:t>
            </w:r>
          </w:p>
        </w:tc>
        <w:tc>
          <w:tcPr>
            <w:tcW w:w="1283" w:type="dxa"/>
            <w:tcBorders>
              <w:left w:val="single" w:sz="4" w:space="0" w:color="auto"/>
              <w:right w:val="single" w:sz="4" w:space="0" w:color="auto"/>
            </w:tcBorders>
            <w:shd w:val="clear" w:color="auto" w:fill="auto"/>
            <w:noWrap/>
          </w:tcPr>
          <w:p w14:paraId="3C0CF980" w14:textId="00E30356" w:rsidR="00C559C1" w:rsidRPr="002E554D" w:rsidRDefault="00C559C1" w:rsidP="00C559C1">
            <w:pPr>
              <w:spacing w:after="0" w:line="240" w:lineRule="auto"/>
              <w:jc w:val="center"/>
              <w:rPr>
                <w:rFonts w:ascii="Garamond" w:eastAsia="Times New Roman" w:hAnsi="Garamond" w:cs="Calibri"/>
                <w:bCs/>
                <w:color w:val="FF0000"/>
                <w:lang w:val="en-GB" w:eastAsia="en-GB"/>
              </w:rPr>
            </w:pPr>
            <w:r w:rsidRPr="002E554D">
              <w:rPr>
                <w:rFonts w:ascii="Garamond" w:hAnsi="Garamond"/>
                <w:color w:val="FF0000"/>
              </w:rPr>
              <w:t>2.081</w:t>
            </w:r>
          </w:p>
        </w:tc>
        <w:tc>
          <w:tcPr>
            <w:tcW w:w="855" w:type="dxa"/>
            <w:tcBorders>
              <w:left w:val="single" w:sz="4" w:space="0" w:color="auto"/>
            </w:tcBorders>
            <w:shd w:val="clear" w:color="auto" w:fill="auto"/>
            <w:noWrap/>
          </w:tcPr>
          <w:p w14:paraId="58CC6895" w14:textId="4A2EC65E"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-2.468</w:t>
            </w:r>
          </w:p>
        </w:tc>
        <w:tc>
          <w:tcPr>
            <w:tcW w:w="855" w:type="dxa"/>
            <w:shd w:val="clear" w:color="auto" w:fill="auto"/>
            <w:noWrap/>
          </w:tcPr>
          <w:p w14:paraId="34D5081A" w14:textId="74B4B099"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-1.790</w:t>
            </w:r>
          </w:p>
        </w:tc>
        <w:tc>
          <w:tcPr>
            <w:tcW w:w="992" w:type="dxa"/>
            <w:tcBorders>
              <w:right w:val="single" w:sz="4" w:space="0" w:color="auto"/>
            </w:tcBorders>
            <w:shd w:val="clear" w:color="auto" w:fill="auto"/>
            <w:noWrap/>
          </w:tcPr>
          <w:p w14:paraId="6BA49D77" w14:textId="220C5299" w:rsidR="00C559C1" w:rsidRPr="002E554D" w:rsidRDefault="00C559C1" w:rsidP="00C559C1">
            <w:pPr>
              <w:spacing w:after="0" w:line="240" w:lineRule="auto"/>
              <w:jc w:val="center"/>
              <w:rPr>
                <w:rFonts w:ascii="Garamond" w:eastAsia="Times New Roman" w:hAnsi="Garamond" w:cs="Calibri"/>
                <w:color w:val="FF0000"/>
                <w:lang w:val="en-GB" w:eastAsia="en-GB"/>
              </w:rPr>
            </w:pPr>
            <w:r w:rsidRPr="002E554D">
              <w:rPr>
                <w:rFonts w:ascii="Garamond" w:hAnsi="Garamond"/>
                <w:color w:val="FF0000"/>
              </w:rPr>
              <w:t>-1.430</w:t>
            </w:r>
          </w:p>
        </w:tc>
      </w:tr>
    </w:tbl>
    <w:p w14:paraId="0B1AC8CF" w14:textId="369A184C" w:rsidR="00472B83" w:rsidRPr="009E00D2" w:rsidRDefault="000D6EB1" w:rsidP="00D75497">
      <w:pPr>
        <w:pStyle w:val="NoSpacing"/>
        <w:spacing w:line="480" w:lineRule="auto"/>
        <w:jc w:val="both"/>
        <w:rPr>
          <w:rFonts w:ascii="Garamond" w:hAnsi="Garamond"/>
          <w:sz w:val="24"/>
          <w:szCs w:val="24"/>
        </w:rPr>
      </w:pPr>
      <w:r w:rsidRPr="009E00D2">
        <w:rPr>
          <w:rFonts w:ascii="Garamond" w:hAnsi="Garamond"/>
          <w:i/>
          <w:iCs/>
          <w:sz w:val="24"/>
          <w:szCs w:val="24"/>
        </w:rPr>
        <w:tab/>
      </w:r>
      <w:r w:rsidRPr="009E00D2">
        <w:rPr>
          <w:rFonts w:ascii="Garamond" w:hAnsi="Garamond"/>
        </w:rPr>
        <w:t xml:space="preserve"> </w:t>
      </w:r>
    </w:p>
    <w:p w14:paraId="248A09F8" w14:textId="2518D2DC" w:rsidR="007728CF" w:rsidRPr="009E00D2" w:rsidRDefault="007728CF" w:rsidP="007728CF">
      <w:pPr>
        <w:pStyle w:val="NoSpacing"/>
        <w:spacing w:line="480" w:lineRule="auto"/>
        <w:ind w:firstLine="708"/>
        <w:jc w:val="both"/>
        <w:rPr>
          <w:rFonts w:ascii="Garamond" w:hAnsi="Garamond"/>
          <w:sz w:val="24"/>
          <w:szCs w:val="24"/>
        </w:rPr>
      </w:pPr>
      <w:r w:rsidRPr="00DB74CB">
        <w:rPr>
          <w:rFonts w:ascii="Garamond" w:eastAsia="Times New Roman" w:hAnsi="Garamond" w:cs="Calibri"/>
          <w:sz w:val="24"/>
          <w:szCs w:val="24"/>
          <w:lang w:val="en-GB" w:eastAsia="en-GB"/>
        </w:rPr>
        <w:t xml:space="preserve">As a group, cryptocurrencies seem to disappoint in terms of providing an assurance of bouncing back or recovery in very bad times, i.e. in periods of very high external shocks. This makes this asset class highly risky in the long run in terms of unpredictability of returns, but on the other hand, more efficient, making our results in line with Urquhart (2016) </w:t>
      </w:r>
      <w:r>
        <w:rPr>
          <w:rFonts w:ascii="Garamond" w:eastAsia="Times New Roman" w:hAnsi="Garamond" w:cs="Calibri"/>
          <w:sz w:val="24"/>
          <w:szCs w:val="24"/>
          <w:lang w:val="en-GB" w:eastAsia="en-GB"/>
        </w:rPr>
        <w:t xml:space="preserve">and </w:t>
      </w:r>
      <w:r w:rsidRPr="00DB74CB">
        <w:rPr>
          <w:rFonts w:ascii="Garamond" w:eastAsia="Times New Roman" w:hAnsi="Garamond" w:cs="Calibri"/>
          <w:sz w:val="24"/>
          <w:szCs w:val="24"/>
          <w:lang w:val="en-GB" w:eastAsia="en-GB"/>
        </w:rPr>
        <w:t>Wei (2018) who document increasing efficiency over time for the Bitcoin. Our results</w:t>
      </w:r>
      <w:r w:rsidRPr="009E00D2">
        <w:rPr>
          <w:rFonts w:ascii="Garamond" w:eastAsia="Times New Roman" w:hAnsi="Garamond" w:cs="Calibri"/>
          <w:sz w:val="24"/>
          <w:szCs w:val="24"/>
          <w:lang w:val="en-GB" w:eastAsia="en-GB"/>
        </w:rPr>
        <w:t xml:space="preserve"> are also consistent with </w:t>
      </w:r>
      <w:proofErr w:type="spellStart"/>
      <w:r w:rsidRPr="009E00D2">
        <w:rPr>
          <w:rFonts w:ascii="Garamond" w:eastAsia="Times New Roman" w:hAnsi="Garamond" w:cs="Calibri"/>
          <w:sz w:val="24"/>
          <w:szCs w:val="24"/>
          <w:lang w:val="en-GB" w:eastAsia="en-GB"/>
        </w:rPr>
        <w:t>Caporale</w:t>
      </w:r>
      <w:proofErr w:type="spellEnd"/>
      <w:r w:rsidRPr="009E00D2">
        <w:rPr>
          <w:rFonts w:ascii="Garamond" w:eastAsia="Times New Roman" w:hAnsi="Garamond" w:cs="Calibri"/>
          <w:sz w:val="24"/>
          <w:szCs w:val="24"/>
          <w:lang w:val="en-GB" w:eastAsia="en-GB"/>
        </w:rPr>
        <w:t xml:space="preserve"> et al. (2018) </w:t>
      </w:r>
      <w:r>
        <w:rPr>
          <w:rFonts w:ascii="Garamond" w:eastAsia="Times New Roman" w:hAnsi="Garamond" w:cs="Calibri"/>
          <w:sz w:val="24"/>
          <w:szCs w:val="24"/>
          <w:lang w:val="en-GB" w:eastAsia="en-GB"/>
        </w:rPr>
        <w:t xml:space="preserve">with regard to general persistence in the </w:t>
      </w:r>
      <w:r w:rsidRPr="009E00D2">
        <w:rPr>
          <w:rFonts w:ascii="Garamond" w:eastAsia="Times New Roman" w:hAnsi="Garamond" w:cs="Calibri"/>
          <w:sz w:val="24"/>
          <w:szCs w:val="24"/>
          <w:lang w:val="en-GB" w:eastAsia="en-GB"/>
        </w:rPr>
        <w:t>cryptocurrency market</w:t>
      </w:r>
      <w:r>
        <w:rPr>
          <w:rFonts w:ascii="Garamond" w:eastAsia="Times New Roman" w:hAnsi="Garamond" w:cs="Calibri"/>
          <w:sz w:val="24"/>
          <w:szCs w:val="24"/>
          <w:lang w:val="en-GB" w:eastAsia="en-GB"/>
        </w:rPr>
        <w:t>.</w:t>
      </w:r>
      <w:r w:rsidRPr="009E00D2">
        <w:rPr>
          <w:rFonts w:ascii="Garamond" w:eastAsia="Times New Roman" w:hAnsi="Garamond" w:cs="Calibri"/>
          <w:sz w:val="24"/>
          <w:szCs w:val="24"/>
          <w:lang w:val="en-GB" w:eastAsia="en-GB"/>
        </w:rPr>
        <w:t xml:space="preserve"> Our results also support the results of Philippe et al. (2018) and </w:t>
      </w:r>
      <w:proofErr w:type="spellStart"/>
      <w:r w:rsidRPr="009E00D2">
        <w:rPr>
          <w:rFonts w:ascii="Garamond" w:eastAsia="Times New Roman" w:hAnsi="Garamond" w:cs="Calibri"/>
          <w:sz w:val="24"/>
          <w:szCs w:val="24"/>
          <w:lang w:val="en-GB" w:eastAsia="en-GB"/>
        </w:rPr>
        <w:t>Turatti</w:t>
      </w:r>
      <w:proofErr w:type="spellEnd"/>
      <w:r w:rsidRPr="009E00D2">
        <w:rPr>
          <w:rFonts w:ascii="Garamond" w:eastAsia="Times New Roman" w:hAnsi="Garamond" w:cs="Calibri"/>
          <w:sz w:val="24"/>
          <w:szCs w:val="24"/>
          <w:lang w:val="en-GB" w:eastAsia="en-GB"/>
        </w:rPr>
        <w:t xml:space="preserve"> et al. (</w:t>
      </w:r>
      <w:r w:rsidR="00803226">
        <w:rPr>
          <w:rFonts w:ascii="Garamond" w:eastAsia="Times New Roman" w:hAnsi="Garamond" w:cs="Calibri"/>
          <w:sz w:val="24"/>
          <w:szCs w:val="24"/>
          <w:lang w:val="en-GB" w:eastAsia="en-GB"/>
        </w:rPr>
        <w:t>2020</w:t>
      </w:r>
      <w:r w:rsidRPr="009E00D2">
        <w:rPr>
          <w:rFonts w:ascii="Garamond" w:eastAsia="Times New Roman" w:hAnsi="Garamond" w:cs="Calibri"/>
          <w:sz w:val="24"/>
          <w:szCs w:val="24"/>
          <w:lang w:val="en-GB" w:eastAsia="en-GB"/>
        </w:rPr>
        <w:t xml:space="preserve">) </w:t>
      </w:r>
      <w:r>
        <w:rPr>
          <w:rFonts w:ascii="Garamond" w:eastAsia="Times New Roman" w:hAnsi="Garamond" w:cs="Calibri"/>
          <w:sz w:val="24"/>
          <w:szCs w:val="24"/>
          <w:lang w:val="en-GB" w:eastAsia="en-GB"/>
        </w:rPr>
        <w:t xml:space="preserve">in terms of </w:t>
      </w:r>
      <w:r w:rsidRPr="009E00D2">
        <w:rPr>
          <w:rFonts w:ascii="Garamond" w:eastAsia="Times New Roman" w:hAnsi="Garamond" w:cs="Calibri"/>
          <w:sz w:val="24"/>
          <w:szCs w:val="24"/>
          <w:lang w:val="en-GB" w:eastAsia="en-GB"/>
        </w:rPr>
        <w:t xml:space="preserve">mean-aversion behaviour </w:t>
      </w:r>
      <w:r>
        <w:rPr>
          <w:rFonts w:ascii="Garamond" w:eastAsia="Times New Roman" w:hAnsi="Garamond" w:cs="Calibri"/>
          <w:sz w:val="24"/>
          <w:szCs w:val="24"/>
          <w:lang w:val="en-GB" w:eastAsia="en-GB"/>
        </w:rPr>
        <w:t>of</w:t>
      </w:r>
      <w:r w:rsidRPr="009E00D2">
        <w:rPr>
          <w:rFonts w:ascii="Garamond" w:eastAsia="Times New Roman" w:hAnsi="Garamond" w:cs="Calibri"/>
          <w:sz w:val="24"/>
          <w:szCs w:val="24"/>
          <w:lang w:val="en-GB" w:eastAsia="en-GB"/>
        </w:rPr>
        <w:t xml:space="preserve"> the Bitcoin</w:t>
      </w:r>
      <w:r>
        <w:rPr>
          <w:rFonts w:ascii="Garamond" w:eastAsia="Times New Roman" w:hAnsi="Garamond" w:cs="Calibri"/>
          <w:sz w:val="24"/>
          <w:szCs w:val="24"/>
          <w:lang w:val="en-GB" w:eastAsia="en-GB"/>
        </w:rPr>
        <w:t>.</w:t>
      </w:r>
      <w:r w:rsidRPr="009E00D2">
        <w:rPr>
          <w:rFonts w:ascii="Garamond" w:eastAsia="Times New Roman" w:hAnsi="Garamond" w:cs="Calibri"/>
          <w:sz w:val="24"/>
          <w:szCs w:val="24"/>
          <w:lang w:val="en-GB" w:eastAsia="en-GB"/>
        </w:rPr>
        <w:t xml:space="preserve"> </w:t>
      </w:r>
      <w:r w:rsidRPr="009E00D2">
        <w:rPr>
          <w:rFonts w:ascii="Garamond" w:hAnsi="Garamond"/>
          <w:sz w:val="24"/>
          <w:szCs w:val="24"/>
        </w:rPr>
        <w:t>Corbet and</w:t>
      </w:r>
      <w:r w:rsidRPr="009E00D2">
        <w:rPr>
          <w:rFonts w:ascii="Garamond" w:hAnsi="Garamond"/>
        </w:rPr>
        <w:t xml:space="preserve"> </w:t>
      </w:r>
      <w:proofErr w:type="spellStart"/>
      <w:r w:rsidRPr="009E00D2">
        <w:rPr>
          <w:rFonts w:ascii="Garamond" w:hAnsi="Garamond"/>
          <w:sz w:val="24"/>
          <w:szCs w:val="24"/>
        </w:rPr>
        <w:t>Katsiampa</w:t>
      </w:r>
      <w:proofErr w:type="spellEnd"/>
      <w:r w:rsidRPr="009E00D2">
        <w:rPr>
          <w:rFonts w:ascii="Garamond" w:hAnsi="Garamond"/>
          <w:sz w:val="24"/>
          <w:szCs w:val="24"/>
        </w:rPr>
        <w:t xml:space="preserve"> (2020) document that Bitcoin exhibits similar </w:t>
      </w:r>
      <w:r w:rsidRPr="009E00D2">
        <w:rPr>
          <w:rFonts w:ascii="Garamond" w:hAnsi="Garamond"/>
          <w:sz w:val="24"/>
          <w:szCs w:val="24"/>
        </w:rPr>
        <w:lastRenderedPageBreak/>
        <w:t xml:space="preserve">asymmetric reverting patterns for minutely, hourly, </w:t>
      </w:r>
      <w:proofErr w:type="gramStart"/>
      <w:r w:rsidRPr="009E00D2">
        <w:rPr>
          <w:rFonts w:ascii="Garamond" w:hAnsi="Garamond"/>
          <w:sz w:val="24"/>
          <w:szCs w:val="24"/>
        </w:rPr>
        <w:t>daily</w:t>
      </w:r>
      <w:proofErr w:type="gramEnd"/>
      <w:r w:rsidRPr="009E00D2">
        <w:rPr>
          <w:rFonts w:ascii="Garamond" w:hAnsi="Garamond"/>
          <w:sz w:val="24"/>
          <w:szCs w:val="24"/>
        </w:rPr>
        <w:t xml:space="preserve"> and weekly returns between June 2010 and February 2018. Evidence of mean reverting behavior also could indicate that losing cryptocurrency portfolios could theoretically outperform winning</w:t>
      </w:r>
      <w:r>
        <w:rPr>
          <w:rFonts w:ascii="Garamond" w:hAnsi="Garamond"/>
          <w:sz w:val="24"/>
          <w:szCs w:val="24"/>
        </w:rPr>
        <w:t xml:space="preserve"> </w:t>
      </w:r>
      <w:r w:rsidRPr="009E00D2">
        <w:rPr>
          <w:rFonts w:ascii="Garamond" w:hAnsi="Garamond"/>
          <w:sz w:val="24"/>
          <w:szCs w:val="24"/>
        </w:rPr>
        <w:t>cryptocurrency portfolios (Nam et al.</w:t>
      </w:r>
      <w:r>
        <w:rPr>
          <w:rFonts w:ascii="Garamond" w:hAnsi="Garamond"/>
          <w:sz w:val="24"/>
          <w:szCs w:val="24"/>
        </w:rPr>
        <w:t>,</w:t>
      </w:r>
      <w:r w:rsidRPr="009E00D2">
        <w:rPr>
          <w:rFonts w:ascii="Garamond" w:hAnsi="Garamond"/>
          <w:sz w:val="24"/>
          <w:szCs w:val="24"/>
        </w:rPr>
        <w:t xml:space="preserve"> 2006; Corbet </w:t>
      </w:r>
      <w:r>
        <w:rPr>
          <w:rFonts w:ascii="Garamond" w:hAnsi="Garamond"/>
          <w:sz w:val="24"/>
          <w:szCs w:val="24"/>
        </w:rPr>
        <w:t>&amp;</w:t>
      </w:r>
      <w:r w:rsidRPr="009E00D2">
        <w:rPr>
          <w:rFonts w:ascii="Garamond" w:hAnsi="Garamond"/>
        </w:rPr>
        <w:t xml:space="preserve"> </w:t>
      </w:r>
      <w:proofErr w:type="spellStart"/>
      <w:r w:rsidRPr="009E00D2">
        <w:rPr>
          <w:rFonts w:ascii="Garamond" w:hAnsi="Garamond"/>
          <w:sz w:val="24"/>
          <w:szCs w:val="24"/>
        </w:rPr>
        <w:t>Katsiampa</w:t>
      </w:r>
      <w:proofErr w:type="spellEnd"/>
      <w:r>
        <w:rPr>
          <w:rFonts w:ascii="Garamond" w:hAnsi="Garamond"/>
          <w:sz w:val="24"/>
          <w:szCs w:val="24"/>
        </w:rPr>
        <w:t>,</w:t>
      </w:r>
      <w:r w:rsidRPr="009E00D2">
        <w:rPr>
          <w:rFonts w:ascii="Garamond" w:hAnsi="Garamond"/>
          <w:sz w:val="24"/>
          <w:szCs w:val="24"/>
        </w:rPr>
        <w:t xml:space="preserve"> 2020).</w:t>
      </w:r>
      <w:r w:rsidRPr="009E00D2">
        <w:rPr>
          <w:rFonts w:ascii="Garamond" w:hAnsi="Garamond"/>
        </w:rPr>
        <w:t xml:space="preserve"> </w:t>
      </w:r>
    </w:p>
    <w:p w14:paraId="5EAD3E11" w14:textId="77777777" w:rsidR="007728CF" w:rsidRPr="009E00D2" w:rsidRDefault="007728CF" w:rsidP="007728CF">
      <w:pPr>
        <w:pStyle w:val="NoSpacing"/>
        <w:spacing w:line="480" w:lineRule="auto"/>
        <w:ind w:firstLine="708"/>
        <w:jc w:val="both"/>
        <w:rPr>
          <w:rFonts w:ascii="Garamond" w:eastAsia="Times New Roman" w:hAnsi="Garamond" w:cs="Calibri"/>
          <w:i/>
          <w:sz w:val="24"/>
          <w:szCs w:val="24"/>
          <w:lang w:eastAsia="en-GB"/>
        </w:rPr>
      </w:pPr>
      <w:r>
        <w:rPr>
          <w:rFonts w:ascii="Garamond" w:eastAsia="Times New Roman" w:hAnsi="Garamond" w:cs="Calibri"/>
          <w:sz w:val="24"/>
          <w:szCs w:val="24"/>
          <w:lang w:val="en-GB" w:eastAsia="en-GB"/>
        </w:rPr>
        <w:t xml:space="preserve"> In short, our results raise questions as to the safe haven properties of the Bitcoin. </w:t>
      </w:r>
    </w:p>
    <w:p w14:paraId="764AB204" w14:textId="77777777" w:rsidR="00B2291F" w:rsidRPr="009E00D2" w:rsidRDefault="00B2291F" w:rsidP="00697353">
      <w:pPr>
        <w:pStyle w:val="NoSpacing"/>
        <w:spacing w:line="480" w:lineRule="auto"/>
        <w:rPr>
          <w:rFonts w:ascii="Garamond" w:hAnsi="Garamond"/>
          <w:sz w:val="24"/>
          <w:szCs w:val="24"/>
        </w:rPr>
      </w:pPr>
    </w:p>
    <w:p w14:paraId="6EA6A767" w14:textId="2E82B041" w:rsidR="009325A1" w:rsidRPr="009E00D2" w:rsidRDefault="009325A1" w:rsidP="00697353">
      <w:pPr>
        <w:pStyle w:val="NoSpacing"/>
        <w:spacing w:line="480" w:lineRule="auto"/>
        <w:rPr>
          <w:rFonts w:ascii="Garamond" w:hAnsi="Garamond"/>
          <w:b/>
          <w:bCs/>
          <w:sz w:val="24"/>
          <w:szCs w:val="24"/>
        </w:rPr>
      </w:pPr>
      <w:r w:rsidRPr="009E00D2">
        <w:rPr>
          <w:rFonts w:ascii="Garamond" w:hAnsi="Garamond"/>
          <w:b/>
          <w:bCs/>
          <w:sz w:val="24"/>
          <w:szCs w:val="24"/>
        </w:rPr>
        <w:t>4. Conclusion</w:t>
      </w:r>
    </w:p>
    <w:p w14:paraId="61D33D5F" w14:textId="080930F2" w:rsidR="00563E28" w:rsidRDefault="009F02A3" w:rsidP="00F4118B">
      <w:pPr>
        <w:pStyle w:val="NoSpacing"/>
        <w:spacing w:line="480" w:lineRule="auto"/>
        <w:jc w:val="both"/>
        <w:rPr>
          <w:rFonts w:ascii="Garamond" w:hAnsi="Garamond"/>
          <w:sz w:val="24"/>
          <w:szCs w:val="24"/>
        </w:rPr>
      </w:pPr>
      <w:r>
        <w:rPr>
          <w:rFonts w:ascii="Garamond" w:hAnsi="Garamond"/>
          <w:sz w:val="24"/>
          <w:szCs w:val="24"/>
        </w:rPr>
        <w:t xml:space="preserve">The impact of the COVID-19 crisis on financial markets cannot be understated. While almost no asset class has been spared from its </w:t>
      </w:r>
      <w:r w:rsidR="003578FB">
        <w:rPr>
          <w:rFonts w:ascii="Garamond" w:hAnsi="Garamond"/>
          <w:sz w:val="24"/>
          <w:szCs w:val="24"/>
        </w:rPr>
        <w:t>panic, t</w:t>
      </w:r>
      <w:r>
        <w:rPr>
          <w:rFonts w:ascii="Garamond" w:hAnsi="Garamond"/>
          <w:sz w:val="24"/>
          <w:szCs w:val="24"/>
        </w:rPr>
        <w:t xml:space="preserve">he varied patterns of reaction and recovery </w:t>
      </w:r>
      <w:r w:rsidR="003578FB">
        <w:rPr>
          <w:rFonts w:ascii="Garamond" w:hAnsi="Garamond"/>
          <w:sz w:val="24"/>
          <w:szCs w:val="24"/>
        </w:rPr>
        <w:t xml:space="preserve">across various asset groups raise the important question of mean reversion. It becomes interesting to examine their potential of recovery to normal levels in extremely turbulent times such as the COVID, or simply evaluate their </w:t>
      </w:r>
      <w:proofErr w:type="gramStart"/>
      <w:r w:rsidR="003578FB">
        <w:rPr>
          <w:rFonts w:ascii="Garamond" w:hAnsi="Garamond"/>
          <w:sz w:val="24"/>
          <w:szCs w:val="24"/>
        </w:rPr>
        <w:t>safe haven</w:t>
      </w:r>
      <w:proofErr w:type="gramEnd"/>
      <w:r w:rsidR="003578FB">
        <w:rPr>
          <w:rFonts w:ascii="Garamond" w:hAnsi="Garamond"/>
          <w:sz w:val="24"/>
          <w:szCs w:val="24"/>
        </w:rPr>
        <w:t xml:space="preserve"> characteristics. This paper investigates the mean-reversion properties of four broad asset classes – equity indexes, 10-year government bonds, precious metals and the rather contemporary, cryptocurrencies. Using the Yang and Zhao (2020) quantile </w:t>
      </w:r>
      <w:r w:rsidR="00072A47">
        <w:rPr>
          <w:rFonts w:ascii="Garamond" w:hAnsi="Garamond"/>
          <w:sz w:val="24"/>
          <w:szCs w:val="24"/>
        </w:rPr>
        <w:t xml:space="preserve">nonlinear </w:t>
      </w:r>
      <w:r w:rsidR="003578FB">
        <w:rPr>
          <w:rFonts w:ascii="Garamond" w:hAnsi="Garamond"/>
          <w:sz w:val="24"/>
          <w:szCs w:val="24"/>
        </w:rPr>
        <w:t xml:space="preserve">unit root test to test for persistence enables us to identify </w:t>
      </w:r>
      <w:r w:rsidR="00072A47">
        <w:rPr>
          <w:rFonts w:ascii="Garamond" w:hAnsi="Garamond"/>
          <w:sz w:val="24"/>
          <w:szCs w:val="24"/>
        </w:rPr>
        <w:t xml:space="preserve">unit root processes </w:t>
      </w:r>
      <w:r w:rsidR="003578FB">
        <w:rPr>
          <w:rFonts w:ascii="Garamond" w:hAnsi="Garamond"/>
          <w:sz w:val="24"/>
          <w:szCs w:val="24"/>
        </w:rPr>
        <w:t xml:space="preserve">across different quantiles of shock. To </w:t>
      </w:r>
      <w:r w:rsidR="00DB2AF3">
        <w:rPr>
          <w:rFonts w:ascii="Garamond" w:hAnsi="Garamond"/>
          <w:sz w:val="24"/>
          <w:szCs w:val="24"/>
        </w:rPr>
        <w:t xml:space="preserve">check </w:t>
      </w:r>
      <w:r w:rsidR="003578FB">
        <w:rPr>
          <w:rFonts w:ascii="Garamond" w:hAnsi="Garamond"/>
          <w:sz w:val="24"/>
          <w:szCs w:val="24"/>
        </w:rPr>
        <w:t xml:space="preserve">our results, we </w:t>
      </w:r>
      <w:r w:rsidR="00DB2AF3">
        <w:rPr>
          <w:rFonts w:ascii="Garamond" w:hAnsi="Garamond"/>
          <w:sz w:val="24"/>
          <w:szCs w:val="24"/>
        </w:rPr>
        <w:t xml:space="preserve">also </w:t>
      </w:r>
      <w:r w:rsidR="003578FB">
        <w:rPr>
          <w:rFonts w:ascii="Garamond" w:hAnsi="Garamond"/>
          <w:sz w:val="24"/>
          <w:szCs w:val="24"/>
        </w:rPr>
        <w:t xml:space="preserve">use the </w:t>
      </w:r>
      <w:r w:rsidR="003578FB" w:rsidRPr="009E00D2">
        <w:rPr>
          <w:rFonts w:ascii="Garamond" w:hAnsi="Garamond"/>
          <w:sz w:val="24"/>
          <w:szCs w:val="24"/>
        </w:rPr>
        <w:t xml:space="preserve">quantile test of </w:t>
      </w:r>
      <w:proofErr w:type="spellStart"/>
      <w:r w:rsidR="003578FB" w:rsidRPr="009E00D2">
        <w:rPr>
          <w:rFonts w:ascii="Garamond" w:hAnsi="Garamond"/>
          <w:sz w:val="24"/>
          <w:szCs w:val="24"/>
        </w:rPr>
        <w:t>Koenker</w:t>
      </w:r>
      <w:proofErr w:type="spellEnd"/>
      <w:r w:rsidR="003578FB" w:rsidRPr="009E00D2">
        <w:rPr>
          <w:rFonts w:ascii="Garamond" w:hAnsi="Garamond"/>
          <w:sz w:val="24"/>
          <w:szCs w:val="24"/>
        </w:rPr>
        <w:t xml:space="preserve"> and Xiao (2004)</w:t>
      </w:r>
      <w:r w:rsidR="003578FB">
        <w:rPr>
          <w:rFonts w:ascii="Garamond" w:hAnsi="Garamond"/>
          <w:sz w:val="24"/>
          <w:szCs w:val="24"/>
        </w:rPr>
        <w:t>.</w:t>
      </w:r>
      <w:r w:rsidR="008938B2" w:rsidRPr="009E00D2">
        <w:rPr>
          <w:rFonts w:ascii="Garamond" w:hAnsi="Garamond"/>
          <w:sz w:val="24"/>
          <w:szCs w:val="24"/>
        </w:rPr>
        <w:t xml:space="preserve"> </w:t>
      </w:r>
      <w:r w:rsidR="00DB2AF3">
        <w:rPr>
          <w:rFonts w:ascii="Garamond" w:hAnsi="Garamond"/>
          <w:sz w:val="24"/>
          <w:szCs w:val="24"/>
        </w:rPr>
        <w:t xml:space="preserve">The </w:t>
      </w:r>
      <w:r w:rsidR="00C026B3">
        <w:rPr>
          <w:rFonts w:ascii="Garamond" w:hAnsi="Garamond"/>
          <w:sz w:val="24"/>
          <w:szCs w:val="24"/>
        </w:rPr>
        <w:t xml:space="preserve">received </w:t>
      </w:r>
      <w:r w:rsidR="00DB2AF3">
        <w:rPr>
          <w:rFonts w:ascii="Garamond" w:hAnsi="Garamond"/>
          <w:sz w:val="24"/>
          <w:szCs w:val="24"/>
        </w:rPr>
        <w:t>empirical results</w:t>
      </w:r>
      <w:r w:rsidR="00C026B3">
        <w:rPr>
          <w:rFonts w:ascii="Garamond" w:hAnsi="Garamond"/>
          <w:sz w:val="24"/>
          <w:szCs w:val="24"/>
        </w:rPr>
        <w:t xml:space="preserve"> show the incremental </w:t>
      </w:r>
      <w:proofErr w:type="gramStart"/>
      <w:r w:rsidR="00C026B3">
        <w:rPr>
          <w:rFonts w:ascii="Garamond" w:hAnsi="Garamond"/>
          <w:sz w:val="24"/>
          <w:szCs w:val="24"/>
        </w:rPr>
        <w:t xml:space="preserve">power </w:t>
      </w:r>
      <w:r w:rsidR="00DB2AF3">
        <w:rPr>
          <w:rFonts w:ascii="Garamond" w:hAnsi="Garamond"/>
          <w:sz w:val="24"/>
          <w:szCs w:val="24"/>
        </w:rPr>
        <w:t xml:space="preserve"> of</w:t>
      </w:r>
      <w:proofErr w:type="gramEnd"/>
      <w:r w:rsidR="00DB2AF3">
        <w:rPr>
          <w:rFonts w:ascii="Garamond" w:hAnsi="Garamond"/>
          <w:sz w:val="24"/>
          <w:szCs w:val="24"/>
        </w:rPr>
        <w:t xml:space="preserve"> the Yang and Zhao (2020) approach </w:t>
      </w:r>
      <w:r w:rsidR="00C026B3">
        <w:rPr>
          <w:rFonts w:ascii="Garamond" w:hAnsi="Garamond"/>
          <w:sz w:val="24"/>
          <w:szCs w:val="24"/>
        </w:rPr>
        <w:t>over</w:t>
      </w:r>
      <w:r w:rsidR="00DB2AF3">
        <w:rPr>
          <w:rFonts w:ascii="Garamond" w:hAnsi="Garamond"/>
          <w:sz w:val="24"/>
          <w:szCs w:val="24"/>
        </w:rPr>
        <w:t xml:space="preserve"> </w:t>
      </w:r>
      <w:r w:rsidR="00C026B3">
        <w:rPr>
          <w:rFonts w:ascii="Garamond" w:hAnsi="Garamond"/>
          <w:sz w:val="24"/>
          <w:szCs w:val="24"/>
        </w:rPr>
        <w:t xml:space="preserve">the of </w:t>
      </w:r>
      <w:proofErr w:type="spellStart"/>
      <w:r w:rsidR="00DB2AF3" w:rsidRPr="009E00D2">
        <w:rPr>
          <w:rFonts w:ascii="Garamond" w:hAnsi="Garamond"/>
          <w:sz w:val="24"/>
          <w:szCs w:val="24"/>
        </w:rPr>
        <w:t>Koenker</w:t>
      </w:r>
      <w:proofErr w:type="spellEnd"/>
      <w:r w:rsidR="00DB2AF3" w:rsidRPr="009E00D2">
        <w:rPr>
          <w:rFonts w:ascii="Garamond" w:hAnsi="Garamond"/>
          <w:sz w:val="24"/>
          <w:szCs w:val="24"/>
        </w:rPr>
        <w:t xml:space="preserve"> and Xiao (2004)</w:t>
      </w:r>
      <w:r w:rsidR="00DB2AF3">
        <w:rPr>
          <w:rFonts w:ascii="Garamond" w:hAnsi="Garamond"/>
          <w:sz w:val="24"/>
          <w:szCs w:val="24"/>
        </w:rPr>
        <w:t>.</w:t>
      </w:r>
    </w:p>
    <w:p w14:paraId="64784397" w14:textId="45C62B6D" w:rsidR="003A16EB" w:rsidRDefault="005E176C" w:rsidP="00D616A7">
      <w:pPr>
        <w:pStyle w:val="NoSpacing"/>
        <w:spacing w:line="480" w:lineRule="auto"/>
        <w:ind w:firstLine="708"/>
        <w:jc w:val="both"/>
        <w:rPr>
          <w:rFonts w:ascii="Garamond" w:hAnsi="Garamond"/>
          <w:sz w:val="24"/>
          <w:szCs w:val="24"/>
        </w:rPr>
      </w:pPr>
      <w:r>
        <w:rPr>
          <w:rFonts w:ascii="Garamond" w:hAnsi="Garamond"/>
          <w:sz w:val="24"/>
          <w:szCs w:val="24"/>
        </w:rPr>
        <w:t xml:space="preserve">The results show </w:t>
      </w:r>
      <w:r w:rsidRPr="005E176C">
        <w:rPr>
          <w:rFonts w:ascii="Garamond" w:hAnsi="Garamond"/>
          <w:sz w:val="24"/>
          <w:szCs w:val="24"/>
        </w:rPr>
        <w:t>significant diversity in the reaction and recovery patterns across selected</w:t>
      </w:r>
      <w:r>
        <w:rPr>
          <w:rFonts w:ascii="Garamond" w:hAnsi="Garamond"/>
          <w:sz w:val="24"/>
          <w:szCs w:val="24"/>
        </w:rPr>
        <w:t xml:space="preserve"> asset classes. </w:t>
      </w:r>
      <w:r w:rsidR="003578FB">
        <w:rPr>
          <w:rFonts w:ascii="Garamond" w:hAnsi="Garamond"/>
          <w:sz w:val="24"/>
          <w:szCs w:val="24"/>
        </w:rPr>
        <w:t xml:space="preserve">Almost all equity indices demonstrate high potential for recovery even in very high periods of shock, reiterating their </w:t>
      </w:r>
      <w:proofErr w:type="gramStart"/>
      <w:r w:rsidR="003578FB">
        <w:rPr>
          <w:rFonts w:ascii="Garamond" w:hAnsi="Garamond"/>
          <w:sz w:val="24"/>
          <w:szCs w:val="24"/>
        </w:rPr>
        <w:t>safe haven</w:t>
      </w:r>
      <w:proofErr w:type="gramEnd"/>
      <w:r w:rsidR="003578FB">
        <w:rPr>
          <w:rFonts w:ascii="Garamond" w:hAnsi="Garamond"/>
          <w:sz w:val="24"/>
          <w:szCs w:val="24"/>
        </w:rPr>
        <w:t xml:space="preserve"> characteristics. </w:t>
      </w:r>
      <w:r>
        <w:rPr>
          <w:rFonts w:ascii="Garamond" w:hAnsi="Garamond"/>
          <w:sz w:val="24"/>
          <w:szCs w:val="24"/>
        </w:rPr>
        <w:t xml:space="preserve">Among precious metals, </w:t>
      </w:r>
      <w:r w:rsidR="00C82801">
        <w:rPr>
          <w:rFonts w:ascii="Garamond" w:hAnsi="Garamond"/>
          <w:sz w:val="24"/>
          <w:szCs w:val="24"/>
        </w:rPr>
        <w:t>g</w:t>
      </w:r>
      <w:r w:rsidR="00C82801" w:rsidRPr="00C82801">
        <w:rPr>
          <w:rFonts w:ascii="Garamond" w:hAnsi="Garamond"/>
          <w:sz w:val="24"/>
          <w:szCs w:val="24"/>
        </w:rPr>
        <w:t>old</w:t>
      </w:r>
      <w:r w:rsidR="00C82801">
        <w:rPr>
          <w:rFonts w:ascii="Garamond" w:hAnsi="Garamond"/>
          <w:sz w:val="24"/>
          <w:szCs w:val="24"/>
        </w:rPr>
        <w:t xml:space="preserve">, </w:t>
      </w:r>
      <w:r w:rsidR="00B37E86">
        <w:rPr>
          <w:rFonts w:ascii="Garamond" w:hAnsi="Garamond"/>
          <w:sz w:val="24"/>
          <w:szCs w:val="24"/>
        </w:rPr>
        <w:t>platinum</w:t>
      </w:r>
      <w:r w:rsidR="009C727A">
        <w:rPr>
          <w:rFonts w:ascii="Garamond" w:hAnsi="Garamond"/>
          <w:sz w:val="24"/>
          <w:szCs w:val="24"/>
        </w:rPr>
        <w:t xml:space="preserve">, silver </w:t>
      </w:r>
      <w:proofErr w:type="gramStart"/>
      <w:r w:rsidR="009C727A">
        <w:rPr>
          <w:rFonts w:ascii="Garamond" w:hAnsi="Garamond"/>
          <w:sz w:val="24"/>
          <w:szCs w:val="24"/>
        </w:rPr>
        <w:t xml:space="preserve">and </w:t>
      </w:r>
      <w:r w:rsidR="00C82801">
        <w:rPr>
          <w:rFonts w:ascii="Garamond" w:hAnsi="Garamond"/>
          <w:sz w:val="24"/>
          <w:szCs w:val="24"/>
        </w:rPr>
        <w:t xml:space="preserve"> rhodium</w:t>
      </w:r>
      <w:proofErr w:type="gramEnd"/>
      <w:r w:rsidR="00C82801">
        <w:rPr>
          <w:rFonts w:ascii="Garamond" w:hAnsi="Garamond"/>
          <w:sz w:val="24"/>
          <w:szCs w:val="24"/>
        </w:rPr>
        <w:t xml:space="preserve"> </w:t>
      </w:r>
      <w:r w:rsidR="00C82801" w:rsidRPr="00C82801">
        <w:rPr>
          <w:rFonts w:ascii="Garamond" w:hAnsi="Garamond"/>
          <w:sz w:val="24"/>
          <w:szCs w:val="24"/>
        </w:rPr>
        <w:t>exhibit mean-reverting behavior only in the lower quantiles  of the shock</w:t>
      </w:r>
      <w:r w:rsidR="00C82801">
        <w:rPr>
          <w:rFonts w:ascii="Garamond" w:hAnsi="Garamond"/>
          <w:sz w:val="24"/>
          <w:szCs w:val="24"/>
        </w:rPr>
        <w:t xml:space="preserve">, </w:t>
      </w:r>
      <w:r w:rsidR="003578FB">
        <w:rPr>
          <w:rFonts w:ascii="Garamond" w:hAnsi="Garamond"/>
          <w:sz w:val="24"/>
          <w:szCs w:val="24"/>
        </w:rPr>
        <w:t xml:space="preserve">as against </w:t>
      </w:r>
      <w:r w:rsidR="00F7691F">
        <w:rPr>
          <w:rFonts w:ascii="Garamond" w:hAnsi="Garamond"/>
          <w:sz w:val="24"/>
          <w:szCs w:val="24"/>
        </w:rPr>
        <w:t>palladium and GSCI</w:t>
      </w:r>
      <w:r w:rsidR="00C82801">
        <w:rPr>
          <w:rFonts w:ascii="Garamond" w:hAnsi="Garamond"/>
          <w:sz w:val="24"/>
          <w:szCs w:val="24"/>
        </w:rPr>
        <w:t xml:space="preserve"> </w:t>
      </w:r>
      <w:r w:rsidR="003578FB">
        <w:rPr>
          <w:rFonts w:ascii="Garamond" w:hAnsi="Garamond"/>
          <w:sz w:val="24"/>
          <w:szCs w:val="24"/>
        </w:rPr>
        <w:t xml:space="preserve">which </w:t>
      </w:r>
      <w:r w:rsidR="00993624">
        <w:rPr>
          <w:rFonts w:ascii="Garamond" w:hAnsi="Garamond"/>
          <w:sz w:val="24"/>
          <w:szCs w:val="24"/>
        </w:rPr>
        <w:t>do not demonstrate mean reversion</w:t>
      </w:r>
      <w:r w:rsidR="003578FB">
        <w:rPr>
          <w:rFonts w:ascii="Garamond" w:hAnsi="Garamond"/>
          <w:sz w:val="24"/>
          <w:szCs w:val="24"/>
        </w:rPr>
        <w:t xml:space="preserve">. </w:t>
      </w:r>
      <w:r w:rsidR="00D616A7">
        <w:rPr>
          <w:rFonts w:ascii="Garamond" w:hAnsi="Garamond"/>
          <w:sz w:val="24"/>
          <w:szCs w:val="24"/>
        </w:rPr>
        <w:t xml:space="preserve">Our findings are consistent with Gil-Alana et al. (2015), Lucey and Li (2015), among others. </w:t>
      </w:r>
      <w:r w:rsidR="00A6739A">
        <w:rPr>
          <w:rFonts w:ascii="Garamond" w:hAnsi="Garamond"/>
          <w:sz w:val="24"/>
          <w:szCs w:val="24"/>
        </w:rPr>
        <w:t>For bond markets</w:t>
      </w:r>
      <w:r w:rsidR="003578FB">
        <w:rPr>
          <w:rFonts w:ascii="Garamond" w:hAnsi="Garamond"/>
          <w:sz w:val="24"/>
          <w:szCs w:val="24"/>
        </w:rPr>
        <w:t>,</w:t>
      </w:r>
      <w:r w:rsidR="00A6739A">
        <w:rPr>
          <w:rFonts w:ascii="Garamond" w:hAnsi="Garamond"/>
          <w:sz w:val="24"/>
          <w:szCs w:val="24"/>
        </w:rPr>
        <w:t xml:space="preserve"> we f</w:t>
      </w:r>
      <w:r w:rsidR="003578FB">
        <w:rPr>
          <w:rFonts w:ascii="Garamond" w:hAnsi="Garamond"/>
          <w:sz w:val="24"/>
          <w:szCs w:val="24"/>
        </w:rPr>
        <w:t>in</w:t>
      </w:r>
      <w:r w:rsidR="00A6739A">
        <w:rPr>
          <w:rFonts w:ascii="Garamond" w:hAnsi="Garamond"/>
          <w:sz w:val="24"/>
          <w:szCs w:val="24"/>
        </w:rPr>
        <w:t xml:space="preserve">d that </w:t>
      </w:r>
      <w:r w:rsidR="00A6739A" w:rsidRPr="00A6739A">
        <w:rPr>
          <w:rFonts w:ascii="Garamond" w:hAnsi="Garamond"/>
          <w:sz w:val="24"/>
          <w:szCs w:val="24"/>
        </w:rPr>
        <w:t xml:space="preserve">German bonds </w:t>
      </w:r>
      <w:r w:rsidR="003578FB">
        <w:rPr>
          <w:rFonts w:ascii="Garamond" w:hAnsi="Garamond"/>
          <w:sz w:val="24"/>
          <w:szCs w:val="24"/>
        </w:rPr>
        <w:t>experience</w:t>
      </w:r>
      <w:r w:rsidR="003578FB" w:rsidRPr="00A6739A">
        <w:rPr>
          <w:rFonts w:ascii="Garamond" w:hAnsi="Garamond"/>
          <w:sz w:val="24"/>
          <w:szCs w:val="24"/>
        </w:rPr>
        <w:t xml:space="preserve"> </w:t>
      </w:r>
      <w:r w:rsidR="00A6739A" w:rsidRPr="00A6739A">
        <w:rPr>
          <w:rFonts w:ascii="Garamond" w:hAnsi="Garamond"/>
          <w:sz w:val="24"/>
          <w:szCs w:val="24"/>
        </w:rPr>
        <w:t xml:space="preserve">the </w:t>
      </w:r>
      <w:r w:rsidR="003578FB">
        <w:rPr>
          <w:rFonts w:ascii="Garamond" w:hAnsi="Garamond"/>
          <w:sz w:val="24"/>
          <w:szCs w:val="24"/>
        </w:rPr>
        <w:t xml:space="preserve">sharpest fall in value and the </w:t>
      </w:r>
      <w:r w:rsidR="00A6739A" w:rsidRPr="00A6739A">
        <w:rPr>
          <w:rFonts w:ascii="Garamond" w:hAnsi="Garamond"/>
          <w:sz w:val="24"/>
          <w:szCs w:val="24"/>
        </w:rPr>
        <w:t>poorest recovery after the pandemic bottom day</w:t>
      </w:r>
      <w:r w:rsidR="00A6739A">
        <w:rPr>
          <w:rFonts w:ascii="Garamond" w:hAnsi="Garamond"/>
          <w:sz w:val="24"/>
          <w:szCs w:val="24"/>
        </w:rPr>
        <w:t xml:space="preserve">. </w:t>
      </w:r>
      <w:r w:rsidR="00A6739A" w:rsidRPr="00A6739A">
        <w:rPr>
          <w:rFonts w:ascii="Garamond" w:hAnsi="Garamond"/>
          <w:sz w:val="24"/>
          <w:szCs w:val="24"/>
        </w:rPr>
        <w:t xml:space="preserve">US bonds not only react less negatively to the shock, but also end up </w:t>
      </w:r>
      <w:r w:rsidR="00A6739A" w:rsidRPr="00A6739A">
        <w:rPr>
          <w:rFonts w:ascii="Garamond" w:hAnsi="Garamond"/>
          <w:sz w:val="24"/>
          <w:szCs w:val="24"/>
        </w:rPr>
        <w:lastRenderedPageBreak/>
        <w:t>reaching their highest 2020 value post-COVID.</w:t>
      </w:r>
      <w:r w:rsidR="00A6739A">
        <w:rPr>
          <w:rFonts w:ascii="Garamond" w:hAnsi="Garamond"/>
          <w:sz w:val="24"/>
          <w:szCs w:val="24"/>
        </w:rPr>
        <w:t xml:space="preserve"> As a group, g</w:t>
      </w:r>
      <w:r w:rsidR="00A6739A" w:rsidRPr="00A6739A">
        <w:rPr>
          <w:rFonts w:ascii="Garamond" w:hAnsi="Garamond"/>
          <w:sz w:val="24"/>
          <w:szCs w:val="24"/>
        </w:rPr>
        <w:t>overnment bonds display high persistence</w:t>
      </w:r>
      <w:r w:rsidR="00A6739A">
        <w:rPr>
          <w:rFonts w:ascii="Garamond" w:hAnsi="Garamond"/>
          <w:sz w:val="24"/>
          <w:szCs w:val="24"/>
        </w:rPr>
        <w:t>.</w:t>
      </w:r>
    </w:p>
    <w:p w14:paraId="72911A80" w14:textId="5693C7C1" w:rsidR="00D616A7" w:rsidRPr="00A6739A" w:rsidRDefault="00A6739A" w:rsidP="00A6739A">
      <w:pPr>
        <w:pStyle w:val="NoSpacing"/>
        <w:spacing w:line="480" w:lineRule="auto"/>
        <w:ind w:firstLine="708"/>
        <w:jc w:val="both"/>
        <w:rPr>
          <w:rFonts w:ascii="Garamond" w:eastAsia="Times New Roman" w:hAnsi="Garamond" w:cs="Calibri"/>
          <w:sz w:val="24"/>
          <w:szCs w:val="24"/>
          <w:lang w:val="en-GB" w:eastAsia="en-GB"/>
        </w:rPr>
      </w:pPr>
      <w:r w:rsidRPr="00ED5E3A">
        <w:rPr>
          <w:rFonts w:ascii="Garamond" w:hAnsi="Garamond"/>
          <w:sz w:val="24"/>
          <w:szCs w:val="24"/>
          <w:lang w:val="en-GB"/>
        </w:rPr>
        <w:t xml:space="preserve">As a group, cryptocurrencies exhibit one of the highest reactivity and recovery rates among the financial assets studied. </w:t>
      </w:r>
      <w:r w:rsidR="003578FB">
        <w:rPr>
          <w:rFonts w:ascii="Garamond" w:hAnsi="Garamond"/>
          <w:sz w:val="24"/>
          <w:szCs w:val="24"/>
          <w:lang w:val="en-GB"/>
        </w:rPr>
        <w:t xml:space="preserve">While this may seem encouraging, our </w:t>
      </w:r>
      <w:r w:rsidRPr="00ED5E3A">
        <w:rPr>
          <w:rFonts w:ascii="Garamond" w:hAnsi="Garamond"/>
          <w:sz w:val="24"/>
          <w:szCs w:val="24"/>
          <w:lang w:val="en-GB"/>
        </w:rPr>
        <w:t>quantile unit root test</w:t>
      </w:r>
      <w:r w:rsidR="003578FB">
        <w:rPr>
          <w:rFonts w:ascii="Garamond" w:hAnsi="Garamond"/>
          <w:sz w:val="24"/>
          <w:szCs w:val="24"/>
          <w:lang w:val="en-GB"/>
        </w:rPr>
        <w:t>s suggest otherwise. Our results</w:t>
      </w:r>
      <w:r w:rsidRPr="00ED5E3A">
        <w:rPr>
          <w:rFonts w:ascii="Garamond" w:hAnsi="Garamond"/>
          <w:sz w:val="24"/>
          <w:szCs w:val="24"/>
          <w:lang w:val="en-GB"/>
        </w:rPr>
        <w:t xml:space="preserve"> revea</w:t>
      </w:r>
      <w:r w:rsidR="003578FB">
        <w:rPr>
          <w:rFonts w:ascii="Garamond" w:hAnsi="Garamond"/>
          <w:sz w:val="24"/>
          <w:szCs w:val="24"/>
          <w:lang w:val="en-GB"/>
        </w:rPr>
        <w:t>l</w:t>
      </w:r>
      <w:r w:rsidRPr="00ED5E3A">
        <w:rPr>
          <w:rFonts w:ascii="Garamond" w:hAnsi="Garamond"/>
          <w:sz w:val="24"/>
          <w:szCs w:val="24"/>
          <w:lang w:val="en-GB"/>
        </w:rPr>
        <w:t xml:space="preserve"> </w:t>
      </w:r>
      <w:r w:rsidR="003578FB">
        <w:rPr>
          <w:rFonts w:ascii="Garamond" w:hAnsi="Garamond"/>
          <w:sz w:val="24"/>
          <w:szCs w:val="24"/>
          <w:lang w:val="en-GB"/>
        </w:rPr>
        <w:t xml:space="preserve">that </w:t>
      </w:r>
      <w:r w:rsidR="00130971">
        <w:rPr>
          <w:rFonts w:ascii="Garamond" w:hAnsi="Garamond"/>
          <w:sz w:val="24"/>
          <w:szCs w:val="24"/>
          <w:lang w:val="en-GB"/>
        </w:rPr>
        <w:t>Bitcoin,</w:t>
      </w:r>
      <w:r w:rsidR="003578FB">
        <w:rPr>
          <w:rFonts w:ascii="Garamond" w:hAnsi="Garamond"/>
          <w:sz w:val="24"/>
          <w:szCs w:val="24"/>
          <w:lang w:val="en-GB"/>
        </w:rPr>
        <w:t xml:space="preserve"> Ethereum </w:t>
      </w:r>
      <w:r w:rsidR="00130971">
        <w:rPr>
          <w:rFonts w:ascii="Garamond" w:hAnsi="Garamond"/>
          <w:sz w:val="24"/>
          <w:szCs w:val="24"/>
          <w:lang w:val="en-GB"/>
        </w:rPr>
        <w:t xml:space="preserve">and Litecoin </w:t>
      </w:r>
      <w:r w:rsidR="00F620E3">
        <w:rPr>
          <w:rFonts w:ascii="Garamond" w:eastAsia="Times New Roman" w:hAnsi="Garamond" w:cs="Calibri"/>
          <w:sz w:val="24"/>
          <w:szCs w:val="24"/>
          <w:lang w:val="en-GB" w:eastAsia="en-GB"/>
        </w:rPr>
        <w:t xml:space="preserve">offer </w:t>
      </w:r>
      <w:r w:rsidR="00F620E3">
        <w:rPr>
          <w:rFonts w:ascii="Garamond" w:hAnsi="Garamond"/>
          <w:sz w:val="24"/>
          <w:szCs w:val="24"/>
          <w:lang w:val="en-GB"/>
        </w:rPr>
        <w:t xml:space="preserve">for post-shock recovery </w:t>
      </w:r>
      <w:r w:rsidR="00F620E3" w:rsidRPr="00ED5E3A">
        <w:rPr>
          <w:rFonts w:ascii="Garamond" w:eastAsia="Times New Roman" w:hAnsi="Garamond" w:cs="Calibri"/>
          <w:sz w:val="24"/>
          <w:szCs w:val="24"/>
          <w:lang w:val="en-GB" w:eastAsia="en-GB"/>
        </w:rPr>
        <w:t>towards long-term equilibrium</w:t>
      </w:r>
      <w:r w:rsidR="00F620E3">
        <w:rPr>
          <w:rFonts w:ascii="Garamond" w:eastAsia="Times New Roman" w:hAnsi="Garamond" w:cs="Calibri"/>
          <w:sz w:val="24"/>
          <w:szCs w:val="24"/>
          <w:lang w:val="en-GB" w:eastAsia="en-GB"/>
        </w:rPr>
        <w:t xml:space="preserve"> only in lower levels of shock</w:t>
      </w:r>
      <w:r w:rsidR="00C15E5B">
        <w:rPr>
          <w:rFonts w:ascii="Garamond" w:eastAsia="Times New Roman" w:hAnsi="Garamond" w:cs="Calibri"/>
          <w:sz w:val="24"/>
          <w:szCs w:val="24"/>
          <w:lang w:val="en-GB" w:eastAsia="en-GB"/>
        </w:rPr>
        <w:t xml:space="preserve">. This raises questions as to the ‘safe haven’ characteristics of </w:t>
      </w:r>
      <w:r w:rsidR="00691E76">
        <w:rPr>
          <w:rFonts w:ascii="Garamond" w:eastAsia="Times New Roman" w:hAnsi="Garamond" w:cs="Calibri"/>
          <w:sz w:val="24"/>
          <w:szCs w:val="24"/>
          <w:lang w:val="en-GB" w:eastAsia="en-GB"/>
        </w:rPr>
        <w:t>them</w:t>
      </w:r>
      <w:r w:rsidR="00C15E5B">
        <w:rPr>
          <w:rFonts w:ascii="Garamond" w:eastAsia="Times New Roman" w:hAnsi="Garamond" w:cs="Calibri"/>
          <w:sz w:val="24"/>
          <w:szCs w:val="24"/>
          <w:lang w:val="en-GB" w:eastAsia="en-GB"/>
        </w:rPr>
        <w:t>.</w:t>
      </w:r>
      <w:r w:rsidRPr="00ED5E3A">
        <w:rPr>
          <w:rFonts w:ascii="Garamond" w:eastAsia="Times New Roman" w:hAnsi="Garamond" w:cs="Calibri"/>
          <w:sz w:val="24"/>
          <w:szCs w:val="24"/>
          <w:lang w:val="en-GB" w:eastAsia="en-GB"/>
        </w:rPr>
        <w:t xml:space="preserve"> </w:t>
      </w:r>
      <w:r w:rsidR="00C15E5B">
        <w:rPr>
          <w:rFonts w:ascii="Garamond" w:eastAsia="Times New Roman" w:hAnsi="Garamond" w:cs="Calibri"/>
          <w:sz w:val="24"/>
          <w:szCs w:val="24"/>
          <w:lang w:val="en-GB" w:eastAsia="en-GB"/>
        </w:rPr>
        <w:t xml:space="preserve">Our </w:t>
      </w:r>
      <w:r w:rsidRPr="00ED5E3A">
        <w:rPr>
          <w:rFonts w:ascii="Garamond" w:eastAsia="Times New Roman" w:hAnsi="Garamond" w:cs="Calibri"/>
          <w:sz w:val="24"/>
          <w:szCs w:val="24"/>
          <w:lang w:val="en-GB" w:eastAsia="en-GB"/>
        </w:rPr>
        <w:t>analysis</w:t>
      </w:r>
      <w:r w:rsidR="00C15E5B">
        <w:rPr>
          <w:rFonts w:ascii="Garamond" w:eastAsia="Times New Roman" w:hAnsi="Garamond" w:cs="Calibri"/>
          <w:sz w:val="24"/>
          <w:szCs w:val="24"/>
          <w:lang w:val="en-GB" w:eastAsia="en-GB"/>
        </w:rPr>
        <w:t xml:space="preserve"> indicates that as a group,</w:t>
      </w:r>
      <w:r w:rsidR="00C15E5B">
        <w:rPr>
          <w:rFonts w:ascii="Garamond" w:hAnsi="Garamond"/>
          <w:sz w:val="24"/>
          <w:szCs w:val="24"/>
          <w:lang w:val="en-GB"/>
        </w:rPr>
        <w:t xml:space="preserve"> </w:t>
      </w:r>
      <w:r w:rsidRPr="00ED5E3A">
        <w:rPr>
          <w:rFonts w:ascii="Garamond" w:hAnsi="Garamond"/>
          <w:sz w:val="24"/>
          <w:szCs w:val="24"/>
          <w:lang w:val="en-GB"/>
        </w:rPr>
        <w:t>cryptocurrenc</w:t>
      </w:r>
      <w:r w:rsidR="00C15E5B">
        <w:rPr>
          <w:rFonts w:ascii="Garamond" w:hAnsi="Garamond"/>
          <w:sz w:val="24"/>
          <w:szCs w:val="24"/>
          <w:lang w:val="en-GB"/>
        </w:rPr>
        <w:t>ies</w:t>
      </w:r>
      <w:r w:rsidRPr="00ED5E3A">
        <w:rPr>
          <w:rFonts w:ascii="Garamond" w:hAnsi="Garamond"/>
          <w:sz w:val="24"/>
          <w:szCs w:val="24"/>
          <w:lang w:val="en-GB"/>
        </w:rPr>
        <w:t xml:space="preserve"> </w:t>
      </w:r>
      <w:r w:rsidR="00C15E5B">
        <w:rPr>
          <w:rFonts w:ascii="Garamond" w:hAnsi="Garamond"/>
          <w:sz w:val="24"/>
          <w:szCs w:val="24"/>
          <w:lang w:val="en-GB"/>
        </w:rPr>
        <w:t xml:space="preserve">represent the riskiest asset class in the </w:t>
      </w:r>
      <w:proofErr w:type="gramStart"/>
      <w:r w:rsidR="00C15E5B">
        <w:rPr>
          <w:rFonts w:ascii="Garamond" w:hAnsi="Garamond"/>
          <w:sz w:val="24"/>
          <w:szCs w:val="24"/>
          <w:lang w:val="en-GB"/>
        </w:rPr>
        <w:t>long-run</w:t>
      </w:r>
      <w:proofErr w:type="gramEnd"/>
      <w:r w:rsidR="00C15E5B">
        <w:rPr>
          <w:rFonts w:ascii="Garamond" w:hAnsi="Garamond"/>
          <w:sz w:val="24"/>
          <w:szCs w:val="24"/>
          <w:lang w:val="en-GB"/>
        </w:rPr>
        <w:t xml:space="preserve"> </w:t>
      </w:r>
      <w:r w:rsidRPr="00ED5E3A">
        <w:rPr>
          <w:rFonts w:ascii="Garamond" w:hAnsi="Garamond"/>
          <w:sz w:val="24"/>
          <w:szCs w:val="24"/>
          <w:lang w:val="en-GB"/>
        </w:rPr>
        <w:t>in terms of unpredictability of returns.</w:t>
      </w:r>
      <w:r w:rsidR="00ED5E3A" w:rsidRPr="00ED5E3A">
        <w:rPr>
          <w:rFonts w:ascii="Garamond" w:hAnsi="Garamond"/>
          <w:sz w:val="24"/>
          <w:szCs w:val="24"/>
          <w:lang w:val="en-GB"/>
        </w:rPr>
        <w:t xml:space="preserve"> </w:t>
      </w:r>
    </w:p>
    <w:p w14:paraId="201C52C7" w14:textId="032029DE" w:rsidR="00E546B1" w:rsidRDefault="00C15E5B" w:rsidP="008938B2">
      <w:pPr>
        <w:pStyle w:val="NoSpacing"/>
        <w:spacing w:line="480" w:lineRule="auto"/>
        <w:ind w:firstLine="708"/>
        <w:jc w:val="both"/>
        <w:rPr>
          <w:rFonts w:ascii="Garamond" w:hAnsi="Garamond"/>
          <w:sz w:val="24"/>
          <w:szCs w:val="24"/>
        </w:rPr>
      </w:pPr>
      <w:r>
        <w:rPr>
          <w:rFonts w:ascii="Garamond" w:hAnsi="Garamond"/>
          <w:sz w:val="24"/>
          <w:szCs w:val="24"/>
        </w:rPr>
        <w:t>Our</w:t>
      </w:r>
      <w:r w:rsidR="00E546B1" w:rsidRPr="009E00D2">
        <w:rPr>
          <w:rFonts w:ascii="Garamond" w:hAnsi="Garamond"/>
          <w:sz w:val="24"/>
          <w:szCs w:val="24"/>
        </w:rPr>
        <w:t xml:space="preserve"> results can be useful </w:t>
      </w:r>
      <w:r>
        <w:rPr>
          <w:rFonts w:ascii="Garamond" w:hAnsi="Garamond"/>
          <w:sz w:val="24"/>
          <w:szCs w:val="24"/>
        </w:rPr>
        <w:t>to</w:t>
      </w:r>
      <w:r w:rsidR="00E546B1" w:rsidRPr="009E00D2">
        <w:rPr>
          <w:rFonts w:ascii="Garamond" w:hAnsi="Garamond"/>
          <w:sz w:val="24"/>
          <w:szCs w:val="24"/>
        </w:rPr>
        <w:t xml:space="preserve"> investors </w:t>
      </w:r>
      <w:r>
        <w:rPr>
          <w:rFonts w:ascii="Garamond" w:hAnsi="Garamond"/>
          <w:sz w:val="24"/>
          <w:szCs w:val="24"/>
        </w:rPr>
        <w:t xml:space="preserve">to enable them to make more informed portfolio decisions to control downside risk in the wake of extreme events. </w:t>
      </w:r>
      <w:r w:rsidR="00ED5E3A">
        <w:rPr>
          <w:rFonts w:ascii="Garamond" w:hAnsi="Garamond"/>
          <w:sz w:val="24"/>
          <w:szCs w:val="24"/>
        </w:rPr>
        <w:t>Our findings provide novel empirical evidence on reaction and recovery patterns for different asset classes</w:t>
      </w:r>
      <w:r w:rsidR="00AD5466">
        <w:rPr>
          <w:rFonts w:ascii="Garamond" w:hAnsi="Garamond"/>
          <w:sz w:val="24"/>
          <w:szCs w:val="24"/>
        </w:rPr>
        <w:t>,</w:t>
      </w:r>
      <w:r w:rsidR="00ED5E3A">
        <w:rPr>
          <w:rFonts w:ascii="Garamond" w:hAnsi="Garamond"/>
          <w:sz w:val="24"/>
          <w:szCs w:val="24"/>
        </w:rPr>
        <w:t xml:space="preserve"> contributing to </w:t>
      </w:r>
      <w:r>
        <w:rPr>
          <w:rFonts w:ascii="Garamond" w:hAnsi="Garamond"/>
          <w:sz w:val="24"/>
          <w:szCs w:val="24"/>
        </w:rPr>
        <w:t xml:space="preserve">sub-streams of literature in </w:t>
      </w:r>
      <w:r w:rsidR="00ED5E3A">
        <w:rPr>
          <w:rFonts w:ascii="Garamond" w:hAnsi="Garamond"/>
          <w:sz w:val="24"/>
          <w:szCs w:val="24"/>
        </w:rPr>
        <w:t>market efficiency, safe haven</w:t>
      </w:r>
      <w:r>
        <w:rPr>
          <w:rFonts w:ascii="Garamond" w:hAnsi="Garamond"/>
          <w:sz w:val="24"/>
          <w:szCs w:val="24"/>
        </w:rPr>
        <w:t>s</w:t>
      </w:r>
      <w:r w:rsidR="00ED5E3A">
        <w:rPr>
          <w:rFonts w:ascii="Garamond" w:hAnsi="Garamond"/>
          <w:sz w:val="24"/>
          <w:szCs w:val="24"/>
        </w:rPr>
        <w:t xml:space="preserve">, and </w:t>
      </w:r>
      <w:r>
        <w:rPr>
          <w:rFonts w:ascii="Garamond" w:hAnsi="Garamond"/>
          <w:sz w:val="24"/>
          <w:szCs w:val="24"/>
        </w:rPr>
        <w:t xml:space="preserve">of course, the wave of </w:t>
      </w:r>
      <w:r w:rsidR="00ED5E3A">
        <w:rPr>
          <w:rFonts w:ascii="Garamond" w:hAnsi="Garamond"/>
          <w:sz w:val="24"/>
          <w:szCs w:val="24"/>
        </w:rPr>
        <w:t xml:space="preserve">recent papers on the </w:t>
      </w:r>
      <w:r>
        <w:rPr>
          <w:rFonts w:ascii="Garamond" w:hAnsi="Garamond"/>
          <w:sz w:val="24"/>
          <w:szCs w:val="24"/>
        </w:rPr>
        <w:t xml:space="preserve">quantification of the </w:t>
      </w:r>
      <w:r w:rsidR="00ED5E3A">
        <w:rPr>
          <w:rFonts w:ascii="Garamond" w:hAnsi="Garamond"/>
          <w:sz w:val="24"/>
          <w:szCs w:val="24"/>
        </w:rPr>
        <w:t xml:space="preserve">financial effects of the COVID-19 pandemic. </w:t>
      </w:r>
      <w:r>
        <w:rPr>
          <w:rFonts w:ascii="Garamond" w:hAnsi="Garamond"/>
          <w:sz w:val="24"/>
          <w:szCs w:val="24"/>
        </w:rPr>
        <w:t xml:space="preserve">Our </w:t>
      </w:r>
      <w:r w:rsidR="00ED5E3A">
        <w:rPr>
          <w:rFonts w:ascii="Garamond" w:hAnsi="Garamond"/>
          <w:sz w:val="24"/>
          <w:szCs w:val="24"/>
        </w:rPr>
        <w:t xml:space="preserve">results also </w:t>
      </w:r>
      <w:r>
        <w:rPr>
          <w:rFonts w:ascii="Garamond" w:hAnsi="Garamond"/>
          <w:sz w:val="24"/>
          <w:szCs w:val="24"/>
        </w:rPr>
        <w:t xml:space="preserve">benefit </w:t>
      </w:r>
      <w:r w:rsidR="00ED5E3A">
        <w:rPr>
          <w:rFonts w:ascii="Garamond" w:hAnsi="Garamond"/>
          <w:sz w:val="24"/>
          <w:szCs w:val="24"/>
        </w:rPr>
        <w:t>financial regulators</w:t>
      </w:r>
      <w:r>
        <w:rPr>
          <w:rFonts w:ascii="Garamond" w:hAnsi="Garamond"/>
          <w:sz w:val="24"/>
          <w:szCs w:val="24"/>
        </w:rPr>
        <w:t xml:space="preserve"> in the areas of monetary policy. This work can help foster a better understanding of mean reversion for financial markets as a whole</w:t>
      </w:r>
      <w:r w:rsidR="00103D91">
        <w:rPr>
          <w:rFonts w:ascii="Garamond" w:hAnsi="Garamond"/>
          <w:sz w:val="24"/>
          <w:szCs w:val="24"/>
        </w:rPr>
        <w:t xml:space="preserve"> and its predictability</w:t>
      </w:r>
      <w:r>
        <w:rPr>
          <w:rFonts w:ascii="Garamond" w:hAnsi="Garamond"/>
          <w:sz w:val="24"/>
          <w:szCs w:val="24"/>
        </w:rPr>
        <w:t xml:space="preserve">. A useful addition could be the examination of the speed of mean reversion in terms of half-lives, for example, something we leave for future research. </w:t>
      </w:r>
    </w:p>
    <w:p w14:paraId="0FBC8F91" w14:textId="77777777" w:rsidR="00AD5466" w:rsidRPr="009E00D2" w:rsidRDefault="00AD5466" w:rsidP="00697353">
      <w:pPr>
        <w:pStyle w:val="NoSpacing"/>
        <w:spacing w:line="480" w:lineRule="auto"/>
        <w:rPr>
          <w:rFonts w:ascii="Garamond" w:hAnsi="Garamond"/>
          <w:sz w:val="24"/>
          <w:szCs w:val="24"/>
        </w:rPr>
      </w:pPr>
    </w:p>
    <w:p w14:paraId="5D653715" w14:textId="4FC35226" w:rsidR="00BF4924" w:rsidRPr="009E00D2" w:rsidRDefault="00BF4924" w:rsidP="00697353">
      <w:pPr>
        <w:pStyle w:val="NoSpacing"/>
        <w:spacing w:line="480" w:lineRule="auto"/>
        <w:rPr>
          <w:rFonts w:ascii="Garamond" w:hAnsi="Garamond"/>
          <w:b/>
          <w:bCs/>
          <w:sz w:val="24"/>
          <w:szCs w:val="24"/>
        </w:rPr>
      </w:pPr>
      <w:r w:rsidRPr="009E00D2">
        <w:rPr>
          <w:rFonts w:ascii="Garamond" w:hAnsi="Garamond"/>
          <w:b/>
          <w:bCs/>
          <w:sz w:val="24"/>
          <w:szCs w:val="24"/>
        </w:rPr>
        <w:t>References</w:t>
      </w:r>
    </w:p>
    <w:p w14:paraId="3B33C2B0" w14:textId="3AAD0918" w:rsidR="00771184"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Adebola, S.S., Gil-Alana, L.A., </w:t>
      </w:r>
      <w:proofErr w:type="spellStart"/>
      <w:r w:rsidRPr="009E00D2">
        <w:rPr>
          <w:rFonts w:ascii="Garamond" w:hAnsi="Garamond"/>
          <w:sz w:val="24"/>
          <w:szCs w:val="24"/>
        </w:rPr>
        <w:t>Madigu</w:t>
      </w:r>
      <w:proofErr w:type="spellEnd"/>
      <w:r w:rsidRPr="009E00D2">
        <w:rPr>
          <w:rFonts w:ascii="Garamond" w:hAnsi="Garamond"/>
          <w:sz w:val="24"/>
          <w:szCs w:val="24"/>
        </w:rPr>
        <w:t xml:space="preserve">, G. (2019). Gold prices and the cryptocurrencies: Evidence of convergence and cointegration. </w:t>
      </w:r>
      <w:proofErr w:type="spellStart"/>
      <w:r w:rsidRPr="00943696">
        <w:rPr>
          <w:rFonts w:ascii="Garamond" w:hAnsi="Garamond"/>
          <w:i/>
          <w:sz w:val="24"/>
          <w:szCs w:val="24"/>
        </w:rPr>
        <w:t>Physica</w:t>
      </w:r>
      <w:proofErr w:type="spellEnd"/>
      <w:r w:rsidRPr="00943696">
        <w:rPr>
          <w:rFonts w:ascii="Garamond" w:hAnsi="Garamond"/>
          <w:i/>
          <w:sz w:val="24"/>
          <w:szCs w:val="24"/>
        </w:rPr>
        <w:t xml:space="preserve"> A: Statistical Mechanics and its Applications</w:t>
      </w:r>
      <w:r w:rsidRPr="009E00D2">
        <w:rPr>
          <w:rFonts w:ascii="Garamond" w:hAnsi="Garamond"/>
          <w:sz w:val="24"/>
          <w:szCs w:val="24"/>
        </w:rPr>
        <w:t xml:space="preserve"> 523 (1), 1227 – 1236.</w:t>
      </w:r>
    </w:p>
    <w:p w14:paraId="1B42B2B1" w14:textId="77C14B62" w:rsidR="00E97EFB" w:rsidRPr="007667B2" w:rsidRDefault="00E97EFB" w:rsidP="00771184">
      <w:pPr>
        <w:pStyle w:val="NoSpacing"/>
        <w:spacing w:line="480" w:lineRule="auto"/>
        <w:jc w:val="both"/>
        <w:rPr>
          <w:rFonts w:ascii="Garamond" w:hAnsi="Garamond"/>
          <w:sz w:val="24"/>
          <w:szCs w:val="24"/>
        </w:rPr>
      </w:pPr>
      <w:proofErr w:type="spellStart"/>
      <w:r>
        <w:rPr>
          <w:rFonts w:ascii="Garamond" w:hAnsi="Garamond"/>
          <w:sz w:val="24"/>
          <w:szCs w:val="24"/>
          <w:lang w:val="en-GB"/>
        </w:rPr>
        <w:t>Adewuyi</w:t>
      </w:r>
      <w:proofErr w:type="spellEnd"/>
      <w:r>
        <w:rPr>
          <w:rFonts w:ascii="Garamond" w:hAnsi="Garamond"/>
          <w:sz w:val="24"/>
          <w:szCs w:val="24"/>
          <w:lang w:val="en-GB"/>
        </w:rPr>
        <w:t>, A.O., Wahab, B.A.,</w:t>
      </w:r>
      <w:r>
        <w:rPr>
          <w:lang w:val="en-GB"/>
        </w:rPr>
        <w:t xml:space="preserve"> </w:t>
      </w:r>
      <w:proofErr w:type="spellStart"/>
      <w:r>
        <w:rPr>
          <w:rFonts w:ascii="Garamond" w:hAnsi="Garamond"/>
          <w:sz w:val="24"/>
          <w:szCs w:val="24"/>
          <w:lang w:val="en-GB"/>
        </w:rPr>
        <w:t>Adeboye</w:t>
      </w:r>
      <w:proofErr w:type="spellEnd"/>
      <w:r>
        <w:rPr>
          <w:rFonts w:ascii="Garamond" w:hAnsi="Garamond"/>
          <w:sz w:val="24"/>
          <w:szCs w:val="24"/>
          <w:lang w:val="en-GB"/>
        </w:rPr>
        <w:t xml:space="preserve">, O.S. (2020). Stationarity of prices of precious and industrial metals using recent unit root methods: Implications for markets’ efficiency. </w:t>
      </w:r>
      <w:r w:rsidRPr="00943696">
        <w:rPr>
          <w:rFonts w:ascii="Garamond" w:hAnsi="Garamond"/>
          <w:i/>
          <w:iCs/>
          <w:sz w:val="24"/>
          <w:szCs w:val="24"/>
        </w:rPr>
        <w:t>Resources Policy</w:t>
      </w:r>
      <w:r w:rsidRPr="00943696">
        <w:rPr>
          <w:rFonts w:ascii="Garamond" w:hAnsi="Garamond"/>
          <w:sz w:val="24"/>
          <w:szCs w:val="24"/>
        </w:rPr>
        <w:t xml:space="preserve"> 65, 101560.</w:t>
      </w:r>
    </w:p>
    <w:p w14:paraId="31257FD6" w14:textId="27F8AAFD" w:rsidR="00C84A71" w:rsidRDefault="00C84A71" w:rsidP="00771184">
      <w:pPr>
        <w:pStyle w:val="NoSpacing"/>
        <w:spacing w:line="480" w:lineRule="auto"/>
        <w:jc w:val="both"/>
        <w:rPr>
          <w:rFonts w:ascii="Garamond" w:hAnsi="Garamond"/>
          <w:sz w:val="24"/>
          <w:szCs w:val="24"/>
        </w:rPr>
      </w:pPr>
      <w:proofErr w:type="spellStart"/>
      <w:r>
        <w:rPr>
          <w:rFonts w:ascii="Garamond" w:hAnsi="Garamond"/>
          <w:sz w:val="24"/>
          <w:szCs w:val="24"/>
        </w:rPr>
        <w:lastRenderedPageBreak/>
        <w:t>Alekserov</w:t>
      </w:r>
      <w:proofErr w:type="spellEnd"/>
      <w:r>
        <w:rPr>
          <w:rFonts w:ascii="Garamond" w:hAnsi="Garamond"/>
          <w:sz w:val="24"/>
          <w:szCs w:val="24"/>
        </w:rPr>
        <w:t xml:space="preserve">, F., </w:t>
      </w:r>
      <w:proofErr w:type="spellStart"/>
      <w:r>
        <w:rPr>
          <w:rFonts w:ascii="Garamond" w:hAnsi="Garamond"/>
          <w:sz w:val="24"/>
          <w:szCs w:val="24"/>
        </w:rPr>
        <w:t>Egorova</w:t>
      </w:r>
      <w:proofErr w:type="spellEnd"/>
      <w:r>
        <w:rPr>
          <w:rFonts w:ascii="Garamond" w:hAnsi="Garamond"/>
          <w:sz w:val="24"/>
          <w:szCs w:val="24"/>
        </w:rPr>
        <w:t xml:space="preserve">, L. (2012). Is it so bad that we cannot recognize black swans? </w:t>
      </w:r>
      <w:r w:rsidRPr="00C84A71">
        <w:rPr>
          <w:rFonts w:ascii="Garamond" w:hAnsi="Garamond"/>
          <w:i/>
          <w:iCs/>
          <w:sz w:val="24"/>
          <w:szCs w:val="24"/>
        </w:rPr>
        <w:t>Economics Letter, 117</w:t>
      </w:r>
      <w:r>
        <w:rPr>
          <w:rFonts w:ascii="Garamond" w:hAnsi="Garamond"/>
          <w:sz w:val="24"/>
          <w:szCs w:val="24"/>
        </w:rPr>
        <w:t>, 563-565.</w:t>
      </w:r>
    </w:p>
    <w:p w14:paraId="284B810B" w14:textId="436EE149" w:rsidR="009C562D" w:rsidRPr="009C562D" w:rsidRDefault="009C562D" w:rsidP="00771184">
      <w:pPr>
        <w:pStyle w:val="NoSpacing"/>
        <w:spacing w:line="480" w:lineRule="auto"/>
        <w:jc w:val="both"/>
        <w:rPr>
          <w:rFonts w:ascii="Garamond" w:hAnsi="Garamond"/>
          <w:sz w:val="24"/>
          <w:szCs w:val="24"/>
          <w:lang w:val="en-GB"/>
        </w:rPr>
      </w:pPr>
      <w:r w:rsidRPr="009C562D">
        <w:rPr>
          <w:rFonts w:ascii="Garamond" w:hAnsi="Garamond"/>
          <w:sz w:val="24"/>
          <w:szCs w:val="24"/>
          <w:lang w:val="en-GB"/>
        </w:rPr>
        <w:t xml:space="preserve">Alfaro, L., Chari, A., Greenland, A. N., Schott, P. K. (2020). Aggregate and firm-level stock returns during pandemics, in real time. </w:t>
      </w:r>
      <w:r w:rsidRPr="00943696">
        <w:rPr>
          <w:rFonts w:ascii="Garamond" w:hAnsi="Garamond"/>
          <w:i/>
          <w:sz w:val="24"/>
          <w:szCs w:val="24"/>
          <w:lang w:val="en-GB"/>
        </w:rPr>
        <w:t>National Bureau of Economic Research (NBER)</w:t>
      </w:r>
      <w:r w:rsidRPr="009C562D">
        <w:rPr>
          <w:rFonts w:ascii="Garamond" w:hAnsi="Garamond"/>
          <w:sz w:val="24"/>
          <w:szCs w:val="24"/>
          <w:lang w:val="en-GB"/>
        </w:rPr>
        <w:t>. Working Paper No. w26950.</w:t>
      </w:r>
    </w:p>
    <w:p w14:paraId="2F0D24BC" w14:textId="77777777" w:rsidR="00D60A9A" w:rsidRDefault="00771184" w:rsidP="00623ADB">
      <w:pPr>
        <w:pStyle w:val="NoSpacing"/>
        <w:spacing w:line="480" w:lineRule="auto"/>
        <w:jc w:val="both"/>
      </w:pPr>
      <w:r w:rsidRPr="009E00D2">
        <w:rPr>
          <w:rFonts w:ascii="Garamond" w:hAnsi="Garamond"/>
          <w:sz w:val="24"/>
          <w:szCs w:val="24"/>
          <w:lang w:val="en-GB"/>
        </w:rPr>
        <w:t>Andrews, D.W.K. (1991) Heteroskedasticity and Autocorrelation Consistent Covariance Matrix E</w:t>
      </w:r>
      <w:r w:rsidR="00623ADB" w:rsidRPr="00623ADB">
        <w:t xml:space="preserve"> </w:t>
      </w:r>
    </w:p>
    <w:p w14:paraId="35D47507" w14:textId="0C96D733" w:rsidR="00D60A9A" w:rsidRDefault="00D60A9A" w:rsidP="00D60A9A">
      <w:pPr>
        <w:pStyle w:val="NoSpacing"/>
        <w:spacing w:line="480" w:lineRule="auto"/>
        <w:jc w:val="both"/>
        <w:rPr>
          <w:rFonts w:ascii="Garamond" w:hAnsi="Garamond"/>
          <w:sz w:val="24"/>
          <w:szCs w:val="24"/>
          <w:lang w:val="en-GB"/>
        </w:rPr>
      </w:pPr>
      <w:proofErr w:type="spellStart"/>
      <w:r>
        <w:rPr>
          <w:rFonts w:ascii="Garamond" w:hAnsi="Garamond"/>
          <w:sz w:val="24"/>
          <w:szCs w:val="24"/>
          <w:lang w:val="en-GB"/>
        </w:rPr>
        <w:t>Arouri</w:t>
      </w:r>
      <w:proofErr w:type="spellEnd"/>
      <w:r>
        <w:rPr>
          <w:rFonts w:ascii="Garamond" w:hAnsi="Garamond"/>
          <w:sz w:val="24"/>
          <w:szCs w:val="24"/>
          <w:lang w:val="en-GB"/>
        </w:rPr>
        <w:t xml:space="preserve">, M.E.H., </w:t>
      </w:r>
      <w:proofErr w:type="spellStart"/>
      <w:r>
        <w:rPr>
          <w:rFonts w:ascii="Garamond" w:hAnsi="Garamond"/>
          <w:sz w:val="24"/>
          <w:szCs w:val="24"/>
          <w:lang w:val="en-GB"/>
        </w:rPr>
        <w:t>Hammoudeh</w:t>
      </w:r>
      <w:proofErr w:type="spellEnd"/>
      <w:r>
        <w:rPr>
          <w:rFonts w:ascii="Garamond" w:hAnsi="Garamond"/>
          <w:sz w:val="24"/>
          <w:szCs w:val="24"/>
          <w:lang w:val="en-GB"/>
        </w:rPr>
        <w:t>, S., Amine, L., Nguyen, D.K. (2013). On the short- and long</w:t>
      </w:r>
      <w:r w:rsidR="00063F51">
        <w:rPr>
          <w:rFonts w:ascii="Garamond" w:hAnsi="Garamond"/>
          <w:sz w:val="24"/>
          <w:szCs w:val="24"/>
          <w:lang w:val="en-GB"/>
        </w:rPr>
        <w:t xml:space="preserve"> </w:t>
      </w:r>
      <w:r>
        <w:rPr>
          <w:rFonts w:ascii="Garamond" w:hAnsi="Garamond"/>
          <w:sz w:val="24"/>
          <w:szCs w:val="24"/>
          <w:lang w:val="en-GB"/>
        </w:rPr>
        <w:t xml:space="preserve">run efficiency of energy and precious, metal markets. </w:t>
      </w:r>
      <w:r w:rsidRPr="00943696">
        <w:rPr>
          <w:rFonts w:ascii="Garamond" w:hAnsi="Garamond"/>
          <w:i/>
          <w:sz w:val="24"/>
          <w:szCs w:val="24"/>
          <w:lang w:val="en-GB"/>
        </w:rPr>
        <w:t>Energy Econ</w:t>
      </w:r>
      <w:r w:rsidR="00943696">
        <w:rPr>
          <w:rFonts w:ascii="Garamond" w:hAnsi="Garamond"/>
          <w:i/>
          <w:sz w:val="24"/>
          <w:szCs w:val="24"/>
          <w:lang w:val="en-GB"/>
        </w:rPr>
        <w:t>omics</w:t>
      </w:r>
      <w:r>
        <w:rPr>
          <w:rFonts w:ascii="Garamond" w:hAnsi="Garamond"/>
          <w:sz w:val="24"/>
          <w:szCs w:val="24"/>
          <w:lang w:val="en-GB"/>
        </w:rPr>
        <w:t>. 40 (2013), 832–844.</w:t>
      </w:r>
    </w:p>
    <w:p w14:paraId="66372A82" w14:textId="792B61FB" w:rsidR="00623ADB" w:rsidRPr="00623ADB" w:rsidRDefault="00623ADB" w:rsidP="00D60A9A">
      <w:pPr>
        <w:pStyle w:val="NoSpacing"/>
        <w:spacing w:line="480" w:lineRule="auto"/>
        <w:jc w:val="both"/>
        <w:rPr>
          <w:rFonts w:ascii="Garamond" w:hAnsi="Garamond"/>
          <w:sz w:val="24"/>
          <w:szCs w:val="24"/>
          <w:lang w:val="en-GB"/>
        </w:rPr>
      </w:pPr>
      <w:r w:rsidRPr="00623ADB">
        <w:rPr>
          <w:rFonts w:ascii="Garamond" w:hAnsi="Garamond"/>
          <w:sz w:val="24"/>
          <w:szCs w:val="24"/>
          <w:lang w:val="en-GB"/>
        </w:rPr>
        <w:t>Baker, S., N. Bloom, S. J. Davis</w:t>
      </w:r>
      <w:r>
        <w:rPr>
          <w:rFonts w:ascii="Garamond" w:hAnsi="Garamond"/>
          <w:sz w:val="24"/>
          <w:szCs w:val="24"/>
          <w:lang w:val="en-GB"/>
        </w:rPr>
        <w:t>,</w:t>
      </w:r>
      <w:r w:rsidRPr="00623ADB">
        <w:rPr>
          <w:rFonts w:ascii="Garamond" w:hAnsi="Garamond"/>
          <w:sz w:val="24"/>
          <w:szCs w:val="24"/>
          <w:lang w:val="en-GB"/>
        </w:rPr>
        <w:t xml:space="preserve"> S. J. Terry (2020</w:t>
      </w:r>
      <w:r>
        <w:rPr>
          <w:rFonts w:ascii="Garamond" w:hAnsi="Garamond"/>
          <w:sz w:val="24"/>
          <w:szCs w:val="24"/>
          <w:lang w:val="en-GB"/>
        </w:rPr>
        <w:t>a</w:t>
      </w:r>
      <w:r w:rsidRPr="00623ADB">
        <w:rPr>
          <w:rFonts w:ascii="Garamond" w:hAnsi="Garamond"/>
          <w:sz w:val="24"/>
          <w:szCs w:val="24"/>
          <w:lang w:val="en-GB"/>
        </w:rPr>
        <w:t>). COVID-Induced Economic Uncertainty. paper available on the link: http://www.policyuncertainty.com/media/COVID-Induced%20.pdf. 04-04-2020</w:t>
      </w:r>
    </w:p>
    <w:p w14:paraId="4BC09A9A" w14:textId="585743CA" w:rsidR="00771184" w:rsidRDefault="00623ADB" w:rsidP="00623ADB">
      <w:pPr>
        <w:pStyle w:val="NoSpacing"/>
        <w:spacing w:line="480" w:lineRule="auto"/>
        <w:jc w:val="both"/>
        <w:rPr>
          <w:rFonts w:ascii="Garamond" w:hAnsi="Garamond"/>
          <w:sz w:val="24"/>
          <w:szCs w:val="24"/>
          <w:lang w:val="en-GB"/>
        </w:rPr>
      </w:pPr>
      <w:r w:rsidRPr="00623ADB">
        <w:rPr>
          <w:rFonts w:ascii="Garamond" w:hAnsi="Garamond"/>
          <w:sz w:val="24"/>
          <w:szCs w:val="24"/>
          <w:lang w:val="en-GB"/>
        </w:rPr>
        <w:t xml:space="preserve">Baker, S.R., N. Bloom, S. J. Davis, K. </w:t>
      </w:r>
      <w:proofErr w:type="spellStart"/>
      <w:r w:rsidRPr="00623ADB">
        <w:rPr>
          <w:rFonts w:ascii="Garamond" w:hAnsi="Garamond"/>
          <w:sz w:val="24"/>
          <w:szCs w:val="24"/>
          <w:lang w:val="en-GB"/>
        </w:rPr>
        <w:t>Kost</w:t>
      </w:r>
      <w:proofErr w:type="spellEnd"/>
      <w:r w:rsidRPr="00623ADB">
        <w:rPr>
          <w:rFonts w:ascii="Garamond" w:hAnsi="Garamond"/>
          <w:sz w:val="24"/>
          <w:szCs w:val="24"/>
          <w:lang w:val="en-GB"/>
        </w:rPr>
        <w:t xml:space="preserve">, M. </w:t>
      </w:r>
      <w:proofErr w:type="spellStart"/>
      <w:r w:rsidRPr="00623ADB">
        <w:rPr>
          <w:rFonts w:ascii="Garamond" w:hAnsi="Garamond"/>
          <w:sz w:val="24"/>
          <w:szCs w:val="24"/>
          <w:lang w:val="en-GB"/>
        </w:rPr>
        <w:t>Sammon</w:t>
      </w:r>
      <w:proofErr w:type="spellEnd"/>
      <w:r>
        <w:rPr>
          <w:rFonts w:ascii="Garamond" w:hAnsi="Garamond"/>
          <w:sz w:val="24"/>
          <w:szCs w:val="24"/>
          <w:lang w:val="en-GB"/>
        </w:rPr>
        <w:t xml:space="preserve">, </w:t>
      </w:r>
      <w:r w:rsidRPr="00623ADB">
        <w:rPr>
          <w:rFonts w:ascii="Garamond" w:hAnsi="Garamond"/>
          <w:sz w:val="24"/>
          <w:szCs w:val="24"/>
          <w:lang w:val="en-GB"/>
        </w:rPr>
        <w:t xml:space="preserve">T. </w:t>
      </w:r>
      <w:proofErr w:type="spellStart"/>
      <w:r w:rsidRPr="00623ADB">
        <w:rPr>
          <w:rFonts w:ascii="Garamond" w:hAnsi="Garamond"/>
          <w:sz w:val="24"/>
          <w:szCs w:val="24"/>
          <w:lang w:val="en-GB"/>
        </w:rPr>
        <w:t>Viratyosinm</w:t>
      </w:r>
      <w:proofErr w:type="spellEnd"/>
      <w:r w:rsidRPr="00623ADB">
        <w:rPr>
          <w:rFonts w:ascii="Garamond" w:hAnsi="Garamond"/>
          <w:sz w:val="24"/>
          <w:szCs w:val="24"/>
          <w:lang w:val="en-GB"/>
        </w:rPr>
        <w:t>, (2020</w:t>
      </w:r>
      <w:r>
        <w:rPr>
          <w:rFonts w:ascii="Garamond" w:hAnsi="Garamond"/>
          <w:sz w:val="24"/>
          <w:szCs w:val="24"/>
          <w:lang w:val="en-GB"/>
        </w:rPr>
        <w:t>b</w:t>
      </w:r>
      <w:r w:rsidRPr="00623ADB">
        <w:rPr>
          <w:rFonts w:ascii="Garamond" w:hAnsi="Garamond"/>
          <w:sz w:val="24"/>
          <w:szCs w:val="24"/>
          <w:lang w:val="en-GB"/>
        </w:rPr>
        <w:t>). The Unprecedented Stock Market Reaction to COVID-19.</w:t>
      </w:r>
      <w:r>
        <w:rPr>
          <w:rFonts w:ascii="Garamond" w:hAnsi="Garamond"/>
          <w:sz w:val="24"/>
          <w:szCs w:val="24"/>
          <w:lang w:val="en-GB"/>
        </w:rPr>
        <w:t xml:space="preserve"> </w:t>
      </w:r>
      <w:proofErr w:type="spellStart"/>
      <w:r w:rsidR="00771184" w:rsidRPr="00D75497">
        <w:rPr>
          <w:rFonts w:ascii="Garamond" w:hAnsi="Garamond"/>
          <w:i/>
          <w:sz w:val="24"/>
          <w:szCs w:val="24"/>
          <w:lang w:val="en-GB"/>
        </w:rPr>
        <w:t>Econometrica</w:t>
      </w:r>
      <w:proofErr w:type="spellEnd"/>
      <w:r w:rsidR="00771184" w:rsidRPr="00D75497">
        <w:rPr>
          <w:rFonts w:ascii="Garamond" w:hAnsi="Garamond"/>
          <w:i/>
          <w:sz w:val="24"/>
          <w:szCs w:val="24"/>
          <w:lang w:val="en-GB"/>
        </w:rPr>
        <w:t xml:space="preserve"> </w:t>
      </w:r>
      <w:r w:rsidR="00771184" w:rsidRPr="009E00D2">
        <w:rPr>
          <w:rFonts w:ascii="Garamond" w:hAnsi="Garamond"/>
          <w:sz w:val="24"/>
          <w:szCs w:val="24"/>
          <w:lang w:val="en-GB"/>
        </w:rPr>
        <w:t>59, 817–858.</w:t>
      </w:r>
    </w:p>
    <w:p w14:paraId="585C07A1" w14:textId="0DBB0A87" w:rsidR="00D60A9A" w:rsidRDefault="00D60A9A" w:rsidP="00771184">
      <w:pPr>
        <w:pStyle w:val="NoSpacing"/>
        <w:spacing w:line="480" w:lineRule="auto"/>
        <w:jc w:val="both"/>
        <w:rPr>
          <w:rFonts w:ascii="Garamond" w:hAnsi="Garamond"/>
          <w:sz w:val="24"/>
          <w:szCs w:val="24"/>
        </w:rPr>
      </w:pPr>
      <w:proofErr w:type="spellStart"/>
      <w:r>
        <w:rPr>
          <w:rFonts w:ascii="Garamond" w:hAnsi="Garamond"/>
          <w:sz w:val="24"/>
          <w:szCs w:val="24"/>
        </w:rPr>
        <w:t>Balduzzi</w:t>
      </w:r>
      <w:proofErr w:type="spellEnd"/>
      <w:r>
        <w:rPr>
          <w:rFonts w:ascii="Garamond" w:hAnsi="Garamond"/>
          <w:sz w:val="24"/>
          <w:szCs w:val="24"/>
        </w:rPr>
        <w:t xml:space="preserve">, P., </w:t>
      </w:r>
      <w:proofErr w:type="spellStart"/>
      <w:r>
        <w:rPr>
          <w:rFonts w:ascii="Garamond" w:hAnsi="Garamond"/>
          <w:sz w:val="24"/>
          <w:szCs w:val="24"/>
        </w:rPr>
        <w:t>Bertola</w:t>
      </w:r>
      <w:proofErr w:type="spellEnd"/>
      <w:r>
        <w:rPr>
          <w:rFonts w:ascii="Garamond" w:hAnsi="Garamond"/>
          <w:sz w:val="24"/>
          <w:szCs w:val="24"/>
        </w:rPr>
        <w:t xml:space="preserve">, G., </w:t>
      </w:r>
      <w:proofErr w:type="spellStart"/>
      <w:r>
        <w:rPr>
          <w:rFonts w:ascii="Garamond" w:hAnsi="Garamond"/>
          <w:sz w:val="24"/>
          <w:szCs w:val="24"/>
        </w:rPr>
        <w:t>Foresi</w:t>
      </w:r>
      <w:proofErr w:type="spellEnd"/>
      <w:r>
        <w:rPr>
          <w:rFonts w:ascii="Garamond" w:hAnsi="Garamond"/>
          <w:sz w:val="24"/>
          <w:szCs w:val="24"/>
        </w:rPr>
        <w:t xml:space="preserve">, S. (1997). A Model of target changes and the term structure of interest rates. </w:t>
      </w:r>
      <w:r>
        <w:rPr>
          <w:rFonts w:ascii="Garamond" w:hAnsi="Garamond"/>
          <w:i/>
          <w:iCs/>
          <w:sz w:val="24"/>
          <w:szCs w:val="24"/>
        </w:rPr>
        <w:t>Journal of Monetary Economics</w:t>
      </w:r>
      <w:r>
        <w:rPr>
          <w:rFonts w:ascii="Garamond" w:hAnsi="Garamond"/>
          <w:sz w:val="24"/>
          <w:szCs w:val="24"/>
        </w:rPr>
        <w:t xml:space="preserve"> 39, 223–249.</w:t>
      </w:r>
    </w:p>
    <w:p w14:paraId="5B8FA0DA" w14:textId="25FD892A" w:rsidR="00AD5466" w:rsidRDefault="00AD5466" w:rsidP="00771184">
      <w:pPr>
        <w:pStyle w:val="NoSpacing"/>
        <w:spacing w:line="480" w:lineRule="auto"/>
        <w:jc w:val="both"/>
        <w:rPr>
          <w:rFonts w:ascii="Garamond" w:hAnsi="Garamond"/>
          <w:sz w:val="24"/>
          <w:szCs w:val="24"/>
        </w:rPr>
      </w:pPr>
      <w:r w:rsidRPr="009E00D2">
        <w:rPr>
          <w:rFonts w:ascii="Garamond" w:hAnsi="Garamond"/>
          <w:sz w:val="24"/>
          <w:szCs w:val="24"/>
        </w:rPr>
        <w:t xml:space="preserve">Bali, T.G., and </w:t>
      </w:r>
      <w:proofErr w:type="spellStart"/>
      <w:r w:rsidRPr="009E00D2">
        <w:rPr>
          <w:rFonts w:ascii="Garamond" w:hAnsi="Garamond"/>
          <w:sz w:val="24"/>
          <w:szCs w:val="24"/>
        </w:rPr>
        <w:t>Demitras</w:t>
      </w:r>
      <w:proofErr w:type="spellEnd"/>
      <w:r w:rsidRPr="009E00D2">
        <w:rPr>
          <w:rFonts w:ascii="Garamond" w:hAnsi="Garamond"/>
          <w:sz w:val="24"/>
          <w:szCs w:val="24"/>
        </w:rPr>
        <w:t xml:space="preserve">, K.O. (2008) Testing Mean Reversion in financial </w:t>
      </w:r>
      <w:proofErr w:type="spellStart"/>
      <w:r w:rsidRPr="009E00D2">
        <w:rPr>
          <w:rFonts w:ascii="Garamond" w:hAnsi="Garamond"/>
          <w:sz w:val="24"/>
          <w:szCs w:val="24"/>
        </w:rPr>
        <w:t>Marketv</w:t>
      </w:r>
      <w:proofErr w:type="spellEnd"/>
      <w:r w:rsidRPr="009E00D2">
        <w:rPr>
          <w:rFonts w:ascii="Garamond" w:hAnsi="Garamond"/>
          <w:sz w:val="24"/>
          <w:szCs w:val="24"/>
        </w:rPr>
        <w:t xml:space="preserve"> </w:t>
      </w:r>
      <w:proofErr w:type="spellStart"/>
      <w:r w:rsidRPr="009E00D2">
        <w:rPr>
          <w:rFonts w:ascii="Garamond" w:hAnsi="Garamond"/>
          <w:sz w:val="24"/>
          <w:szCs w:val="24"/>
        </w:rPr>
        <w:t>olatility</w:t>
      </w:r>
      <w:proofErr w:type="spellEnd"/>
      <w:r w:rsidRPr="009E00D2">
        <w:rPr>
          <w:rFonts w:ascii="Garamond" w:hAnsi="Garamond"/>
          <w:sz w:val="24"/>
          <w:szCs w:val="24"/>
        </w:rPr>
        <w:t xml:space="preserve">: Evidence From S&amp;P 500 Index Futures. </w:t>
      </w:r>
      <w:r w:rsidRPr="00644E26">
        <w:rPr>
          <w:rFonts w:ascii="Garamond" w:hAnsi="Garamond"/>
          <w:i/>
          <w:sz w:val="24"/>
          <w:szCs w:val="24"/>
        </w:rPr>
        <w:t>The Journal of Futures Markets</w:t>
      </w:r>
      <w:r w:rsidRPr="009E00D2">
        <w:rPr>
          <w:rFonts w:ascii="Garamond" w:hAnsi="Garamond"/>
          <w:sz w:val="24"/>
          <w:szCs w:val="24"/>
        </w:rPr>
        <w:t xml:space="preserve"> 28(1), 1–33.</w:t>
      </w:r>
    </w:p>
    <w:p w14:paraId="093174B1" w14:textId="72A7B606" w:rsidR="00D60A9A" w:rsidRPr="00943696" w:rsidRDefault="00D60A9A" w:rsidP="00771184">
      <w:pPr>
        <w:pStyle w:val="NoSpacing"/>
        <w:spacing w:line="480" w:lineRule="auto"/>
        <w:jc w:val="both"/>
        <w:rPr>
          <w:rFonts w:ascii="Garamond" w:eastAsiaTheme="minorEastAsia" w:hAnsi="Garamond"/>
          <w:bCs/>
          <w:iCs/>
          <w:sz w:val="24"/>
          <w:szCs w:val="24"/>
        </w:rPr>
      </w:pPr>
      <w:proofErr w:type="spellStart"/>
      <w:r>
        <w:rPr>
          <w:rFonts w:ascii="Garamond" w:eastAsiaTheme="minorEastAsia" w:hAnsi="Garamond"/>
          <w:iCs/>
          <w:sz w:val="24"/>
          <w:szCs w:val="24"/>
        </w:rPr>
        <w:t>Balvers</w:t>
      </w:r>
      <w:proofErr w:type="spellEnd"/>
      <w:r>
        <w:rPr>
          <w:rFonts w:ascii="Garamond" w:eastAsiaTheme="minorEastAsia" w:hAnsi="Garamond"/>
          <w:iCs/>
          <w:sz w:val="24"/>
          <w:szCs w:val="24"/>
        </w:rPr>
        <w:t xml:space="preserve">, R., Wu, Y., Gilliland, E. (2000). </w:t>
      </w:r>
      <w:r w:rsidRPr="00644E26">
        <w:rPr>
          <w:rFonts w:ascii="Garamond" w:eastAsiaTheme="minorEastAsia" w:hAnsi="Garamond"/>
          <w:bCs/>
          <w:iCs/>
          <w:sz w:val="24"/>
          <w:szCs w:val="24"/>
        </w:rPr>
        <w:t>Mean reversion across national stock markets and parametric contrarian investment strategies</w:t>
      </w:r>
      <w:r>
        <w:rPr>
          <w:rFonts w:ascii="Garamond" w:eastAsiaTheme="minorEastAsia" w:hAnsi="Garamond"/>
          <w:bCs/>
          <w:iCs/>
          <w:sz w:val="24"/>
          <w:szCs w:val="24"/>
        </w:rPr>
        <w:t xml:space="preserve">. </w:t>
      </w:r>
      <w:r w:rsidRPr="00943696">
        <w:rPr>
          <w:rFonts w:ascii="Garamond" w:eastAsiaTheme="minorEastAsia" w:hAnsi="Garamond"/>
          <w:bCs/>
          <w:i/>
          <w:iCs/>
          <w:sz w:val="24"/>
          <w:szCs w:val="24"/>
        </w:rPr>
        <w:t>Journal of Finance</w:t>
      </w:r>
      <w:r>
        <w:rPr>
          <w:rFonts w:ascii="Garamond" w:eastAsiaTheme="minorEastAsia" w:hAnsi="Garamond"/>
          <w:bCs/>
          <w:iCs/>
          <w:sz w:val="24"/>
          <w:szCs w:val="24"/>
        </w:rPr>
        <w:t xml:space="preserve"> 55, pages</w:t>
      </w:r>
      <w:r w:rsidRPr="00FC30EF">
        <w:rPr>
          <w:rFonts w:ascii="Garamond" w:eastAsiaTheme="minorEastAsia" w:hAnsi="Garamond"/>
          <w:bCs/>
          <w:iCs/>
          <w:sz w:val="24"/>
          <w:szCs w:val="24"/>
        </w:rPr>
        <w:t xml:space="preserve"> 745-772</w:t>
      </w:r>
      <w:r>
        <w:rPr>
          <w:rFonts w:ascii="Garamond" w:eastAsiaTheme="minorEastAsia" w:hAnsi="Garamond"/>
          <w:bCs/>
          <w:iCs/>
          <w:sz w:val="24"/>
          <w:szCs w:val="24"/>
        </w:rPr>
        <w:t>.</w:t>
      </w:r>
    </w:p>
    <w:p w14:paraId="3C290947" w14:textId="2FF82982" w:rsidR="00D63E64" w:rsidRPr="009E00D2" w:rsidRDefault="00D63E64" w:rsidP="00771184">
      <w:pPr>
        <w:pStyle w:val="NoSpacing"/>
        <w:spacing w:line="480" w:lineRule="auto"/>
        <w:jc w:val="both"/>
        <w:rPr>
          <w:rFonts w:ascii="Garamond" w:hAnsi="Garamond"/>
          <w:sz w:val="24"/>
          <w:szCs w:val="24"/>
        </w:rPr>
      </w:pPr>
      <w:proofErr w:type="spellStart"/>
      <w:r w:rsidRPr="00D63E64">
        <w:rPr>
          <w:rFonts w:ascii="Garamond" w:hAnsi="Garamond"/>
          <w:sz w:val="24"/>
          <w:szCs w:val="24"/>
        </w:rPr>
        <w:t>Bekiros</w:t>
      </w:r>
      <w:proofErr w:type="spellEnd"/>
      <w:r w:rsidRPr="00D63E64">
        <w:rPr>
          <w:rFonts w:ascii="Garamond" w:hAnsi="Garamond"/>
          <w:sz w:val="24"/>
          <w:szCs w:val="24"/>
        </w:rPr>
        <w:t xml:space="preserve">, S., </w:t>
      </w:r>
      <w:proofErr w:type="spellStart"/>
      <w:proofErr w:type="gramStart"/>
      <w:r w:rsidRPr="00D63E64">
        <w:rPr>
          <w:rFonts w:ascii="Garamond" w:hAnsi="Garamond"/>
          <w:sz w:val="24"/>
          <w:szCs w:val="24"/>
        </w:rPr>
        <w:t>Boubaker,S</w:t>
      </w:r>
      <w:proofErr w:type="spellEnd"/>
      <w:r w:rsidRPr="00D63E64">
        <w:rPr>
          <w:rFonts w:ascii="Garamond" w:hAnsi="Garamond"/>
          <w:sz w:val="24"/>
          <w:szCs w:val="24"/>
        </w:rPr>
        <w:t>.</w:t>
      </w:r>
      <w:proofErr w:type="gramEnd"/>
      <w:r>
        <w:rPr>
          <w:rFonts w:ascii="Garamond" w:hAnsi="Garamond"/>
          <w:sz w:val="24"/>
          <w:szCs w:val="24"/>
        </w:rPr>
        <w:t xml:space="preserve"> </w:t>
      </w:r>
      <w:r w:rsidRPr="00D63E64">
        <w:rPr>
          <w:rFonts w:ascii="Garamond" w:hAnsi="Garamond"/>
          <w:sz w:val="24"/>
          <w:szCs w:val="24"/>
        </w:rPr>
        <w:t xml:space="preserve">, Nguyen, D.K., Uddin, G. S. (2017). Black swan events and safe havens: The role of gold in globally integrated emerging markets. </w:t>
      </w:r>
      <w:r w:rsidRPr="00D63E64">
        <w:rPr>
          <w:rFonts w:ascii="Garamond" w:hAnsi="Garamond"/>
          <w:i/>
          <w:iCs/>
          <w:sz w:val="24"/>
          <w:szCs w:val="24"/>
        </w:rPr>
        <w:t>Journal of International Money and Finance, 73</w:t>
      </w:r>
      <w:r w:rsidRPr="00D63E64">
        <w:rPr>
          <w:rFonts w:ascii="Garamond" w:hAnsi="Garamond"/>
          <w:sz w:val="24"/>
          <w:szCs w:val="24"/>
        </w:rPr>
        <w:t>, 317-334.</w:t>
      </w:r>
    </w:p>
    <w:p w14:paraId="0A3FF25C" w14:textId="727F1B52" w:rsidR="00771184"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Borges, M.R. (2010). Efficient market hypothesis in European stock markets. </w:t>
      </w:r>
      <w:r w:rsidRPr="00943696">
        <w:rPr>
          <w:rFonts w:ascii="Garamond" w:hAnsi="Garamond"/>
          <w:i/>
          <w:sz w:val="24"/>
          <w:szCs w:val="24"/>
        </w:rPr>
        <w:t>The European Journal of Finance</w:t>
      </w:r>
      <w:r w:rsidRPr="009E00D2">
        <w:rPr>
          <w:rFonts w:ascii="Garamond" w:hAnsi="Garamond"/>
          <w:sz w:val="24"/>
          <w:szCs w:val="24"/>
        </w:rPr>
        <w:t xml:space="preserve"> 16(7), 711-726.</w:t>
      </w:r>
    </w:p>
    <w:p w14:paraId="11480F54" w14:textId="202751FB" w:rsidR="00C95F9D" w:rsidRPr="009E00D2" w:rsidRDefault="00C95F9D" w:rsidP="00C95F9D">
      <w:pPr>
        <w:pStyle w:val="NoSpacing"/>
        <w:spacing w:line="480" w:lineRule="auto"/>
        <w:jc w:val="both"/>
        <w:rPr>
          <w:rFonts w:ascii="Garamond" w:hAnsi="Garamond"/>
          <w:sz w:val="24"/>
          <w:szCs w:val="24"/>
        </w:rPr>
      </w:pPr>
      <w:proofErr w:type="spellStart"/>
      <w:r w:rsidRPr="00C95F9D">
        <w:rPr>
          <w:rFonts w:ascii="Garamond" w:hAnsi="Garamond"/>
          <w:sz w:val="24"/>
          <w:szCs w:val="24"/>
        </w:rPr>
        <w:t>Barkoulas</w:t>
      </w:r>
      <w:proofErr w:type="spellEnd"/>
      <w:r>
        <w:rPr>
          <w:rFonts w:ascii="Garamond" w:hAnsi="Garamond"/>
          <w:sz w:val="24"/>
          <w:szCs w:val="24"/>
        </w:rPr>
        <w:t>, J.,</w:t>
      </w:r>
      <w:r w:rsidRPr="00C95F9D">
        <w:rPr>
          <w:rFonts w:ascii="Garamond" w:hAnsi="Garamond"/>
          <w:sz w:val="24"/>
          <w:szCs w:val="24"/>
        </w:rPr>
        <w:t xml:space="preserve"> and Baum</w:t>
      </w:r>
      <w:r>
        <w:rPr>
          <w:rFonts w:ascii="Garamond" w:hAnsi="Garamond"/>
          <w:sz w:val="24"/>
          <w:szCs w:val="24"/>
        </w:rPr>
        <w:t>, C.</w:t>
      </w:r>
      <w:r w:rsidRPr="00C95F9D">
        <w:rPr>
          <w:rFonts w:ascii="Garamond" w:hAnsi="Garamond"/>
          <w:sz w:val="24"/>
          <w:szCs w:val="24"/>
        </w:rPr>
        <w:t xml:space="preserve"> (1996)</w:t>
      </w:r>
      <w:r w:rsidRPr="00C95F9D">
        <w:t xml:space="preserve"> </w:t>
      </w:r>
      <w:r w:rsidRPr="00C95F9D">
        <w:rPr>
          <w:rFonts w:ascii="Garamond" w:hAnsi="Garamond"/>
          <w:sz w:val="24"/>
          <w:szCs w:val="24"/>
        </w:rPr>
        <w:t>Long memory processes and fractional integration in econometrics</w:t>
      </w:r>
      <w:r>
        <w:rPr>
          <w:rFonts w:ascii="Garamond" w:hAnsi="Garamond"/>
          <w:sz w:val="24"/>
          <w:szCs w:val="24"/>
        </w:rPr>
        <w:t xml:space="preserve">. </w:t>
      </w:r>
      <w:r w:rsidRPr="00C13349">
        <w:rPr>
          <w:rFonts w:ascii="Garamond" w:hAnsi="Garamond"/>
          <w:i/>
          <w:iCs/>
          <w:sz w:val="24"/>
          <w:szCs w:val="24"/>
        </w:rPr>
        <w:t>Journal of Economics</w:t>
      </w:r>
      <w:r w:rsidRPr="00C95F9D">
        <w:rPr>
          <w:rFonts w:ascii="Garamond" w:hAnsi="Garamond"/>
          <w:sz w:val="24"/>
          <w:szCs w:val="24"/>
        </w:rPr>
        <w:t xml:space="preserve"> 73 (1996), 5-59</w:t>
      </w:r>
      <w:r w:rsidR="005A7A71">
        <w:rPr>
          <w:rFonts w:ascii="Garamond" w:hAnsi="Garamond"/>
          <w:sz w:val="24"/>
          <w:szCs w:val="24"/>
        </w:rPr>
        <w:t>.</w:t>
      </w:r>
    </w:p>
    <w:p w14:paraId="5241792E" w14:textId="7C12911E" w:rsidR="00771184"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lastRenderedPageBreak/>
        <w:t xml:space="preserve">Campbell, J.Y. and Perron, P. (1991) Pitfalls and opportunities: What macroeconomists should know about unit roots. </w:t>
      </w:r>
      <w:r w:rsidRPr="00943696">
        <w:rPr>
          <w:rFonts w:ascii="Garamond" w:hAnsi="Garamond"/>
          <w:i/>
          <w:sz w:val="24"/>
          <w:szCs w:val="24"/>
        </w:rPr>
        <w:t>NBER Macroeconomic Annual</w:t>
      </w:r>
      <w:r w:rsidRPr="009E00D2">
        <w:rPr>
          <w:rFonts w:ascii="Garamond" w:hAnsi="Garamond"/>
          <w:sz w:val="24"/>
          <w:szCs w:val="24"/>
        </w:rPr>
        <w:t xml:space="preserve"> 6</w:t>
      </w:r>
      <w:r w:rsidR="003957BC">
        <w:rPr>
          <w:rFonts w:ascii="Garamond" w:hAnsi="Garamond"/>
          <w:sz w:val="24"/>
          <w:szCs w:val="24"/>
        </w:rPr>
        <w:t>,</w:t>
      </w:r>
      <w:r w:rsidRPr="009E00D2">
        <w:rPr>
          <w:rFonts w:ascii="Garamond" w:hAnsi="Garamond"/>
          <w:sz w:val="24"/>
          <w:szCs w:val="24"/>
        </w:rPr>
        <w:t xml:space="preserve"> 1141–201.</w:t>
      </w:r>
    </w:p>
    <w:p w14:paraId="02606D3F" w14:textId="77777777" w:rsidR="00D60A9A" w:rsidRDefault="00D60A9A" w:rsidP="00D60A9A">
      <w:pPr>
        <w:pStyle w:val="NoSpacing"/>
        <w:spacing w:line="480" w:lineRule="auto"/>
        <w:jc w:val="both"/>
        <w:rPr>
          <w:rFonts w:ascii="Garamond" w:eastAsia="Times New Roman" w:hAnsi="Garamond" w:cs="Calibri"/>
          <w:sz w:val="24"/>
          <w:szCs w:val="24"/>
          <w:lang w:eastAsia="en-GB"/>
        </w:rPr>
      </w:pPr>
      <w:proofErr w:type="spellStart"/>
      <w:r>
        <w:rPr>
          <w:rFonts w:ascii="Garamond" w:eastAsia="Times New Roman" w:hAnsi="Garamond" w:cs="Calibri"/>
          <w:sz w:val="24"/>
          <w:szCs w:val="24"/>
          <w:lang w:eastAsia="en-GB"/>
        </w:rPr>
        <w:t>Caporale</w:t>
      </w:r>
      <w:proofErr w:type="spellEnd"/>
      <w:r>
        <w:rPr>
          <w:rFonts w:ascii="Garamond" w:eastAsia="Times New Roman" w:hAnsi="Garamond" w:cs="Calibri"/>
          <w:sz w:val="24"/>
          <w:szCs w:val="24"/>
          <w:lang w:eastAsia="en-GB"/>
        </w:rPr>
        <w:t>, C.M. and Gil-Alana, L.  (2019). Long-term interest rates in Europe: A fractional</w:t>
      </w:r>
    </w:p>
    <w:p w14:paraId="0FF13189" w14:textId="327E4A61" w:rsidR="00D60A9A" w:rsidRPr="009E00D2" w:rsidRDefault="00D60A9A" w:rsidP="00771184">
      <w:pPr>
        <w:pStyle w:val="NoSpacing"/>
        <w:spacing w:line="480" w:lineRule="auto"/>
        <w:jc w:val="both"/>
        <w:rPr>
          <w:rFonts w:ascii="Garamond" w:hAnsi="Garamond"/>
          <w:sz w:val="24"/>
          <w:szCs w:val="24"/>
        </w:rPr>
      </w:pPr>
      <w:r>
        <w:rPr>
          <w:rFonts w:ascii="Garamond" w:eastAsia="Times New Roman" w:hAnsi="Garamond" w:cs="Calibri"/>
          <w:sz w:val="24"/>
          <w:szCs w:val="24"/>
          <w:lang w:eastAsia="en-GB"/>
        </w:rPr>
        <w:t xml:space="preserve">cointegration analysis. </w:t>
      </w:r>
      <w:r>
        <w:rPr>
          <w:rFonts w:ascii="Garamond" w:eastAsia="Times New Roman" w:hAnsi="Garamond" w:cs="Calibri"/>
          <w:i/>
          <w:iCs/>
          <w:sz w:val="24"/>
          <w:szCs w:val="24"/>
          <w:lang w:eastAsia="en-GB"/>
        </w:rPr>
        <w:t>International Review of Economics and Finance</w:t>
      </w:r>
      <w:r>
        <w:rPr>
          <w:rFonts w:ascii="Garamond" w:eastAsia="Times New Roman" w:hAnsi="Garamond" w:cs="Calibri"/>
          <w:sz w:val="24"/>
          <w:szCs w:val="24"/>
          <w:lang w:eastAsia="en-GB"/>
        </w:rPr>
        <w:t xml:space="preserve"> 61, 170-178</w:t>
      </w:r>
    </w:p>
    <w:p w14:paraId="34D2B7AC" w14:textId="77777777" w:rsidR="00771184" w:rsidRPr="009E00D2" w:rsidRDefault="00771184" w:rsidP="00771184">
      <w:pPr>
        <w:pStyle w:val="NoSpacing"/>
        <w:spacing w:line="480" w:lineRule="auto"/>
        <w:jc w:val="both"/>
        <w:rPr>
          <w:rFonts w:ascii="Garamond" w:hAnsi="Garamond"/>
          <w:sz w:val="24"/>
          <w:szCs w:val="24"/>
        </w:rPr>
      </w:pPr>
      <w:proofErr w:type="spellStart"/>
      <w:r w:rsidRPr="009E00D2">
        <w:rPr>
          <w:rFonts w:ascii="Garamond" w:hAnsi="Garamond"/>
          <w:sz w:val="24"/>
          <w:szCs w:val="24"/>
        </w:rPr>
        <w:t>Caporale</w:t>
      </w:r>
      <w:proofErr w:type="spellEnd"/>
      <w:r w:rsidRPr="009E00D2">
        <w:rPr>
          <w:rFonts w:ascii="Garamond" w:hAnsi="Garamond"/>
          <w:sz w:val="24"/>
          <w:szCs w:val="24"/>
        </w:rPr>
        <w:t xml:space="preserve">, G.M., Gil-Alana, L., </w:t>
      </w:r>
      <w:proofErr w:type="spellStart"/>
      <w:r w:rsidRPr="009E00D2">
        <w:rPr>
          <w:rFonts w:ascii="Garamond" w:hAnsi="Garamond"/>
          <w:sz w:val="24"/>
          <w:szCs w:val="24"/>
        </w:rPr>
        <w:t>Plastun</w:t>
      </w:r>
      <w:proofErr w:type="spellEnd"/>
      <w:r w:rsidRPr="009E00D2">
        <w:rPr>
          <w:rFonts w:ascii="Garamond" w:hAnsi="Garamond"/>
          <w:sz w:val="24"/>
          <w:szCs w:val="24"/>
        </w:rPr>
        <w:t xml:space="preserve">, A. (2018). Persistence in the cryptocurrency market. </w:t>
      </w:r>
      <w:r w:rsidRPr="00943696">
        <w:rPr>
          <w:rFonts w:ascii="Garamond" w:hAnsi="Garamond"/>
          <w:i/>
          <w:sz w:val="24"/>
          <w:szCs w:val="24"/>
        </w:rPr>
        <w:t>Research in International Business Finance</w:t>
      </w:r>
      <w:r w:rsidRPr="009E00D2">
        <w:rPr>
          <w:rFonts w:ascii="Garamond" w:hAnsi="Garamond"/>
          <w:sz w:val="24"/>
          <w:szCs w:val="24"/>
        </w:rPr>
        <w:t xml:space="preserve"> 46, 141-148. </w:t>
      </w:r>
    </w:p>
    <w:p w14:paraId="2198FA40" w14:textId="5DA7E1CD" w:rsidR="006A36C5" w:rsidRPr="003957BC" w:rsidRDefault="00771184" w:rsidP="00771184">
      <w:pPr>
        <w:pStyle w:val="NoSpacing"/>
        <w:spacing w:line="480" w:lineRule="auto"/>
        <w:jc w:val="both"/>
        <w:rPr>
          <w:rFonts w:ascii="Garamond" w:hAnsi="Garamond"/>
          <w:color w:val="FF0000"/>
          <w:sz w:val="24"/>
          <w:szCs w:val="24"/>
          <w:lang w:val="en-GB"/>
        </w:rPr>
      </w:pPr>
      <w:proofErr w:type="spellStart"/>
      <w:r w:rsidRPr="009E00D2">
        <w:rPr>
          <w:rFonts w:ascii="Garamond" w:hAnsi="Garamond"/>
          <w:sz w:val="24"/>
          <w:szCs w:val="24"/>
          <w:lang w:val="en-GB"/>
        </w:rPr>
        <w:t>Caporale</w:t>
      </w:r>
      <w:proofErr w:type="spellEnd"/>
      <w:r w:rsidRPr="009E00D2">
        <w:rPr>
          <w:rFonts w:ascii="Garamond" w:hAnsi="Garamond"/>
          <w:sz w:val="24"/>
          <w:szCs w:val="24"/>
          <w:lang w:val="en-GB"/>
        </w:rPr>
        <w:t xml:space="preserve">, G.M., Gil-Alana, L.A., Poza, C. (2020) </w:t>
      </w:r>
      <w:r w:rsidR="00D60A9A">
        <w:rPr>
          <w:rFonts w:ascii="Garamond" w:hAnsi="Garamond"/>
          <w:sz w:val="24"/>
          <w:szCs w:val="24"/>
          <w:lang w:val="en-GB"/>
        </w:rPr>
        <w:t>Persistence, non-linearities and structural breaks in European stock market indices.</w:t>
      </w:r>
      <w:r w:rsidR="00D60A9A" w:rsidRPr="009E00D2">
        <w:rPr>
          <w:rFonts w:ascii="Garamond" w:hAnsi="Garamond"/>
          <w:sz w:val="24"/>
          <w:szCs w:val="24"/>
          <w:lang w:val="en-GB"/>
        </w:rPr>
        <w:t xml:space="preserve"> </w:t>
      </w:r>
      <w:r w:rsidRPr="00943696">
        <w:rPr>
          <w:rFonts w:ascii="Garamond" w:hAnsi="Garamond"/>
          <w:i/>
          <w:sz w:val="24"/>
          <w:szCs w:val="24"/>
          <w:lang w:val="en-GB"/>
        </w:rPr>
        <w:t>The Quarterly Review of Economics and Finance</w:t>
      </w:r>
      <w:r w:rsidR="006A36C5">
        <w:rPr>
          <w:rFonts w:ascii="Garamond" w:hAnsi="Garamond"/>
          <w:sz w:val="24"/>
          <w:szCs w:val="24"/>
          <w:lang w:val="en-GB"/>
        </w:rPr>
        <w:t xml:space="preserve"> </w:t>
      </w:r>
      <w:r w:rsidR="006A36C5" w:rsidRPr="003957BC">
        <w:rPr>
          <w:rFonts w:ascii="Garamond" w:hAnsi="Garamond"/>
          <w:color w:val="FF0000"/>
          <w:sz w:val="24"/>
          <w:szCs w:val="24"/>
          <w:lang w:val="en-GB"/>
        </w:rPr>
        <w:t>77, 50-61</w:t>
      </w:r>
    </w:p>
    <w:p w14:paraId="46265F91" w14:textId="7091B9FC"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Chan, N.H., Wei, C.Z. (1987). Asymptotic inference for nearly nonstationary </w:t>
      </w:r>
      <w:proofErr w:type="gramStart"/>
      <w:r w:rsidRPr="009E00D2">
        <w:rPr>
          <w:rFonts w:ascii="Garamond" w:hAnsi="Garamond"/>
          <w:sz w:val="24"/>
          <w:szCs w:val="24"/>
        </w:rPr>
        <w:t>AR(</w:t>
      </w:r>
      <w:proofErr w:type="gramEnd"/>
      <w:r w:rsidRPr="009E00D2">
        <w:rPr>
          <w:rFonts w:ascii="Garamond" w:hAnsi="Garamond"/>
          <w:sz w:val="24"/>
          <w:szCs w:val="24"/>
        </w:rPr>
        <w:t xml:space="preserve">1) processes. </w:t>
      </w:r>
      <w:r w:rsidRPr="00943696">
        <w:rPr>
          <w:rFonts w:ascii="Garamond" w:hAnsi="Garamond"/>
          <w:i/>
          <w:sz w:val="24"/>
          <w:szCs w:val="24"/>
        </w:rPr>
        <w:t>Annals of Statistics</w:t>
      </w:r>
      <w:r w:rsidRPr="009E00D2">
        <w:rPr>
          <w:rFonts w:ascii="Garamond" w:hAnsi="Garamond"/>
          <w:sz w:val="24"/>
          <w:szCs w:val="24"/>
        </w:rPr>
        <w:t xml:space="preserve"> 15, 1050-1063.</w:t>
      </w:r>
    </w:p>
    <w:p w14:paraId="492D2082" w14:textId="26B4A85E" w:rsidR="00771184" w:rsidRDefault="00771184" w:rsidP="00771184">
      <w:pPr>
        <w:pStyle w:val="NoSpacing"/>
        <w:spacing w:line="480" w:lineRule="auto"/>
        <w:jc w:val="both"/>
        <w:rPr>
          <w:rFonts w:ascii="Garamond" w:hAnsi="Garamond"/>
          <w:sz w:val="24"/>
          <w:szCs w:val="24"/>
          <w:lang w:val="en-GB"/>
        </w:rPr>
      </w:pPr>
      <w:proofErr w:type="spellStart"/>
      <w:r w:rsidRPr="009E00D2">
        <w:rPr>
          <w:rFonts w:ascii="Garamond" w:hAnsi="Garamond"/>
          <w:sz w:val="24"/>
          <w:szCs w:val="24"/>
          <w:lang w:val="en-GB"/>
        </w:rPr>
        <w:t>Chevapatrakul</w:t>
      </w:r>
      <w:proofErr w:type="spellEnd"/>
      <w:r w:rsidRPr="009E00D2">
        <w:rPr>
          <w:rFonts w:ascii="Garamond" w:hAnsi="Garamond"/>
          <w:sz w:val="24"/>
          <w:szCs w:val="24"/>
          <w:lang w:val="en-GB"/>
        </w:rPr>
        <w:t xml:space="preserve">, T., </w:t>
      </w:r>
      <w:proofErr w:type="spellStart"/>
      <w:r w:rsidRPr="009E00D2">
        <w:rPr>
          <w:rFonts w:ascii="Garamond" w:hAnsi="Garamond"/>
          <w:sz w:val="24"/>
          <w:szCs w:val="24"/>
          <w:lang w:val="en-GB"/>
        </w:rPr>
        <w:t>Mascia</w:t>
      </w:r>
      <w:proofErr w:type="spellEnd"/>
      <w:r w:rsidRPr="009E00D2">
        <w:rPr>
          <w:rFonts w:ascii="Garamond" w:hAnsi="Garamond"/>
          <w:sz w:val="24"/>
          <w:szCs w:val="24"/>
          <w:lang w:val="en-GB"/>
        </w:rPr>
        <w:t xml:space="preserve">, D.V. (2019) Detecting overreaction in the Bitcoin market: A quantile autoregression approach. </w:t>
      </w:r>
      <w:r w:rsidRPr="00943696">
        <w:rPr>
          <w:rFonts w:ascii="Garamond" w:hAnsi="Garamond"/>
          <w:i/>
          <w:sz w:val="24"/>
          <w:szCs w:val="24"/>
          <w:lang w:val="en-GB"/>
        </w:rPr>
        <w:t xml:space="preserve">Finance Research Letters </w:t>
      </w:r>
      <w:r w:rsidRPr="009E00D2">
        <w:rPr>
          <w:rFonts w:ascii="Garamond" w:hAnsi="Garamond"/>
          <w:sz w:val="24"/>
          <w:szCs w:val="24"/>
          <w:lang w:val="en-GB"/>
        </w:rPr>
        <w:t>30, 371–377.</w:t>
      </w:r>
    </w:p>
    <w:p w14:paraId="7BABDA8A" w14:textId="33342E1D" w:rsidR="00D60A9A" w:rsidRPr="00943696" w:rsidRDefault="00D60A9A" w:rsidP="00771184">
      <w:pPr>
        <w:pStyle w:val="NoSpacing"/>
        <w:spacing w:line="480" w:lineRule="auto"/>
        <w:jc w:val="both"/>
        <w:rPr>
          <w:rFonts w:ascii="Garamond" w:hAnsi="Garamond"/>
          <w:sz w:val="24"/>
          <w:szCs w:val="24"/>
          <w:lang w:val="fr-FR"/>
        </w:rPr>
      </w:pPr>
      <w:r w:rsidRPr="007667B2">
        <w:rPr>
          <w:rFonts w:ascii="Garamond" w:hAnsi="Garamond"/>
          <w:sz w:val="24"/>
          <w:szCs w:val="24"/>
        </w:rPr>
        <w:t xml:space="preserve">Cheung, Y.W., Lai, K.S. (1993). </w:t>
      </w:r>
      <w:r>
        <w:rPr>
          <w:rFonts w:ascii="Garamond" w:hAnsi="Garamond"/>
          <w:sz w:val="24"/>
          <w:szCs w:val="24"/>
          <w:lang w:val="en-GB"/>
        </w:rPr>
        <w:t xml:space="preserve">Do gold market returns have long memory? </w:t>
      </w:r>
      <w:proofErr w:type="spellStart"/>
      <w:r w:rsidRPr="00943696">
        <w:rPr>
          <w:rFonts w:ascii="Garamond" w:hAnsi="Garamond"/>
          <w:i/>
          <w:iCs/>
          <w:sz w:val="24"/>
          <w:szCs w:val="24"/>
          <w:lang w:val="fr-FR"/>
        </w:rPr>
        <w:t>Financ</w:t>
      </w:r>
      <w:proofErr w:type="spellEnd"/>
      <w:r w:rsidRPr="00943696">
        <w:rPr>
          <w:rFonts w:ascii="Garamond" w:hAnsi="Garamond"/>
          <w:i/>
          <w:iCs/>
          <w:sz w:val="24"/>
          <w:szCs w:val="24"/>
          <w:lang w:val="fr-FR"/>
        </w:rPr>
        <w:t xml:space="preserve">. </w:t>
      </w:r>
      <w:proofErr w:type="spellStart"/>
      <w:r w:rsidRPr="00943696">
        <w:rPr>
          <w:rFonts w:ascii="Garamond" w:hAnsi="Garamond"/>
          <w:i/>
          <w:iCs/>
          <w:sz w:val="24"/>
          <w:szCs w:val="24"/>
          <w:lang w:val="fr-FR"/>
        </w:rPr>
        <w:t>Rev</w:t>
      </w:r>
      <w:proofErr w:type="spellEnd"/>
      <w:r w:rsidRPr="00943696">
        <w:rPr>
          <w:rFonts w:ascii="Garamond" w:hAnsi="Garamond"/>
          <w:i/>
          <w:iCs/>
          <w:sz w:val="24"/>
          <w:szCs w:val="24"/>
          <w:lang w:val="fr-FR"/>
        </w:rPr>
        <w:t>.</w:t>
      </w:r>
      <w:r w:rsidRPr="00943696">
        <w:rPr>
          <w:rFonts w:ascii="Garamond" w:hAnsi="Garamond"/>
          <w:sz w:val="24"/>
          <w:szCs w:val="24"/>
          <w:lang w:val="fr-FR"/>
        </w:rPr>
        <w:t xml:space="preserve"> 28 (2), 181–202.</w:t>
      </w:r>
    </w:p>
    <w:p w14:paraId="72A78608" w14:textId="5A959C04" w:rsidR="001B42DA" w:rsidRDefault="001B42DA" w:rsidP="00771184">
      <w:pPr>
        <w:pStyle w:val="NoSpacing"/>
        <w:spacing w:line="480" w:lineRule="auto"/>
        <w:jc w:val="both"/>
        <w:rPr>
          <w:rFonts w:ascii="Garamond" w:hAnsi="Garamond"/>
          <w:sz w:val="24"/>
          <w:szCs w:val="24"/>
          <w:lang w:val="en-GB"/>
        </w:rPr>
      </w:pPr>
      <w:proofErr w:type="spellStart"/>
      <w:r w:rsidRPr="00943696">
        <w:rPr>
          <w:rFonts w:ascii="Garamond" w:hAnsi="Garamond"/>
          <w:sz w:val="24"/>
          <w:szCs w:val="24"/>
          <w:lang w:val="fr-FR"/>
        </w:rPr>
        <w:t>Chuang</w:t>
      </w:r>
      <w:proofErr w:type="spellEnd"/>
      <w:r w:rsidRPr="00943696">
        <w:rPr>
          <w:rFonts w:ascii="Garamond" w:hAnsi="Garamond"/>
          <w:sz w:val="24"/>
          <w:szCs w:val="24"/>
          <w:lang w:val="fr-FR"/>
        </w:rPr>
        <w:t xml:space="preserve">, C.-C., </w:t>
      </w:r>
      <w:proofErr w:type="spellStart"/>
      <w:r w:rsidRPr="00943696">
        <w:rPr>
          <w:rFonts w:ascii="Garamond" w:hAnsi="Garamond"/>
          <w:sz w:val="24"/>
          <w:szCs w:val="24"/>
          <w:lang w:val="fr-FR"/>
        </w:rPr>
        <w:t>Kuan</w:t>
      </w:r>
      <w:proofErr w:type="spellEnd"/>
      <w:r w:rsidRPr="00943696">
        <w:rPr>
          <w:rFonts w:ascii="Garamond" w:hAnsi="Garamond"/>
          <w:sz w:val="24"/>
          <w:szCs w:val="24"/>
          <w:lang w:val="fr-FR"/>
        </w:rPr>
        <w:t xml:space="preserve">, C.-M., Lin, H.-Y. (2009). </w:t>
      </w:r>
      <w:r>
        <w:rPr>
          <w:rFonts w:ascii="Garamond" w:hAnsi="Garamond"/>
          <w:sz w:val="24"/>
          <w:szCs w:val="24"/>
          <w:lang w:val="en-GB"/>
        </w:rPr>
        <w:t>Causality in quantiles and dynamic stock return-volume relations</w:t>
      </w:r>
      <w:r w:rsidRPr="00943696">
        <w:rPr>
          <w:rFonts w:ascii="Garamond" w:hAnsi="Garamond"/>
          <w:i/>
          <w:sz w:val="24"/>
          <w:szCs w:val="24"/>
          <w:lang w:val="en-GB"/>
        </w:rPr>
        <w:t>. Journal of Banking &amp; Finance</w:t>
      </w:r>
      <w:r>
        <w:rPr>
          <w:rFonts w:ascii="Garamond" w:hAnsi="Garamond"/>
          <w:sz w:val="24"/>
          <w:szCs w:val="24"/>
          <w:lang w:val="en-GB"/>
        </w:rPr>
        <w:t xml:space="preserve">, 33, 1351-1360. </w:t>
      </w:r>
    </w:p>
    <w:p w14:paraId="388F2A02" w14:textId="2FBF71E2" w:rsidR="00D60A9A" w:rsidRDefault="00D60A9A" w:rsidP="00771184">
      <w:pPr>
        <w:pStyle w:val="NoSpacing"/>
        <w:spacing w:line="480" w:lineRule="auto"/>
        <w:jc w:val="both"/>
        <w:rPr>
          <w:rFonts w:ascii="Garamond" w:hAnsi="Garamond"/>
          <w:sz w:val="24"/>
          <w:szCs w:val="24"/>
          <w:lang w:val="en-GB"/>
        </w:rPr>
      </w:pPr>
      <w:proofErr w:type="spellStart"/>
      <w:r>
        <w:rPr>
          <w:rFonts w:ascii="Garamond" w:hAnsi="Garamond"/>
          <w:sz w:val="24"/>
          <w:szCs w:val="24"/>
          <w:lang w:val="en-GB"/>
        </w:rPr>
        <w:t>Ciner</w:t>
      </w:r>
      <w:proofErr w:type="spellEnd"/>
      <w:r>
        <w:rPr>
          <w:rFonts w:ascii="Garamond" w:hAnsi="Garamond"/>
          <w:sz w:val="24"/>
          <w:szCs w:val="24"/>
          <w:lang w:val="en-GB"/>
        </w:rPr>
        <w:t xml:space="preserve">, C. (2001). On the long-run relationship between gold and silver prices: A note. </w:t>
      </w:r>
      <w:r>
        <w:rPr>
          <w:rFonts w:ascii="Garamond" w:hAnsi="Garamond"/>
          <w:i/>
          <w:iCs/>
          <w:sz w:val="24"/>
          <w:szCs w:val="24"/>
          <w:lang w:val="en-GB"/>
        </w:rPr>
        <w:t>Global Finance Journal</w:t>
      </w:r>
      <w:r>
        <w:rPr>
          <w:rFonts w:ascii="Garamond" w:hAnsi="Garamond"/>
          <w:sz w:val="24"/>
          <w:szCs w:val="24"/>
          <w:lang w:val="en-GB"/>
        </w:rPr>
        <w:t xml:space="preserve"> 12, 299-303.</w:t>
      </w:r>
    </w:p>
    <w:p w14:paraId="653C16CF" w14:textId="5E75F486" w:rsidR="00623ADB" w:rsidRDefault="00623ADB" w:rsidP="00925B0D">
      <w:pPr>
        <w:pStyle w:val="NoSpacing"/>
        <w:spacing w:line="480" w:lineRule="auto"/>
        <w:jc w:val="both"/>
        <w:rPr>
          <w:rFonts w:ascii="Garamond" w:hAnsi="Garamond"/>
          <w:sz w:val="24"/>
          <w:szCs w:val="24"/>
          <w:lang w:val="en-GB"/>
        </w:rPr>
      </w:pPr>
      <w:r w:rsidRPr="00623ADB">
        <w:rPr>
          <w:rFonts w:ascii="Garamond" w:hAnsi="Garamond"/>
          <w:sz w:val="24"/>
          <w:szCs w:val="24"/>
          <w:lang w:val="en-GB"/>
        </w:rPr>
        <w:t>Conlon, T., McGee, R. (2020)</w:t>
      </w:r>
      <w:r>
        <w:rPr>
          <w:rFonts w:ascii="Garamond" w:hAnsi="Garamond"/>
          <w:sz w:val="24"/>
          <w:szCs w:val="24"/>
          <w:lang w:val="en-GB"/>
        </w:rPr>
        <w:t>.</w:t>
      </w:r>
      <w:r w:rsidRPr="00623ADB">
        <w:rPr>
          <w:rFonts w:ascii="Garamond" w:hAnsi="Garamond"/>
          <w:sz w:val="24"/>
          <w:szCs w:val="24"/>
          <w:lang w:val="en-GB"/>
        </w:rPr>
        <w:t xml:space="preserve"> Safe Haven or Risky Hazard? Bitcoin during the COVID-19 Bear Market</w:t>
      </w:r>
      <w:r w:rsidR="00925B0D">
        <w:rPr>
          <w:rFonts w:ascii="Garamond" w:hAnsi="Garamond"/>
          <w:sz w:val="24"/>
          <w:szCs w:val="24"/>
          <w:lang w:val="en-GB"/>
        </w:rPr>
        <w:t xml:space="preserve">. </w:t>
      </w:r>
      <w:r w:rsidR="00925B0D" w:rsidRPr="00351FA8">
        <w:rPr>
          <w:rFonts w:ascii="Garamond" w:hAnsi="Garamond"/>
          <w:i/>
          <w:iCs/>
          <w:color w:val="FF0000"/>
          <w:sz w:val="24"/>
          <w:szCs w:val="24"/>
          <w:lang w:val="en-GB"/>
        </w:rPr>
        <w:t>Finance Research Letters</w:t>
      </w:r>
      <w:r w:rsidR="00925B0D">
        <w:rPr>
          <w:rFonts w:ascii="Garamond" w:hAnsi="Garamond"/>
          <w:sz w:val="24"/>
          <w:szCs w:val="24"/>
          <w:lang w:val="en-GB"/>
        </w:rPr>
        <w:t xml:space="preserve"> </w:t>
      </w:r>
      <w:r w:rsidR="00925B0D" w:rsidRPr="00925B0D">
        <w:rPr>
          <w:rFonts w:ascii="Garamond" w:hAnsi="Garamond"/>
          <w:sz w:val="24"/>
          <w:szCs w:val="24"/>
          <w:lang w:val="en-GB"/>
        </w:rPr>
        <w:t>35, 101607</w:t>
      </w:r>
    </w:p>
    <w:p w14:paraId="6B08D241" w14:textId="233C6185" w:rsidR="00911ADF" w:rsidRPr="00911ADF" w:rsidRDefault="00D60A9A" w:rsidP="006C0D76">
      <w:pPr>
        <w:pStyle w:val="NoSpacing"/>
        <w:spacing w:line="480" w:lineRule="auto"/>
        <w:jc w:val="both"/>
        <w:rPr>
          <w:rFonts w:ascii="Garamond" w:eastAsiaTheme="minorEastAsia" w:hAnsi="Garamond"/>
          <w:iCs/>
          <w:color w:val="FF0000"/>
          <w:sz w:val="24"/>
          <w:szCs w:val="24"/>
        </w:rPr>
      </w:pPr>
      <w:proofErr w:type="spellStart"/>
      <w:r w:rsidRPr="00644E26">
        <w:rPr>
          <w:rFonts w:ascii="Garamond" w:eastAsiaTheme="minorEastAsia" w:hAnsi="Garamond"/>
          <w:iCs/>
          <w:sz w:val="24"/>
          <w:szCs w:val="24"/>
          <w:lang w:val="fr-FR"/>
        </w:rPr>
        <w:t>Conlon</w:t>
      </w:r>
      <w:proofErr w:type="spellEnd"/>
      <w:r w:rsidRPr="00644E26">
        <w:rPr>
          <w:rFonts w:ascii="Garamond" w:eastAsiaTheme="minorEastAsia" w:hAnsi="Garamond"/>
          <w:iCs/>
          <w:sz w:val="24"/>
          <w:szCs w:val="24"/>
          <w:lang w:val="fr-FR"/>
        </w:rPr>
        <w:t xml:space="preserve">, T., Corbet, S., McGee, </w:t>
      </w:r>
      <w:r>
        <w:rPr>
          <w:rFonts w:ascii="Garamond" w:eastAsiaTheme="minorEastAsia" w:hAnsi="Garamond"/>
          <w:iCs/>
          <w:sz w:val="24"/>
          <w:szCs w:val="24"/>
          <w:lang w:val="fr-FR"/>
        </w:rPr>
        <w:t xml:space="preserve">R. (2020). </w:t>
      </w:r>
      <w:r w:rsidRPr="00644E26">
        <w:rPr>
          <w:rFonts w:ascii="Garamond" w:eastAsiaTheme="minorEastAsia" w:hAnsi="Garamond"/>
          <w:iCs/>
          <w:sz w:val="24"/>
          <w:szCs w:val="24"/>
        </w:rPr>
        <w:t xml:space="preserve">Are cryptocurrencies </w:t>
      </w:r>
      <w:proofErr w:type="gramStart"/>
      <w:r w:rsidRPr="00644E26">
        <w:rPr>
          <w:rFonts w:ascii="Garamond" w:eastAsiaTheme="minorEastAsia" w:hAnsi="Garamond"/>
          <w:iCs/>
          <w:sz w:val="24"/>
          <w:szCs w:val="24"/>
        </w:rPr>
        <w:t>a safe haven</w:t>
      </w:r>
      <w:proofErr w:type="gramEnd"/>
      <w:r w:rsidRPr="00644E26">
        <w:rPr>
          <w:rFonts w:ascii="Garamond" w:eastAsiaTheme="minorEastAsia" w:hAnsi="Garamond"/>
          <w:iCs/>
          <w:sz w:val="24"/>
          <w:szCs w:val="24"/>
        </w:rPr>
        <w:t xml:space="preserve"> for equity markets? </w:t>
      </w:r>
      <w:r>
        <w:rPr>
          <w:rFonts w:ascii="Garamond" w:eastAsiaTheme="minorEastAsia" w:hAnsi="Garamond"/>
          <w:iCs/>
          <w:sz w:val="24"/>
          <w:szCs w:val="24"/>
        </w:rPr>
        <w:t xml:space="preserve">An international perspective from the COVID-10 pandemic. </w:t>
      </w:r>
      <w:r w:rsidR="006C0D76" w:rsidRPr="00351FA8">
        <w:rPr>
          <w:rFonts w:ascii="Garamond" w:eastAsiaTheme="minorEastAsia" w:hAnsi="Garamond"/>
          <w:i/>
          <w:color w:val="FF0000"/>
          <w:sz w:val="24"/>
          <w:szCs w:val="24"/>
        </w:rPr>
        <w:t>Research in International Business and Finance</w:t>
      </w:r>
      <w:r w:rsidR="00911ADF" w:rsidRPr="00911ADF">
        <w:rPr>
          <w:rFonts w:ascii="Garamond" w:eastAsiaTheme="minorEastAsia" w:hAnsi="Garamond"/>
          <w:iCs/>
          <w:color w:val="FF0000"/>
          <w:sz w:val="24"/>
          <w:szCs w:val="24"/>
        </w:rPr>
        <w:t xml:space="preserve"> </w:t>
      </w:r>
      <w:r w:rsidR="006C0D76" w:rsidRPr="00911ADF">
        <w:rPr>
          <w:rFonts w:ascii="Garamond" w:eastAsiaTheme="minorEastAsia" w:hAnsi="Garamond"/>
          <w:iCs/>
          <w:color w:val="FF0000"/>
          <w:sz w:val="24"/>
          <w:szCs w:val="24"/>
        </w:rPr>
        <w:t xml:space="preserve">54, 101248 </w:t>
      </w:r>
    </w:p>
    <w:p w14:paraId="4623AC23" w14:textId="20BC189C" w:rsidR="00E60A52" w:rsidRDefault="00E60A52" w:rsidP="006C0D76">
      <w:pPr>
        <w:pStyle w:val="NoSpacing"/>
        <w:spacing w:line="480" w:lineRule="auto"/>
        <w:jc w:val="both"/>
        <w:rPr>
          <w:rFonts w:ascii="Garamond" w:hAnsi="Garamond"/>
          <w:sz w:val="24"/>
          <w:szCs w:val="24"/>
          <w:lang w:val="en-GB"/>
        </w:rPr>
      </w:pPr>
      <w:r w:rsidRPr="00911ADF">
        <w:rPr>
          <w:rFonts w:ascii="Garamond" w:hAnsi="Garamond"/>
          <w:sz w:val="24"/>
          <w:szCs w:val="24"/>
          <w:lang w:val="fr-FR"/>
        </w:rPr>
        <w:t xml:space="preserve">Corbet, S., Hou, G., Yang, H., Lucey, B. M., &amp; Les, O. (2020a). </w:t>
      </w:r>
      <w:r w:rsidRPr="00E60A52">
        <w:rPr>
          <w:rFonts w:ascii="Garamond" w:hAnsi="Garamond"/>
          <w:sz w:val="24"/>
          <w:szCs w:val="24"/>
          <w:lang w:val="en-GB"/>
        </w:rPr>
        <w:t>Aye Corona! The Contagion Effects of Being Named Corona during the COVID-19 Pandemic</w:t>
      </w:r>
      <w:r>
        <w:rPr>
          <w:rFonts w:ascii="Garamond" w:hAnsi="Garamond"/>
          <w:sz w:val="24"/>
          <w:szCs w:val="24"/>
          <w:lang w:val="en-GB"/>
        </w:rPr>
        <w:t xml:space="preserve">. </w:t>
      </w:r>
      <w:r w:rsidRPr="002B5625">
        <w:rPr>
          <w:rFonts w:ascii="Garamond" w:hAnsi="Garamond"/>
          <w:i/>
          <w:iCs/>
          <w:sz w:val="24"/>
          <w:szCs w:val="24"/>
          <w:lang w:val="en-GB"/>
        </w:rPr>
        <w:t>Finance Research Letters, forthcoming</w:t>
      </w:r>
      <w:r>
        <w:rPr>
          <w:rFonts w:ascii="Garamond" w:hAnsi="Garamond"/>
          <w:sz w:val="24"/>
          <w:szCs w:val="24"/>
          <w:lang w:val="en-GB"/>
        </w:rPr>
        <w:t xml:space="preserve">. </w:t>
      </w:r>
    </w:p>
    <w:p w14:paraId="3F38145F" w14:textId="08B801C3" w:rsidR="00C84A71" w:rsidRPr="00500977" w:rsidRDefault="00C84A71" w:rsidP="00500977">
      <w:pPr>
        <w:pStyle w:val="NoSpacing"/>
        <w:spacing w:line="480" w:lineRule="auto"/>
        <w:jc w:val="both"/>
        <w:rPr>
          <w:rFonts w:ascii="Garamond" w:hAnsi="Garamond"/>
          <w:color w:val="FF0000"/>
          <w:sz w:val="24"/>
          <w:szCs w:val="24"/>
          <w:lang w:val="en-GB"/>
        </w:rPr>
      </w:pPr>
      <w:r w:rsidRPr="00C84A71">
        <w:rPr>
          <w:rFonts w:ascii="Garamond" w:hAnsi="Garamond"/>
          <w:sz w:val="24"/>
          <w:szCs w:val="24"/>
          <w:lang w:val="en-GB"/>
        </w:rPr>
        <w:lastRenderedPageBreak/>
        <w:t>Corbet, S., Larkin, C.,</w:t>
      </w:r>
      <w:r>
        <w:rPr>
          <w:rFonts w:ascii="Garamond" w:hAnsi="Garamond"/>
          <w:sz w:val="24"/>
          <w:szCs w:val="24"/>
          <w:lang w:val="en-GB"/>
        </w:rPr>
        <w:t xml:space="preserve"> </w:t>
      </w:r>
      <w:r w:rsidRPr="00C84A71">
        <w:rPr>
          <w:rFonts w:ascii="Garamond" w:hAnsi="Garamond"/>
          <w:sz w:val="24"/>
          <w:szCs w:val="24"/>
          <w:lang w:val="en-GB"/>
        </w:rPr>
        <w:t xml:space="preserve">Lucey, B. (2020b). The contagion effects of the COVID-19 pandemic: Evidence from Gold and Cryptocurrencies. </w:t>
      </w:r>
      <w:r w:rsidR="00500977" w:rsidRPr="00500977">
        <w:rPr>
          <w:rFonts w:ascii="Garamond" w:hAnsi="Garamond"/>
          <w:i/>
          <w:iCs/>
          <w:color w:val="FF0000"/>
          <w:sz w:val="24"/>
          <w:szCs w:val="24"/>
          <w:lang w:val="en-GB"/>
        </w:rPr>
        <w:t>Finance Research Letters</w:t>
      </w:r>
      <w:r w:rsidR="00500977" w:rsidRPr="00500977">
        <w:rPr>
          <w:rFonts w:ascii="Garamond" w:hAnsi="Garamond"/>
          <w:color w:val="FF0000"/>
          <w:sz w:val="24"/>
          <w:szCs w:val="24"/>
          <w:lang w:val="en-GB"/>
        </w:rPr>
        <w:t xml:space="preserve"> 35, 101554</w:t>
      </w:r>
    </w:p>
    <w:p w14:paraId="6344E51B" w14:textId="028F310D"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Corbet, S. and</w:t>
      </w:r>
      <w:r w:rsidRPr="009E00D2">
        <w:rPr>
          <w:rFonts w:ascii="Garamond" w:hAnsi="Garamond"/>
        </w:rPr>
        <w:t xml:space="preserve"> </w:t>
      </w:r>
      <w:proofErr w:type="spellStart"/>
      <w:r w:rsidRPr="009E00D2">
        <w:rPr>
          <w:rFonts w:ascii="Garamond" w:hAnsi="Garamond"/>
          <w:sz w:val="24"/>
          <w:szCs w:val="24"/>
        </w:rPr>
        <w:t>Katsiampa</w:t>
      </w:r>
      <w:proofErr w:type="spellEnd"/>
      <w:r w:rsidRPr="009E00D2">
        <w:rPr>
          <w:rFonts w:ascii="Garamond" w:hAnsi="Garamond"/>
          <w:sz w:val="24"/>
          <w:szCs w:val="24"/>
        </w:rPr>
        <w:t>, P. (2020) Asymmetric mean reversion of Bitcoin price returns. International Review of Financial Analysis</w:t>
      </w:r>
      <w:r w:rsidR="00E935A5" w:rsidRPr="00E935A5">
        <w:rPr>
          <w:rFonts w:ascii="Garamond" w:hAnsi="Garamond"/>
          <w:sz w:val="24"/>
          <w:szCs w:val="24"/>
        </w:rPr>
        <w:t xml:space="preserve"> </w:t>
      </w:r>
      <w:r w:rsidR="00E935A5" w:rsidRPr="00E935A5">
        <w:rPr>
          <w:rFonts w:ascii="Garamond" w:hAnsi="Garamond"/>
          <w:color w:val="FF0000"/>
          <w:sz w:val="24"/>
          <w:szCs w:val="24"/>
        </w:rPr>
        <w:t>71, 101267</w:t>
      </w:r>
      <w:r w:rsidRPr="009E00D2">
        <w:rPr>
          <w:rFonts w:ascii="Garamond" w:hAnsi="Garamond"/>
          <w:sz w:val="24"/>
          <w:szCs w:val="24"/>
        </w:rPr>
        <w:t>.</w:t>
      </w:r>
    </w:p>
    <w:p w14:paraId="65161A64" w14:textId="77777777"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DeJong, D., Nankervis, J., </w:t>
      </w:r>
      <w:proofErr w:type="spellStart"/>
      <w:r w:rsidRPr="009E00D2">
        <w:rPr>
          <w:rFonts w:ascii="Garamond" w:hAnsi="Garamond"/>
          <w:sz w:val="24"/>
          <w:szCs w:val="24"/>
        </w:rPr>
        <w:t>Savin</w:t>
      </w:r>
      <w:proofErr w:type="spellEnd"/>
      <w:r w:rsidRPr="009E00D2">
        <w:rPr>
          <w:rFonts w:ascii="Garamond" w:hAnsi="Garamond"/>
          <w:sz w:val="24"/>
          <w:szCs w:val="24"/>
        </w:rPr>
        <w:t xml:space="preserve"> N. E. and Whiteman, C. H. (1992). Integration versus trend stationarity in time series. </w:t>
      </w:r>
      <w:proofErr w:type="spellStart"/>
      <w:r w:rsidRPr="00943696">
        <w:rPr>
          <w:rFonts w:ascii="Garamond" w:hAnsi="Garamond"/>
          <w:i/>
          <w:sz w:val="24"/>
          <w:szCs w:val="24"/>
        </w:rPr>
        <w:t>Econometrica</w:t>
      </w:r>
      <w:proofErr w:type="spellEnd"/>
      <w:r w:rsidRPr="009E00D2">
        <w:rPr>
          <w:rFonts w:ascii="Garamond" w:hAnsi="Garamond"/>
          <w:sz w:val="24"/>
          <w:szCs w:val="24"/>
        </w:rPr>
        <w:t xml:space="preserve"> 60, 423–33.</w:t>
      </w:r>
    </w:p>
    <w:p w14:paraId="1BFF6983" w14:textId="77777777"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Dickey, D. A. and Fuller, W. A. (1979). Distribution of the estimators for autoregressive time series with a unit root. </w:t>
      </w:r>
      <w:r w:rsidRPr="00943696">
        <w:rPr>
          <w:rFonts w:ascii="Garamond" w:hAnsi="Garamond"/>
          <w:i/>
          <w:sz w:val="24"/>
          <w:szCs w:val="24"/>
        </w:rPr>
        <w:t>Journal of the American Statistical Association</w:t>
      </w:r>
      <w:r w:rsidRPr="009E00D2">
        <w:rPr>
          <w:rFonts w:ascii="Garamond" w:hAnsi="Garamond"/>
          <w:sz w:val="24"/>
          <w:szCs w:val="24"/>
        </w:rPr>
        <w:t xml:space="preserve"> 74, 427–31.</w:t>
      </w:r>
    </w:p>
    <w:p w14:paraId="41C6DD2E" w14:textId="123EC855" w:rsidR="002B5625"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Diebold, F. XS. and Rudebusch, G. (1991). On the power of Dickey-Fuller tests against fractional alternatives. </w:t>
      </w:r>
      <w:r w:rsidRPr="00943696">
        <w:rPr>
          <w:rFonts w:ascii="Garamond" w:hAnsi="Garamond"/>
          <w:i/>
          <w:sz w:val="24"/>
          <w:szCs w:val="24"/>
        </w:rPr>
        <w:t>Economic Letters</w:t>
      </w:r>
      <w:r w:rsidRPr="009E00D2">
        <w:rPr>
          <w:rFonts w:ascii="Garamond" w:hAnsi="Garamond"/>
          <w:sz w:val="24"/>
          <w:szCs w:val="24"/>
        </w:rPr>
        <w:t xml:space="preserve"> 35, 155–60.</w:t>
      </w:r>
    </w:p>
    <w:p w14:paraId="1640B943" w14:textId="77777777" w:rsidR="00623E79" w:rsidRDefault="00230E1C" w:rsidP="00771184">
      <w:pPr>
        <w:pStyle w:val="NoSpacing"/>
        <w:spacing w:line="480" w:lineRule="auto"/>
        <w:jc w:val="both"/>
        <w:rPr>
          <w:rFonts w:ascii="Garamond" w:hAnsi="Garamond"/>
          <w:sz w:val="24"/>
          <w:szCs w:val="24"/>
        </w:rPr>
      </w:pPr>
      <w:r>
        <w:rPr>
          <w:rFonts w:ascii="Garamond" w:hAnsi="Garamond"/>
          <w:sz w:val="24"/>
          <w:szCs w:val="24"/>
        </w:rPr>
        <w:t xml:space="preserve">Dong, X., Li, C., Yoon, S.-M. (2020). </w:t>
      </w:r>
      <w:r w:rsidRPr="00230E1C">
        <w:rPr>
          <w:rFonts w:ascii="Garamond" w:hAnsi="Garamond"/>
          <w:sz w:val="24"/>
          <w:szCs w:val="24"/>
        </w:rPr>
        <w:t>Asymmetric</w:t>
      </w:r>
      <w:r>
        <w:rPr>
          <w:rFonts w:ascii="Garamond" w:hAnsi="Garamond"/>
          <w:sz w:val="24"/>
          <w:szCs w:val="24"/>
        </w:rPr>
        <w:t xml:space="preserve"> </w:t>
      </w:r>
      <w:r w:rsidRPr="00230E1C">
        <w:rPr>
          <w:rFonts w:ascii="Garamond" w:hAnsi="Garamond"/>
          <w:sz w:val="24"/>
          <w:szCs w:val="24"/>
        </w:rPr>
        <w:t>dependence</w:t>
      </w:r>
      <w:r>
        <w:rPr>
          <w:rFonts w:ascii="Garamond" w:hAnsi="Garamond"/>
          <w:sz w:val="24"/>
          <w:szCs w:val="24"/>
        </w:rPr>
        <w:t xml:space="preserve"> </w:t>
      </w:r>
      <w:r w:rsidRPr="00230E1C">
        <w:rPr>
          <w:rFonts w:ascii="Garamond" w:hAnsi="Garamond"/>
          <w:sz w:val="24"/>
          <w:szCs w:val="24"/>
        </w:rPr>
        <w:t>structures</w:t>
      </w:r>
      <w:r>
        <w:rPr>
          <w:rFonts w:ascii="Garamond" w:hAnsi="Garamond"/>
          <w:sz w:val="24"/>
          <w:szCs w:val="24"/>
        </w:rPr>
        <w:t xml:space="preserve"> </w:t>
      </w:r>
      <w:r w:rsidRPr="00230E1C">
        <w:rPr>
          <w:rFonts w:ascii="Garamond" w:hAnsi="Garamond"/>
          <w:sz w:val="24"/>
          <w:szCs w:val="24"/>
        </w:rPr>
        <w:t>for</w:t>
      </w:r>
      <w:r>
        <w:rPr>
          <w:rFonts w:ascii="Garamond" w:hAnsi="Garamond"/>
          <w:sz w:val="24"/>
          <w:szCs w:val="24"/>
        </w:rPr>
        <w:t xml:space="preserve"> </w:t>
      </w:r>
      <w:r w:rsidRPr="00230E1C">
        <w:rPr>
          <w:rFonts w:ascii="Garamond" w:hAnsi="Garamond"/>
          <w:sz w:val="24"/>
          <w:szCs w:val="24"/>
        </w:rPr>
        <w:t>regional</w:t>
      </w:r>
      <w:r>
        <w:rPr>
          <w:rFonts w:ascii="Garamond" w:hAnsi="Garamond"/>
          <w:sz w:val="24"/>
          <w:szCs w:val="24"/>
        </w:rPr>
        <w:t xml:space="preserve"> </w:t>
      </w:r>
      <w:r w:rsidRPr="00230E1C">
        <w:rPr>
          <w:rFonts w:ascii="Garamond" w:hAnsi="Garamond"/>
          <w:sz w:val="24"/>
          <w:szCs w:val="24"/>
        </w:rPr>
        <w:t>stock</w:t>
      </w:r>
      <w:r>
        <w:rPr>
          <w:rFonts w:ascii="Garamond" w:hAnsi="Garamond"/>
          <w:sz w:val="24"/>
          <w:szCs w:val="24"/>
        </w:rPr>
        <w:t xml:space="preserve"> </w:t>
      </w:r>
      <w:r w:rsidRPr="00230E1C">
        <w:rPr>
          <w:rFonts w:ascii="Garamond" w:hAnsi="Garamond"/>
          <w:sz w:val="24"/>
          <w:szCs w:val="24"/>
        </w:rPr>
        <w:t>markets:</w:t>
      </w:r>
      <w:r>
        <w:rPr>
          <w:rFonts w:ascii="Garamond" w:hAnsi="Garamond"/>
          <w:sz w:val="24"/>
          <w:szCs w:val="24"/>
        </w:rPr>
        <w:t xml:space="preserve"> </w:t>
      </w:r>
      <w:r w:rsidRPr="00230E1C">
        <w:rPr>
          <w:rFonts w:ascii="Garamond" w:hAnsi="Garamond"/>
          <w:sz w:val="24"/>
          <w:szCs w:val="24"/>
        </w:rPr>
        <w:t>An unconditional</w:t>
      </w:r>
      <w:r>
        <w:rPr>
          <w:rFonts w:ascii="Garamond" w:hAnsi="Garamond"/>
          <w:sz w:val="24"/>
          <w:szCs w:val="24"/>
        </w:rPr>
        <w:t xml:space="preserve"> </w:t>
      </w:r>
      <w:r w:rsidRPr="00230E1C">
        <w:rPr>
          <w:rFonts w:ascii="Garamond" w:hAnsi="Garamond"/>
          <w:sz w:val="24"/>
          <w:szCs w:val="24"/>
        </w:rPr>
        <w:t>quantile</w:t>
      </w:r>
      <w:r>
        <w:rPr>
          <w:rFonts w:ascii="Garamond" w:hAnsi="Garamond"/>
          <w:sz w:val="24"/>
          <w:szCs w:val="24"/>
        </w:rPr>
        <w:t xml:space="preserve"> </w:t>
      </w:r>
      <w:r w:rsidRPr="00230E1C">
        <w:rPr>
          <w:rFonts w:ascii="Garamond" w:hAnsi="Garamond"/>
          <w:sz w:val="24"/>
          <w:szCs w:val="24"/>
        </w:rPr>
        <w:t>regression</w:t>
      </w:r>
      <w:r>
        <w:rPr>
          <w:rFonts w:ascii="Garamond" w:hAnsi="Garamond"/>
          <w:sz w:val="24"/>
          <w:szCs w:val="24"/>
        </w:rPr>
        <w:t xml:space="preserve"> </w:t>
      </w:r>
      <w:r w:rsidRPr="00230E1C">
        <w:rPr>
          <w:rFonts w:ascii="Garamond" w:hAnsi="Garamond"/>
          <w:sz w:val="24"/>
          <w:szCs w:val="24"/>
        </w:rPr>
        <w:t>approach</w:t>
      </w:r>
      <w:r>
        <w:rPr>
          <w:rFonts w:ascii="Garamond" w:hAnsi="Garamond"/>
          <w:sz w:val="24"/>
          <w:szCs w:val="24"/>
        </w:rPr>
        <w:t xml:space="preserve">. </w:t>
      </w:r>
      <w:r w:rsidRPr="00230E1C">
        <w:rPr>
          <w:rFonts w:ascii="Garamond" w:hAnsi="Garamond"/>
          <w:i/>
          <w:iCs/>
          <w:sz w:val="24"/>
          <w:szCs w:val="24"/>
        </w:rPr>
        <w:t>North American Journal of Economics and Finance, 52</w:t>
      </w:r>
      <w:r>
        <w:rPr>
          <w:rFonts w:ascii="Garamond" w:hAnsi="Garamond"/>
          <w:sz w:val="24"/>
          <w:szCs w:val="24"/>
        </w:rPr>
        <w:t xml:space="preserve">, 101-111. </w:t>
      </w:r>
    </w:p>
    <w:p w14:paraId="01AF7416" w14:textId="16B87F91" w:rsidR="00623E79" w:rsidRDefault="00623E79" w:rsidP="00771184">
      <w:pPr>
        <w:pStyle w:val="NoSpacing"/>
        <w:spacing w:line="480" w:lineRule="auto"/>
        <w:jc w:val="both"/>
        <w:rPr>
          <w:rFonts w:ascii="Garamond" w:hAnsi="Garamond"/>
          <w:sz w:val="24"/>
          <w:szCs w:val="24"/>
        </w:rPr>
      </w:pPr>
      <w:proofErr w:type="spellStart"/>
      <w:r w:rsidRPr="00623E79">
        <w:rPr>
          <w:rFonts w:ascii="Garamond" w:hAnsi="Garamond"/>
          <w:sz w:val="24"/>
          <w:szCs w:val="24"/>
        </w:rPr>
        <w:t>Eichenbaum</w:t>
      </w:r>
      <w:proofErr w:type="spellEnd"/>
      <w:r w:rsidRPr="00623E79">
        <w:rPr>
          <w:rFonts w:ascii="Garamond" w:hAnsi="Garamond"/>
          <w:sz w:val="24"/>
          <w:szCs w:val="24"/>
        </w:rPr>
        <w:t xml:space="preserve">, M.S., </w:t>
      </w:r>
      <w:proofErr w:type="spellStart"/>
      <w:r w:rsidRPr="00623E79">
        <w:rPr>
          <w:rFonts w:ascii="Garamond" w:hAnsi="Garamond"/>
          <w:sz w:val="24"/>
          <w:szCs w:val="24"/>
        </w:rPr>
        <w:t>Rebelo</w:t>
      </w:r>
      <w:proofErr w:type="spellEnd"/>
      <w:r w:rsidRPr="00623E79">
        <w:rPr>
          <w:rFonts w:ascii="Garamond" w:hAnsi="Garamond"/>
          <w:sz w:val="24"/>
          <w:szCs w:val="24"/>
        </w:rPr>
        <w:t xml:space="preserve">, S., </w:t>
      </w:r>
      <w:proofErr w:type="spellStart"/>
      <w:r w:rsidRPr="00623E79">
        <w:rPr>
          <w:rFonts w:ascii="Garamond" w:hAnsi="Garamond"/>
          <w:sz w:val="24"/>
          <w:szCs w:val="24"/>
        </w:rPr>
        <w:t>Trabandt</w:t>
      </w:r>
      <w:proofErr w:type="spellEnd"/>
      <w:r w:rsidRPr="00623E79">
        <w:rPr>
          <w:rFonts w:ascii="Garamond" w:hAnsi="Garamond"/>
          <w:sz w:val="24"/>
          <w:szCs w:val="24"/>
        </w:rPr>
        <w:t xml:space="preserve">, M. (2020). The Macroeconomics of Epidemics. </w:t>
      </w:r>
      <w:r w:rsidRPr="00623E79">
        <w:rPr>
          <w:rFonts w:ascii="Garamond" w:hAnsi="Garamond"/>
          <w:i/>
          <w:iCs/>
          <w:sz w:val="24"/>
          <w:szCs w:val="24"/>
        </w:rPr>
        <w:t>National Bureau of Economic Research</w:t>
      </w:r>
      <w:r w:rsidRPr="00623E79">
        <w:rPr>
          <w:rFonts w:ascii="Garamond" w:hAnsi="Garamond"/>
          <w:sz w:val="24"/>
          <w:szCs w:val="24"/>
        </w:rPr>
        <w:t>, 26882.</w:t>
      </w:r>
    </w:p>
    <w:p w14:paraId="32DC1BC0" w14:textId="4A5977EB" w:rsidR="00D60A9A" w:rsidRPr="00943696" w:rsidRDefault="00D60A9A" w:rsidP="00771184">
      <w:pPr>
        <w:pStyle w:val="NoSpacing"/>
        <w:spacing w:line="480" w:lineRule="auto"/>
        <w:jc w:val="both"/>
        <w:rPr>
          <w:rFonts w:ascii="Garamond" w:eastAsiaTheme="minorEastAsia" w:hAnsi="Garamond"/>
          <w:iCs/>
          <w:sz w:val="24"/>
          <w:szCs w:val="24"/>
        </w:rPr>
      </w:pPr>
      <w:proofErr w:type="spellStart"/>
      <w:r>
        <w:rPr>
          <w:rFonts w:ascii="Garamond" w:eastAsiaTheme="minorEastAsia" w:hAnsi="Garamond"/>
          <w:iCs/>
          <w:sz w:val="24"/>
          <w:szCs w:val="24"/>
        </w:rPr>
        <w:t>Fama</w:t>
      </w:r>
      <w:proofErr w:type="spellEnd"/>
      <w:r>
        <w:rPr>
          <w:rFonts w:ascii="Garamond" w:eastAsiaTheme="minorEastAsia" w:hAnsi="Garamond"/>
          <w:iCs/>
          <w:sz w:val="24"/>
          <w:szCs w:val="24"/>
        </w:rPr>
        <w:t xml:space="preserve">, E.F., French, K.R. (1988). </w:t>
      </w:r>
      <w:r w:rsidRPr="00644E26">
        <w:rPr>
          <w:rFonts w:ascii="Garamond" w:eastAsiaTheme="minorEastAsia" w:hAnsi="Garamond"/>
          <w:bCs/>
          <w:iCs/>
          <w:sz w:val="24"/>
          <w:szCs w:val="24"/>
        </w:rPr>
        <w:t>Permanent and temporary components of stock prices</w:t>
      </w:r>
      <w:r>
        <w:rPr>
          <w:rFonts w:ascii="Garamond" w:eastAsiaTheme="minorEastAsia" w:hAnsi="Garamond"/>
          <w:bCs/>
          <w:iCs/>
          <w:sz w:val="24"/>
          <w:szCs w:val="24"/>
        </w:rPr>
        <w:t xml:space="preserve">. </w:t>
      </w:r>
      <w:r w:rsidRPr="00943696">
        <w:rPr>
          <w:rFonts w:ascii="Garamond" w:eastAsiaTheme="minorEastAsia" w:hAnsi="Garamond"/>
          <w:bCs/>
          <w:i/>
          <w:iCs/>
          <w:sz w:val="24"/>
          <w:szCs w:val="24"/>
        </w:rPr>
        <w:t>Journal of Political Economy</w:t>
      </w:r>
      <w:r>
        <w:rPr>
          <w:rFonts w:ascii="Garamond" w:eastAsiaTheme="minorEastAsia" w:hAnsi="Garamond"/>
          <w:bCs/>
          <w:iCs/>
          <w:sz w:val="24"/>
          <w:szCs w:val="24"/>
        </w:rPr>
        <w:t xml:space="preserve"> 96, </w:t>
      </w:r>
      <w:r w:rsidRPr="00154FAA">
        <w:rPr>
          <w:rFonts w:ascii="Garamond" w:eastAsiaTheme="minorEastAsia" w:hAnsi="Garamond"/>
          <w:bCs/>
          <w:iCs/>
          <w:sz w:val="24"/>
          <w:szCs w:val="24"/>
        </w:rPr>
        <w:t>246-273</w:t>
      </w:r>
      <w:r>
        <w:rPr>
          <w:rFonts w:ascii="Garamond" w:eastAsiaTheme="minorEastAsia" w:hAnsi="Garamond"/>
          <w:bCs/>
          <w:iCs/>
          <w:sz w:val="24"/>
          <w:szCs w:val="24"/>
        </w:rPr>
        <w:t>.</w:t>
      </w:r>
    </w:p>
    <w:p w14:paraId="3F029413" w14:textId="48E2762B" w:rsidR="00782436" w:rsidRDefault="00782436" w:rsidP="00771184">
      <w:pPr>
        <w:pStyle w:val="NoSpacing"/>
        <w:spacing w:line="480" w:lineRule="auto"/>
        <w:jc w:val="both"/>
        <w:rPr>
          <w:rFonts w:ascii="Garamond" w:hAnsi="Garamond"/>
          <w:sz w:val="24"/>
          <w:szCs w:val="24"/>
        </w:rPr>
      </w:pPr>
      <w:proofErr w:type="spellStart"/>
      <w:r w:rsidRPr="007667B2">
        <w:rPr>
          <w:rFonts w:ascii="Garamond" w:hAnsi="Garamond"/>
          <w:sz w:val="24"/>
          <w:szCs w:val="24"/>
        </w:rPr>
        <w:t>Funck</w:t>
      </w:r>
      <w:proofErr w:type="spellEnd"/>
      <w:r w:rsidRPr="007667B2">
        <w:rPr>
          <w:rFonts w:ascii="Garamond" w:hAnsi="Garamond"/>
          <w:sz w:val="24"/>
          <w:szCs w:val="24"/>
        </w:rPr>
        <w:t>, M., Gutierrez, J. A.</w:t>
      </w:r>
      <w:r w:rsidRPr="00D371C9">
        <w:rPr>
          <w:rFonts w:ascii="Garamond" w:hAnsi="Garamond"/>
          <w:sz w:val="24"/>
          <w:szCs w:val="24"/>
        </w:rPr>
        <w:t xml:space="preserve"> (2018). </w:t>
      </w:r>
      <w:r w:rsidRPr="00782436">
        <w:rPr>
          <w:rFonts w:ascii="Garamond" w:hAnsi="Garamond"/>
          <w:sz w:val="24"/>
          <w:szCs w:val="24"/>
        </w:rPr>
        <w:t xml:space="preserve">Has Ebola Infected the Market: A Contagious Reaction to a (Media) Health Care Crisis? </w:t>
      </w:r>
      <w:r w:rsidRPr="00782436">
        <w:rPr>
          <w:rFonts w:ascii="Garamond" w:hAnsi="Garamond"/>
          <w:i/>
          <w:iCs/>
          <w:sz w:val="24"/>
          <w:szCs w:val="24"/>
        </w:rPr>
        <w:t>Journal of Business Strategies, 35</w:t>
      </w:r>
      <w:r w:rsidRPr="00782436">
        <w:rPr>
          <w:rFonts w:ascii="Garamond" w:hAnsi="Garamond"/>
          <w:sz w:val="24"/>
          <w:szCs w:val="24"/>
        </w:rPr>
        <w:t>(2), 1-20.</w:t>
      </w:r>
    </w:p>
    <w:p w14:paraId="03B39512" w14:textId="6C03B663" w:rsidR="00CE6931" w:rsidRDefault="00CE6931" w:rsidP="00771184">
      <w:pPr>
        <w:pStyle w:val="NoSpacing"/>
        <w:spacing w:line="480" w:lineRule="auto"/>
        <w:jc w:val="both"/>
        <w:rPr>
          <w:rFonts w:ascii="Garamond" w:hAnsi="Garamond"/>
          <w:sz w:val="24"/>
          <w:szCs w:val="24"/>
        </w:rPr>
      </w:pPr>
      <w:proofErr w:type="spellStart"/>
      <w:r w:rsidRPr="00CE6931">
        <w:rPr>
          <w:rFonts w:ascii="Garamond" w:hAnsi="Garamond"/>
          <w:sz w:val="24"/>
          <w:szCs w:val="24"/>
        </w:rPr>
        <w:t>Flage</w:t>
      </w:r>
      <w:proofErr w:type="spellEnd"/>
      <w:r w:rsidRPr="00CE6931">
        <w:rPr>
          <w:rFonts w:ascii="Garamond" w:hAnsi="Garamond"/>
          <w:sz w:val="24"/>
          <w:szCs w:val="24"/>
        </w:rPr>
        <w:t xml:space="preserve">, R., </w:t>
      </w:r>
      <w:proofErr w:type="spellStart"/>
      <w:r w:rsidRPr="00CE6931">
        <w:rPr>
          <w:rFonts w:ascii="Garamond" w:hAnsi="Garamond"/>
          <w:sz w:val="24"/>
          <w:szCs w:val="24"/>
        </w:rPr>
        <w:t>Aven</w:t>
      </w:r>
      <w:proofErr w:type="spellEnd"/>
      <w:r w:rsidRPr="00CE6931">
        <w:rPr>
          <w:rFonts w:ascii="Garamond" w:hAnsi="Garamond"/>
          <w:sz w:val="24"/>
          <w:szCs w:val="24"/>
        </w:rPr>
        <w:t>., T.</w:t>
      </w:r>
      <w:r>
        <w:rPr>
          <w:rFonts w:ascii="Garamond" w:hAnsi="Garamond"/>
          <w:sz w:val="24"/>
          <w:szCs w:val="24"/>
        </w:rPr>
        <w:t xml:space="preserve"> (2015).</w:t>
      </w:r>
      <w:r w:rsidRPr="00CE6931">
        <w:rPr>
          <w:rFonts w:ascii="Garamond" w:hAnsi="Garamond"/>
          <w:sz w:val="24"/>
          <w:szCs w:val="24"/>
        </w:rPr>
        <w:t xml:space="preserve"> Emerging risk - conceptual definition and a relation to black swan type of events</w:t>
      </w:r>
      <w:r>
        <w:rPr>
          <w:rFonts w:ascii="Garamond" w:hAnsi="Garamond"/>
          <w:sz w:val="24"/>
          <w:szCs w:val="24"/>
        </w:rPr>
        <w:t>.</w:t>
      </w:r>
      <w:r w:rsidRPr="00CE6931">
        <w:t xml:space="preserve"> </w:t>
      </w:r>
      <w:r w:rsidRPr="00CE6931">
        <w:rPr>
          <w:rFonts w:ascii="Garamond" w:hAnsi="Garamond"/>
          <w:i/>
          <w:iCs/>
          <w:sz w:val="24"/>
          <w:szCs w:val="24"/>
        </w:rPr>
        <w:t>Reliability Engineering and System Safety,</w:t>
      </w:r>
      <w:r>
        <w:rPr>
          <w:rFonts w:ascii="Garamond" w:hAnsi="Garamond"/>
          <w:i/>
          <w:iCs/>
          <w:sz w:val="24"/>
          <w:szCs w:val="24"/>
        </w:rPr>
        <w:t xml:space="preserve"> </w:t>
      </w:r>
      <w:r w:rsidRPr="00CE6931">
        <w:rPr>
          <w:rFonts w:ascii="Garamond" w:hAnsi="Garamond"/>
          <w:i/>
          <w:iCs/>
          <w:sz w:val="24"/>
          <w:szCs w:val="24"/>
        </w:rPr>
        <w:t>144</w:t>
      </w:r>
      <w:r w:rsidRPr="00CE6931">
        <w:rPr>
          <w:rFonts w:ascii="Garamond" w:hAnsi="Garamond"/>
          <w:sz w:val="24"/>
          <w:szCs w:val="24"/>
        </w:rPr>
        <w:t>, 61-67.</w:t>
      </w:r>
    </w:p>
    <w:p w14:paraId="6578EDDF" w14:textId="490D0797" w:rsidR="00CA0D94" w:rsidRDefault="00CA0D94" w:rsidP="00771184">
      <w:pPr>
        <w:pStyle w:val="NoSpacing"/>
        <w:spacing w:line="480" w:lineRule="auto"/>
        <w:jc w:val="both"/>
        <w:rPr>
          <w:rFonts w:ascii="Garamond" w:hAnsi="Garamond"/>
          <w:sz w:val="24"/>
          <w:szCs w:val="24"/>
        </w:rPr>
      </w:pPr>
      <w:r w:rsidRPr="00CA0D94">
        <w:rPr>
          <w:rFonts w:ascii="Garamond" w:hAnsi="Garamond"/>
          <w:sz w:val="24"/>
          <w:szCs w:val="24"/>
        </w:rPr>
        <w:t>Global-Preparedness-Monitoring-Board (2019). A world at risk: annual report on global preparedness for health emergencies. Global Preparedness Monitoring Board of the World Health Organization, Geneva.</w:t>
      </w:r>
    </w:p>
    <w:p w14:paraId="1876FD8B" w14:textId="5E5445DA" w:rsidR="00782436" w:rsidRPr="009E00D2" w:rsidRDefault="00782436" w:rsidP="00771184">
      <w:pPr>
        <w:pStyle w:val="NoSpacing"/>
        <w:spacing w:line="480" w:lineRule="auto"/>
        <w:jc w:val="both"/>
        <w:rPr>
          <w:rFonts w:ascii="Garamond" w:hAnsi="Garamond"/>
          <w:sz w:val="24"/>
          <w:szCs w:val="24"/>
        </w:rPr>
      </w:pPr>
      <w:proofErr w:type="spellStart"/>
      <w:r w:rsidRPr="00782436">
        <w:rPr>
          <w:rFonts w:ascii="Garamond" w:hAnsi="Garamond"/>
          <w:sz w:val="24"/>
          <w:szCs w:val="24"/>
        </w:rPr>
        <w:t>Haacker</w:t>
      </w:r>
      <w:proofErr w:type="spellEnd"/>
      <w:r w:rsidRPr="00782436">
        <w:rPr>
          <w:rFonts w:ascii="Garamond" w:hAnsi="Garamond"/>
          <w:sz w:val="24"/>
          <w:szCs w:val="24"/>
        </w:rPr>
        <w:t xml:space="preserve">, M. (2004). The Impact of HIV/AIDS on Government Finance and Public Services </w:t>
      </w:r>
      <w:r w:rsidRPr="00943696">
        <w:rPr>
          <w:rFonts w:ascii="Garamond" w:hAnsi="Garamond"/>
          <w:i/>
          <w:sz w:val="24"/>
          <w:szCs w:val="24"/>
        </w:rPr>
        <w:t>(International Monetary Fund, Washington).</w:t>
      </w:r>
    </w:p>
    <w:p w14:paraId="02EFD16E" w14:textId="1AD9ADAB" w:rsidR="00563E28" w:rsidRDefault="00563E28" w:rsidP="00563E28">
      <w:pPr>
        <w:pStyle w:val="NoSpacing"/>
        <w:spacing w:line="480" w:lineRule="auto"/>
        <w:jc w:val="both"/>
        <w:rPr>
          <w:rFonts w:ascii="Garamond" w:hAnsi="Garamond"/>
          <w:sz w:val="24"/>
          <w:szCs w:val="24"/>
        </w:rPr>
      </w:pPr>
      <w:r w:rsidRPr="009E00D2">
        <w:rPr>
          <w:rFonts w:ascii="Garamond" w:hAnsi="Garamond"/>
          <w:sz w:val="24"/>
          <w:szCs w:val="24"/>
        </w:rPr>
        <w:lastRenderedPageBreak/>
        <w:t xml:space="preserve">Hansen, B.E. (1995). Rethinking the univariate approach to unit root testing: using covariates to increase power. </w:t>
      </w:r>
      <w:r w:rsidRPr="00943696">
        <w:rPr>
          <w:rFonts w:ascii="Garamond" w:hAnsi="Garamond"/>
          <w:i/>
          <w:sz w:val="24"/>
          <w:szCs w:val="24"/>
        </w:rPr>
        <w:t>Economic Theory</w:t>
      </w:r>
      <w:r w:rsidRPr="009E00D2">
        <w:rPr>
          <w:rFonts w:ascii="Garamond" w:hAnsi="Garamond"/>
          <w:sz w:val="24"/>
          <w:szCs w:val="24"/>
        </w:rPr>
        <w:t xml:space="preserve"> 11 (5), 1148–1171.</w:t>
      </w:r>
    </w:p>
    <w:p w14:paraId="2BE83152" w14:textId="7A10278E" w:rsidR="00F05784" w:rsidRDefault="00F05784" w:rsidP="00F05784">
      <w:pPr>
        <w:pStyle w:val="NoSpacing"/>
        <w:spacing w:line="480" w:lineRule="auto"/>
        <w:jc w:val="both"/>
        <w:rPr>
          <w:rFonts w:ascii="Garamond" w:hAnsi="Garamond"/>
          <w:sz w:val="24"/>
          <w:szCs w:val="24"/>
        </w:rPr>
      </w:pPr>
      <w:r w:rsidRPr="00F05784">
        <w:rPr>
          <w:rFonts w:ascii="Garamond" w:hAnsi="Garamond"/>
          <w:sz w:val="24"/>
          <w:szCs w:val="24"/>
        </w:rPr>
        <w:t xml:space="preserve">Heffernan, J.E., </w:t>
      </w:r>
      <w:proofErr w:type="spellStart"/>
      <w:r w:rsidRPr="00F05784">
        <w:rPr>
          <w:rFonts w:ascii="Garamond" w:hAnsi="Garamond"/>
          <w:sz w:val="24"/>
          <w:szCs w:val="24"/>
        </w:rPr>
        <w:t>Tawn</w:t>
      </w:r>
      <w:proofErr w:type="spellEnd"/>
      <w:r w:rsidRPr="00F05784">
        <w:rPr>
          <w:rFonts w:ascii="Garamond" w:hAnsi="Garamond"/>
          <w:sz w:val="24"/>
          <w:szCs w:val="24"/>
        </w:rPr>
        <w:t>, J.A.</w:t>
      </w:r>
      <w:r>
        <w:rPr>
          <w:rFonts w:ascii="Garamond" w:hAnsi="Garamond"/>
          <w:sz w:val="24"/>
          <w:szCs w:val="24"/>
        </w:rPr>
        <w:t xml:space="preserve"> (</w:t>
      </w:r>
      <w:r w:rsidRPr="00F05784">
        <w:rPr>
          <w:rFonts w:ascii="Garamond" w:hAnsi="Garamond"/>
          <w:sz w:val="24"/>
          <w:szCs w:val="24"/>
        </w:rPr>
        <w:t>2004</w:t>
      </w:r>
      <w:r>
        <w:rPr>
          <w:rFonts w:ascii="Garamond" w:hAnsi="Garamond"/>
          <w:sz w:val="24"/>
          <w:szCs w:val="24"/>
        </w:rPr>
        <w:t>)</w:t>
      </w:r>
      <w:r w:rsidRPr="00F05784">
        <w:rPr>
          <w:rFonts w:ascii="Garamond" w:hAnsi="Garamond"/>
          <w:sz w:val="24"/>
          <w:szCs w:val="24"/>
        </w:rPr>
        <w:t>. A conditional approach for multivariate extremes.</w:t>
      </w:r>
      <w:r>
        <w:rPr>
          <w:rFonts w:ascii="Garamond" w:hAnsi="Garamond"/>
          <w:sz w:val="24"/>
          <w:szCs w:val="24"/>
        </w:rPr>
        <w:t xml:space="preserve"> </w:t>
      </w:r>
      <w:r w:rsidRPr="00F05784">
        <w:rPr>
          <w:rFonts w:ascii="Garamond" w:hAnsi="Garamond"/>
          <w:i/>
          <w:iCs/>
          <w:sz w:val="24"/>
          <w:szCs w:val="24"/>
        </w:rPr>
        <w:t xml:space="preserve">Journal of the Royal Statistical Society Series B, 66 </w:t>
      </w:r>
      <w:r w:rsidRPr="00F05784">
        <w:rPr>
          <w:rFonts w:ascii="Garamond" w:hAnsi="Garamond"/>
          <w:sz w:val="24"/>
          <w:szCs w:val="24"/>
        </w:rPr>
        <w:t>(3), 497–546.</w:t>
      </w:r>
    </w:p>
    <w:p w14:paraId="1474BE53" w14:textId="655A550D" w:rsidR="00DD1757" w:rsidRDefault="00DD1757" w:rsidP="00563E28">
      <w:pPr>
        <w:pStyle w:val="NoSpacing"/>
        <w:spacing w:line="480" w:lineRule="auto"/>
        <w:jc w:val="both"/>
        <w:rPr>
          <w:rFonts w:ascii="Garamond" w:hAnsi="Garamond"/>
          <w:sz w:val="24"/>
          <w:szCs w:val="24"/>
        </w:rPr>
      </w:pPr>
      <w:proofErr w:type="spellStart"/>
      <w:r w:rsidRPr="00DD1757">
        <w:rPr>
          <w:rFonts w:ascii="Garamond" w:hAnsi="Garamond"/>
          <w:sz w:val="24"/>
          <w:szCs w:val="24"/>
        </w:rPr>
        <w:t>Hilal</w:t>
      </w:r>
      <w:proofErr w:type="spellEnd"/>
      <w:r w:rsidRPr="00DD1757">
        <w:rPr>
          <w:rFonts w:ascii="Garamond" w:hAnsi="Garamond"/>
          <w:sz w:val="24"/>
          <w:szCs w:val="24"/>
        </w:rPr>
        <w:t xml:space="preserve">, S., Poon, S.-H., </w:t>
      </w:r>
      <w:proofErr w:type="spellStart"/>
      <w:r w:rsidRPr="00DD1757">
        <w:rPr>
          <w:rFonts w:ascii="Garamond" w:hAnsi="Garamond"/>
          <w:sz w:val="24"/>
          <w:szCs w:val="24"/>
        </w:rPr>
        <w:t>Tawn</w:t>
      </w:r>
      <w:proofErr w:type="spellEnd"/>
      <w:r w:rsidRPr="00DD1757">
        <w:rPr>
          <w:rFonts w:ascii="Garamond" w:hAnsi="Garamond"/>
          <w:sz w:val="24"/>
          <w:szCs w:val="24"/>
        </w:rPr>
        <w:t xml:space="preserve">, J. (2011). </w:t>
      </w:r>
      <w:proofErr w:type="spellStart"/>
      <w:r w:rsidRPr="00DD1757">
        <w:rPr>
          <w:rFonts w:ascii="Garamond" w:hAnsi="Garamond"/>
          <w:sz w:val="24"/>
          <w:szCs w:val="24"/>
        </w:rPr>
        <w:t>Heding</w:t>
      </w:r>
      <w:proofErr w:type="spellEnd"/>
      <w:r w:rsidRPr="00DD1757">
        <w:rPr>
          <w:rFonts w:ascii="Garamond" w:hAnsi="Garamond"/>
          <w:sz w:val="24"/>
          <w:szCs w:val="24"/>
        </w:rPr>
        <w:t xml:space="preserve"> the black swan: Conditional heteroskedasticity and tail dependence in S&amp;P500 and VIX. </w:t>
      </w:r>
      <w:r w:rsidRPr="00DD1757">
        <w:rPr>
          <w:rFonts w:ascii="Garamond" w:hAnsi="Garamond"/>
          <w:i/>
          <w:iCs/>
          <w:sz w:val="24"/>
          <w:szCs w:val="24"/>
        </w:rPr>
        <w:t>Journal of Banking &amp; Finance 35</w:t>
      </w:r>
      <w:r w:rsidRPr="00DD1757">
        <w:rPr>
          <w:rFonts w:ascii="Garamond" w:hAnsi="Garamond"/>
          <w:sz w:val="24"/>
          <w:szCs w:val="24"/>
        </w:rPr>
        <w:t>, 2374-2387.</w:t>
      </w:r>
    </w:p>
    <w:p w14:paraId="4B06E684" w14:textId="789ADD03" w:rsidR="00782436" w:rsidRPr="009E00D2" w:rsidRDefault="00782436" w:rsidP="00563E28">
      <w:pPr>
        <w:pStyle w:val="NoSpacing"/>
        <w:spacing w:line="480" w:lineRule="auto"/>
        <w:jc w:val="both"/>
        <w:rPr>
          <w:rFonts w:ascii="Garamond" w:hAnsi="Garamond"/>
          <w:sz w:val="24"/>
          <w:szCs w:val="24"/>
        </w:rPr>
      </w:pPr>
      <w:r w:rsidRPr="00782436">
        <w:rPr>
          <w:rFonts w:ascii="Garamond" w:hAnsi="Garamond"/>
          <w:sz w:val="24"/>
          <w:szCs w:val="24"/>
        </w:rPr>
        <w:t>Hoffman, S.J., Silverberg, S.L. (2018): Delays in global disease outbreak responses: lessons from</w:t>
      </w:r>
      <w:r>
        <w:rPr>
          <w:rFonts w:ascii="Garamond" w:hAnsi="Garamond"/>
          <w:sz w:val="24"/>
          <w:szCs w:val="24"/>
        </w:rPr>
        <w:t xml:space="preserve"> </w:t>
      </w:r>
      <w:r w:rsidRPr="00782436">
        <w:rPr>
          <w:rFonts w:ascii="Garamond" w:hAnsi="Garamond"/>
          <w:sz w:val="24"/>
          <w:szCs w:val="24"/>
        </w:rPr>
        <w:t xml:space="preserve">H1N1, Ebola, and Zika. </w:t>
      </w:r>
      <w:r w:rsidRPr="00943696">
        <w:rPr>
          <w:rFonts w:ascii="Garamond" w:hAnsi="Garamond"/>
          <w:i/>
          <w:sz w:val="24"/>
          <w:szCs w:val="24"/>
        </w:rPr>
        <w:t>American journal of public health</w:t>
      </w:r>
      <w:r w:rsidR="00E935A5">
        <w:rPr>
          <w:rFonts w:ascii="Garamond" w:hAnsi="Garamond"/>
          <w:sz w:val="24"/>
          <w:szCs w:val="24"/>
        </w:rPr>
        <w:t xml:space="preserve"> </w:t>
      </w:r>
      <w:r w:rsidRPr="00782436">
        <w:rPr>
          <w:rFonts w:ascii="Garamond" w:hAnsi="Garamond"/>
          <w:sz w:val="24"/>
          <w:szCs w:val="24"/>
        </w:rPr>
        <w:t>108, 329–333.</w:t>
      </w:r>
    </w:p>
    <w:p w14:paraId="0DA3A6AD" w14:textId="681DB493" w:rsidR="00771184" w:rsidRDefault="00771184" w:rsidP="00771184">
      <w:pPr>
        <w:spacing w:line="480" w:lineRule="auto"/>
        <w:jc w:val="both"/>
        <w:rPr>
          <w:rFonts w:ascii="Garamond" w:eastAsiaTheme="minorEastAsia" w:hAnsi="Garamond"/>
          <w:iCs/>
          <w:sz w:val="24"/>
          <w:szCs w:val="24"/>
        </w:rPr>
      </w:pPr>
      <w:proofErr w:type="spellStart"/>
      <w:r w:rsidRPr="009E00D2">
        <w:rPr>
          <w:rFonts w:ascii="Garamond" w:eastAsiaTheme="minorEastAsia" w:hAnsi="Garamond"/>
          <w:iCs/>
          <w:sz w:val="24"/>
          <w:szCs w:val="24"/>
        </w:rPr>
        <w:t>Galvao</w:t>
      </w:r>
      <w:proofErr w:type="spellEnd"/>
      <w:r w:rsidRPr="009E00D2">
        <w:rPr>
          <w:rFonts w:ascii="Garamond" w:eastAsiaTheme="minorEastAsia" w:hAnsi="Garamond"/>
          <w:iCs/>
          <w:sz w:val="24"/>
          <w:szCs w:val="24"/>
        </w:rPr>
        <w:t xml:space="preserve">, </w:t>
      </w:r>
      <w:proofErr w:type="spellStart"/>
      <w:r w:rsidRPr="009E00D2">
        <w:rPr>
          <w:rFonts w:ascii="Garamond" w:eastAsiaTheme="minorEastAsia" w:hAnsi="Garamond"/>
          <w:iCs/>
          <w:sz w:val="24"/>
          <w:szCs w:val="24"/>
        </w:rPr>
        <w:t>A.F.Jr</w:t>
      </w:r>
      <w:proofErr w:type="spellEnd"/>
      <w:r w:rsidRPr="009E00D2">
        <w:rPr>
          <w:rFonts w:ascii="Garamond" w:eastAsiaTheme="minorEastAsia" w:hAnsi="Garamond"/>
          <w:iCs/>
          <w:sz w:val="24"/>
          <w:szCs w:val="24"/>
        </w:rPr>
        <w:t xml:space="preserve">. (2009). Unit root quantile autoregression testing using covariates. </w:t>
      </w:r>
      <w:r w:rsidRPr="00782436">
        <w:rPr>
          <w:rFonts w:ascii="Garamond" w:eastAsiaTheme="minorEastAsia" w:hAnsi="Garamond"/>
          <w:i/>
          <w:sz w:val="24"/>
          <w:szCs w:val="24"/>
        </w:rPr>
        <w:t>Journal of</w:t>
      </w:r>
      <w:r w:rsidRPr="009E00D2">
        <w:rPr>
          <w:rFonts w:ascii="Garamond" w:eastAsiaTheme="minorEastAsia" w:hAnsi="Garamond"/>
          <w:iCs/>
          <w:sz w:val="24"/>
          <w:szCs w:val="24"/>
        </w:rPr>
        <w:t xml:space="preserve"> </w:t>
      </w:r>
      <w:r w:rsidRPr="00782436">
        <w:rPr>
          <w:rFonts w:ascii="Garamond" w:eastAsiaTheme="minorEastAsia" w:hAnsi="Garamond"/>
          <w:i/>
          <w:sz w:val="24"/>
          <w:szCs w:val="24"/>
        </w:rPr>
        <w:t>Econometrics 152</w:t>
      </w:r>
      <w:r w:rsidRPr="009E00D2">
        <w:rPr>
          <w:rFonts w:ascii="Garamond" w:eastAsiaTheme="minorEastAsia" w:hAnsi="Garamond"/>
          <w:iCs/>
          <w:sz w:val="24"/>
          <w:szCs w:val="24"/>
        </w:rPr>
        <w:t>, 165-178.</w:t>
      </w:r>
    </w:p>
    <w:p w14:paraId="0FA0925C" w14:textId="77777777" w:rsidR="00D60A9A" w:rsidRDefault="00D60A9A" w:rsidP="00D60A9A">
      <w:pPr>
        <w:pStyle w:val="NoSpacing"/>
        <w:spacing w:line="480" w:lineRule="auto"/>
        <w:jc w:val="both"/>
        <w:rPr>
          <w:rFonts w:ascii="Garamond" w:eastAsiaTheme="minorEastAsia" w:hAnsi="Garamond"/>
          <w:iCs/>
          <w:sz w:val="24"/>
          <w:szCs w:val="24"/>
        </w:rPr>
      </w:pPr>
      <w:r w:rsidRPr="00644E26">
        <w:rPr>
          <w:rFonts w:ascii="Garamond" w:eastAsiaTheme="minorEastAsia" w:hAnsi="Garamond"/>
          <w:iCs/>
          <w:sz w:val="24"/>
          <w:szCs w:val="24"/>
        </w:rPr>
        <w:t>Georgieva, K (2020). IMF Managing Director Kristalina Georgieva’s Statement Following a G20</w:t>
      </w:r>
      <w:r>
        <w:rPr>
          <w:rFonts w:ascii="Garamond" w:eastAsiaTheme="minorEastAsia" w:hAnsi="Garamond"/>
          <w:iCs/>
          <w:sz w:val="24"/>
          <w:szCs w:val="24"/>
        </w:rPr>
        <w:t xml:space="preserve"> </w:t>
      </w:r>
      <w:r w:rsidRPr="00644E26">
        <w:rPr>
          <w:rFonts w:ascii="Garamond" w:eastAsiaTheme="minorEastAsia" w:hAnsi="Garamond"/>
          <w:iCs/>
          <w:sz w:val="24"/>
          <w:szCs w:val="24"/>
        </w:rPr>
        <w:t>Ministerial Call on the Coronavirus Emergency. IMF</w:t>
      </w:r>
      <w:r w:rsidRPr="00050C4D">
        <w:rPr>
          <w:rFonts w:ascii="Garamond" w:eastAsiaTheme="minorEastAsia" w:hAnsi="Garamond"/>
          <w:iCs/>
          <w:sz w:val="24"/>
          <w:szCs w:val="24"/>
        </w:rPr>
        <w:t xml:space="preserve"> Press statement. Available at:</w:t>
      </w:r>
      <w:r>
        <w:rPr>
          <w:rFonts w:ascii="Garamond" w:eastAsiaTheme="minorEastAsia" w:hAnsi="Garamond"/>
          <w:iCs/>
          <w:sz w:val="24"/>
          <w:szCs w:val="24"/>
        </w:rPr>
        <w:t xml:space="preserve"> </w:t>
      </w:r>
      <w:hyperlink r:id="rId13" w:history="1">
        <w:r w:rsidRPr="00644E26">
          <w:rPr>
            <w:rStyle w:val="Hyperlink"/>
            <w:rFonts w:ascii="Garamond" w:eastAsiaTheme="minorEastAsia" w:hAnsi="Garamond"/>
            <w:iCs/>
            <w:sz w:val="24"/>
            <w:szCs w:val="24"/>
          </w:rPr>
          <w:t>https://www.imf.org/en/News/Articles/2020/03/</w:t>
        </w:r>
        <w:r w:rsidRPr="00050C4D">
          <w:rPr>
            <w:rStyle w:val="Hyperlink"/>
            <w:rFonts w:ascii="Garamond" w:eastAsiaTheme="minorEastAsia" w:hAnsi="Garamond"/>
            <w:iCs/>
            <w:sz w:val="24"/>
            <w:szCs w:val="24"/>
          </w:rPr>
          <w:t>23/pr2098-imf-managing-director</w:t>
        </w:r>
      </w:hyperlink>
      <w:r w:rsidRPr="00050C4D">
        <w:rPr>
          <w:rFonts w:ascii="Garamond" w:eastAsiaTheme="minorEastAsia" w:hAnsi="Garamond"/>
          <w:iCs/>
          <w:sz w:val="24"/>
          <w:szCs w:val="24"/>
        </w:rPr>
        <w:t xml:space="preserve"> statementfollowing-</w:t>
      </w:r>
      <w:r w:rsidRPr="00644E26">
        <w:rPr>
          <w:rFonts w:ascii="Garamond" w:eastAsiaTheme="minorEastAsia" w:hAnsi="Garamond"/>
          <w:iCs/>
          <w:sz w:val="24"/>
          <w:szCs w:val="24"/>
        </w:rPr>
        <w:t>a-g20-ministerial-call-on-the-coronavirus-emergency</w:t>
      </w:r>
    </w:p>
    <w:p w14:paraId="5A3DE601" w14:textId="77777777" w:rsidR="00771184" w:rsidRPr="009E00D2" w:rsidRDefault="00771184" w:rsidP="00771184">
      <w:pPr>
        <w:pStyle w:val="NoSpacing"/>
        <w:spacing w:line="480" w:lineRule="auto"/>
        <w:jc w:val="both"/>
        <w:rPr>
          <w:rFonts w:ascii="Garamond" w:hAnsi="Garamond"/>
          <w:sz w:val="24"/>
          <w:szCs w:val="24"/>
          <w:lang w:val="en-GB"/>
        </w:rPr>
      </w:pPr>
      <w:r w:rsidRPr="009E00D2">
        <w:rPr>
          <w:rFonts w:ascii="Garamond" w:hAnsi="Garamond"/>
          <w:sz w:val="24"/>
          <w:szCs w:val="24"/>
          <w:lang w:val="en-GB"/>
        </w:rPr>
        <w:t xml:space="preserve">Gil-Alana, L.A. (2006) Fractional integration in daily stock market indexes. </w:t>
      </w:r>
      <w:r w:rsidRPr="00943696">
        <w:rPr>
          <w:rFonts w:ascii="Garamond" w:hAnsi="Garamond"/>
          <w:i/>
          <w:sz w:val="24"/>
          <w:szCs w:val="24"/>
          <w:lang w:val="en-GB"/>
        </w:rPr>
        <w:t>Review of Financial Economics</w:t>
      </w:r>
      <w:r w:rsidRPr="009E00D2">
        <w:rPr>
          <w:rFonts w:ascii="Garamond" w:hAnsi="Garamond"/>
          <w:sz w:val="24"/>
          <w:szCs w:val="24"/>
          <w:lang w:val="en-GB"/>
        </w:rPr>
        <w:t xml:space="preserve"> 15, 28 –48.</w:t>
      </w:r>
    </w:p>
    <w:p w14:paraId="13ADA62F" w14:textId="5332FF3F" w:rsidR="00771184" w:rsidRDefault="00771184" w:rsidP="00771184">
      <w:pPr>
        <w:pStyle w:val="NoSpacing"/>
        <w:spacing w:line="480" w:lineRule="auto"/>
        <w:jc w:val="both"/>
        <w:rPr>
          <w:rFonts w:ascii="Garamond" w:hAnsi="Garamond"/>
          <w:sz w:val="24"/>
          <w:szCs w:val="24"/>
          <w:lang w:val="en-GB"/>
        </w:rPr>
      </w:pPr>
      <w:r w:rsidRPr="009E00D2">
        <w:rPr>
          <w:rFonts w:ascii="Garamond" w:hAnsi="Garamond"/>
          <w:sz w:val="24"/>
          <w:szCs w:val="24"/>
          <w:lang w:val="en-GB"/>
        </w:rPr>
        <w:t xml:space="preserve">Gil-Alana, L.A., Chang, S., </w:t>
      </w:r>
      <w:proofErr w:type="spellStart"/>
      <w:r w:rsidRPr="009E00D2">
        <w:rPr>
          <w:rFonts w:ascii="Garamond" w:hAnsi="Garamond"/>
          <w:sz w:val="24"/>
          <w:szCs w:val="24"/>
          <w:lang w:val="en-GB"/>
        </w:rPr>
        <w:t>Balcilar</w:t>
      </w:r>
      <w:proofErr w:type="spellEnd"/>
      <w:r w:rsidRPr="009E00D2">
        <w:rPr>
          <w:rFonts w:ascii="Garamond" w:hAnsi="Garamond"/>
          <w:sz w:val="24"/>
          <w:szCs w:val="24"/>
          <w:lang w:val="en-GB"/>
        </w:rPr>
        <w:t xml:space="preserve">, M., Aye, G.C., Gupta, R. (2015). Persistence of precious metal prices: A fractional integration approach with structural breaks. </w:t>
      </w:r>
      <w:r w:rsidRPr="00943696">
        <w:rPr>
          <w:rFonts w:ascii="Garamond" w:hAnsi="Garamond"/>
          <w:i/>
          <w:sz w:val="24"/>
          <w:szCs w:val="24"/>
          <w:lang w:val="en-GB"/>
        </w:rPr>
        <w:t>Resources Policy</w:t>
      </w:r>
      <w:r w:rsidRPr="009E00D2">
        <w:rPr>
          <w:rFonts w:ascii="Garamond" w:hAnsi="Garamond"/>
          <w:sz w:val="24"/>
          <w:szCs w:val="24"/>
          <w:lang w:val="en-GB"/>
        </w:rPr>
        <w:t xml:space="preserve"> 44, 57-64.</w:t>
      </w:r>
    </w:p>
    <w:p w14:paraId="6676E3E8" w14:textId="041B6D26" w:rsidR="00E60A52" w:rsidRDefault="00E60A52" w:rsidP="00771184">
      <w:pPr>
        <w:pStyle w:val="NoSpacing"/>
        <w:spacing w:line="480" w:lineRule="auto"/>
        <w:jc w:val="both"/>
        <w:rPr>
          <w:rFonts w:ascii="Garamond" w:hAnsi="Garamond"/>
          <w:sz w:val="24"/>
          <w:szCs w:val="24"/>
          <w:lang w:val="en-GB"/>
        </w:rPr>
      </w:pPr>
      <w:r w:rsidRPr="00E60A52">
        <w:rPr>
          <w:rFonts w:ascii="Garamond" w:hAnsi="Garamond"/>
          <w:sz w:val="24"/>
          <w:szCs w:val="24"/>
          <w:lang w:val="en-GB"/>
        </w:rPr>
        <w:t xml:space="preserve">Goodell, J. W. (2020). COVID-19 and finance: Agendas for future research. </w:t>
      </w:r>
      <w:r w:rsidRPr="00E60A52">
        <w:rPr>
          <w:rFonts w:ascii="Garamond" w:hAnsi="Garamond"/>
          <w:i/>
          <w:iCs/>
          <w:sz w:val="24"/>
          <w:szCs w:val="24"/>
          <w:lang w:val="en-GB"/>
        </w:rPr>
        <w:t xml:space="preserve">Finance Research Letters, </w:t>
      </w:r>
      <w:r w:rsidR="00644470" w:rsidRPr="00644470">
        <w:rPr>
          <w:rFonts w:ascii="Garamond" w:hAnsi="Garamond"/>
          <w:color w:val="FF0000"/>
          <w:sz w:val="24"/>
          <w:szCs w:val="24"/>
          <w:lang w:val="en-GB"/>
        </w:rPr>
        <w:t>35, 101512</w:t>
      </w:r>
      <w:r w:rsidRPr="00644470">
        <w:rPr>
          <w:rFonts w:ascii="Garamond" w:hAnsi="Garamond"/>
          <w:color w:val="FF0000"/>
          <w:sz w:val="24"/>
          <w:szCs w:val="24"/>
          <w:lang w:val="en-GB"/>
        </w:rPr>
        <w:t>.</w:t>
      </w:r>
    </w:p>
    <w:p w14:paraId="0E2ECE6D" w14:textId="3C33E93C" w:rsidR="00623ADB" w:rsidRPr="009E00D2" w:rsidRDefault="00623ADB" w:rsidP="00771184">
      <w:pPr>
        <w:pStyle w:val="NoSpacing"/>
        <w:spacing w:line="480" w:lineRule="auto"/>
        <w:jc w:val="both"/>
        <w:rPr>
          <w:rFonts w:ascii="Garamond" w:hAnsi="Garamond"/>
          <w:sz w:val="24"/>
          <w:szCs w:val="24"/>
          <w:lang w:val="en-GB"/>
        </w:rPr>
      </w:pPr>
      <w:proofErr w:type="spellStart"/>
      <w:r w:rsidRPr="00623ADB">
        <w:rPr>
          <w:rFonts w:ascii="Garamond" w:hAnsi="Garamond"/>
          <w:sz w:val="24"/>
          <w:szCs w:val="24"/>
          <w:lang w:val="en-GB"/>
        </w:rPr>
        <w:t>Gormsen</w:t>
      </w:r>
      <w:proofErr w:type="spellEnd"/>
      <w:r w:rsidRPr="00623ADB">
        <w:rPr>
          <w:rFonts w:ascii="Garamond" w:hAnsi="Garamond"/>
          <w:sz w:val="24"/>
          <w:szCs w:val="24"/>
          <w:lang w:val="en-GB"/>
        </w:rPr>
        <w:t xml:space="preserve">, N. J., </w:t>
      </w:r>
      <w:proofErr w:type="spellStart"/>
      <w:r w:rsidRPr="00623ADB">
        <w:rPr>
          <w:rFonts w:ascii="Garamond" w:hAnsi="Garamond"/>
          <w:sz w:val="24"/>
          <w:szCs w:val="24"/>
          <w:lang w:val="en-GB"/>
        </w:rPr>
        <w:t>Koijen</w:t>
      </w:r>
      <w:proofErr w:type="spellEnd"/>
      <w:r w:rsidRPr="00623ADB">
        <w:rPr>
          <w:rFonts w:ascii="Garamond" w:hAnsi="Garamond"/>
          <w:sz w:val="24"/>
          <w:szCs w:val="24"/>
          <w:lang w:val="en-GB"/>
        </w:rPr>
        <w:t>, R. S. (2020). Coronavirus: Impact on stock prices and growth expectations. University of Chicago, Becker Friedman Institute for Economics Working Paper No.2020-22. Available at: https://papers.ssrn.com/sol3/papers.cfm?abstract_id=3555917</w:t>
      </w:r>
    </w:p>
    <w:p w14:paraId="07CD092F" w14:textId="77777777" w:rsidR="00771184" w:rsidRPr="009E00D2" w:rsidRDefault="00771184" w:rsidP="00771184">
      <w:pPr>
        <w:pStyle w:val="NoSpacing"/>
        <w:spacing w:line="480" w:lineRule="auto"/>
        <w:jc w:val="both"/>
        <w:rPr>
          <w:rFonts w:ascii="Garamond" w:hAnsi="Garamond"/>
          <w:sz w:val="24"/>
          <w:szCs w:val="24"/>
        </w:rPr>
      </w:pPr>
      <w:proofErr w:type="spellStart"/>
      <w:r w:rsidRPr="009E00D2">
        <w:rPr>
          <w:rFonts w:ascii="Garamond" w:hAnsi="Garamond"/>
          <w:sz w:val="24"/>
          <w:szCs w:val="24"/>
        </w:rPr>
        <w:t>Gropp</w:t>
      </w:r>
      <w:proofErr w:type="spellEnd"/>
      <w:r w:rsidRPr="009E00D2">
        <w:rPr>
          <w:rFonts w:ascii="Garamond" w:hAnsi="Garamond"/>
          <w:sz w:val="24"/>
          <w:szCs w:val="24"/>
        </w:rPr>
        <w:t xml:space="preserve">, J. (2004) Mean reversion of industry stock returns in the U.S., 1926–1998. </w:t>
      </w:r>
      <w:r w:rsidRPr="00943696">
        <w:rPr>
          <w:rFonts w:ascii="Garamond" w:hAnsi="Garamond"/>
          <w:i/>
          <w:sz w:val="24"/>
          <w:szCs w:val="24"/>
        </w:rPr>
        <w:t>Journal of Empirical Finance</w:t>
      </w:r>
      <w:r w:rsidRPr="009E00D2">
        <w:rPr>
          <w:rFonts w:ascii="Garamond" w:hAnsi="Garamond"/>
          <w:sz w:val="24"/>
          <w:szCs w:val="24"/>
        </w:rPr>
        <w:t xml:space="preserve"> 11, 537-551</w:t>
      </w:r>
    </w:p>
    <w:p w14:paraId="0FD7CC6E" w14:textId="148E7D0B" w:rsidR="00D60A9A" w:rsidRDefault="00D60A9A" w:rsidP="00FA4457">
      <w:pPr>
        <w:spacing w:line="480" w:lineRule="auto"/>
        <w:jc w:val="both"/>
        <w:rPr>
          <w:rFonts w:ascii="Garamond" w:hAnsi="Garamond"/>
          <w:sz w:val="24"/>
          <w:szCs w:val="24"/>
          <w:lang w:val="en-GB"/>
        </w:rPr>
      </w:pPr>
      <w:proofErr w:type="spellStart"/>
      <w:r w:rsidRPr="00782436">
        <w:rPr>
          <w:rFonts w:ascii="Garamond" w:hAnsi="Garamond"/>
          <w:sz w:val="24"/>
          <w:szCs w:val="24"/>
          <w:lang w:val="en-GB"/>
        </w:rPr>
        <w:lastRenderedPageBreak/>
        <w:t>Ichev</w:t>
      </w:r>
      <w:proofErr w:type="spellEnd"/>
      <w:r w:rsidRPr="00782436">
        <w:rPr>
          <w:rFonts w:ascii="Garamond" w:hAnsi="Garamond"/>
          <w:sz w:val="24"/>
          <w:szCs w:val="24"/>
          <w:lang w:val="en-GB"/>
        </w:rPr>
        <w:t xml:space="preserve">, R., </w:t>
      </w:r>
      <w:proofErr w:type="spellStart"/>
      <w:r w:rsidRPr="00782436">
        <w:rPr>
          <w:rFonts w:ascii="Garamond" w:hAnsi="Garamond"/>
          <w:sz w:val="24"/>
          <w:szCs w:val="24"/>
          <w:lang w:val="en-GB"/>
        </w:rPr>
        <w:t>Marinč</w:t>
      </w:r>
      <w:proofErr w:type="spellEnd"/>
      <w:r w:rsidRPr="00782436">
        <w:rPr>
          <w:rFonts w:ascii="Garamond" w:hAnsi="Garamond"/>
          <w:sz w:val="24"/>
          <w:szCs w:val="24"/>
          <w:lang w:val="en-GB"/>
        </w:rPr>
        <w:t xml:space="preserve">, M. (2018). Stock prices and geographic proximity of information: Evidence from the Ebola outbreak. </w:t>
      </w:r>
      <w:r w:rsidRPr="00D837E7">
        <w:rPr>
          <w:rFonts w:ascii="Garamond" w:hAnsi="Garamond"/>
          <w:i/>
          <w:iCs/>
          <w:sz w:val="24"/>
          <w:szCs w:val="24"/>
          <w:lang w:val="en-GB"/>
        </w:rPr>
        <w:t>International Review of Financial Analysis</w:t>
      </w:r>
      <w:r w:rsidRPr="00834FBB">
        <w:rPr>
          <w:rFonts w:ascii="Garamond" w:hAnsi="Garamond"/>
          <w:sz w:val="24"/>
          <w:szCs w:val="24"/>
          <w:lang w:val="en-GB"/>
        </w:rPr>
        <w:t>, 56</w:t>
      </w:r>
      <w:r w:rsidRPr="00782436">
        <w:rPr>
          <w:rFonts w:ascii="Garamond" w:hAnsi="Garamond"/>
          <w:sz w:val="24"/>
          <w:szCs w:val="24"/>
          <w:lang w:val="en-GB"/>
        </w:rPr>
        <w:t>, 153-166.</w:t>
      </w:r>
    </w:p>
    <w:p w14:paraId="35574892" w14:textId="33D1C842" w:rsidR="00834FBB" w:rsidRDefault="00834FBB" w:rsidP="00FA4457">
      <w:pPr>
        <w:spacing w:line="480" w:lineRule="auto"/>
        <w:jc w:val="both"/>
        <w:rPr>
          <w:rFonts w:ascii="Garamond" w:hAnsi="Garamond"/>
          <w:color w:val="FF0000"/>
          <w:sz w:val="24"/>
          <w:szCs w:val="24"/>
          <w:lang w:val="en-GB"/>
        </w:rPr>
      </w:pPr>
      <w:r w:rsidRPr="00D837E7">
        <w:rPr>
          <w:rFonts w:ascii="Garamond" w:hAnsi="Garamond"/>
          <w:color w:val="FF0000"/>
          <w:sz w:val="24"/>
          <w:szCs w:val="24"/>
          <w:lang w:val="en-GB"/>
        </w:rPr>
        <w:t xml:space="preserve">Jalan, A., </w:t>
      </w:r>
      <w:proofErr w:type="spellStart"/>
      <w:r w:rsidRPr="00D837E7">
        <w:rPr>
          <w:rFonts w:ascii="Garamond" w:hAnsi="Garamond"/>
          <w:color w:val="FF0000"/>
          <w:sz w:val="24"/>
          <w:szCs w:val="24"/>
          <w:lang w:val="en-GB"/>
        </w:rPr>
        <w:t>Matkovskyy</w:t>
      </w:r>
      <w:proofErr w:type="spellEnd"/>
      <w:r w:rsidRPr="00D837E7">
        <w:rPr>
          <w:rFonts w:ascii="Garamond" w:hAnsi="Garamond"/>
          <w:color w:val="FF0000"/>
          <w:sz w:val="24"/>
          <w:szCs w:val="24"/>
          <w:lang w:val="en-GB"/>
        </w:rPr>
        <w:t xml:space="preserve">, R. and </w:t>
      </w:r>
      <w:proofErr w:type="spellStart"/>
      <w:r w:rsidRPr="00D837E7">
        <w:rPr>
          <w:rFonts w:ascii="Garamond" w:hAnsi="Garamond"/>
          <w:color w:val="FF0000"/>
          <w:sz w:val="24"/>
          <w:szCs w:val="24"/>
          <w:lang w:val="en-GB"/>
        </w:rPr>
        <w:t>Poti</w:t>
      </w:r>
      <w:proofErr w:type="spellEnd"/>
      <w:r w:rsidRPr="00D837E7">
        <w:rPr>
          <w:rFonts w:ascii="Garamond" w:hAnsi="Garamond"/>
          <w:color w:val="FF0000"/>
          <w:sz w:val="24"/>
          <w:szCs w:val="24"/>
          <w:lang w:val="en-GB"/>
        </w:rPr>
        <w:t>, V. (2021)</w:t>
      </w:r>
      <w:r w:rsidR="00D837E7" w:rsidRPr="00D837E7">
        <w:rPr>
          <w:rFonts w:ascii="Garamond" w:hAnsi="Garamond"/>
          <w:color w:val="FF0000"/>
          <w:sz w:val="24"/>
          <w:szCs w:val="24"/>
          <w:lang w:val="en-GB"/>
        </w:rPr>
        <w:t xml:space="preserve">. Shall the winning last? A study of recent bubbles and persistence. </w:t>
      </w:r>
      <w:r w:rsidR="00D837E7" w:rsidRPr="00D837E7">
        <w:rPr>
          <w:rFonts w:ascii="Garamond" w:hAnsi="Garamond"/>
          <w:i/>
          <w:iCs/>
          <w:color w:val="FF0000"/>
          <w:sz w:val="24"/>
          <w:szCs w:val="24"/>
          <w:lang w:val="en-GB"/>
        </w:rPr>
        <w:t>Finance Research Letters</w:t>
      </w:r>
      <w:r w:rsidR="00D837E7" w:rsidRPr="00D837E7">
        <w:rPr>
          <w:rFonts w:ascii="Garamond" w:hAnsi="Garamond"/>
          <w:color w:val="FF0000"/>
          <w:sz w:val="24"/>
          <w:szCs w:val="24"/>
          <w:lang w:val="en-GB"/>
        </w:rPr>
        <w:t xml:space="preserve"> (In press)</w:t>
      </w:r>
    </w:p>
    <w:p w14:paraId="1BBB0A83" w14:textId="77777777" w:rsidR="008F27B1" w:rsidRPr="008F27B1" w:rsidRDefault="008F27B1" w:rsidP="008F27B1">
      <w:pPr>
        <w:spacing w:line="480" w:lineRule="auto"/>
        <w:jc w:val="both"/>
        <w:rPr>
          <w:rFonts w:ascii="Garamond" w:hAnsi="Garamond"/>
          <w:color w:val="FF0000"/>
          <w:sz w:val="24"/>
          <w:szCs w:val="24"/>
          <w:lang w:val="en-GB"/>
        </w:rPr>
      </w:pPr>
      <w:r w:rsidRPr="008F27B1">
        <w:rPr>
          <w:rFonts w:ascii="Garamond" w:hAnsi="Garamond"/>
          <w:color w:val="FF0000"/>
          <w:sz w:val="24"/>
          <w:szCs w:val="24"/>
          <w:lang w:val="en-GB"/>
        </w:rPr>
        <w:t xml:space="preserve">Jalan, A., </w:t>
      </w:r>
      <w:proofErr w:type="spellStart"/>
      <w:r w:rsidRPr="008F27B1">
        <w:rPr>
          <w:rFonts w:ascii="Garamond" w:hAnsi="Garamond"/>
          <w:color w:val="FF0000"/>
          <w:sz w:val="24"/>
          <w:szCs w:val="24"/>
          <w:lang w:val="en-GB"/>
        </w:rPr>
        <w:t>Matkovskyy</w:t>
      </w:r>
      <w:proofErr w:type="spellEnd"/>
      <w:r w:rsidRPr="008F27B1">
        <w:rPr>
          <w:rFonts w:ascii="Garamond" w:hAnsi="Garamond"/>
          <w:color w:val="FF0000"/>
          <w:sz w:val="24"/>
          <w:szCs w:val="24"/>
          <w:lang w:val="en-GB"/>
        </w:rPr>
        <w:t>, R., Yarovaya, L. (2020) 'Shiny' Crypto Assets: A Systemic Look at Gold-Backed Cryptocurrencies during the COVID-19 Pandemic. Available at http://dx.doi.org/10.2139/ssrn.3796837</w:t>
      </w:r>
    </w:p>
    <w:p w14:paraId="5FE5F4B6" w14:textId="452FC365" w:rsidR="00771184" w:rsidRDefault="00771184" w:rsidP="00771184">
      <w:pPr>
        <w:pStyle w:val="NoSpacing"/>
        <w:spacing w:line="480" w:lineRule="auto"/>
        <w:jc w:val="both"/>
        <w:rPr>
          <w:rFonts w:ascii="Garamond" w:hAnsi="Garamond"/>
          <w:sz w:val="24"/>
          <w:szCs w:val="24"/>
        </w:rPr>
      </w:pPr>
      <w:proofErr w:type="spellStart"/>
      <w:r w:rsidRPr="00834FBB">
        <w:rPr>
          <w:rFonts w:ascii="Garamond" w:hAnsi="Garamond"/>
          <w:sz w:val="24"/>
          <w:szCs w:val="24"/>
          <w:lang w:val="en-GB"/>
        </w:rPr>
        <w:t>Jegadeesh</w:t>
      </w:r>
      <w:proofErr w:type="spellEnd"/>
      <w:r w:rsidRPr="00834FBB">
        <w:rPr>
          <w:rFonts w:ascii="Garamond" w:hAnsi="Garamond"/>
          <w:sz w:val="24"/>
          <w:szCs w:val="24"/>
          <w:lang w:val="en-GB"/>
        </w:rPr>
        <w:t>, N. (1991). Seasonality in stock price mean reversion: Evidence from the U.S. and the</w:t>
      </w:r>
      <w:r w:rsidRPr="009E00D2">
        <w:rPr>
          <w:rFonts w:ascii="Garamond" w:hAnsi="Garamond"/>
          <w:sz w:val="24"/>
          <w:szCs w:val="24"/>
        </w:rPr>
        <w:t xml:space="preserve"> U.K. </w:t>
      </w:r>
      <w:r w:rsidRPr="00943696">
        <w:rPr>
          <w:rFonts w:ascii="Garamond" w:hAnsi="Garamond"/>
          <w:i/>
          <w:sz w:val="24"/>
          <w:szCs w:val="24"/>
        </w:rPr>
        <w:t>The Journal of Finance</w:t>
      </w:r>
      <w:r w:rsidRPr="009E00D2">
        <w:rPr>
          <w:rFonts w:ascii="Garamond" w:hAnsi="Garamond"/>
          <w:sz w:val="24"/>
          <w:szCs w:val="24"/>
        </w:rPr>
        <w:t xml:space="preserve"> 46, 1427-1444</w:t>
      </w:r>
    </w:p>
    <w:p w14:paraId="5467CA8A" w14:textId="348DD538" w:rsidR="0044325A" w:rsidRPr="0044325A" w:rsidRDefault="0044325A" w:rsidP="00771184">
      <w:pPr>
        <w:pStyle w:val="NoSpacing"/>
        <w:spacing w:line="480" w:lineRule="auto"/>
        <w:jc w:val="both"/>
        <w:rPr>
          <w:rFonts w:ascii="Garamond" w:hAnsi="Garamond"/>
          <w:color w:val="FF0000"/>
          <w:sz w:val="24"/>
          <w:szCs w:val="24"/>
        </w:rPr>
      </w:pPr>
      <w:proofErr w:type="spellStart"/>
      <w:r w:rsidRPr="0044325A">
        <w:rPr>
          <w:rFonts w:ascii="Garamond" w:hAnsi="Garamond"/>
          <w:color w:val="FF0000"/>
          <w:sz w:val="24"/>
          <w:szCs w:val="24"/>
        </w:rPr>
        <w:t>Katsiampa</w:t>
      </w:r>
      <w:proofErr w:type="spellEnd"/>
      <w:r w:rsidRPr="0044325A">
        <w:rPr>
          <w:rFonts w:ascii="Garamond" w:hAnsi="Garamond"/>
          <w:color w:val="FF0000"/>
          <w:sz w:val="24"/>
          <w:szCs w:val="24"/>
        </w:rPr>
        <w:t xml:space="preserve">, P., Yarovaya, L., </w:t>
      </w:r>
      <w:proofErr w:type="spellStart"/>
      <w:r w:rsidRPr="0044325A">
        <w:rPr>
          <w:rFonts w:ascii="Garamond" w:hAnsi="Garamond"/>
          <w:color w:val="FF0000"/>
          <w:sz w:val="24"/>
          <w:szCs w:val="24"/>
        </w:rPr>
        <w:t>Zięba</w:t>
      </w:r>
      <w:proofErr w:type="spellEnd"/>
      <w:r w:rsidRPr="0044325A">
        <w:rPr>
          <w:rFonts w:ascii="Garamond" w:hAnsi="Garamond"/>
          <w:color w:val="FF0000"/>
          <w:sz w:val="24"/>
          <w:szCs w:val="24"/>
        </w:rPr>
        <w:t>, D. (2021). High-Frequency Connectedness between Bitcoin and Other Top-Traded Crypto Assets during the COVID-19 Crisis (June 21, 2021). Available at http://dx.doi.org/10.2139/ssrn.3871405</w:t>
      </w:r>
    </w:p>
    <w:p w14:paraId="13E9E381" w14:textId="77777777" w:rsidR="00771184" w:rsidRPr="009E00D2" w:rsidRDefault="00771184" w:rsidP="00771184">
      <w:pPr>
        <w:spacing w:line="480" w:lineRule="auto"/>
        <w:jc w:val="both"/>
        <w:rPr>
          <w:rFonts w:ascii="Garamond" w:hAnsi="Garamond"/>
          <w:sz w:val="24"/>
          <w:szCs w:val="24"/>
          <w:lang w:val="en-GB"/>
        </w:rPr>
      </w:pPr>
      <w:proofErr w:type="spellStart"/>
      <w:r w:rsidRPr="009E00D2">
        <w:rPr>
          <w:rFonts w:ascii="Garamond" w:hAnsi="Garamond"/>
          <w:sz w:val="24"/>
          <w:szCs w:val="24"/>
          <w:lang w:val="en-GB"/>
        </w:rPr>
        <w:t>Kapetanios</w:t>
      </w:r>
      <w:proofErr w:type="spellEnd"/>
      <w:r w:rsidRPr="009E00D2">
        <w:rPr>
          <w:rFonts w:ascii="Garamond" w:hAnsi="Garamond"/>
          <w:sz w:val="24"/>
          <w:szCs w:val="24"/>
          <w:lang w:val="en-GB"/>
        </w:rPr>
        <w:t xml:space="preserve">, G., Shin, Y., Snell, A. (2003). Testing for a unit root in the nonlinear star framework. </w:t>
      </w:r>
      <w:r w:rsidRPr="00943696">
        <w:rPr>
          <w:rFonts w:ascii="Garamond" w:hAnsi="Garamond"/>
          <w:i/>
          <w:sz w:val="24"/>
          <w:szCs w:val="24"/>
          <w:lang w:val="en-GB"/>
        </w:rPr>
        <w:t xml:space="preserve">J. </w:t>
      </w:r>
      <w:proofErr w:type="spellStart"/>
      <w:r w:rsidRPr="00943696">
        <w:rPr>
          <w:rFonts w:ascii="Garamond" w:hAnsi="Garamond"/>
          <w:i/>
          <w:sz w:val="24"/>
          <w:szCs w:val="24"/>
          <w:lang w:val="en-GB"/>
        </w:rPr>
        <w:t>Econom</w:t>
      </w:r>
      <w:proofErr w:type="spellEnd"/>
      <w:r w:rsidRPr="00943696">
        <w:rPr>
          <w:rFonts w:ascii="Garamond" w:hAnsi="Garamond"/>
          <w:i/>
          <w:sz w:val="24"/>
          <w:szCs w:val="24"/>
          <w:lang w:val="en-GB"/>
        </w:rPr>
        <w:t>.</w:t>
      </w:r>
      <w:r w:rsidRPr="009E00D2">
        <w:rPr>
          <w:rFonts w:ascii="Garamond" w:hAnsi="Garamond"/>
          <w:sz w:val="24"/>
          <w:szCs w:val="24"/>
          <w:lang w:val="en-GB"/>
        </w:rPr>
        <w:t xml:space="preserve"> 112 (2), 359–379. </w:t>
      </w:r>
    </w:p>
    <w:p w14:paraId="0EC9893C" w14:textId="36FEBDC0" w:rsidR="00771184" w:rsidRDefault="00771184" w:rsidP="00771184">
      <w:pPr>
        <w:spacing w:line="480" w:lineRule="auto"/>
        <w:jc w:val="both"/>
        <w:rPr>
          <w:rFonts w:ascii="Garamond" w:hAnsi="Garamond"/>
          <w:sz w:val="24"/>
          <w:szCs w:val="24"/>
          <w:lang w:val="en-GB"/>
        </w:rPr>
      </w:pPr>
      <w:proofErr w:type="spellStart"/>
      <w:r w:rsidRPr="009E00D2">
        <w:rPr>
          <w:rFonts w:ascii="Garamond" w:hAnsi="Garamond"/>
          <w:sz w:val="24"/>
          <w:szCs w:val="24"/>
          <w:lang w:val="en-GB"/>
        </w:rPr>
        <w:t>Kilic</w:t>
      </w:r>
      <w:proofErr w:type="spellEnd"/>
      <w:r w:rsidRPr="009E00D2">
        <w:rPr>
          <w:rFonts w:ascii="Garamond" w:hAnsi="Garamond"/>
          <w:sz w:val="24"/>
          <w:szCs w:val="24"/>
          <w:lang w:val="en-GB"/>
        </w:rPr>
        <w:t xml:space="preserve">, R. (2011). Testing for a unit root in a stationary </w:t>
      </w:r>
      <w:proofErr w:type="spellStart"/>
      <w:r w:rsidRPr="009E00D2">
        <w:rPr>
          <w:rFonts w:ascii="Garamond" w:hAnsi="Garamond"/>
          <w:sz w:val="24"/>
          <w:szCs w:val="24"/>
          <w:lang w:val="en-GB"/>
        </w:rPr>
        <w:t>estar</w:t>
      </w:r>
      <w:proofErr w:type="spellEnd"/>
      <w:r w:rsidRPr="009E00D2">
        <w:rPr>
          <w:rFonts w:ascii="Garamond" w:hAnsi="Garamond"/>
          <w:sz w:val="24"/>
          <w:szCs w:val="24"/>
          <w:lang w:val="en-GB"/>
        </w:rPr>
        <w:t xml:space="preserve"> process. </w:t>
      </w:r>
      <w:proofErr w:type="spellStart"/>
      <w:r w:rsidRPr="00943696">
        <w:rPr>
          <w:rFonts w:ascii="Garamond" w:hAnsi="Garamond"/>
          <w:i/>
          <w:sz w:val="24"/>
          <w:szCs w:val="24"/>
          <w:lang w:val="en-GB"/>
        </w:rPr>
        <w:t>Econom</w:t>
      </w:r>
      <w:proofErr w:type="spellEnd"/>
      <w:r w:rsidRPr="00943696">
        <w:rPr>
          <w:rFonts w:ascii="Garamond" w:hAnsi="Garamond"/>
          <w:i/>
          <w:sz w:val="24"/>
          <w:szCs w:val="24"/>
          <w:lang w:val="en-GB"/>
        </w:rPr>
        <w:t>. Rev.</w:t>
      </w:r>
      <w:r w:rsidRPr="009E00D2">
        <w:rPr>
          <w:rFonts w:ascii="Garamond" w:hAnsi="Garamond"/>
          <w:sz w:val="24"/>
          <w:szCs w:val="24"/>
          <w:lang w:val="en-GB"/>
        </w:rPr>
        <w:t xml:space="preserve"> 30(3), 274–302. </w:t>
      </w:r>
    </w:p>
    <w:p w14:paraId="65C2382E" w14:textId="21286479" w:rsidR="00D60A9A" w:rsidRPr="00943696" w:rsidRDefault="00D60A9A" w:rsidP="00943696">
      <w:pPr>
        <w:pStyle w:val="NoSpacing"/>
        <w:spacing w:line="480" w:lineRule="auto"/>
        <w:jc w:val="both"/>
        <w:rPr>
          <w:rFonts w:ascii="Garamond" w:eastAsiaTheme="minorEastAsia" w:hAnsi="Garamond"/>
          <w:bCs/>
          <w:iCs/>
          <w:sz w:val="24"/>
          <w:szCs w:val="24"/>
        </w:rPr>
      </w:pPr>
      <w:r>
        <w:rPr>
          <w:rFonts w:ascii="Garamond" w:eastAsiaTheme="minorEastAsia" w:hAnsi="Garamond"/>
          <w:bCs/>
          <w:iCs/>
          <w:sz w:val="24"/>
          <w:szCs w:val="24"/>
        </w:rPr>
        <w:t xml:space="preserve">Kim, M.J., Nelson, C.R., </w:t>
      </w:r>
      <w:proofErr w:type="spellStart"/>
      <w:r>
        <w:rPr>
          <w:rFonts w:ascii="Garamond" w:eastAsiaTheme="minorEastAsia" w:hAnsi="Garamond"/>
          <w:bCs/>
          <w:iCs/>
          <w:sz w:val="24"/>
          <w:szCs w:val="24"/>
        </w:rPr>
        <w:t>Startz</w:t>
      </w:r>
      <w:proofErr w:type="spellEnd"/>
      <w:r>
        <w:rPr>
          <w:rFonts w:ascii="Garamond" w:eastAsiaTheme="minorEastAsia" w:hAnsi="Garamond"/>
          <w:bCs/>
          <w:iCs/>
          <w:sz w:val="24"/>
          <w:szCs w:val="24"/>
        </w:rPr>
        <w:t xml:space="preserve">, R. (1991). </w:t>
      </w:r>
      <w:r w:rsidRPr="00644E26">
        <w:rPr>
          <w:rFonts w:ascii="Garamond" w:eastAsiaTheme="minorEastAsia" w:hAnsi="Garamond"/>
          <w:bCs/>
          <w:iCs/>
          <w:sz w:val="24"/>
          <w:szCs w:val="24"/>
        </w:rPr>
        <w:t>Mean reversion in stock prices? A reappraisal of the empirical evidence</w:t>
      </w:r>
      <w:r w:rsidRPr="00943696">
        <w:rPr>
          <w:rFonts w:ascii="Garamond" w:eastAsiaTheme="minorEastAsia" w:hAnsi="Garamond"/>
          <w:bCs/>
          <w:i/>
          <w:iCs/>
          <w:sz w:val="24"/>
          <w:szCs w:val="24"/>
        </w:rPr>
        <w:t>. Review of Economic Studies</w:t>
      </w:r>
      <w:r>
        <w:rPr>
          <w:rFonts w:ascii="Garamond" w:eastAsiaTheme="minorEastAsia" w:hAnsi="Garamond"/>
          <w:bCs/>
          <w:iCs/>
          <w:sz w:val="24"/>
          <w:szCs w:val="24"/>
        </w:rPr>
        <w:t xml:space="preserve"> 58, </w:t>
      </w:r>
      <w:r w:rsidRPr="005A01D7">
        <w:rPr>
          <w:rFonts w:ascii="Garamond" w:eastAsiaTheme="minorEastAsia" w:hAnsi="Garamond"/>
          <w:bCs/>
          <w:iCs/>
          <w:sz w:val="24"/>
          <w:szCs w:val="24"/>
        </w:rPr>
        <w:t>515-528</w:t>
      </w:r>
      <w:r>
        <w:rPr>
          <w:rFonts w:ascii="Garamond" w:eastAsiaTheme="minorEastAsia" w:hAnsi="Garamond"/>
          <w:bCs/>
          <w:iCs/>
          <w:sz w:val="24"/>
          <w:szCs w:val="24"/>
        </w:rPr>
        <w:t>.</w:t>
      </w:r>
    </w:p>
    <w:p w14:paraId="64A26D34" w14:textId="77777777" w:rsidR="00771184" w:rsidRPr="009E00D2" w:rsidRDefault="00771184" w:rsidP="00771184">
      <w:pPr>
        <w:spacing w:line="480" w:lineRule="auto"/>
        <w:jc w:val="both"/>
        <w:rPr>
          <w:rFonts w:ascii="Garamond" w:hAnsi="Garamond"/>
          <w:sz w:val="24"/>
          <w:szCs w:val="24"/>
          <w:lang w:val="en-GB"/>
        </w:rPr>
      </w:pPr>
      <w:proofErr w:type="spellStart"/>
      <w:r w:rsidRPr="009E00D2">
        <w:rPr>
          <w:rFonts w:ascii="Garamond" w:eastAsiaTheme="minorEastAsia" w:hAnsi="Garamond"/>
          <w:iCs/>
          <w:sz w:val="24"/>
          <w:szCs w:val="24"/>
        </w:rPr>
        <w:t>Koenker</w:t>
      </w:r>
      <w:proofErr w:type="spellEnd"/>
      <w:r w:rsidRPr="009E00D2">
        <w:rPr>
          <w:rFonts w:ascii="Garamond" w:eastAsiaTheme="minorEastAsia" w:hAnsi="Garamond"/>
          <w:iCs/>
          <w:sz w:val="24"/>
          <w:szCs w:val="24"/>
        </w:rPr>
        <w:t>, R. and Bassett, G. (1978)</w:t>
      </w:r>
      <w:r w:rsidRPr="009E00D2">
        <w:rPr>
          <w:rFonts w:ascii="Garamond" w:hAnsi="Garamond"/>
          <w:sz w:val="24"/>
          <w:szCs w:val="24"/>
        </w:rPr>
        <w:t xml:space="preserve"> </w:t>
      </w:r>
      <w:r w:rsidRPr="009E00D2">
        <w:rPr>
          <w:rFonts w:ascii="Garamond" w:eastAsiaTheme="minorEastAsia" w:hAnsi="Garamond"/>
          <w:iCs/>
          <w:sz w:val="24"/>
          <w:szCs w:val="24"/>
        </w:rPr>
        <w:t xml:space="preserve">Regression quantiles. </w:t>
      </w:r>
      <w:proofErr w:type="spellStart"/>
      <w:r w:rsidRPr="00943696">
        <w:rPr>
          <w:rFonts w:ascii="Garamond" w:eastAsiaTheme="minorEastAsia" w:hAnsi="Garamond"/>
          <w:i/>
          <w:iCs/>
          <w:sz w:val="24"/>
          <w:szCs w:val="24"/>
        </w:rPr>
        <w:t>Econometrica</w:t>
      </w:r>
      <w:proofErr w:type="spellEnd"/>
      <w:r w:rsidRPr="009E00D2">
        <w:rPr>
          <w:rFonts w:ascii="Garamond" w:eastAsiaTheme="minorEastAsia" w:hAnsi="Garamond"/>
          <w:iCs/>
          <w:sz w:val="24"/>
          <w:szCs w:val="24"/>
        </w:rPr>
        <w:t xml:space="preserve"> 46 (1), 33–49.</w:t>
      </w:r>
    </w:p>
    <w:p w14:paraId="46445CC0" w14:textId="77777777" w:rsidR="00771184" w:rsidRPr="009E00D2" w:rsidRDefault="00771184" w:rsidP="00771184">
      <w:pPr>
        <w:pStyle w:val="NoSpacing"/>
        <w:spacing w:line="480" w:lineRule="auto"/>
        <w:jc w:val="both"/>
        <w:rPr>
          <w:rFonts w:ascii="Garamond" w:hAnsi="Garamond"/>
          <w:sz w:val="24"/>
          <w:szCs w:val="24"/>
        </w:rPr>
      </w:pPr>
      <w:proofErr w:type="spellStart"/>
      <w:r w:rsidRPr="009E00D2">
        <w:rPr>
          <w:rFonts w:ascii="Garamond" w:hAnsi="Garamond"/>
          <w:sz w:val="24"/>
          <w:szCs w:val="24"/>
        </w:rPr>
        <w:t>Koenker</w:t>
      </w:r>
      <w:proofErr w:type="spellEnd"/>
      <w:r w:rsidRPr="009E00D2">
        <w:rPr>
          <w:rFonts w:ascii="Garamond" w:hAnsi="Garamond"/>
          <w:sz w:val="24"/>
          <w:szCs w:val="24"/>
        </w:rPr>
        <w:t xml:space="preserve">, R., &amp; Xiao, Z. (2004). Unit root quantile autoregression inference. </w:t>
      </w:r>
      <w:r w:rsidRPr="00943696">
        <w:rPr>
          <w:rFonts w:ascii="Garamond" w:hAnsi="Garamond"/>
          <w:i/>
          <w:sz w:val="24"/>
          <w:szCs w:val="24"/>
        </w:rPr>
        <w:t>Journal of the American Statistical Association</w:t>
      </w:r>
      <w:r w:rsidRPr="009E00D2">
        <w:rPr>
          <w:rFonts w:ascii="Garamond" w:hAnsi="Garamond"/>
          <w:sz w:val="24"/>
          <w:szCs w:val="24"/>
        </w:rPr>
        <w:t xml:space="preserve"> 99, 775–787.</w:t>
      </w:r>
    </w:p>
    <w:p w14:paraId="47A70B10" w14:textId="55B6AA3F" w:rsidR="00771184" w:rsidRDefault="00771184" w:rsidP="00771184">
      <w:pPr>
        <w:pStyle w:val="NoSpacing"/>
        <w:spacing w:line="480" w:lineRule="auto"/>
        <w:jc w:val="both"/>
        <w:rPr>
          <w:rFonts w:ascii="Garamond" w:hAnsi="Garamond"/>
          <w:sz w:val="24"/>
          <w:szCs w:val="24"/>
        </w:rPr>
      </w:pPr>
      <w:proofErr w:type="spellStart"/>
      <w:r w:rsidRPr="009E00D2">
        <w:rPr>
          <w:rFonts w:ascii="Garamond" w:hAnsi="Garamond"/>
          <w:sz w:val="24"/>
          <w:szCs w:val="24"/>
        </w:rPr>
        <w:t>Koenker</w:t>
      </w:r>
      <w:proofErr w:type="spellEnd"/>
      <w:r w:rsidRPr="009E00D2">
        <w:rPr>
          <w:rFonts w:ascii="Garamond" w:hAnsi="Garamond"/>
          <w:sz w:val="24"/>
          <w:szCs w:val="24"/>
        </w:rPr>
        <w:t xml:space="preserve">, R., &amp; Xiao, Z. (2006). Quantile autoregression. </w:t>
      </w:r>
      <w:r w:rsidRPr="00943696">
        <w:rPr>
          <w:rFonts w:ascii="Garamond" w:hAnsi="Garamond"/>
          <w:i/>
          <w:sz w:val="24"/>
          <w:szCs w:val="24"/>
        </w:rPr>
        <w:t xml:space="preserve">Journal of the American Statistical Association </w:t>
      </w:r>
      <w:r w:rsidRPr="009E00D2">
        <w:rPr>
          <w:rFonts w:ascii="Garamond" w:hAnsi="Garamond"/>
          <w:sz w:val="24"/>
          <w:szCs w:val="24"/>
        </w:rPr>
        <w:t>101, 980–990.</w:t>
      </w:r>
    </w:p>
    <w:p w14:paraId="5BAE0887" w14:textId="2D1227D8" w:rsidR="00712818" w:rsidRPr="009E00D2" w:rsidRDefault="00712818" w:rsidP="00771184">
      <w:pPr>
        <w:pStyle w:val="NoSpacing"/>
        <w:spacing w:line="480" w:lineRule="auto"/>
        <w:jc w:val="both"/>
        <w:rPr>
          <w:rFonts w:ascii="Garamond" w:hAnsi="Garamond"/>
          <w:sz w:val="24"/>
          <w:szCs w:val="24"/>
        </w:rPr>
      </w:pPr>
      <w:r w:rsidRPr="00712818">
        <w:rPr>
          <w:rFonts w:ascii="Garamond" w:hAnsi="Garamond"/>
          <w:sz w:val="24"/>
          <w:szCs w:val="24"/>
        </w:rPr>
        <w:t>Krupa, J., Jones, C. (2013). Black Swan Theory: Applications to energy m</w:t>
      </w:r>
      <w:r w:rsidR="00FF2CB4">
        <w:rPr>
          <w:rFonts w:ascii="Garamond" w:hAnsi="Garamond"/>
          <w:sz w:val="24"/>
          <w:szCs w:val="24"/>
        </w:rPr>
        <w:t>a</w:t>
      </w:r>
      <w:r w:rsidRPr="00712818">
        <w:rPr>
          <w:rFonts w:ascii="Garamond" w:hAnsi="Garamond"/>
          <w:sz w:val="24"/>
          <w:szCs w:val="24"/>
        </w:rPr>
        <w:t xml:space="preserve">rket </w:t>
      </w:r>
      <w:proofErr w:type="spellStart"/>
      <w:r w:rsidRPr="00712818">
        <w:rPr>
          <w:rFonts w:ascii="Garamond" w:hAnsi="Garamond"/>
          <w:sz w:val="24"/>
          <w:szCs w:val="24"/>
        </w:rPr>
        <w:t>histrories</w:t>
      </w:r>
      <w:proofErr w:type="spellEnd"/>
      <w:r w:rsidRPr="00712818">
        <w:rPr>
          <w:rFonts w:ascii="Garamond" w:hAnsi="Garamond"/>
          <w:sz w:val="24"/>
          <w:szCs w:val="24"/>
        </w:rPr>
        <w:t xml:space="preserve"> and technologies. </w:t>
      </w:r>
      <w:r w:rsidRPr="00712818">
        <w:rPr>
          <w:rFonts w:ascii="Garamond" w:hAnsi="Garamond"/>
          <w:i/>
          <w:iCs/>
          <w:sz w:val="24"/>
          <w:szCs w:val="24"/>
        </w:rPr>
        <w:t>Energy Strategy Reviews, 1</w:t>
      </w:r>
      <w:r w:rsidRPr="00712818">
        <w:rPr>
          <w:rFonts w:ascii="Garamond" w:hAnsi="Garamond"/>
          <w:sz w:val="24"/>
          <w:szCs w:val="24"/>
        </w:rPr>
        <w:t>, 286-290.</w:t>
      </w:r>
    </w:p>
    <w:p w14:paraId="6E60526E" w14:textId="0DDEE9D5" w:rsidR="00771184"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lastRenderedPageBreak/>
        <w:t xml:space="preserve">Kwiatkowski, D., Phillips, P. C. B., Schmidt, P. and Shin, Y. (1992) Testing the null hypothesis of stationarity against the alternative of a unit root. </w:t>
      </w:r>
      <w:r w:rsidRPr="00943696">
        <w:rPr>
          <w:rFonts w:ascii="Garamond" w:hAnsi="Garamond"/>
          <w:i/>
          <w:sz w:val="24"/>
          <w:szCs w:val="24"/>
        </w:rPr>
        <w:t>Journal of Econometrics</w:t>
      </w:r>
      <w:r w:rsidRPr="009E00D2">
        <w:rPr>
          <w:rFonts w:ascii="Garamond" w:hAnsi="Garamond"/>
          <w:sz w:val="24"/>
          <w:szCs w:val="24"/>
        </w:rPr>
        <w:t xml:space="preserve"> 54, 159–78.</w:t>
      </w:r>
    </w:p>
    <w:p w14:paraId="3BBD52FE" w14:textId="16EAD6A5" w:rsidR="00592307" w:rsidRPr="00592307" w:rsidRDefault="00592307" w:rsidP="00771184">
      <w:pPr>
        <w:pStyle w:val="NoSpacing"/>
        <w:spacing w:line="480" w:lineRule="auto"/>
        <w:jc w:val="both"/>
        <w:rPr>
          <w:rFonts w:ascii="Garamond" w:hAnsi="Garamond"/>
          <w:color w:val="FF0000"/>
          <w:sz w:val="24"/>
          <w:szCs w:val="24"/>
        </w:rPr>
      </w:pPr>
      <w:r w:rsidRPr="00592307">
        <w:rPr>
          <w:rFonts w:ascii="Garamond" w:hAnsi="Garamond"/>
          <w:color w:val="FF0000"/>
          <w:sz w:val="24"/>
          <w:szCs w:val="24"/>
        </w:rPr>
        <w:t xml:space="preserve">Le, L.TN, Yarovaya, Y. and Nasir, M.A. (2021). Did COVID-19 change spillover patterns between Fintech and other asset classes? </w:t>
      </w:r>
      <w:r w:rsidRPr="00592307">
        <w:rPr>
          <w:rFonts w:ascii="Garamond" w:hAnsi="Garamond"/>
          <w:i/>
          <w:iCs/>
          <w:color w:val="FF0000"/>
          <w:sz w:val="24"/>
          <w:szCs w:val="24"/>
        </w:rPr>
        <w:t>Research in International Business and Finance</w:t>
      </w:r>
      <w:r w:rsidRPr="00592307">
        <w:rPr>
          <w:rFonts w:ascii="Garamond" w:hAnsi="Garamond"/>
          <w:color w:val="FF0000"/>
          <w:sz w:val="24"/>
          <w:szCs w:val="24"/>
        </w:rPr>
        <w:t xml:space="preserve"> 58, 101441.</w:t>
      </w:r>
    </w:p>
    <w:p w14:paraId="00473C34" w14:textId="77777777"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Lee, D. and Schmidt, P. (1996). On the power of the KPSS test of stationarity against fractionally integrated alternatives. </w:t>
      </w:r>
      <w:r w:rsidRPr="00943696">
        <w:rPr>
          <w:rFonts w:ascii="Garamond" w:hAnsi="Garamond"/>
          <w:i/>
          <w:sz w:val="24"/>
          <w:szCs w:val="24"/>
        </w:rPr>
        <w:t>Journal of Econometrics</w:t>
      </w:r>
      <w:r w:rsidRPr="009E00D2">
        <w:rPr>
          <w:rFonts w:ascii="Garamond" w:hAnsi="Garamond"/>
          <w:sz w:val="24"/>
          <w:szCs w:val="24"/>
        </w:rPr>
        <w:t xml:space="preserve"> 73, 285–302.</w:t>
      </w:r>
    </w:p>
    <w:p w14:paraId="47DD3C48" w14:textId="77777777"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Lin, L., &amp; Lin, W.-Y. (2013). Exchange rate reversion under regimes other than free float. </w:t>
      </w:r>
      <w:r w:rsidRPr="00943696">
        <w:rPr>
          <w:rFonts w:ascii="Garamond" w:hAnsi="Garamond"/>
          <w:i/>
          <w:sz w:val="24"/>
          <w:szCs w:val="24"/>
        </w:rPr>
        <w:t xml:space="preserve">International Journal of Finance and Economics </w:t>
      </w:r>
      <w:r w:rsidRPr="009E00D2">
        <w:rPr>
          <w:rFonts w:ascii="Garamond" w:hAnsi="Garamond"/>
          <w:sz w:val="24"/>
          <w:szCs w:val="24"/>
        </w:rPr>
        <w:t>18(3), 293–306.</w:t>
      </w:r>
    </w:p>
    <w:p w14:paraId="0D5E6223" w14:textId="77777777"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Lin, W.Y. and </w:t>
      </w:r>
      <w:r w:rsidRPr="009E00D2">
        <w:rPr>
          <w:rFonts w:ascii="Garamond" w:hAnsi="Garamond" w:cs="AdvTTe692faf0"/>
          <w:sz w:val="24"/>
          <w:szCs w:val="24"/>
        </w:rPr>
        <w:t>Tsai, I.-C.</w:t>
      </w:r>
      <w:r w:rsidRPr="009E00D2">
        <w:rPr>
          <w:rFonts w:ascii="Garamond" w:hAnsi="Garamond"/>
          <w:sz w:val="24"/>
          <w:szCs w:val="24"/>
        </w:rPr>
        <w:t xml:space="preserve"> (2019) Black swan events in China's stock markets: Intraday price behaviors on days of volatility. </w:t>
      </w:r>
      <w:r w:rsidRPr="00943696">
        <w:rPr>
          <w:rFonts w:ascii="Garamond" w:hAnsi="Garamond"/>
          <w:i/>
          <w:sz w:val="24"/>
          <w:szCs w:val="24"/>
        </w:rPr>
        <w:t>International Review of Economics and Finance</w:t>
      </w:r>
      <w:r w:rsidRPr="009E00D2">
        <w:rPr>
          <w:rFonts w:ascii="Garamond" w:hAnsi="Garamond"/>
          <w:sz w:val="24"/>
          <w:szCs w:val="24"/>
        </w:rPr>
        <w:t xml:space="preserve"> 59, 395-411.</w:t>
      </w:r>
    </w:p>
    <w:p w14:paraId="1437AFD7" w14:textId="0B6914CF" w:rsidR="00623E79"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Lucey, B.M., Li, S. (2015). What precious metals act as safe havens, and when? Some US evidence. </w:t>
      </w:r>
      <w:r w:rsidRPr="00943696">
        <w:rPr>
          <w:rFonts w:ascii="Garamond" w:hAnsi="Garamond"/>
          <w:i/>
          <w:sz w:val="24"/>
          <w:szCs w:val="24"/>
        </w:rPr>
        <w:t>Applied Economics Letters</w:t>
      </w:r>
      <w:r w:rsidRPr="009E00D2">
        <w:rPr>
          <w:rFonts w:ascii="Garamond" w:hAnsi="Garamond"/>
          <w:sz w:val="24"/>
          <w:szCs w:val="24"/>
        </w:rPr>
        <w:t xml:space="preserve"> 22 (1), 35-45.</w:t>
      </w:r>
    </w:p>
    <w:p w14:paraId="36583CBA" w14:textId="3BC95294" w:rsidR="00623E79" w:rsidRDefault="00623E79" w:rsidP="00771184">
      <w:pPr>
        <w:pStyle w:val="NoSpacing"/>
        <w:spacing w:line="480" w:lineRule="auto"/>
        <w:jc w:val="both"/>
        <w:rPr>
          <w:rFonts w:ascii="Garamond" w:hAnsi="Garamond"/>
          <w:sz w:val="24"/>
          <w:szCs w:val="24"/>
        </w:rPr>
      </w:pPr>
      <w:r w:rsidRPr="00623E79">
        <w:rPr>
          <w:rFonts w:ascii="Garamond" w:hAnsi="Garamond"/>
          <w:sz w:val="24"/>
          <w:szCs w:val="24"/>
        </w:rPr>
        <w:t>Ma, C., Rogers, J. H., Zhou, S. (2020) Global Economic and Financial Effects of 21st Century Pandemics and Epidemics.</w:t>
      </w:r>
      <w:r w:rsidRPr="00623E79">
        <w:t xml:space="preserve"> </w:t>
      </w:r>
      <w:r w:rsidRPr="00623E79">
        <w:rPr>
          <w:rFonts w:ascii="Garamond" w:hAnsi="Garamond"/>
          <w:sz w:val="24"/>
          <w:szCs w:val="24"/>
        </w:rPr>
        <w:t xml:space="preserve">Available at SSRN: https://ssrn.com/abstract=3565646 or </w:t>
      </w:r>
      <w:hyperlink r:id="rId14" w:history="1">
        <w:r w:rsidR="00263E86" w:rsidRPr="008A5206">
          <w:rPr>
            <w:rStyle w:val="Hyperlink"/>
            <w:rFonts w:ascii="Garamond" w:hAnsi="Garamond"/>
            <w:sz w:val="24"/>
            <w:szCs w:val="24"/>
          </w:rPr>
          <w:t>http://dx.doi.org/10.2139/ssrn.3565646</w:t>
        </w:r>
      </w:hyperlink>
    </w:p>
    <w:p w14:paraId="3571D20E" w14:textId="03257C40" w:rsidR="002E3A18" w:rsidRDefault="002E3A18" w:rsidP="002E3A18">
      <w:pPr>
        <w:pStyle w:val="NoSpacing"/>
        <w:spacing w:line="480" w:lineRule="auto"/>
        <w:jc w:val="both"/>
        <w:rPr>
          <w:rFonts w:ascii="Garamond" w:hAnsi="Garamond"/>
          <w:sz w:val="24"/>
          <w:szCs w:val="24"/>
        </w:rPr>
      </w:pPr>
      <w:r w:rsidRPr="002E3A18">
        <w:rPr>
          <w:rFonts w:ascii="Garamond" w:hAnsi="Garamond"/>
          <w:sz w:val="24"/>
          <w:szCs w:val="24"/>
        </w:rPr>
        <w:t>Marques, C</w:t>
      </w:r>
      <w:r>
        <w:rPr>
          <w:rFonts w:ascii="Garamond" w:hAnsi="Garamond"/>
          <w:sz w:val="24"/>
          <w:szCs w:val="24"/>
        </w:rPr>
        <w:t>.</w:t>
      </w:r>
      <w:r w:rsidRPr="002E3A18">
        <w:rPr>
          <w:rFonts w:ascii="Garamond" w:hAnsi="Garamond"/>
          <w:sz w:val="24"/>
          <w:szCs w:val="24"/>
        </w:rPr>
        <w:t xml:space="preserve"> R</w:t>
      </w:r>
      <w:r>
        <w:rPr>
          <w:rFonts w:ascii="Garamond" w:hAnsi="Garamond"/>
          <w:sz w:val="24"/>
          <w:szCs w:val="24"/>
        </w:rPr>
        <w:t>.</w:t>
      </w:r>
      <w:r w:rsidRPr="002E3A18">
        <w:rPr>
          <w:rFonts w:ascii="Garamond" w:hAnsi="Garamond"/>
          <w:sz w:val="24"/>
          <w:szCs w:val="24"/>
        </w:rPr>
        <w:t xml:space="preserve"> </w:t>
      </w:r>
      <w:r>
        <w:rPr>
          <w:rFonts w:ascii="Garamond" w:hAnsi="Garamond"/>
          <w:sz w:val="24"/>
          <w:szCs w:val="24"/>
        </w:rPr>
        <w:t>(</w:t>
      </w:r>
      <w:r w:rsidRPr="002E3A18">
        <w:rPr>
          <w:rFonts w:ascii="Garamond" w:hAnsi="Garamond"/>
          <w:sz w:val="24"/>
          <w:szCs w:val="24"/>
        </w:rPr>
        <w:t>2004</w:t>
      </w:r>
      <w:r>
        <w:rPr>
          <w:rFonts w:ascii="Garamond" w:hAnsi="Garamond"/>
          <w:sz w:val="24"/>
          <w:szCs w:val="24"/>
        </w:rPr>
        <w:t>).</w:t>
      </w:r>
      <w:r w:rsidRPr="002E3A18">
        <w:rPr>
          <w:rFonts w:ascii="Garamond" w:hAnsi="Garamond"/>
          <w:sz w:val="24"/>
          <w:szCs w:val="24"/>
        </w:rPr>
        <w:t xml:space="preserve"> Inflation persistence: facts or artefacts?”, ECB</w:t>
      </w:r>
      <w:r>
        <w:rPr>
          <w:rFonts w:ascii="Garamond" w:hAnsi="Garamond"/>
          <w:sz w:val="24"/>
          <w:szCs w:val="24"/>
        </w:rPr>
        <w:t xml:space="preserve"> </w:t>
      </w:r>
      <w:r w:rsidRPr="002E3A18">
        <w:rPr>
          <w:rFonts w:ascii="Garamond" w:hAnsi="Garamond"/>
          <w:sz w:val="24"/>
          <w:szCs w:val="24"/>
        </w:rPr>
        <w:t>Working Paper No. 371</w:t>
      </w:r>
      <w:r>
        <w:rPr>
          <w:rFonts w:ascii="Garamond" w:hAnsi="Garamond"/>
          <w:sz w:val="24"/>
          <w:szCs w:val="24"/>
        </w:rPr>
        <w:t>.</w:t>
      </w:r>
    </w:p>
    <w:p w14:paraId="2123A55B" w14:textId="3CE05169" w:rsidR="00263E86" w:rsidRDefault="00263E86" w:rsidP="00771184">
      <w:pPr>
        <w:pStyle w:val="NoSpacing"/>
        <w:spacing w:line="480" w:lineRule="auto"/>
        <w:jc w:val="both"/>
        <w:rPr>
          <w:rFonts w:ascii="Garamond" w:hAnsi="Garamond"/>
          <w:sz w:val="24"/>
          <w:szCs w:val="24"/>
        </w:rPr>
      </w:pPr>
      <w:proofErr w:type="spellStart"/>
      <w:r>
        <w:rPr>
          <w:rFonts w:ascii="Garamond" w:hAnsi="Garamond"/>
          <w:sz w:val="24"/>
          <w:szCs w:val="24"/>
        </w:rPr>
        <w:t>Matkovskyy</w:t>
      </w:r>
      <w:proofErr w:type="spellEnd"/>
      <w:r>
        <w:rPr>
          <w:rFonts w:ascii="Garamond" w:hAnsi="Garamond"/>
          <w:sz w:val="24"/>
          <w:szCs w:val="24"/>
        </w:rPr>
        <w:t xml:space="preserve">, R., Jalan, A., Dowling, M., </w:t>
      </w:r>
      <w:proofErr w:type="spellStart"/>
      <w:r w:rsidRPr="00263E86">
        <w:rPr>
          <w:rFonts w:ascii="Garamond" w:hAnsi="Garamond"/>
          <w:sz w:val="24"/>
          <w:szCs w:val="24"/>
        </w:rPr>
        <w:t>Bouraoui</w:t>
      </w:r>
      <w:proofErr w:type="spellEnd"/>
      <w:r>
        <w:rPr>
          <w:rFonts w:ascii="Garamond" w:hAnsi="Garamond"/>
          <w:sz w:val="24"/>
          <w:szCs w:val="24"/>
        </w:rPr>
        <w:t>, T. (</w:t>
      </w:r>
      <w:r w:rsidR="00E23888">
        <w:rPr>
          <w:rFonts w:ascii="Garamond" w:hAnsi="Garamond"/>
          <w:sz w:val="24"/>
          <w:szCs w:val="24"/>
        </w:rPr>
        <w:t>2021</w:t>
      </w:r>
      <w:r>
        <w:rPr>
          <w:rFonts w:ascii="Garamond" w:hAnsi="Garamond"/>
          <w:sz w:val="24"/>
          <w:szCs w:val="24"/>
        </w:rPr>
        <w:t xml:space="preserve">). </w:t>
      </w:r>
      <w:r w:rsidRPr="00263E86">
        <w:rPr>
          <w:rFonts w:ascii="Garamond" w:hAnsi="Garamond"/>
          <w:sz w:val="24"/>
          <w:szCs w:val="24"/>
        </w:rPr>
        <w:t>From bottom ten to top ten: the role of cryptocurrencies in enhancing portfolio return of poorly performing stocks</w:t>
      </w:r>
      <w:r>
        <w:rPr>
          <w:rFonts w:ascii="Garamond" w:hAnsi="Garamond"/>
          <w:sz w:val="24"/>
          <w:szCs w:val="24"/>
        </w:rPr>
        <w:t xml:space="preserve">. </w:t>
      </w:r>
      <w:r w:rsidRPr="00C13349">
        <w:rPr>
          <w:rFonts w:ascii="Garamond" w:hAnsi="Garamond"/>
          <w:i/>
          <w:iCs/>
          <w:sz w:val="24"/>
          <w:szCs w:val="24"/>
        </w:rPr>
        <w:t>Finance Research Letters</w:t>
      </w:r>
      <w:r w:rsidR="00A24DB1">
        <w:rPr>
          <w:rFonts w:ascii="Garamond" w:hAnsi="Garamond"/>
          <w:sz w:val="24"/>
          <w:szCs w:val="24"/>
        </w:rPr>
        <w:t xml:space="preserve"> </w:t>
      </w:r>
      <w:r w:rsidR="00A24DB1" w:rsidRPr="00A24DB1">
        <w:rPr>
          <w:rFonts w:ascii="Garamond" w:hAnsi="Garamond"/>
          <w:sz w:val="24"/>
          <w:szCs w:val="24"/>
        </w:rPr>
        <w:t>38, 101405</w:t>
      </w:r>
      <w:r>
        <w:rPr>
          <w:rFonts w:ascii="Garamond" w:hAnsi="Garamond"/>
          <w:sz w:val="24"/>
          <w:szCs w:val="24"/>
        </w:rPr>
        <w:t>.</w:t>
      </w:r>
    </w:p>
    <w:p w14:paraId="6930207C" w14:textId="376199DB"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McQueen, G. (1992). Long-horizon mean-reverting stock prices revisited</w:t>
      </w:r>
      <w:r w:rsidRPr="00943696">
        <w:rPr>
          <w:rFonts w:ascii="Garamond" w:hAnsi="Garamond"/>
          <w:i/>
          <w:sz w:val="24"/>
          <w:szCs w:val="24"/>
        </w:rPr>
        <w:t xml:space="preserve">. Journal of Financial and Quantitative Analysis </w:t>
      </w:r>
      <w:r w:rsidRPr="009E00D2">
        <w:rPr>
          <w:rFonts w:ascii="Garamond" w:hAnsi="Garamond"/>
          <w:sz w:val="24"/>
          <w:szCs w:val="24"/>
        </w:rPr>
        <w:t>27, 1-18</w:t>
      </w:r>
    </w:p>
    <w:p w14:paraId="765B1913" w14:textId="1F0F20E9"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Mukherji, S. (2011) Are stock returns still mean-reverting? </w:t>
      </w:r>
      <w:r w:rsidRPr="00943696">
        <w:rPr>
          <w:rFonts w:ascii="Garamond" w:hAnsi="Garamond"/>
          <w:i/>
          <w:sz w:val="24"/>
          <w:szCs w:val="24"/>
        </w:rPr>
        <w:t xml:space="preserve">Review of Financial Economics </w:t>
      </w:r>
      <w:r w:rsidRPr="009E00D2">
        <w:rPr>
          <w:rFonts w:ascii="Garamond" w:hAnsi="Garamond"/>
          <w:sz w:val="24"/>
          <w:szCs w:val="24"/>
        </w:rPr>
        <w:t>20(1), 22-27.</w:t>
      </w:r>
    </w:p>
    <w:p w14:paraId="1FDDDA8D" w14:textId="5415EE41" w:rsidR="00771184"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Nam, K., </w:t>
      </w:r>
      <w:proofErr w:type="spellStart"/>
      <w:r w:rsidRPr="009E00D2">
        <w:rPr>
          <w:rFonts w:ascii="Garamond" w:hAnsi="Garamond"/>
          <w:sz w:val="24"/>
          <w:szCs w:val="24"/>
        </w:rPr>
        <w:t>Pyun</w:t>
      </w:r>
      <w:proofErr w:type="spellEnd"/>
      <w:r w:rsidRPr="009E00D2">
        <w:rPr>
          <w:rFonts w:ascii="Garamond" w:hAnsi="Garamond"/>
          <w:sz w:val="24"/>
          <w:szCs w:val="24"/>
        </w:rPr>
        <w:t xml:space="preserve">, C. S., &amp; </w:t>
      </w:r>
      <w:proofErr w:type="spellStart"/>
      <w:r w:rsidRPr="009E00D2">
        <w:rPr>
          <w:rFonts w:ascii="Garamond" w:hAnsi="Garamond"/>
          <w:sz w:val="24"/>
          <w:szCs w:val="24"/>
        </w:rPr>
        <w:t>Arize</w:t>
      </w:r>
      <w:proofErr w:type="spellEnd"/>
      <w:r w:rsidRPr="009E00D2">
        <w:rPr>
          <w:rFonts w:ascii="Garamond" w:hAnsi="Garamond"/>
          <w:sz w:val="24"/>
          <w:szCs w:val="24"/>
        </w:rPr>
        <w:t xml:space="preserve">, A. C. (2002). Asymmetric mean-reversion and contrarian profits: ANST-GARCH approach. </w:t>
      </w:r>
      <w:r w:rsidRPr="00943696">
        <w:rPr>
          <w:rFonts w:ascii="Garamond" w:hAnsi="Garamond"/>
          <w:i/>
          <w:sz w:val="24"/>
          <w:szCs w:val="24"/>
        </w:rPr>
        <w:t>Journal of Empirical Finance</w:t>
      </w:r>
      <w:r w:rsidRPr="009E00D2">
        <w:rPr>
          <w:rFonts w:ascii="Garamond" w:hAnsi="Garamond"/>
          <w:sz w:val="24"/>
          <w:szCs w:val="24"/>
        </w:rPr>
        <w:t xml:space="preserve"> 9(5), 563–588. </w:t>
      </w:r>
    </w:p>
    <w:p w14:paraId="68620A01" w14:textId="18701C6C" w:rsidR="00435200" w:rsidRPr="00435200" w:rsidRDefault="00435200" w:rsidP="00771184">
      <w:pPr>
        <w:pStyle w:val="NoSpacing"/>
        <w:spacing w:line="480" w:lineRule="auto"/>
        <w:jc w:val="both"/>
        <w:rPr>
          <w:rFonts w:ascii="Garamond" w:hAnsi="Garamond"/>
          <w:color w:val="FF0000"/>
          <w:sz w:val="24"/>
          <w:szCs w:val="24"/>
        </w:rPr>
      </w:pPr>
      <w:r w:rsidRPr="00435200">
        <w:rPr>
          <w:rFonts w:ascii="Garamond" w:hAnsi="Garamond"/>
          <w:color w:val="FF0000"/>
          <w:sz w:val="24"/>
          <w:szCs w:val="24"/>
        </w:rPr>
        <w:lastRenderedPageBreak/>
        <w:t>Nasir, M. A. Morgan, J. (2018). The unit root problem: Affinities between ergodicity and stationarity, its practical contradictions for central bank policy, and some consideration of alternatives</w:t>
      </w:r>
      <w:r>
        <w:rPr>
          <w:rFonts w:ascii="Garamond" w:hAnsi="Garamond"/>
          <w:color w:val="FF0000"/>
          <w:sz w:val="24"/>
          <w:szCs w:val="24"/>
        </w:rPr>
        <w:t>.</w:t>
      </w:r>
      <w:r w:rsidRPr="00435200">
        <w:rPr>
          <w:rFonts w:ascii="Garamond" w:hAnsi="Garamond"/>
          <w:color w:val="FF0000"/>
          <w:sz w:val="24"/>
          <w:szCs w:val="24"/>
        </w:rPr>
        <w:t xml:space="preserve"> Journal of Post Keynesian Economics, 41</w:t>
      </w:r>
      <w:r>
        <w:rPr>
          <w:rFonts w:ascii="Garamond" w:hAnsi="Garamond"/>
          <w:color w:val="FF0000"/>
          <w:sz w:val="24"/>
          <w:szCs w:val="24"/>
        </w:rPr>
        <w:t>(</w:t>
      </w:r>
      <w:r w:rsidRPr="00435200">
        <w:rPr>
          <w:rFonts w:ascii="Garamond" w:hAnsi="Garamond"/>
          <w:color w:val="FF0000"/>
          <w:sz w:val="24"/>
          <w:szCs w:val="24"/>
        </w:rPr>
        <w:t>3</w:t>
      </w:r>
      <w:r>
        <w:rPr>
          <w:rFonts w:ascii="Garamond" w:hAnsi="Garamond"/>
          <w:color w:val="FF0000"/>
          <w:sz w:val="24"/>
          <w:szCs w:val="24"/>
        </w:rPr>
        <w:t>)</w:t>
      </w:r>
      <w:r w:rsidRPr="00435200">
        <w:rPr>
          <w:rFonts w:ascii="Garamond" w:hAnsi="Garamond"/>
          <w:color w:val="FF0000"/>
          <w:sz w:val="24"/>
          <w:szCs w:val="24"/>
        </w:rPr>
        <w:t>, 339-363</w:t>
      </w:r>
    </w:p>
    <w:p w14:paraId="1D161563" w14:textId="77777777"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Nelson, C. R., </w:t>
      </w:r>
      <w:proofErr w:type="spellStart"/>
      <w:r w:rsidRPr="009E00D2">
        <w:rPr>
          <w:rFonts w:ascii="Garamond" w:hAnsi="Garamond"/>
          <w:sz w:val="24"/>
          <w:szCs w:val="24"/>
        </w:rPr>
        <w:t>Piger</w:t>
      </w:r>
      <w:proofErr w:type="spellEnd"/>
      <w:r w:rsidRPr="009E00D2">
        <w:rPr>
          <w:rFonts w:ascii="Garamond" w:hAnsi="Garamond"/>
          <w:sz w:val="24"/>
          <w:szCs w:val="24"/>
        </w:rPr>
        <w:t xml:space="preserve">, J. and </w:t>
      </w:r>
      <w:proofErr w:type="spellStart"/>
      <w:r w:rsidRPr="009E00D2">
        <w:rPr>
          <w:rFonts w:ascii="Garamond" w:hAnsi="Garamond"/>
          <w:sz w:val="24"/>
          <w:szCs w:val="24"/>
        </w:rPr>
        <w:t>Zivot</w:t>
      </w:r>
      <w:proofErr w:type="spellEnd"/>
      <w:r w:rsidRPr="009E00D2">
        <w:rPr>
          <w:rFonts w:ascii="Garamond" w:hAnsi="Garamond"/>
          <w:sz w:val="24"/>
          <w:szCs w:val="24"/>
        </w:rPr>
        <w:t xml:space="preserve">, E. (2001). Markov regime-switching and unit root tests. </w:t>
      </w:r>
      <w:r w:rsidRPr="00943696">
        <w:rPr>
          <w:rFonts w:ascii="Garamond" w:hAnsi="Garamond"/>
          <w:i/>
          <w:sz w:val="24"/>
          <w:szCs w:val="24"/>
        </w:rPr>
        <w:t>Journal of Business Economics and Statistics</w:t>
      </w:r>
      <w:r w:rsidRPr="009E00D2">
        <w:rPr>
          <w:rFonts w:ascii="Garamond" w:hAnsi="Garamond"/>
          <w:sz w:val="24"/>
          <w:szCs w:val="24"/>
        </w:rPr>
        <w:t xml:space="preserve"> 19, 404–15.</w:t>
      </w:r>
    </w:p>
    <w:p w14:paraId="733F3959" w14:textId="77777777" w:rsidR="00771184" w:rsidRPr="009E00D2" w:rsidRDefault="00771184" w:rsidP="00771184">
      <w:pPr>
        <w:pStyle w:val="NoSpacing"/>
        <w:spacing w:line="480" w:lineRule="auto"/>
        <w:jc w:val="both"/>
        <w:rPr>
          <w:rFonts w:ascii="Garamond" w:hAnsi="Garamond"/>
          <w:sz w:val="24"/>
          <w:szCs w:val="24"/>
          <w:lang w:val="en-GB"/>
        </w:rPr>
      </w:pPr>
      <w:r w:rsidRPr="009E00D2">
        <w:rPr>
          <w:rFonts w:ascii="Garamond" w:hAnsi="Garamond"/>
          <w:sz w:val="24"/>
          <w:szCs w:val="24"/>
          <w:lang w:val="en-GB"/>
        </w:rPr>
        <w:t xml:space="preserve">Newey, W.K. &amp; West, K.D. (1987) A Simple, Positive Semi-Definite, Heteroskedasticity and Autocorrelation Consistent Covariance Matrix. </w:t>
      </w:r>
      <w:proofErr w:type="spellStart"/>
      <w:r w:rsidRPr="00943696">
        <w:rPr>
          <w:rFonts w:ascii="Garamond" w:hAnsi="Garamond"/>
          <w:i/>
          <w:sz w:val="24"/>
          <w:szCs w:val="24"/>
          <w:lang w:val="en-GB"/>
        </w:rPr>
        <w:t>Econometrica</w:t>
      </w:r>
      <w:proofErr w:type="spellEnd"/>
      <w:r w:rsidRPr="00943696">
        <w:rPr>
          <w:rFonts w:ascii="Garamond" w:hAnsi="Garamond"/>
          <w:i/>
          <w:sz w:val="24"/>
          <w:szCs w:val="24"/>
          <w:lang w:val="en-GB"/>
        </w:rPr>
        <w:t xml:space="preserve"> </w:t>
      </w:r>
      <w:r w:rsidRPr="009E00D2">
        <w:rPr>
          <w:rFonts w:ascii="Garamond" w:hAnsi="Garamond"/>
          <w:sz w:val="24"/>
          <w:szCs w:val="24"/>
          <w:lang w:val="en-GB"/>
        </w:rPr>
        <w:t>55, 703–708.</w:t>
      </w:r>
    </w:p>
    <w:p w14:paraId="5B8808FC" w14:textId="53184F65" w:rsidR="00771184"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Nikolaou, K. (2008). The </w:t>
      </w:r>
      <w:proofErr w:type="spellStart"/>
      <w:r w:rsidRPr="009E00D2">
        <w:rPr>
          <w:rFonts w:ascii="Garamond" w:hAnsi="Garamond"/>
          <w:sz w:val="24"/>
          <w:szCs w:val="24"/>
        </w:rPr>
        <w:t>behaviour</w:t>
      </w:r>
      <w:proofErr w:type="spellEnd"/>
      <w:r w:rsidRPr="009E00D2">
        <w:rPr>
          <w:rFonts w:ascii="Garamond" w:hAnsi="Garamond"/>
          <w:sz w:val="24"/>
          <w:szCs w:val="24"/>
        </w:rPr>
        <w:t xml:space="preserve"> of the real exchange rate: Evidence from regression quantiles. </w:t>
      </w:r>
      <w:r w:rsidRPr="00943696">
        <w:rPr>
          <w:rFonts w:ascii="Garamond" w:hAnsi="Garamond"/>
          <w:i/>
          <w:sz w:val="24"/>
          <w:szCs w:val="24"/>
        </w:rPr>
        <w:t>Journal of Banking &amp; Finance</w:t>
      </w:r>
      <w:r w:rsidRPr="009E00D2">
        <w:rPr>
          <w:rFonts w:ascii="Garamond" w:hAnsi="Garamond"/>
          <w:sz w:val="24"/>
          <w:szCs w:val="24"/>
        </w:rPr>
        <w:t xml:space="preserve"> 32(5), 664–679.</w:t>
      </w:r>
    </w:p>
    <w:p w14:paraId="66AAB047" w14:textId="59FB71B4" w:rsidR="00674C54" w:rsidRDefault="00674C54" w:rsidP="00771184">
      <w:pPr>
        <w:pStyle w:val="NoSpacing"/>
        <w:spacing w:line="480" w:lineRule="auto"/>
        <w:jc w:val="both"/>
        <w:rPr>
          <w:rFonts w:ascii="Garamond" w:hAnsi="Garamond"/>
          <w:sz w:val="24"/>
          <w:szCs w:val="24"/>
        </w:rPr>
      </w:pPr>
      <w:r w:rsidRPr="00674C54">
        <w:rPr>
          <w:rFonts w:ascii="Garamond" w:hAnsi="Garamond"/>
          <w:sz w:val="24"/>
          <w:szCs w:val="24"/>
        </w:rPr>
        <w:t xml:space="preserve">Olson, E., Miller, S., </w:t>
      </w:r>
      <w:proofErr w:type="spellStart"/>
      <w:r w:rsidRPr="00674C54">
        <w:rPr>
          <w:rFonts w:ascii="Garamond" w:hAnsi="Garamond"/>
          <w:sz w:val="24"/>
          <w:szCs w:val="24"/>
        </w:rPr>
        <w:t>Wohar</w:t>
      </w:r>
      <w:proofErr w:type="spellEnd"/>
      <w:r w:rsidRPr="00674C54">
        <w:rPr>
          <w:rFonts w:ascii="Garamond" w:hAnsi="Garamond"/>
          <w:sz w:val="24"/>
          <w:szCs w:val="24"/>
        </w:rPr>
        <w:t xml:space="preserve">, M.E. (2012). "Black Swans" before the "Black Swan" evidence from international LIBOR-OIS spreads. </w:t>
      </w:r>
      <w:r w:rsidRPr="00674C54">
        <w:rPr>
          <w:rFonts w:ascii="Garamond" w:hAnsi="Garamond"/>
          <w:i/>
          <w:iCs/>
          <w:sz w:val="24"/>
          <w:szCs w:val="24"/>
        </w:rPr>
        <w:t>Journal of International Money and Finance, 31</w:t>
      </w:r>
      <w:r w:rsidRPr="00674C54">
        <w:rPr>
          <w:rFonts w:ascii="Garamond" w:hAnsi="Garamond"/>
          <w:sz w:val="24"/>
          <w:szCs w:val="24"/>
        </w:rPr>
        <w:t>, 1339-1357.</w:t>
      </w:r>
    </w:p>
    <w:p w14:paraId="1E45E434" w14:textId="1AFF385A" w:rsidR="00D60A9A" w:rsidRPr="009E00D2" w:rsidRDefault="00D60A9A" w:rsidP="00771184">
      <w:pPr>
        <w:pStyle w:val="NoSpacing"/>
        <w:spacing w:line="480" w:lineRule="auto"/>
        <w:jc w:val="both"/>
        <w:rPr>
          <w:rFonts w:ascii="Garamond" w:hAnsi="Garamond"/>
          <w:sz w:val="24"/>
          <w:szCs w:val="24"/>
        </w:rPr>
      </w:pPr>
      <w:r>
        <w:rPr>
          <w:rFonts w:ascii="Garamond" w:hAnsi="Garamond"/>
          <w:sz w:val="24"/>
          <w:szCs w:val="24"/>
          <w:lang w:val="en-GB"/>
        </w:rPr>
        <w:t xml:space="preserve">Pan, W.-F. (2018). Sentiment and asset price bubble in the precious </w:t>
      </w:r>
      <w:proofErr w:type="gramStart"/>
      <w:r>
        <w:rPr>
          <w:rFonts w:ascii="Garamond" w:hAnsi="Garamond"/>
          <w:sz w:val="24"/>
          <w:szCs w:val="24"/>
          <w:lang w:val="en-GB"/>
        </w:rPr>
        <w:t>metals</w:t>
      </w:r>
      <w:proofErr w:type="gramEnd"/>
      <w:r>
        <w:rPr>
          <w:rFonts w:ascii="Garamond" w:hAnsi="Garamond"/>
          <w:sz w:val="24"/>
          <w:szCs w:val="24"/>
          <w:lang w:val="en-GB"/>
        </w:rPr>
        <w:t xml:space="preserve"> markets. </w:t>
      </w:r>
      <w:r>
        <w:rPr>
          <w:rFonts w:ascii="Garamond" w:hAnsi="Garamond"/>
          <w:i/>
          <w:iCs/>
          <w:sz w:val="24"/>
          <w:szCs w:val="24"/>
          <w:lang w:val="en-GB"/>
        </w:rPr>
        <w:t xml:space="preserve">Finance Research Letters </w:t>
      </w:r>
      <w:r>
        <w:rPr>
          <w:rFonts w:ascii="Garamond" w:hAnsi="Garamond"/>
          <w:sz w:val="24"/>
          <w:szCs w:val="24"/>
          <w:lang w:val="en-GB"/>
        </w:rPr>
        <w:t>26, 106-111</w:t>
      </w:r>
    </w:p>
    <w:p w14:paraId="0CCD9CEB" w14:textId="427D5895" w:rsidR="00771184"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Perron, P. (1989). The great crash, the oil price shock, and the unit root hypothesis. </w:t>
      </w:r>
      <w:proofErr w:type="spellStart"/>
      <w:r w:rsidRPr="00943696">
        <w:rPr>
          <w:rFonts w:ascii="Garamond" w:hAnsi="Garamond"/>
          <w:i/>
          <w:sz w:val="24"/>
          <w:szCs w:val="24"/>
        </w:rPr>
        <w:t>Econometrica</w:t>
      </w:r>
      <w:proofErr w:type="spellEnd"/>
      <w:r w:rsidRPr="00943696">
        <w:rPr>
          <w:rFonts w:ascii="Garamond" w:hAnsi="Garamond"/>
          <w:i/>
          <w:sz w:val="24"/>
          <w:szCs w:val="24"/>
        </w:rPr>
        <w:t xml:space="preserve"> </w:t>
      </w:r>
      <w:r w:rsidRPr="009E00D2">
        <w:rPr>
          <w:rFonts w:ascii="Garamond" w:hAnsi="Garamond"/>
          <w:sz w:val="24"/>
          <w:szCs w:val="24"/>
        </w:rPr>
        <w:t>57, 1361–401.</w:t>
      </w:r>
    </w:p>
    <w:p w14:paraId="5DBC2930" w14:textId="5D2446AC" w:rsidR="00D60A9A" w:rsidRPr="00943696" w:rsidRDefault="00D60A9A" w:rsidP="00771184">
      <w:pPr>
        <w:pStyle w:val="NoSpacing"/>
        <w:spacing w:line="480" w:lineRule="auto"/>
        <w:jc w:val="both"/>
        <w:rPr>
          <w:rFonts w:ascii="Garamond" w:eastAsiaTheme="minorEastAsia" w:hAnsi="Garamond"/>
          <w:iCs/>
          <w:sz w:val="24"/>
          <w:szCs w:val="24"/>
        </w:rPr>
      </w:pPr>
      <w:r>
        <w:rPr>
          <w:rFonts w:ascii="Garamond" w:eastAsiaTheme="minorEastAsia" w:hAnsi="Garamond"/>
          <w:iCs/>
          <w:sz w:val="24"/>
          <w:szCs w:val="24"/>
        </w:rPr>
        <w:t xml:space="preserve">Peterson, O., </w:t>
      </w:r>
      <w:proofErr w:type="spellStart"/>
      <w:r>
        <w:rPr>
          <w:rFonts w:ascii="Garamond" w:eastAsiaTheme="minorEastAsia" w:hAnsi="Garamond"/>
          <w:iCs/>
          <w:sz w:val="24"/>
          <w:szCs w:val="24"/>
        </w:rPr>
        <w:t>Thankom</w:t>
      </w:r>
      <w:proofErr w:type="spellEnd"/>
      <w:r>
        <w:rPr>
          <w:rFonts w:ascii="Garamond" w:eastAsiaTheme="minorEastAsia" w:hAnsi="Garamond"/>
          <w:iCs/>
          <w:sz w:val="24"/>
          <w:szCs w:val="24"/>
        </w:rPr>
        <w:t xml:space="preserve">, A. (2020). Spillover of COVID-19: Impact on the global economy. </w:t>
      </w:r>
      <w:r w:rsidRPr="00644E26">
        <w:rPr>
          <w:rFonts w:ascii="Garamond" w:eastAsiaTheme="minorEastAsia" w:hAnsi="Garamond"/>
          <w:iCs/>
          <w:sz w:val="24"/>
          <w:szCs w:val="24"/>
        </w:rPr>
        <w:t xml:space="preserve">MPRA Paper No. 99850. </w:t>
      </w:r>
      <w:r>
        <w:rPr>
          <w:rFonts w:ascii="Garamond" w:eastAsiaTheme="minorEastAsia" w:hAnsi="Garamond"/>
          <w:iCs/>
          <w:sz w:val="24"/>
          <w:szCs w:val="24"/>
        </w:rPr>
        <w:t xml:space="preserve">Available at </w:t>
      </w:r>
      <w:hyperlink r:id="rId15" w:history="1">
        <w:r w:rsidRPr="00644E26">
          <w:rPr>
            <w:rStyle w:val="Hyperlink"/>
            <w:rFonts w:ascii="Garamond" w:eastAsiaTheme="minorEastAsia" w:hAnsi="Garamond"/>
            <w:iCs/>
            <w:sz w:val="24"/>
            <w:szCs w:val="24"/>
          </w:rPr>
          <w:t>https://mpra.ub.uni-muenchen.de/99850/</w:t>
        </w:r>
      </w:hyperlink>
      <w:r w:rsidRPr="00644E26">
        <w:rPr>
          <w:rFonts w:ascii="Garamond" w:eastAsiaTheme="minorEastAsia" w:hAnsi="Garamond"/>
          <w:iCs/>
          <w:sz w:val="24"/>
          <w:szCs w:val="24"/>
        </w:rPr>
        <w:t>.</w:t>
      </w:r>
    </w:p>
    <w:p w14:paraId="47099007" w14:textId="77777777"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Phillip, A., Chan, J.S.K., Peiris, S. (2018). A new look at cryptocurrencies. </w:t>
      </w:r>
      <w:r w:rsidRPr="00943696">
        <w:rPr>
          <w:rFonts w:ascii="Garamond" w:hAnsi="Garamond"/>
          <w:i/>
          <w:sz w:val="24"/>
          <w:szCs w:val="24"/>
        </w:rPr>
        <w:t>Economic Letters</w:t>
      </w:r>
      <w:r w:rsidRPr="009E00D2">
        <w:rPr>
          <w:rFonts w:ascii="Garamond" w:hAnsi="Garamond"/>
          <w:sz w:val="24"/>
          <w:szCs w:val="24"/>
        </w:rPr>
        <w:t xml:space="preserve"> 163, 6-9. </w:t>
      </w:r>
    </w:p>
    <w:p w14:paraId="54E74046" w14:textId="77777777"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Phillips, P. C. B. and Perron, P. (1988). Testing for a unit root in time series regression. </w:t>
      </w:r>
      <w:proofErr w:type="spellStart"/>
      <w:r w:rsidRPr="00943696">
        <w:rPr>
          <w:rFonts w:ascii="Garamond" w:hAnsi="Garamond"/>
          <w:i/>
          <w:sz w:val="24"/>
          <w:szCs w:val="24"/>
        </w:rPr>
        <w:t>Biometrika</w:t>
      </w:r>
      <w:proofErr w:type="spellEnd"/>
      <w:r w:rsidRPr="00943696">
        <w:rPr>
          <w:rFonts w:ascii="Garamond" w:hAnsi="Garamond"/>
          <w:i/>
          <w:sz w:val="24"/>
          <w:szCs w:val="24"/>
        </w:rPr>
        <w:t xml:space="preserve"> </w:t>
      </w:r>
      <w:r w:rsidRPr="009E00D2">
        <w:rPr>
          <w:rFonts w:ascii="Garamond" w:hAnsi="Garamond"/>
          <w:sz w:val="24"/>
          <w:szCs w:val="24"/>
        </w:rPr>
        <w:t>75, 335–46.</w:t>
      </w:r>
    </w:p>
    <w:p w14:paraId="46998E34" w14:textId="77777777"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Phillips, P.C.B. (1987). Toward a unified asymptotic theory for autoregression. </w:t>
      </w:r>
      <w:proofErr w:type="spellStart"/>
      <w:r w:rsidRPr="00943696">
        <w:rPr>
          <w:rFonts w:ascii="Garamond" w:hAnsi="Garamond"/>
          <w:i/>
          <w:sz w:val="24"/>
          <w:szCs w:val="24"/>
        </w:rPr>
        <w:t>Biometrika</w:t>
      </w:r>
      <w:proofErr w:type="spellEnd"/>
      <w:r w:rsidRPr="009E00D2">
        <w:rPr>
          <w:rFonts w:ascii="Garamond" w:hAnsi="Garamond"/>
          <w:sz w:val="24"/>
          <w:szCs w:val="24"/>
        </w:rPr>
        <w:t xml:space="preserve"> 74, 535574.</w:t>
      </w:r>
    </w:p>
    <w:p w14:paraId="3F4D3648" w14:textId="77777777" w:rsidR="00771184"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Poon, S.-H. (1996) Persistence and mean reversion in UK stock returns</w:t>
      </w:r>
      <w:r w:rsidRPr="00943696">
        <w:rPr>
          <w:rFonts w:ascii="Garamond" w:hAnsi="Garamond"/>
          <w:i/>
          <w:sz w:val="24"/>
          <w:szCs w:val="24"/>
        </w:rPr>
        <w:t>. European Financial Management</w:t>
      </w:r>
      <w:r w:rsidRPr="009E00D2">
        <w:rPr>
          <w:rFonts w:ascii="Garamond" w:hAnsi="Garamond"/>
          <w:sz w:val="24"/>
          <w:szCs w:val="24"/>
        </w:rPr>
        <w:t xml:space="preserve"> 2(2), 169-196.</w:t>
      </w:r>
    </w:p>
    <w:p w14:paraId="6F0FB7FA" w14:textId="7D7F7855" w:rsidR="00063F51" w:rsidRPr="009E00D2"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 xml:space="preserve">Poterba, J.M. and Summers, L.H. (1988) Mean reversion in stock prices: Evidence and Implications. </w:t>
      </w:r>
      <w:r w:rsidRPr="00943696">
        <w:rPr>
          <w:rFonts w:ascii="Garamond" w:hAnsi="Garamond"/>
          <w:i/>
          <w:sz w:val="24"/>
          <w:szCs w:val="24"/>
        </w:rPr>
        <w:t>Journal of Financial Economics</w:t>
      </w:r>
      <w:r w:rsidRPr="009E00D2">
        <w:rPr>
          <w:rFonts w:ascii="Garamond" w:hAnsi="Garamond"/>
          <w:sz w:val="24"/>
          <w:szCs w:val="24"/>
        </w:rPr>
        <w:t xml:space="preserve"> 22(1), 27-59.</w:t>
      </w:r>
    </w:p>
    <w:p w14:paraId="06CCC398" w14:textId="220D1125" w:rsidR="009C562D" w:rsidRDefault="009C562D" w:rsidP="00771184">
      <w:pPr>
        <w:pStyle w:val="NoSpacing"/>
        <w:spacing w:line="480" w:lineRule="auto"/>
        <w:jc w:val="both"/>
        <w:rPr>
          <w:rFonts w:ascii="Garamond" w:hAnsi="Garamond"/>
          <w:sz w:val="24"/>
          <w:szCs w:val="24"/>
        </w:rPr>
      </w:pPr>
      <w:proofErr w:type="spellStart"/>
      <w:r w:rsidRPr="009C562D">
        <w:rPr>
          <w:rFonts w:ascii="Garamond" w:hAnsi="Garamond"/>
          <w:sz w:val="24"/>
          <w:szCs w:val="24"/>
        </w:rPr>
        <w:lastRenderedPageBreak/>
        <w:t>Ramelli</w:t>
      </w:r>
      <w:proofErr w:type="spellEnd"/>
      <w:r w:rsidRPr="009C562D">
        <w:rPr>
          <w:rFonts w:ascii="Garamond" w:hAnsi="Garamond"/>
          <w:sz w:val="24"/>
          <w:szCs w:val="24"/>
        </w:rPr>
        <w:t>, S.,</w:t>
      </w:r>
      <w:r>
        <w:rPr>
          <w:rFonts w:ascii="Garamond" w:hAnsi="Garamond"/>
          <w:sz w:val="24"/>
          <w:szCs w:val="24"/>
        </w:rPr>
        <w:t xml:space="preserve"> </w:t>
      </w:r>
      <w:r w:rsidRPr="009C562D">
        <w:rPr>
          <w:rFonts w:ascii="Garamond" w:hAnsi="Garamond"/>
          <w:sz w:val="24"/>
          <w:szCs w:val="24"/>
        </w:rPr>
        <w:t xml:space="preserve">Wagner, A. F. (2020). Feverish stock price reactions to </w:t>
      </w:r>
      <w:r>
        <w:rPr>
          <w:rFonts w:ascii="Garamond" w:hAnsi="Garamond"/>
          <w:sz w:val="24"/>
          <w:szCs w:val="24"/>
        </w:rPr>
        <w:t>COVID</w:t>
      </w:r>
      <w:r w:rsidRPr="009C562D">
        <w:rPr>
          <w:rFonts w:ascii="Garamond" w:hAnsi="Garamond"/>
          <w:sz w:val="24"/>
          <w:szCs w:val="24"/>
        </w:rPr>
        <w:t xml:space="preserve">-19. Centre for Economic Policy Research Discussion Paper No. DP14511. Available at: </w:t>
      </w:r>
      <w:hyperlink r:id="rId16" w:history="1">
        <w:r w:rsidRPr="00F43573">
          <w:rPr>
            <w:rStyle w:val="Hyperlink"/>
            <w:rFonts w:ascii="Garamond" w:hAnsi="Garamond"/>
            <w:sz w:val="24"/>
            <w:szCs w:val="24"/>
          </w:rPr>
          <w:t>https://papers.ssrn.com/sol3/papers.cfm?abstract_id=3550274</w:t>
        </w:r>
      </w:hyperlink>
      <w:r>
        <w:rPr>
          <w:rFonts w:ascii="Garamond" w:hAnsi="Garamond"/>
          <w:sz w:val="24"/>
          <w:szCs w:val="24"/>
        </w:rPr>
        <w:t xml:space="preserve"> </w:t>
      </w:r>
    </w:p>
    <w:p w14:paraId="617ACE1C" w14:textId="3B5CA7BC" w:rsidR="001B42DA" w:rsidRDefault="001B42DA" w:rsidP="00771184">
      <w:pPr>
        <w:pStyle w:val="NoSpacing"/>
        <w:spacing w:line="480" w:lineRule="auto"/>
        <w:jc w:val="both"/>
        <w:rPr>
          <w:rFonts w:ascii="Garamond" w:hAnsi="Garamond"/>
          <w:sz w:val="24"/>
          <w:szCs w:val="24"/>
        </w:rPr>
      </w:pPr>
      <w:proofErr w:type="spellStart"/>
      <w:r w:rsidRPr="00943696">
        <w:rPr>
          <w:rFonts w:ascii="Garamond" w:hAnsi="Garamond"/>
          <w:sz w:val="24"/>
          <w:szCs w:val="24"/>
          <w:lang w:val="fr-FR"/>
        </w:rPr>
        <w:t>Rehman</w:t>
      </w:r>
      <w:proofErr w:type="spellEnd"/>
      <w:r w:rsidRPr="00943696">
        <w:rPr>
          <w:rFonts w:ascii="Garamond" w:hAnsi="Garamond"/>
          <w:sz w:val="24"/>
          <w:szCs w:val="24"/>
          <w:lang w:val="fr-FR"/>
        </w:rPr>
        <w:t xml:space="preserve">, M.U., </w:t>
      </w:r>
      <w:proofErr w:type="spellStart"/>
      <w:r w:rsidRPr="00943696">
        <w:rPr>
          <w:rFonts w:ascii="Garamond" w:hAnsi="Garamond"/>
          <w:sz w:val="24"/>
          <w:szCs w:val="24"/>
          <w:lang w:val="fr-FR"/>
        </w:rPr>
        <w:t>Apergis</w:t>
      </w:r>
      <w:proofErr w:type="spellEnd"/>
      <w:r w:rsidRPr="00943696">
        <w:rPr>
          <w:rFonts w:ascii="Garamond" w:hAnsi="Garamond"/>
          <w:sz w:val="24"/>
          <w:szCs w:val="24"/>
          <w:lang w:val="fr-FR"/>
        </w:rPr>
        <w:t xml:space="preserve">, N. (2019). </w:t>
      </w:r>
      <w:r>
        <w:rPr>
          <w:rFonts w:ascii="Garamond" w:hAnsi="Garamond"/>
          <w:sz w:val="24"/>
          <w:szCs w:val="24"/>
        </w:rPr>
        <w:t xml:space="preserve">Determining the predictive power between cryptocurrencies and real time commodity futures: Evidence from quantile causality tests. </w:t>
      </w:r>
      <w:r w:rsidRPr="001B42DA">
        <w:rPr>
          <w:rFonts w:ascii="Garamond" w:hAnsi="Garamond"/>
          <w:i/>
          <w:iCs/>
          <w:sz w:val="24"/>
          <w:szCs w:val="24"/>
        </w:rPr>
        <w:t>Resource Policy, 61</w:t>
      </w:r>
      <w:r>
        <w:rPr>
          <w:rFonts w:ascii="Garamond" w:hAnsi="Garamond"/>
          <w:sz w:val="24"/>
          <w:szCs w:val="24"/>
        </w:rPr>
        <w:t>, 603-616.</w:t>
      </w:r>
    </w:p>
    <w:p w14:paraId="6C9BAE70" w14:textId="71EE6990" w:rsidR="007C013E" w:rsidRDefault="007C013E" w:rsidP="00771184">
      <w:pPr>
        <w:pStyle w:val="NoSpacing"/>
        <w:spacing w:line="480" w:lineRule="auto"/>
        <w:jc w:val="both"/>
        <w:rPr>
          <w:rFonts w:ascii="Garamond" w:hAnsi="Garamond"/>
          <w:sz w:val="24"/>
          <w:szCs w:val="24"/>
        </w:rPr>
      </w:pPr>
      <w:r>
        <w:rPr>
          <w:rFonts w:ascii="Garamond" w:hAnsi="Garamond"/>
          <w:sz w:val="24"/>
          <w:szCs w:val="24"/>
        </w:rPr>
        <w:t xml:space="preserve">Rudebusch, G. (1995). Federal Reserve interest rate targeting, rational expectations, and the term structure. </w:t>
      </w:r>
      <w:r>
        <w:rPr>
          <w:rFonts w:ascii="Garamond" w:hAnsi="Garamond"/>
          <w:i/>
          <w:iCs/>
          <w:sz w:val="24"/>
          <w:szCs w:val="24"/>
        </w:rPr>
        <w:t>Journal of Monetary Economics</w:t>
      </w:r>
      <w:r>
        <w:rPr>
          <w:rFonts w:ascii="Garamond" w:hAnsi="Garamond"/>
          <w:sz w:val="24"/>
          <w:szCs w:val="24"/>
        </w:rPr>
        <w:t xml:space="preserve"> 35, 245–274.</w:t>
      </w:r>
    </w:p>
    <w:p w14:paraId="22340C35" w14:textId="24BC28ED" w:rsidR="00771184" w:rsidRDefault="00771184" w:rsidP="00771184">
      <w:pPr>
        <w:pStyle w:val="NoSpacing"/>
        <w:spacing w:line="480" w:lineRule="auto"/>
        <w:jc w:val="both"/>
        <w:rPr>
          <w:rFonts w:ascii="Garamond" w:hAnsi="Garamond"/>
          <w:sz w:val="24"/>
          <w:szCs w:val="24"/>
        </w:rPr>
      </w:pPr>
      <w:r w:rsidRPr="009E00D2">
        <w:rPr>
          <w:rFonts w:ascii="Garamond" w:hAnsi="Garamond"/>
          <w:sz w:val="24"/>
          <w:szCs w:val="24"/>
        </w:rPr>
        <w:t>Sauer, D.A. and Chen, C.R. (1996)</w:t>
      </w:r>
      <w:r w:rsidR="001B42DA">
        <w:rPr>
          <w:rFonts w:ascii="Garamond" w:hAnsi="Garamond"/>
          <w:sz w:val="24"/>
          <w:szCs w:val="24"/>
        </w:rPr>
        <w:t>.</w:t>
      </w:r>
      <w:r w:rsidRPr="009E00D2">
        <w:rPr>
          <w:rFonts w:ascii="Garamond" w:hAnsi="Garamond"/>
        </w:rPr>
        <w:t xml:space="preserve"> </w:t>
      </w:r>
      <w:r w:rsidRPr="009E00D2">
        <w:rPr>
          <w:rFonts w:ascii="Garamond" w:hAnsi="Garamond"/>
          <w:sz w:val="24"/>
          <w:szCs w:val="24"/>
        </w:rPr>
        <w:t xml:space="preserve">Mean Reversion in the United Kingdom Stock Market and its Implications for a Profitable Trading Strategy. </w:t>
      </w:r>
      <w:r w:rsidRPr="001B42DA">
        <w:rPr>
          <w:rFonts w:ascii="Garamond" w:hAnsi="Garamond"/>
          <w:i/>
          <w:iCs/>
          <w:sz w:val="24"/>
          <w:szCs w:val="24"/>
        </w:rPr>
        <w:t xml:space="preserve">Journal of </w:t>
      </w:r>
      <w:r w:rsidR="001B42DA" w:rsidRPr="001B42DA">
        <w:rPr>
          <w:rFonts w:ascii="Garamond" w:hAnsi="Garamond"/>
          <w:i/>
          <w:iCs/>
          <w:sz w:val="24"/>
          <w:szCs w:val="24"/>
        </w:rPr>
        <w:t>B</w:t>
      </w:r>
      <w:r w:rsidRPr="001B42DA">
        <w:rPr>
          <w:rFonts w:ascii="Garamond" w:hAnsi="Garamond"/>
          <w:i/>
          <w:iCs/>
          <w:sz w:val="24"/>
          <w:szCs w:val="24"/>
        </w:rPr>
        <w:t xml:space="preserve">usiness Finance and </w:t>
      </w:r>
      <w:r w:rsidR="001B42DA" w:rsidRPr="001B42DA">
        <w:rPr>
          <w:rFonts w:ascii="Garamond" w:hAnsi="Garamond"/>
          <w:i/>
          <w:iCs/>
          <w:sz w:val="24"/>
          <w:szCs w:val="24"/>
        </w:rPr>
        <w:t>A</w:t>
      </w:r>
      <w:r w:rsidRPr="001B42DA">
        <w:rPr>
          <w:rFonts w:ascii="Garamond" w:hAnsi="Garamond"/>
          <w:i/>
          <w:iCs/>
          <w:sz w:val="24"/>
          <w:szCs w:val="24"/>
        </w:rPr>
        <w:t>ccounting, 23</w:t>
      </w:r>
      <w:r w:rsidRPr="009E00D2">
        <w:rPr>
          <w:rFonts w:ascii="Garamond" w:hAnsi="Garamond"/>
          <w:sz w:val="24"/>
          <w:szCs w:val="24"/>
        </w:rPr>
        <w:t>(</w:t>
      </w:r>
      <w:proofErr w:type="gramStart"/>
      <w:r w:rsidRPr="009E00D2">
        <w:rPr>
          <w:rFonts w:ascii="Garamond" w:hAnsi="Garamond"/>
          <w:sz w:val="24"/>
          <w:szCs w:val="24"/>
        </w:rPr>
        <w:t>9)&amp;</w:t>
      </w:r>
      <w:proofErr w:type="gramEnd"/>
      <w:r w:rsidRPr="009E00D2">
        <w:rPr>
          <w:rFonts w:ascii="Garamond" w:hAnsi="Garamond"/>
          <w:sz w:val="24"/>
          <w:szCs w:val="24"/>
        </w:rPr>
        <w:t>(10), 1379-1396.</w:t>
      </w:r>
    </w:p>
    <w:p w14:paraId="20652724" w14:textId="56BD07E0" w:rsidR="007C013E" w:rsidRDefault="007C013E" w:rsidP="00D75497">
      <w:pPr>
        <w:pStyle w:val="NoSpacing"/>
        <w:spacing w:line="480" w:lineRule="auto"/>
        <w:jc w:val="both"/>
        <w:rPr>
          <w:rFonts w:ascii="Garamond" w:hAnsi="Garamond"/>
          <w:sz w:val="24"/>
          <w:szCs w:val="24"/>
        </w:rPr>
      </w:pPr>
      <w:r w:rsidRPr="009E00D2">
        <w:rPr>
          <w:rFonts w:ascii="Garamond" w:hAnsi="Garamond"/>
          <w:sz w:val="24"/>
          <w:szCs w:val="24"/>
        </w:rPr>
        <w:t>Samuelson, P. A. (19</w:t>
      </w:r>
      <w:r w:rsidR="00D75497">
        <w:rPr>
          <w:rFonts w:ascii="Garamond" w:hAnsi="Garamond"/>
          <w:sz w:val="24"/>
          <w:szCs w:val="24"/>
        </w:rPr>
        <w:t>91</w:t>
      </w:r>
      <w:r w:rsidRPr="009E00D2">
        <w:rPr>
          <w:rFonts w:ascii="Garamond" w:hAnsi="Garamond"/>
          <w:sz w:val="24"/>
          <w:szCs w:val="24"/>
        </w:rPr>
        <w:t>). Long-run risk tolerance when equity returns are mean regressing:</w:t>
      </w:r>
      <w:r w:rsidR="00D75497" w:rsidRPr="00D75497">
        <w:t xml:space="preserve"> </w:t>
      </w:r>
      <w:r w:rsidR="00D75497" w:rsidRPr="00D75497">
        <w:rPr>
          <w:rFonts w:ascii="Garamond" w:hAnsi="Garamond"/>
          <w:sz w:val="24"/>
          <w:szCs w:val="24"/>
        </w:rPr>
        <w:t>Long-run risk tolerance when equity returns are mean regressing: Pseudo-paradoxes and vindication of business-man's risk</w:t>
      </w:r>
      <w:r w:rsidR="00D75497">
        <w:rPr>
          <w:rFonts w:ascii="Garamond" w:hAnsi="Garamond"/>
          <w:sz w:val="24"/>
          <w:szCs w:val="24"/>
        </w:rPr>
        <w:t xml:space="preserve"> </w:t>
      </w:r>
      <w:r w:rsidR="00D75497" w:rsidRPr="00D75497">
        <w:rPr>
          <w:rFonts w:ascii="Garamond" w:hAnsi="Garamond"/>
          <w:sz w:val="24"/>
          <w:szCs w:val="24"/>
        </w:rPr>
        <w:t>W.C. Brainard, W.D. Nordhaus, H.W. Watts (Eds.), Money, macroeconomics, and economic policy, MIT Press, Cambridge, MA (1991)</w:t>
      </w:r>
      <w:r w:rsidR="00D75497">
        <w:rPr>
          <w:rFonts w:ascii="Garamond" w:hAnsi="Garamond"/>
          <w:sz w:val="24"/>
          <w:szCs w:val="24"/>
        </w:rPr>
        <w:t xml:space="preserve">. </w:t>
      </w:r>
      <w:r w:rsidR="00D75497" w:rsidRPr="00D75497">
        <w:rPr>
          <w:rFonts w:ascii="Garamond" w:hAnsi="Garamond"/>
          <w:sz w:val="24"/>
          <w:szCs w:val="24"/>
        </w:rPr>
        <w:t>Essays in honor of James Tobin</w:t>
      </w:r>
    </w:p>
    <w:p w14:paraId="3F9A0D0F" w14:textId="16708C45" w:rsidR="001B42DA" w:rsidRDefault="001B42DA" w:rsidP="00771184">
      <w:pPr>
        <w:pStyle w:val="NoSpacing"/>
        <w:spacing w:line="480" w:lineRule="auto"/>
        <w:jc w:val="both"/>
        <w:rPr>
          <w:rFonts w:ascii="Garamond" w:hAnsi="Garamond"/>
          <w:sz w:val="24"/>
          <w:szCs w:val="24"/>
        </w:rPr>
      </w:pPr>
      <w:proofErr w:type="spellStart"/>
      <w:r>
        <w:rPr>
          <w:rFonts w:ascii="Garamond" w:hAnsi="Garamond"/>
          <w:sz w:val="24"/>
          <w:szCs w:val="24"/>
        </w:rPr>
        <w:t>Schweikert</w:t>
      </w:r>
      <w:proofErr w:type="spellEnd"/>
      <w:r>
        <w:rPr>
          <w:rFonts w:ascii="Garamond" w:hAnsi="Garamond"/>
          <w:sz w:val="24"/>
          <w:szCs w:val="24"/>
        </w:rPr>
        <w:t xml:space="preserve">, K. (2018). Are gold and silver cointegrated? New evidence from quantile cointegrating regressions. </w:t>
      </w:r>
      <w:r w:rsidRPr="001B42DA">
        <w:rPr>
          <w:rFonts w:ascii="Garamond" w:hAnsi="Garamond"/>
          <w:i/>
          <w:iCs/>
          <w:sz w:val="24"/>
          <w:szCs w:val="24"/>
        </w:rPr>
        <w:t>Journal of Banking &amp; Finance 88</w:t>
      </w:r>
      <w:r>
        <w:rPr>
          <w:rFonts w:ascii="Garamond" w:hAnsi="Garamond"/>
          <w:sz w:val="24"/>
          <w:szCs w:val="24"/>
        </w:rPr>
        <w:t>, 44-51.</w:t>
      </w:r>
    </w:p>
    <w:p w14:paraId="4EBC83F3" w14:textId="19475904" w:rsidR="00D60A9A" w:rsidRDefault="00D60A9A" w:rsidP="00771184">
      <w:pPr>
        <w:pStyle w:val="NoSpacing"/>
        <w:spacing w:line="480" w:lineRule="auto"/>
        <w:jc w:val="both"/>
        <w:rPr>
          <w:rFonts w:ascii="Garamond" w:hAnsi="Garamond"/>
          <w:sz w:val="24"/>
          <w:szCs w:val="24"/>
        </w:rPr>
      </w:pPr>
      <w:proofErr w:type="spellStart"/>
      <w:r>
        <w:rPr>
          <w:rFonts w:ascii="Garamond" w:hAnsi="Garamond"/>
          <w:sz w:val="24"/>
          <w:szCs w:val="24"/>
        </w:rPr>
        <w:t>Seo</w:t>
      </w:r>
      <w:proofErr w:type="spellEnd"/>
      <w:r w:rsidR="00D75497">
        <w:rPr>
          <w:rFonts w:ascii="Garamond" w:hAnsi="Garamond"/>
          <w:sz w:val="24"/>
          <w:szCs w:val="24"/>
        </w:rPr>
        <w:t>,</w:t>
      </w:r>
      <w:r>
        <w:rPr>
          <w:rFonts w:ascii="Garamond" w:hAnsi="Garamond"/>
          <w:sz w:val="24"/>
          <w:szCs w:val="24"/>
        </w:rPr>
        <w:t xml:space="preserve"> B. (2003). Nonlinear mean reversion in the term structure of interest rates. </w:t>
      </w:r>
      <w:r>
        <w:rPr>
          <w:rFonts w:ascii="Garamond" w:hAnsi="Garamond"/>
          <w:i/>
          <w:iCs/>
          <w:sz w:val="24"/>
          <w:szCs w:val="24"/>
        </w:rPr>
        <w:t>Journal of Economic Dynamics &amp; Control</w:t>
      </w:r>
      <w:r w:rsidR="00063F51">
        <w:rPr>
          <w:rFonts w:ascii="Garamond" w:hAnsi="Garamond"/>
          <w:sz w:val="24"/>
          <w:szCs w:val="24"/>
        </w:rPr>
        <w:t xml:space="preserve"> 27</w:t>
      </w:r>
      <w:r>
        <w:rPr>
          <w:rFonts w:ascii="Garamond" w:hAnsi="Garamond"/>
          <w:sz w:val="24"/>
          <w:szCs w:val="24"/>
        </w:rPr>
        <w:t>, 2243 – 2265</w:t>
      </w:r>
    </w:p>
    <w:p w14:paraId="4B6B6D37" w14:textId="2721A10E" w:rsidR="002B5625" w:rsidRDefault="002B5625" w:rsidP="00771184">
      <w:pPr>
        <w:pStyle w:val="NoSpacing"/>
        <w:spacing w:line="480" w:lineRule="auto"/>
        <w:jc w:val="both"/>
        <w:rPr>
          <w:rFonts w:ascii="Garamond" w:hAnsi="Garamond"/>
          <w:sz w:val="24"/>
          <w:szCs w:val="24"/>
        </w:rPr>
      </w:pPr>
      <w:r>
        <w:rPr>
          <w:rFonts w:ascii="Garamond" w:hAnsi="Garamond"/>
          <w:sz w:val="24"/>
          <w:szCs w:val="24"/>
        </w:rPr>
        <w:t xml:space="preserve">Sharif, A., </w:t>
      </w:r>
      <w:proofErr w:type="spellStart"/>
      <w:r>
        <w:rPr>
          <w:rFonts w:ascii="Garamond" w:hAnsi="Garamond"/>
          <w:sz w:val="24"/>
          <w:szCs w:val="24"/>
        </w:rPr>
        <w:t>Aloui</w:t>
      </w:r>
      <w:proofErr w:type="spellEnd"/>
      <w:r>
        <w:rPr>
          <w:rFonts w:ascii="Garamond" w:hAnsi="Garamond"/>
          <w:sz w:val="24"/>
          <w:szCs w:val="24"/>
        </w:rPr>
        <w:t xml:space="preserve">, C., Yarovaya, L. (2020). </w:t>
      </w:r>
      <w:r w:rsidRPr="002B5625">
        <w:rPr>
          <w:rFonts w:ascii="Garamond" w:hAnsi="Garamond"/>
          <w:sz w:val="24"/>
          <w:szCs w:val="24"/>
        </w:rPr>
        <w:t>COVID-19 pandemic, oil prices, stock market and policy uncertainty nexus in the US economy: fresh evidence from the wavelet-based approach</w:t>
      </w:r>
      <w:r>
        <w:rPr>
          <w:rFonts w:ascii="Garamond" w:hAnsi="Garamond"/>
          <w:sz w:val="24"/>
          <w:szCs w:val="24"/>
        </w:rPr>
        <w:t xml:space="preserve">. </w:t>
      </w:r>
      <w:r w:rsidRPr="002B5625">
        <w:rPr>
          <w:rFonts w:ascii="Garamond" w:hAnsi="Garamond"/>
          <w:i/>
          <w:iCs/>
          <w:sz w:val="24"/>
          <w:szCs w:val="24"/>
        </w:rPr>
        <w:t>International Review of Financial Analysis</w:t>
      </w:r>
      <w:r w:rsidR="004051CD" w:rsidRPr="004051CD">
        <w:rPr>
          <w:rFonts w:ascii="Garamond" w:hAnsi="Garamond"/>
          <w:i/>
          <w:iCs/>
          <w:sz w:val="24"/>
          <w:szCs w:val="24"/>
        </w:rPr>
        <w:t xml:space="preserve"> </w:t>
      </w:r>
      <w:r w:rsidR="004051CD" w:rsidRPr="004051CD">
        <w:rPr>
          <w:rFonts w:ascii="Garamond" w:hAnsi="Garamond"/>
          <w:i/>
          <w:iCs/>
          <w:color w:val="FF0000"/>
          <w:sz w:val="24"/>
          <w:szCs w:val="24"/>
        </w:rPr>
        <w:t>70, 101496</w:t>
      </w:r>
      <w:r>
        <w:rPr>
          <w:rFonts w:ascii="Garamond" w:hAnsi="Garamond"/>
          <w:sz w:val="24"/>
          <w:szCs w:val="24"/>
        </w:rPr>
        <w:t>.</w:t>
      </w:r>
    </w:p>
    <w:p w14:paraId="594D3D50" w14:textId="7C4D6634" w:rsidR="00F05784" w:rsidRDefault="00F05784" w:rsidP="00771184">
      <w:pPr>
        <w:pStyle w:val="NoSpacing"/>
        <w:spacing w:line="480" w:lineRule="auto"/>
        <w:jc w:val="both"/>
        <w:rPr>
          <w:rFonts w:ascii="Garamond" w:hAnsi="Garamond"/>
          <w:sz w:val="24"/>
          <w:szCs w:val="24"/>
        </w:rPr>
      </w:pPr>
      <w:r w:rsidRPr="00F05784">
        <w:rPr>
          <w:rFonts w:ascii="Garamond" w:hAnsi="Garamond"/>
          <w:sz w:val="24"/>
          <w:szCs w:val="24"/>
        </w:rPr>
        <w:t>Singh, A.K., Allen, D.E.,</w:t>
      </w:r>
      <w:r w:rsidR="00D63E64">
        <w:rPr>
          <w:rFonts w:ascii="Garamond" w:hAnsi="Garamond"/>
          <w:sz w:val="24"/>
          <w:szCs w:val="24"/>
        </w:rPr>
        <w:t xml:space="preserve"> </w:t>
      </w:r>
      <w:r w:rsidRPr="00F05784">
        <w:rPr>
          <w:rFonts w:ascii="Garamond" w:hAnsi="Garamond"/>
          <w:sz w:val="24"/>
          <w:szCs w:val="24"/>
        </w:rPr>
        <w:t xml:space="preserve">Robert, P.J. (2013). Extreme market risk and extreme value theory. </w:t>
      </w:r>
      <w:r w:rsidRPr="00F05784">
        <w:rPr>
          <w:rFonts w:ascii="Garamond" w:hAnsi="Garamond"/>
          <w:i/>
          <w:iCs/>
          <w:sz w:val="24"/>
          <w:szCs w:val="24"/>
        </w:rPr>
        <w:t>Mathematics and Computers in Simulation, 94</w:t>
      </w:r>
      <w:r w:rsidRPr="00F05784">
        <w:rPr>
          <w:rFonts w:ascii="Garamond" w:hAnsi="Garamond"/>
          <w:sz w:val="24"/>
          <w:szCs w:val="24"/>
        </w:rPr>
        <w:t>, 310-328.</w:t>
      </w:r>
    </w:p>
    <w:p w14:paraId="4056DA11" w14:textId="58C0AE6C" w:rsidR="00D60A9A" w:rsidRPr="00943696" w:rsidRDefault="00D60A9A" w:rsidP="00771184">
      <w:pPr>
        <w:pStyle w:val="NoSpacing"/>
        <w:spacing w:line="480" w:lineRule="auto"/>
        <w:jc w:val="both"/>
        <w:rPr>
          <w:rFonts w:ascii="Garamond" w:eastAsiaTheme="minorEastAsia" w:hAnsi="Garamond"/>
          <w:bCs/>
          <w:iCs/>
          <w:sz w:val="24"/>
          <w:szCs w:val="24"/>
        </w:rPr>
      </w:pPr>
      <w:proofErr w:type="spellStart"/>
      <w:r>
        <w:rPr>
          <w:rFonts w:ascii="Garamond" w:eastAsiaTheme="minorEastAsia" w:hAnsi="Garamond"/>
          <w:bCs/>
          <w:iCs/>
          <w:sz w:val="24"/>
          <w:szCs w:val="24"/>
        </w:rPr>
        <w:t>Spierdijk</w:t>
      </w:r>
      <w:proofErr w:type="spellEnd"/>
      <w:r>
        <w:rPr>
          <w:rFonts w:ascii="Garamond" w:eastAsiaTheme="minorEastAsia" w:hAnsi="Garamond"/>
          <w:bCs/>
          <w:iCs/>
          <w:sz w:val="24"/>
          <w:szCs w:val="24"/>
        </w:rPr>
        <w:t xml:space="preserve">, L., </w:t>
      </w:r>
      <w:proofErr w:type="spellStart"/>
      <w:r>
        <w:rPr>
          <w:rFonts w:ascii="Garamond" w:eastAsiaTheme="minorEastAsia" w:hAnsi="Garamond"/>
          <w:bCs/>
          <w:iCs/>
          <w:sz w:val="24"/>
          <w:szCs w:val="24"/>
        </w:rPr>
        <w:t>Bikker</w:t>
      </w:r>
      <w:proofErr w:type="spellEnd"/>
      <w:r>
        <w:rPr>
          <w:rFonts w:ascii="Garamond" w:eastAsiaTheme="minorEastAsia" w:hAnsi="Garamond"/>
          <w:bCs/>
          <w:iCs/>
          <w:sz w:val="24"/>
          <w:szCs w:val="24"/>
        </w:rPr>
        <w:t xml:space="preserve">, J.A., Hoek, P. (2012). </w:t>
      </w:r>
      <w:r w:rsidRPr="00644E26">
        <w:rPr>
          <w:rFonts w:ascii="Garamond" w:eastAsiaTheme="minorEastAsia" w:hAnsi="Garamond"/>
          <w:bCs/>
          <w:iCs/>
          <w:sz w:val="24"/>
          <w:szCs w:val="24"/>
        </w:rPr>
        <w:t>Mean reversion in international stock markets: An empirical analysis of the 20th century</w:t>
      </w:r>
      <w:r>
        <w:rPr>
          <w:rFonts w:ascii="Garamond" w:eastAsiaTheme="minorEastAsia" w:hAnsi="Garamond"/>
          <w:bCs/>
          <w:iCs/>
          <w:sz w:val="24"/>
          <w:szCs w:val="24"/>
        </w:rPr>
        <w:t xml:space="preserve">. </w:t>
      </w:r>
      <w:hyperlink r:id="rId17" w:tooltip="Go to Journal of International Money and Finance on ScienceDirect" w:history="1">
        <w:r w:rsidRPr="00FA4457">
          <w:rPr>
            <w:rStyle w:val="Hyperlink"/>
            <w:rFonts w:ascii="Garamond" w:eastAsiaTheme="minorEastAsia" w:hAnsi="Garamond"/>
            <w:bCs/>
            <w:i/>
            <w:iCs/>
            <w:color w:val="auto"/>
            <w:sz w:val="24"/>
            <w:szCs w:val="24"/>
            <w:u w:val="none"/>
          </w:rPr>
          <w:t>Journal of International Money and Finance</w:t>
        </w:r>
      </w:hyperlink>
      <w:r w:rsidRPr="00FA4457">
        <w:rPr>
          <w:rFonts w:ascii="Garamond" w:eastAsiaTheme="minorEastAsia" w:hAnsi="Garamond"/>
          <w:bCs/>
          <w:i/>
          <w:iCs/>
          <w:sz w:val="24"/>
          <w:szCs w:val="24"/>
        </w:rPr>
        <w:t xml:space="preserve"> </w:t>
      </w:r>
      <w:r w:rsidRPr="00FA4457">
        <w:rPr>
          <w:rFonts w:ascii="Garamond" w:eastAsiaTheme="minorEastAsia" w:hAnsi="Garamond"/>
          <w:bCs/>
          <w:iCs/>
          <w:sz w:val="24"/>
          <w:szCs w:val="24"/>
        </w:rPr>
        <w:t>31</w:t>
      </w:r>
      <w:r>
        <w:rPr>
          <w:rFonts w:ascii="Garamond" w:eastAsiaTheme="minorEastAsia" w:hAnsi="Garamond"/>
          <w:bCs/>
          <w:iCs/>
          <w:sz w:val="24"/>
          <w:szCs w:val="24"/>
        </w:rPr>
        <w:t xml:space="preserve">(2), 228-249. </w:t>
      </w:r>
    </w:p>
    <w:p w14:paraId="5C5C7D3E" w14:textId="567371CC" w:rsidR="00D60A9A" w:rsidRPr="00943696" w:rsidRDefault="00D60A9A" w:rsidP="00771184">
      <w:pPr>
        <w:pStyle w:val="NoSpacing"/>
        <w:spacing w:line="480" w:lineRule="auto"/>
        <w:jc w:val="both"/>
        <w:rPr>
          <w:rFonts w:ascii="Garamond" w:eastAsiaTheme="minorEastAsia" w:hAnsi="Garamond"/>
          <w:iCs/>
          <w:sz w:val="24"/>
          <w:szCs w:val="24"/>
        </w:rPr>
      </w:pPr>
      <w:r>
        <w:rPr>
          <w:rFonts w:ascii="Garamond" w:eastAsiaTheme="minorEastAsia" w:hAnsi="Garamond"/>
          <w:iCs/>
          <w:sz w:val="24"/>
          <w:szCs w:val="24"/>
        </w:rPr>
        <w:lastRenderedPageBreak/>
        <w:t xml:space="preserve">S&amp;P Global Market Intelligence (April 15, 2020). COVID-19 impacts to metals prices: volatility is here to stay – Part 2. Available at: </w:t>
      </w:r>
      <w:hyperlink r:id="rId18" w:history="1">
        <w:r w:rsidRPr="00FE2AC9">
          <w:rPr>
            <w:rStyle w:val="Hyperlink"/>
            <w:rFonts w:ascii="Garamond" w:eastAsiaTheme="minorEastAsia" w:hAnsi="Garamond"/>
            <w:iCs/>
            <w:sz w:val="24"/>
            <w:szCs w:val="24"/>
          </w:rPr>
          <w:t>https://www.spglobal.com/marketintelligence/en/news-insights/research/covid-19-impacts-to-metals-prices-volatility-is-here-to-stay-part-2</w:t>
        </w:r>
      </w:hyperlink>
      <w:r>
        <w:rPr>
          <w:rFonts w:ascii="Garamond" w:eastAsiaTheme="minorEastAsia" w:hAnsi="Garamond"/>
          <w:iCs/>
          <w:sz w:val="24"/>
          <w:szCs w:val="24"/>
        </w:rPr>
        <w:t>. Accessed: May 23, 2020.</w:t>
      </w:r>
    </w:p>
    <w:p w14:paraId="0083BF13" w14:textId="5541E0F1" w:rsidR="00DD1757" w:rsidRPr="009E00D2" w:rsidRDefault="00DD1757" w:rsidP="00771184">
      <w:pPr>
        <w:pStyle w:val="NoSpacing"/>
        <w:spacing w:line="480" w:lineRule="auto"/>
        <w:jc w:val="both"/>
        <w:rPr>
          <w:rFonts w:ascii="Garamond" w:hAnsi="Garamond"/>
          <w:sz w:val="24"/>
          <w:szCs w:val="24"/>
        </w:rPr>
      </w:pPr>
      <w:proofErr w:type="spellStart"/>
      <w:r w:rsidRPr="00DD1757">
        <w:rPr>
          <w:rFonts w:ascii="Garamond" w:hAnsi="Garamond"/>
          <w:sz w:val="24"/>
          <w:szCs w:val="24"/>
        </w:rPr>
        <w:t>Taleb</w:t>
      </w:r>
      <w:proofErr w:type="spellEnd"/>
      <w:r w:rsidRPr="00DD1757">
        <w:rPr>
          <w:rFonts w:ascii="Garamond" w:hAnsi="Garamond"/>
          <w:sz w:val="24"/>
          <w:szCs w:val="24"/>
        </w:rPr>
        <w:t>, N.N. (2007). The Black Swan: The Impact of the Highly Improbable. Random House. US.</w:t>
      </w:r>
    </w:p>
    <w:p w14:paraId="19BEE721" w14:textId="641EB4AA" w:rsidR="00674C54" w:rsidRDefault="00674C54" w:rsidP="00771184">
      <w:pPr>
        <w:pStyle w:val="NoSpacing"/>
        <w:spacing w:line="480" w:lineRule="auto"/>
        <w:jc w:val="both"/>
        <w:rPr>
          <w:rFonts w:ascii="Garamond" w:hAnsi="Garamond"/>
          <w:sz w:val="24"/>
          <w:szCs w:val="24"/>
          <w:lang w:val="en-GB"/>
        </w:rPr>
      </w:pPr>
      <w:r w:rsidRPr="00674C54">
        <w:rPr>
          <w:rFonts w:ascii="Garamond" w:hAnsi="Garamond"/>
          <w:sz w:val="24"/>
          <w:szCs w:val="24"/>
          <w:lang w:val="en-GB"/>
        </w:rPr>
        <w:t xml:space="preserve">Taylor, J.B., Williams, J.C. (2009). A Black Swan in the money market. </w:t>
      </w:r>
      <w:r w:rsidRPr="00674C54">
        <w:rPr>
          <w:rFonts w:ascii="Garamond" w:hAnsi="Garamond"/>
          <w:i/>
          <w:iCs/>
          <w:sz w:val="24"/>
          <w:szCs w:val="24"/>
          <w:lang w:val="en-GB"/>
        </w:rPr>
        <w:t>American Economic Journal: Macroeconomics, 1</w:t>
      </w:r>
      <w:r w:rsidRPr="00674C54">
        <w:rPr>
          <w:rFonts w:ascii="Garamond" w:hAnsi="Garamond"/>
          <w:sz w:val="24"/>
          <w:szCs w:val="24"/>
          <w:lang w:val="en-GB"/>
        </w:rPr>
        <w:t>, 58-83.</w:t>
      </w:r>
    </w:p>
    <w:p w14:paraId="41C50B5F" w14:textId="1FB92BBB" w:rsidR="00771184" w:rsidRDefault="00771184" w:rsidP="00063F51">
      <w:pPr>
        <w:pStyle w:val="NoSpacing"/>
        <w:spacing w:line="480" w:lineRule="auto"/>
        <w:jc w:val="both"/>
        <w:rPr>
          <w:rFonts w:ascii="Garamond" w:hAnsi="Garamond"/>
          <w:sz w:val="24"/>
          <w:szCs w:val="24"/>
        </w:rPr>
      </w:pPr>
      <w:proofErr w:type="spellStart"/>
      <w:r w:rsidRPr="009A419C">
        <w:rPr>
          <w:rFonts w:ascii="Garamond" w:hAnsi="Garamond"/>
          <w:sz w:val="24"/>
          <w:szCs w:val="24"/>
        </w:rPr>
        <w:t>Turatti</w:t>
      </w:r>
      <w:proofErr w:type="spellEnd"/>
      <w:r w:rsidRPr="009A419C">
        <w:rPr>
          <w:rFonts w:ascii="Garamond" w:hAnsi="Garamond"/>
          <w:sz w:val="24"/>
          <w:szCs w:val="24"/>
        </w:rPr>
        <w:t xml:space="preserve">, D.E., Mendes, F.H., </w:t>
      </w:r>
      <w:proofErr w:type="spellStart"/>
      <w:r w:rsidRPr="009A419C">
        <w:rPr>
          <w:rFonts w:ascii="Garamond" w:hAnsi="Garamond"/>
          <w:sz w:val="24"/>
          <w:szCs w:val="24"/>
        </w:rPr>
        <w:t>Caldeira</w:t>
      </w:r>
      <w:proofErr w:type="spellEnd"/>
      <w:r w:rsidRPr="009A419C">
        <w:rPr>
          <w:rFonts w:ascii="Garamond" w:hAnsi="Garamond"/>
          <w:sz w:val="24"/>
          <w:szCs w:val="24"/>
        </w:rPr>
        <w:t>, J.F. (20</w:t>
      </w:r>
      <w:r w:rsidR="00D814F0" w:rsidRPr="009A419C">
        <w:rPr>
          <w:rFonts w:ascii="Garamond" w:hAnsi="Garamond"/>
          <w:sz w:val="24"/>
          <w:szCs w:val="24"/>
        </w:rPr>
        <w:t>20</w:t>
      </w:r>
      <w:r w:rsidRPr="009A419C">
        <w:rPr>
          <w:rFonts w:ascii="Garamond" w:hAnsi="Garamond"/>
          <w:sz w:val="24"/>
          <w:szCs w:val="24"/>
        </w:rPr>
        <w:t xml:space="preserve">). </w:t>
      </w:r>
      <w:r w:rsidRPr="009E00D2">
        <w:rPr>
          <w:rFonts w:ascii="Garamond" w:hAnsi="Garamond"/>
          <w:sz w:val="24"/>
          <w:szCs w:val="24"/>
        </w:rPr>
        <w:t xml:space="preserve">Testing for mean-reversion in Bitcoin returns with Gibbs-sampling-augmented randomization. </w:t>
      </w:r>
      <w:r w:rsidRPr="00943696">
        <w:rPr>
          <w:rFonts w:ascii="Garamond" w:hAnsi="Garamond"/>
          <w:i/>
          <w:sz w:val="24"/>
          <w:szCs w:val="24"/>
        </w:rPr>
        <w:t xml:space="preserve">Finance research </w:t>
      </w:r>
      <w:r w:rsidRPr="00D814F0">
        <w:rPr>
          <w:rFonts w:ascii="Garamond" w:hAnsi="Garamond"/>
          <w:i/>
          <w:color w:val="FF0000"/>
          <w:sz w:val="24"/>
          <w:szCs w:val="24"/>
        </w:rPr>
        <w:t>Letters</w:t>
      </w:r>
      <w:r w:rsidRPr="00D814F0">
        <w:rPr>
          <w:rFonts w:ascii="Garamond" w:hAnsi="Garamond"/>
          <w:color w:val="FF0000"/>
          <w:sz w:val="24"/>
          <w:szCs w:val="24"/>
        </w:rPr>
        <w:t xml:space="preserve"> </w:t>
      </w:r>
      <w:r w:rsidR="00D814F0" w:rsidRPr="00D814F0">
        <w:rPr>
          <w:rFonts w:ascii="Garamond" w:hAnsi="Garamond"/>
          <w:color w:val="FF0000"/>
          <w:sz w:val="24"/>
          <w:szCs w:val="24"/>
        </w:rPr>
        <w:t>34, 101252</w:t>
      </w:r>
      <w:r w:rsidR="00D814F0">
        <w:rPr>
          <w:rFonts w:ascii="Garamond" w:hAnsi="Garamond"/>
          <w:sz w:val="24"/>
          <w:szCs w:val="24"/>
        </w:rPr>
        <w:t>.</w:t>
      </w:r>
    </w:p>
    <w:p w14:paraId="6E151048" w14:textId="7457D577" w:rsidR="00CE6931" w:rsidRDefault="00CE6931" w:rsidP="00063F51">
      <w:pPr>
        <w:pStyle w:val="NoSpacing"/>
        <w:spacing w:line="480" w:lineRule="auto"/>
        <w:jc w:val="both"/>
        <w:rPr>
          <w:rFonts w:ascii="Garamond" w:hAnsi="Garamond"/>
          <w:sz w:val="24"/>
          <w:szCs w:val="24"/>
        </w:rPr>
      </w:pPr>
      <w:r w:rsidRPr="00CE6931">
        <w:rPr>
          <w:rFonts w:ascii="Garamond" w:hAnsi="Garamond"/>
          <w:sz w:val="24"/>
          <w:szCs w:val="24"/>
        </w:rPr>
        <w:t xml:space="preserve">Wang, Y., Cao, X., Sui, X., Zhao, W. (2019). How do black swan events go global? - Evidence from US reserves effects on TOCOM gold futures. </w:t>
      </w:r>
      <w:r w:rsidRPr="00CE6931">
        <w:rPr>
          <w:rFonts w:ascii="Garamond" w:hAnsi="Garamond"/>
          <w:i/>
          <w:iCs/>
          <w:sz w:val="24"/>
          <w:szCs w:val="24"/>
        </w:rPr>
        <w:t>Finance Research Letter, 31</w:t>
      </w:r>
      <w:r w:rsidRPr="00CE6931">
        <w:rPr>
          <w:rFonts w:ascii="Garamond" w:hAnsi="Garamond"/>
          <w:sz w:val="24"/>
          <w:szCs w:val="24"/>
        </w:rPr>
        <w:t>, 225-231.</w:t>
      </w:r>
    </w:p>
    <w:p w14:paraId="68A53B27" w14:textId="3381CF32" w:rsidR="00D60A9A" w:rsidRPr="007667B2" w:rsidRDefault="00D60A9A" w:rsidP="00063F51">
      <w:pPr>
        <w:pStyle w:val="NoSpacing"/>
        <w:spacing w:line="480" w:lineRule="auto"/>
        <w:jc w:val="both"/>
        <w:rPr>
          <w:rFonts w:ascii="Garamond" w:hAnsi="Garamond"/>
          <w:sz w:val="24"/>
          <w:szCs w:val="24"/>
        </w:rPr>
      </w:pPr>
      <w:proofErr w:type="spellStart"/>
      <w:r>
        <w:rPr>
          <w:rFonts w:ascii="Garamond" w:hAnsi="Garamond"/>
          <w:sz w:val="24"/>
          <w:szCs w:val="24"/>
          <w:lang w:val="en-GB"/>
        </w:rPr>
        <w:t>Uludag</w:t>
      </w:r>
      <w:proofErr w:type="spellEnd"/>
      <w:r>
        <w:rPr>
          <w:rFonts w:ascii="Garamond" w:hAnsi="Garamond"/>
          <w:sz w:val="24"/>
          <w:szCs w:val="24"/>
          <w:lang w:val="en-GB"/>
        </w:rPr>
        <w:t xml:space="preserve">, B.K., </w:t>
      </w:r>
      <w:proofErr w:type="spellStart"/>
      <w:r>
        <w:rPr>
          <w:rFonts w:ascii="Garamond" w:hAnsi="Garamond"/>
          <w:sz w:val="24"/>
          <w:szCs w:val="24"/>
          <w:lang w:val="en-GB"/>
        </w:rPr>
        <w:t>Lkhamazhapov</w:t>
      </w:r>
      <w:proofErr w:type="spellEnd"/>
      <w:r>
        <w:rPr>
          <w:rFonts w:ascii="Garamond" w:hAnsi="Garamond"/>
          <w:sz w:val="24"/>
          <w:szCs w:val="24"/>
          <w:lang w:val="en-GB"/>
        </w:rPr>
        <w:t xml:space="preserve">, </w:t>
      </w:r>
      <w:proofErr w:type="spellStart"/>
      <w:r>
        <w:rPr>
          <w:rFonts w:ascii="Garamond" w:hAnsi="Garamond"/>
          <w:sz w:val="24"/>
          <w:szCs w:val="24"/>
          <w:lang w:val="en-GB"/>
        </w:rPr>
        <w:t>Zorikto</w:t>
      </w:r>
      <w:proofErr w:type="spellEnd"/>
      <w:r>
        <w:rPr>
          <w:rFonts w:ascii="Garamond" w:hAnsi="Garamond"/>
          <w:sz w:val="24"/>
          <w:szCs w:val="24"/>
          <w:lang w:val="en-GB"/>
        </w:rPr>
        <w:t>. (2014). Long memory and structural breaks in the</w:t>
      </w:r>
      <w:r w:rsidR="00FA4457">
        <w:rPr>
          <w:rFonts w:ascii="Garamond" w:hAnsi="Garamond"/>
          <w:sz w:val="24"/>
          <w:szCs w:val="24"/>
          <w:lang w:val="en-GB"/>
        </w:rPr>
        <w:t xml:space="preserve"> </w:t>
      </w:r>
      <w:r>
        <w:rPr>
          <w:rFonts w:ascii="Garamond" w:hAnsi="Garamond"/>
          <w:sz w:val="24"/>
          <w:szCs w:val="24"/>
          <w:lang w:val="en-GB"/>
        </w:rPr>
        <w:t xml:space="preserve">returns and volatility of gold: evidence from Turkey. </w:t>
      </w:r>
      <w:r w:rsidRPr="00943696">
        <w:rPr>
          <w:rFonts w:ascii="Garamond" w:hAnsi="Garamond"/>
          <w:i/>
          <w:iCs/>
          <w:sz w:val="24"/>
          <w:szCs w:val="24"/>
        </w:rPr>
        <w:t>Applied Economics</w:t>
      </w:r>
      <w:r w:rsidRPr="00943696">
        <w:rPr>
          <w:rFonts w:ascii="Garamond" w:hAnsi="Garamond"/>
          <w:sz w:val="24"/>
          <w:szCs w:val="24"/>
        </w:rPr>
        <w:t xml:space="preserve"> 46 (1), 3777–3787. </w:t>
      </w:r>
    </w:p>
    <w:p w14:paraId="3F52053E" w14:textId="5D43B952" w:rsidR="00771184" w:rsidRDefault="00771184" w:rsidP="00063F51">
      <w:pPr>
        <w:pStyle w:val="NoSpacing"/>
        <w:spacing w:line="480" w:lineRule="auto"/>
        <w:jc w:val="both"/>
        <w:rPr>
          <w:rFonts w:ascii="Garamond" w:hAnsi="Garamond"/>
          <w:sz w:val="24"/>
          <w:szCs w:val="24"/>
        </w:rPr>
      </w:pPr>
      <w:r w:rsidRPr="009E00D2">
        <w:rPr>
          <w:rFonts w:ascii="Garamond" w:hAnsi="Garamond"/>
          <w:sz w:val="24"/>
          <w:szCs w:val="24"/>
        </w:rPr>
        <w:t xml:space="preserve">Urquhart, A. (2016). The inefficiency of Bitcoin. </w:t>
      </w:r>
      <w:r w:rsidRPr="00943696">
        <w:rPr>
          <w:rFonts w:ascii="Garamond" w:hAnsi="Garamond"/>
          <w:i/>
          <w:sz w:val="24"/>
          <w:szCs w:val="24"/>
        </w:rPr>
        <w:t>Economics Letters</w:t>
      </w:r>
      <w:r w:rsidRPr="009E00D2">
        <w:rPr>
          <w:rFonts w:ascii="Garamond" w:hAnsi="Garamond"/>
          <w:sz w:val="24"/>
          <w:szCs w:val="24"/>
        </w:rPr>
        <w:t xml:space="preserve"> 148, 80-82. </w:t>
      </w:r>
    </w:p>
    <w:p w14:paraId="0A295722" w14:textId="13178CF6" w:rsidR="00D60A9A" w:rsidRPr="00943696" w:rsidRDefault="00D60A9A" w:rsidP="00063F51">
      <w:pPr>
        <w:pStyle w:val="NoSpacing"/>
        <w:spacing w:line="480" w:lineRule="auto"/>
        <w:jc w:val="both"/>
        <w:rPr>
          <w:rFonts w:ascii="Garamond" w:eastAsiaTheme="minorEastAsia" w:hAnsi="Garamond"/>
          <w:bCs/>
          <w:iCs/>
          <w:sz w:val="24"/>
          <w:szCs w:val="24"/>
        </w:rPr>
      </w:pPr>
      <w:r>
        <w:rPr>
          <w:rFonts w:ascii="Garamond" w:eastAsiaTheme="minorEastAsia" w:hAnsi="Garamond"/>
          <w:bCs/>
          <w:iCs/>
          <w:sz w:val="24"/>
          <w:szCs w:val="24"/>
        </w:rPr>
        <w:t xml:space="preserve">Urquhart, A. (2017). </w:t>
      </w:r>
      <w:r w:rsidRPr="00644E26">
        <w:rPr>
          <w:rFonts w:ascii="Garamond" w:eastAsiaTheme="minorEastAsia" w:hAnsi="Garamond"/>
          <w:bCs/>
          <w:iCs/>
          <w:sz w:val="24"/>
          <w:szCs w:val="24"/>
        </w:rPr>
        <w:t>How predictable are precious metal returns?</w:t>
      </w:r>
      <w:r>
        <w:rPr>
          <w:rFonts w:ascii="Garamond" w:eastAsiaTheme="minorEastAsia" w:hAnsi="Garamond"/>
          <w:bCs/>
          <w:iCs/>
          <w:sz w:val="24"/>
          <w:szCs w:val="24"/>
        </w:rPr>
        <w:t xml:space="preserve"> </w:t>
      </w:r>
      <w:r w:rsidRPr="00943696">
        <w:rPr>
          <w:rFonts w:ascii="Garamond" w:eastAsiaTheme="minorEastAsia" w:hAnsi="Garamond"/>
          <w:bCs/>
          <w:i/>
          <w:iCs/>
          <w:sz w:val="24"/>
          <w:szCs w:val="24"/>
        </w:rPr>
        <w:t>The European Journal of Finance</w:t>
      </w:r>
      <w:r>
        <w:rPr>
          <w:rFonts w:ascii="Garamond" w:eastAsiaTheme="minorEastAsia" w:hAnsi="Garamond"/>
          <w:bCs/>
          <w:iCs/>
          <w:sz w:val="24"/>
          <w:szCs w:val="24"/>
        </w:rPr>
        <w:t xml:space="preserve"> 23(14).  </w:t>
      </w:r>
    </w:p>
    <w:p w14:paraId="489FEB2C" w14:textId="31512250" w:rsidR="00771184" w:rsidRDefault="00771184" w:rsidP="00063F51">
      <w:pPr>
        <w:pStyle w:val="NoSpacing"/>
        <w:spacing w:line="480" w:lineRule="auto"/>
        <w:jc w:val="both"/>
        <w:rPr>
          <w:rStyle w:val="Hyperlink"/>
          <w:rFonts w:ascii="Garamond" w:eastAsiaTheme="minorEastAsia" w:hAnsi="Garamond"/>
          <w:iCs/>
          <w:sz w:val="24"/>
          <w:szCs w:val="24"/>
        </w:rPr>
      </w:pPr>
      <w:r w:rsidRPr="009E00D2">
        <w:rPr>
          <w:rFonts w:ascii="Garamond" w:eastAsiaTheme="minorEastAsia" w:hAnsi="Garamond"/>
          <w:iCs/>
          <w:sz w:val="24"/>
          <w:szCs w:val="24"/>
        </w:rPr>
        <w:t xml:space="preserve">Yang, Y. and Zhao, Z. (2020) Quantile nonlinear unit root test with covariates and an application to the PPP hypothesis. </w:t>
      </w:r>
      <w:r w:rsidRPr="00943696">
        <w:rPr>
          <w:rFonts w:ascii="Garamond" w:eastAsiaTheme="minorEastAsia" w:hAnsi="Garamond"/>
          <w:i/>
          <w:iCs/>
          <w:sz w:val="24"/>
          <w:szCs w:val="24"/>
        </w:rPr>
        <w:t>Economic Modelling</w:t>
      </w:r>
      <w:r w:rsidR="001270D6" w:rsidRPr="001270D6">
        <w:t xml:space="preserve"> </w:t>
      </w:r>
      <w:r w:rsidR="001270D6" w:rsidRPr="001270D6">
        <w:rPr>
          <w:rFonts w:ascii="Garamond" w:eastAsiaTheme="minorEastAsia" w:hAnsi="Garamond"/>
          <w:i/>
          <w:iCs/>
          <w:color w:val="FF0000"/>
          <w:sz w:val="24"/>
          <w:szCs w:val="24"/>
        </w:rPr>
        <w:t>93, 728-736</w:t>
      </w:r>
    </w:p>
    <w:p w14:paraId="35570722" w14:textId="30A0C7A3" w:rsidR="002B5625" w:rsidRDefault="002B5625" w:rsidP="00771184">
      <w:pPr>
        <w:pStyle w:val="NoSpacing"/>
        <w:spacing w:line="480" w:lineRule="auto"/>
        <w:jc w:val="both"/>
        <w:rPr>
          <w:rStyle w:val="Hyperlink"/>
          <w:rFonts w:ascii="Garamond" w:eastAsiaTheme="minorEastAsia" w:hAnsi="Garamond"/>
          <w:iCs/>
          <w:sz w:val="24"/>
          <w:szCs w:val="24"/>
        </w:rPr>
      </w:pPr>
      <w:r w:rsidRPr="002B5625">
        <w:rPr>
          <w:rFonts w:ascii="Garamond" w:eastAsiaTheme="minorEastAsia" w:hAnsi="Garamond"/>
          <w:iCs/>
          <w:sz w:val="24"/>
          <w:szCs w:val="24"/>
        </w:rPr>
        <w:t>Yarovaya, L</w:t>
      </w:r>
      <w:r>
        <w:rPr>
          <w:rFonts w:ascii="Garamond" w:eastAsiaTheme="minorEastAsia" w:hAnsi="Garamond"/>
          <w:iCs/>
          <w:sz w:val="24"/>
          <w:szCs w:val="24"/>
        </w:rPr>
        <w:t xml:space="preserve">., </w:t>
      </w:r>
      <w:proofErr w:type="spellStart"/>
      <w:r w:rsidRPr="002B5625">
        <w:rPr>
          <w:rFonts w:ascii="Garamond" w:eastAsiaTheme="minorEastAsia" w:hAnsi="Garamond"/>
          <w:iCs/>
          <w:sz w:val="24"/>
          <w:szCs w:val="24"/>
        </w:rPr>
        <w:t>Brzeszczynski</w:t>
      </w:r>
      <w:proofErr w:type="spellEnd"/>
      <w:r w:rsidRPr="002B5625">
        <w:rPr>
          <w:rFonts w:ascii="Garamond" w:eastAsiaTheme="minorEastAsia" w:hAnsi="Garamond"/>
          <w:iCs/>
          <w:sz w:val="24"/>
          <w:szCs w:val="24"/>
        </w:rPr>
        <w:t>, J</w:t>
      </w:r>
      <w:r>
        <w:rPr>
          <w:rFonts w:ascii="Garamond" w:eastAsiaTheme="minorEastAsia" w:hAnsi="Garamond"/>
          <w:iCs/>
          <w:sz w:val="24"/>
          <w:szCs w:val="24"/>
        </w:rPr>
        <w:t>.,</w:t>
      </w:r>
      <w:r w:rsidRPr="002B5625">
        <w:rPr>
          <w:rFonts w:ascii="Garamond" w:eastAsiaTheme="minorEastAsia" w:hAnsi="Garamond"/>
          <w:iCs/>
          <w:sz w:val="24"/>
          <w:szCs w:val="24"/>
        </w:rPr>
        <w:t xml:space="preserve"> Goodell, J</w:t>
      </w:r>
      <w:r>
        <w:rPr>
          <w:rFonts w:ascii="Garamond" w:eastAsiaTheme="minorEastAsia" w:hAnsi="Garamond"/>
          <w:iCs/>
          <w:sz w:val="24"/>
          <w:szCs w:val="24"/>
        </w:rPr>
        <w:t>.</w:t>
      </w:r>
      <w:r w:rsidRPr="002B5625">
        <w:rPr>
          <w:rFonts w:ascii="Garamond" w:eastAsiaTheme="minorEastAsia" w:hAnsi="Garamond"/>
          <w:iCs/>
          <w:sz w:val="24"/>
          <w:szCs w:val="24"/>
        </w:rPr>
        <w:t>W.</w:t>
      </w:r>
      <w:r>
        <w:rPr>
          <w:rFonts w:ascii="Garamond" w:eastAsiaTheme="minorEastAsia" w:hAnsi="Garamond"/>
          <w:iCs/>
          <w:sz w:val="24"/>
          <w:szCs w:val="24"/>
        </w:rPr>
        <w:t xml:space="preserve">, </w:t>
      </w:r>
      <w:r w:rsidRPr="002B5625">
        <w:rPr>
          <w:rFonts w:ascii="Garamond" w:eastAsiaTheme="minorEastAsia" w:hAnsi="Garamond"/>
          <w:iCs/>
          <w:sz w:val="24"/>
          <w:szCs w:val="24"/>
        </w:rPr>
        <w:t>Lucey, B</w:t>
      </w:r>
      <w:r>
        <w:rPr>
          <w:rFonts w:ascii="Garamond" w:eastAsiaTheme="minorEastAsia" w:hAnsi="Garamond"/>
          <w:iCs/>
          <w:sz w:val="24"/>
          <w:szCs w:val="24"/>
        </w:rPr>
        <w:t>.</w:t>
      </w:r>
      <w:r w:rsidRPr="002B5625">
        <w:rPr>
          <w:rFonts w:ascii="Garamond" w:eastAsiaTheme="minorEastAsia" w:hAnsi="Garamond"/>
          <w:iCs/>
          <w:sz w:val="24"/>
          <w:szCs w:val="24"/>
        </w:rPr>
        <w:t>M.</w:t>
      </w:r>
      <w:r>
        <w:rPr>
          <w:rFonts w:ascii="Garamond" w:eastAsiaTheme="minorEastAsia" w:hAnsi="Garamond"/>
          <w:iCs/>
          <w:sz w:val="24"/>
          <w:szCs w:val="24"/>
        </w:rPr>
        <w:t xml:space="preserve">, </w:t>
      </w:r>
      <w:r w:rsidRPr="002B5625">
        <w:rPr>
          <w:rFonts w:ascii="Garamond" w:eastAsiaTheme="minorEastAsia" w:hAnsi="Garamond"/>
          <w:iCs/>
          <w:sz w:val="24"/>
          <w:szCs w:val="24"/>
        </w:rPr>
        <w:t xml:space="preserve">Lau, </w:t>
      </w:r>
      <w:r>
        <w:rPr>
          <w:rFonts w:ascii="Garamond" w:eastAsiaTheme="minorEastAsia" w:hAnsi="Garamond"/>
          <w:iCs/>
          <w:sz w:val="24"/>
          <w:szCs w:val="24"/>
        </w:rPr>
        <w:t>C.K. (2020a).</w:t>
      </w:r>
      <w:r w:rsidRPr="002B5625">
        <w:rPr>
          <w:rFonts w:ascii="Garamond" w:eastAsiaTheme="minorEastAsia" w:hAnsi="Garamond"/>
          <w:iCs/>
          <w:sz w:val="24"/>
          <w:szCs w:val="24"/>
        </w:rPr>
        <w:t xml:space="preserve"> Rethinking Financial Contagion: Information Transmission Mechanism During the COVID-19 Pandemic. </w:t>
      </w:r>
      <w:r>
        <w:rPr>
          <w:rFonts w:ascii="Garamond" w:eastAsiaTheme="minorEastAsia" w:hAnsi="Garamond"/>
          <w:iCs/>
          <w:sz w:val="24"/>
          <w:szCs w:val="24"/>
        </w:rPr>
        <w:t xml:space="preserve">Available </w:t>
      </w:r>
      <w:r w:rsidRPr="002B5625">
        <w:rPr>
          <w:rFonts w:ascii="Garamond" w:eastAsiaTheme="minorEastAsia" w:hAnsi="Garamond"/>
          <w:iCs/>
          <w:sz w:val="24"/>
          <w:szCs w:val="24"/>
        </w:rPr>
        <w:t>at SSRN: </w:t>
      </w:r>
      <w:hyperlink r:id="rId19" w:tgtFrame="_blank" w:history="1">
        <w:r w:rsidRPr="002B5625">
          <w:rPr>
            <w:rStyle w:val="Hyperlink"/>
            <w:rFonts w:ascii="Garamond" w:eastAsiaTheme="minorEastAsia" w:hAnsi="Garamond"/>
            <w:iCs/>
            <w:sz w:val="24"/>
            <w:szCs w:val="24"/>
          </w:rPr>
          <w:t>https://ssrn.com/abstract=3602973</w:t>
        </w:r>
      </w:hyperlink>
      <w:r w:rsidRPr="002B5625">
        <w:rPr>
          <w:rFonts w:ascii="Garamond" w:eastAsiaTheme="minorEastAsia" w:hAnsi="Garamond"/>
          <w:iCs/>
          <w:sz w:val="24"/>
          <w:szCs w:val="24"/>
        </w:rPr>
        <w:t> or </w:t>
      </w:r>
      <w:hyperlink r:id="rId20" w:tgtFrame="_blank" w:history="1">
        <w:r w:rsidRPr="002B5625">
          <w:rPr>
            <w:rStyle w:val="Hyperlink"/>
            <w:rFonts w:ascii="Garamond" w:eastAsiaTheme="minorEastAsia" w:hAnsi="Garamond"/>
            <w:iCs/>
            <w:sz w:val="24"/>
            <w:szCs w:val="24"/>
          </w:rPr>
          <w:t>http://dx.doi.org/10.2139/ssrn.3602973</w:t>
        </w:r>
      </w:hyperlink>
    </w:p>
    <w:p w14:paraId="23178205" w14:textId="6886E5E1" w:rsidR="003E2FEE" w:rsidRPr="002B5625" w:rsidRDefault="003E2FEE" w:rsidP="00771184">
      <w:pPr>
        <w:pStyle w:val="NoSpacing"/>
        <w:spacing w:line="480" w:lineRule="auto"/>
        <w:jc w:val="both"/>
        <w:rPr>
          <w:rStyle w:val="Hyperlink"/>
        </w:rPr>
      </w:pPr>
      <w:r w:rsidRPr="008F27B1">
        <w:rPr>
          <w:rStyle w:val="Hyperlink"/>
          <w:rFonts w:ascii="Garamond" w:hAnsi="Garamond"/>
          <w:color w:val="FF0000"/>
          <w:sz w:val="24"/>
          <w:szCs w:val="24"/>
          <w:u w:val="none"/>
        </w:rPr>
        <w:t xml:space="preserve">Yarovaya, L., </w:t>
      </w:r>
      <w:proofErr w:type="spellStart"/>
      <w:r w:rsidRPr="008F27B1">
        <w:rPr>
          <w:rStyle w:val="Hyperlink"/>
          <w:rFonts w:ascii="Garamond" w:hAnsi="Garamond"/>
          <w:color w:val="FF0000"/>
          <w:sz w:val="24"/>
          <w:szCs w:val="24"/>
          <w:u w:val="none"/>
        </w:rPr>
        <w:t>Elsayed</w:t>
      </w:r>
      <w:proofErr w:type="spellEnd"/>
      <w:r w:rsidRPr="008F27B1">
        <w:rPr>
          <w:rStyle w:val="Hyperlink"/>
          <w:rFonts w:ascii="Garamond" w:hAnsi="Garamond"/>
          <w:color w:val="FF0000"/>
          <w:sz w:val="24"/>
          <w:szCs w:val="24"/>
          <w:u w:val="none"/>
        </w:rPr>
        <w:t xml:space="preserve">, A.H., </w:t>
      </w:r>
      <w:proofErr w:type="spellStart"/>
      <w:r w:rsidRPr="008F27B1">
        <w:rPr>
          <w:rStyle w:val="Hyperlink"/>
          <w:rFonts w:ascii="Garamond" w:hAnsi="Garamond"/>
          <w:color w:val="FF0000"/>
          <w:sz w:val="24"/>
          <w:szCs w:val="24"/>
          <w:u w:val="none"/>
        </w:rPr>
        <w:t>Hammoudeh</w:t>
      </w:r>
      <w:proofErr w:type="spellEnd"/>
      <w:r w:rsidRPr="008F27B1">
        <w:rPr>
          <w:rStyle w:val="Hyperlink"/>
          <w:rFonts w:ascii="Garamond" w:hAnsi="Garamond"/>
          <w:color w:val="FF0000"/>
          <w:sz w:val="24"/>
          <w:szCs w:val="24"/>
          <w:u w:val="none"/>
        </w:rPr>
        <w:t xml:space="preserve">, S. (2021). Determinants of Spillovers between Islamic and Conventional Financial Markets: Exploring the Safe Haven Assets during the COVID-19 Pandemic. </w:t>
      </w:r>
      <w:r w:rsidRPr="008F27B1">
        <w:rPr>
          <w:rStyle w:val="Hyperlink"/>
          <w:rFonts w:ascii="Garamond" w:hAnsi="Garamond"/>
          <w:i/>
          <w:iCs/>
          <w:color w:val="FF0000"/>
          <w:sz w:val="24"/>
          <w:szCs w:val="24"/>
          <w:u w:val="none"/>
        </w:rPr>
        <w:t>Finance Research Letters</w:t>
      </w:r>
      <w:r w:rsidRPr="008F27B1">
        <w:rPr>
          <w:rStyle w:val="Hyperlink"/>
          <w:rFonts w:ascii="Garamond" w:hAnsi="Garamond"/>
          <w:color w:val="FF0000"/>
          <w:sz w:val="24"/>
          <w:szCs w:val="24"/>
          <w:u w:val="none"/>
        </w:rPr>
        <w:t>, 101979</w:t>
      </w:r>
      <w:r w:rsidRPr="003E2FEE">
        <w:rPr>
          <w:rStyle w:val="Hyperlink"/>
        </w:rPr>
        <w:t>.</w:t>
      </w:r>
    </w:p>
    <w:p w14:paraId="213617A5" w14:textId="4FF7B738" w:rsidR="002B5625" w:rsidRPr="00DC18B4" w:rsidRDefault="002B5625" w:rsidP="00771184">
      <w:pPr>
        <w:pStyle w:val="NoSpacing"/>
        <w:spacing w:line="480" w:lineRule="auto"/>
        <w:jc w:val="both"/>
        <w:rPr>
          <w:rStyle w:val="Hyperlink"/>
          <w:rFonts w:ascii="Garamond" w:eastAsiaTheme="minorEastAsia" w:hAnsi="Garamond"/>
          <w:iCs/>
          <w:color w:val="FF0000"/>
          <w:sz w:val="24"/>
          <w:szCs w:val="24"/>
        </w:rPr>
      </w:pPr>
      <w:r w:rsidRPr="002B5625">
        <w:rPr>
          <w:rFonts w:ascii="Garamond" w:eastAsiaTheme="minorEastAsia" w:hAnsi="Garamond"/>
          <w:iCs/>
          <w:sz w:val="24"/>
          <w:szCs w:val="24"/>
        </w:rPr>
        <w:lastRenderedPageBreak/>
        <w:t xml:space="preserve">Yarovaya, L., </w:t>
      </w:r>
      <w:proofErr w:type="spellStart"/>
      <w:r w:rsidRPr="002B5625">
        <w:rPr>
          <w:rFonts w:ascii="Garamond" w:eastAsiaTheme="minorEastAsia" w:hAnsi="Garamond"/>
          <w:iCs/>
          <w:sz w:val="24"/>
          <w:szCs w:val="24"/>
        </w:rPr>
        <w:t>Matkovskyy</w:t>
      </w:r>
      <w:proofErr w:type="spellEnd"/>
      <w:r w:rsidRPr="002B5625">
        <w:rPr>
          <w:rFonts w:ascii="Garamond" w:eastAsiaTheme="minorEastAsia" w:hAnsi="Garamond"/>
          <w:iCs/>
          <w:sz w:val="24"/>
          <w:szCs w:val="24"/>
        </w:rPr>
        <w:t>, R.</w:t>
      </w:r>
      <w:r>
        <w:rPr>
          <w:rFonts w:ascii="Garamond" w:eastAsiaTheme="minorEastAsia" w:hAnsi="Garamond"/>
          <w:iCs/>
          <w:sz w:val="24"/>
          <w:szCs w:val="24"/>
        </w:rPr>
        <w:t xml:space="preserve"> Jalan, A. </w:t>
      </w:r>
      <w:r w:rsidRPr="002B5625">
        <w:rPr>
          <w:rFonts w:ascii="Garamond" w:eastAsiaTheme="minorEastAsia" w:hAnsi="Garamond"/>
          <w:iCs/>
          <w:sz w:val="24"/>
          <w:szCs w:val="24"/>
        </w:rPr>
        <w:t>(2020</w:t>
      </w:r>
      <w:r w:rsidR="00C84A71">
        <w:rPr>
          <w:rFonts w:ascii="Garamond" w:eastAsiaTheme="minorEastAsia" w:hAnsi="Garamond"/>
          <w:iCs/>
          <w:sz w:val="24"/>
          <w:szCs w:val="24"/>
        </w:rPr>
        <w:t>b</w:t>
      </w:r>
      <w:r w:rsidRPr="002B5625">
        <w:rPr>
          <w:rFonts w:ascii="Garamond" w:eastAsiaTheme="minorEastAsia" w:hAnsi="Garamond"/>
          <w:iCs/>
          <w:sz w:val="24"/>
          <w:szCs w:val="24"/>
        </w:rPr>
        <w:t>). The Effects of a 'Black Swan' Event (COVID-19) on Herding Behavior in Cryptocurrency Markets: Evidence from</w:t>
      </w:r>
      <w:r w:rsidRPr="002B5625">
        <w:t xml:space="preserve"> </w:t>
      </w:r>
      <w:r w:rsidRPr="002B5625">
        <w:rPr>
          <w:rFonts w:ascii="Garamond" w:eastAsiaTheme="minorEastAsia" w:hAnsi="Garamond"/>
          <w:iCs/>
          <w:sz w:val="24"/>
          <w:szCs w:val="24"/>
        </w:rPr>
        <w:t xml:space="preserve">Cryptocurrency USD, EUR, </w:t>
      </w:r>
      <w:proofErr w:type="gramStart"/>
      <w:r w:rsidRPr="002B5625">
        <w:rPr>
          <w:rFonts w:ascii="Garamond" w:eastAsiaTheme="minorEastAsia" w:hAnsi="Garamond"/>
          <w:iCs/>
          <w:sz w:val="24"/>
          <w:szCs w:val="24"/>
        </w:rPr>
        <w:t>JPY</w:t>
      </w:r>
      <w:proofErr w:type="gramEnd"/>
      <w:r w:rsidRPr="002B5625">
        <w:rPr>
          <w:rFonts w:ascii="Garamond" w:eastAsiaTheme="minorEastAsia" w:hAnsi="Garamond"/>
          <w:iCs/>
          <w:sz w:val="24"/>
          <w:szCs w:val="24"/>
        </w:rPr>
        <w:t xml:space="preserve"> and KRW Markets</w:t>
      </w:r>
      <w:r>
        <w:rPr>
          <w:rFonts w:ascii="Garamond" w:eastAsiaTheme="minorEastAsia" w:hAnsi="Garamond"/>
          <w:iCs/>
          <w:sz w:val="24"/>
          <w:szCs w:val="24"/>
        </w:rPr>
        <w:t xml:space="preserve">. </w:t>
      </w:r>
      <w:r w:rsidR="00367058" w:rsidRPr="00DC18B4">
        <w:rPr>
          <w:rFonts w:ascii="Garamond" w:eastAsiaTheme="minorEastAsia" w:hAnsi="Garamond"/>
          <w:i/>
          <w:color w:val="FF0000"/>
          <w:sz w:val="24"/>
          <w:szCs w:val="24"/>
        </w:rPr>
        <w:t>Journal of International Financial Markets, Institutions and Money</w:t>
      </w:r>
      <w:r w:rsidR="00367058" w:rsidRPr="00DC18B4">
        <w:rPr>
          <w:rFonts w:ascii="Garamond" w:eastAsiaTheme="minorEastAsia" w:hAnsi="Garamond"/>
          <w:iCs/>
          <w:color w:val="FF0000"/>
          <w:sz w:val="24"/>
          <w:szCs w:val="24"/>
        </w:rPr>
        <w:t xml:space="preserve">, </w:t>
      </w:r>
      <w:r w:rsidR="00B0770C" w:rsidRPr="00DC18B4">
        <w:rPr>
          <w:rFonts w:ascii="Garamond" w:eastAsiaTheme="minorEastAsia" w:hAnsi="Garamond"/>
          <w:iCs/>
          <w:color w:val="FF0000"/>
          <w:sz w:val="24"/>
          <w:szCs w:val="24"/>
        </w:rPr>
        <w:t>101321 (in Press)</w:t>
      </w:r>
    </w:p>
    <w:p w14:paraId="1BD39CA9" w14:textId="188BD896" w:rsidR="00D60A9A" w:rsidRPr="00943696" w:rsidRDefault="00D60A9A" w:rsidP="00771184">
      <w:pPr>
        <w:pStyle w:val="NoSpacing"/>
        <w:spacing w:line="480" w:lineRule="auto"/>
        <w:jc w:val="both"/>
        <w:rPr>
          <w:rStyle w:val="Hyperlink"/>
          <w:rFonts w:ascii="Garamond" w:hAnsi="Garamond"/>
          <w:color w:val="auto"/>
          <w:sz w:val="24"/>
          <w:szCs w:val="24"/>
          <w:u w:val="none"/>
          <w:lang w:val="en-GB"/>
        </w:rPr>
      </w:pPr>
      <w:r w:rsidRPr="009A419C">
        <w:rPr>
          <w:rFonts w:ascii="Garamond" w:hAnsi="Garamond"/>
          <w:sz w:val="24"/>
          <w:szCs w:val="24"/>
          <w:lang w:val="fr-FR"/>
        </w:rPr>
        <w:t xml:space="preserve">Zhao, Y., Chang, H.L., Su, C.W., </w:t>
      </w:r>
      <w:proofErr w:type="spellStart"/>
      <w:r w:rsidRPr="009A419C">
        <w:rPr>
          <w:rFonts w:ascii="Garamond" w:hAnsi="Garamond"/>
          <w:sz w:val="24"/>
          <w:szCs w:val="24"/>
          <w:lang w:val="fr-FR"/>
        </w:rPr>
        <w:t>Nian</w:t>
      </w:r>
      <w:proofErr w:type="spellEnd"/>
      <w:r w:rsidRPr="009A419C">
        <w:rPr>
          <w:rFonts w:ascii="Garamond" w:hAnsi="Garamond"/>
          <w:sz w:val="24"/>
          <w:szCs w:val="24"/>
          <w:lang w:val="fr-FR"/>
        </w:rPr>
        <w:t xml:space="preserve">, R. (2015). </w:t>
      </w:r>
      <w:r>
        <w:rPr>
          <w:rFonts w:ascii="Garamond" w:hAnsi="Garamond"/>
          <w:sz w:val="24"/>
          <w:szCs w:val="24"/>
          <w:lang w:val="en-GB"/>
        </w:rPr>
        <w:t xml:space="preserve">Gold bubbles: when are they most likely to occur? </w:t>
      </w:r>
      <w:proofErr w:type="spellStart"/>
      <w:r>
        <w:rPr>
          <w:rFonts w:ascii="Garamond" w:hAnsi="Garamond"/>
          <w:i/>
          <w:iCs/>
          <w:sz w:val="24"/>
          <w:szCs w:val="24"/>
          <w:lang w:val="en-GB"/>
        </w:rPr>
        <w:t>Jpn</w:t>
      </w:r>
      <w:proofErr w:type="spellEnd"/>
      <w:r>
        <w:rPr>
          <w:rFonts w:ascii="Garamond" w:hAnsi="Garamond"/>
          <w:i/>
          <w:iCs/>
          <w:sz w:val="24"/>
          <w:szCs w:val="24"/>
          <w:lang w:val="en-GB"/>
        </w:rPr>
        <w:t>. World Econ</w:t>
      </w:r>
      <w:r>
        <w:rPr>
          <w:rFonts w:ascii="Garamond" w:hAnsi="Garamond"/>
          <w:sz w:val="24"/>
          <w:szCs w:val="24"/>
          <w:lang w:val="en-GB"/>
        </w:rPr>
        <w:t xml:space="preserve">. 34, 17–23. </w:t>
      </w:r>
    </w:p>
    <w:p w14:paraId="73F26B22" w14:textId="77777777" w:rsidR="0097582A" w:rsidRPr="00063F51" w:rsidRDefault="0097582A" w:rsidP="000D4B91">
      <w:pPr>
        <w:pStyle w:val="NoSpacing"/>
        <w:spacing w:line="480" w:lineRule="auto"/>
        <w:jc w:val="center"/>
        <w:rPr>
          <w:rFonts w:ascii="Garamond" w:eastAsia="Times New Roman" w:hAnsi="Garamond" w:cs="Calibri"/>
          <w:b/>
          <w:bCs/>
          <w:sz w:val="24"/>
          <w:szCs w:val="24"/>
          <w:lang w:eastAsia="en-GB"/>
        </w:rPr>
        <w:sectPr w:rsidR="0097582A" w:rsidRPr="00063F51" w:rsidSect="00702E29">
          <w:pgSz w:w="11906" w:h="16838"/>
          <w:pgMar w:top="1418" w:right="1418" w:bottom="1418" w:left="1418" w:header="709" w:footer="709" w:gutter="0"/>
          <w:cols w:space="708"/>
          <w:docGrid w:linePitch="360"/>
        </w:sectPr>
      </w:pPr>
    </w:p>
    <w:p w14:paraId="640CC8CB" w14:textId="3604EE44" w:rsidR="000D4B91" w:rsidRPr="0097582A" w:rsidRDefault="005338C3" w:rsidP="0097582A">
      <w:pPr>
        <w:pStyle w:val="NoSpacing"/>
        <w:spacing w:line="480" w:lineRule="auto"/>
        <w:jc w:val="center"/>
        <w:rPr>
          <w:rFonts w:ascii="Garamond" w:eastAsia="Times New Roman" w:hAnsi="Garamond" w:cs="Calibri"/>
          <w:b/>
          <w:bCs/>
          <w:sz w:val="24"/>
          <w:szCs w:val="24"/>
          <w:lang w:eastAsia="en-GB"/>
        </w:rPr>
      </w:pPr>
      <w:r w:rsidRPr="009E00D2">
        <w:rPr>
          <w:rFonts w:ascii="Garamond" w:eastAsia="Times New Roman" w:hAnsi="Garamond" w:cs="Calibri"/>
          <w:b/>
          <w:bCs/>
          <w:sz w:val="24"/>
          <w:szCs w:val="24"/>
          <w:lang w:eastAsia="en-GB"/>
        </w:rPr>
        <w:lastRenderedPageBreak/>
        <w:t>Appendix</w:t>
      </w:r>
    </w:p>
    <w:p w14:paraId="1DA3984D" w14:textId="5E8F57CA" w:rsidR="005338C3" w:rsidRPr="002E554D" w:rsidRDefault="005338C3" w:rsidP="0097582A">
      <w:pPr>
        <w:pStyle w:val="NoSpacing"/>
        <w:spacing w:line="480" w:lineRule="auto"/>
        <w:jc w:val="center"/>
        <w:rPr>
          <w:rFonts w:ascii="Garamond" w:eastAsia="Times New Roman" w:hAnsi="Garamond" w:cs="Calibri"/>
          <w:b/>
          <w:bCs/>
          <w:color w:val="FF0000"/>
          <w:sz w:val="24"/>
          <w:szCs w:val="24"/>
          <w:lang w:eastAsia="en-GB"/>
        </w:rPr>
      </w:pPr>
      <w:r w:rsidRPr="002E554D">
        <w:rPr>
          <w:rFonts w:ascii="Garamond" w:eastAsia="Times New Roman" w:hAnsi="Garamond" w:cs="Calibri"/>
          <w:b/>
          <w:bCs/>
          <w:color w:val="FF0000"/>
          <w:sz w:val="24"/>
          <w:szCs w:val="24"/>
          <w:lang w:eastAsia="en-GB"/>
        </w:rPr>
        <w:t xml:space="preserve">Table A.1 Descriptive statistics </w:t>
      </w:r>
      <w:r w:rsidR="000D4B91" w:rsidRPr="002E554D">
        <w:rPr>
          <w:rFonts w:ascii="Garamond" w:eastAsia="Times New Roman" w:hAnsi="Garamond" w:cs="Calibri"/>
          <w:b/>
          <w:bCs/>
          <w:color w:val="FF0000"/>
          <w:sz w:val="24"/>
          <w:szCs w:val="24"/>
          <w:lang w:eastAsia="en-GB"/>
        </w:rPr>
        <w:t xml:space="preserve">of the close prices of the </w:t>
      </w:r>
      <w:r w:rsidR="002D42A8" w:rsidRPr="002E554D">
        <w:rPr>
          <w:rFonts w:ascii="Garamond" w:eastAsia="Times New Roman" w:hAnsi="Garamond" w:cs="Calibri"/>
          <w:b/>
          <w:bCs/>
          <w:color w:val="FF0000"/>
          <w:sz w:val="24"/>
          <w:szCs w:val="24"/>
          <w:lang w:eastAsia="en-GB"/>
        </w:rPr>
        <w:t>selected</w:t>
      </w:r>
      <w:r w:rsidRPr="002E554D">
        <w:rPr>
          <w:rFonts w:ascii="Garamond" w:eastAsia="Times New Roman" w:hAnsi="Garamond" w:cs="Calibri"/>
          <w:b/>
          <w:bCs/>
          <w:color w:val="FF0000"/>
          <w:sz w:val="24"/>
          <w:szCs w:val="24"/>
          <w:lang w:eastAsia="en-GB"/>
        </w:rPr>
        <w:t xml:space="preserve"> precious metals</w:t>
      </w:r>
      <w:r w:rsidR="002D42A8" w:rsidRPr="002E554D">
        <w:rPr>
          <w:rFonts w:ascii="Garamond" w:eastAsia="Times New Roman" w:hAnsi="Garamond" w:cs="Calibri"/>
          <w:b/>
          <w:bCs/>
          <w:color w:val="FF0000"/>
          <w:sz w:val="24"/>
          <w:szCs w:val="24"/>
          <w:lang w:eastAsia="en-GB"/>
        </w:rPr>
        <w:t xml:space="preserve"> (data source: Thomson EIKON)</w:t>
      </w:r>
    </w:p>
    <w:tbl>
      <w:tblPr>
        <w:tblStyle w:val="PlainTable2"/>
        <w:tblW w:w="5000" w:type="pct"/>
        <w:tblLook w:val="04A0" w:firstRow="1" w:lastRow="0" w:firstColumn="1" w:lastColumn="0" w:noHBand="0" w:noVBand="1"/>
      </w:tblPr>
      <w:tblGrid>
        <w:gridCol w:w="4996"/>
        <w:gridCol w:w="931"/>
        <w:gridCol w:w="1015"/>
        <w:gridCol w:w="1045"/>
        <w:gridCol w:w="1230"/>
        <w:gridCol w:w="1104"/>
        <w:gridCol w:w="1229"/>
        <w:gridCol w:w="1437"/>
        <w:gridCol w:w="1015"/>
      </w:tblGrid>
      <w:tr w:rsidR="002E554D" w:rsidRPr="002E554D" w14:paraId="591E3733" w14:textId="77777777" w:rsidTr="009A2A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pct"/>
            <w:noWrap/>
            <w:hideMark/>
          </w:tcPr>
          <w:p w14:paraId="12743007" w14:textId="77777777" w:rsidR="005338C3" w:rsidRPr="002E554D" w:rsidRDefault="005338C3" w:rsidP="0097582A">
            <w:pPr>
              <w:jc w:val="right"/>
              <w:rPr>
                <w:rFonts w:ascii="Garamond" w:eastAsia="Times New Roman" w:hAnsi="Garamond" w:cs="Times New Roman"/>
                <w:color w:val="FF0000"/>
                <w:sz w:val="18"/>
                <w:szCs w:val="18"/>
                <w:lang w:val="en-GB" w:eastAsia="en-GB"/>
              </w:rPr>
            </w:pPr>
          </w:p>
        </w:tc>
        <w:tc>
          <w:tcPr>
            <w:tcW w:w="341" w:type="pct"/>
            <w:noWrap/>
            <w:hideMark/>
          </w:tcPr>
          <w:p w14:paraId="11243FBD" w14:textId="77777777" w:rsidR="005338C3" w:rsidRPr="002E554D" w:rsidRDefault="005338C3"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min</w:t>
            </w:r>
          </w:p>
        </w:tc>
        <w:tc>
          <w:tcPr>
            <w:tcW w:w="341" w:type="pct"/>
            <w:noWrap/>
            <w:hideMark/>
          </w:tcPr>
          <w:p w14:paraId="36ADE743" w14:textId="77777777" w:rsidR="005338C3" w:rsidRPr="002E554D" w:rsidRDefault="005338C3"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max</w:t>
            </w:r>
          </w:p>
        </w:tc>
        <w:tc>
          <w:tcPr>
            <w:tcW w:w="404" w:type="pct"/>
            <w:noWrap/>
            <w:hideMark/>
          </w:tcPr>
          <w:p w14:paraId="488DD89F" w14:textId="77777777" w:rsidR="005338C3" w:rsidRPr="002E554D" w:rsidRDefault="005338C3"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median</w:t>
            </w:r>
          </w:p>
        </w:tc>
        <w:tc>
          <w:tcPr>
            <w:tcW w:w="459" w:type="pct"/>
            <w:noWrap/>
            <w:hideMark/>
          </w:tcPr>
          <w:p w14:paraId="04BC1917" w14:textId="77777777" w:rsidR="005338C3" w:rsidRPr="002E554D" w:rsidRDefault="005338C3"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mean</w:t>
            </w:r>
          </w:p>
        </w:tc>
        <w:tc>
          <w:tcPr>
            <w:tcW w:w="414" w:type="pct"/>
            <w:noWrap/>
            <w:hideMark/>
          </w:tcPr>
          <w:p w14:paraId="3F1B4C37" w14:textId="77777777" w:rsidR="005338C3" w:rsidRPr="002E554D" w:rsidRDefault="005338C3"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proofErr w:type="spellStart"/>
            <w:proofErr w:type="gramStart"/>
            <w:r w:rsidRPr="002E554D">
              <w:rPr>
                <w:rFonts w:ascii="Garamond" w:eastAsia="Times New Roman" w:hAnsi="Garamond" w:cs="Calibri"/>
                <w:color w:val="FF0000"/>
                <w:sz w:val="18"/>
                <w:szCs w:val="18"/>
                <w:lang w:val="en-GB" w:eastAsia="en-GB"/>
              </w:rPr>
              <w:t>SE.mean</w:t>
            </w:r>
            <w:proofErr w:type="spellEnd"/>
            <w:proofErr w:type="gramEnd"/>
          </w:p>
        </w:tc>
        <w:tc>
          <w:tcPr>
            <w:tcW w:w="458" w:type="pct"/>
            <w:noWrap/>
            <w:hideMark/>
          </w:tcPr>
          <w:p w14:paraId="1547B10D" w14:textId="4671F400" w:rsidR="005338C3" w:rsidRPr="002E554D" w:rsidRDefault="005338C3"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proofErr w:type="spellStart"/>
            <w:r w:rsidRPr="002E554D">
              <w:rPr>
                <w:rFonts w:ascii="Garamond" w:eastAsia="Times New Roman" w:hAnsi="Garamond" w:cs="Calibri"/>
                <w:color w:val="FF0000"/>
                <w:sz w:val="18"/>
                <w:szCs w:val="18"/>
                <w:lang w:val="en-GB" w:eastAsia="en-GB"/>
              </w:rPr>
              <w:t>CI.mean</w:t>
            </w:r>
            <w:proofErr w:type="spellEnd"/>
            <w:r w:rsidRPr="002E554D">
              <w:rPr>
                <w:rFonts w:ascii="Garamond" w:eastAsia="Times New Roman" w:hAnsi="Garamond" w:cs="Calibri"/>
                <w:color w:val="FF0000"/>
                <w:sz w:val="18"/>
                <w:szCs w:val="18"/>
                <w:lang w:val="en-GB" w:eastAsia="en-GB"/>
              </w:rPr>
              <w:t xml:space="preserve"> 0.95</w:t>
            </w:r>
          </w:p>
        </w:tc>
        <w:tc>
          <w:tcPr>
            <w:tcW w:w="420" w:type="pct"/>
            <w:noWrap/>
            <w:hideMark/>
          </w:tcPr>
          <w:p w14:paraId="7A5FF5BE" w14:textId="77777777" w:rsidR="005338C3" w:rsidRPr="002E554D" w:rsidRDefault="005338C3"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var</w:t>
            </w:r>
          </w:p>
        </w:tc>
        <w:tc>
          <w:tcPr>
            <w:tcW w:w="382" w:type="pct"/>
            <w:noWrap/>
            <w:hideMark/>
          </w:tcPr>
          <w:p w14:paraId="4E6378CD" w14:textId="77777777" w:rsidR="005338C3" w:rsidRPr="002E554D" w:rsidRDefault="005338C3"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proofErr w:type="spellStart"/>
            <w:r w:rsidRPr="002E554D">
              <w:rPr>
                <w:rFonts w:ascii="Garamond" w:eastAsia="Times New Roman" w:hAnsi="Garamond" w:cs="Calibri"/>
                <w:color w:val="FF0000"/>
                <w:sz w:val="18"/>
                <w:szCs w:val="18"/>
                <w:lang w:val="en-GB" w:eastAsia="en-GB"/>
              </w:rPr>
              <w:t>std.dev</w:t>
            </w:r>
            <w:proofErr w:type="spellEnd"/>
          </w:p>
        </w:tc>
      </w:tr>
      <w:tr w:rsidR="002E554D" w:rsidRPr="002E554D" w14:paraId="4C96AC30" w14:textId="77777777" w:rsidTr="009A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pct"/>
            <w:noWrap/>
            <w:hideMark/>
          </w:tcPr>
          <w:p w14:paraId="77387A7D" w14:textId="77777777" w:rsidR="009A2AA7" w:rsidRPr="002E554D" w:rsidRDefault="009A2AA7" w:rsidP="009A2AA7">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Gold, Handy &amp; Harman Base $/Troy Oz</w:t>
            </w:r>
          </w:p>
        </w:tc>
        <w:tc>
          <w:tcPr>
            <w:tcW w:w="341" w:type="pct"/>
            <w:noWrap/>
            <w:hideMark/>
          </w:tcPr>
          <w:p w14:paraId="7C08721C" w14:textId="12B05700"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1178.400</w:t>
            </w:r>
          </w:p>
        </w:tc>
        <w:tc>
          <w:tcPr>
            <w:tcW w:w="341" w:type="pct"/>
            <w:noWrap/>
            <w:hideMark/>
          </w:tcPr>
          <w:p w14:paraId="6B0E9D59" w14:textId="1A6188F0"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2067.150</w:t>
            </w:r>
          </w:p>
        </w:tc>
        <w:tc>
          <w:tcPr>
            <w:tcW w:w="404" w:type="pct"/>
            <w:noWrap/>
            <w:hideMark/>
          </w:tcPr>
          <w:p w14:paraId="2AB73EDE" w14:textId="6830B137"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1503.100</w:t>
            </w:r>
          </w:p>
        </w:tc>
        <w:tc>
          <w:tcPr>
            <w:tcW w:w="459" w:type="pct"/>
            <w:noWrap/>
            <w:hideMark/>
          </w:tcPr>
          <w:p w14:paraId="52F394E7" w14:textId="686321B1"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1539.228</w:t>
            </w:r>
          </w:p>
        </w:tc>
        <w:tc>
          <w:tcPr>
            <w:tcW w:w="414" w:type="pct"/>
            <w:noWrap/>
            <w:hideMark/>
          </w:tcPr>
          <w:p w14:paraId="65A43BFB" w14:textId="1A2A4232"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8.757</w:t>
            </w:r>
          </w:p>
        </w:tc>
        <w:tc>
          <w:tcPr>
            <w:tcW w:w="458" w:type="pct"/>
            <w:noWrap/>
            <w:hideMark/>
          </w:tcPr>
          <w:p w14:paraId="689DF2C2" w14:textId="6BD44DD1"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17.189</w:t>
            </w:r>
          </w:p>
        </w:tc>
        <w:tc>
          <w:tcPr>
            <w:tcW w:w="420" w:type="pct"/>
            <w:noWrap/>
            <w:hideMark/>
          </w:tcPr>
          <w:p w14:paraId="0E76EFDF" w14:textId="678506DF"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63574.678</w:t>
            </w:r>
          </w:p>
        </w:tc>
        <w:tc>
          <w:tcPr>
            <w:tcW w:w="382" w:type="pct"/>
            <w:noWrap/>
            <w:hideMark/>
          </w:tcPr>
          <w:p w14:paraId="03DCE700" w14:textId="5371DEA5"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252.140</w:t>
            </w:r>
          </w:p>
        </w:tc>
      </w:tr>
      <w:tr w:rsidR="002E554D" w:rsidRPr="002E554D" w14:paraId="4CB84D06" w14:textId="77777777" w:rsidTr="009A2AA7">
        <w:trPr>
          <w:trHeight w:val="300"/>
        </w:trPr>
        <w:tc>
          <w:tcPr>
            <w:cnfStyle w:val="001000000000" w:firstRow="0" w:lastRow="0" w:firstColumn="1" w:lastColumn="0" w:oddVBand="0" w:evenVBand="0" w:oddHBand="0" w:evenHBand="0" w:firstRowFirstColumn="0" w:firstRowLastColumn="0" w:lastRowFirstColumn="0" w:lastRowLastColumn="0"/>
            <w:tcW w:w="1784" w:type="pct"/>
            <w:noWrap/>
            <w:hideMark/>
          </w:tcPr>
          <w:p w14:paraId="4B588853" w14:textId="77777777" w:rsidR="009A2AA7" w:rsidRPr="002E554D" w:rsidRDefault="009A2AA7" w:rsidP="009A2AA7">
            <w:pPr>
              <w:rPr>
                <w:rFonts w:ascii="Garamond" w:eastAsia="Times New Roman" w:hAnsi="Garamond" w:cs="Calibri"/>
                <w:color w:val="FF0000"/>
                <w:sz w:val="18"/>
                <w:szCs w:val="18"/>
                <w:lang w:val="en-GB" w:eastAsia="en-GB"/>
              </w:rPr>
            </w:pPr>
            <w:proofErr w:type="spellStart"/>
            <w:proofErr w:type="gramStart"/>
            <w:r w:rsidRPr="002E554D">
              <w:rPr>
                <w:rFonts w:ascii="Garamond" w:eastAsia="Times New Roman" w:hAnsi="Garamond" w:cs="Calibri"/>
                <w:color w:val="FF0000"/>
                <w:sz w:val="18"/>
                <w:szCs w:val="18"/>
                <w:lang w:val="en-GB" w:eastAsia="en-GB"/>
              </w:rPr>
              <w:t>Platinum,Free</w:t>
            </w:r>
            <w:proofErr w:type="spellEnd"/>
            <w:proofErr w:type="gramEnd"/>
            <w:r w:rsidRPr="002E554D">
              <w:rPr>
                <w:rFonts w:ascii="Garamond" w:eastAsia="Times New Roman" w:hAnsi="Garamond" w:cs="Calibri"/>
                <w:color w:val="FF0000"/>
                <w:sz w:val="18"/>
                <w:szCs w:val="18"/>
                <w:lang w:val="en-GB" w:eastAsia="en-GB"/>
              </w:rPr>
              <w:t xml:space="preserve"> Market $/troy oz</w:t>
            </w:r>
          </w:p>
        </w:tc>
        <w:tc>
          <w:tcPr>
            <w:tcW w:w="341" w:type="pct"/>
            <w:noWrap/>
            <w:hideMark/>
          </w:tcPr>
          <w:p w14:paraId="3308F917" w14:textId="464918CA"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586.600</w:t>
            </w:r>
          </w:p>
        </w:tc>
        <w:tc>
          <w:tcPr>
            <w:tcW w:w="341" w:type="pct"/>
            <w:noWrap/>
            <w:hideMark/>
          </w:tcPr>
          <w:p w14:paraId="7A48BAD3" w14:textId="6E52F8EE"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1300.500</w:t>
            </w:r>
          </w:p>
        </w:tc>
        <w:tc>
          <w:tcPr>
            <w:tcW w:w="404" w:type="pct"/>
            <w:noWrap/>
            <w:hideMark/>
          </w:tcPr>
          <w:p w14:paraId="533417D4" w14:textId="192AF519"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875.700</w:t>
            </w:r>
          </w:p>
        </w:tc>
        <w:tc>
          <w:tcPr>
            <w:tcW w:w="459" w:type="pct"/>
            <w:noWrap/>
            <w:hideMark/>
          </w:tcPr>
          <w:p w14:paraId="1082FE81" w14:textId="29AB0690"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912.798</w:t>
            </w:r>
          </w:p>
        </w:tc>
        <w:tc>
          <w:tcPr>
            <w:tcW w:w="414" w:type="pct"/>
            <w:noWrap/>
            <w:hideMark/>
          </w:tcPr>
          <w:p w14:paraId="0C6A5037" w14:textId="04C436B1"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4.502</w:t>
            </w:r>
          </w:p>
        </w:tc>
        <w:tc>
          <w:tcPr>
            <w:tcW w:w="458" w:type="pct"/>
            <w:noWrap/>
            <w:hideMark/>
          </w:tcPr>
          <w:p w14:paraId="65940E0B" w14:textId="305F2CDC"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8.837</w:t>
            </w:r>
          </w:p>
        </w:tc>
        <w:tc>
          <w:tcPr>
            <w:tcW w:w="420" w:type="pct"/>
            <w:noWrap/>
            <w:hideMark/>
          </w:tcPr>
          <w:p w14:paraId="7BEBA172" w14:textId="59C5869D"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16802.896</w:t>
            </w:r>
          </w:p>
        </w:tc>
        <w:tc>
          <w:tcPr>
            <w:tcW w:w="382" w:type="pct"/>
            <w:noWrap/>
            <w:hideMark/>
          </w:tcPr>
          <w:p w14:paraId="199D905F" w14:textId="2AEB138B"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129.626</w:t>
            </w:r>
          </w:p>
        </w:tc>
      </w:tr>
      <w:tr w:rsidR="002E554D" w:rsidRPr="002E554D" w14:paraId="295ECF33" w14:textId="77777777" w:rsidTr="009A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pct"/>
            <w:noWrap/>
            <w:hideMark/>
          </w:tcPr>
          <w:p w14:paraId="556FC814" w14:textId="77777777" w:rsidR="009A2AA7" w:rsidRPr="002E554D" w:rsidRDefault="009A2AA7" w:rsidP="009A2AA7">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 xml:space="preserve">Silver, </w:t>
            </w:r>
            <w:proofErr w:type="spellStart"/>
            <w:r w:rsidRPr="002E554D">
              <w:rPr>
                <w:rFonts w:ascii="Garamond" w:eastAsia="Times New Roman" w:hAnsi="Garamond" w:cs="Calibri"/>
                <w:color w:val="FF0000"/>
                <w:sz w:val="18"/>
                <w:szCs w:val="18"/>
                <w:lang w:val="en-GB" w:eastAsia="en-GB"/>
              </w:rPr>
              <w:t>Handy&amp;Harman</w:t>
            </w:r>
            <w:proofErr w:type="spellEnd"/>
            <w:r w:rsidRPr="002E554D">
              <w:rPr>
                <w:rFonts w:ascii="Garamond" w:eastAsia="Times New Roman" w:hAnsi="Garamond" w:cs="Calibri"/>
                <w:color w:val="FF0000"/>
                <w:sz w:val="18"/>
                <w:szCs w:val="18"/>
                <w:lang w:val="en-GB" w:eastAsia="en-GB"/>
              </w:rPr>
              <w:t xml:space="preserve"> (NY) U$/Troy OZ</w:t>
            </w:r>
          </w:p>
        </w:tc>
        <w:tc>
          <w:tcPr>
            <w:tcW w:w="341" w:type="pct"/>
            <w:noWrap/>
            <w:hideMark/>
          </w:tcPr>
          <w:p w14:paraId="1F29A6D3" w14:textId="61D160C7"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12.130</w:t>
            </w:r>
          </w:p>
        </w:tc>
        <w:tc>
          <w:tcPr>
            <w:tcW w:w="341" w:type="pct"/>
            <w:noWrap/>
            <w:hideMark/>
          </w:tcPr>
          <w:p w14:paraId="1BF1B975" w14:textId="5070053F"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28.990</w:t>
            </w:r>
          </w:p>
        </w:tc>
        <w:tc>
          <w:tcPr>
            <w:tcW w:w="404" w:type="pct"/>
            <w:noWrap/>
            <w:hideMark/>
          </w:tcPr>
          <w:p w14:paraId="236477F3" w14:textId="59DC697B"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17.030</w:t>
            </w:r>
          </w:p>
        </w:tc>
        <w:tc>
          <w:tcPr>
            <w:tcW w:w="459" w:type="pct"/>
            <w:noWrap/>
            <w:hideMark/>
          </w:tcPr>
          <w:p w14:paraId="605A72D4" w14:textId="393FF9A9"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18.886</w:t>
            </w:r>
          </w:p>
        </w:tc>
        <w:tc>
          <w:tcPr>
            <w:tcW w:w="414" w:type="pct"/>
            <w:noWrap/>
            <w:hideMark/>
          </w:tcPr>
          <w:p w14:paraId="08F408C9" w14:textId="193897E2"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0.161</w:t>
            </w:r>
          </w:p>
        </w:tc>
        <w:tc>
          <w:tcPr>
            <w:tcW w:w="458" w:type="pct"/>
            <w:noWrap/>
            <w:hideMark/>
          </w:tcPr>
          <w:p w14:paraId="1501AB5D" w14:textId="24AAE25A"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0.315</w:t>
            </w:r>
          </w:p>
        </w:tc>
        <w:tc>
          <w:tcPr>
            <w:tcW w:w="420" w:type="pct"/>
            <w:noWrap/>
            <w:hideMark/>
          </w:tcPr>
          <w:p w14:paraId="7C17C5EE" w14:textId="6896C1D3"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21.391</w:t>
            </w:r>
          </w:p>
        </w:tc>
        <w:tc>
          <w:tcPr>
            <w:tcW w:w="382" w:type="pct"/>
            <w:noWrap/>
            <w:hideMark/>
          </w:tcPr>
          <w:p w14:paraId="37112FAD" w14:textId="02AEDDE0"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4.625</w:t>
            </w:r>
          </w:p>
        </w:tc>
      </w:tr>
      <w:tr w:rsidR="002E554D" w:rsidRPr="002E554D" w14:paraId="4904E827" w14:textId="77777777" w:rsidTr="009A2AA7">
        <w:trPr>
          <w:trHeight w:val="300"/>
        </w:trPr>
        <w:tc>
          <w:tcPr>
            <w:cnfStyle w:val="001000000000" w:firstRow="0" w:lastRow="0" w:firstColumn="1" w:lastColumn="0" w:oddVBand="0" w:evenVBand="0" w:oddHBand="0" w:evenHBand="0" w:firstRowFirstColumn="0" w:firstRowLastColumn="0" w:lastRowFirstColumn="0" w:lastRowLastColumn="0"/>
            <w:tcW w:w="1784" w:type="pct"/>
            <w:noWrap/>
            <w:hideMark/>
          </w:tcPr>
          <w:p w14:paraId="353F98B7" w14:textId="77777777" w:rsidR="009A2AA7" w:rsidRPr="002E554D" w:rsidRDefault="009A2AA7" w:rsidP="009A2AA7">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Palladium U$/Troy Ounce</w:t>
            </w:r>
          </w:p>
        </w:tc>
        <w:tc>
          <w:tcPr>
            <w:tcW w:w="341" w:type="pct"/>
            <w:noWrap/>
            <w:hideMark/>
          </w:tcPr>
          <w:p w14:paraId="1D6D1FA7" w14:textId="6E8ECCA1"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849.000</w:t>
            </w:r>
          </w:p>
        </w:tc>
        <w:tc>
          <w:tcPr>
            <w:tcW w:w="341" w:type="pct"/>
            <w:noWrap/>
            <w:hideMark/>
          </w:tcPr>
          <w:p w14:paraId="7E640FB9" w14:textId="6635499B"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3000.000</w:t>
            </w:r>
          </w:p>
        </w:tc>
        <w:tc>
          <w:tcPr>
            <w:tcW w:w="404" w:type="pct"/>
            <w:noWrap/>
            <w:hideMark/>
          </w:tcPr>
          <w:p w14:paraId="5FBC260A" w14:textId="60935075"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1768.000</w:t>
            </w:r>
          </w:p>
        </w:tc>
        <w:tc>
          <w:tcPr>
            <w:tcW w:w="459" w:type="pct"/>
            <w:noWrap/>
            <w:hideMark/>
          </w:tcPr>
          <w:p w14:paraId="500C34F5" w14:textId="3F4C55EA"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1786.150</w:t>
            </w:r>
          </w:p>
        </w:tc>
        <w:tc>
          <w:tcPr>
            <w:tcW w:w="414" w:type="pct"/>
            <w:noWrap/>
            <w:hideMark/>
          </w:tcPr>
          <w:p w14:paraId="7F588759" w14:textId="10AAD963"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19.953</w:t>
            </w:r>
          </w:p>
        </w:tc>
        <w:tc>
          <w:tcPr>
            <w:tcW w:w="458" w:type="pct"/>
            <w:noWrap/>
            <w:hideMark/>
          </w:tcPr>
          <w:p w14:paraId="024D5434" w14:textId="2B0458C2"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39.164</w:t>
            </w:r>
          </w:p>
        </w:tc>
        <w:tc>
          <w:tcPr>
            <w:tcW w:w="420" w:type="pct"/>
            <w:noWrap/>
            <w:hideMark/>
          </w:tcPr>
          <w:p w14:paraId="6BA3ED89" w14:textId="523631B5"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330029.278</w:t>
            </w:r>
          </w:p>
        </w:tc>
        <w:tc>
          <w:tcPr>
            <w:tcW w:w="382" w:type="pct"/>
            <w:noWrap/>
            <w:hideMark/>
          </w:tcPr>
          <w:p w14:paraId="0ADC85C7" w14:textId="03BA9984"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574.482</w:t>
            </w:r>
          </w:p>
        </w:tc>
      </w:tr>
      <w:tr w:rsidR="002E554D" w:rsidRPr="002E554D" w14:paraId="1777DE6F" w14:textId="77777777" w:rsidTr="009A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pct"/>
            <w:noWrap/>
            <w:hideMark/>
          </w:tcPr>
          <w:p w14:paraId="5C4AF73C" w14:textId="77777777" w:rsidR="009A2AA7" w:rsidRPr="002E554D" w:rsidRDefault="009A2AA7" w:rsidP="009A2AA7">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Rhodium CIF NWE U$/Ounce</w:t>
            </w:r>
          </w:p>
        </w:tc>
        <w:tc>
          <w:tcPr>
            <w:tcW w:w="341" w:type="pct"/>
            <w:noWrap/>
            <w:hideMark/>
          </w:tcPr>
          <w:p w14:paraId="4897047D" w14:textId="2243BF5F"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54321.000</w:t>
            </w:r>
          </w:p>
        </w:tc>
        <w:tc>
          <w:tcPr>
            <w:tcW w:w="341" w:type="pct"/>
            <w:noWrap/>
            <w:hideMark/>
          </w:tcPr>
          <w:p w14:paraId="64941623" w14:textId="648ECD32"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809447.000</w:t>
            </w:r>
          </w:p>
        </w:tc>
        <w:tc>
          <w:tcPr>
            <w:tcW w:w="404" w:type="pct"/>
            <w:noWrap/>
            <w:hideMark/>
          </w:tcPr>
          <w:p w14:paraId="202217AE" w14:textId="4BD91AF3"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171615.000</w:t>
            </w:r>
          </w:p>
        </w:tc>
        <w:tc>
          <w:tcPr>
            <w:tcW w:w="459" w:type="pct"/>
            <w:noWrap/>
            <w:hideMark/>
          </w:tcPr>
          <w:p w14:paraId="56F33551" w14:textId="05778870"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247194.240</w:t>
            </w:r>
          </w:p>
        </w:tc>
        <w:tc>
          <w:tcPr>
            <w:tcW w:w="414" w:type="pct"/>
            <w:noWrap/>
            <w:hideMark/>
          </w:tcPr>
          <w:p w14:paraId="4B514CBA" w14:textId="5A2A91A2"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7304.741</w:t>
            </w:r>
          </w:p>
        </w:tc>
        <w:tc>
          <w:tcPr>
            <w:tcW w:w="458" w:type="pct"/>
            <w:noWrap/>
            <w:hideMark/>
          </w:tcPr>
          <w:p w14:paraId="08F94F6B" w14:textId="61D1517D"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14337.989</w:t>
            </w:r>
          </w:p>
        </w:tc>
        <w:tc>
          <w:tcPr>
            <w:tcW w:w="420" w:type="pct"/>
            <w:noWrap/>
            <w:hideMark/>
          </w:tcPr>
          <w:p w14:paraId="5F687929" w14:textId="6D3A473E"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44234815441.965</w:t>
            </w:r>
          </w:p>
        </w:tc>
        <w:tc>
          <w:tcPr>
            <w:tcW w:w="382" w:type="pct"/>
            <w:noWrap/>
            <w:hideMark/>
          </w:tcPr>
          <w:p w14:paraId="45FD0A10" w14:textId="036A5252"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210320.744</w:t>
            </w:r>
          </w:p>
        </w:tc>
      </w:tr>
      <w:tr w:rsidR="002E554D" w:rsidRPr="002E554D" w14:paraId="5316A84F" w14:textId="77777777" w:rsidTr="009A2AA7">
        <w:trPr>
          <w:trHeight w:val="300"/>
        </w:trPr>
        <w:tc>
          <w:tcPr>
            <w:cnfStyle w:val="001000000000" w:firstRow="0" w:lastRow="0" w:firstColumn="1" w:lastColumn="0" w:oddVBand="0" w:evenVBand="0" w:oddHBand="0" w:evenHBand="0" w:firstRowFirstColumn="0" w:firstRowLastColumn="0" w:lastRowFirstColumn="0" w:lastRowLastColumn="0"/>
            <w:tcW w:w="1784" w:type="pct"/>
            <w:noWrap/>
            <w:hideMark/>
          </w:tcPr>
          <w:p w14:paraId="6C9CFAE6" w14:textId="77777777" w:rsidR="009A2AA7" w:rsidRPr="002E554D" w:rsidRDefault="009A2AA7" w:rsidP="009A2AA7">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Osmium (Euro) E/KG</w:t>
            </w:r>
          </w:p>
        </w:tc>
        <w:tc>
          <w:tcPr>
            <w:tcW w:w="341" w:type="pct"/>
            <w:noWrap/>
            <w:hideMark/>
          </w:tcPr>
          <w:p w14:paraId="36A2A34B" w14:textId="04BA4200"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10389.000</w:t>
            </w:r>
          </w:p>
        </w:tc>
        <w:tc>
          <w:tcPr>
            <w:tcW w:w="341" w:type="pct"/>
            <w:noWrap/>
            <w:hideMark/>
          </w:tcPr>
          <w:p w14:paraId="185F4BEA" w14:textId="4599D1C6"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12010.000</w:t>
            </w:r>
          </w:p>
        </w:tc>
        <w:tc>
          <w:tcPr>
            <w:tcW w:w="404" w:type="pct"/>
            <w:noWrap/>
            <w:hideMark/>
          </w:tcPr>
          <w:p w14:paraId="1AF0176B" w14:textId="6ADD5EB9"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11420.000</w:t>
            </w:r>
          </w:p>
        </w:tc>
        <w:tc>
          <w:tcPr>
            <w:tcW w:w="459" w:type="pct"/>
            <w:noWrap/>
            <w:hideMark/>
          </w:tcPr>
          <w:p w14:paraId="07BF1B52" w14:textId="7995F34A"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11390.207</w:t>
            </w:r>
          </w:p>
        </w:tc>
        <w:tc>
          <w:tcPr>
            <w:tcW w:w="414" w:type="pct"/>
            <w:noWrap/>
            <w:hideMark/>
          </w:tcPr>
          <w:p w14:paraId="4987DC26" w14:textId="7CE4B49A"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12.603</w:t>
            </w:r>
          </w:p>
        </w:tc>
        <w:tc>
          <w:tcPr>
            <w:tcW w:w="458" w:type="pct"/>
            <w:noWrap/>
            <w:hideMark/>
          </w:tcPr>
          <w:p w14:paraId="7C1582F4" w14:textId="06F4379F"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24.756</w:t>
            </w:r>
          </w:p>
        </w:tc>
        <w:tc>
          <w:tcPr>
            <w:tcW w:w="420" w:type="pct"/>
            <w:noWrap/>
            <w:hideMark/>
          </w:tcPr>
          <w:p w14:paraId="604DD315" w14:textId="2EE1AE48"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85926.850</w:t>
            </w:r>
          </w:p>
        </w:tc>
        <w:tc>
          <w:tcPr>
            <w:tcW w:w="382" w:type="pct"/>
            <w:noWrap/>
            <w:hideMark/>
          </w:tcPr>
          <w:p w14:paraId="24A7C3FE" w14:textId="31E8313A"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293.133</w:t>
            </w:r>
          </w:p>
        </w:tc>
      </w:tr>
      <w:tr w:rsidR="002E554D" w:rsidRPr="002E554D" w14:paraId="25CED716" w14:textId="77777777" w:rsidTr="009A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pct"/>
            <w:noWrap/>
            <w:hideMark/>
          </w:tcPr>
          <w:p w14:paraId="2743D204" w14:textId="77777777" w:rsidR="009A2AA7" w:rsidRPr="002E554D" w:rsidRDefault="009A2AA7" w:rsidP="009A2AA7">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S&amp;P GSCI Precious Metal Tot. Ret. - RETURN IND. (OFCL)</w:t>
            </w:r>
          </w:p>
        </w:tc>
        <w:tc>
          <w:tcPr>
            <w:tcW w:w="341" w:type="pct"/>
            <w:noWrap/>
            <w:hideMark/>
          </w:tcPr>
          <w:p w14:paraId="7FB8F60C" w14:textId="4C48765B"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1403.280</w:t>
            </w:r>
          </w:p>
        </w:tc>
        <w:tc>
          <w:tcPr>
            <w:tcW w:w="341" w:type="pct"/>
            <w:noWrap/>
            <w:hideMark/>
          </w:tcPr>
          <w:p w14:paraId="75C42B4F" w14:textId="4EE5CA7D"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2407.610</w:t>
            </w:r>
          </w:p>
        </w:tc>
        <w:tc>
          <w:tcPr>
            <w:tcW w:w="404" w:type="pct"/>
            <w:noWrap/>
            <w:hideMark/>
          </w:tcPr>
          <w:p w14:paraId="01BE66C5" w14:textId="724CBA2A"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1772.640</w:t>
            </w:r>
          </w:p>
        </w:tc>
        <w:tc>
          <w:tcPr>
            <w:tcW w:w="459" w:type="pct"/>
            <w:noWrap/>
            <w:hideMark/>
          </w:tcPr>
          <w:p w14:paraId="00794ACB" w14:textId="74BF2D0C"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1805.258</w:t>
            </w:r>
          </w:p>
        </w:tc>
        <w:tc>
          <w:tcPr>
            <w:tcW w:w="414" w:type="pct"/>
            <w:noWrap/>
            <w:hideMark/>
          </w:tcPr>
          <w:p w14:paraId="4836FC34" w14:textId="00D6513E"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9.693</w:t>
            </w:r>
          </w:p>
        </w:tc>
        <w:tc>
          <w:tcPr>
            <w:tcW w:w="458" w:type="pct"/>
            <w:noWrap/>
            <w:hideMark/>
          </w:tcPr>
          <w:p w14:paraId="0076390C" w14:textId="05A2DE42"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19.026</w:t>
            </w:r>
          </w:p>
        </w:tc>
        <w:tc>
          <w:tcPr>
            <w:tcW w:w="420" w:type="pct"/>
            <w:noWrap/>
            <w:hideMark/>
          </w:tcPr>
          <w:p w14:paraId="52771FC8" w14:textId="17053987"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77886.125</w:t>
            </w:r>
          </w:p>
        </w:tc>
        <w:tc>
          <w:tcPr>
            <w:tcW w:w="382" w:type="pct"/>
            <w:noWrap/>
            <w:hideMark/>
          </w:tcPr>
          <w:p w14:paraId="3F0B0BC2" w14:textId="4DA881DA"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279.081</w:t>
            </w:r>
          </w:p>
        </w:tc>
      </w:tr>
      <w:tr w:rsidR="002E554D" w:rsidRPr="002E554D" w14:paraId="2C6C9ABF" w14:textId="77777777" w:rsidTr="009A2AA7">
        <w:trPr>
          <w:trHeight w:val="300"/>
        </w:trPr>
        <w:tc>
          <w:tcPr>
            <w:cnfStyle w:val="001000000000" w:firstRow="0" w:lastRow="0" w:firstColumn="1" w:lastColumn="0" w:oddVBand="0" w:evenVBand="0" w:oddHBand="0" w:evenHBand="0" w:firstRowFirstColumn="0" w:firstRowLastColumn="0" w:lastRowFirstColumn="0" w:lastRowLastColumn="0"/>
            <w:tcW w:w="1784" w:type="pct"/>
            <w:noWrap/>
            <w:hideMark/>
          </w:tcPr>
          <w:p w14:paraId="0B1E3705" w14:textId="77777777" w:rsidR="009A2AA7" w:rsidRPr="002E554D" w:rsidRDefault="009A2AA7" w:rsidP="009A2AA7">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Iridium U$/Troy Oz</w:t>
            </w:r>
          </w:p>
        </w:tc>
        <w:tc>
          <w:tcPr>
            <w:tcW w:w="341" w:type="pct"/>
            <w:noWrap/>
            <w:hideMark/>
          </w:tcPr>
          <w:p w14:paraId="00558570" w14:textId="5BF1042A"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1040.000</w:t>
            </w:r>
          </w:p>
        </w:tc>
        <w:tc>
          <w:tcPr>
            <w:tcW w:w="341" w:type="pct"/>
            <w:noWrap/>
            <w:hideMark/>
          </w:tcPr>
          <w:p w14:paraId="6BECDD32" w14:textId="66AD0EFE"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6300.000</w:t>
            </w:r>
          </w:p>
        </w:tc>
        <w:tc>
          <w:tcPr>
            <w:tcW w:w="404" w:type="pct"/>
            <w:noWrap/>
            <w:hideMark/>
          </w:tcPr>
          <w:p w14:paraId="78EEBA41" w14:textId="5EFAE4C6"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1480.000</w:t>
            </w:r>
          </w:p>
        </w:tc>
        <w:tc>
          <w:tcPr>
            <w:tcW w:w="459" w:type="pct"/>
            <w:noWrap/>
            <w:hideMark/>
          </w:tcPr>
          <w:p w14:paraId="796C37D6" w14:textId="35690CAF"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2061.230</w:t>
            </w:r>
          </w:p>
        </w:tc>
        <w:tc>
          <w:tcPr>
            <w:tcW w:w="414" w:type="pct"/>
            <w:noWrap/>
            <w:hideMark/>
          </w:tcPr>
          <w:p w14:paraId="47A7000F" w14:textId="352F55EC"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48.895</w:t>
            </w:r>
          </w:p>
        </w:tc>
        <w:tc>
          <w:tcPr>
            <w:tcW w:w="458" w:type="pct"/>
            <w:noWrap/>
            <w:hideMark/>
          </w:tcPr>
          <w:p w14:paraId="6CBA07E7" w14:textId="4414818E"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95.972</w:t>
            </w:r>
          </w:p>
        </w:tc>
        <w:tc>
          <w:tcPr>
            <w:tcW w:w="420" w:type="pct"/>
            <w:noWrap/>
            <w:hideMark/>
          </w:tcPr>
          <w:p w14:paraId="37CE1B8F" w14:textId="5E54E68B"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1981882.723</w:t>
            </w:r>
          </w:p>
        </w:tc>
        <w:tc>
          <w:tcPr>
            <w:tcW w:w="382" w:type="pct"/>
            <w:noWrap/>
            <w:hideMark/>
          </w:tcPr>
          <w:p w14:paraId="7904137D" w14:textId="50F0A646" w:rsidR="009A2AA7" w:rsidRPr="002E554D" w:rsidRDefault="009A2AA7" w:rsidP="009A2AA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1407.794</w:t>
            </w:r>
          </w:p>
        </w:tc>
      </w:tr>
      <w:tr w:rsidR="002E554D" w:rsidRPr="002E554D" w14:paraId="0B1292F3" w14:textId="77777777" w:rsidTr="009A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pct"/>
            <w:noWrap/>
            <w:hideMark/>
          </w:tcPr>
          <w:p w14:paraId="5D79606F" w14:textId="77777777" w:rsidR="009A2AA7" w:rsidRPr="002E554D" w:rsidRDefault="009A2AA7" w:rsidP="009A2AA7">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Ruthenium CIF NWE U$/Ounce</w:t>
            </w:r>
          </w:p>
        </w:tc>
        <w:tc>
          <w:tcPr>
            <w:tcW w:w="341" w:type="pct"/>
            <w:noWrap/>
            <w:hideMark/>
          </w:tcPr>
          <w:p w14:paraId="78FDFF27" w14:textId="7A2D230C"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223.000</w:t>
            </w:r>
          </w:p>
        </w:tc>
        <w:tc>
          <w:tcPr>
            <w:tcW w:w="341" w:type="pct"/>
            <w:noWrap/>
            <w:hideMark/>
          </w:tcPr>
          <w:p w14:paraId="43328689" w14:textId="7D79CF6C"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798.000</w:t>
            </w:r>
          </w:p>
        </w:tc>
        <w:tc>
          <w:tcPr>
            <w:tcW w:w="404" w:type="pct"/>
            <w:noWrap/>
            <w:hideMark/>
          </w:tcPr>
          <w:p w14:paraId="046009EB" w14:textId="29D83A83"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268.000</w:t>
            </w:r>
          </w:p>
        </w:tc>
        <w:tc>
          <w:tcPr>
            <w:tcW w:w="459" w:type="pct"/>
            <w:noWrap/>
            <w:hideMark/>
          </w:tcPr>
          <w:p w14:paraId="73692F2B" w14:textId="09E93BFA"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285.636</w:t>
            </w:r>
          </w:p>
        </w:tc>
        <w:tc>
          <w:tcPr>
            <w:tcW w:w="414" w:type="pct"/>
            <w:noWrap/>
            <w:hideMark/>
          </w:tcPr>
          <w:p w14:paraId="25438AAB" w14:textId="6A953D4A"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3.243</w:t>
            </w:r>
          </w:p>
        </w:tc>
        <w:tc>
          <w:tcPr>
            <w:tcW w:w="458" w:type="pct"/>
            <w:noWrap/>
            <w:hideMark/>
          </w:tcPr>
          <w:p w14:paraId="2B2B9A50" w14:textId="652B8C47"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6.365</w:t>
            </w:r>
          </w:p>
        </w:tc>
        <w:tc>
          <w:tcPr>
            <w:tcW w:w="420" w:type="pct"/>
            <w:noWrap/>
            <w:hideMark/>
          </w:tcPr>
          <w:p w14:paraId="42CBC0E2" w14:textId="798624FC"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8717.577</w:t>
            </w:r>
          </w:p>
        </w:tc>
        <w:tc>
          <w:tcPr>
            <w:tcW w:w="382" w:type="pct"/>
            <w:noWrap/>
            <w:hideMark/>
          </w:tcPr>
          <w:p w14:paraId="1DB3856E" w14:textId="53DD3939" w:rsidR="009A2AA7" w:rsidRPr="002E554D" w:rsidRDefault="009A2AA7" w:rsidP="009A2AA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93.368</w:t>
            </w:r>
          </w:p>
        </w:tc>
      </w:tr>
    </w:tbl>
    <w:p w14:paraId="5DE5EE6F" w14:textId="77777777" w:rsidR="000D4B91" w:rsidRPr="002E554D" w:rsidRDefault="000D4B91" w:rsidP="0097582A">
      <w:pPr>
        <w:pStyle w:val="NoSpacing"/>
        <w:spacing w:line="480" w:lineRule="auto"/>
        <w:jc w:val="right"/>
        <w:rPr>
          <w:rFonts w:ascii="Garamond" w:eastAsia="Times New Roman" w:hAnsi="Garamond" w:cs="Calibri"/>
          <w:color w:val="FF0000"/>
          <w:sz w:val="24"/>
          <w:szCs w:val="24"/>
          <w:lang w:eastAsia="en-GB"/>
        </w:rPr>
      </w:pPr>
    </w:p>
    <w:p w14:paraId="4A95DCEA" w14:textId="7C69B4BE" w:rsidR="005338C3" w:rsidRPr="002E554D" w:rsidRDefault="005338C3" w:rsidP="0097582A">
      <w:pPr>
        <w:pStyle w:val="NoSpacing"/>
        <w:spacing w:line="480" w:lineRule="auto"/>
        <w:jc w:val="center"/>
        <w:rPr>
          <w:rFonts w:ascii="Garamond" w:eastAsia="Times New Roman" w:hAnsi="Garamond" w:cs="Calibri"/>
          <w:b/>
          <w:bCs/>
          <w:color w:val="FF0000"/>
          <w:sz w:val="24"/>
          <w:szCs w:val="24"/>
          <w:lang w:eastAsia="en-GB"/>
        </w:rPr>
      </w:pPr>
      <w:r w:rsidRPr="002E554D">
        <w:rPr>
          <w:rFonts w:ascii="Garamond" w:eastAsia="Times New Roman" w:hAnsi="Garamond" w:cs="Calibri"/>
          <w:b/>
          <w:bCs/>
          <w:color w:val="FF0000"/>
          <w:sz w:val="24"/>
          <w:szCs w:val="24"/>
          <w:lang w:eastAsia="en-GB"/>
        </w:rPr>
        <w:t xml:space="preserve">Table A.2 Descriptive statistics </w:t>
      </w:r>
      <w:r w:rsidR="000D4B91" w:rsidRPr="002E554D">
        <w:rPr>
          <w:rFonts w:ascii="Garamond" w:eastAsia="Times New Roman" w:hAnsi="Garamond" w:cs="Calibri"/>
          <w:b/>
          <w:bCs/>
          <w:color w:val="FF0000"/>
          <w:sz w:val="24"/>
          <w:szCs w:val="24"/>
          <w:lang w:eastAsia="en-GB"/>
        </w:rPr>
        <w:t xml:space="preserve">of the close prices of the </w:t>
      </w:r>
      <w:r w:rsidR="002D42A8" w:rsidRPr="002E554D">
        <w:rPr>
          <w:rFonts w:ascii="Garamond" w:eastAsia="Times New Roman" w:hAnsi="Garamond" w:cs="Calibri"/>
          <w:b/>
          <w:bCs/>
          <w:color w:val="FF0000"/>
          <w:sz w:val="24"/>
          <w:szCs w:val="24"/>
          <w:lang w:eastAsia="en-GB"/>
        </w:rPr>
        <w:t xml:space="preserve">selected </w:t>
      </w:r>
      <w:r w:rsidRPr="002E554D">
        <w:rPr>
          <w:rFonts w:ascii="Garamond" w:eastAsia="Times New Roman" w:hAnsi="Garamond" w:cs="Calibri"/>
          <w:b/>
          <w:bCs/>
          <w:color w:val="FF0000"/>
          <w:sz w:val="24"/>
          <w:szCs w:val="24"/>
          <w:lang w:eastAsia="en-GB"/>
        </w:rPr>
        <w:t>bonds</w:t>
      </w:r>
      <w:r w:rsidR="002D42A8" w:rsidRPr="002E554D">
        <w:rPr>
          <w:rFonts w:ascii="Garamond" w:eastAsia="Times New Roman" w:hAnsi="Garamond" w:cs="Calibri"/>
          <w:b/>
          <w:bCs/>
          <w:color w:val="FF0000"/>
          <w:sz w:val="24"/>
          <w:szCs w:val="24"/>
          <w:lang w:eastAsia="en-GB"/>
        </w:rPr>
        <w:t xml:space="preserve"> (data source: Thomson EIKON)</w:t>
      </w:r>
    </w:p>
    <w:tbl>
      <w:tblPr>
        <w:tblStyle w:val="PlainTable2"/>
        <w:tblW w:w="5000" w:type="pct"/>
        <w:tblLook w:val="04A0" w:firstRow="1" w:lastRow="0" w:firstColumn="1" w:lastColumn="0" w:noHBand="0" w:noVBand="1"/>
      </w:tblPr>
      <w:tblGrid>
        <w:gridCol w:w="4437"/>
        <w:gridCol w:w="980"/>
        <w:gridCol w:w="980"/>
        <w:gridCol w:w="1098"/>
        <w:gridCol w:w="1259"/>
        <w:gridCol w:w="1259"/>
        <w:gridCol w:w="1631"/>
        <w:gridCol w:w="1259"/>
        <w:gridCol w:w="1099"/>
      </w:tblGrid>
      <w:tr w:rsidR="002E554D" w:rsidRPr="002E554D" w14:paraId="20E0D9F0" w14:textId="77777777" w:rsidTr="0063737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4" w:type="pct"/>
            <w:noWrap/>
            <w:hideMark/>
          </w:tcPr>
          <w:p w14:paraId="3DCE5A02" w14:textId="77777777" w:rsidR="002D42A8" w:rsidRPr="002E554D" w:rsidRDefault="002D42A8" w:rsidP="002D42A8">
            <w:pPr>
              <w:rPr>
                <w:rFonts w:ascii="Garamond" w:eastAsia="Times New Roman" w:hAnsi="Garamond" w:cs="Times New Roman"/>
                <w:color w:val="FF0000"/>
                <w:sz w:val="20"/>
                <w:szCs w:val="20"/>
                <w:lang w:val="en-GB" w:eastAsia="en-GB"/>
              </w:rPr>
            </w:pPr>
          </w:p>
        </w:tc>
        <w:tc>
          <w:tcPr>
            <w:tcW w:w="369" w:type="pct"/>
            <w:noWrap/>
            <w:hideMark/>
          </w:tcPr>
          <w:p w14:paraId="305FC7EF" w14:textId="77777777" w:rsidR="002D42A8" w:rsidRPr="002E554D" w:rsidRDefault="002D42A8"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min</w:t>
            </w:r>
          </w:p>
        </w:tc>
        <w:tc>
          <w:tcPr>
            <w:tcW w:w="369" w:type="pct"/>
            <w:noWrap/>
            <w:hideMark/>
          </w:tcPr>
          <w:p w14:paraId="6585E10E" w14:textId="77777777" w:rsidR="002D42A8" w:rsidRPr="002E554D" w:rsidRDefault="002D42A8"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max</w:t>
            </w:r>
          </w:p>
        </w:tc>
        <w:tc>
          <w:tcPr>
            <w:tcW w:w="411" w:type="pct"/>
            <w:noWrap/>
            <w:hideMark/>
          </w:tcPr>
          <w:p w14:paraId="5C17CFFE" w14:textId="77777777" w:rsidR="002D42A8" w:rsidRPr="002E554D" w:rsidRDefault="002D42A8"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median</w:t>
            </w:r>
          </w:p>
        </w:tc>
        <w:tc>
          <w:tcPr>
            <w:tcW w:w="468" w:type="pct"/>
            <w:noWrap/>
            <w:hideMark/>
          </w:tcPr>
          <w:p w14:paraId="1893316C" w14:textId="77777777" w:rsidR="002D42A8" w:rsidRPr="002E554D" w:rsidRDefault="002D42A8"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mean</w:t>
            </w:r>
          </w:p>
        </w:tc>
        <w:tc>
          <w:tcPr>
            <w:tcW w:w="468" w:type="pct"/>
            <w:noWrap/>
            <w:hideMark/>
          </w:tcPr>
          <w:p w14:paraId="61DBB028" w14:textId="77777777" w:rsidR="002D42A8" w:rsidRPr="002E554D" w:rsidRDefault="002D42A8"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proofErr w:type="spellStart"/>
            <w:proofErr w:type="gramStart"/>
            <w:r w:rsidRPr="002E554D">
              <w:rPr>
                <w:rFonts w:ascii="Garamond" w:eastAsia="Times New Roman" w:hAnsi="Garamond" w:cs="Calibri"/>
                <w:color w:val="FF0000"/>
                <w:sz w:val="20"/>
                <w:szCs w:val="20"/>
                <w:lang w:val="en-GB" w:eastAsia="en-GB"/>
              </w:rPr>
              <w:t>SE.mean</w:t>
            </w:r>
            <w:proofErr w:type="spellEnd"/>
            <w:proofErr w:type="gramEnd"/>
          </w:p>
        </w:tc>
        <w:tc>
          <w:tcPr>
            <w:tcW w:w="601" w:type="pct"/>
            <w:noWrap/>
            <w:hideMark/>
          </w:tcPr>
          <w:p w14:paraId="4401EA03" w14:textId="77777777" w:rsidR="002D42A8" w:rsidRPr="002E554D" w:rsidRDefault="002D42A8"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CI.mean.0.95</w:t>
            </w:r>
          </w:p>
        </w:tc>
        <w:tc>
          <w:tcPr>
            <w:tcW w:w="468" w:type="pct"/>
            <w:noWrap/>
            <w:hideMark/>
          </w:tcPr>
          <w:p w14:paraId="187B5C1E" w14:textId="77777777" w:rsidR="002D42A8" w:rsidRPr="002E554D" w:rsidRDefault="002D42A8"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var</w:t>
            </w:r>
          </w:p>
        </w:tc>
        <w:tc>
          <w:tcPr>
            <w:tcW w:w="411" w:type="pct"/>
            <w:noWrap/>
            <w:hideMark/>
          </w:tcPr>
          <w:p w14:paraId="4F89BB5F" w14:textId="77777777" w:rsidR="002D42A8" w:rsidRPr="002E554D" w:rsidRDefault="002D42A8"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proofErr w:type="spellStart"/>
            <w:r w:rsidRPr="002E554D">
              <w:rPr>
                <w:rFonts w:ascii="Garamond" w:eastAsia="Times New Roman" w:hAnsi="Garamond" w:cs="Calibri"/>
                <w:color w:val="FF0000"/>
                <w:sz w:val="20"/>
                <w:szCs w:val="20"/>
                <w:lang w:val="en-GB" w:eastAsia="en-GB"/>
              </w:rPr>
              <w:t>std.dev</w:t>
            </w:r>
            <w:proofErr w:type="spellEnd"/>
          </w:p>
        </w:tc>
      </w:tr>
      <w:tr w:rsidR="002E554D" w:rsidRPr="002E554D" w14:paraId="1C93BD79" w14:textId="77777777" w:rsidTr="006373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4" w:type="pct"/>
            <w:noWrap/>
            <w:hideMark/>
          </w:tcPr>
          <w:p w14:paraId="6D1591F1" w14:textId="77777777" w:rsidR="00637378" w:rsidRPr="002E554D" w:rsidRDefault="00637378" w:rsidP="00637378">
            <w:pP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eastAsia="en-GB"/>
              </w:rPr>
              <w:t xml:space="preserve">BD BENCHMARK 10 YEAR DS GOVT. INDEX </w:t>
            </w:r>
          </w:p>
        </w:tc>
        <w:tc>
          <w:tcPr>
            <w:tcW w:w="369" w:type="pct"/>
            <w:noWrap/>
            <w:hideMark/>
          </w:tcPr>
          <w:p w14:paraId="6F8CCEDF" w14:textId="78787767"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170.848</w:t>
            </w:r>
          </w:p>
        </w:tc>
        <w:tc>
          <w:tcPr>
            <w:tcW w:w="369" w:type="pct"/>
            <w:noWrap/>
            <w:hideMark/>
          </w:tcPr>
          <w:p w14:paraId="07E938D3" w14:textId="79302C70"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199.977</w:t>
            </w:r>
          </w:p>
        </w:tc>
        <w:tc>
          <w:tcPr>
            <w:tcW w:w="411" w:type="pct"/>
            <w:noWrap/>
            <w:hideMark/>
          </w:tcPr>
          <w:p w14:paraId="1935BB37" w14:textId="6BCE52D9"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189.548</w:t>
            </w:r>
          </w:p>
        </w:tc>
        <w:tc>
          <w:tcPr>
            <w:tcW w:w="468" w:type="pct"/>
            <w:noWrap/>
            <w:hideMark/>
          </w:tcPr>
          <w:p w14:paraId="3D5BE82D" w14:textId="5D23B489"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186.973</w:t>
            </w:r>
          </w:p>
        </w:tc>
        <w:tc>
          <w:tcPr>
            <w:tcW w:w="468" w:type="pct"/>
            <w:noWrap/>
            <w:hideMark/>
          </w:tcPr>
          <w:p w14:paraId="09E6CCDC" w14:textId="36E6BD32"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0.255</w:t>
            </w:r>
          </w:p>
        </w:tc>
        <w:tc>
          <w:tcPr>
            <w:tcW w:w="601" w:type="pct"/>
            <w:noWrap/>
            <w:hideMark/>
          </w:tcPr>
          <w:p w14:paraId="764DC479" w14:textId="6A2C6376"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0.500</w:t>
            </w:r>
          </w:p>
        </w:tc>
        <w:tc>
          <w:tcPr>
            <w:tcW w:w="468" w:type="pct"/>
            <w:noWrap/>
            <w:hideMark/>
          </w:tcPr>
          <w:p w14:paraId="20774AC6" w14:textId="7F8D8FD3"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53.873</w:t>
            </w:r>
          </w:p>
        </w:tc>
        <w:tc>
          <w:tcPr>
            <w:tcW w:w="411" w:type="pct"/>
            <w:noWrap/>
            <w:hideMark/>
          </w:tcPr>
          <w:p w14:paraId="1B7C484D" w14:textId="7130CB84"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7.340</w:t>
            </w:r>
          </w:p>
        </w:tc>
      </w:tr>
      <w:tr w:rsidR="002E554D" w:rsidRPr="002E554D" w14:paraId="5D0DF458" w14:textId="77777777" w:rsidTr="00637378">
        <w:trPr>
          <w:trHeight w:val="315"/>
        </w:trPr>
        <w:tc>
          <w:tcPr>
            <w:cnfStyle w:val="001000000000" w:firstRow="0" w:lastRow="0" w:firstColumn="1" w:lastColumn="0" w:oddVBand="0" w:evenVBand="0" w:oddHBand="0" w:evenHBand="0" w:firstRowFirstColumn="0" w:firstRowLastColumn="0" w:lastRowFirstColumn="0" w:lastRowLastColumn="0"/>
            <w:tcW w:w="1434" w:type="pct"/>
            <w:noWrap/>
            <w:hideMark/>
          </w:tcPr>
          <w:p w14:paraId="6AD89549" w14:textId="77777777" w:rsidR="00637378" w:rsidRPr="002E554D" w:rsidRDefault="00637378" w:rsidP="00637378">
            <w:pP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eastAsia="en-GB"/>
              </w:rPr>
              <w:t xml:space="preserve">FR BENCHMARK 10 YEAR DS GOVT. INDEX </w:t>
            </w:r>
          </w:p>
        </w:tc>
        <w:tc>
          <w:tcPr>
            <w:tcW w:w="369" w:type="pct"/>
            <w:noWrap/>
            <w:hideMark/>
          </w:tcPr>
          <w:p w14:paraId="11E3F28E" w14:textId="2BDFF20A"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205.709</w:t>
            </w:r>
          </w:p>
        </w:tc>
        <w:tc>
          <w:tcPr>
            <w:tcW w:w="369" w:type="pct"/>
            <w:noWrap/>
            <w:hideMark/>
          </w:tcPr>
          <w:p w14:paraId="70DCEDC0" w14:textId="677D4574"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235.330</w:t>
            </w:r>
          </w:p>
        </w:tc>
        <w:tc>
          <w:tcPr>
            <w:tcW w:w="411" w:type="pct"/>
            <w:noWrap/>
            <w:hideMark/>
          </w:tcPr>
          <w:p w14:paraId="6699D97B" w14:textId="2E359D13"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224.883</w:t>
            </w:r>
          </w:p>
        </w:tc>
        <w:tc>
          <w:tcPr>
            <w:tcW w:w="468" w:type="pct"/>
            <w:noWrap/>
            <w:hideMark/>
          </w:tcPr>
          <w:p w14:paraId="373931E7" w14:textId="4410BC48"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221.944</w:t>
            </w:r>
          </w:p>
        </w:tc>
        <w:tc>
          <w:tcPr>
            <w:tcW w:w="468" w:type="pct"/>
            <w:noWrap/>
            <w:hideMark/>
          </w:tcPr>
          <w:p w14:paraId="283C4C2D" w14:textId="05B41242"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0.295</w:t>
            </w:r>
          </w:p>
        </w:tc>
        <w:tc>
          <w:tcPr>
            <w:tcW w:w="601" w:type="pct"/>
            <w:noWrap/>
            <w:hideMark/>
          </w:tcPr>
          <w:p w14:paraId="2C432B59" w14:textId="291B11C7"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0.578</w:t>
            </w:r>
          </w:p>
        </w:tc>
        <w:tc>
          <w:tcPr>
            <w:tcW w:w="468" w:type="pct"/>
            <w:noWrap/>
            <w:hideMark/>
          </w:tcPr>
          <w:p w14:paraId="27E2B65F" w14:textId="3B58B388"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71.904</w:t>
            </w:r>
          </w:p>
        </w:tc>
        <w:tc>
          <w:tcPr>
            <w:tcW w:w="411" w:type="pct"/>
            <w:noWrap/>
            <w:hideMark/>
          </w:tcPr>
          <w:p w14:paraId="3F7B2777" w14:textId="046BD6F2"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8.480</w:t>
            </w:r>
          </w:p>
        </w:tc>
      </w:tr>
      <w:tr w:rsidR="002E554D" w:rsidRPr="002E554D" w14:paraId="4A6A8BCD" w14:textId="77777777" w:rsidTr="006373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4" w:type="pct"/>
            <w:noWrap/>
            <w:hideMark/>
          </w:tcPr>
          <w:p w14:paraId="7B63AE8E" w14:textId="77777777" w:rsidR="00637378" w:rsidRPr="002E554D" w:rsidRDefault="00637378" w:rsidP="00637378">
            <w:pP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eastAsia="en-GB"/>
              </w:rPr>
              <w:t xml:space="preserve">UK BENCHMARK 10 YEAR DS GOVT. INDEX </w:t>
            </w:r>
          </w:p>
        </w:tc>
        <w:tc>
          <w:tcPr>
            <w:tcW w:w="369" w:type="pct"/>
            <w:noWrap/>
            <w:hideMark/>
          </w:tcPr>
          <w:p w14:paraId="3A2C6E94" w14:textId="7FA8D576"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193.678</w:t>
            </w:r>
          </w:p>
        </w:tc>
        <w:tc>
          <w:tcPr>
            <w:tcW w:w="369" w:type="pct"/>
            <w:noWrap/>
            <w:hideMark/>
          </w:tcPr>
          <w:p w14:paraId="559AFA4F" w14:textId="51103C7D"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224.660</w:t>
            </w:r>
          </w:p>
        </w:tc>
        <w:tc>
          <w:tcPr>
            <w:tcW w:w="411" w:type="pct"/>
            <w:noWrap/>
            <w:hideMark/>
          </w:tcPr>
          <w:p w14:paraId="35817AAC" w14:textId="0E0BAB28"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210.819</w:t>
            </w:r>
          </w:p>
        </w:tc>
        <w:tc>
          <w:tcPr>
            <w:tcW w:w="468" w:type="pct"/>
            <w:noWrap/>
            <w:hideMark/>
          </w:tcPr>
          <w:p w14:paraId="434BE762" w14:textId="6F41DBB1"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210.521</w:t>
            </w:r>
          </w:p>
        </w:tc>
        <w:tc>
          <w:tcPr>
            <w:tcW w:w="468" w:type="pct"/>
            <w:noWrap/>
            <w:hideMark/>
          </w:tcPr>
          <w:p w14:paraId="51F87EB4" w14:textId="3206672B"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0.308</w:t>
            </w:r>
          </w:p>
        </w:tc>
        <w:tc>
          <w:tcPr>
            <w:tcW w:w="601" w:type="pct"/>
            <w:noWrap/>
            <w:hideMark/>
          </w:tcPr>
          <w:p w14:paraId="4521B301" w14:textId="24C5678A"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0.605</w:t>
            </w:r>
          </w:p>
        </w:tc>
        <w:tc>
          <w:tcPr>
            <w:tcW w:w="468" w:type="pct"/>
            <w:noWrap/>
            <w:hideMark/>
          </w:tcPr>
          <w:p w14:paraId="38DD119E" w14:textId="5FEFABA0"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78.843</w:t>
            </w:r>
          </w:p>
        </w:tc>
        <w:tc>
          <w:tcPr>
            <w:tcW w:w="411" w:type="pct"/>
            <w:noWrap/>
            <w:hideMark/>
          </w:tcPr>
          <w:p w14:paraId="13F9B597" w14:textId="4C86AEE8" w:rsidR="00637378" w:rsidRPr="002E554D" w:rsidRDefault="00637378" w:rsidP="0063737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8.879</w:t>
            </w:r>
          </w:p>
        </w:tc>
      </w:tr>
      <w:tr w:rsidR="002E554D" w:rsidRPr="002E554D" w14:paraId="403522C2" w14:textId="77777777" w:rsidTr="00637378">
        <w:trPr>
          <w:trHeight w:val="315"/>
        </w:trPr>
        <w:tc>
          <w:tcPr>
            <w:cnfStyle w:val="001000000000" w:firstRow="0" w:lastRow="0" w:firstColumn="1" w:lastColumn="0" w:oddVBand="0" w:evenVBand="0" w:oddHBand="0" w:evenHBand="0" w:firstRowFirstColumn="0" w:firstRowLastColumn="0" w:lastRowFirstColumn="0" w:lastRowLastColumn="0"/>
            <w:tcW w:w="1434" w:type="pct"/>
            <w:noWrap/>
            <w:hideMark/>
          </w:tcPr>
          <w:p w14:paraId="74820C83" w14:textId="77777777" w:rsidR="00637378" w:rsidRPr="002E554D" w:rsidRDefault="00637378" w:rsidP="00637378">
            <w:pP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eastAsia="en-GB"/>
              </w:rPr>
              <w:t xml:space="preserve">US BENCHMARK 10 YEAR DS GOVT. INDEX </w:t>
            </w:r>
          </w:p>
        </w:tc>
        <w:tc>
          <w:tcPr>
            <w:tcW w:w="369" w:type="pct"/>
            <w:noWrap/>
            <w:hideMark/>
          </w:tcPr>
          <w:p w14:paraId="3C270403" w14:textId="61546E76"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137.505</w:t>
            </w:r>
          </w:p>
        </w:tc>
        <w:tc>
          <w:tcPr>
            <w:tcW w:w="369" w:type="pct"/>
            <w:noWrap/>
            <w:hideMark/>
          </w:tcPr>
          <w:p w14:paraId="3FD1BBD6" w14:textId="51234996"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179.202</w:t>
            </w:r>
          </w:p>
        </w:tc>
        <w:tc>
          <w:tcPr>
            <w:tcW w:w="411" w:type="pct"/>
            <w:noWrap/>
            <w:hideMark/>
          </w:tcPr>
          <w:p w14:paraId="6C1FC4ED" w14:textId="70DA82B3"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157.698</w:t>
            </w:r>
          </w:p>
        </w:tc>
        <w:tc>
          <w:tcPr>
            <w:tcW w:w="468" w:type="pct"/>
            <w:noWrap/>
            <w:hideMark/>
          </w:tcPr>
          <w:p w14:paraId="19D29D2E" w14:textId="4BB475D6"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158.161</w:t>
            </w:r>
          </w:p>
        </w:tc>
        <w:tc>
          <w:tcPr>
            <w:tcW w:w="468" w:type="pct"/>
            <w:noWrap/>
            <w:hideMark/>
          </w:tcPr>
          <w:p w14:paraId="3FE4A289" w14:textId="1E4460D3"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0.458</w:t>
            </w:r>
          </w:p>
        </w:tc>
        <w:tc>
          <w:tcPr>
            <w:tcW w:w="601" w:type="pct"/>
            <w:noWrap/>
            <w:hideMark/>
          </w:tcPr>
          <w:p w14:paraId="413C3DC8" w14:textId="7053A637"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0.898</w:t>
            </w:r>
          </w:p>
        </w:tc>
        <w:tc>
          <w:tcPr>
            <w:tcW w:w="468" w:type="pct"/>
            <w:noWrap/>
            <w:hideMark/>
          </w:tcPr>
          <w:p w14:paraId="3F1AFD98" w14:textId="61C58C3D"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173.665</w:t>
            </w:r>
          </w:p>
        </w:tc>
        <w:tc>
          <w:tcPr>
            <w:tcW w:w="411" w:type="pct"/>
            <w:noWrap/>
            <w:hideMark/>
          </w:tcPr>
          <w:p w14:paraId="097F8531" w14:textId="463223CD" w:rsidR="00637378" w:rsidRPr="002E554D" w:rsidRDefault="00637378" w:rsidP="0063737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20"/>
                <w:szCs w:val="20"/>
                <w:lang w:val="en-GB" w:eastAsia="en-GB"/>
              </w:rPr>
            </w:pPr>
            <w:r w:rsidRPr="002E554D">
              <w:rPr>
                <w:rFonts w:ascii="Garamond" w:hAnsi="Garamond"/>
                <w:color w:val="FF0000"/>
                <w:sz w:val="20"/>
                <w:szCs w:val="20"/>
              </w:rPr>
              <w:t>13.178</w:t>
            </w:r>
          </w:p>
        </w:tc>
      </w:tr>
    </w:tbl>
    <w:p w14:paraId="7C9A6807" w14:textId="4908399B" w:rsidR="005338C3" w:rsidRPr="002E554D" w:rsidRDefault="005338C3" w:rsidP="00697353">
      <w:pPr>
        <w:pStyle w:val="NoSpacing"/>
        <w:spacing w:line="480" w:lineRule="auto"/>
        <w:rPr>
          <w:rFonts w:ascii="Garamond" w:eastAsia="Times New Roman" w:hAnsi="Garamond" w:cs="Calibri"/>
          <w:color w:val="FF0000"/>
          <w:sz w:val="24"/>
          <w:szCs w:val="24"/>
          <w:lang w:eastAsia="en-GB"/>
        </w:rPr>
      </w:pPr>
    </w:p>
    <w:p w14:paraId="5B96CCBE" w14:textId="59801260" w:rsidR="002D42A8" w:rsidRPr="002E554D" w:rsidRDefault="002D42A8" w:rsidP="00697353">
      <w:pPr>
        <w:pStyle w:val="NoSpacing"/>
        <w:spacing w:line="480" w:lineRule="auto"/>
        <w:rPr>
          <w:rFonts w:ascii="Garamond" w:eastAsia="Times New Roman" w:hAnsi="Garamond" w:cs="Calibri"/>
          <w:color w:val="FF0000"/>
          <w:sz w:val="24"/>
          <w:szCs w:val="24"/>
          <w:lang w:eastAsia="en-GB"/>
        </w:rPr>
      </w:pPr>
    </w:p>
    <w:p w14:paraId="214DC5AB" w14:textId="3FA4EDF7" w:rsidR="000D4B91" w:rsidRPr="002E554D" w:rsidRDefault="000D4B91" w:rsidP="00697353">
      <w:pPr>
        <w:pStyle w:val="NoSpacing"/>
        <w:spacing w:line="480" w:lineRule="auto"/>
        <w:rPr>
          <w:rFonts w:ascii="Garamond" w:eastAsia="Times New Roman" w:hAnsi="Garamond" w:cs="Calibri"/>
          <w:color w:val="FF0000"/>
          <w:sz w:val="24"/>
          <w:szCs w:val="24"/>
          <w:lang w:eastAsia="en-GB"/>
        </w:rPr>
      </w:pPr>
    </w:p>
    <w:p w14:paraId="3549E317" w14:textId="6E99B255" w:rsidR="000D4B91" w:rsidRPr="002E554D" w:rsidRDefault="000D4B91" w:rsidP="00697353">
      <w:pPr>
        <w:pStyle w:val="NoSpacing"/>
        <w:spacing w:line="480" w:lineRule="auto"/>
        <w:rPr>
          <w:rFonts w:ascii="Garamond" w:eastAsia="Times New Roman" w:hAnsi="Garamond" w:cs="Calibri"/>
          <w:color w:val="FF0000"/>
          <w:sz w:val="24"/>
          <w:szCs w:val="24"/>
          <w:lang w:eastAsia="en-GB"/>
        </w:rPr>
      </w:pPr>
    </w:p>
    <w:p w14:paraId="195B63F0" w14:textId="77777777" w:rsidR="000D4B91" w:rsidRPr="002E554D" w:rsidRDefault="000D4B91" w:rsidP="00697353">
      <w:pPr>
        <w:pStyle w:val="NoSpacing"/>
        <w:spacing w:line="480" w:lineRule="auto"/>
        <w:rPr>
          <w:rFonts w:ascii="Garamond" w:eastAsia="Times New Roman" w:hAnsi="Garamond" w:cs="Calibri"/>
          <w:color w:val="FF0000"/>
          <w:sz w:val="24"/>
          <w:szCs w:val="24"/>
          <w:lang w:eastAsia="en-GB"/>
        </w:rPr>
      </w:pPr>
    </w:p>
    <w:p w14:paraId="5D640146" w14:textId="05A98828" w:rsidR="002D42A8" w:rsidRPr="002E554D" w:rsidRDefault="002D42A8" w:rsidP="0097582A">
      <w:pPr>
        <w:pStyle w:val="NoSpacing"/>
        <w:spacing w:line="480" w:lineRule="auto"/>
        <w:jc w:val="center"/>
        <w:rPr>
          <w:rFonts w:ascii="Garamond" w:eastAsia="Times New Roman" w:hAnsi="Garamond" w:cs="Calibri"/>
          <w:b/>
          <w:bCs/>
          <w:color w:val="FF0000"/>
          <w:sz w:val="24"/>
          <w:szCs w:val="24"/>
          <w:lang w:eastAsia="en-GB"/>
        </w:rPr>
      </w:pPr>
      <w:r w:rsidRPr="002E554D">
        <w:rPr>
          <w:rFonts w:ascii="Garamond" w:eastAsia="Times New Roman" w:hAnsi="Garamond" w:cs="Calibri"/>
          <w:b/>
          <w:bCs/>
          <w:color w:val="FF0000"/>
          <w:sz w:val="24"/>
          <w:szCs w:val="24"/>
          <w:lang w:eastAsia="en-GB"/>
        </w:rPr>
        <w:t xml:space="preserve">Table A.3 Descriptive statistics </w:t>
      </w:r>
      <w:r w:rsidR="000D4B91" w:rsidRPr="002E554D">
        <w:rPr>
          <w:rFonts w:ascii="Garamond" w:eastAsia="Times New Roman" w:hAnsi="Garamond" w:cs="Calibri"/>
          <w:b/>
          <w:bCs/>
          <w:color w:val="FF0000"/>
          <w:sz w:val="24"/>
          <w:szCs w:val="24"/>
          <w:lang w:eastAsia="en-GB"/>
        </w:rPr>
        <w:t xml:space="preserve">of the close prices of the </w:t>
      </w:r>
      <w:r w:rsidRPr="002E554D">
        <w:rPr>
          <w:rFonts w:ascii="Garamond" w:eastAsia="Times New Roman" w:hAnsi="Garamond" w:cs="Calibri"/>
          <w:b/>
          <w:bCs/>
          <w:color w:val="FF0000"/>
          <w:sz w:val="24"/>
          <w:szCs w:val="24"/>
          <w:lang w:eastAsia="en-GB"/>
        </w:rPr>
        <w:t>selected indexes (data source: Thomson EIKON)</w:t>
      </w:r>
    </w:p>
    <w:tbl>
      <w:tblPr>
        <w:tblStyle w:val="PlainTable2"/>
        <w:tblW w:w="5000" w:type="pct"/>
        <w:tblLook w:val="04A0" w:firstRow="1" w:lastRow="0" w:firstColumn="1" w:lastColumn="0" w:noHBand="0" w:noVBand="1"/>
      </w:tblPr>
      <w:tblGrid>
        <w:gridCol w:w="3700"/>
        <w:gridCol w:w="1458"/>
        <w:gridCol w:w="1165"/>
        <w:gridCol w:w="1165"/>
        <w:gridCol w:w="1165"/>
        <w:gridCol w:w="1151"/>
        <w:gridCol w:w="1647"/>
        <w:gridCol w:w="1498"/>
        <w:gridCol w:w="1053"/>
      </w:tblGrid>
      <w:tr w:rsidR="002E554D" w:rsidRPr="002E554D" w14:paraId="50ABE3D9" w14:textId="77777777" w:rsidTr="009F12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2538D250" w14:textId="77777777" w:rsidR="002D42A8" w:rsidRPr="002E554D" w:rsidRDefault="002D42A8" w:rsidP="002D42A8">
            <w:pPr>
              <w:rPr>
                <w:rFonts w:ascii="Garamond" w:eastAsia="Times New Roman" w:hAnsi="Garamond" w:cs="Times New Roman"/>
                <w:color w:val="FF0000"/>
                <w:sz w:val="18"/>
                <w:szCs w:val="18"/>
                <w:lang w:val="en-GB" w:eastAsia="en-GB"/>
              </w:rPr>
            </w:pPr>
          </w:p>
        </w:tc>
        <w:tc>
          <w:tcPr>
            <w:tcW w:w="521" w:type="pct"/>
            <w:noWrap/>
            <w:hideMark/>
          </w:tcPr>
          <w:p w14:paraId="0FE910B8" w14:textId="77777777" w:rsidR="002D42A8" w:rsidRPr="002E554D" w:rsidRDefault="002D42A8" w:rsidP="002D42A8">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min</w:t>
            </w:r>
          </w:p>
        </w:tc>
        <w:tc>
          <w:tcPr>
            <w:tcW w:w="416" w:type="pct"/>
            <w:noWrap/>
            <w:hideMark/>
          </w:tcPr>
          <w:p w14:paraId="7B332B85" w14:textId="77777777" w:rsidR="002D42A8" w:rsidRPr="002E554D" w:rsidRDefault="002D42A8" w:rsidP="002D42A8">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max</w:t>
            </w:r>
          </w:p>
        </w:tc>
        <w:tc>
          <w:tcPr>
            <w:tcW w:w="416" w:type="pct"/>
            <w:noWrap/>
            <w:hideMark/>
          </w:tcPr>
          <w:p w14:paraId="751994DC" w14:textId="77777777" w:rsidR="002D42A8" w:rsidRPr="002E554D" w:rsidRDefault="002D42A8" w:rsidP="002D42A8">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median</w:t>
            </w:r>
          </w:p>
        </w:tc>
        <w:tc>
          <w:tcPr>
            <w:tcW w:w="416" w:type="pct"/>
            <w:noWrap/>
            <w:hideMark/>
          </w:tcPr>
          <w:p w14:paraId="7170AC63" w14:textId="77777777" w:rsidR="002D42A8" w:rsidRPr="002E554D" w:rsidRDefault="002D42A8" w:rsidP="002D42A8">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mean</w:t>
            </w:r>
          </w:p>
        </w:tc>
        <w:tc>
          <w:tcPr>
            <w:tcW w:w="411" w:type="pct"/>
            <w:noWrap/>
            <w:hideMark/>
          </w:tcPr>
          <w:p w14:paraId="0A924489" w14:textId="77777777" w:rsidR="002D42A8" w:rsidRPr="002E554D" w:rsidRDefault="002D42A8" w:rsidP="002D42A8">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proofErr w:type="spellStart"/>
            <w:proofErr w:type="gramStart"/>
            <w:r w:rsidRPr="002E554D">
              <w:rPr>
                <w:rFonts w:ascii="Garamond" w:eastAsia="Times New Roman" w:hAnsi="Garamond" w:cs="Calibri"/>
                <w:color w:val="FF0000"/>
                <w:sz w:val="18"/>
                <w:szCs w:val="18"/>
                <w:lang w:val="en-GB" w:eastAsia="en-GB"/>
              </w:rPr>
              <w:t>SE.mean</w:t>
            </w:r>
            <w:proofErr w:type="spellEnd"/>
            <w:proofErr w:type="gramEnd"/>
          </w:p>
        </w:tc>
        <w:tc>
          <w:tcPr>
            <w:tcW w:w="588" w:type="pct"/>
            <w:noWrap/>
            <w:hideMark/>
          </w:tcPr>
          <w:p w14:paraId="285BE4E8" w14:textId="77777777" w:rsidR="002D42A8" w:rsidRPr="002E554D" w:rsidRDefault="002D42A8" w:rsidP="002D42A8">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CI.mean.0.95</w:t>
            </w:r>
          </w:p>
        </w:tc>
        <w:tc>
          <w:tcPr>
            <w:tcW w:w="535" w:type="pct"/>
            <w:noWrap/>
            <w:hideMark/>
          </w:tcPr>
          <w:p w14:paraId="68696767" w14:textId="77777777" w:rsidR="002D42A8" w:rsidRPr="002E554D" w:rsidRDefault="002D42A8" w:rsidP="002D42A8">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var</w:t>
            </w:r>
          </w:p>
        </w:tc>
        <w:tc>
          <w:tcPr>
            <w:tcW w:w="376" w:type="pct"/>
            <w:noWrap/>
            <w:hideMark/>
          </w:tcPr>
          <w:p w14:paraId="2EB0D36E" w14:textId="77777777" w:rsidR="002D42A8" w:rsidRPr="002E554D" w:rsidRDefault="002D42A8" w:rsidP="002D42A8">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proofErr w:type="spellStart"/>
            <w:r w:rsidRPr="002E554D">
              <w:rPr>
                <w:rFonts w:ascii="Garamond" w:eastAsia="Times New Roman" w:hAnsi="Garamond" w:cs="Calibri"/>
                <w:color w:val="FF0000"/>
                <w:sz w:val="18"/>
                <w:szCs w:val="18"/>
                <w:lang w:val="en-GB" w:eastAsia="en-GB"/>
              </w:rPr>
              <w:t>std.dev</w:t>
            </w:r>
            <w:proofErr w:type="spellEnd"/>
          </w:p>
        </w:tc>
      </w:tr>
      <w:tr w:rsidR="002E554D" w:rsidRPr="002E554D" w14:paraId="6BDE50AF" w14:textId="77777777" w:rsidTr="009F12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6D50E135" w14:textId="77777777" w:rsidR="00E44E1E" w:rsidRPr="002E554D" w:rsidRDefault="00E44E1E" w:rsidP="00E44E1E">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 xml:space="preserve">S&amp;P 500 COMPOSITE </w:t>
            </w:r>
          </w:p>
        </w:tc>
        <w:tc>
          <w:tcPr>
            <w:tcW w:w="521" w:type="pct"/>
            <w:noWrap/>
            <w:hideMark/>
          </w:tcPr>
          <w:p w14:paraId="52DCA53D" w14:textId="1631225F" w:rsidR="00E44E1E" w:rsidRPr="002E554D" w:rsidRDefault="00E44E1E" w:rsidP="00E44E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2237.400</w:t>
            </w:r>
          </w:p>
        </w:tc>
        <w:tc>
          <w:tcPr>
            <w:tcW w:w="416" w:type="pct"/>
            <w:noWrap/>
            <w:hideMark/>
          </w:tcPr>
          <w:p w14:paraId="75BC0014" w14:textId="05203535" w:rsidR="00E44E1E" w:rsidRPr="002E554D" w:rsidRDefault="00E44E1E" w:rsidP="00E44E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4255.150</w:t>
            </w:r>
          </w:p>
        </w:tc>
        <w:tc>
          <w:tcPr>
            <w:tcW w:w="416" w:type="pct"/>
            <w:noWrap/>
            <w:hideMark/>
          </w:tcPr>
          <w:p w14:paraId="485C072F" w14:textId="57C4A720" w:rsidR="00E44E1E" w:rsidRPr="002E554D" w:rsidRDefault="00E44E1E" w:rsidP="00E44E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2976.740</w:t>
            </w:r>
          </w:p>
        </w:tc>
        <w:tc>
          <w:tcPr>
            <w:tcW w:w="416" w:type="pct"/>
            <w:noWrap/>
            <w:hideMark/>
          </w:tcPr>
          <w:p w14:paraId="0D8C8319" w14:textId="42ABE066" w:rsidR="00E44E1E" w:rsidRPr="002E554D" w:rsidRDefault="00E44E1E" w:rsidP="00E44E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3134.306</w:t>
            </w:r>
          </w:p>
        </w:tc>
        <w:tc>
          <w:tcPr>
            <w:tcW w:w="411" w:type="pct"/>
            <w:noWrap/>
            <w:hideMark/>
          </w:tcPr>
          <w:p w14:paraId="628E1492" w14:textId="007B4936" w:rsidR="00E44E1E" w:rsidRPr="002E554D" w:rsidRDefault="00E44E1E" w:rsidP="00E44E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15.824</w:t>
            </w:r>
          </w:p>
        </w:tc>
        <w:tc>
          <w:tcPr>
            <w:tcW w:w="588" w:type="pct"/>
            <w:noWrap/>
            <w:hideMark/>
          </w:tcPr>
          <w:p w14:paraId="7FB8119B" w14:textId="627D50E5" w:rsidR="00E44E1E" w:rsidRPr="002E554D" w:rsidRDefault="00E44E1E" w:rsidP="00E44E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31.060</w:t>
            </w:r>
          </w:p>
        </w:tc>
        <w:tc>
          <w:tcPr>
            <w:tcW w:w="535" w:type="pct"/>
            <w:noWrap/>
            <w:hideMark/>
          </w:tcPr>
          <w:p w14:paraId="53886F14" w14:textId="03E844FA" w:rsidR="00E44E1E" w:rsidRPr="002E554D" w:rsidRDefault="00E44E1E" w:rsidP="00E44E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207578.654</w:t>
            </w:r>
          </w:p>
        </w:tc>
        <w:tc>
          <w:tcPr>
            <w:tcW w:w="376" w:type="pct"/>
            <w:noWrap/>
            <w:hideMark/>
          </w:tcPr>
          <w:p w14:paraId="341A3133" w14:textId="37554D51" w:rsidR="00E44E1E" w:rsidRPr="002E554D" w:rsidRDefault="00E44E1E" w:rsidP="00E44E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455.608</w:t>
            </w:r>
          </w:p>
        </w:tc>
      </w:tr>
      <w:tr w:rsidR="002E554D" w:rsidRPr="002E554D" w14:paraId="05C503A1" w14:textId="77777777" w:rsidTr="009F1244">
        <w:trPr>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4ACA3DA3" w14:textId="77777777" w:rsidR="00E44E1E" w:rsidRPr="002E554D" w:rsidRDefault="00E44E1E" w:rsidP="00E44E1E">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DAX 30</w:t>
            </w:r>
          </w:p>
        </w:tc>
        <w:tc>
          <w:tcPr>
            <w:tcW w:w="521" w:type="pct"/>
            <w:noWrap/>
            <w:hideMark/>
          </w:tcPr>
          <w:p w14:paraId="4BAB7DFD" w14:textId="0404D474" w:rsidR="00E44E1E" w:rsidRPr="002E554D" w:rsidRDefault="00E44E1E" w:rsidP="00E44E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8441.710</w:t>
            </w:r>
          </w:p>
        </w:tc>
        <w:tc>
          <w:tcPr>
            <w:tcW w:w="416" w:type="pct"/>
            <w:noWrap/>
            <w:hideMark/>
          </w:tcPr>
          <w:p w14:paraId="0D0D42B5" w14:textId="4DAD1488" w:rsidR="00E44E1E" w:rsidRPr="002E554D" w:rsidRDefault="00E44E1E" w:rsidP="00E44E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15729.520</w:t>
            </w:r>
          </w:p>
        </w:tc>
        <w:tc>
          <w:tcPr>
            <w:tcW w:w="416" w:type="pct"/>
            <w:noWrap/>
            <w:hideMark/>
          </w:tcPr>
          <w:p w14:paraId="50C4CD87" w14:textId="154B88CB" w:rsidR="00E44E1E" w:rsidRPr="002E554D" w:rsidRDefault="00E44E1E" w:rsidP="00E44E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12526.720</w:t>
            </w:r>
          </w:p>
        </w:tc>
        <w:tc>
          <w:tcPr>
            <w:tcW w:w="416" w:type="pct"/>
            <w:noWrap/>
            <w:hideMark/>
          </w:tcPr>
          <w:p w14:paraId="290DA197" w14:textId="57EF1AC3" w:rsidR="00E44E1E" w:rsidRPr="002E554D" w:rsidRDefault="00E44E1E" w:rsidP="00E44E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12562.987</w:t>
            </w:r>
          </w:p>
        </w:tc>
        <w:tc>
          <w:tcPr>
            <w:tcW w:w="411" w:type="pct"/>
            <w:noWrap/>
            <w:hideMark/>
          </w:tcPr>
          <w:p w14:paraId="0AFCE6C4" w14:textId="2E9E7DAB" w:rsidR="00E44E1E" w:rsidRPr="002E554D" w:rsidRDefault="00E44E1E" w:rsidP="00E44E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43.901</w:t>
            </w:r>
          </w:p>
        </w:tc>
        <w:tc>
          <w:tcPr>
            <w:tcW w:w="588" w:type="pct"/>
            <w:noWrap/>
            <w:hideMark/>
          </w:tcPr>
          <w:p w14:paraId="232D9691" w14:textId="0DA42B80" w:rsidR="00E44E1E" w:rsidRPr="002E554D" w:rsidRDefault="00E44E1E" w:rsidP="00E44E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86.171</w:t>
            </w:r>
          </w:p>
        </w:tc>
        <w:tc>
          <w:tcPr>
            <w:tcW w:w="535" w:type="pct"/>
            <w:noWrap/>
            <w:hideMark/>
          </w:tcPr>
          <w:p w14:paraId="26F5F658" w14:textId="2FFCE68E" w:rsidR="00E44E1E" w:rsidRPr="002E554D" w:rsidRDefault="00E44E1E" w:rsidP="00E44E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1597756.470</w:t>
            </w:r>
          </w:p>
        </w:tc>
        <w:tc>
          <w:tcPr>
            <w:tcW w:w="376" w:type="pct"/>
            <w:noWrap/>
            <w:hideMark/>
          </w:tcPr>
          <w:p w14:paraId="44F85440" w14:textId="0135A366" w:rsidR="00E44E1E" w:rsidRPr="002E554D" w:rsidRDefault="00E44E1E" w:rsidP="00E44E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1264.024</w:t>
            </w:r>
          </w:p>
        </w:tc>
      </w:tr>
      <w:tr w:rsidR="002E554D" w:rsidRPr="002E554D" w14:paraId="2C529DC1" w14:textId="77777777" w:rsidTr="009F12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7228EBEF" w14:textId="77777777" w:rsidR="0085460C" w:rsidRPr="002E554D" w:rsidRDefault="0085460C" w:rsidP="0085460C">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 xml:space="preserve">DOW JONES COMPOSITE 65 STOCK AVE </w:t>
            </w:r>
          </w:p>
        </w:tc>
        <w:tc>
          <w:tcPr>
            <w:tcW w:w="521" w:type="pct"/>
            <w:noWrap/>
            <w:hideMark/>
          </w:tcPr>
          <w:p w14:paraId="26F035B9" w14:textId="7EBE12A7"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6100.310</w:t>
            </w:r>
          </w:p>
        </w:tc>
        <w:tc>
          <w:tcPr>
            <w:tcW w:w="416" w:type="pct"/>
            <w:noWrap/>
            <w:hideMark/>
          </w:tcPr>
          <w:p w14:paraId="6849C475" w14:textId="6193AAE4"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11738.220</w:t>
            </w:r>
          </w:p>
        </w:tc>
        <w:tc>
          <w:tcPr>
            <w:tcW w:w="416" w:type="pct"/>
            <w:noWrap/>
            <w:hideMark/>
          </w:tcPr>
          <w:p w14:paraId="7102BCEE" w14:textId="7186CEC7"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8774.090</w:t>
            </w:r>
          </w:p>
        </w:tc>
        <w:tc>
          <w:tcPr>
            <w:tcW w:w="416" w:type="pct"/>
            <w:noWrap/>
            <w:hideMark/>
          </w:tcPr>
          <w:p w14:paraId="1116DD0A" w14:textId="2BA051BC"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9012.327</w:t>
            </w:r>
          </w:p>
        </w:tc>
        <w:tc>
          <w:tcPr>
            <w:tcW w:w="411" w:type="pct"/>
            <w:noWrap/>
            <w:hideMark/>
          </w:tcPr>
          <w:p w14:paraId="352A95BC" w14:textId="1B0E3CF3"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34.908</w:t>
            </w:r>
          </w:p>
        </w:tc>
        <w:tc>
          <w:tcPr>
            <w:tcW w:w="588" w:type="pct"/>
            <w:noWrap/>
            <w:hideMark/>
          </w:tcPr>
          <w:p w14:paraId="3DBF239D" w14:textId="4E465A90"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68.519</w:t>
            </w:r>
          </w:p>
        </w:tc>
        <w:tc>
          <w:tcPr>
            <w:tcW w:w="535" w:type="pct"/>
            <w:noWrap/>
            <w:hideMark/>
          </w:tcPr>
          <w:p w14:paraId="68C62176" w14:textId="21ED036F"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1010196.919</w:t>
            </w:r>
          </w:p>
        </w:tc>
        <w:tc>
          <w:tcPr>
            <w:tcW w:w="376" w:type="pct"/>
            <w:noWrap/>
            <w:hideMark/>
          </w:tcPr>
          <w:p w14:paraId="13FEAD7F" w14:textId="2B3E4075"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1005.086</w:t>
            </w:r>
          </w:p>
        </w:tc>
      </w:tr>
      <w:tr w:rsidR="002E554D" w:rsidRPr="002E554D" w14:paraId="5F535DE7" w14:textId="77777777" w:rsidTr="009F1244">
        <w:trPr>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787ACCED" w14:textId="77777777" w:rsidR="0085460C" w:rsidRPr="002E554D" w:rsidRDefault="0085460C" w:rsidP="0085460C">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DOW JONES INDUSTRIALS</w:t>
            </w:r>
          </w:p>
        </w:tc>
        <w:tc>
          <w:tcPr>
            <w:tcW w:w="521" w:type="pct"/>
            <w:noWrap/>
            <w:hideMark/>
          </w:tcPr>
          <w:p w14:paraId="1A149BCF" w14:textId="1C914C87"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18591.930</w:t>
            </w:r>
          </w:p>
        </w:tc>
        <w:tc>
          <w:tcPr>
            <w:tcW w:w="416" w:type="pct"/>
            <w:noWrap/>
            <w:hideMark/>
          </w:tcPr>
          <w:p w14:paraId="23AA037B" w14:textId="4405BAAC"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34777.760</w:t>
            </w:r>
          </w:p>
        </w:tc>
        <w:tc>
          <w:tcPr>
            <w:tcW w:w="416" w:type="pct"/>
            <w:noWrap/>
            <w:hideMark/>
          </w:tcPr>
          <w:p w14:paraId="4C5450C3" w14:textId="1E9B15D7"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26492.210</w:t>
            </w:r>
          </w:p>
        </w:tc>
        <w:tc>
          <w:tcPr>
            <w:tcW w:w="416" w:type="pct"/>
            <w:noWrap/>
            <w:hideMark/>
          </w:tcPr>
          <w:p w14:paraId="59AB22D4" w14:textId="5AC851B1"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27181.654</w:t>
            </w:r>
          </w:p>
        </w:tc>
        <w:tc>
          <w:tcPr>
            <w:tcW w:w="411" w:type="pct"/>
            <w:noWrap/>
            <w:hideMark/>
          </w:tcPr>
          <w:p w14:paraId="1563FEA1" w14:textId="6ADCEDF0"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101.895</w:t>
            </w:r>
          </w:p>
        </w:tc>
        <w:tc>
          <w:tcPr>
            <w:tcW w:w="588" w:type="pct"/>
            <w:noWrap/>
            <w:hideMark/>
          </w:tcPr>
          <w:p w14:paraId="382C1146" w14:textId="1307C038"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200.004</w:t>
            </w:r>
          </w:p>
        </w:tc>
        <w:tc>
          <w:tcPr>
            <w:tcW w:w="535" w:type="pct"/>
            <w:noWrap/>
            <w:hideMark/>
          </w:tcPr>
          <w:p w14:paraId="0D9F7968" w14:textId="002061EB"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8607250.583</w:t>
            </w:r>
          </w:p>
        </w:tc>
        <w:tc>
          <w:tcPr>
            <w:tcW w:w="376" w:type="pct"/>
            <w:noWrap/>
            <w:hideMark/>
          </w:tcPr>
          <w:p w14:paraId="3A014F7E" w14:textId="77A569A6"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2933.812</w:t>
            </w:r>
          </w:p>
        </w:tc>
      </w:tr>
      <w:tr w:rsidR="002E554D" w:rsidRPr="002E554D" w14:paraId="6A5827DC" w14:textId="77777777" w:rsidTr="009F12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1C464B8D" w14:textId="77777777" w:rsidR="0085460C" w:rsidRPr="002E554D" w:rsidRDefault="0085460C" w:rsidP="0085460C">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 xml:space="preserve">EURO STOXX </w:t>
            </w:r>
          </w:p>
        </w:tc>
        <w:tc>
          <w:tcPr>
            <w:tcW w:w="521" w:type="pct"/>
            <w:noWrap/>
            <w:hideMark/>
          </w:tcPr>
          <w:p w14:paraId="4FCD1186" w14:textId="33C590E0"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261.534</w:t>
            </w:r>
          </w:p>
        </w:tc>
        <w:tc>
          <w:tcPr>
            <w:tcW w:w="416" w:type="pct"/>
            <w:noWrap/>
            <w:hideMark/>
          </w:tcPr>
          <w:p w14:paraId="09262F74" w14:textId="4D3FA150"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459.798</w:t>
            </w:r>
          </w:p>
        </w:tc>
        <w:tc>
          <w:tcPr>
            <w:tcW w:w="416" w:type="pct"/>
            <w:noWrap/>
            <w:hideMark/>
          </w:tcPr>
          <w:p w14:paraId="18F72C97" w14:textId="6183E555"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377.464</w:t>
            </w:r>
          </w:p>
        </w:tc>
        <w:tc>
          <w:tcPr>
            <w:tcW w:w="416" w:type="pct"/>
            <w:noWrap/>
            <w:hideMark/>
          </w:tcPr>
          <w:p w14:paraId="5D766037" w14:textId="0CB0A000"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376.756</w:t>
            </w:r>
          </w:p>
        </w:tc>
        <w:tc>
          <w:tcPr>
            <w:tcW w:w="411" w:type="pct"/>
            <w:noWrap/>
            <w:hideMark/>
          </w:tcPr>
          <w:p w14:paraId="21560323" w14:textId="0EAB7A87"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1.148</w:t>
            </w:r>
          </w:p>
        </w:tc>
        <w:tc>
          <w:tcPr>
            <w:tcW w:w="588" w:type="pct"/>
            <w:noWrap/>
            <w:hideMark/>
          </w:tcPr>
          <w:p w14:paraId="7BC3116E" w14:textId="00AC5720"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2.253</w:t>
            </w:r>
          </w:p>
        </w:tc>
        <w:tc>
          <w:tcPr>
            <w:tcW w:w="535" w:type="pct"/>
            <w:noWrap/>
            <w:hideMark/>
          </w:tcPr>
          <w:p w14:paraId="0580A040" w14:textId="36106646"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1091.968</w:t>
            </w:r>
          </w:p>
        </w:tc>
        <w:tc>
          <w:tcPr>
            <w:tcW w:w="376" w:type="pct"/>
            <w:noWrap/>
            <w:hideMark/>
          </w:tcPr>
          <w:p w14:paraId="32907152" w14:textId="113C9EA8"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33.045</w:t>
            </w:r>
          </w:p>
        </w:tc>
      </w:tr>
      <w:tr w:rsidR="002E554D" w:rsidRPr="002E554D" w14:paraId="75726F82" w14:textId="77777777" w:rsidTr="009F1244">
        <w:trPr>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52FE114A" w14:textId="77777777" w:rsidR="0085460C" w:rsidRPr="002E554D" w:rsidRDefault="0085460C" w:rsidP="0085460C">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 xml:space="preserve">EURO STOXX 50 </w:t>
            </w:r>
          </w:p>
        </w:tc>
        <w:tc>
          <w:tcPr>
            <w:tcW w:w="521" w:type="pct"/>
            <w:noWrap/>
            <w:hideMark/>
          </w:tcPr>
          <w:p w14:paraId="77EA3313" w14:textId="42C8363E"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2385.823</w:t>
            </w:r>
          </w:p>
        </w:tc>
        <w:tc>
          <w:tcPr>
            <w:tcW w:w="416" w:type="pct"/>
            <w:noWrap/>
            <w:hideMark/>
          </w:tcPr>
          <w:p w14:paraId="6EB64F05" w14:textId="45407370"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4158.137</w:t>
            </w:r>
          </w:p>
        </w:tc>
        <w:tc>
          <w:tcPr>
            <w:tcW w:w="416" w:type="pct"/>
            <w:noWrap/>
            <w:hideMark/>
          </w:tcPr>
          <w:p w14:paraId="63025B0A" w14:textId="1E551BFE"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3432.536</w:t>
            </w:r>
          </w:p>
        </w:tc>
        <w:tc>
          <w:tcPr>
            <w:tcW w:w="416" w:type="pct"/>
            <w:noWrap/>
            <w:hideMark/>
          </w:tcPr>
          <w:p w14:paraId="6C6B81F2" w14:textId="4FF7654D"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3426.287</w:t>
            </w:r>
          </w:p>
        </w:tc>
        <w:tc>
          <w:tcPr>
            <w:tcW w:w="411" w:type="pct"/>
            <w:noWrap/>
            <w:hideMark/>
          </w:tcPr>
          <w:p w14:paraId="73650FA8" w14:textId="5CBFB344"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10.348</w:t>
            </w:r>
          </w:p>
        </w:tc>
        <w:tc>
          <w:tcPr>
            <w:tcW w:w="588" w:type="pct"/>
            <w:noWrap/>
            <w:hideMark/>
          </w:tcPr>
          <w:p w14:paraId="07168BDB" w14:textId="46DFF990"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20.311</w:t>
            </w:r>
          </w:p>
        </w:tc>
        <w:tc>
          <w:tcPr>
            <w:tcW w:w="535" w:type="pct"/>
            <w:noWrap/>
            <w:hideMark/>
          </w:tcPr>
          <w:p w14:paraId="070012B9" w14:textId="58FA3376"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88769.906</w:t>
            </w:r>
          </w:p>
        </w:tc>
        <w:tc>
          <w:tcPr>
            <w:tcW w:w="376" w:type="pct"/>
            <w:noWrap/>
            <w:hideMark/>
          </w:tcPr>
          <w:p w14:paraId="28DB0598" w14:textId="2129062A"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297.943</w:t>
            </w:r>
          </w:p>
        </w:tc>
      </w:tr>
      <w:tr w:rsidR="002E554D" w:rsidRPr="002E554D" w14:paraId="447B5190" w14:textId="77777777" w:rsidTr="009F12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422CBF85" w14:textId="77777777" w:rsidR="0085460C" w:rsidRPr="002E554D" w:rsidRDefault="0085460C" w:rsidP="0085460C">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 xml:space="preserve">FRANCE CAC 40 </w:t>
            </w:r>
          </w:p>
        </w:tc>
        <w:tc>
          <w:tcPr>
            <w:tcW w:w="521" w:type="pct"/>
            <w:noWrap/>
            <w:hideMark/>
          </w:tcPr>
          <w:p w14:paraId="49BC1D5E" w14:textId="3D87AE78"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3754.840</w:t>
            </w:r>
          </w:p>
        </w:tc>
        <w:tc>
          <w:tcPr>
            <w:tcW w:w="416" w:type="pct"/>
            <w:noWrap/>
            <w:hideMark/>
          </w:tcPr>
          <w:p w14:paraId="50BF8700" w14:textId="57090631"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6666.260</w:t>
            </w:r>
          </w:p>
        </w:tc>
        <w:tc>
          <w:tcPr>
            <w:tcW w:w="416" w:type="pct"/>
            <w:noWrap/>
            <w:hideMark/>
          </w:tcPr>
          <w:p w14:paraId="5EAADB66" w14:textId="6C4D30D7"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5426.410</w:t>
            </w:r>
          </w:p>
        </w:tc>
        <w:tc>
          <w:tcPr>
            <w:tcW w:w="416" w:type="pct"/>
            <w:noWrap/>
            <w:hideMark/>
          </w:tcPr>
          <w:p w14:paraId="5BAFAE12" w14:textId="0342EEA8"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5383.664</w:t>
            </w:r>
          </w:p>
        </w:tc>
        <w:tc>
          <w:tcPr>
            <w:tcW w:w="411" w:type="pct"/>
            <w:noWrap/>
            <w:hideMark/>
          </w:tcPr>
          <w:p w14:paraId="7DB5D675" w14:textId="249611AF"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17.397</w:t>
            </w:r>
          </w:p>
        </w:tc>
        <w:tc>
          <w:tcPr>
            <w:tcW w:w="588" w:type="pct"/>
            <w:noWrap/>
            <w:hideMark/>
          </w:tcPr>
          <w:p w14:paraId="43F13240" w14:textId="76700BF9"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34.148</w:t>
            </w:r>
          </w:p>
        </w:tc>
        <w:tc>
          <w:tcPr>
            <w:tcW w:w="535" w:type="pct"/>
            <w:noWrap/>
            <w:hideMark/>
          </w:tcPr>
          <w:p w14:paraId="1721A2E2" w14:textId="5DFAA86F"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250903.330</w:t>
            </w:r>
          </w:p>
        </w:tc>
        <w:tc>
          <w:tcPr>
            <w:tcW w:w="376" w:type="pct"/>
            <w:noWrap/>
            <w:hideMark/>
          </w:tcPr>
          <w:p w14:paraId="00728595" w14:textId="0914C23F"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500.903</w:t>
            </w:r>
          </w:p>
        </w:tc>
      </w:tr>
      <w:tr w:rsidR="002E554D" w:rsidRPr="002E554D" w14:paraId="1C086BE7" w14:textId="77777777" w:rsidTr="009F1244">
        <w:trPr>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49F4D023" w14:textId="77777777" w:rsidR="0085460C" w:rsidRPr="002E554D" w:rsidRDefault="0085460C" w:rsidP="0085460C">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FTSE 100</w:t>
            </w:r>
          </w:p>
        </w:tc>
        <w:tc>
          <w:tcPr>
            <w:tcW w:w="521" w:type="pct"/>
            <w:noWrap/>
            <w:hideMark/>
          </w:tcPr>
          <w:p w14:paraId="4FE1B750" w14:textId="6F3A997D"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4993.890</w:t>
            </w:r>
          </w:p>
        </w:tc>
        <w:tc>
          <w:tcPr>
            <w:tcW w:w="416" w:type="pct"/>
            <w:noWrap/>
            <w:hideMark/>
          </w:tcPr>
          <w:p w14:paraId="214267C8" w14:textId="66E39121"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7877.450</w:t>
            </w:r>
          </w:p>
        </w:tc>
        <w:tc>
          <w:tcPr>
            <w:tcW w:w="416" w:type="pct"/>
            <w:noWrap/>
            <w:hideMark/>
          </w:tcPr>
          <w:p w14:paraId="0B9436D5" w14:textId="1270214C"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7088.180</w:t>
            </w:r>
          </w:p>
        </w:tc>
        <w:tc>
          <w:tcPr>
            <w:tcW w:w="416" w:type="pct"/>
            <w:noWrap/>
            <w:hideMark/>
          </w:tcPr>
          <w:p w14:paraId="50082E51" w14:textId="69422EE9"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6915.715</w:t>
            </w:r>
          </w:p>
        </w:tc>
        <w:tc>
          <w:tcPr>
            <w:tcW w:w="411" w:type="pct"/>
            <w:noWrap/>
            <w:hideMark/>
          </w:tcPr>
          <w:p w14:paraId="64E5C851" w14:textId="67DF1D4D"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21.271</w:t>
            </w:r>
          </w:p>
        </w:tc>
        <w:tc>
          <w:tcPr>
            <w:tcW w:w="588" w:type="pct"/>
            <w:noWrap/>
            <w:hideMark/>
          </w:tcPr>
          <w:p w14:paraId="5E42C508" w14:textId="7C8CEB01"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41.751</w:t>
            </w:r>
          </w:p>
        </w:tc>
        <w:tc>
          <w:tcPr>
            <w:tcW w:w="535" w:type="pct"/>
            <w:noWrap/>
            <w:hideMark/>
          </w:tcPr>
          <w:p w14:paraId="428DBC8A" w14:textId="0CADD20C"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375082.154</w:t>
            </w:r>
          </w:p>
        </w:tc>
        <w:tc>
          <w:tcPr>
            <w:tcW w:w="376" w:type="pct"/>
            <w:noWrap/>
            <w:hideMark/>
          </w:tcPr>
          <w:p w14:paraId="5286E4E8" w14:textId="0B2E1B2B" w:rsidR="0085460C" w:rsidRPr="002E554D" w:rsidRDefault="0085460C" w:rsidP="0085460C">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612.440</w:t>
            </w:r>
          </w:p>
        </w:tc>
      </w:tr>
      <w:tr w:rsidR="002E554D" w:rsidRPr="002E554D" w14:paraId="2022925B" w14:textId="77777777" w:rsidTr="009F12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0A204BAC" w14:textId="77777777" w:rsidR="0085460C" w:rsidRPr="002E554D" w:rsidRDefault="0085460C" w:rsidP="0085460C">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 xml:space="preserve">FTSE 250 </w:t>
            </w:r>
          </w:p>
        </w:tc>
        <w:tc>
          <w:tcPr>
            <w:tcW w:w="521" w:type="pct"/>
            <w:noWrap/>
            <w:hideMark/>
          </w:tcPr>
          <w:p w14:paraId="1403B54B" w14:textId="41E3EF61"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12829.700</w:t>
            </w:r>
          </w:p>
        </w:tc>
        <w:tc>
          <w:tcPr>
            <w:tcW w:w="416" w:type="pct"/>
            <w:noWrap/>
            <w:hideMark/>
          </w:tcPr>
          <w:p w14:paraId="6D4EAD60" w14:textId="58CB29B1"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22933.290</w:t>
            </w:r>
          </w:p>
        </w:tc>
        <w:tc>
          <w:tcPr>
            <w:tcW w:w="416" w:type="pct"/>
            <w:noWrap/>
            <w:hideMark/>
          </w:tcPr>
          <w:p w14:paraId="7E5E1F60" w14:textId="1BA4D08C"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19666.520</w:t>
            </w:r>
          </w:p>
        </w:tc>
        <w:tc>
          <w:tcPr>
            <w:tcW w:w="416" w:type="pct"/>
            <w:noWrap/>
            <w:hideMark/>
          </w:tcPr>
          <w:p w14:paraId="7BE6AE77" w14:textId="09D06785"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19516.244</w:t>
            </w:r>
          </w:p>
        </w:tc>
        <w:tc>
          <w:tcPr>
            <w:tcW w:w="411" w:type="pct"/>
            <w:noWrap/>
            <w:hideMark/>
          </w:tcPr>
          <w:p w14:paraId="5BC01087" w14:textId="36DFA1B2"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62.763</w:t>
            </w:r>
          </w:p>
        </w:tc>
        <w:tc>
          <w:tcPr>
            <w:tcW w:w="588" w:type="pct"/>
            <w:noWrap/>
            <w:hideMark/>
          </w:tcPr>
          <w:p w14:paraId="7246EA46" w14:textId="24090697"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123.192</w:t>
            </w:r>
          </w:p>
        </w:tc>
        <w:tc>
          <w:tcPr>
            <w:tcW w:w="535" w:type="pct"/>
            <w:noWrap/>
            <w:hideMark/>
          </w:tcPr>
          <w:p w14:paraId="25967A77" w14:textId="26D626EE"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3265545.295</w:t>
            </w:r>
          </w:p>
        </w:tc>
        <w:tc>
          <w:tcPr>
            <w:tcW w:w="376" w:type="pct"/>
            <w:noWrap/>
            <w:hideMark/>
          </w:tcPr>
          <w:p w14:paraId="18E4E499" w14:textId="1C18A3FB" w:rsidR="0085460C" w:rsidRPr="002E554D" w:rsidRDefault="0085460C" w:rsidP="0085460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1807.082</w:t>
            </w:r>
          </w:p>
        </w:tc>
      </w:tr>
      <w:tr w:rsidR="002E554D" w:rsidRPr="002E554D" w14:paraId="59377C77" w14:textId="77777777" w:rsidTr="009F1244">
        <w:trPr>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69557F8D" w14:textId="77777777" w:rsidR="00746F9E" w:rsidRPr="002E554D" w:rsidRDefault="00746F9E" w:rsidP="00746F9E">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ISRAEL TA 125</w:t>
            </w:r>
          </w:p>
        </w:tc>
        <w:tc>
          <w:tcPr>
            <w:tcW w:w="521" w:type="pct"/>
            <w:noWrap/>
            <w:hideMark/>
          </w:tcPr>
          <w:p w14:paraId="100B43E7" w14:textId="439F7635"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1105.950</w:t>
            </w:r>
          </w:p>
        </w:tc>
        <w:tc>
          <w:tcPr>
            <w:tcW w:w="416" w:type="pct"/>
            <w:noWrap/>
            <w:hideMark/>
          </w:tcPr>
          <w:p w14:paraId="1B38BC2D" w14:textId="66567544"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1783.210</w:t>
            </w:r>
          </w:p>
        </w:tc>
        <w:tc>
          <w:tcPr>
            <w:tcW w:w="416" w:type="pct"/>
            <w:noWrap/>
            <w:hideMark/>
          </w:tcPr>
          <w:p w14:paraId="6A97DA38" w14:textId="58E89207"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1459.580</w:t>
            </w:r>
          </w:p>
        </w:tc>
        <w:tc>
          <w:tcPr>
            <w:tcW w:w="416" w:type="pct"/>
            <w:noWrap/>
            <w:hideMark/>
          </w:tcPr>
          <w:p w14:paraId="5E9B884F" w14:textId="7034EB52"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1481.907</w:t>
            </w:r>
          </w:p>
        </w:tc>
        <w:tc>
          <w:tcPr>
            <w:tcW w:w="411" w:type="pct"/>
            <w:noWrap/>
            <w:hideMark/>
          </w:tcPr>
          <w:p w14:paraId="0FC9231B" w14:textId="3488E6EB"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4.251</w:t>
            </w:r>
          </w:p>
        </w:tc>
        <w:tc>
          <w:tcPr>
            <w:tcW w:w="588" w:type="pct"/>
            <w:noWrap/>
            <w:hideMark/>
          </w:tcPr>
          <w:p w14:paraId="32548592" w14:textId="0702E752"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8.344</w:t>
            </w:r>
          </w:p>
        </w:tc>
        <w:tc>
          <w:tcPr>
            <w:tcW w:w="535" w:type="pct"/>
            <w:noWrap/>
            <w:hideMark/>
          </w:tcPr>
          <w:p w14:paraId="6F9505CE" w14:textId="2A122446"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14980.940</w:t>
            </w:r>
          </w:p>
        </w:tc>
        <w:tc>
          <w:tcPr>
            <w:tcW w:w="376" w:type="pct"/>
            <w:noWrap/>
            <w:hideMark/>
          </w:tcPr>
          <w:p w14:paraId="430CB2E3" w14:textId="2D9DEDBC"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122.397</w:t>
            </w:r>
          </w:p>
        </w:tc>
      </w:tr>
      <w:tr w:rsidR="002E554D" w:rsidRPr="002E554D" w14:paraId="295E548E" w14:textId="77777777" w:rsidTr="009F12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40AEBE71" w14:textId="77777777" w:rsidR="00746F9E" w:rsidRPr="002E554D" w:rsidRDefault="00746F9E" w:rsidP="00746F9E">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IBEX 35</w:t>
            </w:r>
          </w:p>
        </w:tc>
        <w:tc>
          <w:tcPr>
            <w:tcW w:w="521" w:type="pct"/>
            <w:noWrap/>
            <w:hideMark/>
          </w:tcPr>
          <w:p w14:paraId="0ACCCD65" w14:textId="60B03680" w:rsidR="00746F9E" w:rsidRPr="002E554D" w:rsidRDefault="00746F9E" w:rsidP="00746F9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6107.200</w:t>
            </w:r>
          </w:p>
        </w:tc>
        <w:tc>
          <w:tcPr>
            <w:tcW w:w="416" w:type="pct"/>
            <w:noWrap/>
            <w:hideMark/>
          </w:tcPr>
          <w:p w14:paraId="6DF05516" w14:textId="07977611" w:rsidR="00746F9E" w:rsidRPr="002E554D" w:rsidRDefault="00746F9E" w:rsidP="00746F9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10271.400</w:t>
            </w:r>
          </w:p>
        </w:tc>
        <w:tc>
          <w:tcPr>
            <w:tcW w:w="416" w:type="pct"/>
            <w:noWrap/>
            <w:hideMark/>
          </w:tcPr>
          <w:p w14:paraId="37FD0C14" w14:textId="07A88399" w:rsidR="00746F9E" w:rsidRPr="002E554D" w:rsidRDefault="00746F9E" w:rsidP="00746F9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9030.600</w:t>
            </w:r>
          </w:p>
        </w:tc>
        <w:tc>
          <w:tcPr>
            <w:tcW w:w="416" w:type="pct"/>
            <w:noWrap/>
            <w:hideMark/>
          </w:tcPr>
          <w:p w14:paraId="01C52214" w14:textId="6B8A567F" w:rsidR="00746F9E" w:rsidRPr="002E554D" w:rsidRDefault="00746F9E" w:rsidP="00746F9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8657.644</w:t>
            </w:r>
          </w:p>
        </w:tc>
        <w:tc>
          <w:tcPr>
            <w:tcW w:w="411" w:type="pct"/>
            <w:noWrap/>
            <w:hideMark/>
          </w:tcPr>
          <w:p w14:paraId="02B8FF55" w14:textId="6F45292A" w:rsidR="00746F9E" w:rsidRPr="002E554D" w:rsidRDefault="00746F9E" w:rsidP="00746F9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34.679</w:t>
            </w:r>
          </w:p>
        </w:tc>
        <w:tc>
          <w:tcPr>
            <w:tcW w:w="588" w:type="pct"/>
            <w:noWrap/>
            <w:hideMark/>
          </w:tcPr>
          <w:p w14:paraId="0E281DDA" w14:textId="4F81EB4F" w:rsidR="00746F9E" w:rsidRPr="002E554D" w:rsidRDefault="00746F9E" w:rsidP="00746F9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68.069</w:t>
            </w:r>
          </w:p>
        </w:tc>
        <w:tc>
          <w:tcPr>
            <w:tcW w:w="535" w:type="pct"/>
            <w:noWrap/>
            <w:hideMark/>
          </w:tcPr>
          <w:p w14:paraId="340DE0A0" w14:textId="4B0483EF" w:rsidR="00746F9E" w:rsidRPr="002E554D" w:rsidRDefault="00746F9E" w:rsidP="00746F9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996993.172</w:t>
            </w:r>
          </w:p>
        </w:tc>
        <w:tc>
          <w:tcPr>
            <w:tcW w:w="376" w:type="pct"/>
            <w:noWrap/>
            <w:hideMark/>
          </w:tcPr>
          <w:p w14:paraId="136F2154" w14:textId="2B38609D" w:rsidR="00746F9E" w:rsidRPr="002E554D" w:rsidRDefault="00746F9E" w:rsidP="00746F9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998.495</w:t>
            </w:r>
          </w:p>
        </w:tc>
      </w:tr>
      <w:tr w:rsidR="002E554D" w:rsidRPr="002E554D" w14:paraId="41CF7121" w14:textId="77777777" w:rsidTr="009F1244">
        <w:trPr>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22DE988A" w14:textId="77777777" w:rsidR="00746F9E" w:rsidRPr="002E554D" w:rsidRDefault="00746F9E" w:rsidP="00746F9E">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 xml:space="preserve">NASDAQ 100 </w:t>
            </w:r>
          </w:p>
        </w:tc>
        <w:tc>
          <w:tcPr>
            <w:tcW w:w="521" w:type="pct"/>
            <w:noWrap/>
            <w:hideMark/>
          </w:tcPr>
          <w:p w14:paraId="508EAE83" w14:textId="6E2BF163"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5899.350</w:t>
            </w:r>
          </w:p>
        </w:tc>
        <w:tc>
          <w:tcPr>
            <w:tcW w:w="416" w:type="pct"/>
            <w:noWrap/>
            <w:hideMark/>
          </w:tcPr>
          <w:p w14:paraId="0CC9C344" w14:textId="55FF7EC4"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14163.810</w:t>
            </w:r>
          </w:p>
        </w:tc>
        <w:tc>
          <w:tcPr>
            <w:tcW w:w="416" w:type="pct"/>
            <w:noWrap/>
            <w:hideMark/>
          </w:tcPr>
          <w:p w14:paraId="3354BBDB" w14:textId="6475866F"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8006.120</w:t>
            </w:r>
          </w:p>
        </w:tc>
        <w:tc>
          <w:tcPr>
            <w:tcW w:w="416" w:type="pct"/>
            <w:noWrap/>
            <w:hideMark/>
          </w:tcPr>
          <w:p w14:paraId="54B78438" w14:textId="77C94C5C"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9185.338</w:t>
            </w:r>
          </w:p>
        </w:tc>
        <w:tc>
          <w:tcPr>
            <w:tcW w:w="411" w:type="pct"/>
            <w:noWrap/>
            <w:hideMark/>
          </w:tcPr>
          <w:p w14:paraId="1F583302" w14:textId="4BCA5DB4"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82.096</w:t>
            </w:r>
          </w:p>
        </w:tc>
        <w:tc>
          <w:tcPr>
            <w:tcW w:w="588" w:type="pct"/>
            <w:noWrap/>
            <w:hideMark/>
          </w:tcPr>
          <w:p w14:paraId="15A9A554" w14:textId="2BED11C5"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161.140</w:t>
            </w:r>
          </w:p>
        </w:tc>
        <w:tc>
          <w:tcPr>
            <w:tcW w:w="535" w:type="pct"/>
            <w:noWrap/>
            <w:hideMark/>
          </w:tcPr>
          <w:p w14:paraId="28383393" w14:textId="75ABFF0E"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5587211.983</w:t>
            </w:r>
          </w:p>
        </w:tc>
        <w:tc>
          <w:tcPr>
            <w:tcW w:w="376" w:type="pct"/>
            <w:noWrap/>
            <w:hideMark/>
          </w:tcPr>
          <w:p w14:paraId="0F1F60C0" w14:textId="49C6E09A" w:rsidR="00746F9E" w:rsidRPr="002E554D" w:rsidRDefault="00746F9E" w:rsidP="00746F9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2363.728</w:t>
            </w:r>
          </w:p>
        </w:tc>
      </w:tr>
      <w:tr w:rsidR="002E554D" w:rsidRPr="002E554D" w14:paraId="06996067" w14:textId="77777777" w:rsidTr="009F12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4E33CE7D" w14:textId="77777777" w:rsidR="009F1244" w:rsidRPr="002E554D" w:rsidRDefault="009F1244" w:rsidP="009F1244">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NASDAQ COMPOSITE</w:t>
            </w:r>
          </w:p>
        </w:tc>
        <w:tc>
          <w:tcPr>
            <w:tcW w:w="521" w:type="pct"/>
            <w:noWrap/>
            <w:hideMark/>
          </w:tcPr>
          <w:p w14:paraId="34856089" w14:textId="0F50B973"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9.630</w:t>
            </w:r>
          </w:p>
        </w:tc>
        <w:tc>
          <w:tcPr>
            <w:tcW w:w="416" w:type="pct"/>
            <w:noWrap/>
            <w:hideMark/>
          </w:tcPr>
          <w:p w14:paraId="7BD53A6A" w14:textId="0EF325EE"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8164.000</w:t>
            </w:r>
          </w:p>
        </w:tc>
        <w:tc>
          <w:tcPr>
            <w:tcW w:w="416" w:type="pct"/>
            <w:noWrap/>
            <w:hideMark/>
          </w:tcPr>
          <w:p w14:paraId="3E2EDBC2" w14:textId="0741D6E7"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46.320</w:t>
            </w:r>
          </w:p>
        </w:tc>
        <w:tc>
          <w:tcPr>
            <w:tcW w:w="416" w:type="pct"/>
            <w:noWrap/>
            <w:hideMark/>
          </w:tcPr>
          <w:p w14:paraId="26B18702" w14:textId="77D394F0"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2790.281</w:t>
            </w:r>
          </w:p>
        </w:tc>
        <w:tc>
          <w:tcPr>
            <w:tcW w:w="411" w:type="pct"/>
            <w:noWrap/>
            <w:hideMark/>
          </w:tcPr>
          <w:p w14:paraId="03950FED" w14:textId="777C8B47"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125.937</w:t>
            </w:r>
          </w:p>
        </w:tc>
        <w:tc>
          <w:tcPr>
            <w:tcW w:w="588" w:type="pct"/>
            <w:noWrap/>
            <w:hideMark/>
          </w:tcPr>
          <w:p w14:paraId="0890B36B" w14:textId="6EF2F07B"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247.193</w:t>
            </w:r>
          </w:p>
        </w:tc>
        <w:tc>
          <w:tcPr>
            <w:tcW w:w="535" w:type="pct"/>
            <w:noWrap/>
            <w:hideMark/>
          </w:tcPr>
          <w:p w14:paraId="323FCBD1" w14:textId="2489627E"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13148030.794</w:t>
            </w:r>
          </w:p>
        </w:tc>
        <w:tc>
          <w:tcPr>
            <w:tcW w:w="376" w:type="pct"/>
            <w:noWrap/>
            <w:hideMark/>
          </w:tcPr>
          <w:p w14:paraId="547AD064" w14:textId="66773BC6"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3626.021</w:t>
            </w:r>
          </w:p>
        </w:tc>
      </w:tr>
      <w:tr w:rsidR="002E554D" w:rsidRPr="002E554D" w14:paraId="499F3E00" w14:textId="77777777" w:rsidTr="009F1244">
        <w:trPr>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4513FB40" w14:textId="77777777" w:rsidR="009F1244" w:rsidRPr="002E554D" w:rsidRDefault="009F1244" w:rsidP="009F1244">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 xml:space="preserve">NIKKEI 225 STOCK AVERAGE </w:t>
            </w:r>
          </w:p>
        </w:tc>
        <w:tc>
          <w:tcPr>
            <w:tcW w:w="521" w:type="pct"/>
            <w:noWrap/>
            <w:hideMark/>
          </w:tcPr>
          <w:p w14:paraId="2A9AAA0E" w14:textId="4C7F4BD5" w:rsidR="009F1244" w:rsidRPr="002E554D" w:rsidRDefault="009F1244" w:rsidP="009F124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16552.830</w:t>
            </w:r>
          </w:p>
        </w:tc>
        <w:tc>
          <w:tcPr>
            <w:tcW w:w="416" w:type="pct"/>
            <w:noWrap/>
            <w:hideMark/>
          </w:tcPr>
          <w:p w14:paraId="0A7AB2D5" w14:textId="1D525C41" w:rsidR="009F1244" w:rsidRPr="002E554D" w:rsidRDefault="009F1244" w:rsidP="009F124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30467.750</w:t>
            </w:r>
          </w:p>
        </w:tc>
        <w:tc>
          <w:tcPr>
            <w:tcW w:w="416" w:type="pct"/>
            <w:noWrap/>
            <w:hideMark/>
          </w:tcPr>
          <w:p w14:paraId="202B3D65" w14:textId="3F59E41B" w:rsidR="009F1244" w:rsidRPr="002E554D" w:rsidRDefault="009F1244" w:rsidP="009F124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22532.080</w:t>
            </w:r>
          </w:p>
        </w:tc>
        <w:tc>
          <w:tcPr>
            <w:tcW w:w="416" w:type="pct"/>
            <w:noWrap/>
            <w:hideMark/>
          </w:tcPr>
          <w:p w14:paraId="35DEFF05" w14:textId="26C202EA" w:rsidR="009F1244" w:rsidRPr="002E554D" w:rsidRDefault="009F1244" w:rsidP="009F124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23219.999</w:t>
            </w:r>
          </w:p>
        </w:tc>
        <w:tc>
          <w:tcPr>
            <w:tcW w:w="411" w:type="pct"/>
            <w:noWrap/>
            <w:hideMark/>
          </w:tcPr>
          <w:p w14:paraId="46EA268D" w14:textId="3B7E9FC9" w:rsidR="009F1244" w:rsidRPr="002E554D" w:rsidRDefault="009F1244" w:rsidP="009F124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98.762</w:t>
            </w:r>
          </w:p>
        </w:tc>
        <w:tc>
          <w:tcPr>
            <w:tcW w:w="588" w:type="pct"/>
            <w:noWrap/>
            <w:hideMark/>
          </w:tcPr>
          <w:p w14:paraId="1FD5D0DB" w14:textId="2ED7A80B" w:rsidR="009F1244" w:rsidRPr="002E554D" w:rsidRDefault="009F1244" w:rsidP="009F124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193.854</w:t>
            </w:r>
          </w:p>
        </w:tc>
        <w:tc>
          <w:tcPr>
            <w:tcW w:w="535" w:type="pct"/>
            <w:noWrap/>
            <w:hideMark/>
          </w:tcPr>
          <w:p w14:paraId="68BA2F08" w14:textId="6844E0D9" w:rsidR="009F1244" w:rsidRPr="002E554D" w:rsidRDefault="009F1244" w:rsidP="009F124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8086030.177</w:t>
            </w:r>
          </w:p>
        </w:tc>
        <w:tc>
          <w:tcPr>
            <w:tcW w:w="376" w:type="pct"/>
            <w:noWrap/>
            <w:hideMark/>
          </w:tcPr>
          <w:p w14:paraId="49AB3F11" w14:textId="131CE3B4" w:rsidR="009F1244" w:rsidRPr="002E554D" w:rsidRDefault="009F1244" w:rsidP="009F124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2843.595</w:t>
            </w:r>
          </w:p>
        </w:tc>
      </w:tr>
      <w:tr w:rsidR="002E554D" w:rsidRPr="002E554D" w14:paraId="09AB57C8" w14:textId="77777777" w:rsidTr="009F12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1" w:type="pct"/>
            <w:noWrap/>
            <w:hideMark/>
          </w:tcPr>
          <w:p w14:paraId="7D1A6322" w14:textId="77777777" w:rsidR="009F1244" w:rsidRPr="002E554D" w:rsidRDefault="009F1244" w:rsidP="009F1244">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eastAsia="en-GB"/>
              </w:rPr>
              <w:t>PORTUGAL PSI-20</w:t>
            </w:r>
          </w:p>
        </w:tc>
        <w:tc>
          <w:tcPr>
            <w:tcW w:w="521" w:type="pct"/>
            <w:noWrap/>
            <w:hideMark/>
          </w:tcPr>
          <w:p w14:paraId="785A0715" w14:textId="10E2F09D"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3596.080</w:t>
            </w:r>
          </w:p>
        </w:tc>
        <w:tc>
          <w:tcPr>
            <w:tcW w:w="416" w:type="pct"/>
            <w:noWrap/>
            <w:hideMark/>
          </w:tcPr>
          <w:p w14:paraId="30CEBB06" w14:textId="3612EBF3"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5787.440</w:t>
            </w:r>
          </w:p>
        </w:tc>
        <w:tc>
          <w:tcPr>
            <w:tcW w:w="416" w:type="pct"/>
            <w:noWrap/>
            <w:hideMark/>
          </w:tcPr>
          <w:p w14:paraId="05E99B8B" w14:textId="0EE3F681"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5029.680</w:t>
            </w:r>
          </w:p>
        </w:tc>
        <w:tc>
          <w:tcPr>
            <w:tcW w:w="416" w:type="pct"/>
            <w:noWrap/>
            <w:hideMark/>
          </w:tcPr>
          <w:p w14:paraId="6E00C61C" w14:textId="3D6D35F4"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4938.388</w:t>
            </w:r>
          </w:p>
        </w:tc>
        <w:tc>
          <w:tcPr>
            <w:tcW w:w="411" w:type="pct"/>
            <w:noWrap/>
            <w:hideMark/>
          </w:tcPr>
          <w:p w14:paraId="2EBD1D3B" w14:textId="34E57F6E"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15.556</w:t>
            </w:r>
          </w:p>
        </w:tc>
        <w:tc>
          <w:tcPr>
            <w:tcW w:w="588" w:type="pct"/>
            <w:noWrap/>
            <w:hideMark/>
          </w:tcPr>
          <w:p w14:paraId="28171A0E" w14:textId="0542FAB8"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30.534</w:t>
            </w:r>
          </w:p>
        </w:tc>
        <w:tc>
          <w:tcPr>
            <w:tcW w:w="535" w:type="pct"/>
            <w:noWrap/>
            <w:hideMark/>
          </w:tcPr>
          <w:p w14:paraId="194F58B7" w14:textId="0F913915"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200606.907</w:t>
            </w:r>
          </w:p>
        </w:tc>
        <w:tc>
          <w:tcPr>
            <w:tcW w:w="376" w:type="pct"/>
            <w:noWrap/>
            <w:hideMark/>
          </w:tcPr>
          <w:p w14:paraId="140B1EDA" w14:textId="41966E4F" w:rsidR="009F1244" w:rsidRPr="002E554D" w:rsidRDefault="009F1244" w:rsidP="009F124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447.892</w:t>
            </w:r>
          </w:p>
        </w:tc>
      </w:tr>
    </w:tbl>
    <w:p w14:paraId="387DCCFD" w14:textId="77777777" w:rsidR="002D42A8" w:rsidRPr="002E554D" w:rsidRDefault="002D42A8" w:rsidP="002D42A8">
      <w:pPr>
        <w:pStyle w:val="NoSpacing"/>
        <w:spacing w:line="480" w:lineRule="auto"/>
        <w:rPr>
          <w:rFonts w:ascii="Garamond" w:eastAsia="Times New Roman" w:hAnsi="Garamond" w:cs="Calibri"/>
          <w:color w:val="FF0000"/>
          <w:sz w:val="24"/>
          <w:szCs w:val="24"/>
          <w:lang w:eastAsia="en-GB"/>
        </w:rPr>
      </w:pPr>
    </w:p>
    <w:p w14:paraId="6D57C064" w14:textId="417F769F" w:rsidR="002D42A8" w:rsidRPr="002E554D" w:rsidRDefault="002D42A8" w:rsidP="002D42A8">
      <w:pPr>
        <w:pStyle w:val="NoSpacing"/>
        <w:spacing w:line="480" w:lineRule="auto"/>
        <w:rPr>
          <w:rFonts w:ascii="Garamond" w:eastAsia="Times New Roman" w:hAnsi="Garamond" w:cs="Calibri"/>
          <w:b/>
          <w:bCs/>
          <w:color w:val="FF0000"/>
          <w:sz w:val="24"/>
          <w:szCs w:val="24"/>
          <w:lang w:eastAsia="en-GB"/>
        </w:rPr>
      </w:pPr>
      <w:r w:rsidRPr="002E554D">
        <w:rPr>
          <w:rFonts w:ascii="Garamond" w:eastAsia="Times New Roman" w:hAnsi="Garamond" w:cs="Calibri"/>
          <w:b/>
          <w:bCs/>
          <w:color w:val="FF0000"/>
          <w:sz w:val="24"/>
          <w:szCs w:val="24"/>
          <w:lang w:eastAsia="en-GB"/>
        </w:rPr>
        <w:t xml:space="preserve">Table A.4 Descriptive statistics of </w:t>
      </w:r>
      <w:r w:rsidR="000D4B91" w:rsidRPr="002E554D">
        <w:rPr>
          <w:rFonts w:ascii="Garamond" w:eastAsia="Times New Roman" w:hAnsi="Garamond" w:cs="Calibri"/>
          <w:b/>
          <w:bCs/>
          <w:color w:val="FF0000"/>
          <w:sz w:val="24"/>
          <w:szCs w:val="24"/>
          <w:lang w:eastAsia="en-GB"/>
        </w:rPr>
        <w:t xml:space="preserve">the close prices of </w:t>
      </w:r>
      <w:r w:rsidRPr="002E554D">
        <w:rPr>
          <w:rFonts w:ascii="Garamond" w:eastAsia="Times New Roman" w:hAnsi="Garamond" w:cs="Calibri"/>
          <w:b/>
          <w:bCs/>
          <w:color w:val="FF0000"/>
          <w:sz w:val="24"/>
          <w:szCs w:val="24"/>
          <w:lang w:eastAsia="en-GB"/>
        </w:rPr>
        <w:t>the selected cryptocurrencies (data source: http://www.cryptodatadownload.com/)</w:t>
      </w:r>
    </w:p>
    <w:tbl>
      <w:tblPr>
        <w:tblStyle w:val="PlainTable2"/>
        <w:tblW w:w="9218" w:type="dxa"/>
        <w:jc w:val="center"/>
        <w:tblLook w:val="04A0" w:firstRow="1" w:lastRow="0" w:firstColumn="1" w:lastColumn="0" w:noHBand="0" w:noVBand="1"/>
      </w:tblPr>
      <w:tblGrid>
        <w:gridCol w:w="993"/>
        <w:gridCol w:w="980"/>
        <w:gridCol w:w="980"/>
        <w:gridCol w:w="980"/>
        <w:gridCol w:w="1100"/>
        <w:gridCol w:w="1100"/>
        <w:gridCol w:w="1225"/>
        <w:gridCol w:w="1120"/>
        <w:gridCol w:w="1100"/>
      </w:tblGrid>
      <w:tr w:rsidR="002E554D" w:rsidRPr="002E554D" w14:paraId="62FFF6B6" w14:textId="77777777" w:rsidTr="0022732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6D8E964C" w14:textId="77777777" w:rsidR="000D4B91" w:rsidRPr="002E554D" w:rsidRDefault="000D4B91" w:rsidP="000D4B91">
            <w:pPr>
              <w:rPr>
                <w:rFonts w:ascii="Garamond" w:eastAsia="Times New Roman" w:hAnsi="Garamond" w:cs="Times New Roman"/>
                <w:color w:val="FF0000"/>
                <w:sz w:val="18"/>
                <w:szCs w:val="18"/>
                <w:lang w:val="en-GB" w:eastAsia="en-GB"/>
              </w:rPr>
            </w:pPr>
          </w:p>
        </w:tc>
        <w:tc>
          <w:tcPr>
            <w:tcW w:w="980" w:type="dxa"/>
            <w:noWrap/>
            <w:hideMark/>
          </w:tcPr>
          <w:p w14:paraId="1228E0D7" w14:textId="77777777" w:rsidR="000D4B91" w:rsidRPr="002E554D" w:rsidRDefault="000D4B91"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min</w:t>
            </w:r>
          </w:p>
        </w:tc>
        <w:tc>
          <w:tcPr>
            <w:tcW w:w="980" w:type="dxa"/>
            <w:noWrap/>
            <w:hideMark/>
          </w:tcPr>
          <w:p w14:paraId="45465C11" w14:textId="77777777" w:rsidR="000D4B91" w:rsidRPr="002E554D" w:rsidRDefault="000D4B91"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max</w:t>
            </w:r>
          </w:p>
        </w:tc>
        <w:tc>
          <w:tcPr>
            <w:tcW w:w="980" w:type="dxa"/>
            <w:noWrap/>
            <w:hideMark/>
          </w:tcPr>
          <w:p w14:paraId="3746C85A" w14:textId="77777777" w:rsidR="000D4B91" w:rsidRPr="002E554D" w:rsidRDefault="000D4B91"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median</w:t>
            </w:r>
          </w:p>
        </w:tc>
        <w:tc>
          <w:tcPr>
            <w:tcW w:w="980" w:type="dxa"/>
            <w:noWrap/>
            <w:hideMark/>
          </w:tcPr>
          <w:p w14:paraId="3180E5CF" w14:textId="77777777" w:rsidR="000D4B91" w:rsidRPr="002E554D" w:rsidRDefault="000D4B91"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mean</w:t>
            </w:r>
          </w:p>
        </w:tc>
        <w:tc>
          <w:tcPr>
            <w:tcW w:w="980" w:type="dxa"/>
            <w:noWrap/>
            <w:hideMark/>
          </w:tcPr>
          <w:p w14:paraId="38FD0A1F" w14:textId="77777777" w:rsidR="000D4B91" w:rsidRPr="002E554D" w:rsidRDefault="000D4B91"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proofErr w:type="spellStart"/>
            <w:proofErr w:type="gramStart"/>
            <w:r w:rsidRPr="002E554D">
              <w:rPr>
                <w:rFonts w:ascii="Garamond" w:eastAsia="Times New Roman" w:hAnsi="Garamond" w:cs="Calibri"/>
                <w:color w:val="FF0000"/>
                <w:sz w:val="18"/>
                <w:szCs w:val="18"/>
                <w:lang w:val="en-GB" w:eastAsia="en-GB"/>
              </w:rPr>
              <w:t>SE.mean</w:t>
            </w:r>
            <w:proofErr w:type="spellEnd"/>
            <w:proofErr w:type="gramEnd"/>
          </w:p>
        </w:tc>
        <w:tc>
          <w:tcPr>
            <w:tcW w:w="1225" w:type="dxa"/>
            <w:noWrap/>
            <w:hideMark/>
          </w:tcPr>
          <w:p w14:paraId="5E7A0B85" w14:textId="77777777" w:rsidR="000D4B91" w:rsidRPr="002E554D" w:rsidRDefault="000D4B91"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CI.mean.0.95</w:t>
            </w:r>
          </w:p>
        </w:tc>
        <w:tc>
          <w:tcPr>
            <w:tcW w:w="1120" w:type="dxa"/>
            <w:noWrap/>
            <w:hideMark/>
          </w:tcPr>
          <w:p w14:paraId="0B18D95E" w14:textId="77777777" w:rsidR="000D4B91" w:rsidRPr="002E554D" w:rsidRDefault="000D4B91"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var</w:t>
            </w:r>
          </w:p>
        </w:tc>
        <w:tc>
          <w:tcPr>
            <w:tcW w:w="980" w:type="dxa"/>
            <w:noWrap/>
            <w:hideMark/>
          </w:tcPr>
          <w:p w14:paraId="53579BC7" w14:textId="77777777" w:rsidR="000D4B91" w:rsidRPr="002E554D" w:rsidRDefault="000D4B91" w:rsidP="0097582A">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proofErr w:type="spellStart"/>
            <w:r w:rsidRPr="002E554D">
              <w:rPr>
                <w:rFonts w:ascii="Garamond" w:eastAsia="Times New Roman" w:hAnsi="Garamond" w:cs="Calibri"/>
                <w:color w:val="FF0000"/>
                <w:sz w:val="18"/>
                <w:szCs w:val="18"/>
                <w:lang w:val="en-GB" w:eastAsia="en-GB"/>
              </w:rPr>
              <w:t>std.dev</w:t>
            </w:r>
            <w:proofErr w:type="spellEnd"/>
          </w:p>
        </w:tc>
      </w:tr>
      <w:tr w:rsidR="002E554D" w:rsidRPr="002E554D" w14:paraId="545D0E7E" w14:textId="77777777" w:rsidTr="0022732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10A880A8" w14:textId="77777777" w:rsidR="0022732F" w:rsidRPr="002E554D" w:rsidRDefault="0022732F" w:rsidP="0022732F">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BTCUSD</w:t>
            </w:r>
          </w:p>
        </w:tc>
        <w:tc>
          <w:tcPr>
            <w:tcW w:w="980" w:type="dxa"/>
            <w:noWrap/>
            <w:hideMark/>
          </w:tcPr>
          <w:p w14:paraId="2B5C6D06" w14:textId="4D371DFF"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3256</w:t>
            </w:r>
          </w:p>
        </w:tc>
        <w:tc>
          <w:tcPr>
            <w:tcW w:w="980" w:type="dxa"/>
            <w:noWrap/>
            <w:hideMark/>
          </w:tcPr>
          <w:p w14:paraId="13CF374E" w14:textId="030E6244"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63438</w:t>
            </w:r>
          </w:p>
        </w:tc>
        <w:tc>
          <w:tcPr>
            <w:tcW w:w="980" w:type="dxa"/>
            <w:noWrap/>
            <w:hideMark/>
          </w:tcPr>
          <w:p w14:paraId="0F8960B0" w14:textId="7AD8DCC5"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8859</w:t>
            </w:r>
          </w:p>
        </w:tc>
        <w:tc>
          <w:tcPr>
            <w:tcW w:w="980" w:type="dxa"/>
            <w:noWrap/>
            <w:hideMark/>
          </w:tcPr>
          <w:p w14:paraId="244F0001" w14:textId="7B872A42"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14131.35659</w:t>
            </w:r>
          </w:p>
        </w:tc>
        <w:tc>
          <w:tcPr>
            <w:tcW w:w="980" w:type="dxa"/>
            <w:noWrap/>
            <w:hideMark/>
          </w:tcPr>
          <w:p w14:paraId="05BFE575" w14:textId="76053CF4"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422.8695495</w:t>
            </w:r>
          </w:p>
        </w:tc>
        <w:tc>
          <w:tcPr>
            <w:tcW w:w="1225" w:type="dxa"/>
            <w:noWrap/>
            <w:hideMark/>
          </w:tcPr>
          <w:p w14:paraId="2DD26ABC" w14:textId="229D8027"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829.674769</w:t>
            </w:r>
          </w:p>
        </w:tc>
        <w:tc>
          <w:tcPr>
            <w:tcW w:w="1120" w:type="dxa"/>
            <w:noWrap/>
            <w:hideMark/>
          </w:tcPr>
          <w:p w14:paraId="7C556EBB" w14:textId="28821589"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207608459.4</w:t>
            </w:r>
          </w:p>
        </w:tc>
        <w:tc>
          <w:tcPr>
            <w:tcW w:w="980" w:type="dxa"/>
            <w:noWrap/>
            <w:hideMark/>
          </w:tcPr>
          <w:p w14:paraId="7486043A" w14:textId="6A4E6EDF"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14408.62448</w:t>
            </w:r>
          </w:p>
        </w:tc>
      </w:tr>
      <w:tr w:rsidR="002E554D" w:rsidRPr="002E554D" w14:paraId="2A4BF887" w14:textId="77777777" w:rsidTr="0022732F">
        <w:trPr>
          <w:trHeight w:val="300"/>
          <w:jc w:val="cent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1101E77F" w14:textId="77777777" w:rsidR="0022732F" w:rsidRPr="002E554D" w:rsidRDefault="0022732F" w:rsidP="0022732F">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ETHUSD</w:t>
            </w:r>
          </w:p>
        </w:tc>
        <w:tc>
          <w:tcPr>
            <w:tcW w:w="980" w:type="dxa"/>
            <w:noWrap/>
            <w:hideMark/>
          </w:tcPr>
          <w:p w14:paraId="111A9FF2" w14:textId="4DB88282" w:rsidR="0022732F" w:rsidRPr="002E554D" w:rsidRDefault="0022732F" w:rsidP="0022732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84.6</w:t>
            </w:r>
          </w:p>
        </w:tc>
        <w:tc>
          <w:tcPr>
            <w:tcW w:w="980" w:type="dxa"/>
            <w:noWrap/>
            <w:hideMark/>
          </w:tcPr>
          <w:p w14:paraId="4576D238" w14:textId="7F162767" w:rsidR="0022732F" w:rsidRPr="002E554D" w:rsidRDefault="0022732F" w:rsidP="0022732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4215</w:t>
            </w:r>
          </w:p>
        </w:tc>
        <w:tc>
          <w:tcPr>
            <w:tcW w:w="980" w:type="dxa"/>
            <w:noWrap/>
            <w:hideMark/>
          </w:tcPr>
          <w:p w14:paraId="7A6B76DF" w14:textId="69FA2DE2" w:rsidR="0022732F" w:rsidRPr="002E554D" w:rsidRDefault="0022732F" w:rsidP="0022732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236.843</w:t>
            </w:r>
          </w:p>
        </w:tc>
        <w:tc>
          <w:tcPr>
            <w:tcW w:w="980" w:type="dxa"/>
            <w:noWrap/>
            <w:hideMark/>
          </w:tcPr>
          <w:p w14:paraId="07BC42A0" w14:textId="67ABCBB1" w:rsidR="0022732F" w:rsidRPr="002E554D" w:rsidRDefault="0022732F" w:rsidP="0022732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537.1962059</w:t>
            </w:r>
          </w:p>
        </w:tc>
        <w:tc>
          <w:tcPr>
            <w:tcW w:w="980" w:type="dxa"/>
            <w:noWrap/>
            <w:hideMark/>
          </w:tcPr>
          <w:p w14:paraId="5C54A01B" w14:textId="04CB26EE" w:rsidR="0022732F" w:rsidRPr="002E554D" w:rsidRDefault="0022732F" w:rsidP="0022732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20.79299315</w:t>
            </w:r>
          </w:p>
        </w:tc>
        <w:tc>
          <w:tcPr>
            <w:tcW w:w="1225" w:type="dxa"/>
            <w:noWrap/>
            <w:hideMark/>
          </w:tcPr>
          <w:p w14:paraId="358F1D8D" w14:textId="40CF16FE" w:rsidR="0022732F" w:rsidRPr="002E554D" w:rsidRDefault="0022732F" w:rsidP="0022732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40.7960843</w:t>
            </w:r>
          </w:p>
        </w:tc>
        <w:tc>
          <w:tcPr>
            <w:tcW w:w="1120" w:type="dxa"/>
            <w:noWrap/>
            <w:hideMark/>
          </w:tcPr>
          <w:p w14:paraId="4E6D79B9" w14:textId="3895FB07" w:rsidR="0022732F" w:rsidRPr="002E554D" w:rsidRDefault="0022732F" w:rsidP="0022732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501956.6828</w:t>
            </w:r>
          </w:p>
        </w:tc>
        <w:tc>
          <w:tcPr>
            <w:tcW w:w="980" w:type="dxa"/>
            <w:noWrap/>
            <w:hideMark/>
          </w:tcPr>
          <w:p w14:paraId="58E37D55" w14:textId="6D4E9768" w:rsidR="0022732F" w:rsidRPr="002E554D" w:rsidRDefault="0022732F" w:rsidP="0022732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708.4890139</w:t>
            </w:r>
          </w:p>
        </w:tc>
      </w:tr>
      <w:tr w:rsidR="002E554D" w:rsidRPr="002E554D" w14:paraId="038C5497" w14:textId="77777777" w:rsidTr="0022732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3F8A13EE" w14:textId="77777777" w:rsidR="0022732F" w:rsidRPr="002E554D" w:rsidRDefault="0022732F" w:rsidP="0022732F">
            <w:pPr>
              <w:rPr>
                <w:rFonts w:ascii="Garamond" w:eastAsia="Times New Roman" w:hAnsi="Garamond" w:cs="Calibri"/>
                <w:color w:val="FF0000"/>
                <w:sz w:val="18"/>
                <w:szCs w:val="18"/>
                <w:lang w:val="en-GB" w:eastAsia="en-GB"/>
              </w:rPr>
            </w:pPr>
            <w:r w:rsidRPr="002E554D">
              <w:rPr>
                <w:rFonts w:ascii="Garamond" w:eastAsia="Times New Roman" w:hAnsi="Garamond" w:cs="Calibri"/>
                <w:color w:val="FF0000"/>
                <w:sz w:val="18"/>
                <w:szCs w:val="18"/>
                <w:lang w:val="en-GB" w:eastAsia="en-GB"/>
              </w:rPr>
              <w:t>LTCUSD</w:t>
            </w:r>
          </w:p>
        </w:tc>
        <w:tc>
          <w:tcPr>
            <w:tcW w:w="980" w:type="dxa"/>
            <w:noWrap/>
            <w:hideMark/>
          </w:tcPr>
          <w:p w14:paraId="2F2B76D7" w14:textId="33B4475D"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23.44</w:t>
            </w:r>
          </w:p>
        </w:tc>
        <w:tc>
          <w:tcPr>
            <w:tcW w:w="980" w:type="dxa"/>
            <w:noWrap/>
            <w:hideMark/>
          </w:tcPr>
          <w:p w14:paraId="317AE6BB" w14:textId="170B970B"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389.175</w:t>
            </w:r>
          </w:p>
        </w:tc>
        <w:tc>
          <w:tcPr>
            <w:tcW w:w="980" w:type="dxa"/>
            <w:noWrap/>
            <w:hideMark/>
          </w:tcPr>
          <w:p w14:paraId="52F2587E" w14:textId="6025975E"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60.759</w:t>
            </w:r>
          </w:p>
        </w:tc>
        <w:tc>
          <w:tcPr>
            <w:tcW w:w="980" w:type="dxa"/>
            <w:noWrap/>
            <w:hideMark/>
          </w:tcPr>
          <w:p w14:paraId="3639BB55" w14:textId="5EE66A5E"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86.21838674</w:t>
            </w:r>
          </w:p>
        </w:tc>
        <w:tc>
          <w:tcPr>
            <w:tcW w:w="980" w:type="dxa"/>
            <w:noWrap/>
            <w:hideMark/>
          </w:tcPr>
          <w:p w14:paraId="5FD47263" w14:textId="2B35EAD7"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1.744220641</w:t>
            </w:r>
          </w:p>
        </w:tc>
        <w:tc>
          <w:tcPr>
            <w:tcW w:w="1225" w:type="dxa"/>
            <w:noWrap/>
            <w:hideMark/>
          </w:tcPr>
          <w:p w14:paraId="743516E1" w14:textId="780B2C2D"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3.422180337</w:t>
            </w:r>
          </w:p>
        </w:tc>
        <w:tc>
          <w:tcPr>
            <w:tcW w:w="1120" w:type="dxa"/>
            <w:noWrap/>
            <w:hideMark/>
          </w:tcPr>
          <w:p w14:paraId="33BBAA8D" w14:textId="310064C9"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3532.116853</w:t>
            </w:r>
          </w:p>
        </w:tc>
        <w:tc>
          <w:tcPr>
            <w:tcW w:w="980" w:type="dxa"/>
            <w:noWrap/>
            <w:hideMark/>
          </w:tcPr>
          <w:p w14:paraId="418AC3F5" w14:textId="3769605D" w:rsidR="0022732F" w:rsidRPr="002E554D" w:rsidRDefault="0022732F" w:rsidP="0022732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FF0000"/>
                <w:sz w:val="18"/>
                <w:szCs w:val="18"/>
                <w:lang w:val="en-GB" w:eastAsia="en-GB"/>
              </w:rPr>
            </w:pPr>
            <w:r w:rsidRPr="002E554D">
              <w:rPr>
                <w:rFonts w:ascii="Garamond" w:hAnsi="Garamond"/>
                <w:color w:val="FF0000"/>
                <w:sz w:val="18"/>
                <w:szCs w:val="18"/>
              </w:rPr>
              <w:t>59.43161493</w:t>
            </w:r>
          </w:p>
        </w:tc>
      </w:tr>
    </w:tbl>
    <w:p w14:paraId="462FB647" w14:textId="2F7094BD" w:rsidR="00771184" w:rsidRPr="002E554D" w:rsidRDefault="00771184" w:rsidP="00697353">
      <w:pPr>
        <w:pStyle w:val="NoSpacing"/>
        <w:spacing w:line="480" w:lineRule="auto"/>
        <w:rPr>
          <w:rFonts w:ascii="Garamond" w:eastAsia="Times New Roman" w:hAnsi="Garamond" w:cs="Calibri"/>
          <w:color w:val="FF0000"/>
          <w:sz w:val="24"/>
          <w:szCs w:val="24"/>
          <w:lang w:eastAsia="en-GB"/>
        </w:rPr>
      </w:pPr>
    </w:p>
    <w:p w14:paraId="78A982BE" w14:textId="77777777" w:rsidR="00EE2DBD" w:rsidRPr="002E554D" w:rsidRDefault="00EE2DBD" w:rsidP="00771184">
      <w:pPr>
        <w:pStyle w:val="NoSpacing"/>
        <w:spacing w:line="480" w:lineRule="auto"/>
        <w:jc w:val="center"/>
        <w:rPr>
          <w:rFonts w:ascii="Garamond" w:eastAsiaTheme="minorEastAsia" w:hAnsi="Garamond"/>
          <w:b/>
          <w:bCs/>
          <w:iCs/>
          <w:color w:val="FF0000"/>
          <w:sz w:val="24"/>
          <w:szCs w:val="24"/>
        </w:rPr>
        <w:sectPr w:rsidR="00EE2DBD" w:rsidRPr="002E554D" w:rsidSect="0097582A">
          <w:pgSz w:w="16838" w:h="11906" w:orient="landscape"/>
          <w:pgMar w:top="1418" w:right="1418" w:bottom="1418" w:left="1418" w:header="709" w:footer="709" w:gutter="0"/>
          <w:cols w:space="708"/>
          <w:docGrid w:linePitch="360"/>
        </w:sectPr>
      </w:pPr>
    </w:p>
    <w:p w14:paraId="6C10031B" w14:textId="520082DF" w:rsidR="00771184" w:rsidRPr="002E554D" w:rsidRDefault="00771184" w:rsidP="00771184">
      <w:pPr>
        <w:pStyle w:val="NoSpacing"/>
        <w:spacing w:line="480" w:lineRule="auto"/>
        <w:jc w:val="center"/>
        <w:rPr>
          <w:rFonts w:ascii="Garamond" w:eastAsiaTheme="minorEastAsia" w:hAnsi="Garamond"/>
          <w:b/>
          <w:bCs/>
          <w:iCs/>
          <w:color w:val="FF0000"/>
          <w:sz w:val="24"/>
          <w:szCs w:val="24"/>
        </w:rPr>
      </w:pPr>
      <w:proofErr w:type="spellStart"/>
      <w:r w:rsidRPr="002E554D">
        <w:rPr>
          <w:rFonts w:ascii="Garamond" w:eastAsiaTheme="minorEastAsia" w:hAnsi="Garamond"/>
          <w:b/>
          <w:bCs/>
          <w:iCs/>
          <w:color w:val="FF0000"/>
          <w:sz w:val="24"/>
          <w:szCs w:val="24"/>
        </w:rPr>
        <w:lastRenderedPageBreak/>
        <w:t>Koenker</w:t>
      </w:r>
      <w:proofErr w:type="spellEnd"/>
      <w:r w:rsidRPr="002E554D">
        <w:rPr>
          <w:rFonts w:ascii="Garamond" w:eastAsiaTheme="minorEastAsia" w:hAnsi="Garamond"/>
          <w:b/>
          <w:bCs/>
          <w:iCs/>
          <w:color w:val="FF0000"/>
          <w:sz w:val="24"/>
          <w:szCs w:val="24"/>
        </w:rPr>
        <w:t xml:space="preserve"> and Xiao (2004) test results</w:t>
      </w:r>
    </w:p>
    <w:p w14:paraId="708E39F4" w14:textId="49FFF34D" w:rsidR="00771184" w:rsidRPr="002E554D" w:rsidRDefault="00771184" w:rsidP="00771184">
      <w:pPr>
        <w:pStyle w:val="NoSpacing"/>
        <w:spacing w:line="276" w:lineRule="auto"/>
        <w:jc w:val="center"/>
        <w:rPr>
          <w:rFonts w:ascii="Garamond" w:eastAsia="Times New Roman" w:hAnsi="Garamond" w:cs="Calibri"/>
          <w:b/>
          <w:bCs/>
          <w:color w:val="FF0000"/>
          <w:sz w:val="24"/>
          <w:szCs w:val="24"/>
          <w:lang w:eastAsia="en-GB"/>
        </w:rPr>
      </w:pPr>
      <w:r w:rsidRPr="002E554D">
        <w:rPr>
          <w:rFonts w:ascii="Garamond" w:hAnsi="Garamond"/>
          <w:b/>
          <w:bCs/>
          <w:color w:val="FF0000"/>
          <w:sz w:val="24"/>
          <w:szCs w:val="24"/>
          <w:lang w:val="en-GB"/>
        </w:rPr>
        <w:t xml:space="preserve">Table A5 Tests for quantile unit root, </w:t>
      </w:r>
      <w:r w:rsidRPr="002E554D">
        <w:rPr>
          <w:rFonts w:ascii="Garamond" w:eastAsia="Times New Roman" w:hAnsi="Garamond" w:cs="Calibri"/>
          <w:b/>
          <w:bCs/>
          <w:color w:val="FF0000"/>
          <w:sz w:val="24"/>
          <w:szCs w:val="24"/>
          <w:lang w:eastAsia="en-GB"/>
        </w:rPr>
        <w:t>precious metals</w:t>
      </w:r>
    </w:p>
    <w:p w14:paraId="1B524027" w14:textId="55769351" w:rsidR="00771184" w:rsidRPr="002E554D" w:rsidRDefault="00771184" w:rsidP="00771184">
      <w:pPr>
        <w:pStyle w:val="NoSpacing"/>
        <w:spacing w:line="276" w:lineRule="auto"/>
        <w:jc w:val="both"/>
        <w:rPr>
          <w:rFonts w:ascii="Garamond" w:hAnsi="Garamond"/>
          <w:color w:val="FF0000"/>
          <w:lang w:val="en-GB"/>
        </w:rPr>
      </w:pPr>
      <w:r w:rsidRPr="002E554D">
        <w:rPr>
          <w:rFonts w:ascii="Garamond" w:hAnsi="Garamond"/>
          <w:color w:val="FF0000"/>
          <w:lang w:val="en-GB"/>
        </w:rPr>
        <w:t xml:space="preserve">Table shows the results of the quantile nonlinear unit root tests with covariates, </w:t>
      </w:r>
      <w:proofErr w:type="spellStart"/>
      <w:r w:rsidRPr="002E554D">
        <w:rPr>
          <w:rFonts w:ascii="Garamond" w:eastAsia="Times New Roman" w:hAnsi="Garamond" w:cs="Calibri"/>
          <w:i/>
          <w:iCs/>
          <w:color w:val="FF0000"/>
          <w:lang w:val="en-GB" w:eastAsia="en-GB"/>
        </w:rPr>
        <w:t>Zt</w:t>
      </w:r>
      <w:r w:rsidRPr="002E554D">
        <w:rPr>
          <w:rFonts w:ascii="Garamond" w:eastAsia="Times New Roman" w:hAnsi="Garamond" w:cs="Calibri"/>
          <w:i/>
          <w:iCs/>
          <w:color w:val="FF0000"/>
          <w:vertAlign w:val="subscript"/>
          <w:lang w:val="en-GB" w:eastAsia="en-GB"/>
        </w:rPr>
        <w:t>kss</w:t>
      </w:r>
      <w:proofErr w:type="spellEnd"/>
      <w:r w:rsidRPr="002E554D">
        <w:rPr>
          <w:rFonts w:ascii="Garamond" w:hAnsi="Garamond"/>
          <w:color w:val="FF0000"/>
          <w:lang w:val="en-GB"/>
        </w:rPr>
        <w:t xml:space="preserve">, estimated as in </w:t>
      </w:r>
      <w:proofErr w:type="spellStart"/>
      <w:r w:rsidRPr="002E554D">
        <w:rPr>
          <w:rFonts w:ascii="Garamond" w:hAnsi="Garamond"/>
          <w:color w:val="FF0000"/>
          <w:lang w:val="en-GB"/>
        </w:rPr>
        <w:t>Koenker</w:t>
      </w:r>
      <w:proofErr w:type="spellEnd"/>
      <w:r w:rsidRPr="002E554D">
        <w:rPr>
          <w:rFonts w:ascii="Garamond" w:hAnsi="Garamond"/>
          <w:color w:val="FF0000"/>
          <w:lang w:val="en-GB"/>
        </w:rPr>
        <w:t xml:space="preserve"> and Xiao (2004). The asymptotic critical values are calculated with significance at the 1%, 5% and 10% levels. The null hypothesis of the presence of a unit root is rejected if the </w:t>
      </w:r>
      <w:proofErr w:type="gramStart"/>
      <w:r w:rsidRPr="002E554D">
        <w:rPr>
          <w:rFonts w:ascii="Garamond" w:hAnsi="Garamond"/>
          <w:color w:val="FF0000"/>
          <w:lang w:val="en-GB"/>
        </w:rPr>
        <w:t>calculated  test</w:t>
      </w:r>
      <w:proofErr w:type="gramEnd"/>
      <w:r w:rsidRPr="002E554D">
        <w:rPr>
          <w:rFonts w:ascii="Garamond" w:hAnsi="Garamond"/>
          <w:color w:val="FF0000"/>
          <w:lang w:val="en-GB"/>
        </w:rPr>
        <w:t xml:space="preserve"> statistic is lower in value than calculated critical values at the 1%, 5% and 10% levels of significance.</w:t>
      </w:r>
    </w:p>
    <w:p w14:paraId="40FE5B33" w14:textId="77777777" w:rsidR="0037188F" w:rsidRPr="002E554D" w:rsidRDefault="0037188F" w:rsidP="00771184">
      <w:pPr>
        <w:pStyle w:val="NoSpacing"/>
        <w:spacing w:line="276" w:lineRule="auto"/>
        <w:jc w:val="both"/>
        <w:rPr>
          <w:rFonts w:ascii="Garamond" w:hAnsi="Garamond"/>
          <w:color w:val="FF0000"/>
          <w:lang w:val="en-GB"/>
        </w:rPr>
      </w:pPr>
    </w:p>
    <w:tbl>
      <w:tblPr>
        <w:tblW w:w="8974" w:type="dxa"/>
        <w:jc w:val="center"/>
        <w:tblLook w:val="04A0" w:firstRow="1" w:lastRow="0" w:firstColumn="1" w:lastColumn="0" w:noHBand="0" w:noVBand="1"/>
      </w:tblPr>
      <w:tblGrid>
        <w:gridCol w:w="1204"/>
        <w:gridCol w:w="1050"/>
        <w:gridCol w:w="960"/>
        <w:gridCol w:w="960"/>
        <w:gridCol w:w="960"/>
        <w:gridCol w:w="960"/>
        <w:gridCol w:w="944"/>
        <w:gridCol w:w="968"/>
        <w:gridCol w:w="968"/>
      </w:tblGrid>
      <w:tr w:rsidR="002E554D" w:rsidRPr="002E554D" w14:paraId="5332D8E5" w14:textId="77777777" w:rsidTr="00511100">
        <w:trPr>
          <w:trHeight w:val="330"/>
          <w:jc w:val="center"/>
        </w:trPr>
        <w:tc>
          <w:tcPr>
            <w:tcW w:w="12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7424"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Quantiles</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4420" w14:textId="77777777" w:rsidR="00771184" w:rsidRPr="002E554D" w:rsidRDefault="00771184" w:rsidP="00771184">
            <w:pPr>
              <w:spacing w:after="0" w:line="240" w:lineRule="auto"/>
              <w:jc w:val="center"/>
              <w:rPr>
                <w:rFonts w:ascii="Garamond" w:eastAsia="Times New Roman" w:hAnsi="Garamond" w:cs="Calibri"/>
                <w:b/>
                <w:bCs/>
                <w:i/>
                <w:iCs/>
                <w:color w:val="FF0000"/>
                <w:sz w:val="20"/>
                <w:szCs w:val="20"/>
                <w:lang w:val="en-GB" w:eastAsia="en-GB"/>
              </w:rPr>
            </w:pPr>
            <w:proofErr w:type="spellStart"/>
            <w:r w:rsidRPr="002E554D">
              <w:rPr>
                <w:rFonts w:ascii="Garamond" w:eastAsia="Times New Roman" w:hAnsi="Garamond" w:cs="Calibri"/>
                <w:b/>
                <w:bCs/>
                <w:i/>
                <w:iCs/>
                <w:color w:val="FF0000"/>
                <w:sz w:val="20"/>
                <w:szCs w:val="20"/>
                <w:lang w:val="en-GB" w:eastAsia="en-GB"/>
              </w:rPr>
              <w:t>t</w:t>
            </w:r>
            <w:r w:rsidRPr="002E554D">
              <w:rPr>
                <w:rFonts w:ascii="Garamond" w:eastAsia="Times New Roman" w:hAnsi="Garamond" w:cs="Calibri"/>
                <w:b/>
                <w:bCs/>
                <w:i/>
                <w:iCs/>
                <w:color w:val="FF0000"/>
                <w:sz w:val="20"/>
                <w:szCs w:val="20"/>
                <w:vertAlign w:val="subscript"/>
                <w:lang w:val="en-GB" w:eastAsia="en-GB"/>
              </w:rPr>
              <w:t>ks</w:t>
            </w:r>
            <w:proofErr w:type="spellEnd"/>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13833"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asymptotic critical values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5B553" w14:textId="77777777" w:rsidR="00771184" w:rsidRPr="002E554D" w:rsidRDefault="00771184" w:rsidP="00771184">
            <w:pPr>
              <w:spacing w:after="0" w:line="240" w:lineRule="auto"/>
              <w:jc w:val="center"/>
              <w:rPr>
                <w:rFonts w:ascii="Garamond" w:eastAsia="Times New Roman" w:hAnsi="Garamond" w:cs="Calibri"/>
                <w:b/>
                <w:bCs/>
                <w:i/>
                <w:iCs/>
                <w:color w:val="FF0000"/>
                <w:sz w:val="20"/>
                <w:szCs w:val="20"/>
                <w:lang w:val="en-GB" w:eastAsia="en-GB"/>
              </w:rPr>
            </w:pPr>
            <w:proofErr w:type="spellStart"/>
            <w:r w:rsidRPr="002E554D">
              <w:rPr>
                <w:rFonts w:ascii="Garamond" w:eastAsia="Times New Roman" w:hAnsi="Garamond" w:cs="Calibri"/>
                <w:b/>
                <w:bCs/>
                <w:i/>
                <w:iCs/>
                <w:color w:val="FF0000"/>
                <w:sz w:val="20"/>
                <w:szCs w:val="20"/>
                <w:lang w:val="en-GB" w:eastAsia="en-GB"/>
              </w:rPr>
              <w:t>t</w:t>
            </w:r>
            <w:r w:rsidRPr="002E554D">
              <w:rPr>
                <w:rFonts w:ascii="Garamond" w:eastAsia="Times New Roman" w:hAnsi="Garamond" w:cs="Calibri"/>
                <w:b/>
                <w:bCs/>
                <w:i/>
                <w:iCs/>
                <w:color w:val="FF0000"/>
                <w:sz w:val="20"/>
                <w:szCs w:val="20"/>
                <w:vertAlign w:val="subscript"/>
                <w:lang w:val="en-GB" w:eastAsia="en-GB"/>
              </w:rPr>
              <w:t>ks</w:t>
            </w:r>
            <w:proofErr w:type="spellEnd"/>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9FEDB"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asymptotic critical values</w:t>
            </w:r>
          </w:p>
        </w:tc>
      </w:tr>
      <w:tr w:rsidR="002E554D" w:rsidRPr="002E554D" w14:paraId="5647AAF1" w14:textId="77777777" w:rsidTr="00511100">
        <w:trPr>
          <w:trHeight w:val="330"/>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60B7B204" w14:textId="77777777" w:rsidR="00771184" w:rsidRPr="002E554D" w:rsidRDefault="00771184" w:rsidP="00771184">
            <w:pPr>
              <w:spacing w:after="0" w:line="240" w:lineRule="auto"/>
              <w:rPr>
                <w:rFonts w:ascii="Garamond" w:eastAsia="Times New Roman" w:hAnsi="Garamond" w:cs="Calibri"/>
                <w:b/>
                <w:bCs/>
                <w:color w:val="FF0000"/>
                <w:sz w:val="20"/>
                <w:szCs w:val="20"/>
                <w:lang w:val="en-GB" w:eastAsia="en-GB"/>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023521B8" w14:textId="77777777" w:rsidR="00771184" w:rsidRPr="002E554D" w:rsidRDefault="00771184" w:rsidP="00771184">
            <w:pPr>
              <w:spacing w:after="0" w:line="240" w:lineRule="auto"/>
              <w:rPr>
                <w:rFonts w:ascii="Garamond" w:eastAsia="Times New Roman" w:hAnsi="Garamond" w:cs="Calibri"/>
                <w:b/>
                <w:bCs/>
                <w:i/>
                <w:iCs/>
                <w:color w:val="FF0000"/>
                <w:sz w:val="20"/>
                <w:szCs w:val="20"/>
                <w:lang w:val="en-GB" w:eastAsia="en-GB"/>
              </w:rPr>
            </w:pPr>
          </w:p>
        </w:tc>
        <w:tc>
          <w:tcPr>
            <w:tcW w:w="960" w:type="dxa"/>
            <w:tcBorders>
              <w:top w:val="single" w:sz="4" w:space="0" w:color="auto"/>
              <w:left w:val="single" w:sz="4" w:space="0" w:color="auto"/>
              <w:bottom w:val="single" w:sz="4" w:space="0" w:color="auto"/>
            </w:tcBorders>
            <w:shd w:val="clear" w:color="auto" w:fill="auto"/>
            <w:noWrap/>
            <w:vAlign w:val="center"/>
            <w:hideMark/>
          </w:tcPr>
          <w:p w14:paraId="4B5B304A"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w:t>
            </w:r>
          </w:p>
        </w:tc>
        <w:tc>
          <w:tcPr>
            <w:tcW w:w="960" w:type="dxa"/>
            <w:tcBorders>
              <w:top w:val="single" w:sz="4" w:space="0" w:color="auto"/>
              <w:bottom w:val="single" w:sz="4" w:space="0" w:color="auto"/>
            </w:tcBorders>
            <w:shd w:val="clear" w:color="auto" w:fill="auto"/>
            <w:noWrap/>
            <w:vAlign w:val="center"/>
            <w:hideMark/>
          </w:tcPr>
          <w:p w14:paraId="04585351"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5%</w:t>
            </w:r>
          </w:p>
        </w:tc>
        <w:tc>
          <w:tcPr>
            <w:tcW w:w="960" w:type="dxa"/>
            <w:tcBorders>
              <w:top w:val="single" w:sz="4" w:space="0" w:color="auto"/>
              <w:bottom w:val="single" w:sz="4" w:space="0" w:color="auto"/>
              <w:right w:val="single" w:sz="4" w:space="0" w:color="auto"/>
            </w:tcBorders>
            <w:shd w:val="clear" w:color="auto" w:fill="auto"/>
            <w:noWrap/>
            <w:vAlign w:val="center"/>
            <w:hideMark/>
          </w:tcPr>
          <w:p w14:paraId="4B80F908"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10%</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DDE80FF" w14:textId="77777777" w:rsidR="00771184" w:rsidRPr="002E554D" w:rsidRDefault="00771184" w:rsidP="00771184">
            <w:pPr>
              <w:spacing w:after="0" w:line="240" w:lineRule="auto"/>
              <w:rPr>
                <w:rFonts w:ascii="Garamond" w:eastAsia="Times New Roman" w:hAnsi="Garamond" w:cs="Calibri"/>
                <w:b/>
                <w:bCs/>
                <w:i/>
                <w:iCs/>
                <w:color w:val="FF0000"/>
                <w:sz w:val="20"/>
                <w:szCs w:val="20"/>
                <w:lang w:val="en-GB" w:eastAsia="en-GB"/>
              </w:rPr>
            </w:pPr>
          </w:p>
        </w:tc>
        <w:tc>
          <w:tcPr>
            <w:tcW w:w="944" w:type="dxa"/>
            <w:tcBorders>
              <w:top w:val="single" w:sz="4" w:space="0" w:color="auto"/>
              <w:left w:val="single" w:sz="4" w:space="0" w:color="auto"/>
              <w:bottom w:val="single" w:sz="4" w:space="0" w:color="auto"/>
            </w:tcBorders>
            <w:shd w:val="clear" w:color="auto" w:fill="auto"/>
            <w:noWrap/>
            <w:vAlign w:val="center"/>
            <w:hideMark/>
          </w:tcPr>
          <w:p w14:paraId="4C078F5A"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w:t>
            </w:r>
          </w:p>
        </w:tc>
        <w:tc>
          <w:tcPr>
            <w:tcW w:w="968" w:type="dxa"/>
            <w:tcBorders>
              <w:top w:val="single" w:sz="4" w:space="0" w:color="auto"/>
              <w:bottom w:val="single" w:sz="4" w:space="0" w:color="auto"/>
            </w:tcBorders>
            <w:shd w:val="clear" w:color="auto" w:fill="auto"/>
            <w:noWrap/>
            <w:vAlign w:val="center"/>
            <w:hideMark/>
          </w:tcPr>
          <w:p w14:paraId="59134BEE"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5%</w:t>
            </w:r>
          </w:p>
        </w:tc>
        <w:tc>
          <w:tcPr>
            <w:tcW w:w="968" w:type="dxa"/>
            <w:tcBorders>
              <w:top w:val="single" w:sz="4" w:space="0" w:color="auto"/>
              <w:bottom w:val="single" w:sz="4" w:space="0" w:color="auto"/>
              <w:right w:val="single" w:sz="4" w:space="0" w:color="auto"/>
            </w:tcBorders>
            <w:shd w:val="clear" w:color="auto" w:fill="auto"/>
            <w:noWrap/>
            <w:vAlign w:val="center"/>
            <w:hideMark/>
          </w:tcPr>
          <w:p w14:paraId="5454DA4D"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10%</w:t>
            </w:r>
          </w:p>
        </w:tc>
      </w:tr>
      <w:tr w:rsidR="002E554D" w:rsidRPr="002E554D" w14:paraId="4D398B91" w14:textId="77777777" w:rsidTr="00511100">
        <w:trPr>
          <w:trHeight w:val="330"/>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1675B9C4" w14:textId="77777777" w:rsidR="00771184" w:rsidRPr="002E554D" w:rsidRDefault="00771184" w:rsidP="00771184">
            <w:pPr>
              <w:spacing w:after="0" w:line="240" w:lineRule="auto"/>
              <w:rPr>
                <w:rFonts w:ascii="Garamond" w:eastAsia="Times New Roman" w:hAnsi="Garamond" w:cs="Calibri"/>
                <w:b/>
                <w:bCs/>
                <w:color w:val="FF0000"/>
                <w:sz w:val="20"/>
                <w:szCs w:val="20"/>
                <w:lang w:val="en-GB" w:eastAsia="en-GB"/>
              </w:rPr>
            </w:pPr>
          </w:p>
        </w:tc>
        <w:tc>
          <w:tcPr>
            <w:tcW w:w="39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4625B"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Gold</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E01D8"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Platinum</w:t>
            </w:r>
          </w:p>
        </w:tc>
      </w:tr>
      <w:tr w:rsidR="002E554D" w:rsidRPr="002E554D" w14:paraId="2EF8B610"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1A2F" w14:textId="7777777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6C75551D" w14:textId="3BE0B36D" w:rsidR="00E42B73" w:rsidRPr="002E554D" w:rsidRDefault="00E42B73" w:rsidP="00E42B73">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-4.649</w:t>
            </w:r>
          </w:p>
        </w:tc>
        <w:tc>
          <w:tcPr>
            <w:tcW w:w="960" w:type="dxa"/>
            <w:tcBorders>
              <w:top w:val="single" w:sz="4" w:space="0" w:color="auto"/>
              <w:left w:val="single" w:sz="4" w:space="0" w:color="auto"/>
              <w:bottom w:val="single" w:sz="4" w:space="0" w:color="auto"/>
            </w:tcBorders>
            <w:shd w:val="clear" w:color="auto" w:fill="auto"/>
            <w:noWrap/>
            <w:hideMark/>
          </w:tcPr>
          <w:p w14:paraId="6C4F23C8" w14:textId="3B6DF914"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-3.080</w:t>
            </w:r>
          </w:p>
        </w:tc>
        <w:tc>
          <w:tcPr>
            <w:tcW w:w="960" w:type="dxa"/>
            <w:tcBorders>
              <w:top w:val="single" w:sz="4" w:space="0" w:color="auto"/>
              <w:bottom w:val="single" w:sz="4" w:space="0" w:color="auto"/>
            </w:tcBorders>
            <w:shd w:val="clear" w:color="auto" w:fill="auto"/>
            <w:noWrap/>
            <w:hideMark/>
          </w:tcPr>
          <w:p w14:paraId="331C9F60" w14:textId="6C2A887C"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-2.425</w:t>
            </w:r>
          </w:p>
        </w:tc>
        <w:tc>
          <w:tcPr>
            <w:tcW w:w="960" w:type="dxa"/>
            <w:tcBorders>
              <w:top w:val="single" w:sz="4" w:space="0" w:color="auto"/>
              <w:bottom w:val="single" w:sz="4" w:space="0" w:color="auto"/>
              <w:right w:val="single" w:sz="4" w:space="0" w:color="auto"/>
            </w:tcBorders>
            <w:shd w:val="clear" w:color="auto" w:fill="auto"/>
            <w:noWrap/>
            <w:hideMark/>
          </w:tcPr>
          <w:p w14:paraId="6C1AF91E" w14:textId="70A87B83"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-2.083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1D3EC88" w14:textId="5A906722" w:rsidR="00E42B73" w:rsidRPr="002E554D" w:rsidRDefault="00E42B73" w:rsidP="00E42B73">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-3.355</w:t>
            </w:r>
          </w:p>
        </w:tc>
        <w:tc>
          <w:tcPr>
            <w:tcW w:w="944" w:type="dxa"/>
            <w:tcBorders>
              <w:top w:val="single" w:sz="4" w:space="0" w:color="auto"/>
              <w:left w:val="single" w:sz="4" w:space="0" w:color="auto"/>
              <w:bottom w:val="single" w:sz="4" w:space="0" w:color="auto"/>
            </w:tcBorders>
            <w:shd w:val="clear" w:color="auto" w:fill="auto"/>
            <w:noWrap/>
            <w:hideMark/>
          </w:tcPr>
          <w:p w14:paraId="1A260855" w14:textId="2D74D581"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-3.102</w:t>
            </w:r>
          </w:p>
        </w:tc>
        <w:tc>
          <w:tcPr>
            <w:tcW w:w="968" w:type="dxa"/>
            <w:tcBorders>
              <w:top w:val="single" w:sz="4" w:space="0" w:color="auto"/>
              <w:bottom w:val="single" w:sz="4" w:space="0" w:color="auto"/>
            </w:tcBorders>
            <w:shd w:val="clear" w:color="auto" w:fill="auto"/>
            <w:noWrap/>
            <w:hideMark/>
          </w:tcPr>
          <w:p w14:paraId="401A6013" w14:textId="194142B9"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-2.456</w:t>
            </w:r>
          </w:p>
        </w:tc>
        <w:tc>
          <w:tcPr>
            <w:tcW w:w="968" w:type="dxa"/>
            <w:tcBorders>
              <w:top w:val="single" w:sz="4" w:space="0" w:color="auto"/>
              <w:bottom w:val="single" w:sz="4" w:space="0" w:color="auto"/>
              <w:right w:val="single" w:sz="4" w:space="0" w:color="auto"/>
            </w:tcBorders>
            <w:shd w:val="clear" w:color="auto" w:fill="auto"/>
            <w:noWrap/>
            <w:hideMark/>
          </w:tcPr>
          <w:p w14:paraId="4EE47F69" w14:textId="3806228F"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-2.115</w:t>
            </w:r>
          </w:p>
        </w:tc>
      </w:tr>
      <w:tr w:rsidR="002E554D" w:rsidRPr="002E554D" w14:paraId="10AD630C"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5244" w14:textId="7777777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7AF9B4FE" w14:textId="656022FA" w:rsidR="00E42B73" w:rsidRPr="002E554D" w:rsidRDefault="00E42B73" w:rsidP="00E42B73">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-2.345</w:t>
            </w:r>
          </w:p>
        </w:tc>
        <w:tc>
          <w:tcPr>
            <w:tcW w:w="960" w:type="dxa"/>
            <w:tcBorders>
              <w:top w:val="single" w:sz="4" w:space="0" w:color="auto"/>
              <w:left w:val="single" w:sz="4" w:space="0" w:color="auto"/>
              <w:bottom w:val="single" w:sz="4" w:space="0" w:color="auto"/>
            </w:tcBorders>
            <w:shd w:val="clear" w:color="auto" w:fill="auto"/>
            <w:noWrap/>
            <w:hideMark/>
          </w:tcPr>
          <w:p w14:paraId="58A1809D" w14:textId="6800D79A"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-3.138</w:t>
            </w:r>
          </w:p>
        </w:tc>
        <w:tc>
          <w:tcPr>
            <w:tcW w:w="960" w:type="dxa"/>
            <w:tcBorders>
              <w:top w:val="single" w:sz="4" w:space="0" w:color="auto"/>
              <w:bottom w:val="single" w:sz="4" w:space="0" w:color="auto"/>
            </w:tcBorders>
            <w:shd w:val="clear" w:color="auto" w:fill="auto"/>
            <w:noWrap/>
            <w:hideMark/>
          </w:tcPr>
          <w:p w14:paraId="46CFE91E" w14:textId="00089352"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-2.508</w:t>
            </w:r>
          </w:p>
        </w:tc>
        <w:tc>
          <w:tcPr>
            <w:tcW w:w="960" w:type="dxa"/>
            <w:tcBorders>
              <w:top w:val="single" w:sz="4" w:space="0" w:color="auto"/>
              <w:bottom w:val="single" w:sz="4" w:space="0" w:color="auto"/>
              <w:right w:val="single" w:sz="4" w:space="0" w:color="auto"/>
            </w:tcBorders>
            <w:shd w:val="clear" w:color="auto" w:fill="auto"/>
            <w:noWrap/>
            <w:hideMark/>
          </w:tcPr>
          <w:p w14:paraId="312EF4D2" w14:textId="30A7FA21"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172FCB8" w14:textId="6D812628" w:rsidR="00E42B73" w:rsidRPr="002E554D" w:rsidRDefault="00E42B73" w:rsidP="00E42B73">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-3.481</w:t>
            </w:r>
          </w:p>
        </w:tc>
        <w:tc>
          <w:tcPr>
            <w:tcW w:w="944" w:type="dxa"/>
            <w:tcBorders>
              <w:top w:val="single" w:sz="4" w:space="0" w:color="auto"/>
              <w:left w:val="single" w:sz="4" w:space="0" w:color="auto"/>
              <w:bottom w:val="single" w:sz="4" w:space="0" w:color="auto"/>
            </w:tcBorders>
            <w:shd w:val="clear" w:color="auto" w:fill="auto"/>
            <w:noWrap/>
            <w:hideMark/>
          </w:tcPr>
          <w:p w14:paraId="63561647" w14:textId="7060583B"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-3.135</w:t>
            </w:r>
          </w:p>
        </w:tc>
        <w:tc>
          <w:tcPr>
            <w:tcW w:w="968" w:type="dxa"/>
            <w:tcBorders>
              <w:top w:val="single" w:sz="4" w:space="0" w:color="auto"/>
              <w:bottom w:val="single" w:sz="4" w:space="0" w:color="auto"/>
            </w:tcBorders>
            <w:shd w:val="clear" w:color="auto" w:fill="auto"/>
            <w:noWrap/>
            <w:hideMark/>
          </w:tcPr>
          <w:p w14:paraId="78A1904F" w14:textId="32AFE801"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-2.503</w:t>
            </w:r>
          </w:p>
        </w:tc>
        <w:tc>
          <w:tcPr>
            <w:tcW w:w="968" w:type="dxa"/>
            <w:tcBorders>
              <w:top w:val="single" w:sz="4" w:space="0" w:color="auto"/>
              <w:bottom w:val="single" w:sz="4" w:space="0" w:color="auto"/>
              <w:right w:val="single" w:sz="4" w:space="0" w:color="auto"/>
            </w:tcBorders>
            <w:shd w:val="clear" w:color="auto" w:fill="auto"/>
            <w:noWrap/>
            <w:hideMark/>
          </w:tcPr>
          <w:p w14:paraId="692A23D4" w14:textId="1B810F1D"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-2.164</w:t>
            </w:r>
          </w:p>
        </w:tc>
      </w:tr>
      <w:tr w:rsidR="002E554D" w:rsidRPr="002E554D" w14:paraId="368F93BE"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6D78" w14:textId="7777777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C1D7195" w14:textId="4F1E6383"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-1.722</w:t>
            </w:r>
          </w:p>
        </w:tc>
        <w:tc>
          <w:tcPr>
            <w:tcW w:w="960" w:type="dxa"/>
            <w:tcBorders>
              <w:top w:val="single" w:sz="4" w:space="0" w:color="auto"/>
              <w:left w:val="single" w:sz="4" w:space="0" w:color="auto"/>
              <w:bottom w:val="single" w:sz="4" w:space="0" w:color="auto"/>
            </w:tcBorders>
            <w:shd w:val="clear" w:color="auto" w:fill="auto"/>
            <w:noWrap/>
            <w:hideMark/>
          </w:tcPr>
          <w:p w14:paraId="609B2490" w14:textId="31A62893"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-3.166</w:t>
            </w:r>
          </w:p>
        </w:tc>
        <w:tc>
          <w:tcPr>
            <w:tcW w:w="960" w:type="dxa"/>
            <w:tcBorders>
              <w:top w:val="single" w:sz="4" w:space="0" w:color="auto"/>
              <w:bottom w:val="single" w:sz="4" w:space="0" w:color="auto"/>
            </w:tcBorders>
            <w:shd w:val="clear" w:color="auto" w:fill="auto"/>
            <w:noWrap/>
            <w:hideMark/>
          </w:tcPr>
          <w:p w14:paraId="3AD6946F" w14:textId="237E5D30"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-2.548</w:t>
            </w:r>
          </w:p>
        </w:tc>
        <w:tc>
          <w:tcPr>
            <w:tcW w:w="960" w:type="dxa"/>
            <w:tcBorders>
              <w:top w:val="single" w:sz="4" w:space="0" w:color="auto"/>
              <w:bottom w:val="single" w:sz="4" w:space="0" w:color="auto"/>
              <w:right w:val="single" w:sz="4" w:space="0" w:color="auto"/>
            </w:tcBorders>
            <w:shd w:val="clear" w:color="auto" w:fill="auto"/>
            <w:noWrap/>
            <w:hideMark/>
          </w:tcPr>
          <w:p w14:paraId="55094449" w14:textId="74EA7018"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F8D75D1" w14:textId="0B5431E9" w:rsidR="00E42B73" w:rsidRPr="002E554D" w:rsidRDefault="00E42B73" w:rsidP="00E42B73">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-2.745</w:t>
            </w:r>
          </w:p>
        </w:tc>
        <w:tc>
          <w:tcPr>
            <w:tcW w:w="944" w:type="dxa"/>
            <w:tcBorders>
              <w:top w:val="single" w:sz="4" w:space="0" w:color="auto"/>
              <w:left w:val="single" w:sz="4" w:space="0" w:color="auto"/>
              <w:bottom w:val="single" w:sz="4" w:space="0" w:color="auto"/>
            </w:tcBorders>
            <w:shd w:val="clear" w:color="auto" w:fill="auto"/>
            <w:noWrap/>
            <w:hideMark/>
          </w:tcPr>
          <w:p w14:paraId="50EDAFD6" w14:textId="282500EE"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-3.165</w:t>
            </w:r>
          </w:p>
        </w:tc>
        <w:tc>
          <w:tcPr>
            <w:tcW w:w="968" w:type="dxa"/>
            <w:tcBorders>
              <w:top w:val="single" w:sz="4" w:space="0" w:color="auto"/>
              <w:bottom w:val="single" w:sz="4" w:space="0" w:color="auto"/>
            </w:tcBorders>
            <w:shd w:val="clear" w:color="auto" w:fill="auto"/>
            <w:noWrap/>
            <w:hideMark/>
          </w:tcPr>
          <w:p w14:paraId="497F8793" w14:textId="004CE9FA"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-2.546</w:t>
            </w:r>
          </w:p>
        </w:tc>
        <w:tc>
          <w:tcPr>
            <w:tcW w:w="968" w:type="dxa"/>
            <w:tcBorders>
              <w:top w:val="single" w:sz="4" w:space="0" w:color="auto"/>
              <w:bottom w:val="single" w:sz="4" w:space="0" w:color="auto"/>
              <w:right w:val="single" w:sz="4" w:space="0" w:color="auto"/>
            </w:tcBorders>
            <w:shd w:val="clear" w:color="auto" w:fill="auto"/>
            <w:noWrap/>
            <w:hideMark/>
          </w:tcPr>
          <w:p w14:paraId="3C80DC48" w14:textId="46B6ADA8"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-2.211</w:t>
            </w:r>
          </w:p>
        </w:tc>
      </w:tr>
      <w:tr w:rsidR="002E554D" w:rsidRPr="002E554D" w14:paraId="73A3C9BB"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3B4D8" w14:textId="7777777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1DDD8DA0" w14:textId="565005A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-0.146</w:t>
            </w:r>
          </w:p>
        </w:tc>
        <w:tc>
          <w:tcPr>
            <w:tcW w:w="960" w:type="dxa"/>
            <w:tcBorders>
              <w:top w:val="single" w:sz="4" w:space="0" w:color="auto"/>
              <w:left w:val="single" w:sz="4" w:space="0" w:color="auto"/>
              <w:bottom w:val="single" w:sz="4" w:space="0" w:color="auto"/>
            </w:tcBorders>
            <w:shd w:val="clear" w:color="auto" w:fill="auto"/>
            <w:noWrap/>
            <w:hideMark/>
          </w:tcPr>
          <w:p w14:paraId="578EEDB8" w14:textId="2B00B5E4"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-3.231</w:t>
            </w:r>
          </w:p>
        </w:tc>
        <w:tc>
          <w:tcPr>
            <w:tcW w:w="960" w:type="dxa"/>
            <w:tcBorders>
              <w:top w:val="single" w:sz="4" w:space="0" w:color="auto"/>
              <w:bottom w:val="single" w:sz="4" w:space="0" w:color="auto"/>
            </w:tcBorders>
            <w:shd w:val="clear" w:color="auto" w:fill="auto"/>
            <w:noWrap/>
            <w:hideMark/>
          </w:tcPr>
          <w:p w14:paraId="21428755" w14:textId="480AF96D"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-2.627</w:t>
            </w:r>
          </w:p>
        </w:tc>
        <w:tc>
          <w:tcPr>
            <w:tcW w:w="960" w:type="dxa"/>
            <w:tcBorders>
              <w:top w:val="single" w:sz="4" w:space="0" w:color="auto"/>
              <w:bottom w:val="single" w:sz="4" w:space="0" w:color="auto"/>
              <w:right w:val="single" w:sz="4" w:space="0" w:color="auto"/>
            </w:tcBorders>
            <w:shd w:val="clear" w:color="auto" w:fill="auto"/>
            <w:noWrap/>
            <w:hideMark/>
          </w:tcPr>
          <w:p w14:paraId="104E9967" w14:textId="39EADC75"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25FCFDF" w14:textId="156204A8" w:rsidR="00E42B73" w:rsidRPr="002E554D" w:rsidRDefault="00E42B73" w:rsidP="00E42B73">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-2.640</w:t>
            </w:r>
          </w:p>
        </w:tc>
        <w:tc>
          <w:tcPr>
            <w:tcW w:w="944" w:type="dxa"/>
            <w:tcBorders>
              <w:top w:val="single" w:sz="4" w:space="0" w:color="auto"/>
              <w:left w:val="single" w:sz="4" w:space="0" w:color="auto"/>
              <w:bottom w:val="single" w:sz="4" w:space="0" w:color="auto"/>
            </w:tcBorders>
            <w:shd w:val="clear" w:color="auto" w:fill="auto"/>
            <w:noWrap/>
            <w:hideMark/>
          </w:tcPr>
          <w:p w14:paraId="20B6747B" w14:textId="3D224D56"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-3.193</w:t>
            </w:r>
          </w:p>
        </w:tc>
        <w:tc>
          <w:tcPr>
            <w:tcW w:w="968" w:type="dxa"/>
            <w:tcBorders>
              <w:top w:val="single" w:sz="4" w:space="0" w:color="auto"/>
              <w:bottom w:val="single" w:sz="4" w:space="0" w:color="auto"/>
            </w:tcBorders>
            <w:shd w:val="clear" w:color="auto" w:fill="auto"/>
            <w:noWrap/>
            <w:hideMark/>
          </w:tcPr>
          <w:p w14:paraId="129F5DB1" w14:textId="081479C6"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-2.586</w:t>
            </w:r>
          </w:p>
        </w:tc>
        <w:tc>
          <w:tcPr>
            <w:tcW w:w="968" w:type="dxa"/>
            <w:tcBorders>
              <w:top w:val="single" w:sz="4" w:space="0" w:color="auto"/>
              <w:bottom w:val="single" w:sz="4" w:space="0" w:color="auto"/>
              <w:right w:val="single" w:sz="4" w:space="0" w:color="auto"/>
            </w:tcBorders>
            <w:shd w:val="clear" w:color="auto" w:fill="auto"/>
            <w:noWrap/>
            <w:hideMark/>
          </w:tcPr>
          <w:p w14:paraId="06D9FBF6" w14:textId="01A0D8D6"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-2.254</w:t>
            </w:r>
          </w:p>
        </w:tc>
      </w:tr>
      <w:tr w:rsidR="002E554D" w:rsidRPr="002E554D" w14:paraId="4D36E593"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F0211" w14:textId="7777777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3C7F3F2F" w14:textId="77C4CBAF"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0.831</w:t>
            </w:r>
          </w:p>
        </w:tc>
        <w:tc>
          <w:tcPr>
            <w:tcW w:w="960" w:type="dxa"/>
            <w:tcBorders>
              <w:top w:val="single" w:sz="4" w:space="0" w:color="auto"/>
              <w:left w:val="single" w:sz="4" w:space="0" w:color="auto"/>
              <w:bottom w:val="single" w:sz="4" w:space="0" w:color="auto"/>
            </w:tcBorders>
            <w:shd w:val="clear" w:color="auto" w:fill="auto"/>
            <w:noWrap/>
            <w:hideMark/>
          </w:tcPr>
          <w:p w14:paraId="78A7D566" w14:textId="112F0AF9"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-3.171</w:t>
            </w:r>
          </w:p>
        </w:tc>
        <w:tc>
          <w:tcPr>
            <w:tcW w:w="960" w:type="dxa"/>
            <w:tcBorders>
              <w:top w:val="single" w:sz="4" w:space="0" w:color="auto"/>
              <w:bottom w:val="single" w:sz="4" w:space="0" w:color="auto"/>
            </w:tcBorders>
            <w:shd w:val="clear" w:color="auto" w:fill="auto"/>
            <w:noWrap/>
            <w:hideMark/>
          </w:tcPr>
          <w:p w14:paraId="59B29666" w14:textId="1602004D"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-2.555</w:t>
            </w:r>
          </w:p>
        </w:tc>
        <w:tc>
          <w:tcPr>
            <w:tcW w:w="960" w:type="dxa"/>
            <w:tcBorders>
              <w:top w:val="single" w:sz="4" w:space="0" w:color="auto"/>
              <w:bottom w:val="single" w:sz="4" w:space="0" w:color="auto"/>
              <w:right w:val="single" w:sz="4" w:space="0" w:color="auto"/>
            </w:tcBorders>
            <w:shd w:val="clear" w:color="auto" w:fill="auto"/>
            <w:noWrap/>
            <w:hideMark/>
          </w:tcPr>
          <w:p w14:paraId="3340BA12" w14:textId="51212D32"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-2.220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52F1769" w14:textId="4B953ED5" w:rsidR="00E42B73" w:rsidRPr="002E554D" w:rsidRDefault="00E42B73" w:rsidP="00E42B73">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-0.256</w:t>
            </w:r>
          </w:p>
        </w:tc>
        <w:tc>
          <w:tcPr>
            <w:tcW w:w="944" w:type="dxa"/>
            <w:tcBorders>
              <w:top w:val="single" w:sz="4" w:space="0" w:color="auto"/>
              <w:left w:val="single" w:sz="4" w:space="0" w:color="auto"/>
              <w:bottom w:val="single" w:sz="4" w:space="0" w:color="auto"/>
            </w:tcBorders>
            <w:shd w:val="clear" w:color="auto" w:fill="auto"/>
            <w:noWrap/>
            <w:hideMark/>
          </w:tcPr>
          <w:p w14:paraId="0AA1ECF1" w14:textId="66E557FF"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-3.183</w:t>
            </w:r>
          </w:p>
        </w:tc>
        <w:tc>
          <w:tcPr>
            <w:tcW w:w="968" w:type="dxa"/>
            <w:tcBorders>
              <w:top w:val="single" w:sz="4" w:space="0" w:color="auto"/>
              <w:bottom w:val="single" w:sz="4" w:space="0" w:color="auto"/>
            </w:tcBorders>
            <w:shd w:val="clear" w:color="auto" w:fill="auto"/>
            <w:noWrap/>
            <w:hideMark/>
          </w:tcPr>
          <w:p w14:paraId="010B8C35" w14:textId="1A09C2F0"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-2.572</w:t>
            </w:r>
          </w:p>
        </w:tc>
        <w:tc>
          <w:tcPr>
            <w:tcW w:w="968" w:type="dxa"/>
            <w:tcBorders>
              <w:top w:val="single" w:sz="4" w:space="0" w:color="auto"/>
              <w:bottom w:val="single" w:sz="4" w:space="0" w:color="auto"/>
              <w:right w:val="single" w:sz="4" w:space="0" w:color="auto"/>
            </w:tcBorders>
            <w:shd w:val="clear" w:color="auto" w:fill="auto"/>
            <w:noWrap/>
            <w:hideMark/>
          </w:tcPr>
          <w:p w14:paraId="330E78A3" w14:textId="1971D9BE"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-2.239</w:t>
            </w:r>
          </w:p>
        </w:tc>
      </w:tr>
      <w:tr w:rsidR="002E554D" w:rsidRPr="002E554D" w14:paraId="3FE864CD"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20E02" w14:textId="7777777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25B03D8B" w14:textId="392B3788"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1.354</w:t>
            </w:r>
          </w:p>
        </w:tc>
        <w:tc>
          <w:tcPr>
            <w:tcW w:w="960" w:type="dxa"/>
            <w:tcBorders>
              <w:top w:val="single" w:sz="4" w:space="0" w:color="auto"/>
              <w:left w:val="single" w:sz="4" w:space="0" w:color="auto"/>
              <w:bottom w:val="single" w:sz="4" w:space="0" w:color="auto"/>
            </w:tcBorders>
            <w:shd w:val="clear" w:color="auto" w:fill="auto"/>
            <w:noWrap/>
            <w:hideMark/>
          </w:tcPr>
          <w:p w14:paraId="7535B6AA" w14:textId="34B6B71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-3.170</w:t>
            </w:r>
          </w:p>
        </w:tc>
        <w:tc>
          <w:tcPr>
            <w:tcW w:w="960" w:type="dxa"/>
            <w:tcBorders>
              <w:top w:val="single" w:sz="4" w:space="0" w:color="auto"/>
              <w:bottom w:val="single" w:sz="4" w:space="0" w:color="auto"/>
            </w:tcBorders>
            <w:shd w:val="clear" w:color="auto" w:fill="auto"/>
            <w:noWrap/>
            <w:hideMark/>
          </w:tcPr>
          <w:p w14:paraId="28AD884D" w14:textId="2A437895"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-2.553</w:t>
            </w:r>
          </w:p>
        </w:tc>
        <w:tc>
          <w:tcPr>
            <w:tcW w:w="960" w:type="dxa"/>
            <w:tcBorders>
              <w:top w:val="single" w:sz="4" w:space="0" w:color="auto"/>
              <w:bottom w:val="single" w:sz="4" w:space="0" w:color="auto"/>
              <w:right w:val="single" w:sz="4" w:space="0" w:color="auto"/>
            </w:tcBorders>
            <w:shd w:val="clear" w:color="auto" w:fill="auto"/>
            <w:noWrap/>
            <w:hideMark/>
          </w:tcPr>
          <w:p w14:paraId="2452C538" w14:textId="347820F1"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664C79E" w14:textId="05B68BD9" w:rsidR="00E42B73" w:rsidRPr="002E554D" w:rsidRDefault="00E42B73" w:rsidP="00E42B73">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0.092</w:t>
            </w:r>
          </w:p>
        </w:tc>
        <w:tc>
          <w:tcPr>
            <w:tcW w:w="944" w:type="dxa"/>
            <w:tcBorders>
              <w:top w:val="single" w:sz="4" w:space="0" w:color="auto"/>
              <w:left w:val="single" w:sz="4" w:space="0" w:color="auto"/>
              <w:bottom w:val="single" w:sz="4" w:space="0" w:color="auto"/>
            </w:tcBorders>
            <w:shd w:val="clear" w:color="auto" w:fill="auto"/>
            <w:noWrap/>
            <w:hideMark/>
          </w:tcPr>
          <w:p w14:paraId="334ABCCF" w14:textId="24723E46"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-3.156</w:t>
            </w:r>
          </w:p>
        </w:tc>
        <w:tc>
          <w:tcPr>
            <w:tcW w:w="968" w:type="dxa"/>
            <w:tcBorders>
              <w:top w:val="single" w:sz="4" w:space="0" w:color="auto"/>
              <w:bottom w:val="single" w:sz="4" w:space="0" w:color="auto"/>
            </w:tcBorders>
            <w:shd w:val="clear" w:color="auto" w:fill="auto"/>
            <w:noWrap/>
            <w:hideMark/>
          </w:tcPr>
          <w:p w14:paraId="553A24D1" w14:textId="1D1D5DF8"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-2.533</w:t>
            </w:r>
          </w:p>
        </w:tc>
        <w:tc>
          <w:tcPr>
            <w:tcW w:w="968" w:type="dxa"/>
            <w:tcBorders>
              <w:top w:val="single" w:sz="4" w:space="0" w:color="auto"/>
              <w:bottom w:val="single" w:sz="4" w:space="0" w:color="auto"/>
              <w:right w:val="single" w:sz="4" w:space="0" w:color="auto"/>
            </w:tcBorders>
            <w:shd w:val="clear" w:color="auto" w:fill="auto"/>
            <w:noWrap/>
            <w:hideMark/>
          </w:tcPr>
          <w:p w14:paraId="32A35B0A" w14:textId="53F2509A"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-2.196</w:t>
            </w:r>
          </w:p>
        </w:tc>
      </w:tr>
      <w:tr w:rsidR="002E554D" w:rsidRPr="002E554D" w14:paraId="3424F62A"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FE1F7" w14:textId="7777777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4C3CA43C" w14:textId="0110B98F"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2.907</w:t>
            </w:r>
          </w:p>
        </w:tc>
        <w:tc>
          <w:tcPr>
            <w:tcW w:w="960" w:type="dxa"/>
            <w:tcBorders>
              <w:top w:val="single" w:sz="4" w:space="0" w:color="auto"/>
              <w:left w:val="single" w:sz="4" w:space="0" w:color="auto"/>
              <w:bottom w:val="single" w:sz="4" w:space="0" w:color="auto"/>
            </w:tcBorders>
            <w:shd w:val="clear" w:color="auto" w:fill="auto"/>
            <w:noWrap/>
            <w:hideMark/>
          </w:tcPr>
          <w:p w14:paraId="4D757407" w14:textId="3BA3F658"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-3.162</w:t>
            </w:r>
          </w:p>
        </w:tc>
        <w:tc>
          <w:tcPr>
            <w:tcW w:w="960" w:type="dxa"/>
            <w:tcBorders>
              <w:top w:val="single" w:sz="4" w:space="0" w:color="auto"/>
              <w:bottom w:val="single" w:sz="4" w:space="0" w:color="auto"/>
            </w:tcBorders>
            <w:shd w:val="clear" w:color="auto" w:fill="auto"/>
            <w:noWrap/>
            <w:hideMark/>
          </w:tcPr>
          <w:p w14:paraId="2DF10F67" w14:textId="3843650C"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-2.542</w:t>
            </w:r>
          </w:p>
        </w:tc>
        <w:tc>
          <w:tcPr>
            <w:tcW w:w="960" w:type="dxa"/>
            <w:tcBorders>
              <w:top w:val="single" w:sz="4" w:space="0" w:color="auto"/>
              <w:bottom w:val="single" w:sz="4" w:space="0" w:color="auto"/>
              <w:right w:val="single" w:sz="4" w:space="0" w:color="auto"/>
            </w:tcBorders>
            <w:shd w:val="clear" w:color="auto" w:fill="auto"/>
            <w:noWrap/>
            <w:hideMark/>
          </w:tcPr>
          <w:p w14:paraId="13E8BA9D" w14:textId="66B6C37D"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24BC47E" w14:textId="4ADF17E1" w:rsidR="00E42B73" w:rsidRPr="002E554D" w:rsidRDefault="00E42B73" w:rsidP="00E42B73">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0.242</w:t>
            </w:r>
          </w:p>
        </w:tc>
        <w:tc>
          <w:tcPr>
            <w:tcW w:w="944" w:type="dxa"/>
            <w:tcBorders>
              <w:top w:val="single" w:sz="4" w:space="0" w:color="auto"/>
              <w:left w:val="single" w:sz="4" w:space="0" w:color="auto"/>
              <w:bottom w:val="single" w:sz="4" w:space="0" w:color="auto"/>
            </w:tcBorders>
            <w:shd w:val="clear" w:color="auto" w:fill="auto"/>
            <w:noWrap/>
            <w:hideMark/>
          </w:tcPr>
          <w:p w14:paraId="0FBDFD1A" w14:textId="0D809B5E"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-3.163</w:t>
            </w:r>
          </w:p>
        </w:tc>
        <w:tc>
          <w:tcPr>
            <w:tcW w:w="968" w:type="dxa"/>
            <w:tcBorders>
              <w:top w:val="single" w:sz="4" w:space="0" w:color="auto"/>
              <w:bottom w:val="single" w:sz="4" w:space="0" w:color="auto"/>
            </w:tcBorders>
            <w:shd w:val="clear" w:color="auto" w:fill="auto"/>
            <w:noWrap/>
            <w:hideMark/>
          </w:tcPr>
          <w:p w14:paraId="06A3946F" w14:textId="2123EC85"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-2.543</w:t>
            </w:r>
          </w:p>
        </w:tc>
        <w:tc>
          <w:tcPr>
            <w:tcW w:w="968" w:type="dxa"/>
            <w:tcBorders>
              <w:top w:val="single" w:sz="4" w:space="0" w:color="auto"/>
              <w:bottom w:val="single" w:sz="4" w:space="0" w:color="auto"/>
              <w:right w:val="single" w:sz="4" w:space="0" w:color="auto"/>
            </w:tcBorders>
            <w:shd w:val="clear" w:color="auto" w:fill="auto"/>
            <w:noWrap/>
            <w:hideMark/>
          </w:tcPr>
          <w:p w14:paraId="4C820C76" w14:textId="701C1B38"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-2.207</w:t>
            </w:r>
          </w:p>
        </w:tc>
      </w:tr>
      <w:tr w:rsidR="002E554D" w:rsidRPr="002E554D" w14:paraId="27B1C1E0"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4874C" w14:textId="7777777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DC72084" w14:textId="3998FD1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2.904</w:t>
            </w:r>
          </w:p>
        </w:tc>
        <w:tc>
          <w:tcPr>
            <w:tcW w:w="960" w:type="dxa"/>
            <w:tcBorders>
              <w:top w:val="single" w:sz="4" w:space="0" w:color="auto"/>
              <w:left w:val="single" w:sz="4" w:space="0" w:color="auto"/>
              <w:bottom w:val="single" w:sz="4" w:space="0" w:color="auto"/>
            </w:tcBorders>
            <w:shd w:val="clear" w:color="auto" w:fill="auto"/>
            <w:noWrap/>
            <w:hideMark/>
          </w:tcPr>
          <w:p w14:paraId="2B371A62" w14:textId="499FD74D"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-3.187</w:t>
            </w:r>
          </w:p>
        </w:tc>
        <w:tc>
          <w:tcPr>
            <w:tcW w:w="960" w:type="dxa"/>
            <w:tcBorders>
              <w:top w:val="single" w:sz="4" w:space="0" w:color="auto"/>
              <w:bottom w:val="single" w:sz="4" w:space="0" w:color="auto"/>
            </w:tcBorders>
            <w:shd w:val="clear" w:color="auto" w:fill="auto"/>
            <w:noWrap/>
            <w:hideMark/>
          </w:tcPr>
          <w:p w14:paraId="7BFBDE71" w14:textId="4D05AB70"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-2.578</w:t>
            </w:r>
          </w:p>
        </w:tc>
        <w:tc>
          <w:tcPr>
            <w:tcW w:w="960" w:type="dxa"/>
            <w:tcBorders>
              <w:top w:val="single" w:sz="4" w:space="0" w:color="auto"/>
              <w:bottom w:val="single" w:sz="4" w:space="0" w:color="auto"/>
              <w:right w:val="single" w:sz="4" w:space="0" w:color="auto"/>
            </w:tcBorders>
            <w:shd w:val="clear" w:color="auto" w:fill="auto"/>
            <w:noWrap/>
            <w:hideMark/>
          </w:tcPr>
          <w:p w14:paraId="089181C7" w14:textId="19EADAF9"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-2.245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12C51FC" w14:textId="0A604C5E" w:rsidR="00E42B73" w:rsidRPr="002E554D" w:rsidRDefault="00E42B73" w:rsidP="00E42B73">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0.232</w:t>
            </w:r>
          </w:p>
        </w:tc>
        <w:tc>
          <w:tcPr>
            <w:tcW w:w="944" w:type="dxa"/>
            <w:tcBorders>
              <w:top w:val="single" w:sz="4" w:space="0" w:color="auto"/>
              <w:left w:val="single" w:sz="4" w:space="0" w:color="auto"/>
              <w:bottom w:val="single" w:sz="4" w:space="0" w:color="auto"/>
            </w:tcBorders>
            <w:shd w:val="clear" w:color="auto" w:fill="auto"/>
            <w:noWrap/>
            <w:hideMark/>
          </w:tcPr>
          <w:p w14:paraId="2C520E35" w14:textId="60509E14"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-3.126</w:t>
            </w:r>
          </w:p>
        </w:tc>
        <w:tc>
          <w:tcPr>
            <w:tcW w:w="968" w:type="dxa"/>
            <w:tcBorders>
              <w:top w:val="single" w:sz="4" w:space="0" w:color="auto"/>
              <w:bottom w:val="single" w:sz="4" w:space="0" w:color="auto"/>
            </w:tcBorders>
            <w:shd w:val="clear" w:color="auto" w:fill="auto"/>
            <w:noWrap/>
            <w:hideMark/>
          </w:tcPr>
          <w:p w14:paraId="62F7E30A" w14:textId="550F75EC"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-2.490</w:t>
            </w:r>
          </w:p>
        </w:tc>
        <w:tc>
          <w:tcPr>
            <w:tcW w:w="968" w:type="dxa"/>
            <w:tcBorders>
              <w:top w:val="single" w:sz="4" w:space="0" w:color="auto"/>
              <w:bottom w:val="single" w:sz="4" w:space="0" w:color="auto"/>
              <w:right w:val="single" w:sz="4" w:space="0" w:color="auto"/>
            </w:tcBorders>
            <w:shd w:val="clear" w:color="auto" w:fill="auto"/>
            <w:noWrap/>
            <w:hideMark/>
          </w:tcPr>
          <w:p w14:paraId="5ACDE407" w14:textId="22FE1DF0"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-2.151</w:t>
            </w:r>
          </w:p>
        </w:tc>
      </w:tr>
      <w:tr w:rsidR="002E554D" w:rsidRPr="002E554D" w14:paraId="1DF7D4DA"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8657" w14:textId="7777777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43999AE3" w14:textId="4F69325A"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3.323</w:t>
            </w:r>
          </w:p>
        </w:tc>
        <w:tc>
          <w:tcPr>
            <w:tcW w:w="960" w:type="dxa"/>
            <w:tcBorders>
              <w:top w:val="single" w:sz="4" w:space="0" w:color="auto"/>
              <w:left w:val="single" w:sz="4" w:space="0" w:color="auto"/>
              <w:bottom w:val="single" w:sz="4" w:space="0" w:color="auto"/>
            </w:tcBorders>
            <w:shd w:val="clear" w:color="auto" w:fill="auto"/>
            <w:noWrap/>
            <w:hideMark/>
          </w:tcPr>
          <w:p w14:paraId="76D7C3CA" w14:textId="2EF00E52"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-3.135</w:t>
            </w:r>
          </w:p>
        </w:tc>
        <w:tc>
          <w:tcPr>
            <w:tcW w:w="960" w:type="dxa"/>
            <w:tcBorders>
              <w:top w:val="single" w:sz="4" w:space="0" w:color="auto"/>
              <w:bottom w:val="single" w:sz="4" w:space="0" w:color="auto"/>
            </w:tcBorders>
            <w:shd w:val="clear" w:color="auto" w:fill="auto"/>
            <w:noWrap/>
            <w:hideMark/>
          </w:tcPr>
          <w:p w14:paraId="4E7F079B" w14:textId="33D9B7B7"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-2.504</w:t>
            </w:r>
          </w:p>
        </w:tc>
        <w:tc>
          <w:tcPr>
            <w:tcW w:w="960" w:type="dxa"/>
            <w:tcBorders>
              <w:top w:val="single" w:sz="4" w:space="0" w:color="auto"/>
              <w:bottom w:val="single" w:sz="4" w:space="0" w:color="auto"/>
              <w:right w:val="single" w:sz="4" w:space="0" w:color="auto"/>
            </w:tcBorders>
            <w:shd w:val="clear" w:color="auto" w:fill="auto"/>
            <w:noWrap/>
            <w:hideMark/>
          </w:tcPr>
          <w:p w14:paraId="7A539C72" w14:textId="6CA909CA"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4A5CB21" w14:textId="6D820C7A" w:rsidR="00E42B73" w:rsidRPr="002E554D" w:rsidRDefault="00E42B73" w:rsidP="00E42B73">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-0.663</w:t>
            </w:r>
          </w:p>
        </w:tc>
        <w:tc>
          <w:tcPr>
            <w:tcW w:w="944" w:type="dxa"/>
            <w:tcBorders>
              <w:top w:val="single" w:sz="4" w:space="0" w:color="auto"/>
              <w:left w:val="single" w:sz="4" w:space="0" w:color="auto"/>
              <w:bottom w:val="single" w:sz="4" w:space="0" w:color="auto"/>
            </w:tcBorders>
            <w:shd w:val="clear" w:color="auto" w:fill="auto"/>
            <w:noWrap/>
            <w:hideMark/>
          </w:tcPr>
          <w:p w14:paraId="176EABCC" w14:textId="0C6A7753"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-3.043</w:t>
            </w:r>
          </w:p>
        </w:tc>
        <w:tc>
          <w:tcPr>
            <w:tcW w:w="968" w:type="dxa"/>
            <w:tcBorders>
              <w:top w:val="single" w:sz="4" w:space="0" w:color="auto"/>
              <w:bottom w:val="single" w:sz="4" w:space="0" w:color="auto"/>
            </w:tcBorders>
            <w:shd w:val="clear" w:color="auto" w:fill="auto"/>
            <w:noWrap/>
            <w:hideMark/>
          </w:tcPr>
          <w:p w14:paraId="0BC17FDD" w14:textId="545210F9"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-2.383</w:t>
            </w:r>
          </w:p>
        </w:tc>
        <w:tc>
          <w:tcPr>
            <w:tcW w:w="968" w:type="dxa"/>
            <w:tcBorders>
              <w:top w:val="single" w:sz="4" w:space="0" w:color="auto"/>
              <w:bottom w:val="single" w:sz="4" w:space="0" w:color="auto"/>
              <w:right w:val="single" w:sz="4" w:space="0" w:color="auto"/>
            </w:tcBorders>
            <w:shd w:val="clear" w:color="auto" w:fill="auto"/>
            <w:noWrap/>
            <w:hideMark/>
          </w:tcPr>
          <w:p w14:paraId="1952F118" w14:textId="2B55AA0E" w:rsidR="00E42B73" w:rsidRPr="002E554D" w:rsidRDefault="00E42B73" w:rsidP="00E42B73">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-2.038</w:t>
            </w:r>
          </w:p>
        </w:tc>
      </w:tr>
      <w:tr w:rsidR="002E554D" w:rsidRPr="002E554D" w14:paraId="3EDEF31E"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6C56" w14:textId="77777777" w:rsidR="00771184" w:rsidRPr="002E554D" w:rsidRDefault="00771184" w:rsidP="00771184">
            <w:pPr>
              <w:spacing w:after="0" w:line="240" w:lineRule="auto"/>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 </w:t>
            </w:r>
          </w:p>
        </w:tc>
        <w:tc>
          <w:tcPr>
            <w:tcW w:w="39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20179"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Silver</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F5DD1"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Palladium</w:t>
            </w:r>
          </w:p>
        </w:tc>
      </w:tr>
      <w:tr w:rsidR="002E554D" w:rsidRPr="002E554D" w14:paraId="5A621517"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197B9" w14:textId="7777777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45C6552B" w14:textId="0D24995C" w:rsidR="00511100" w:rsidRPr="002E554D" w:rsidRDefault="00511100" w:rsidP="00511100">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-3.462***</w:t>
            </w:r>
          </w:p>
        </w:tc>
        <w:tc>
          <w:tcPr>
            <w:tcW w:w="960" w:type="dxa"/>
            <w:tcBorders>
              <w:top w:val="single" w:sz="4" w:space="0" w:color="auto"/>
              <w:left w:val="single" w:sz="4" w:space="0" w:color="auto"/>
              <w:bottom w:val="single" w:sz="4" w:space="0" w:color="auto"/>
            </w:tcBorders>
            <w:shd w:val="clear" w:color="auto" w:fill="auto"/>
            <w:noWrap/>
            <w:hideMark/>
          </w:tcPr>
          <w:p w14:paraId="64BE3EF7" w14:textId="5DB85BCF"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-3.118</w:t>
            </w:r>
          </w:p>
        </w:tc>
        <w:tc>
          <w:tcPr>
            <w:tcW w:w="960" w:type="dxa"/>
            <w:tcBorders>
              <w:top w:val="single" w:sz="4" w:space="0" w:color="auto"/>
              <w:bottom w:val="single" w:sz="4" w:space="0" w:color="auto"/>
            </w:tcBorders>
            <w:shd w:val="clear" w:color="auto" w:fill="auto"/>
            <w:noWrap/>
            <w:hideMark/>
          </w:tcPr>
          <w:p w14:paraId="71827C98" w14:textId="12714E08"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-2.479</w:t>
            </w:r>
          </w:p>
        </w:tc>
        <w:tc>
          <w:tcPr>
            <w:tcW w:w="960" w:type="dxa"/>
            <w:tcBorders>
              <w:top w:val="single" w:sz="4" w:space="0" w:color="auto"/>
              <w:bottom w:val="single" w:sz="4" w:space="0" w:color="auto"/>
              <w:right w:val="single" w:sz="4" w:space="0" w:color="auto"/>
            </w:tcBorders>
            <w:shd w:val="clear" w:color="auto" w:fill="auto"/>
            <w:noWrap/>
            <w:hideMark/>
          </w:tcPr>
          <w:p w14:paraId="35F2BE84" w14:textId="56256740"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C83ABFD" w14:textId="6935141F"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-1.739</w:t>
            </w:r>
          </w:p>
        </w:tc>
        <w:tc>
          <w:tcPr>
            <w:tcW w:w="944" w:type="dxa"/>
            <w:tcBorders>
              <w:top w:val="single" w:sz="4" w:space="0" w:color="auto"/>
              <w:left w:val="single" w:sz="4" w:space="0" w:color="auto"/>
              <w:bottom w:val="single" w:sz="4" w:space="0" w:color="auto"/>
            </w:tcBorders>
            <w:shd w:val="clear" w:color="auto" w:fill="auto"/>
            <w:noWrap/>
            <w:hideMark/>
          </w:tcPr>
          <w:p w14:paraId="2269E12E" w14:textId="412F1D2D"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-3.106</w:t>
            </w:r>
          </w:p>
        </w:tc>
        <w:tc>
          <w:tcPr>
            <w:tcW w:w="968" w:type="dxa"/>
            <w:tcBorders>
              <w:top w:val="single" w:sz="4" w:space="0" w:color="auto"/>
              <w:bottom w:val="single" w:sz="4" w:space="0" w:color="auto"/>
            </w:tcBorders>
            <w:shd w:val="clear" w:color="auto" w:fill="auto"/>
            <w:noWrap/>
            <w:hideMark/>
          </w:tcPr>
          <w:p w14:paraId="52F05423" w14:textId="72AD65AB"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-2.462</w:t>
            </w:r>
          </w:p>
        </w:tc>
        <w:tc>
          <w:tcPr>
            <w:tcW w:w="968" w:type="dxa"/>
            <w:tcBorders>
              <w:top w:val="single" w:sz="4" w:space="0" w:color="auto"/>
              <w:bottom w:val="single" w:sz="4" w:space="0" w:color="auto"/>
              <w:right w:val="single" w:sz="4" w:space="0" w:color="auto"/>
            </w:tcBorders>
            <w:shd w:val="clear" w:color="auto" w:fill="auto"/>
            <w:noWrap/>
            <w:hideMark/>
          </w:tcPr>
          <w:p w14:paraId="68D8A5EB" w14:textId="1A54E8F9"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-2.122</w:t>
            </w:r>
          </w:p>
        </w:tc>
      </w:tr>
      <w:tr w:rsidR="002E554D" w:rsidRPr="002E554D" w14:paraId="3779C9C1"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002B2" w14:textId="7777777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6A0463B8" w14:textId="5EDF021F" w:rsidR="00511100" w:rsidRPr="002E554D" w:rsidRDefault="00511100" w:rsidP="00511100">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-3.019**</w:t>
            </w:r>
          </w:p>
        </w:tc>
        <w:tc>
          <w:tcPr>
            <w:tcW w:w="960" w:type="dxa"/>
            <w:tcBorders>
              <w:top w:val="single" w:sz="4" w:space="0" w:color="auto"/>
              <w:left w:val="single" w:sz="4" w:space="0" w:color="auto"/>
              <w:bottom w:val="single" w:sz="4" w:space="0" w:color="auto"/>
            </w:tcBorders>
            <w:shd w:val="clear" w:color="auto" w:fill="auto"/>
            <w:noWrap/>
            <w:hideMark/>
          </w:tcPr>
          <w:p w14:paraId="457269D4" w14:textId="1EED69F8"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-3.143</w:t>
            </w:r>
          </w:p>
        </w:tc>
        <w:tc>
          <w:tcPr>
            <w:tcW w:w="960" w:type="dxa"/>
            <w:tcBorders>
              <w:top w:val="single" w:sz="4" w:space="0" w:color="auto"/>
              <w:bottom w:val="single" w:sz="4" w:space="0" w:color="auto"/>
            </w:tcBorders>
            <w:shd w:val="clear" w:color="auto" w:fill="auto"/>
            <w:noWrap/>
            <w:hideMark/>
          </w:tcPr>
          <w:p w14:paraId="5152B7A4" w14:textId="4AD7973E"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-2.515</w:t>
            </w:r>
          </w:p>
        </w:tc>
        <w:tc>
          <w:tcPr>
            <w:tcW w:w="960" w:type="dxa"/>
            <w:tcBorders>
              <w:top w:val="single" w:sz="4" w:space="0" w:color="auto"/>
              <w:bottom w:val="single" w:sz="4" w:space="0" w:color="auto"/>
              <w:right w:val="single" w:sz="4" w:space="0" w:color="auto"/>
            </w:tcBorders>
            <w:shd w:val="clear" w:color="auto" w:fill="auto"/>
            <w:noWrap/>
            <w:hideMark/>
          </w:tcPr>
          <w:p w14:paraId="6D5BEF4F" w14:textId="53245A1C"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AF896A4" w14:textId="5C6C90BF"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-1.419</w:t>
            </w:r>
          </w:p>
        </w:tc>
        <w:tc>
          <w:tcPr>
            <w:tcW w:w="944" w:type="dxa"/>
            <w:tcBorders>
              <w:top w:val="single" w:sz="4" w:space="0" w:color="auto"/>
              <w:left w:val="single" w:sz="4" w:space="0" w:color="auto"/>
              <w:bottom w:val="single" w:sz="4" w:space="0" w:color="auto"/>
            </w:tcBorders>
            <w:shd w:val="clear" w:color="auto" w:fill="auto"/>
            <w:noWrap/>
            <w:hideMark/>
          </w:tcPr>
          <w:p w14:paraId="2DB815FA" w14:textId="4B75478A"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-3.128</w:t>
            </w:r>
          </w:p>
        </w:tc>
        <w:tc>
          <w:tcPr>
            <w:tcW w:w="968" w:type="dxa"/>
            <w:tcBorders>
              <w:top w:val="single" w:sz="4" w:space="0" w:color="auto"/>
              <w:bottom w:val="single" w:sz="4" w:space="0" w:color="auto"/>
            </w:tcBorders>
            <w:shd w:val="clear" w:color="auto" w:fill="auto"/>
            <w:noWrap/>
            <w:hideMark/>
          </w:tcPr>
          <w:p w14:paraId="0A2FF02A" w14:textId="3F4B7C39"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-2.493</w:t>
            </w:r>
          </w:p>
        </w:tc>
        <w:tc>
          <w:tcPr>
            <w:tcW w:w="968" w:type="dxa"/>
            <w:tcBorders>
              <w:top w:val="single" w:sz="4" w:space="0" w:color="auto"/>
              <w:bottom w:val="single" w:sz="4" w:space="0" w:color="auto"/>
              <w:right w:val="single" w:sz="4" w:space="0" w:color="auto"/>
            </w:tcBorders>
            <w:shd w:val="clear" w:color="auto" w:fill="auto"/>
            <w:noWrap/>
            <w:hideMark/>
          </w:tcPr>
          <w:p w14:paraId="6C1D34A7" w14:textId="0E47CB4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-2.154</w:t>
            </w:r>
          </w:p>
        </w:tc>
      </w:tr>
      <w:tr w:rsidR="002E554D" w:rsidRPr="002E554D" w14:paraId="3AFEF2E0"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DB7EB" w14:textId="7777777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18C5A52A" w14:textId="2DDA7270" w:rsidR="00511100" w:rsidRPr="002E554D" w:rsidRDefault="00511100" w:rsidP="00511100">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-2.479**</w:t>
            </w:r>
          </w:p>
        </w:tc>
        <w:tc>
          <w:tcPr>
            <w:tcW w:w="960" w:type="dxa"/>
            <w:tcBorders>
              <w:top w:val="single" w:sz="4" w:space="0" w:color="auto"/>
              <w:left w:val="single" w:sz="4" w:space="0" w:color="auto"/>
              <w:bottom w:val="single" w:sz="4" w:space="0" w:color="auto"/>
            </w:tcBorders>
            <w:shd w:val="clear" w:color="auto" w:fill="auto"/>
            <w:noWrap/>
            <w:hideMark/>
          </w:tcPr>
          <w:p w14:paraId="715DFA39" w14:textId="1478929F"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-3.136</w:t>
            </w:r>
          </w:p>
        </w:tc>
        <w:tc>
          <w:tcPr>
            <w:tcW w:w="960" w:type="dxa"/>
            <w:tcBorders>
              <w:top w:val="single" w:sz="4" w:space="0" w:color="auto"/>
              <w:bottom w:val="single" w:sz="4" w:space="0" w:color="auto"/>
            </w:tcBorders>
            <w:shd w:val="clear" w:color="auto" w:fill="auto"/>
            <w:noWrap/>
            <w:hideMark/>
          </w:tcPr>
          <w:p w14:paraId="3D553EDD" w14:textId="685DDCE2"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-2.504</w:t>
            </w:r>
          </w:p>
        </w:tc>
        <w:tc>
          <w:tcPr>
            <w:tcW w:w="960" w:type="dxa"/>
            <w:tcBorders>
              <w:top w:val="single" w:sz="4" w:space="0" w:color="auto"/>
              <w:bottom w:val="single" w:sz="4" w:space="0" w:color="auto"/>
              <w:right w:val="single" w:sz="4" w:space="0" w:color="auto"/>
            </w:tcBorders>
            <w:shd w:val="clear" w:color="auto" w:fill="auto"/>
            <w:noWrap/>
            <w:hideMark/>
          </w:tcPr>
          <w:p w14:paraId="0A597C54" w14:textId="4BB6231E"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6036667" w14:textId="17121739"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-1.414</w:t>
            </w:r>
          </w:p>
        </w:tc>
        <w:tc>
          <w:tcPr>
            <w:tcW w:w="944" w:type="dxa"/>
            <w:tcBorders>
              <w:top w:val="single" w:sz="4" w:space="0" w:color="auto"/>
              <w:left w:val="single" w:sz="4" w:space="0" w:color="auto"/>
              <w:bottom w:val="single" w:sz="4" w:space="0" w:color="auto"/>
            </w:tcBorders>
            <w:shd w:val="clear" w:color="auto" w:fill="auto"/>
            <w:noWrap/>
            <w:hideMark/>
          </w:tcPr>
          <w:p w14:paraId="6B7C469F" w14:textId="3AC3EB06"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-3.129</w:t>
            </w:r>
          </w:p>
        </w:tc>
        <w:tc>
          <w:tcPr>
            <w:tcW w:w="968" w:type="dxa"/>
            <w:tcBorders>
              <w:top w:val="single" w:sz="4" w:space="0" w:color="auto"/>
              <w:bottom w:val="single" w:sz="4" w:space="0" w:color="auto"/>
            </w:tcBorders>
            <w:shd w:val="clear" w:color="auto" w:fill="auto"/>
            <w:noWrap/>
            <w:hideMark/>
          </w:tcPr>
          <w:p w14:paraId="19AE2D5D" w14:textId="136F3C11"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-2.495</w:t>
            </w:r>
          </w:p>
        </w:tc>
        <w:tc>
          <w:tcPr>
            <w:tcW w:w="968" w:type="dxa"/>
            <w:tcBorders>
              <w:top w:val="single" w:sz="4" w:space="0" w:color="auto"/>
              <w:bottom w:val="single" w:sz="4" w:space="0" w:color="auto"/>
              <w:right w:val="single" w:sz="4" w:space="0" w:color="auto"/>
            </w:tcBorders>
            <w:shd w:val="clear" w:color="auto" w:fill="auto"/>
            <w:noWrap/>
            <w:hideMark/>
          </w:tcPr>
          <w:p w14:paraId="4A0EF5F7" w14:textId="57DCE0A6"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-2.155</w:t>
            </w:r>
          </w:p>
        </w:tc>
      </w:tr>
      <w:tr w:rsidR="002E554D" w:rsidRPr="002E554D" w14:paraId="7B94037B"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55A9" w14:textId="7777777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77BB2FE0" w14:textId="0CBFFBEB"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-0.578</w:t>
            </w:r>
          </w:p>
        </w:tc>
        <w:tc>
          <w:tcPr>
            <w:tcW w:w="960" w:type="dxa"/>
            <w:tcBorders>
              <w:top w:val="single" w:sz="4" w:space="0" w:color="auto"/>
              <w:left w:val="single" w:sz="4" w:space="0" w:color="auto"/>
              <w:bottom w:val="single" w:sz="4" w:space="0" w:color="auto"/>
            </w:tcBorders>
            <w:shd w:val="clear" w:color="auto" w:fill="auto"/>
            <w:noWrap/>
            <w:hideMark/>
          </w:tcPr>
          <w:p w14:paraId="63288B66" w14:textId="1D989D48"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-3.105</w:t>
            </w:r>
          </w:p>
        </w:tc>
        <w:tc>
          <w:tcPr>
            <w:tcW w:w="960" w:type="dxa"/>
            <w:tcBorders>
              <w:top w:val="single" w:sz="4" w:space="0" w:color="auto"/>
              <w:bottom w:val="single" w:sz="4" w:space="0" w:color="auto"/>
            </w:tcBorders>
            <w:shd w:val="clear" w:color="auto" w:fill="auto"/>
            <w:noWrap/>
            <w:hideMark/>
          </w:tcPr>
          <w:p w14:paraId="2578BEF8" w14:textId="7BF4BB24"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-2.460</w:t>
            </w:r>
          </w:p>
        </w:tc>
        <w:tc>
          <w:tcPr>
            <w:tcW w:w="960" w:type="dxa"/>
            <w:tcBorders>
              <w:top w:val="single" w:sz="4" w:space="0" w:color="auto"/>
              <w:bottom w:val="single" w:sz="4" w:space="0" w:color="auto"/>
              <w:right w:val="single" w:sz="4" w:space="0" w:color="auto"/>
            </w:tcBorders>
            <w:shd w:val="clear" w:color="auto" w:fill="auto"/>
            <w:noWrap/>
            <w:hideMark/>
          </w:tcPr>
          <w:p w14:paraId="2442EDB0" w14:textId="2F4E159D"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6A53841" w14:textId="43565F43"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-0.988</w:t>
            </w:r>
          </w:p>
        </w:tc>
        <w:tc>
          <w:tcPr>
            <w:tcW w:w="944" w:type="dxa"/>
            <w:tcBorders>
              <w:top w:val="single" w:sz="4" w:space="0" w:color="auto"/>
              <w:left w:val="single" w:sz="4" w:space="0" w:color="auto"/>
              <w:bottom w:val="single" w:sz="4" w:space="0" w:color="auto"/>
            </w:tcBorders>
            <w:shd w:val="clear" w:color="auto" w:fill="auto"/>
            <w:noWrap/>
            <w:hideMark/>
          </w:tcPr>
          <w:p w14:paraId="7B6BDBBE" w14:textId="5D949158"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-3.132</w:t>
            </w:r>
          </w:p>
        </w:tc>
        <w:tc>
          <w:tcPr>
            <w:tcW w:w="968" w:type="dxa"/>
            <w:tcBorders>
              <w:top w:val="single" w:sz="4" w:space="0" w:color="auto"/>
              <w:bottom w:val="single" w:sz="4" w:space="0" w:color="auto"/>
            </w:tcBorders>
            <w:shd w:val="clear" w:color="auto" w:fill="auto"/>
            <w:noWrap/>
            <w:hideMark/>
          </w:tcPr>
          <w:p w14:paraId="73DA08D3" w14:textId="2C8108A5"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-2.499</w:t>
            </w:r>
          </w:p>
        </w:tc>
        <w:tc>
          <w:tcPr>
            <w:tcW w:w="968" w:type="dxa"/>
            <w:tcBorders>
              <w:top w:val="single" w:sz="4" w:space="0" w:color="auto"/>
              <w:bottom w:val="single" w:sz="4" w:space="0" w:color="auto"/>
              <w:right w:val="single" w:sz="4" w:space="0" w:color="auto"/>
            </w:tcBorders>
            <w:shd w:val="clear" w:color="auto" w:fill="auto"/>
            <w:noWrap/>
            <w:hideMark/>
          </w:tcPr>
          <w:p w14:paraId="0E9169C9" w14:textId="338AAAFE"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-2.159</w:t>
            </w:r>
          </w:p>
        </w:tc>
      </w:tr>
      <w:tr w:rsidR="002E554D" w:rsidRPr="002E554D" w14:paraId="388A746E"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6801D" w14:textId="7777777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297DD13F" w14:textId="4E8C6D0D"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0.859</w:t>
            </w:r>
          </w:p>
        </w:tc>
        <w:tc>
          <w:tcPr>
            <w:tcW w:w="960" w:type="dxa"/>
            <w:tcBorders>
              <w:top w:val="single" w:sz="4" w:space="0" w:color="auto"/>
              <w:left w:val="single" w:sz="4" w:space="0" w:color="auto"/>
              <w:bottom w:val="single" w:sz="4" w:space="0" w:color="auto"/>
            </w:tcBorders>
            <w:shd w:val="clear" w:color="auto" w:fill="auto"/>
            <w:noWrap/>
            <w:hideMark/>
          </w:tcPr>
          <w:p w14:paraId="5AD12957" w14:textId="4FA73E69"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-3.108</w:t>
            </w:r>
          </w:p>
        </w:tc>
        <w:tc>
          <w:tcPr>
            <w:tcW w:w="960" w:type="dxa"/>
            <w:tcBorders>
              <w:top w:val="single" w:sz="4" w:space="0" w:color="auto"/>
              <w:bottom w:val="single" w:sz="4" w:space="0" w:color="auto"/>
            </w:tcBorders>
            <w:shd w:val="clear" w:color="auto" w:fill="auto"/>
            <w:noWrap/>
            <w:hideMark/>
          </w:tcPr>
          <w:p w14:paraId="252BC513" w14:textId="7B1B3DEF"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-2.464</w:t>
            </w:r>
          </w:p>
        </w:tc>
        <w:tc>
          <w:tcPr>
            <w:tcW w:w="960" w:type="dxa"/>
            <w:tcBorders>
              <w:top w:val="single" w:sz="4" w:space="0" w:color="auto"/>
              <w:bottom w:val="single" w:sz="4" w:space="0" w:color="auto"/>
              <w:right w:val="single" w:sz="4" w:space="0" w:color="auto"/>
            </w:tcBorders>
            <w:shd w:val="clear" w:color="auto" w:fill="auto"/>
            <w:noWrap/>
            <w:hideMark/>
          </w:tcPr>
          <w:p w14:paraId="1B3434E8" w14:textId="0355639F"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CDE7B4D" w14:textId="34525863"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-0.861</w:t>
            </w:r>
          </w:p>
        </w:tc>
        <w:tc>
          <w:tcPr>
            <w:tcW w:w="944" w:type="dxa"/>
            <w:tcBorders>
              <w:top w:val="single" w:sz="4" w:space="0" w:color="auto"/>
              <w:left w:val="single" w:sz="4" w:space="0" w:color="auto"/>
              <w:bottom w:val="single" w:sz="4" w:space="0" w:color="auto"/>
            </w:tcBorders>
            <w:shd w:val="clear" w:color="auto" w:fill="auto"/>
            <w:noWrap/>
            <w:hideMark/>
          </w:tcPr>
          <w:p w14:paraId="3E2D1CB4" w14:textId="15EAB17F"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-3.129</w:t>
            </w:r>
          </w:p>
        </w:tc>
        <w:tc>
          <w:tcPr>
            <w:tcW w:w="968" w:type="dxa"/>
            <w:tcBorders>
              <w:top w:val="single" w:sz="4" w:space="0" w:color="auto"/>
              <w:bottom w:val="single" w:sz="4" w:space="0" w:color="auto"/>
            </w:tcBorders>
            <w:shd w:val="clear" w:color="auto" w:fill="auto"/>
            <w:noWrap/>
            <w:hideMark/>
          </w:tcPr>
          <w:p w14:paraId="63B2F629" w14:textId="35CF302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-2.494</w:t>
            </w:r>
          </w:p>
        </w:tc>
        <w:tc>
          <w:tcPr>
            <w:tcW w:w="968" w:type="dxa"/>
            <w:tcBorders>
              <w:top w:val="single" w:sz="4" w:space="0" w:color="auto"/>
              <w:bottom w:val="single" w:sz="4" w:space="0" w:color="auto"/>
              <w:right w:val="single" w:sz="4" w:space="0" w:color="auto"/>
            </w:tcBorders>
            <w:shd w:val="clear" w:color="auto" w:fill="auto"/>
            <w:noWrap/>
            <w:hideMark/>
          </w:tcPr>
          <w:p w14:paraId="639A7BC1" w14:textId="3EBF289F"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-2.155</w:t>
            </w:r>
          </w:p>
        </w:tc>
      </w:tr>
      <w:tr w:rsidR="002E554D" w:rsidRPr="002E554D" w14:paraId="1C8B03CF"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16738" w14:textId="7777777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75019F37" w14:textId="6678B380"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1.906</w:t>
            </w:r>
          </w:p>
        </w:tc>
        <w:tc>
          <w:tcPr>
            <w:tcW w:w="960" w:type="dxa"/>
            <w:tcBorders>
              <w:top w:val="single" w:sz="4" w:space="0" w:color="auto"/>
              <w:left w:val="single" w:sz="4" w:space="0" w:color="auto"/>
              <w:bottom w:val="single" w:sz="4" w:space="0" w:color="auto"/>
            </w:tcBorders>
            <w:shd w:val="clear" w:color="auto" w:fill="auto"/>
            <w:noWrap/>
            <w:hideMark/>
          </w:tcPr>
          <w:p w14:paraId="5A45F2F2" w14:textId="56427DFB"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-3.125</w:t>
            </w:r>
          </w:p>
        </w:tc>
        <w:tc>
          <w:tcPr>
            <w:tcW w:w="960" w:type="dxa"/>
            <w:tcBorders>
              <w:top w:val="single" w:sz="4" w:space="0" w:color="auto"/>
              <w:bottom w:val="single" w:sz="4" w:space="0" w:color="auto"/>
            </w:tcBorders>
            <w:shd w:val="clear" w:color="auto" w:fill="auto"/>
            <w:noWrap/>
            <w:hideMark/>
          </w:tcPr>
          <w:p w14:paraId="48861265" w14:textId="1024F9DA"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-2.489</w:t>
            </w:r>
          </w:p>
        </w:tc>
        <w:tc>
          <w:tcPr>
            <w:tcW w:w="960" w:type="dxa"/>
            <w:tcBorders>
              <w:top w:val="single" w:sz="4" w:space="0" w:color="auto"/>
              <w:bottom w:val="single" w:sz="4" w:space="0" w:color="auto"/>
              <w:right w:val="single" w:sz="4" w:space="0" w:color="auto"/>
            </w:tcBorders>
            <w:shd w:val="clear" w:color="auto" w:fill="auto"/>
            <w:noWrap/>
            <w:hideMark/>
          </w:tcPr>
          <w:p w14:paraId="5A7C766B" w14:textId="76D3FAC2"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3D7DCE1" w14:textId="2516AE61"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-0.603</w:t>
            </w:r>
          </w:p>
        </w:tc>
        <w:tc>
          <w:tcPr>
            <w:tcW w:w="944" w:type="dxa"/>
            <w:tcBorders>
              <w:top w:val="single" w:sz="4" w:space="0" w:color="auto"/>
              <w:left w:val="single" w:sz="4" w:space="0" w:color="auto"/>
              <w:bottom w:val="single" w:sz="4" w:space="0" w:color="auto"/>
            </w:tcBorders>
            <w:shd w:val="clear" w:color="auto" w:fill="auto"/>
            <w:noWrap/>
            <w:hideMark/>
          </w:tcPr>
          <w:p w14:paraId="3B41A72A" w14:textId="30B7CB71"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-3.092</w:t>
            </w:r>
          </w:p>
        </w:tc>
        <w:tc>
          <w:tcPr>
            <w:tcW w:w="968" w:type="dxa"/>
            <w:tcBorders>
              <w:top w:val="single" w:sz="4" w:space="0" w:color="auto"/>
              <w:bottom w:val="single" w:sz="4" w:space="0" w:color="auto"/>
            </w:tcBorders>
            <w:shd w:val="clear" w:color="auto" w:fill="auto"/>
            <w:noWrap/>
            <w:hideMark/>
          </w:tcPr>
          <w:p w14:paraId="60B6C0CF" w14:textId="47ACFE30"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-2.441</w:t>
            </w:r>
          </w:p>
        </w:tc>
        <w:tc>
          <w:tcPr>
            <w:tcW w:w="968" w:type="dxa"/>
            <w:tcBorders>
              <w:top w:val="single" w:sz="4" w:space="0" w:color="auto"/>
              <w:bottom w:val="single" w:sz="4" w:space="0" w:color="auto"/>
              <w:right w:val="single" w:sz="4" w:space="0" w:color="auto"/>
            </w:tcBorders>
            <w:shd w:val="clear" w:color="auto" w:fill="auto"/>
            <w:noWrap/>
            <w:hideMark/>
          </w:tcPr>
          <w:p w14:paraId="5E0FBB23" w14:textId="6CD091A6"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-2.100</w:t>
            </w:r>
          </w:p>
        </w:tc>
      </w:tr>
      <w:tr w:rsidR="002E554D" w:rsidRPr="002E554D" w14:paraId="51B365BC"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DEABA" w14:textId="7777777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42C2A2D5" w14:textId="064B64EF"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3.096</w:t>
            </w:r>
          </w:p>
        </w:tc>
        <w:tc>
          <w:tcPr>
            <w:tcW w:w="960" w:type="dxa"/>
            <w:tcBorders>
              <w:top w:val="single" w:sz="4" w:space="0" w:color="auto"/>
              <w:left w:val="single" w:sz="4" w:space="0" w:color="auto"/>
              <w:bottom w:val="single" w:sz="4" w:space="0" w:color="auto"/>
            </w:tcBorders>
            <w:shd w:val="clear" w:color="auto" w:fill="auto"/>
            <w:noWrap/>
            <w:hideMark/>
          </w:tcPr>
          <w:p w14:paraId="3FEDA73C" w14:textId="639287F2"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-3.096</w:t>
            </w:r>
          </w:p>
        </w:tc>
        <w:tc>
          <w:tcPr>
            <w:tcW w:w="960" w:type="dxa"/>
            <w:tcBorders>
              <w:top w:val="single" w:sz="4" w:space="0" w:color="auto"/>
              <w:bottom w:val="single" w:sz="4" w:space="0" w:color="auto"/>
            </w:tcBorders>
            <w:shd w:val="clear" w:color="auto" w:fill="auto"/>
            <w:noWrap/>
            <w:hideMark/>
          </w:tcPr>
          <w:p w14:paraId="1B358B2E" w14:textId="5FEE6D45"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-2.447</w:t>
            </w:r>
          </w:p>
        </w:tc>
        <w:tc>
          <w:tcPr>
            <w:tcW w:w="960" w:type="dxa"/>
            <w:tcBorders>
              <w:top w:val="single" w:sz="4" w:space="0" w:color="auto"/>
              <w:bottom w:val="single" w:sz="4" w:space="0" w:color="auto"/>
              <w:right w:val="single" w:sz="4" w:space="0" w:color="auto"/>
            </w:tcBorders>
            <w:shd w:val="clear" w:color="auto" w:fill="auto"/>
            <w:noWrap/>
            <w:hideMark/>
          </w:tcPr>
          <w:p w14:paraId="70292A24" w14:textId="0FAAB7FB"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6429D63" w14:textId="3114046C"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-0.001</w:t>
            </w:r>
          </w:p>
        </w:tc>
        <w:tc>
          <w:tcPr>
            <w:tcW w:w="944" w:type="dxa"/>
            <w:tcBorders>
              <w:top w:val="single" w:sz="4" w:space="0" w:color="auto"/>
              <w:left w:val="single" w:sz="4" w:space="0" w:color="auto"/>
              <w:bottom w:val="single" w:sz="4" w:space="0" w:color="auto"/>
            </w:tcBorders>
            <w:shd w:val="clear" w:color="auto" w:fill="auto"/>
            <w:noWrap/>
            <w:hideMark/>
          </w:tcPr>
          <w:p w14:paraId="749CD7F9" w14:textId="0EEDBB7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-3.116</w:t>
            </w:r>
          </w:p>
        </w:tc>
        <w:tc>
          <w:tcPr>
            <w:tcW w:w="968" w:type="dxa"/>
            <w:tcBorders>
              <w:top w:val="single" w:sz="4" w:space="0" w:color="auto"/>
              <w:bottom w:val="single" w:sz="4" w:space="0" w:color="auto"/>
            </w:tcBorders>
            <w:shd w:val="clear" w:color="auto" w:fill="auto"/>
            <w:noWrap/>
            <w:hideMark/>
          </w:tcPr>
          <w:p w14:paraId="401652C9" w14:textId="4142689A"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-2.475</w:t>
            </w:r>
          </w:p>
        </w:tc>
        <w:tc>
          <w:tcPr>
            <w:tcW w:w="968" w:type="dxa"/>
            <w:tcBorders>
              <w:top w:val="single" w:sz="4" w:space="0" w:color="auto"/>
              <w:bottom w:val="single" w:sz="4" w:space="0" w:color="auto"/>
              <w:right w:val="single" w:sz="4" w:space="0" w:color="auto"/>
            </w:tcBorders>
            <w:shd w:val="clear" w:color="auto" w:fill="auto"/>
            <w:noWrap/>
            <w:hideMark/>
          </w:tcPr>
          <w:p w14:paraId="3372AF14" w14:textId="29A7C24E"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-2.136</w:t>
            </w:r>
          </w:p>
        </w:tc>
      </w:tr>
      <w:tr w:rsidR="002E554D" w:rsidRPr="002E554D" w14:paraId="27D3B577"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2C479" w14:textId="7777777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448345F" w14:textId="566BA1CB"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3.273</w:t>
            </w:r>
          </w:p>
        </w:tc>
        <w:tc>
          <w:tcPr>
            <w:tcW w:w="960" w:type="dxa"/>
            <w:tcBorders>
              <w:top w:val="single" w:sz="4" w:space="0" w:color="auto"/>
              <w:left w:val="single" w:sz="4" w:space="0" w:color="auto"/>
              <w:bottom w:val="single" w:sz="4" w:space="0" w:color="auto"/>
            </w:tcBorders>
            <w:shd w:val="clear" w:color="auto" w:fill="auto"/>
            <w:noWrap/>
            <w:hideMark/>
          </w:tcPr>
          <w:p w14:paraId="610DCEE4" w14:textId="587743A2"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-3.113</w:t>
            </w:r>
          </w:p>
        </w:tc>
        <w:tc>
          <w:tcPr>
            <w:tcW w:w="960" w:type="dxa"/>
            <w:tcBorders>
              <w:top w:val="single" w:sz="4" w:space="0" w:color="auto"/>
              <w:bottom w:val="single" w:sz="4" w:space="0" w:color="auto"/>
            </w:tcBorders>
            <w:shd w:val="clear" w:color="auto" w:fill="auto"/>
            <w:noWrap/>
            <w:hideMark/>
          </w:tcPr>
          <w:p w14:paraId="69C6EB60" w14:textId="7B44BE89"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-2.472</w:t>
            </w:r>
          </w:p>
        </w:tc>
        <w:tc>
          <w:tcPr>
            <w:tcW w:w="960" w:type="dxa"/>
            <w:tcBorders>
              <w:top w:val="single" w:sz="4" w:space="0" w:color="auto"/>
              <w:bottom w:val="single" w:sz="4" w:space="0" w:color="auto"/>
              <w:right w:val="single" w:sz="4" w:space="0" w:color="auto"/>
            </w:tcBorders>
            <w:shd w:val="clear" w:color="auto" w:fill="auto"/>
            <w:noWrap/>
            <w:hideMark/>
          </w:tcPr>
          <w:p w14:paraId="0F40A6F5" w14:textId="3BC05A2B"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E51B9C1" w14:textId="5FD918A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0.225</w:t>
            </w:r>
          </w:p>
        </w:tc>
        <w:tc>
          <w:tcPr>
            <w:tcW w:w="944" w:type="dxa"/>
            <w:tcBorders>
              <w:top w:val="single" w:sz="4" w:space="0" w:color="auto"/>
              <w:left w:val="single" w:sz="4" w:space="0" w:color="auto"/>
              <w:bottom w:val="single" w:sz="4" w:space="0" w:color="auto"/>
            </w:tcBorders>
            <w:shd w:val="clear" w:color="auto" w:fill="auto"/>
            <w:noWrap/>
            <w:hideMark/>
          </w:tcPr>
          <w:p w14:paraId="604FF628" w14:textId="0B61F5F5"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-3.076</w:t>
            </w:r>
          </w:p>
        </w:tc>
        <w:tc>
          <w:tcPr>
            <w:tcW w:w="968" w:type="dxa"/>
            <w:tcBorders>
              <w:top w:val="single" w:sz="4" w:space="0" w:color="auto"/>
              <w:bottom w:val="single" w:sz="4" w:space="0" w:color="auto"/>
            </w:tcBorders>
            <w:shd w:val="clear" w:color="auto" w:fill="auto"/>
            <w:noWrap/>
            <w:hideMark/>
          </w:tcPr>
          <w:p w14:paraId="76A33C96" w14:textId="5E907FBE"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-2.419</w:t>
            </w:r>
          </w:p>
        </w:tc>
        <w:tc>
          <w:tcPr>
            <w:tcW w:w="968" w:type="dxa"/>
            <w:tcBorders>
              <w:top w:val="single" w:sz="4" w:space="0" w:color="auto"/>
              <w:bottom w:val="single" w:sz="4" w:space="0" w:color="auto"/>
              <w:right w:val="single" w:sz="4" w:space="0" w:color="auto"/>
            </w:tcBorders>
            <w:shd w:val="clear" w:color="auto" w:fill="auto"/>
            <w:noWrap/>
            <w:hideMark/>
          </w:tcPr>
          <w:p w14:paraId="6F584172" w14:textId="4B5C7C65"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-2.077</w:t>
            </w:r>
          </w:p>
        </w:tc>
      </w:tr>
      <w:tr w:rsidR="002E554D" w:rsidRPr="002E554D" w14:paraId="1A4E8A5A"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5643A" w14:textId="77777777"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1E4308A6" w14:textId="628474F9"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3.023</w:t>
            </w:r>
          </w:p>
        </w:tc>
        <w:tc>
          <w:tcPr>
            <w:tcW w:w="960" w:type="dxa"/>
            <w:tcBorders>
              <w:top w:val="single" w:sz="4" w:space="0" w:color="auto"/>
              <w:left w:val="single" w:sz="4" w:space="0" w:color="auto"/>
              <w:bottom w:val="single" w:sz="4" w:space="0" w:color="auto"/>
            </w:tcBorders>
            <w:shd w:val="clear" w:color="auto" w:fill="auto"/>
            <w:noWrap/>
            <w:hideMark/>
          </w:tcPr>
          <w:p w14:paraId="0CAF7A49" w14:textId="23692F26"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-3.109</w:t>
            </w:r>
          </w:p>
        </w:tc>
        <w:tc>
          <w:tcPr>
            <w:tcW w:w="960" w:type="dxa"/>
            <w:tcBorders>
              <w:top w:val="single" w:sz="4" w:space="0" w:color="auto"/>
              <w:bottom w:val="single" w:sz="4" w:space="0" w:color="auto"/>
            </w:tcBorders>
            <w:shd w:val="clear" w:color="auto" w:fill="auto"/>
            <w:noWrap/>
            <w:hideMark/>
          </w:tcPr>
          <w:p w14:paraId="42F2FBEA" w14:textId="3243D15F"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-2.465</w:t>
            </w:r>
          </w:p>
        </w:tc>
        <w:tc>
          <w:tcPr>
            <w:tcW w:w="960" w:type="dxa"/>
            <w:tcBorders>
              <w:top w:val="single" w:sz="4" w:space="0" w:color="auto"/>
              <w:bottom w:val="single" w:sz="4" w:space="0" w:color="auto"/>
              <w:right w:val="single" w:sz="4" w:space="0" w:color="auto"/>
            </w:tcBorders>
            <w:shd w:val="clear" w:color="auto" w:fill="auto"/>
            <w:noWrap/>
            <w:hideMark/>
          </w:tcPr>
          <w:p w14:paraId="7EB71F17" w14:textId="7073C8DB"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230A273" w14:textId="12560129"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0.693</w:t>
            </w:r>
          </w:p>
        </w:tc>
        <w:tc>
          <w:tcPr>
            <w:tcW w:w="944" w:type="dxa"/>
            <w:tcBorders>
              <w:top w:val="single" w:sz="4" w:space="0" w:color="auto"/>
              <w:left w:val="single" w:sz="4" w:space="0" w:color="auto"/>
              <w:bottom w:val="single" w:sz="4" w:space="0" w:color="auto"/>
            </w:tcBorders>
            <w:shd w:val="clear" w:color="auto" w:fill="auto"/>
            <w:noWrap/>
            <w:hideMark/>
          </w:tcPr>
          <w:p w14:paraId="2ED5019A" w14:textId="607DECBA"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-3.041</w:t>
            </w:r>
          </w:p>
        </w:tc>
        <w:tc>
          <w:tcPr>
            <w:tcW w:w="968" w:type="dxa"/>
            <w:tcBorders>
              <w:top w:val="single" w:sz="4" w:space="0" w:color="auto"/>
              <w:bottom w:val="single" w:sz="4" w:space="0" w:color="auto"/>
            </w:tcBorders>
            <w:shd w:val="clear" w:color="auto" w:fill="auto"/>
            <w:noWrap/>
            <w:hideMark/>
          </w:tcPr>
          <w:p w14:paraId="3CAB3308" w14:textId="522A724F"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-2.382</w:t>
            </w:r>
          </w:p>
        </w:tc>
        <w:tc>
          <w:tcPr>
            <w:tcW w:w="968" w:type="dxa"/>
            <w:tcBorders>
              <w:top w:val="single" w:sz="4" w:space="0" w:color="auto"/>
              <w:bottom w:val="single" w:sz="4" w:space="0" w:color="auto"/>
              <w:right w:val="single" w:sz="4" w:space="0" w:color="auto"/>
            </w:tcBorders>
            <w:shd w:val="clear" w:color="auto" w:fill="auto"/>
            <w:noWrap/>
            <w:hideMark/>
          </w:tcPr>
          <w:p w14:paraId="0ED19BB1" w14:textId="0413192E" w:rsidR="00511100" w:rsidRPr="002E554D" w:rsidRDefault="00511100" w:rsidP="00511100">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-2.037</w:t>
            </w:r>
          </w:p>
        </w:tc>
      </w:tr>
      <w:tr w:rsidR="002E554D" w:rsidRPr="002E554D" w14:paraId="630BB4FC"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E6940"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 </w:t>
            </w:r>
          </w:p>
        </w:tc>
        <w:tc>
          <w:tcPr>
            <w:tcW w:w="39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88BD2"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Rhodium</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8F3C0"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Osmium</w:t>
            </w:r>
          </w:p>
        </w:tc>
      </w:tr>
      <w:tr w:rsidR="002E554D" w:rsidRPr="002E554D" w14:paraId="444609B4" w14:textId="77777777" w:rsidTr="0005037C">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B1624"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36FD40D0" w14:textId="3EF35470" w:rsidR="001C6A75" w:rsidRPr="002E554D" w:rsidRDefault="001C6A75" w:rsidP="001C6A75">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-4.645***</w:t>
            </w:r>
          </w:p>
        </w:tc>
        <w:tc>
          <w:tcPr>
            <w:tcW w:w="960" w:type="dxa"/>
            <w:tcBorders>
              <w:top w:val="single" w:sz="4" w:space="0" w:color="auto"/>
              <w:left w:val="single" w:sz="4" w:space="0" w:color="auto"/>
              <w:bottom w:val="single" w:sz="4" w:space="0" w:color="auto"/>
            </w:tcBorders>
            <w:shd w:val="clear" w:color="auto" w:fill="auto"/>
            <w:noWrap/>
            <w:hideMark/>
          </w:tcPr>
          <w:p w14:paraId="2CAC4E52" w14:textId="2FE670E2"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-2.888</w:t>
            </w:r>
          </w:p>
        </w:tc>
        <w:tc>
          <w:tcPr>
            <w:tcW w:w="960" w:type="dxa"/>
            <w:tcBorders>
              <w:top w:val="single" w:sz="4" w:space="0" w:color="auto"/>
              <w:bottom w:val="single" w:sz="4" w:space="0" w:color="auto"/>
            </w:tcBorders>
            <w:shd w:val="clear" w:color="auto" w:fill="auto"/>
            <w:noWrap/>
            <w:hideMark/>
          </w:tcPr>
          <w:p w14:paraId="694562B3" w14:textId="35B80852"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-2.246</w:t>
            </w:r>
          </w:p>
        </w:tc>
        <w:tc>
          <w:tcPr>
            <w:tcW w:w="960" w:type="dxa"/>
            <w:tcBorders>
              <w:top w:val="single" w:sz="4" w:space="0" w:color="auto"/>
              <w:bottom w:val="single" w:sz="4" w:space="0" w:color="auto"/>
              <w:right w:val="single" w:sz="4" w:space="0" w:color="auto"/>
            </w:tcBorders>
            <w:shd w:val="clear" w:color="auto" w:fill="auto"/>
            <w:noWrap/>
            <w:hideMark/>
          </w:tcPr>
          <w:p w14:paraId="25E84EBC" w14:textId="30216535"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-1.884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156BD"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-1.099</w:t>
            </w:r>
          </w:p>
        </w:tc>
        <w:tc>
          <w:tcPr>
            <w:tcW w:w="944" w:type="dxa"/>
            <w:tcBorders>
              <w:top w:val="single" w:sz="4" w:space="0" w:color="auto"/>
              <w:left w:val="single" w:sz="4" w:space="0" w:color="auto"/>
              <w:bottom w:val="single" w:sz="4" w:space="0" w:color="auto"/>
            </w:tcBorders>
            <w:shd w:val="clear" w:color="auto" w:fill="auto"/>
            <w:noWrap/>
            <w:vAlign w:val="center"/>
            <w:hideMark/>
          </w:tcPr>
          <w:p w14:paraId="060985B4"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-3.106</w:t>
            </w:r>
          </w:p>
        </w:tc>
        <w:tc>
          <w:tcPr>
            <w:tcW w:w="968" w:type="dxa"/>
            <w:tcBorders>
              <w:top w:val="single" w:sz="4" w:space="0" w:color="auto"/>
              <w:bottom w:val="single" w:sz="4" w:space="0" w:color="auto"/>
            </w:tcBorders>
            <w:shd w:val="clear" w:color="auto" w:fill="auto"/>
            <w:noWrap/>
            <w:vAlign w:val="center"/>
            <w:hideMark/>
          </w:tcPr>
          <w:p w14:paraId="365AF33A"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-2.462</w:t>
            </w:r>
          </w:p>
        </w:tc>
        <w:tc>
          <w:tcPr>
            <w:tcW w:w="968" w:type="dxa"/>
            <w:tcBorders>
              <w:top w:val="single" w:sz="4" w:space="0" w:color="auto"/>
              <w:bottom w:val="single" w:sz="4" w:space="0" w:color="auto"/>
              <w:right w:val="single" w:sz="4" w:space="0" w:color="auto"/>
            </w:tcBorders>
            <w:shd w:val="clear" w:color="auto" w:fill="auto"/>
            <w:noWrap/>
            <w:vAlign w:val="center"/>
            <w:hideMark/>
          </w:tcPr>
          <w:p w14:paraId="5A31D1AF"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-2.122</w:t>
            </w:r>
          </w:p>
        </w:tc>
      </w:tr>
      <w:tr w:rsidR="002E554D" w:rsidRPr="002E554D" w14:paraId="5ECEDFD0" w14:textId="77777777" w:rsidTr="0005037C">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F2425"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6A4A6C8A" w14:textId="5F64DE3F" w:rsidR="001C6A75" w:rsidRPr="002E554D" w:rsidRDefault="001C6A75" w:rsidP="001C6A75">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-4.457***</w:t>
            </w:r>
          </w:p>
        </w:tc>
        <w:tc>
          <w:tcPr>
            <w:tcW w:w="960" w:type="dxa"/>
            <w:tcBorders>
              <w:top w:val="single" w:sz="4" w:space="0" w:color="auto"/>
              <w:left w:val="single" w:sz="4" w:space="0" w:color="auto"/>
              <w:bottom w:val="single" w:sz="4" w:space="0" w:color="auto"/>
            </w:tcBorders>
            <w:shd w:val="clear" w:color="auto" w:fill="auto"/>
            <w:noWrap/>
            <w:hideMark/>
          </w:tcPr>
          <w:p w14:paraId="4432E6D0" w14:textId="1D14C2C3"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-2.883</w:t>
            </w:r>
          </w:p>
        </w:tc>
        <w:tc>
          <w:tcPr>
            <w:tcW w:w="960" w:type="dxa"/>
            <w:tcBorders>
              <w:top w:val="single" w:sz="4" w:space="0" w:color="auto"/>
              <w:bottom w:val="single" w:sz="4" w:space="0" w:color="auto"/>
            </w:tcBorders>
            <w:shd w:val="clear" w:color="auto" w:fill="auto"/>
            <w:noWrap/>
            <w:hideMark/>
          </w:tcPr>
          <w:p w14:paraId="6FCD9CFD" w14:textId="1BE46071"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-2.241</w:t>
            </w:r>
          </w:p>
        </w:tc>
        <w:tc>
          <w:tcPr>
            <w:tcW w:w="960" w:type="dxa"/>
            <w:tcBorders>
              <w:top w:val="single" w:sz="4" w:space="0" w:color="auto"/>
              <w:bottom w:val="single" w:sz="4" w:space="0" w:color="auto"/>
              <w:right w:val="single" w:sz="4" w:space="0" w:color="auto"/>
            </w:tcBorders>
            <w:shd w:val="clear" w:color="auto" w:fill="auto"/>
            <w:noWrap/>
            <w:hideMark/>
          </w:tcPr>
          <w:p w14:paraId="3E0C9789" w14:textId="7D457985"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-1.878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E45E7"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-0.531</w:t>
            </w:r>
          </w:p>
        </w:tc>
        <w:tc>
          <w:tcPr>
            <w:tcW w:w="944" w:type="dxa"/>
            <w:tcBorders>
              <w:top w:val="single" w:sz="4" w:space="0" w:color="auto"/>
              <w:left w:val="single" w:sz="4" w:space="0" w:color="auto"/>
              <w:bottom w:val="single" w:sz="4" w:space="0" w:color="auto"/>
            </w:tcBorders>
            <w:shd w:val="clear" w:color="auto" w:fill="auto"/>
            <w:noWrap/>
            <w:vAlign w:val="center"/>
            <w:hideMark/>
          </w:tcPr>
          <w:p w14:paraId="186C6E4F"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-3.178</w:t>
            </w:r>
          </w:p>
        </w:tc>
        <w:tc>
          <w:tcPr>
            <w:tcW w:w="968" w:type="dxa"/>
            <w:tcBorders>
              <w:top w:val="single" w:sz="4" w:space="0" w:color="auto"/>
              <w:bottom w:val="single" w:sz="4" w:space="0" w:color="auto"/>
            </w:tcBorders>
            <w:shd w:val="clear" w:color="auto" w:fill="auto"/>
            <w:noWrap/>
            <w:vAlign w:val="center"/>
            <w:hideMark/>
          </w:tcPr>
          <w:p w14:paraId="12D099CE"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-2.565</w:t>
            </w:r>
          </w:p>
        </w:tc>
        <w:tc>
          <w:tcPr>
            <w:tcW w:w="968" w:type="dxa"/>
            <w:tcBorders>
              <w:top w:val="single" w:sz="4" w:space="0" w:color="auto"/>
              <w:bottom w:val="single" w:sz="4" w:space="0" w:color="auto"/>
              <w:right w:val="single" w:sz="4" w:space="0" w:color="auto"/>
            </w:tcBorders>
            <w:shd w:val="clear" w:color="auto" w:fill="auto"/>
            <w:noWrap/>
            <w:vAlign w:val="center"/>
            <w:hideMark/>
          </w:tcPr>
          <w:p w14:paraId="67A923CA"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-2.231</w:t>
            </w:r>
          </w:p>
        </w:tc>
      </w:tr>
      <w:tr w:rsidR="002E554D" w:rsidRPr="002E554D" w14:paraId="1F55C401" w14:textId="77777777" w:rsidTr="0005037C">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D09D3"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F1EC6A3" w14:textId="44891C62" w:rsidR="001C6A75" w:rsidRPr="002E554D" w:rsidRDefault="001C6A75" w:rsidP="001C6A75">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-2.853**</w:t>
            </w:r>
          </w:p>
        </w:tc>
        <w:tc>
          <w:tcPr>
            <w:tcW w:w="960" w:type="dxa"/>
            <w:tcBorders>
              <w:top w:val="single" w:sz="4" w:space="0" w:color="auto"/>
              <w:left w:val="single" w:sz="4" w:space="0" w:color="auto"/>
              <w:bottom w:val="single" w:sz="4" w:space="0" w:color="auto"/>
            </w:tcBorders>
            <w:shd w:val="clear" w:color="auto" w:fill="auto"/>
            <w:noWrap/>
            <w:hideMark/>
          </w:tcPr>
          <w:p w14:paraId="2AB70CAB" w14:textId="683DE234"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-2.891</w:t>
            </w:r>
          </w:p>
        </w:tc>
        <w:tc>
          <w:tcPr>
            <w:tcW w:w="960" w:type="dxa"/>
            <w:tcBorders>
              <w:top w:val="single" w:sz="4" w:space="0" w:color="auto"/>
              <w:bottom w:val="single" w:sz="4" w:space="0" w:color="auto"/>
            </w:tcBorders>
            <w:shd w:val="clear" w:color="auto" w:fill="auto"/>
            <w:noWrap/>
            <w:hideMark/>
          </w:tcPr>
          <w:p w14:paraId="4B6DD177" w14:textId="28D29936"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-2.251</w:t>
            </w:r>
          </w:p>
        </w:tc>
        <w:tc>
          <w:tcPr>
            <w:tcW w:w="960" w:type="dxa"/>
            <w:tcBorders>
              <w:top w:val="single" w:sz="4" w:space="0" w:color="auto"/>
              <w:bottom w:val="single" w:sz="4" w:space="0" w:color="auto"/>
              <w:right w:val="single" w:sz="4" w:space="0" w:color="auto"/>
            </w:tcBorders>
            <w:shd w:val="clear" w:color="auto" w:fill="auto"/>
            <w:noWrap/>
            <w:hideMark/>
          </w:tcPr>
          <w:p w14:paraId="4F0997CC" w14:textId="38FDB426"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-1.889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15795"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-1.306</w:t>
            </w:r>
          </w:p>
        </w:tc>
        <w:tc>
          <w:tcPr>
            <w:tcW w:w="944" w:type="dxa"/>
            <w:tcBorders>
              <w:top w:val="single" w:sz="4" w:space="0" w:color="auto"/>
              <w:left w:val="single" w:sz="4" w:space="0" w:color="auto"/>
              <w:bottom w:val="single" w:sz="4" w:space="0" w:color="auto"/>
            </w:tcBorders>
            <w:shd w:val="clear" w:color="auto" w:fill="auto"/>
            <w:noWrap/>
            <w:vAlign w:val="center"/>
            <w:hideMark/>
          </w:tcPr>
          <w:p w14:paraId="3A59CD3D"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-3.209</w:t>
            </w:r>
          </w:p>
        </w:tc>
        <w:tc>
          <w:tcPr>
            <w:tcW w:w="968" w:type="dxa"/>
            <w:tcBorders>
              <w:top w:val="single" w:sz="4" w:space="0" w:color="auto"/>
              <w:bottom w:val="single" w:sz="4" w:space="0" w:color="auto"/>
            </w:tcBorders>
            <w:shd w:val="clear" w:color="auto" w:fill="auto"/>
            <w:noWrap/>
            <w:vAlign w:val="center"/>
            <w:hideMark/>
          </w:tcPr>
          <w:p w14:paraId="22237C65"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-2.602</w:t>
            </w:r>
          </w:p>
        </w:tc>
        <w:tc>
          <w:tcPr>
            <w:tcW w:w="968" w:type="dxa"/>
            <w:tcBorders>
              <w:top w:val="single" w:sz="4" w:space="0" w:color="auto"/>
              <w:bottom w:val="single" w:sz="4" w:space="0" w:color="auto"/>
              <w:right w:val="single" w:sz="4" w:space="0" w:color="auto"/>
            </w:tcBorders>
            <w:shd w:val="clear" w:color="auto" w:fill="auto"/>
            <w:noWrap/>
            <w:vAlign w:val="center"/>
            <w:hideMark/>
          </w:tcPr>
          <w:p w14:paraId="4668035C"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-2.273</w:t>
            </w:r>
          </w:p>
        </w:tc>
      </w:tr>
      <w:tr w:rsidR="002E554D" w:rsidRPr="002E554D" w14:paraId="409378CD" w14:textId="77777777" w:rsidTr="0005037C">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D1D33"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1660845" w14:textId="025170B8" w:rsidR="001C6A75" w:rsidRPr="002E554D" w:rsidRDefault="001C6A75" w:rsidP="001C6A75">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-2.207*</w:t>
            </w:r>
          </w:p>
        </w:tc>
        <w:tc>
          <w:tcPr>
            <w:tcW w:w="960" w:type="dxa"/>
            <w:tcBorders>
              <w:top w:val="single" w:sz="4" w:space="0" w:color="auto"/>
              <w:left w:val="single" w:sz="4" w:space="0" w:color="auto"/>
              <w:bottom w:val="single" w:sz="4" w:space="0" w:color="auto"/>
            </w:tcBorders>
            <w:shd w:val="clear" w:color="auto" w:fill="auto"/>
            <w:noWrap/>
            <w:hideMark/>
          </w:tcPr>
          <w:p w14:paraId="4257F145" w14:textId="11A77F22"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-2.902</w:t>
            </w:r>
          </w:p>
        </w:tc>
        <w:tc>
          <w:tcPr>
            <w:tcW w:w="960" w:type="dxa"/>
            <w:tcBorders>
              <w:top w:val="single" w:sz="4" w:space="0" w:color="auto"/>
              <w:bottom w:val="single" w:sz="4" w:space="0" w:color="auto"/>
            </w:tcBorders>
            <w:shd w:val="clear" w:color="auto" w:fill="auto"/>
            <w:noWrap/>
            <w:hideMark/>
          </w:tcPr>
          <w:p w14:paraId="42CFB25E" w14:textId="5E63A626"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-2.264</w:t>
            </w:r>
          </w:p>
        </w:tc>
        <w:tc>
          <w:tcPr>
            <w:tcW w:w="960" w:type="dxa"/>
            <w:tcBorders>
              <w:top w:val="single" w:sz="4" w:space="0" w:color="auto"/>
              <w:bottom w:val="single" w:sz="4" w:space="0" w:color="auto"/>
              <w:right w:val="single" w:sz="4" w:space="0" w:color="auto"/>
            </w:tcBorders>
            <w:shd w:val="clear" w:color="auto" w:fill="auto"/>
            <w:noWrap/>
            <w:hideMark/>
          </w:tcPr>
          <w:p w14:paraId="34FA9E56" w14:textId="392CE22A"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90916"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-1.984</w:t>
            </w:r>
          </w:p>
        </w:tc>
        <w:tc>
          <w:tcPr>
            <w:tcW w:w="944" w:type="dxa"/>
            <w:tcBorders>
              <w:top w:val="single" w:sz="4" w:space="0" w:color="auto"/>
              <w:left w:val="single" w:sz="4" w:space="0" w:color="auto"/>
              <w:bottom w:val="single" w:sz="4" w:space="0" w:color="auto"/>
            </w:tcBorders>
            <w:shd w:val="clear" w:color="auto" w:fill="auto"/>
            <w:noWrap/>
            <w:vAlign w:val="center"/>
            <w:hideMark/>
          </w:tcPr>
          <w:p w14:paraId="42FE3B2D"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-3.192</w:t>
            </w:r>
          </w:p>
        </w:tc>
        <w:tc>
          <w:tcPr>
            <w:tcW w:w="968" w:type="dxa"/>
            <w:tcBorders>
              <w:top w:val="single" w:sz="4" w:space="0" w:color="auto"/>
              <w:bottom w:val="single" w:sz="4" w:space="0" w:color="auto"/>
            </w:tcBorders>
            <w:shd w:val="clear" w:color="auto" w:fill="auto"/>
            <w:noWrap/>
            <w:vAlign w:val="center"/>
            <w:hideMark/>
          </w:tcPr>
          <w:p w14:paraId="2E31114E"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-2.585</w:t>
            </w:r>
          </w:p>
        </w:tc>
        <w:tc>
          <w:tcPr>
            <w:tcW w:w="968" w:type="dxa"/>
            <w:tcBorders>
              <w:top w:val="single" w:sz="4" w:space="0" w:color="auto"/>
              <w:bottom w:val="single" w:sz="4" w:space="0" w:color="auto"/>
              <w:right w:val="single" w:sz="4" w:space="0" w:color="auto"/>
            </w:tcBorders>
            <w:shd w:val="clear" w:color="auto" w:fill="auto"/>
            <w:noWrap/>
            <w:vAlign w:val="center"/>
            <w:hideMark/>
          </w:tcPr>
          <w:p w14:paraId="2B719CA7"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-2.253</w:t>
            </w:r>
          </w:p>
        </w:tc>
      </w:tr>
      <w:tr w:rsidR="002E554D" w:rsidRPr="002E554D" w14:paraId="13163B64" w14:textId="77777777" w:rsidTr="0005037C">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E2AE9"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D110FB4" w14:textId="6F32A163"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0.278</w:t>
            </w:r>
          </w:p>
        </w:tc>
        <w:tc>
          <w:tcPr>
            <w:tcW w:w="960" w:type="dxa"/>
            <w:tcBorders>
              <w:top w:val="single" w:sz="4" w:space="0" w:color="auto"/>
              <w:left w:val="single" w:sz="4" w:space="0" w:color="auto"/>
              <w:bottom w:val="single" w:sz="4" w:space="0" w:color="auto"/>
            </w:tcBorders>
            <w:shd w:val="clear" w:color="auto" w:fill="auto"/>
            <w:noWrap/>
            <w:hideMark/>
          </w:tcPr>
          <w:p w14:paraId="629424F6" w14:textId="630A7BF4"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-2.911</w:t>
            </w:r>
          </w:p>
        </w:tc>
        <w:tc>
          <w:tcPr>
            <w:tcW w:w="960" w:type="dxa"/>
            <w:tcBorders>
              <w:top w:val="single" w:sz="4" w:space="0" w:color="auto"/>
              <w:bottom w:val="single" w:sz="4" w:space="0" w:color="auto"/>
            </w:tcBorders>
            <w:shd w:val="clear" w:color="auto" w:fill="auto"/>
            <w:noWrap/>
            <w:hideMark/>
          </w:tcPr>
          <w:p w14:paraId="685AD086" w14:textId="1B5341C2"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-2.276</w:t>
            </w:r>
          </w:p>
        </w:tc>
        <w:tc>
          <w:tcPr>
            <w:tcW w:w="960" w:type="dxa"/>
            <w:tcBorders>
              <w:top w:val="single" w:sz="4" w:space="0" w:color="auto"/>
              <w:bottom w:val="single" w:sz="4" w:space="0" w:color="auto"/>
              <w:right w:val="single" w:sz="4" w:space="0" w:color="auto"/>
            </w:tcBorders>
            <w:shd w:val="clear" w:color="auto" w:fill="auto"/>
            <w:noWrap/>
            <w:hideMark/>
          </w:tcPr>
          <w:p w14:paraId="7EFE98BD" w14:textId="17B1D3E9"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98BA" w14:textId="77777777" w:rsidR="001C6A75" w:rsidRPr="002E554D" w:rsidRDefault="001C6A75" w:rsidP="001C6A75">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-2.513</w:t>
            </w:r>
          </w:p>
        </w:tc>
        <w:tc>
          <w:tcPr>
            <w:tcW w:w="944" w:type="dxa"/>
            <w:tcBorders>
              <w:top w:val="single" w:sz="4" w:space="0" w:color="auto"/>
              <w:left w:val="single" w:sz="4" w:space="0" w:color="auto"/>
              <w:bottom w:val="single" w:sz="4" w:space="0" w:color="auto"/>
            </w:tcBorders>
            <w:shd w:val="clear" w:color="auto" w:fill="auto"/>
            <w:noWrap/>
            <w:vAlign w:val="center"/>
            <w:hideMark/>
          </w:tcPr>
          <w:p w14:paraId="318DDA08"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-3.191</w:t>
            </w:r>
          </w:p>
        </w:tc>
        <w:tc>
          <w:tcPr>
            <w:tcW w:w="968" w:type="dxa"/>
            <w:tcBorders>
              <w:top w:val="single" w:sz="4" w:space="0" w:color="auto"/>
              <w:bottom w:val="single" w:sz="4" w:space="0" w:color="auto"/>
            </w:tcBorders>
            <w:shd w:val="clear" w:color="auto" w:fill="auto"/>
            <w:noWrap/>
            <w:vAlign w:val="center"/>
            <w:hideMark/>
          </w:tcPr>
          <w:p w14:paraId="29F2432B"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-2.584</w:t>
            </w:r>
          </w:p>
        </w:tc>
        <w:tc>
          <w:tcPr>
            <w:tcW w:w="968" w:type="dxa"/>
            <w:tcBorders>
              <w:top w:val="single" w:sz="4" w:space="0" w:color="auto"/>
              <w:bottom w:val="single" w:sz="4" w:space="0" w:color="auto"/>
              <w:right w:val="single" w:sz="4" w:space="0" w:color="auto"/>
            </w:tcBorders>
            <w:shd w:val="clear" w:color="auto" w:fill="auto"/>
            <w:noWrap/>
            <w:vAlign w:val="center"/>
            <w:hideMark/>
          </w:tcPr>
          <w:p w14:paraId="4E078F6E" w14:textId="77777777" w:rsidR="001C6A75" w:rsidRPr="002E554D" w:rsidRDefault="001C6A75" w:rsidP="001C6A75">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-2.252</w:t>
            </w:r>
          </w:p>
        </w:tc>
      </w:tr>
      <w:tr w:rsidR="002E554D" w:rsidRPr="002E554D" w14:paraId="7733449E" w14:textId="77777777" w:rsidTr="0005037C">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1294B"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7CCA0466" w14:textId="5D40278B"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2.173</w:t>
            </w:r>
          </w:p>
        </w:tc>
        <w:tc>
          <w:tcPr>
            <w:tcW w:w="960" w:type="dxa"/>
            <w:tcBorders>
              <w:top w:val="single" w:sz="4" w:space="0" w:color="auto"/>
              <w:left w:val="single" w:sz="4" w:space="0" w:color="auto"/>
              <w:bottom w:val="single" w:sz="4" w:space="0" w:color="auto"/>
            </w:tcBorders>
            <w:shd w:val="clear" w:color="auto" w:fill="auto"/>
            <w:noWrap/>
            <w:hideMark/>
          </w:tcPr>
          <w:p w14:paraId="6D17BB4E" w14:textId="2727BDD1"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-2.913</w:t>
            </w:r>
          </w:p>
        </w:tc>
        <w:tc>
          <w:tcPr>
            <w:tcW w:w="960" w:type="dxa"/>
            <w:tcBorders>
              <w:top w:val="single" w:sz="4" w:space="0" w:color="auto"/>
              <w:bottom w:val="single" w:sz="4" w:space="0" w:color="auto"/>
            </w:tcBorders>
            <w:shd w:val="clear" w:color="auto" w:fill="auto"/>
            <w:noWrap/>
            <w:hideMark/>
          </w:tcPr>
          <w:p w14:paraId="4279A216" w14:textId="1CA28AED"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-2.278</w:t>
            </w:r>
          </w:p>
        </w:tc>
        <w:tc>
          <w:tcPr>
            <w:tcW w:w="960" w:type="dxa"/>
            <w:tcBorders>
              <w:top w:val="single" w:sz="4" w:space="0" w:color="auto"/>
              <w:bottom w:val="single" w:sz="4" w:space="0" w:color="auto"/>
              <w:right w:val="single" w:sz="4" w:space="0" w:color="auto"/>
            </w:tcBorders>
            <w:shd w:val="clear" w:color="auto" w:fill="auto"/>
            <w:noWrap/>
            <w:hideMark/>
          </w:tcPr>
          <w:p w14:paraId="4F4BFE7B" w14:textId="196A5EDF"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EA261" w14:textId="77777777" w:rsidR="001C6A75" w:rsidRPr="002E554D" w:rsidRDefault="001C6A75" w:rsidP="001C6A75">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-2.968</w:t>
            </w:r>
          </w:p>
        </w:tc>
        <w:tc>
          <w:tcPr>
            <w:tcW w:w="944" w:type="dxa"/>
            <w:tcBorders>
              <w:top w:val="single" w:sz="4" w:space="0" w:color="auto"/>
              <w:left w:val="single" w:sz="4" w:space="0" w:color="auto"/>
              <w:bottom w:val="single" w:sz="4" w:space="0" w:color="auto"/>
            </w:tcBorders>
            <w:shd w:val="clear" w:color="auto" w:fill="auto"/>
            <w:noWrap/>
            <w:vAlign w:val="center"/>
            <w:hideMark/>
          </w:tcPr>
          <w:p w14:paraId="7C583A14"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-3.183</w:t>
            </w:r>
          </w:p>
        </w:tc>
        <w:tc>
          <w:tcPr>
            <w:tcW w:w="968" w:type="dxa"/>
            <w:tcBorders>
              <w:top w:val="single" w:sz="4" w:space="0" w:color="auto"/>
              <w:bottom w:val="single" w:sz="4" w:space="0" w:color="auto"/>
            </w:tcBorders>
            <w:shd w:val="clear" w:color="auto" w:fill="auto"/>
            <w:noWrap/>
            <w:vAlign w:val="center"/>
            <w:hideMark/>
          </w:tcPr>
          <w:p w14:paraId="5FB8FF1C" w14:textId="77777777" w:rsidR="001C6A75" w:rsidRPr="002E554D" w:rsidRDefault="001C6A75" w:rsidP="001C6A75">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-2.572</w:t>
            </w:r>
          </w:p>
        </w:tc>
        <w:tc>
          <w:tcPr>
            <w:tcW w:w="968" w:type="dxa"/>
            <w:tcBorders>
              <w:top w:val="single" w:sz="4" w:space="0" w:color="auto"/>
              <w:bottom w:val="single" w:sz="4" w:space="0" w:color="auto"/>
              <w:right w:val="single" w:sz="4" w:space="0" w:color="auto"/>
            </w:tcBorders>
            <w:shd w:val="clear" w:color="auto" w:fill="auto"/>
            <w:noWrap/>
            <w:vAlign w:val="center"/>
            <w:hideMark/>
          </w:tcPr>
          <w:p w14:paraId="571FBA19"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-2.239</w:t>
            </w:r>
          </w:p>
        </w:tc>
      </w:tr>
      <w:tr w:rsidR="002E554D" w:rsidRPr="002E554D" w14:paraId="690D5371" w14:textId="77777777" w:rsidTr="0005037C">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650D"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161D5CBF" w14:textId="75B92D7A"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3.752</w:t>
            </w:r>
          </w:p>
        </w:tc>
        <w:tc>
          <w:tcPr>
            <w:tcW w:w="960" w:type="dxa"/>
            <w:tcBorders>
              <w:top w:val="single" w:sz="4" w:space="0" w:color="auto"/>
              <w:left w:val="single" w:sz="4" w:space="0" w:color="auto"/>
              <w:bottom w:val="single" w:sz="4" w:space="0" w:color="auto"/>
            </w:tcBorders>
            <w:shd w:val="clear" w:color="auto" w:fill="auto"/>
            <w:noWrap/>
            <w:hideMark/>
          </w:tcPr>
          <w:p w14:paraId="7F7BC7A0" w14:textId="52863AF2"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-2.943</w:t>
            </w:r>
          </w:p>
        </w:tc>
        <w:tc>
          <w:tcPr>
            <w:tcW w:w="960" w:type="dxa"/>
            <w:tcBorders>
              <w:top w:val="single" w:sz="4" w:space="0" w:color="auto"/>
              <w:bottom w:val="single" w:sz="4" w:space="0" w:color="auto"/>
            </w:tcBorders>
            <w:shd w:val="clear" w:color="auto" w:fill="auto"/>
            <w:noWrap/>
            <w:hideMark/>
          </w:tcPr>
          <w:p w14:paraId="4AA646D3" w14:textId="708D7065"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-2.303</w:t>
            </w:r>
          </w:p>
        </w:tc>
        <w:tc>
          <w:tcPr>
            <w:tcW w:w="960" w:type="dxa"/>
            <w:tcBorders>
              <w:top w:val="single" w:sz="4" w:space="0" w:color="auto"/>
              <w:bottom w:val="single" w:sz="4" w:space="0" w:color="auto"/>
              <w:right w:val="single" w:sz="4" w:space="0" w:color="auto"/>
            </w:tcBorders>
            <w:shd w:val="clear" w:color="auto" w:fill="auto"/>
            <w:noWrap/>
            <w:hideMark/>
          </w:tcPr>
          <w:p w14:paraId="67F7F6AC" w14:textId="7A44FA0D"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F2583" w14:textId="77777777" w:rsidR="001C6A75" w:rsidRPr="002E554D" w:rsidRDefault="001C6A75" w:rsidP="001C6A75">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-3.318</w:t>
            </w:r>
          </w:p>
        </w:tc>
        <w:tc>
          <w:tcPr>
            <w:tcW w:w="944" w:type="dxa"/>
            <w:tcBorders>
              <w:top w:val="single" w:sz="4" w:space="0" w:color="auto"/>
              <w:left w:val="single" w:sz="4" w:space="0" w:color="auto"/>
              <w:bottom w:val="single" w:sz="4" w:space="0" w:color="auto"/>
            </w:tcBorders>
            <w:shd w:val="clear" w:color="auto" w:fill="auto"/>
            <w:noWrap/>
            <w:vAlign w:val="center"/>
            <w:hideMark/>
          </w:tcPr>
          <w:p w14:paraId="760EE42F"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-3.173</w:t>
            </w:r>
          </w:p>
        </w:tc>
        <w:tc>
          <w:tcPr>
            <w:tcW w:w="968" w:type="dxa"/>
            <w:tcBorders>
              <w:top w:val="single" w:sz="4" w:space="0" w:color="auto"/>
              <w:bottom w:val="single" w:sz="4" w:space="0" w:color="auto"/>
            </w:tcBorders>
            <w:shd w:val="clear" w:color="auto" w:fill="auto"/>
            <w:noWrap/>
            <w:vAlign w:val="center"/>
            <w:hideMark/>
          </w:tcPr>
          <w:p w14:paraId="3454D7DC"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-2.558</w:t>
            </w:r>
          </w:p>
        </w:tc>
        <w:tc>
          <w:tcPr>
            <w:tcW w:w="968" w:type="dxa"/>
            <w:tcBorders>
              <w:top w:val="single" w:sz="4" w:space="0" w:color="auto"/>
              <w:bottom w:val="single" w:sz="4" w:space="0" w:color="auto"/>
              <w:right w:val="single" w:sz="4" w:space="0" w:color="auto"/>
            </w:tcBorders>
            <w:shd w:val="clear" w:color="auto" w:fill="auto"/>
            <w:noWrap/>
            <w:vAlign w:val="center"/>
            <w:hideMark/>
          </w:tcPr>
          <w:p w14:paraId="35E9E545"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-2.223</w:t>
            </w:r>
          </w:p>
        </w:tc>
      </w:tr>
      <w:tr w:rsidR="002E554D" w:rsidRPr="002E554D" w14:paraId="23E6169F" w14:textId="77777777" w:rsidTr="0005037C">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70BEA"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23A0DF22" w14:textId="1C04F5AC"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2.914</w:t>
            </w:r>
          </w:p>
        </w:tc>
        <w:tc>
          <w:tcPr>
            <w:tcW w:w="960" w:type="dxa"/>
            <w:tcBorders>
              <w:top w:val="single" w:sz="4" w:space="0" w:color="auto"/>
              <w:left w:val="single" w:sz="4" w:space="0" w:color="auto"/>
              <w:bottom w:val="single" w:sz="4" w:space="0" w:color="auto"/>
            </w:tcBorders>
            <w:shd w:val="clear" w:color="auto" w:fill="auto"/>
            <w:noWrap/>
            <w:hideMark/>
          </w:tcPr>
          <w:p w14:paraId="6D9CEDFF" w14:textId="244585C1"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-2.980</w:t>
            </w:r>
          </w:p>
        </w:tc>
        <w:tc>
          <w:tcPr>
            <w:tcW w:w="960" w:type="dxa"/>
            <w:tcBorders>
              <w:top w:val="single" w:sz="4" w:space="0" w:color="auto"/>
              <w:bottom w:val="single" w:sz="4" w:space="0" w:color="auto"/>
            </w:tcBorders>
            <w:shd w:val="clear" w:color="auto" w:fill="auto"/>
            <w:noWrap/>
            <w:hideMark/>
          </w:tcPr>
          <w:p w14:paraId="386336E4" w14:textId="317CED31"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-2.333</w:t>
            </w:r>
          </w:p>
        </w:tc>
        <w:tc>
          <w:tcPr>
            <w:tcW w:w="960" w:type="dxa"/>
            <w:tcBorders>
              <w:top w:val="single" w:sz="4" w:space="0" w:color="auto"/>
              <w:bottom w:val="single" w:sz="4" w:space="0" w:color="auto"/>
              <w:right w:val="single" w:sz="4" w:space="0" w:color="auto"/>
            </w:tcBorders>
            <w:shd w:val="clear" w:color="auto" w:fill="auto"/>
            <w:noWrap/>
            <w:hideMark/>
          </w:tcPr>
          <w:p w14:paraId="513D87FE" w14:textId="55949801"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6F9D5" w14:textId="77777777" w:rsidR="001C6A75" w:rsidRPr="002E554D" w:rsidRDefault="001C6A75" w:rsidP="001C6A75">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-2.879</w:t>
            </w:r>
          </w:p>
        </w:tc>
        <w:tc>
          <w:tcPr>
            <w:tcW w:w="944" w:type="dxa"/>
            <w:tcBorders>
              <w:top w:val="single" w:sz="4" w:space="0" w:color="auto"/>
              <w:left w:val="single" w:sz="4" w:space="0" w:color="auto"/>
              <w:bottom w:val="single" w:sz="4" w:space="0" w:color="auto"/>
            </w:tcBorders>
            <w:shd w:val="clear" w:color="auto" w:fill="auto"/>
            <w:noWrap/>
            <w:vAlign w:val="center"/>
            <w:hideMark/>
          </w:tcPr>
          <w:p w14:paraId="7AFB430E"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-3.143</w:t>
            </w:r>
          </w:p>
        </w:tc>
        <w:tc>
          <w:tcPr>
            <w:tcW w:w="968" w:type="dxa"/>
            <w:tcBorders>
              <w:top w:val="single" w:sz="4" w:space="0" w:color="auto"/>
              <w:bottom w:val="single" w:sz="4" w:space="0" w:color="auto"/>
            </w:tcBorders>
            <w:shd w:val="clear" w:color="auto" w:fill="auto"/>
            <w:noWrap/>
            <w:vAlign w:val="center"/>
            <w:hideMark/>
          </w:tcPr>
          <w:p w14:paraId="144878C2" w14:textId="77777777" w:rsidR="001C6A75" w:rsidRPr="002E554D" w:rsidRDefault="001C6A75" w:rsidP="001C6A75">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-2.515</w:t>
            </w:r>
          </w:p>
        </w:tc>
        <w:tc>
          <w:tcPr>
            <w:tcW w:w="968" w:type="dxa"/>
            <w:tcBorders>
              <w:top w:val="single" w:sz="4" w:space="0" w:color="auto"/>
              <w:bottom w:val="single" w:sz="4" w:space="0" w:color="auto"/>
              <w:right w:val="single" w:sz="4" w:space="0" w:color="auto"/>
            </w:tcBorders>
            <w:shd w:val="clear" w:color="auto" w:fill="auto"/>
            <w:noWrap/>
            <w:vAlign w:val="center"/>
            <w:hideMark/>
          </w:tcPr>
          <w:p w14:paraId="3B4D69F1"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-2.177</w:t>
            </w:r>
          </w:p>
        </w:tc>
      </w:tr>
      <w:tr w:rsidR="002E554D" w:rsidRPr="002E554D" w14:paraId="0FEBD620" w14:textId="77777777" w:rsidTr="0005037C">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EA3F5"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5FE4D1CF" w14:textId="2D7CB45D"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2.891</w:t>
            </w:r>
          </w:p>
        </w:tc>
        <w:tc>
          <w:tcPr>
            <w:tcW w:w="960" w:type="dxa"/>
            <w:tcBorders>
              <w:top w:val="single" w:sz="4" w:space="0" w:color="auto"/>
              <w:left w:val="single" w:sz="4" w:space="0" w:color="auto"/>
              <w:bottom w:val="single" w:sz="4" w:space="0" w:color="auto"/>
            </w:tcBorders>
            <w:shd w:val="clear" w:color="auto" w:fill="auto"/>
            <w:noWrap/>
            <w:hideMark/>
          </w:tcPr>
          <w:p w14:paraId="6851C9F0" w14:textId="7D24F71A"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-2.992</w:t>
            </w:r>
          </w:p>
        </w:tc>
        <w:tc>
          <w:tcPr>
            <w:tcW w:w="960" w:type="dxa"/>
            <w:tcBorders>
              <w:top w:val="single" w:sz="4" w:space="0" w:color="auto"/>
              <w:bottom w:val="single" w:sz="4" w:space="0" w:color="auto"/>
            </w:tcBorders>
            <w:shd w:val="clear" w:color="auto" w:fill="auto"/>
            <w:noWrap/>
            <w:hideMark/>
          </w:tcPr>
          <w:p w14:paraId="24BCF0EE" w14:textId="465D40D9"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-2.342</w:t>
            </w:r>
          </w:p>
        </w:tc>
        <w:tc>
          <w:tcPr>
            <w:tcW w:w="960" w:type="dxa"/>
            <w:tcBorders>
              <w:top w:val="single" w:sz="4" w:space="0" w:color="auto"/>
              <w:bottom w:val="single" w:sz="4" w:space="0" w:color="auto"/>
              <w:right w:val="single" w:sz="4" w:space="0" w:color="auto"/>
            </w:tcBorders>
            <w:shd w:val="clear" w:color="auto" w:fill="auto"/>
            <w:noWrap/>
            <w:hideMark/>
          </w:tcPr>
          <w:p w14:paraId="7F738DC9" w14:textId="1004078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3421F"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-1.318</w:t>
            </w:r>
          </w:p>
        </w:tc>
        <w:tc>
          <w:tcPr>
            <w:tcW w:w="944" w:type="dxa"/>
            <w:tcBorders>
              <w:top w:val="single" w:sz="4" w:space="0" w:color="auto"/>
              <w:left w:val="single" w:sz="4" w:space="0" w:color="auto"/>
              <w:bottom w:val="single" w:sz="4" w:space="0" w:color="auto"/>
            </w:tcBorders>
            <w:shd w:val="clear" w:color="auto" w:fill="auto"/>
            <w:noWrap/>
            <w:vAlign w:val="center"/>
            <w:hideMark/>
          </w:tcPr>
          <w:p w14:paraId="70DC5A87"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-3.065</w:t>
            </w:r>
          </w:p>
        </w:tc>
        <w:tc>
          <w:tcPr>
            <w:tcW w:w="968" w:type="dxa"/>
            <w:tcBorders>
              <w:top w:val="single" w:sz="4" w:space="0" w:color="auto"/>
              <w:bottom w:val="single" w:sz="4" w:space="0" w:color="auto"/>
            </w:tcBorders>
            <w:shd w:val="clear" w:color="auto" w:fill="auto"/>
            <w:noWrap/>
            <w:vAlign w:val="center"/>
            <w:hideMark/>
          </w:tcPr>
          <w:p w14:paraId="5089E0E2"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-2.403</w:t>
            </w:r>
          </w:p>
        </w:tc>
        <w:tc>
          <w:tcPr>
            <w:tcW w:w="968" w:type="dxa"/>
            <w:tcBorders>
              <w:top w:val="single" w:sz="4" w:space="0" w:color="auto"/>
              <w:bottom w:val="single" w:sz="4" w:space="0" w:color="auto"/>
              <w:right w:val="single" w:sz="4" w:space="0" w:color="auto"/>
            </w:tcBorders>
            <w:shd w:val="clear" w:color="auto" w:fill="auto"/>
            <w:noWrap/>
            <w:vAlign w:val="center"/>
            <w:hideMark/>
          </w:tcPr>
          <w:p w14:paraId="5485110C" w14:textId="77777777" w:rsidR="001C6A75" w:rsidRPr="002E554D" w:rsidRDefault="001C6A75" w:rsidP="001C6A75">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-2.061</w:t>
            </w:r>
          </w:p>
        </w:tc>
      </w:tr>
      <w:tr w:rsidR="002E554D" w:rsidRPr="002E554D" w14:paraId="4C360FBA" w14:textId="77777777" w:rsidTr="00511100">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23827" w14:textId="77777777" w:rsidR="00771184" w:rsidRPr="002E554D" w:rsidRDefault="00771184" w:rsidP="00771184">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 </w:t>
            </w:r>
          </w:p>
        </w:tc>
        <w:tc>
          <w:tcPr>
            <w:tcW w:w="39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128A7"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Iridium</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16B81"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GSCI</w:t>
            </w:r>
          </w:p>
        </w:tc>
      </w:tr>
      <w:tr w:rsidR="002E554D" w:rsidRPr="002E554D" w14:paraId="5C57D027" w14:textId="77777777" w:rsidTr="007B60BB">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62092"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731C5E3F" w14:textId="4DBDF5BB" w:rsidR="006139B1" w:rsidRPr="002E554D" w:rsidRDefault="006139B1" w:rsidP="006139B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-4.175***</w:t>
            </w:r>
          </w:p>
        </w:tc>
        <w:tc>
          <w:tcPr>
            <w:tcW w:w="960" w:type="dxa"/>
            <w:tcBorders>
              <w:top w:val="single" w:sz="4" w:space="0" w:color="auto"/>
              <w:left w:val="single" w:sz="4" w:space="0" w:color="auto"/>
              <w:bottom w:val="single" w:sz="4" w:space="0" w:color="auto"/>
            </w:tcBorders>
            <w:shd w:val="clear" w:color="auto" w:fill="auto"/>
            <w:noWrap/>
            <w:hideMark/>
          </w:tcPr>
          <w:p w14:paraId="22589598" w14:textId="1FE5C110"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-3.063</w:t>
            </w:r>
          </w:p>
        </w:tc>
        <w:tc>
          <w:tcPr>
            <w:tcW w:w="960" w:type="dxa"/>
            <w:tcBorders>
              <w:top w:val="single" w:sz="4" w:space="0" w:color="auto"/>
              <w:bottom w:val="single" w:sz="4" w:space="0" w:color="auto"/>
            </w:tcBorders>
            <w:shd w:val="clear" w:color="auto" w:fill="auto"/>
            <w:noWrap/>
            <w:hideMark/>
          </w:tcPr>
          <w:p w14:paraId="3B6FA1B0" w14:textId="59FA263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-2.400</w:t>
            </w:r>
          </w:p>
        </w:tc>
        <w:tc>
          <w:tcPr>
            <w:tcW w:w="960" w:type="dxa"/>
            <w:tcBorders>
              <w:top w:val="single" w:sz="4" w:space="0" w:color="auto"/>
              <w:bottom w:val="single" w:sz="4" w:space="0" w:color="auto"/>
              <w:right w:val="single" w:sz="4" w:space="0" w:color="auto"/>
            </w:tcBorders>
            <w:shd w:val="clear" w:color="auto" w:fill="auto"/>
            <w:noWrap/>
            <w:hideMark/>
          </w:tcPr>
          <w:p w14:paraId="449AC2FD" w14:textId="4CF86DB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-2.058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0374CE4" w14:textId="7E318202"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44" w:type="dxa"/>
            <w:tcBorders>
              <w:top w:val="single" w:sz="4" w:space="0" w:color="auto"/>
              <w:left w:val="single" w:sz="4" w:space="0" w:color="auto"/>
              <w:bottom w:val="single" w:sz="4" w:space="0" w:color="auto"/>
            </w:tcBorders>
            <w:shd w:val="clear" w:color="auto" w:fill="auto"/>
            <w:noWrap/>
            <w:hideMark/>
          </w:tcPr>
          <w:p w14:paraId="648D664C" w14:textId="07AA8FB3"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8" w:type="dxa"/>
            <w:tcBorders>
              <w:top w:val="single" w:sz="4" w:space="0" w:color="auto"/>
              <w:bottom w:val="single" w:sz="4" w:space="0" w:color="auto"/>
            </w:tcBorders>
            <w:shd w:val="clear" w:color="auto" w:fill="auto"/>
            <w:noWrap/>
            <w:hideMark/>
          </w:tcPr>
          <w:p w14:paraId="1F9A568B" w14:textId="759B558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8" w:type="dxa"/>
            <w:tcBorders>
              <w:top w:val="single" w:sz="4" w:space="0" w:color="auto"/>
              <w:bottom w:val="single" w:sz="4" w:space="0" w:color="auto"/>
              <w:right w:val="single" w:sz="4" w:space="0" w:color="auto"/>
            </w:tcBorders>
            <w:shd w:val="clear" w:color="auto" w:fill="auto"/>
            <w:noWrap/>
            <w:hideMark/>
          </w:tcPr>
          <w:p w14:paraId="7EF6C7B1" w14:textId="52376A5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204A5DB0" w14:textId="77777777" w:rsidTr="007B60BB">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955F0"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lastRenderedPageBreak/>
              <w:t>0.2</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3FC2B600" w14:textId="586E056F" w:rsidR="006139B1" w:rsidRPr="002E554D" w:rsidRDefault="006139B1" w:rsidP="006139B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-3.648***</w:t>
            </w:r>
          </w:p>
        </w:tc>
        <w:tc>
          <w:tcPr>
            <w:tcW w:w="960" w:type="dxa"/>
            <w:tcBorders>
              <w:top w:val="single" w:sz="4" w:space="0" w:color="auto"/>
              <w:left w:val="single" w:sz="4" w:space="0" w:color="auto"/>
              <w:bottom w:val="single" w:sz="4" w:space="0" w:color="auto"/>
            </w:tcBorders>
            <w:shd w:val="clear" w:color="auto" w:fill="auto"/>
            <w:noWrap/>
            <w:hideMark/>
          </w:tcPr>
          <w:p w14:paraId="2BCCE15D" w14:textId="113EB66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-3.094</w:t>
            </w:r>
          </w:p>
        </w:tc>
        <w:tc>
          <w:tcPr>
            <w:tcW w:w="960" w:type="dxa"/>
            <w:tcBorders>
              <w:top w:val="single" w:sz="4" w:space="0" w:color="auto"/>
              <w:bottom w:val="single" w:sz="4" w:space="0" w:color="auto"/>
            </w:tcBorders>
            <w:shd w:val="clear" w:color="auto" w:fill="auto"/>
            <w:noWrap/>
            <w:hideMark/>
          </w:tcPr>
          <w:p w14:paraId="6DEE6B93" w14:textId="42A99BE1"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-2.445</w:t>
            </w:r>
          </w:p>
        </w:tc>
        <w:tc>
          <w:tcPr>
            <w:tcW w:w="960" w:type="dxa"/>
            <w:tcBorders>
              <w:top w:val="single" w:sz="4" w:space="0" w:color="auto"/>
              <w:bottom w:val="single" w:sz="4" w:space="0" w:color="auto"/>
              <w:right w:val="single" w:sz="4" w:space="0" w:color="auto"/>
            </w:tcBorders>
            <w:shd w:val="clear" w:color="auto" w:fill="auto"/>
            <w:noWrap/>
            <w:hideMark/>
          </w:tcPr>
          <w:p w14:paraId="6EA1C87B" w14:textId="19415306"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F950E0B" w14:textId="7AF5A53C"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44" w:type="dxa"/>
            <w:tcBorders>
              <w:top w:val="single" w:sz="4" w:space="0" w:color="auto"/>
              <w:left w:val="single" w:sz="4" w:space="0" w:color="auto"/>
              <w:bottom w:val="single" w:sz="4" w:space="0" w:color="auto"/>
            </w:tcBorders>
            <w:shd w:val="clear" w:color="auto" w:fill="auto"/>
            <w:noWrap/>
            <w:hideMark/>
          </w:tcPr>
          <w:p w14:paraId="2448A379" w14:textId="32CD2E72"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8" w:type="dxa"/>
            <w:tcBorders>
              <w:top w:val="single" w:sz="4" w:space="0" w:color="auto"/>
              <w:bottom w:val="single" w:sz="4" w:space="0" w:color="auto"/>
            </w:tcBorders>
            <w:shd w:val="clear" w:color="auto" w:fill="auto"/>
            <w:noWrap/>
            <w:hideMark/>
          </w:tcPr>
          <w:p w14:paraId="11B42CE1" w14:textId="14B0B51C"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8" w:type="dxa"/>
            <w:tcBorders>
              <w:top w:val="single" w:sz="4" w:space="0" w:color="auto"/>
              <w:bottom w:val="single" w:sz="4" w:space="0" w:color="auto"/>
              <w:right w:val="single" w:sz="4" w:space="0" w:color="auto"/>
            </w:tcBorders>
            <w:shd w:val="clear" w:color="auto" w:fill="auto"/>
            <w:noWrap/>
            <w:hideMark/>
          </w:tcPr>
          <w:p w14:paraId="482A77FF" w14:textId="3346CD3A"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4B37D421" w14:textId="77777777" w:rsidTr="007B60BB">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8D990"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68BF6518" w14:textId="734611B2"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-1.453</w:t>
            </w:r>
          </w:p>
        </w:tc>
        <w:tc>
          <w:tcPr>
            <w:tcW w:w="960" w:type="dxa"/>
            <w:tcBorders>
              <w:top w:val="single" w:sz="4" w:space="0" w:color="auto"/>
              <w:left w:val="single" w:sz="4" w:space="0" w:color="auto"/>
              <w:bottom w:val="single" w:sz="4" w:space="0" w:color="auto"/>
            </w:tcBorders>
            <w:shd w:val="clear" w:color="auto" w:fill="auto"/>
            <w:noWrap/>
            <w:hideMark/>
          </w:tcPr>
          <w:p w14:paraId="11962642" w14:textId="45710543"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-3.098</w:t>
            </w:r>
          </w:p>
        </w:tc>
        <w:tc>
          <w:tcPr>
            <w:tcW w:w="960" w:type="dxa"/>
            <w:tcBorders>
              <w:top w:val="single" w:sz="4" w:space="0" w:color="auto"/>
              <w:bottom w:val="single" w:sz="4" w:space="0" w:color="auto"/>
            </w:tcBorders>
            <w:shd w:val="clear" w:color="auto" w:fill="auto"/>
            <w:noWrap/>
            <w:hideMark/>
          </w:tcPr>
          <w:p w14:paraId="484671F7" w14:textId="07ADAE4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-2.450</w:t>
            </w:r>
          </w:p>
        </w:tc>
        <w:tc>
          <w:tcPr>
            <w:tcW w:w="960" w:type="dxa"/>
            <w:tcBorders>
              <w:top w:val="single" w:sz="4" w:space="0" w:color="auto"/>
              <w:bottom w:val="single" w:sz="4" w:space="0" w:color="auto"/>
              <w:right w:val="single" w:sz="4" w:space="0" w:color="auto"/>
            </w:tcBorders>
            <w:shd w:val="clear" w:color="auto" w:fill="auto"/>
            <w:noWrap/>
            <w:hideMark/>
          </w:tcPr>
          <w:p w14:paraId="518EEF37" w14:textId="7C52419B"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37BECB1" w14:textId="1C0D9A3F"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44" w:type="dxa"/>
            <w:tcBorders>
              <w:top w:val="single" w:sz="4" w:space="0" w:color="auto"/>
              <w:left w:val="single" w:sz="4" w:space="0" w:color="auto"/>
              <w:bottom w:val="single" w:sz="4" w:space="0" w:color="auto"/>
            </w:tcBorders>
            <w:shd w:val="clear" w:color="auto" w:fill="auto"/>
            <w:noWrap/>
            <w:hideMark/>
          </w:tcPr>
          <w:p w14:paraId="743428BA" w14:textId="34B80A1F"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8" w:type="dxa"/>
            <w:tcBorders>
              <w:top w:val="single" w:sz="4" w:space="0" w:color="auto"/>
              <w:bottom w:val="single" w:sz="4" w:space="0" w:color="auto"/>
            </w:tcBorders>
            <w:shd w:val="clear" w:color="auto" w:fill="auto"/>
            <w:noWrap/>
            <w:hideMark/>
          </w:tcPr>
          <w:p w14:paraId="100B4D1A" w14:textId="3EEC04E0"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8" w:type="dxa"/>
            <w:tcBorders>
              <w:top w:val="single" w:sz="4" w:space="0" w:color="auto"/>
              <w:bottom w:val="single" w:sz="4" w:space="0" w:color="auto"/>
              <w:right w:val="single" w:sz="4" w:space="0" w:color="auto"/>
            </w:tcBorders>
            <w:shd w:val="clear" w:color="auto" w:fill="auto"/>
            <w:noWrap/>
            <w:hideMark/>
          </w:tcPr>
          <w:p w14:paraId="1C9996B8" w14:textId="7E2314A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23DF02C4" w14:textId="77777777" w:rsidTr="007B60BB">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1D42D"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7C58231" w14:textId="2CC8364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0.207</w:t>
            </w:r>
          </w:p>
        </w:tc>
        <w:tc>
          <w:tcPr>
            <w:tcW w:w="960" w:type="dxa"/>
            <w:tcBorders>
              <w:top w:val="single" w:sz="4" w:space="0" w:color="auto"/>
              <w:left w:val="single" w:sz="4" w:space="0" w:color="auto"/>
              <w:bottom w:val="single" w:sz="4" w:space="0" w:color="auto"/>
            </w:tcBorders>
            <w:shd w:val="clear" w:color="auto" w:fill="auto"/>
            <w:noWrap/>
            <w:hideMark/>
          </w:tcPr>
          <w:p w14:paraId="3F203BFC" w14:textId="54406071"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-3.124</w:t>
            </w:r>
          </w:p>
        </w:tc>
        <w:tc>
          <w:tcPr>
            <w:tcW w:w="960" w:type="dxa"/>
            <w:tcBorders>
              <w:top w:val="single" w:sz="4" w:space="0" w:color="auto"/>
              <w:bottom w:val="single" w:sz="4" w:space="0" w:color="auto"/>
            </w:tcBorders>
            <w:shd w:val="clear" w:color="auto" w:fill="auto"/>
            <w:noWrap/>
            <w:hideMark/>
          </w:tcPr>
          <w:p w14:paraId="52AA1680" w14:textId="2EF0BAEE"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-2.487</w:t>
            </w:r>
          </w:p>
        </w:tc>
        <w:tc>
          <w:tcPr>
            <w:tcW w:w="960" w:type="dxa"/>
            <w:tcBorders>
              <w:top w:val="single" w:sz="4" w:space="0" w:color="auto"/>
              <w:bottom w:val="single" w:sz="4" w:space="0" w:color="auto"/>
              <w:right w:val="single" w:sz="4" w:space="0" w:color="auto"/>
            </w:tcBorders>
            <w:shd w:val="clear" w:color="auto" w:fill="auto"/>
            <w:noWrap/>
            <w:hideMark/>
          </w:tcPr>
          <w:p w14:paraId="622E122D" w14:textId="09DDD710"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C7C34D9" w14:textId="05150A4C"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44" w:type="dxa"/>
            <w:tcBorders>
              <w:top w:val="single" w:sz="4" w:space="0" w:color="auto"/>
              <w:left w:val="single" w:sz="4" w:space="0" w:color="auto"/>
              <w:bottom w:val="single" w:sz="4" w:space="0" w:color="auto"/>
            </w:tcBorders>
            <w:shd w:val="clear" w:color="auto" w:fill="auto"/>
            <w:noWrap/>
            <w:hideMark/>
          </w:tcPr>
          <w:p w14:paraId="64041CE8" w14:textId="0143FCA0"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-2.826</w:t>
            </w:r>
          </w:p>
        </w:tc>
        <w:tc>
          <w:tcPr>
            <w:tcW w:w="968" w:type="dxa"/>
            <w:tcBorders>
              <w:top w:val="single" w:sz="4" w:space="0" w:color="auto"/>
              <w:bottom w:val="single" w:sz="4" w:space="0" w:color="auto"/>
            </w:tcBorders>
            <w:shd w:val="clear" w:color="auto" w:fill="auto"/>
            <w:noWrap/>
            <w:hideMark/>
          </w:tcPr>
          <w:p w14:paraId="0CD5D357" w14:textId="1E0FE96C"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-2.168</w:t>
            </w:r>
          </w:p>
        </w:tc>
        <w:tc>
          <w:tcPr>
            <w:tcW w:w="968" w:type="dxa"/>
            <w:tcBorders>
              <w:top w:val="single" w:sz="4" w:space="0" w:color="auto"/>
              <w:bottom w:val="single" w:sz="4" w:space="0" w:color="auto"/>
              <w:right w:val="single" w:sz="4" w:space="0" w:color="auto"/>
            </w:tcBorders>
            <w:shd w:val="clear" w:color="auto" w:fill="auto"/>
            <w:noWrap/>
            <w:hideMark/>
          </w:tcPr>
          <w:p w14:paraId="02196908" w14:textId="6EB692B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-1.805</w:t>
            </w:r>
          </w:p>
        </w:tc>
      </w:tr>
      <w:tr w:rsidR="002E554D" w:rsidRPr="002E554D" w14:paraId="39BFE476" w14:textId="77777777" w:rsidTr="007B60BB">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9EF26"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9D85C66" w14:textId="1C47172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0.177</w:t>
            </w:r>
          </w:p>
        </w:tc>
        <w:tc>
          <w:tcPr>
            <w:tcW w:w="960" w:type="dxa"/>
            <w:tcBorders>
              <w:top w:val="single" w:sz="4" w:space="0" w:color="auto"/>
              <w:left w:val="single" w:sz="4" w:space="0" w:color="auto"/>
              <w:bottom w:val="single" w:sz="4" w:space="0" w:color="auto"/>
            </w:tcBorders>
            <w:shd w:val="clear" w:color="auto" w:fill="auto"/>
            <w:noWrap/>
            <w:hideMark/>
          </w:tcPr>
          <w:p w14:paraId="4C5D757E" w14:textId="1A64606C"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-3.092</w:t>
            </w:r>
          </w:p>
        </w:tc>
        <w:tc>
          <w:tcPr>
            <w:tcW w:w="960" w:type="dxa"/>
            <w:tcBorders>
              <w:top w:val="single" w:sz="4" w:space="0" w:color="auto"/>
              <w:bottom w:val="single" w:sz="4" w:space="0" w:color="auto"/>
            </w:tcBorders>
            <w:shd w:val="clear" w:color="auto" w:fill="auto"/>
            <w:noWrap/>
            <w:hideMark/>
          </w:tcPr>
          <w:p w14:paraId="387144B5" w14:textId="32D306E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-2.442</w:t>
            </w:r>
          </w:p>
        </w:tc>
        <w:tc>
          <w:tcPr>
            <w:tcW w:w="960" w:type="dxa"/>
            <w:tcBorders>
              <w:top w:val="single" w:sz="4" w:space="0" w:color="auto"/>
              <w:bottom w:val="single" w:sz="4" w:space="0" w:color="auto"/>
              <w:right w:val="single" w:sz="4" w:space="0" w:color="auto"/>
            </w:tcBorders>
            <w:shd w:val="clear" w:color="auto" w:fill="auto"/>
            <w:noWrap/>
            <w:hideMark/>
          </w:tcPr>
          <w:p w14:paraId="6C6596BD" w14:textId="567A8A30"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054B957" w14:textId="2641AA58"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44" w:type="dxa"/>
            <w:tcBorders>
              <w:top w:val="single" w:sz="4" w:space="0" w:color="auto"/>
              <w:left w:val="single" w:sz="4" w:space="0" w:color="auto"/>
              <w:bottom w:val="single" w:sz="4" w:space="0" w:color="auto"/>
            </w:tcBorders>
            <w:shd w:val="clear" w:color="auto" w:fill="auto"/>
            <w:noWrap/>
            <w:hideMark/>
          </w:tcPr>
          <w:p w14:paraId="1D56E8A5" w14:textId="27923DB5"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-2.914</w:t>
            </w:r>
          </w:p>
        </w:tc>
        <w:tc>
          <w:tcPr>
            <w:tcW w:w="968" w:type="dxa"/>
            <w:tcBorders>
              <w:top w:val="single" w:sz="4" w:space="0" w:color="auto"/>
              <w:bottom w:val="single" w:sz="4" w:space="0" w:color="auto"/>
            </w:tcBorders>
            <w:shd w:val="clear" w:color="auto" w:fill="auto"/>
            <w:noWrap/>
            <w:hideMark/>
          </w:tcPr>
          <w:p w14:paraId="2A27B199" w14:textId="6E277030"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-2.279</w:t>
            </w:r>
          </w:p>
        </w:tc>
        <w:tc>
          <w:tcPr>
            <w:tcW w:w="968" w:type="dxa"/>
            <w:tcBorders>
              <w:top w:val="single" w:sz="4" w:space="0" w:color="auto"/>
              <w:bottom w:val="single" w:sz="4" w:space="0" w:color="auto"/>
              <w:right w:val="single" w:sz="4" w:space="0" w:color="auto"/>
            </w:tcBorders>
            <w:shd w:val="clear" w:color="auto" w:fill="auto"/>
            <w:noWrap/>
            <w:hideMark/>
          </w:tcPr>
          <w:p w14:paraId="4FD50223" w14:textId="1ADE288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-1.918</w:t>
            </w:r>
          </w:p>
        </w:tc>
      </w:tr>
      <w:tr w:rsidR="002E554D" w:rsidRPr="002E554D" w14:paraId="406D898C" w14:textId="77777777" w:rsidTr="007B60BB">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C645A"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1D92903D" w14:textId="3EA6D3A3"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1.981</w:t>
            </w:r>
          </w:p>
        </w:tc>
        <w:tc>
          <w:tcPr>
            <w:tcW w:w="960" w:type="dxa"/>
            <w:tcBorders>
              <w:top w:val="single" w:sz="4" w:space="0" w:color="auto"/>
              <w:left w:val="single" w:sz="4" w:space="0" w:color="auto"/>
              <w:bottom w:val="single" w:sz="4" w:space="0" w:color="auto"/>
            </w:tcBorders>
            <w:shd w:val="clear" w:color="auto" w:fill="auto"/>
            <w:noWrap/>
            <w:hideMark/>
          </w:tcPr>
          <w:p w14:paraId="1AB428D6" w14:textId="498A0DE0"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-3.099</w:t>
            </w:r>
          </w:p>
        </w:tc>
        <w:tc>
          <w:tcPr>
            <w:tcW w:w="960" w:type="dxa"/>
            <w:tcBorders>
              <w:top w:val="single" w:sz="4" w:space="0" w:color="auto"/>
              <w:bottom w:val="single" w:sz="4" w:space="0" w:color="auto"/>
            </w:tcBorders>
            <w:shd w:val="clear" w:color="auto" w:fill="auto"/>
            <w:noWrap/>
            <w:hideMark/>
          </w:tcPr>
          <w:p w14:paraId="0C8F67D2" w14:textId="3C918F7A"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-2.451</w:t>
            </w:r>
          </w:p>
        </w:tc>
        <w:tc>
          <w:tcPr>
            <w:tcW w:w="960" w:type="dxa"/>
            <w:tcBorders>
              <w:top w:val="single" w:sz="4" w:space="0" w:color="auto"/>
              <w:bottom w:val="single" w:sz="4" w:space="0" w:color="auto"/>
              <w:right w:val="single" w:sz="4" w:space="0" w:color="auto"/>
            </w:tcBorders>
            <w:shd w:val="clear" w:color="auto" w:fill="auto"/>
            <w:noWrap/>
            <w:hideMark/>
          </w:tcPr>
          <w:p w14:paraId="748EA11A" w14:textId="4B9DC84E"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EC75D08" w14:textId="5AC303D5"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44" w:type="dxa"/>
            <w:tcBorders>
              <w:top w:val="single" w:sz="4" w:space="0" w:color="auto"/>
              <w:left w:val="single" w:sz="4" w:space="0" w:color="auto"/>
              <w:bottom w:val="single" w:sz="4" w:space="0" w:color="auto"/>
            </w:tcBorders>
            <w:shd w:val="clear" w:color="auto" w:fill="auto"/>
            <w:noWrap/>
            <w:hideMark/>
          </w:tcPr>
          <w:p w14:paraId="6148B5AD" w14:textId="1894E5E6"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8" w:type="dxa"/>
            <w:tcBorders>
              <w:top w:val="single" w:sz="4" w:space="0" w:color="auto"/>
              <w:bottom w:val="single" w:sz="4" w:space="0" w:color="auto"/>
            </w:tcBorders>
            <w:shd w:val="clear" w:color="auto" w:fill="auto"/>
            <w:noWrap/>
            <w:hideMark/>
          </w:tcPr>
          <w:p w14:paraId="3D6E8969" w14:textId="11C1E29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8" w:type="dxa"/>
            <w:tcBorders>
              <w:top w:val="single" w:sz="4" w:space="0" w:color="auto"/>
              <w:bottom w:val="single" w:sz="4" w:space="0" w:color="auto"/>
              <w:right w:val="single" w:sz="4" w:space="0" w:color="auto"/>
            </w:tcBorders>
            <w:shd w:val="clear" w:color="auto" w:fill="auto"/>
            <w:noWrap/>
            <w:hideMark/>
          </w:tcPr>
          <w:p w14:paraId="549A59A2" w14:textId="0D331DA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1AC51FF4" w14:textId="77777777" w:rsidTr="007B60BB">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96B4"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269C3EE0" w14:textId="2CCFA554"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2.929</w:t>
            </w:r>
          </w:p>
        </w:tc>
        <w:tc>
          <w:tcPr>
            <w:tcW w:w="960" w:type="dxa"/>
            <w:tcBorders>
              <w:top w:val="single" w:sz="4" w:space="0" w:color="auto"/>
              <w:left w:val="single" w:sz="4" w:space="0" w:color="auto"/>
              <w:bottom w:val="single" w:sz="4" w:space="0" w:color="auto"/>
            </w:tcBorders>
            <w:shd w:val="clear" w:color="auto" w:fill="auto"/>
            <w:noWrap/>
            <w:hideMark/>
          </w:tcPr>
          <w:p w14:paraId="5324D5CA" w14:textId="4FB23EAA"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-3.104</w:t>
            </w:r>
          </w:p>
        </w:tc>
        <w:tc>
          <w:tcPr>
            <w:tcW w:w="960" w:type="dxa"/>
            <w:tcBorders>
              <w:top w:val="single" w:sz="4" w:space="0" w:color="auto"/>
              <w:bottom w:val="single" w:sz="4" w:space="0" w:color="auto"/>
            </w:tcBorders>
            <w:shd w:val="clear" w:color="auto" w:fill="auto"/>
            <w:noWrap/>
            <w:hideMark/>
          </w:tcPr>
          <w:p w14:paraId="472A8BFC" w14:textId="138DE61B"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-2.459</w:t>
            </w:r>
          </w:p>
        </w:tc>
        <w:tc>
          <w:tcPr>
            <w:tcW w:w="960" w:type="dxa"/>
            <w:tcBorders>
              <w:top w:val="single" w:sz="4" w:space="0" w:color="auto"/>
              <w:bottom w:val="single" w:sz="4" w:space="0" w:color="auto"/>
              <w:right w:val="single" w:sz="4" w:space="0" w:color="auto"/>
            </w:tcBorders>
            <w:shd w:val="clear" w:color="auto" w:fill="auto"/>
            <w:noWrap/>
            <w:hideMark/>
          </w:tcPr>
          <w:p w14:paraId="46492813" w14:textId="22AAC79C"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F933F75" w14:textId="57CF424E"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44" w:type="dxa"/>
            <w:tcBorders>
              <w:top w:val="single" w:sz="4" w:space="0" w:color="auto"/>
              <w:left w:val="single" w:sz="4" w:space="0" w:color="auto"/>
              <w:bottom w:val="single" w:sz="4" w:space="0" w:color="auto"/>
            </w:tcBorders>
            <w:shd w:val="clear" w:color="auto" w:fill="auto"/>
            <w:noWrap/>
            <w:hideMark/>
          </w:tcPr>
          <w:p w14:paraId="4EF6748C" w14:textId="4D94E580"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8" w:type="dxa"/>
            <w:tcBorders>
              <w:top w:val="single" w:sz="4" w:space="0" w:color="auto"/>
              <w:bottom w:val="single" w:sz="4" w:space="0" w:color="auto"/>
            </w:tcBorders>
            <w:shd w:val="clear" w:color="auto" w:fill="auto"/>
            <w:noWrap/>
            <w:hideMark/>
          </w:tcPr>
          <w:p w14:paraId="5FE2013D" w14:textId="66CEE854"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8" w:type="dxa"/>
            <w:tcBorders>
              <w:top w:val="single" w:sz="4" w:space="0" w:color="auto"/>
              <w:bottom w:val="single" w:sz="4" w:space="0" w:color="auto"/>
              <w:right w:val="single" w:sz="4" w:space="0" w:color="auto"/>
            </w:tcBorders>
            <w:shd w:val="clear" w:color="auto" w:fill="auto"/>
            <w:noWrap/>
            <w:hideMark/>
          </w:tcPr>
          <w:p w14:paraId="7C566DF4" w14:textId="51460C96"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2A3C7474" w14:textId="77777777" w:rsidTr="007B60BB">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A64A"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7E6325C4" w14:textId="19E1B290"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2.830</w:t>
            </w:r>
          </w:p>
        </w:tc>
        <w:tc>
          <w:tcPr>
            <w:tcW w:w="960" w:type="dxa"/>
            <w:tcBorders>
              <w:top w:val="single" w:sz="4" w:space="0" w:color="auto"/>
              <w:left w:val="single" w:sz="4" w:space="0" w:color="auto"/>
              <w:bottom w:val="single" w:sz="4" w:space="0" w:color="auto"/>
            </w:tcBorders>
            <w:shd w:val="clear" w:color="auto" w:fill="auto"/>
            <w:noWrap/>
            <w:hideMark/>
          </w:tcPr>
          <w:p w14:paraId="3CACDBF2" w14:textId="50570691"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-3.083</w:t>
            </w:r>
          </w:p>
        </w:tc>
        <w:tc>
          <w:tcPr>
            <w:tcW w:w="960" w:type="dxa"/>
            <w:tcBorders>
              <w:top w:val="single" w:sz="4" w:space="0" w:color="auto"/>
              <w:bottom w:val="single" w:sz="4" w:space="0" w:color="auto"/>
            </w:tcBorders>
            <w:shd w:val="clear" w:color="auto" w:fill="auto"/>
            <w:noWrap/>
            <w:hideMark/>
          </w:tcPr>
          <w:p w14:paraId="4E7EA39C" w14:textId="694449C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-2.428</w:t>
            </w:r>
          </w:p>
        </w:tc>
        <w:tc>
          <w:tcPr>
            <w:tcW w:w="960" w:type="dxa"/>
            <w:tcBorders>
              <w:top w:val="single" w:sz="4" w:space="0" w:color="auto"/>
              <w:bottom w:val="single" w:sz="4" w:space="0" w:color="auto"/>
              <w:right w:val="single" w:sz="4" w:space="0" w:color="auto"/>
            </w:tcBorders>
            <w:shd w:val="clear" w:color="auto" w:fill="auto"/>
            <w:noWrap/>
            <w:hideMark/>
          </w:tcPr>
          <w:p w14:paraId="6B578990" w14:textId="594BB81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-2.087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84536C0" w14:textId="2E9351F3"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44" w:type="dxa"/>
            <w:tcBorders>
              <w:top w:val="single" w:sz="4" w:space="0" w:color="auto"/>
              <w:left w:val="single" w:sz="4" w:space="0" w:color="auto"/>
              <w:bottom w:val="single" w:sz="4" w:space="0" w:color="auto"/>
            </w:tcBorders>
            <w:shd w:val="clear" w:color="auto" w:fill="auto"/>
            <w:noWrap/>
            <w:hideMark/>
          </w:tcPr>
          <w:p w14:paraId="32522AB5" w14:textId="101C16D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8" w:type="dxa"/>
            <w:tcBorders>
              <w:top w:val="single" w:sz="4" w:space="0" w:color="auto"/>
              <w:bottom w:val="single" w:sz="4" w:space="0" w:color="auto"/>
            </w:tcBorders>
            <w:shd w:val="clear" w:color="auto" w:fill="auto"/>
            <w:noWrap/>
            <w:hideMark/>
          </w:tcPr>
          <w:p w14:paraId="153D3C1F" w14:textId="7F716BBA"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8" w:type="dxa"/>
            <w:tcBorders>
              <w:top w:val="single" w:sz="4" w:space="0" w:color="auto"/>
              <w:bottom w:val="single" w:sz="4" w:space="0" w:color="auto"/>
              <w:right w:val="single" w:sz="4" w:space="0" w:color="auto"/>
            </w:tcBorders>
            <w:shd w:val="clear" w:color="auto" w:fill="auto"/>
            <w:noWrap/>
            <w:hideMark/>
          </w:tcPr>
          <w:p w14:paraId="693826FC" w14:textId="2A5A8CF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35279267" w14:textId="77777777" w:rsidTr="007B60BB">
        <w:trPr>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C56FC"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47B20160" w14:textId="4AE3819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3.658</w:t>
            </w:r>
          </w:p>
        </w:tc>
        <w:tc>
          <w:tcPr>
            <w:tcW w:w="960" w:type="dxa"/>
            <w:tcBorders>
              <w:top w:val="single" w:sz="4" w:space="0" w:color="auto"/>
              <w:left w:val="single" w:sz="4" w:space="0" w:color="auto"/>
              <w:bottom w:val="single" w:sz="4" w:space="0" w:color="auto"/>
            </w:tcBorders>
            <w:shd w:val="clear" w:color="auto" w:fill="auto"/>
            <w:noWrap/>
            <w:hideMark/>
          </w:tcPr>
          <w:p w14:paraId="12EB9539" w14:textId="46223053"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-3.074</w:t>
            </w:r>
          </w:p>
        </w:tc>
        <w:tc>
          <w:tcPr>
            <w:tcW w:w="960" w:type="dxa"/>
            <w:tcBorders>
              <w:top w:val="single" w:sz="4" w:space="0" w:color="auto"/>
              <w:bottom w:val="single" w:sz="4" w:space="0" w:color="auto"/>
            </w:tcBorders>
            <w:shd w:val="clear" w:color="auto" w:fill="auto"/>
            <w:noWrap/>
            <w:hideMark/>
          </w:tcPr>
          <w:p w14:paraId="72C85AE9" w14:textId="512166B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-2.415</w:t>
            </w:r>
          </w:p>
        </w:tc>
        <w:tc>
          <w:tcPr>
            <w:tcW w:w="960" w:type="dxa"/>
            <w:tcBorders>
              <w:top w:val="single" w:sz="4" w:space="0" w:color="auto"/>
              <w:bottom w:val="single" w:sz="4" w:space="0" w:color="auto"/>
              <w:right w:val="single" w:sz="4" w:space="0" w:color="auto"/>
            </w:tcBorders>
            <w:shd w:val="clear" w:color="auto" w:fill="auto"/>
            <w:noWrap/>
            <w:hideMark/>
          </w:tcPr>
          <w:p w14:paraId="0B54871F" w14:textId="74AF14D2"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-2.074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4D06815" w14:textId="137380C3"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0.081</w:t>
            </w:r>
          </w:p>
        </w:tc>
        <w:tc>
          <w:tcPr>
            <w:tcW w:w="944" w:type="dxa"/>
            <w:tcBorders>
              <w:top w:val="single" w:sz="4" w:space="0" w:color="auto"/>
              <w:left w:val="single" w:sz="4" w:space="0" w:color="auto"/>
              <w:bottom w:val="single" w:sz="4" w:space="0" w:color="auto"/>
            </w:tcBorders>
            <w:shd w:val="clear" w:color="auto" w:fill="auto"/>
            <w:noWrap/>
            <w:hideMark/>
          </w:tcPr>
          <w:p w14:paraId="0A35D3D6" w14:textId="3F00E04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-2.862</w:t>
            </w:r>
          </w:p>
        </w:tc>
        <w:tc>
          <w:tcPr>
            <w:tcW w:w="968" w:type="dxa"/>
            <w:tcBorders>
              <w:top w:val="single" w:sz="4" w:space="0" w:color="auto"/>
              <w:bottom w:val="single" w:sz="4" w:space="0" w:color="auto"/>
            </w:tcBorders>
            <w:shd w:val="clear" w:color="auto" w:fill="auto"/>
            <w:noWrap/>
            <w:hideMark/>
          </w:tcPr>
          <w:p w14:paraId="4E0C62ED" w14:textId="37ED5B8B"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-2.213</w:t>
            </w:r>
          </w:p>
        </w:tc>
        <w:tc>
          <w:tcPr>
            <w:tcW w:w="968" w:type="dxa"/>
            <w:tcBorders>
              <w:top w:val="single" w:sz="4" w:space="0" w:color="auto"/>
              <w:bottom w:val="single" w:sz="4" w:space="0" w:color="auto"/>
              <w:right w:val="single" w:sz="4" w:space="0" w:color="auto"/>
            </w:tcBorders>
            <w:shd w:val="clear" w:color="auto" w:fill="auto"/>
            <w:noWrap/>
            <w:hideMark/>
          </w:tcPr>
          <w:p w14:paraId="4C3C020D" w14:textId="7EFAB1D4"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-1.851</w:t>
            </w:r>
          </w:p>
        </w:tc>
      </w:tr>
      <w:tr w:rsidR="002E554D" w:rsidRPr="002E554D" w14:paraId="1E020690" w14:textId="77777777" w:rsidTr="00511100">
        <w:trPr>
          <w:gridAfter w:val="4"/>
          <w:wAfter w:w="3840" w:type="dxa"/>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83F8D" w14:textId="77777777" w:rsidR="00EE2DBD" w:rsidRPr="002E554D" w:rsidRDefault="00EE2DBD" w:rsidP="00771184">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 </w:t>
            </w:r>
          </w:p>
        </w:tc>
        <w:tc>
          <w:tcPr>
            <w:tcW w:w="39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DEAA" w14:textId="77777777" w:rsidR="00EE2DBD" w:rsidRPr="002E554D" w:rsidRDefault="00EE2DBD"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Ruthenium</w:t>
            </w:r>
          </w:p>
        </w:tc>
      </w:tr>
      <w:tr w:rsidR="002E554D" w:rsidRPr="002E554D" w14:paraId="642BDEBE" w14:textId="77777777" w:rsidTr="00A31352">
        <w:trPr>
          <w:gridAfter w:val="4"/>
          <w:wAfter w:w="3840" w:type="dxa"/>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939C"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19A5A496" w14:textId="7B33747C"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60" w:type="dxa"/>
            <w:tcBorders>
              <w:top w:val="single" w:sz="4" w:space="0" w:color="auto"/>
              <w:left w:val="single" w:sz="4" w:space="0" w:color="auto"/>
              <w:bottom w:val="single" w:sz="4" w:space="0" w:color="auto"/>
            </w:tcBorders>
            <w:shd w:val="clear" w:color="auto" w:fill="auto"/>
            <w:noWrap/>
            <w:hideMark/>
          </w:tcPr>
          <w:p w14:paraId="02A7CAF7" w14:textId="675ED91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7A22093E" w14:textId="021240E5"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06C9937A" w14:textId="4ECECCA6"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316124C2" w14:textId="77777777" w:rsidTr="00A31352">
        <w:trPr>
          <w:gridAfter w:val="4"/>
          <w:wAfter w:w="3840" w:type="dxa"/>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00F5"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47EA79FD" w14:textId="53FB087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60" w:type="dxa"/>
            <w:tcBorders>
              <w:top w:val="single" w:sz="4" w:space="0" w:color="auto"/>
              <w:left w:val="single" w:sz="4" w:space="0" w:color="auto"/>
              <w:bottom w:val="single" w:sz="4" w:space="0" w:color="auto"/>
            </w:tcBorders>
            <w:shd w:val="clear" w:color="auto" w:fill="auto"/>
            <w:noWrap/>
            <w:hideMark/>
          </w:tcPr>
          <w:p w14:paraId="0956C797" w14:textId="65B12F43"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6133ACD1" w14:textId="1232A432"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1679BA46" w14:textId="79C5F42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35E1978B" w14:textId="77777777" w:rsidTr="00A31352">
        <w:trPr>
          <w:gridAfter w:val="4"/>
          <w:wAfter w:w="3840" w:type="dxa"/>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C0482"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BD5EDDC" w14:textId="2E9F3B20"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60" w:type="dxa"/>
            <w:tcBorders>
              <w:top w:val="single" w:sz="4" w:space="0" w:color="auto"/>
              <w:left w:val="single" w:sz="4" w:space="0" w:color="auto"/>
              <w:bottom w:val="single" w:sz="4" w:space="0" w:color="auto"/>
            </w:tcBorders>
            <w:shd w:val="clear" w:color="auto" w:fill="auto"/>
            <w:noWrap/>
            <w:hideMark/>
          </w:tcPr>
          <w:p w14:paraId="2912C380" w14:textId="39D6F63A"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4FE2D047" w14:textId="4BBEA5FF"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4B5D1845" w14:textId="66C2BD83"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0007984A" w14:textId="77777777" w:rsidTr="00A31352">
        <w:trPr>
          <w:gridAfter w:val="4"/>
          <w:wAfter w:w="3840" w:type="dxa"/>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F8C8F"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7A40145A" w14:textId="445E2ACC"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60" w:type="dxa"/>
            <w:tcBorders>
              <w:top w:val="single" w:sz="4" w:space="0" w:color="auto"/>
              <w:left w:val="single" w:sz="4" w:space="0" w:color="auto"/>
              <w:bottom w:val="single" w:sz="4" w:space="0" w:color="auto"/>
            </w:tcBorders>
            <w:shd w:val="clear" w:color="auto" w:fill="auto"/>
            <w:noWrap/>
            <w:hideMark/>
          </w:tcPr>
          <w:p w14:paraId="0759A8B3" w14:textId="7753B7B8"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15A99300" w14:textId="04CA4740"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257934C7" w14:textId="53DEEDB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6B700A24" w14:textId="77777777" w:rsidTr="00A31352">
        <w:trPr>
          <w:gridAfter w:val="4"/>
          <w:wAfter w:w="3840" w:type="dxa"/>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A0728"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4A14CD2" w14:textId="366FEF55"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60" w:type="dxa"/>
            <w:tcBorders>
              <w:top w:val="single" w:sz="4" w:space="0" w:color="auto"/>
              <w:left w:val="single" w:sz="4" w:space="0" w:color="auto"/>
              <w:bottom w:val="single" w:sz="4" w:space="0" w:color="auto"/>
            </w:tcBorders>
            <w:shd w:val="clear" w:color="auto" w:fill="auto"/>
            <w:noWrap/>
            <w:hideMark/>
          </w:tcPr>
          <w:p w14:paraId="3B0CD9C0" w14:textId="6EB7CFEC"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-2.814</w:t>
            </w:r>
          </w:p>
        </w:tc>
        <w:tc>
          <w:tcPr>
            <w:tcW w:w="960" w:type="dxa"/>
            <w:tcBorders>
              <w:top w:val="single" w:sz="4" w:space="0" w:color="auto"/>
              <w:bottom w:val="single" w:sz="4" w:space="0" w:color="auto"/>
            </w:tcBorders>
            <w:shd w:val="clear" w:color="auto" w:fill="auto"/>
            <w:noWrap/>
            <w:hideMark/>
          </w:tcPr>
          <w:p w14:paraId="770A5CD5" w14:textId="3C19DFEB"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-2.153</w:t>
            </w:r>
          </w:p>
        </w:tc>
        <w:tc>
          <w:tcPr>
            <w:tcW w:w="960" w:type="dxa"/>
            <w:tcBorders>
              <w:top w:val="single" w:sz="4" w:space="0" w:color="auto"/>
              <w:bottom w:val="single" w:sz="4" w:space="0" w:color="auto"/>
              <w:right w:val="single" w:sz="4" w:space="0" w:color="auto"/>
            </w:tcBorders>
            <w:shd w:val="clear" w:color="auto" w:fill="auto"/>
            <w:noWrap/>
            <w:hideMark/>
          </w:tcPr>
          <w:p w14:paraId="63985F86" w14:textId="48D90F3B"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-1.790</w:t>
            </w:r>
          </w:p>
        </w:tc>
      </w:tr>
      <w:tr w:rsidR="002E554D" w:rsidRPr="002E554D" w14:paraId="1D6E6388" w14:textId="77777777" w:rsidTr="00A31352">
        <w:trPr>
          <w:gridAfter w:val="4"/>
          <w:wAfter w:w="3840" w:type="dxa"/>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1F8E5"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31F63FBC" w14:textId="4B711D9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60" w:type="dxa"/>
            <w:tcBorders>
              <w:top w:val="single" w:sz="4" w:space="0" w:color="auto"/>
              <w:left w:val="single" w:sz="4" w:space="0" w:color="auto"/>
              <w:bottom w:val="single" w:sz="4" w:space="0" w:color="auto"/>
            </w:tcBorders>
            <w:shd w:val="clear" w:color="auto" w:fill="auto"/>
            <w:noWrap/>
            <w:hideMark/>
          </w:tcPr>
          <w:p w14:paraId="4EF7E145" w14:textId="3EEC676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1689E2F8" w14:textId="6CB35DF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42D501D6" w14:textId="2E0947EA"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71779A55" w14:textId="77777777" w:rsidTr="00A31352">
        <w:trPr>
          <w:gridAfter w:val="4"/>
          <w:wAfter w:w="3840" w:type="dxa"/>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D0D3C"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572177F2" w14:textId="0CBADD66"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60" w:type="dxa"/>
            <w:tcBorders>
              <w:top w:val="single" w:sz="4" w:space="0" w:color="auto"/>
              <w:left w:val="single" w:sz="4" w:space="0" w:color="auto"/>
              <w:bottom w:val="single" w:sz="4" w:space="0" w:color="auto"/>
            </w:tcBorders>
            <w:shd w:val="clear" w:color="auto" w:fill="auto"/>
            <w:noWrap/>
            <w:hideMark/>
          </w:tcPr>
          <w:p w14:paraId="3A036980" w14:textId="753D856D"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2FF328EB" w14:textId="003DF743"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1E759BE9" w14:textId="0B36DED6"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5D835F0C" w14:textId="77777777" w:rsidTr="00A31352">
        <w:trPr>
          <w:gridAfter w:val="4"/>
          <w:wAfter w:w="3840" w:type="dxa"/>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8B0F5"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F596712" w14:textId="11D8F1C9"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2.708</w:t>
            </w:r>
          </w:p>
        </w:tc>
        <w:tc>
          <w:tcPr>
            <w:tcW w:w="960" w:type="dxa"/>
            <w:tcBorders>
              <w:top w:val="single" w:sz="4" w:space="0" w:color="auto"/>
              <w:left w:val="single" w:sz="4" w:space="0" w:color="auto"/>
              <w:bottom w:val="single" w:sz="4" w:space="0" w:color="auto"/>
            </w:tcBorders>
            <w:shd w:val="clear" w:color="auto" w:fill="auto"/>
            <w:noWrap/>
            <w:hideMark/>
          </w:tcPr>
          <w:p w14:paraId="73D3DCA0" w14:textId="52D9E8C3"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21C3E415" w14:textId="3F6BE082"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7311BA24" w14:textId="54D22414"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6139B1" w:rsidRPr="002E554D" w14:paraId="0355DD96" w14:textId="77777777" w:rsidTr="00A31352">
        <w:trPr>
          <w:gridAfter w:val="4"/>
          <w:wAfter w:w="3840" w:type="dxa"/>
          <w:trHeight w:val="33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23869" w14:textId="7777777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689AE0F2" w14:textId="622DE6E7"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6.555</w:t>
            </w:r>
          </w:p>
        </w:tc>
        <w:tc>
          <w:tcPr>
            <w:tcW w:w="960" w:type="dxa"/>
            <w:tcBorders>
              <w:top w:val="single" w:sz="4" w:space="0" w:color="auto"/>
              <w:left w:val="single" w:sz="4" w:space="0" w:color="auto"/>
              <w:bottom w:val="single" w:sz="4" w:space="0" w:color="auto"/>
            </w:tcBorders>
            <w:shd w:val="clear" w:color="auto" w:fill="auto"/>
            <w:noWrap/>
            <w:hideMark/>
          </w:tcPr>
          <w:p w14:paraId="18B484B9" w14:textId="1D8A2B61"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60547AC2" w14:textId="48DC19E2"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23F63E3E" w14:textId="447E2C63" w:rsidR="006139B1" w:rsidRPr="002E554D" w:rsidRDefault="006139B1" w:rsidP="006139B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bl>
    <w:p w14:paraId="053FE9B5" w14:textId="21BEDF17"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32812E01" w14:textId="20CE9C21"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31486792" w14:textId="41BA0DC0"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19AE640E" w14:textId="524136BD"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2ADDDFB5" w14:textId="1CDBDD93"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39D01A6F" w14:textId="7F92D97B"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3FAE36A0" w14:textId="1972642E"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5479FA33" w14:textId="668046EC"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622DC81D" w14:textId="1162EE75"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1B62C3E4" w14:textId="3701BCF3"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58BA75D1" w14:textId="0446ADF8"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268CAACF" w14:textId="7D818503"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6CD8BEAC" w14:textId="5217AC9E"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71460508" w14:textId="4072ADC0"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0A8062B7" w14:textId="77777777" w:rsidR="00855A31" w:rsidRPr="002E554D" w:rsidRDefault="00855A31" w:rsidP="00771184">
      <w:pPr>
        <w:pStyle w:val="NoSpacing"/>
        <w:spacing w:line="480" w:lineRule="auto"/>
        <w:jc w:val="center"/>
        <w:rPr>
          <w:rFonts w:ascii="Garamond" w:eastAsia="Times New Roman" w:hAnsi="Garamond" w:cs="Calibri"/>
          <w:b/>
          <w:bCs/>
          <w:color w:val="FF0000"/>
          <w:sz w:val="24"/>
          <w:szCs w:val="24"/>
          <w:lang w:eastAsia="en-GB"/>
        </w:rPr>
      </w:pPr>
    </w:p>
    <w:p w14:paraId="654B70BB" w14:textId="46134C63" w:rsidR="00771184" w:rsidRPr="002E554D" w:rsidRDefault="00771184" w:rsidP="00771184">
      <w:pPr>
        <w:pStyle w:val="NoSpacing"/>
        <w:spacing w:line="276" w:lineRule="auto"/>
        <w:jc w:val="center"/>
        <w:rPr>
          <w:rFonts w:ascii="Garamond" w:eastAsia="Times New Roman" w:hAnsi="Garamond" w:cs="Calibri"/>
          <w:b/>
          <w:bCs/>
          <w:color w:val="FF0000"/>
          <w:sz w:val="24"/>
          <w:szCs w:val="24"/>
          <w:lang w:eastAsia="en-GB"/>
        </w:rPr>
      </w:pPr>
      <w:r w:rsidRPr="002E554D">
        <w:rPr>
          <w:rFonts w:ascii="Garamond" w:hAnsi="Garamond"/>
          <w:b/>
          <w:bCs/>
          <w:color w:val="FF0000"/>
          <w:sz w:val="24"/>
          <w:szCs w:val="24"/>
          <w:lang w:val="en-GB"/>
        </w:rPr>
        <w:lastRenderedPageBreak/>
        <w:t xml:space="preserve">Table A6 Tests for quantile unit root, </w:t>
      </w:r>
      <w:r w:rsidRPr="002E554D">
        <w:rPr>
          <w:rFonts w:ascii="Garamond" w:eastAsia="Times New Roman" w:hAnsi="Garamond" w:cs="Calibri"/>
          <w:b/>
          <w:bCs/>
          <w:color w:val="FF0000"/>
          <w:sz w:val="24"/>
          <w:szCs w:val="24"/>
          <w:lang w:eastAsia="en-GB"/>
        </w:rPr>
        <w:t>stock indexes</w:t>
      </w:r>
    </w:p>
    <w:p w14:paraId="1A30AE0C" w14:textId="0BF4C8BC" w:rsidR="00771184" w:rsidRPr="002E554D" w:rsidRDefault="00771184" w:rsidP="00771184">
      <w:pPr>
        <w:pStyle w:val="NoSpacing"/>
        <w:spacing w:line="276" w:lineRule="auto"/>
        <w:jc w:val="both"/>
        <w:rPr>
          <w:rFonts w:ascii="Garamond" w:hAnsi="Garamond"/>
          <w:color w:val="FF0000"/>
          <w:lang w:val="en-GB"/>
        </w:rPr>
      </w:pPr>
      <w:r w:rsidRPr="002E554D">
        <w:rPr>
          <w:rFonts w:ascii="Garamond" w:hAnsi="Garamond"/>
          <w:color w:val="FF0000"/>
          <w:lang w:val="en-GB"/>
        </w:rPr>
        <w:t xml:space="preserve">Table shows the results of the quantile nonlinear unit root tests with covariates, </w:t>
      </w:r>
      <w:proofErr w:type="spellStart"/>
      <w:r w:rsidRPr="002E554D">
        <w:rPr>
          <w:rFonts w:ascii="Garamond" w:eastAsia="Times New Roman" w:hAnsi="Garamond" w:cs="Calibri"/>
          <w:i/>
          <w:iCs/>
          <w:color w:val="FF0000"/>
          <w:lang w:val="en-GB" w:eastAsia="en-GB"/>
        </w:rPr>
        <w:t>t</w:t>
      </w:r>
      <w:r w:rsidRPr="002E554D">
        <w:rPr>
          <w:rFonts w:ascii="Garamond" w:eastAsia="Times New Roman" w:hAnsi="Garamond" w:cs="Calibri"/>
          <w:i/>
          <w:iCs/>
          <w:color w:val="FF0000"/>
          <w:vertAlign w:val="subscript"/>
          <w:lang w:val="en-GB" w:eastAsia="en-GB"/>
        </w:rPr>
        <w:t>kss</w:t>
      </w:r>
      <w:proofErr w:type="spellEnd"/>
      <w:r w:rsidRPr="002E554D">
        <w:rPr>
          <w:rFonts w:ascii="Garamond" w:hAnsi="Garamond"/>
          <w:color w:val="FF0000"/>
          <w:lang w:val="en-GB"/>
        </w:rPr>
        <w:t xml:space="preserve">, estimated as in </w:t>
      </w:r>
      <w:proofErr w:type="spellStart"/>
      <w:r w:rsidRPr="002E554D">
        <w:rPr>
          <w:rFonts w:ascii="Garamond" w:hAnsi="Garamond"/>
          <w:color w:val="FF0000"/>
          <w:lang w:val="en-GB"/>
        </w:rPr>
        <w:t>Koenker</w:t>
      </w:r>
      <w:proofErr w:type="spellEnd"/>
      <w:r w:rsidRPr="002E554D">
        <w:rPr>
          <w:rFonts w:ascii="Garamond" w:hAnsi="Garamond"/>
          <w:color w:val="FF0000"/>
          <w:lang w:val="en-GB"/>
        </w:rPr>
        <w:t xml:space="preserve"> and Xiao (2004). The asymptotic critical values are calculated with significance at the 1%, 5% and 10% levels. The null hypothesis of the presence of a unit root is rejected if the </w:t>
      </w:r>
      <w:proofErr w:type="gramStart"/>
      <w:r w:rsidRPr="002E554D">
        <w:rPr>
          <w:rFonts w:ascii="Garamond" w:hAnsi="Garamond"/>
          <w:color w:val="FF0000"/>
          <w:lang w:val="en-GB"/>
        </w:rPr>
        <w:t>calculated  test</w:t>
      </w:r>
      <w:proofErr w:type="gramEnd"/>
      <w:r w:rsidRPr="002E554D">
        <w:rPr>
          <w:rFonts w:ascii="Garamond" w:hAnsi="Garamond"/>
          <w:color w:val="FF0000"/>
          <w:lang w:val="en-GB"/>
        </w:rPr>
        <w:t xml:space="preserve"> statistic is lower in value than calculated critical values at the 1%, 5% and 10% levels of significance.</w:t>
      </w:r>
      <w:r w:rsidR="003A16EB" w:rsidRPr="002E554D">
        <w:rPr>
          <w:rFonts w:ascii="Garamond" w:hAnsi="Garamond"/>
          <w:color w:val="FF0000"/>
          <w:lang w:val="en-GB"/>
        </w:rPr>
        <w:t xml:space="preserve"> Statistically significant values of </w:t>
      </w:r>
      <w:proofErr w:type="spellStart"/>
      <w:r w:rsidR="003A16EB" w:rsidRPr="002E554D">
        <w:rPr>
          <w:rFonts w:ascii="Garamond" w:hAnsi="Garamond"/>
          <w:color w:val="FF0000"/>
          <w:lang w:val="en-GB"/>
        </w:rPr>
        <w:t>YZtks</w:t>
      </w:r>
      <w:proofErr w:type="spellEnd"/>
      <w:r w:rsidR="003A16EB" w:rsidRPr="002E554D">
        <w:rPr>
          <w:rFonts w:ascii="Garamond" w:hAnsi="Garamond"/>
          <w:color w:val="FF0000"/>
          <w:lang w:val="en-GB"/>
        </w:rPr>
        <w:t xml:space="preserve"> are highlighted in bold.</w:t>
      </w:r>
    </w:p>
    <w:p w14:paraId="310B6D7F" w14:textId="77777777" w:rsidR="0037188F" w:rsidRPr="002E554D" w:rsidRDefault="0037188F" w:rsidP="00771184">
      <w:pPr>
        <w:pStyle w:val="NoSpacing"/>
        <w:spacing w:line="276" w:lineRule="auto"/>
        <w:jc w:val="both"/>
        <w:rPr>
          <w:rFonts w:ascii="Garamond" w:hAnsi="Garamond"/>
          <w:color w:val="FF0000"/>
          <w:lang w:val="en-GB"/>
        </w:rPr>
      </w:pPr>
    </w:p>
    <w:tbl>
      <w:tblPr>
        <w:tblW w:w="8719" w:type="dxa"/>
        <w:tblLook w:val="04A0" w:firstRow="1" w:lastRow="0" w:firstColumn="1" w:lastColumn="0" w:noHBand="0" w:noVBand="1"/>
      </w:tblPr>
      <w:tblGrid>
        <w:gridCol w:w="1039"/>
        <w:gridCol w:w="960"/>
        <w:gridCol w:w="960"/>
        <w:gridCol w:w="960"/>
        <w:gridCol w:w="960"/>
        <w:gridCol w:w="960"/>
        <w:gridCol w:w="960"/>
        <w:gridCol w:w="960"/>
        <w:gridCol w:w="960"/>
      </w:tblGrid>
      <w:tr w:rsidR="002E554D" w:rsidRPr="002E554D" w14:paraId="71E2F2AF" w14:textId="77777777" w:rsidTr="005F2858">
        <w:trPr>
          <w:trHeight w:val="33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8FF67"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Quantiles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ADE78" w14:textId="191E3063" w:rsidR="00771184" w:rsidRPr="002E554D" w:rsidRDefault="00771184" w:rsidP="00771184">
            <w:pPr>
              <w:spacing w:after="0" w:line="240" w:lineRule="auto"/>
              <w:jc w:val="center"/>
              <w:rPr>
                <w:rFonts w:ascii="Garamond" w:eastAsia="Times New Roman" w:hAnsi="Garamond" w:cs="Calibri"/>
                <w:b/>
                <w:bCs/>
                <w:i/>
                <w:iCs/>
                <w:color w:val="FF0000"/>
                <w:sz w:val="20"/>
                <w:szCs w:val="20"/>
                <w:lang w:val="en-GB" w:eastAsia="en-GB"/>
              </w:rPr>
            </w:pPr>
            <w:proofErr w:type="spellStart"/>
            <w:r w:rsidRPr="002E554D">
              <w:rPr>
                <w:rFonts w:ascii="Garamond" w:eastAsia="Times New Roman" w:hAnsi="Garamond" w:cs="Calibri"/>
                <w:b/>
                <w:bCs/>
                <w:i/>
                <w:iCs/>
                <w:color w:val="FF0000"/>
                <w:sz w:val="20"/>
                <w:szCs w:val="20"/>
                <w:lang w:val="en-GB" w:eastAsia="en-GB"/>
              </w:rPr>
              <w:t>t</w:t>
            </w:r>
            <w:r w:rsidRPr="002E554D">
              <w:rPr>
                <w:rFonts w:ascii="Garamond" w:eastAsia="Times New Roman" w:hAnsi="Garamond" w:cs="Calibri"/>
                <w:b/>
                <w:bCs/>
                <w:i/>
                <w:iCs/>
                <w:color w:val="FF0000"/>
                <w:sz w:val="20"/>
                <w:szCs w:val="20"/>
                <w:vertAlign w:val="subscript"/>
                <w:lang w:val="en-GB" w:eastAsia="en-GB"/>
              </w:rPr>
              <w:t>ks</w:t>
            </w:r>
            <w:proofErr w:type="spellEnd"/>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58971"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asymptotic critical values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6AAD0" w14:textId="36331504" w:rsidR="00771184" w:rsidRPr="002E554D" w:rsidRDefault="00771184" w:rsidP="00771184">
            <w:pPr>
              <w:spacing w:after="0" w:line="240" w:lineRule="auto"/>
              <w:jc w:val="center"/>
              <w:rPr>
                <w:rFonts w:ascii="Garamond" w:eastAsia="Times New Roman" w:hAnsi="Garamond" w:cs="Calibri"/>
                <w:b/>
                <w:bCs/>
                <w:i/>
                <w:iCs/>
                <w:color w:val="FF0000"/>
                <w:sz w:val="20"/>
                <w:szCs w:val="20"/>
                <w:lang w:val="en-GB" w:eastAsia="en-GB"/>
              </w:rPr>
            </w:pPr>
            <w:proofErr w:type="spellStart"/>
            <w:r w:rsidRPr="002E554D">
              <w:rPr>
                <w:rFonts w:ascii="Garamond" w:eastAsia="Times New Roman" w:hAnsi="Garamond" w:cs="Calibri"/>
                <w:b/>
                <w:bCs/>
                <w:i/>
                <w:iCs/>
                <w:color w:val="FF0000"/>
                <w:sz w:val="20"/>
                <w:szCs w:val="20"/>
                <w:lang w:val="en-GB" w:eastAsia="en-GB"/>
              </w:rPr>
              <w:t>t</w:t>
            </w:r>
            <w:r w:rsidRPr="002E554D">
              <w:rPr>
                <w:rFonts w:ascii="Garamond" w:eastAsia="Times New Roman" w:hAnsi="Garamond" w:cs="Calibri"/>
                <w:b/>
                <w:bCs/>
                <w:i/>
                <w:iCs/>
                <w:color w:val="FF0000"/>
                <w:sz w:val="20"/>
                <w:szCs w:val="20"/>
                <w:vertAlign w:val="subscript"/>
                <w:lang w:val="en-GB" w:eastAsia="en-GB"/>
              </w:rPr>
              <w:t>ks</w:t>
            </w:r>
            <w:proofErr w:type="spellEnd"/>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3C395"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asymptotic critical values</w:t>
            </w:r>
          </w:p>
        </w:tc>
      </w:tr>
      <w:tr w:rsidR="002E554D" w:rsidRPr="002E554D" w14:paraId="67E6F58F" w14:textId="77777777" w:rsidTr="00855A31">
        <w:trPr>
          <w:trHeight w:val="33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2A850F53" w14:textId="77777777" w:rsidR="00771184" w:rsidRPr="002E554D" w:rsidRDefault="00771184" w:rsidP="00771184">
            <w:pPr>
              <w:spacing w:after="0" w:line="240" w:lineRule="auto"/>
              <w:rPr>
                <w:rFonts w:ascii="Garamond" w:eastAsia="Times New Roman" w:hAnsi="Garamond" w:cs="Calibri"/>
                <w:b/>
                <w:bCs/>
                <w:color w:val="FF0000"/>
                <w:sz w:val="20"/>
                <w:szCs w:val="20"/>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DA99E6C" w14:textId="77777777" w:rsidR="00771184" w:rsidRPr="002E554D" w:rsidRDefault="00771184" w:rsidP="00771184">
            <w:pPr>
              <w:spacing w:after="0" w:line="240" w:lineRule="auto"/>
              <w:rPr>
                <w:rFonts w:ascii="Garamond" w:eastAsia="Times New Roman" w:hAnsi="Garamond" w:cs="Calibri"/>
                <w:b/>
                <w:bCs/>
                <w:i/>
                <w:iCs/>
                <w:color w:val="FF0000"/>
                <w:sz w:val="20"/>
                <w:szCs w:val="20"/>
                <w:lang w:val="en-GB" w:eastAsia="en-GB"/>
              </w:rPr>
            </w:pPr>
          </w:p>
        </w:tc>
        <w:tc>
          <w:tcPr>
            <w:tcW w:w="960" w:type="dxa"/>
            <w:tcBorders>
              <w:top w:val="single" w:sz="4" w:space="0" w:color="auto"/>
              <w:left w:val="single" w:sz="4" w:space="0" w:color="auto"/>
              <w:bottom w:val="single" w:sz="4" w:space="0" w:color="auto"/>
            </w:tcBorders>
            <w:shd w:val="clear" w:color="auto" w:fill="auto"/>
            <w:noWrap/>
            <w:vAlign w:val="center"/>
            <w:hideMark/>
          </w:tcPr>
          <w:p w14:paraId="7F2F62B5"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w:t>
            </w:r>
          </w:p>
        </w:tc>
        <w:tc>
          <w:tcPr>
            <w:tcW w:w="960" w:type="dxa"/>
            <w:tcBorders>
              <w:top w:val="single" w:sz="4" w:space="0" w:color="auto"/>
              <w:bottom w:val="single" w:sz="4" w:space="0" w:color="auto"/>
            </w:tcBorders>
            <w:shd w:val="clear" w:color="auto" w:fill="auto"/>
            <w:noWrap/>
            <w:vAlign w:val="center"/>
            <w:hideMark/>
          </w:tcPr>
          <w:p w14:paraId="57EAB2E9"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5%</w:t>
            </w:r>
          </w:p>
        </w:tc>
        <w:tc>
          <w:tcPr>
            <w:tcW w:w="960" w:type="dxa"/>
            <w:tcBorders>
              <w:top w:val="single" w:sz="4" w:space="0" w:color="auto"/>
              <w:bottom w:val="single" w:sz="4" w:space="0" w:color="auto"/>
              <w:right w:val="single" w:sz="4" w:space="0" w:color="auto"/>
            </w:tcBorders>
            <w:shd w:val="clear" w:color="auto" w:fill="auto"/>
            <w:noWrap/>
            <w:vAlign w:val="center"/>
            <w:hideMark/>
          </w:tcPr>
          <w:p w14:paraId="61DE89E8"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10%</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15D6D63" w14:textId="77777777" w:rsidR="00771184" w:rsidRPr="002E554D" w:rsidRDefault="00771184" w:rsidP="00771184">
            <w:pPr>
              <w:spacing w:after="0" w:line="240" w:lineRule="auto"/>
              <w:rPr>
                <w:rFonts w:ascii="Garamond" w:eastAsia="Times New Roman" w:hAnsi="Garamond" w:cs="Calibri"/>
                <w:b/>
                <w:bCs/>
                <w:i/>
                <w:iCs/>
                <w:color w:val="FF0000"/>
                <w:sz w:val="20"/>
                <w:szCs w:val="20"/>
                <w:lang w:val="en-GB" w:eastAsia="en-GB"/>
              </w:rPr>
            </w:pPr>
          </w:p>
        </w:tc>
        <w:tc>
          <w:tcPr>
            <w:tcW w:w="960" w:type="dxa"/>
            <w:tcBorders>
              <w:top w:val="single" w:sz="4" w:space="0" w:color="auto"/>
              <w:left w:val="single" w:sz="4" w:space="0" w:color="auto"/>
              <w:bottom w:val="single" w:sz="4" w:space="0" w:color="auto"/>
            </w:tcBorders>
            <w:shd w:val="clear" w:color="auto" w:fill="auto"/>
            <w:noWrap/>
            <w:vAlign w:val="center"/>
            <w:hideMark/>
          </w:tcPr>
          <w:p w14:paraId="683A3C37"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w:t>
            </w:r>
          </w:p>
        </w:tc>
        <w:tc>
          <w:tcPr>
            <w:tcW w:w="960" w:type="dxa"/>
            <w:tcBorders>
              <w:top w:val="single" w:sz="4" w:space="0" w:color="auto"/>
              <w:bottom w:val="single" w:sz="4" w:space="0" w:color="auto"/>
            </w:tcBorders>
            <w:shd w:val="clear" w:color="auto" w:fill="auto"/>
            <w:noWrap/>
            <w:vAlign w:val="center"/>
            <w:hideMark/>
          </w:tcPr>
          <w:p w14:paraId="1D24EE3D"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5%</w:t>
            </w:r>
          </w:p>
        </w:tc>
        <w:tc>
          <w:tcPr>
            <w:tcW w:w="960" w:type="dxa"/>
            <w:tcBorders>
              <w:top w:val="single" w:sz="4" w:space="0" w:color="auto"/>
              <w:bottom w:val="single" w:sz="4" w:space="0" w:color="auto"/>
              <w:right w:val="single" w:sz="4" w:space="0" w:color="auto"/>
            </w:tcBorders>
            <w:shd w:val="clear" w:color="auto" w:fill="auto"/>
            <w:noWrap/>
            <w:vAlign w:val="center"/>
            <w:hideMark/>
          </w:tcPr>
          <w:p w14:paraId="2CD44EFC"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10%</w:t>
            </w:r>
          </w:p>
        </w:tc>
      </w:tr>
      <w:tr w:rsidR="002E554D" w:rsidRPr="002E554D" w14:paraId="05E63D4D" w14:textId="77777777" w:rsidTr="00855A31">
        <w:trPr>
          <w:trHeight w:val="33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22674AE3" w14:textId="77777777" w:rsidR="00771184" w:rsidRPr="002E554D" w:rsidRDefault="00771184" w:rsidP="00771184">
            <w:pPr>
              <w:spacing w:after="0" w:line="240" w:lineRule="auto"/>
              <w:rPr>
                <w:rFonts w:ascii="Garamond" w:eastAsia="Times New Roman" w:hAnsi="Garamond" w:cs="Calibri"/>
                <w:b/>
                <w:bCs/>
                <w:color w:val="FF0000"/>
                <w:sz w:val="20"/>
                <w:szCs w:val="20"/>
                <w:lang w:val="en-GB" w:eastAsia="en-GB"/>
              </w:rPr>
            </w:pP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0BB6E"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S&amp;P500</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6A69"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DAX30</w:t>
            </w:r>
          </w:p>
        </w:tc>
      </w:tr>
      <w:tr w:rsidR="002E554D" w:rsidRPr="002E554D" w14:paraId="1F5A272E" w14:textId="77777777" w:rsidTr="008348B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6FD0"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D306B49" w14:textId="59EE97C6"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0.066</w:t>
            </w:r>
          </w:p>
        </w:tc>
        <w:tc>
          <w:tcPr>
            <w:tcW w:w="960" w:type="dxa"/>
            <w:tcBorders>
              <w:top w:val="single" w:sz="4" w:space="0" w:color="auto"/>
              <w:left w:val="single" w:sz="4" w:space="0" w:color="auto"/>
              <w:bottom w:val="single" w:sz="4" w:space="0" w:color="auto"/>
            </w:tcBorders>
            <w:shd w:val="clear" w:color="auto" w:fill="auto"/>
            <w:noWrap/>
            <w:hideMark/>
          </w:tcPr>
          <w:p w14:paraId="35909893" w14:textId="38858510"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-3.139</w:t>
            </w:r>
          </w:p>
        </w:tc>
        <w:tc>
          <w:tcPr>
            <w:tcW w:w="960" w:type="dxa"/>
            <w:tcBorders>
              <w:top w:val="single" w:sz="4" w:space="0" w:color="auto"/>
              <w:bottom w:val="single" w:sz="4" w:space="0" w:color="auto"/>
            </w:tcBorders>
            <w:shd w:val="clear" w:color="auto" w:fill="auto"/>
            <w:noWrap/>
            <w:hideMark/>
          </w:tcPr>
          <w:p w14:paraId="073A1D11" w14:textId="5E16961F"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-2.510</w:t>
            </w:r>
          </w:p>
        </w:tc>
        <w:tc>
          <w:tcPr>
            <w:tcW w:w="960" w:type="dxa"/>
            <w:tcBorders>
              <w:top w:val="single" w:sz="4" w:space="0" w:color="auto"/>
              <w:bottom w:val="single" w:sz="4" w:space="0" w:color="auto"/>
              <w:right w:val="single" w:sz="4" w:space="0" w:color="auto"/>
            </w:tcBorders>
            <w:shd w:val="clear" w:color="auto" w:fill="auto"/>
            <w:noWrap/>
            <w:hideMark/>
          </w:tcPr>
          <w:p w14:paraId="5B79CA99" w14:textId="7FD69F14"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A5E3CFA" w14:textId="77F36F2B"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3.410</w:t>
            </w:r>
          </w:p>
        </w:tc>
        <w:tc>
          <w:tcPr>
            <w:tcW w:w="960" w:type="dxa"/>
            <w:tcBorders>
              <w:top w:val="single" w:sz="4" w:space="0" w:color="auto"/>
              <w:left w:val="single" w:sz="4" w:space="0" w:color="auto"/>
              <w:bottom w:val="single" w:sz="4" w:space="0" w:color="auto"/>
            </w:tcBorders>
            <w:shd w:val="clear" w:color="auto" w:fill="auto"/>
            <w:noWrap/>
            <w:hideMark/>
          </w:tcPr>
          <w:p w14:paraId="3C562427" w14:textId="0C34631C"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-3.110</w:t>
            </w:r>
          </w:p>
        </w:tc>
        <w:tc>
          <w:tcPr>
            <w:tcW w:w="960" w:type="dxa"/>
            <w:tcBorders>
              <w:top w:val="single" w:sz="4" w:space="0" w:color="auto"/>
              <w:bottom w:val="single" w:sz="4" w:space="0" w:color="auto"/>
            </w:tcBorders>
            <w:shd w:val="clear" w:color="auto" w:fill="auto"/>
            <w:noWrap/>
            <w:hideMark/>
          </w:tcPr>
          <w:p w14:paraId="4FB5C422" w14:textId="120C77A5"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-2.468</w:t>
            </w:r>
          </w:p>
        </w:tc>
        <w:tc>
          <w:tcPr>
            <w:tcW w:w="960" w:type="dxa"/>
            <w:tcBorders>
              <w:top w:val="single" w:sz="4" w:space="0" w:color="auto"/>
              <w:bottom w:val="single" w:sz="4" w:space="0" w:color="auto"/>
              <w:right w:val="single" w:sz="4" w:space="0" w:color="auto"/>
            </w:tcBorders>
            <w:shd w:val="clear" w:color="auto" w:fill="auto"/>
            <w:noWrap/>
            <w:hideMark/>
          </w:tcPr>
          <w:p w14:paraId="0B322FA3" w14:textId="2CF294C8"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-2.128</w:t>
            </w:r>
          </w:p>
        </w:tc>
      </w:tr>
      <w:tr w:rsidR="002E554D" w:rsidRPr="002E554D" w14:paraId="03EAD18F" w14:textId="77777777" w:rsidTr="008348B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DD492"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1F0BC1C" w14:textId="446BFECE"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0.106</w:t>
            </w:r>
          </w:p>
        </w:tc>
        <w:tc>
          <w:tcPr>
            <w:tcW w:w="960" w:type="dxa"/>
            <w:tcBorders>
              <w:top w:val="single" w:sz="4" w:space="0" w:color="auto"/>
              <w:left w:val="single" w:sz="4" w:space="0" w:color="auto"/>
              <w:bottom w:val="single" w:sz="4" w:space="0" w:color="auto"/>
            </w:tcBorders>
            <w:shd w:val="clear" w:color="auto" w:fill="auto"/>
            <w:noWrap/>
            <w:hideMark/>
          </w:tcPr>
          <w:p w14:paraId="2B6D3432" w14:textId="6D1EDF3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-3.151</w:t>
            </w:r>
          </w:p>
        </w:tc>
        <w:tc>
          <w:tcPr>
            <w:tcW w:w="960" w:type="dxa"/>
            <w:tcBorders>
              <w:top w:val="single" w:sz="4" w:space="0" w:color="auto"/>
              <w:bottom w:val="single" w:sz="4" w:space="0" w:color="auto"/>
            </w:tcBorders>
            <w:shd w:val="clear" w:color="auto" w:fill="auto"/>
            <w:noWrap/>
            <w:hideMark/>
          </w:tcPr>
          <w:p w14:paraId="17783A95" w14:textId="6F7E153C"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-2.527</w:t>
            </w:r>
          </w:p>
        </w:tc>
        <w:tc>
          <w:tcPr>
            <w:tcW w:w="960" w:type="dxa"/>
            <w:tcBorders>
              <w:top w:val="single" w:sz="4" w:space="0" w:color="auto"/>
              <w:bottom w:val="single" w:sz="4" w:space="0" w:color="auto"/>
              <w:right w:val="single" w:sz="4" w:space="0" w:color="auto"/>
            </w:tcBorders>
            <w:shd w:val="clear" w:color="auto" w:fill="auto"/>
            <w:noWrap/>
            <w:hideMark/>
          </w:tcPr>
          <w:p w14:paraId="7A6C267D" w14:textId="7FEA3892"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-2.190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20D8ABD" w14:textId="1D9AF11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1.761</w:t>
            </w:r>
          </w:p>
        </w:tc>
        <w:tc>
          <w:tcPr>
            <w:tcW w:w="960" w:type="dxa"/>
            <w:tcBorders>
              <w:top w:val="single" w:sz="4" w:space="0" w:color="auto"/>
              <w:left w:val="single" w:sz="4" w:space="0" w:color="auto"/>
              <w:bottom w:val="single" w:sz="4" w:space="0" w:color="auto"/>
            </w:tcBorders>
            <w:shd w:val="clear" w:color="auto" w:fill="auto"/>
            <w:noWrap/>
            <w:hideMark/>
          </w:tcPr>
          <w:p w14:paraId="7C903BEA" w14:textId="5BAE7A20"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-3.138</w:t>
            </w:r>
          </w:p>
        </w:tc>
        <w:tc>
          <w:tcPr>
            <w:tcW w:w="960" w:type="dxa"/>
            <w:tcBorders>
              <w:top w:val="single" w:sz="4" w:space="0" w:color="auto"/>
              <w:bottom w:val="single" w:sz="4" w:space="0" w:color="auto"/>
            </w:tcBorders>
            <w:shd w:val="clear" w:color="auto" w:fill="auto"/>
            <w:noWrap/>
            <w:hideMark/>
          </w:tcPr>
          <w:p w14:paraId="4457763F" w14:textId="622F153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-2.508</w:t>
            </w:r>
          </w:p>
        </w:tc>
        <w:tc>
          <w:tcPr>
            <w:tcW w:w="960" w:type="dxa"/>
            <w:tcBorders>
              <w:top w:val="single" w:sz="4" w:space="0" w:color="auto"/>
              <w:bottom w:val="single" w:sz="4" w:space="0" w:color="auto"/>
              <w:right w:val="single" w:sz="4" w:space="0" w:color="auto"/>
            </w:tcBorders>
            <w:shd w:val="clear" w:color="auto" w:fill="auto"/>
            <w:noWrap/>
            <w:hideMark/>
          </w:tcPr>
          <w:p w14:paraId="6A601AA3" w14:textId="2B9DBCCC"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-2.169</w:t>
            </w:r>
          </w:p>
        </w:tc>
      </w:tr>
      <w:tr w:rsidR="002E554D" w:rsidRPr="002E554D" w14:paraId="3A782C96" w14:textId="77777777" w:rsidTr="008348B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1577"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722711C" w14:textId="435514A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-0.470</w:t>
            </w:r>
          </w:p>
        </w:tc>
        <w:tc>
          <w:tcPr>
            <w:tcW w:w="960" w:type="dxa"/>
            <w:tcBorders>
              <w:top w:val="single" w:sz="4" w:space="0" w:color="auto"/>
              <w:left w:val="single" w:sz="4" w:space="0" w:color="auto"/>
              <w:bottom w:val="single" w:sz="4" w:space="0" w:color="auto"/>
            </w:tcBorders>
            <w:shd w:val="clear" w:color="auto" w:fill="auto"/>
            <w:noWrap/>
            <w:hideMark/>
          </w:tcPr>
          <w:p w14:paraId="2F5A3B2E" w14:textId="2ED9163D"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-3.111</w:t>
            </w:r>
          </w:p>
        </w:tc>
        <w:tc>
          <w:tcPr>
            <w:tcW w:w="960" w:type="dxa"/>
            <w:tcBorders>
              <w:top w:val="single" w:sz="4" w:space="0" w:color="auto"/>
              <w:bottom w:val="single" w:sz="4" w:space="0" w:color="auto"/>
            </w:tcBorders>
            <w:shd w:val="clear" w:color="auto" w:fill="auto"/>
            <w:noWrap/>
            <w:hideMark/>
          </w:tcPr>
          <w:p w14:paraId="339D1ECA" w14:textId="2BC7D0AF"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-2.469</w:t>
            </w:r>
          </w:p>
        </w:tc>
        <w:tc>
          <w:tcPr>
            <w:tcW w:w="960" w:type="dxa"/>
            <w:tcBorders>
              <w:top w:val="single" w:sz="4" w:space="0" w:color="auto"/>
              <w:bottom w:val="single" w:sz="4" w:space="0" w:color="auto"/>
              <w:right w:val="single" w:sz="4" w:space="0" w:color="auto"/>
            </w:tcBorders>
            <w:shd w:val="clear" w:color="auto" w:fill="auto"/>
            <w:noWrap/>
            <w:hideMark/>
          </w:tcPr>
          <w:p w14:paraId="2DB30560" w14:textId="584E19CB"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7E1ED1F" w14:textId="60670F01"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0.514</w:t>
            </w:r>
          </w:p>
        </w:tc>
        <w:tc>
          <w:tcPr>
            <w:tcW w:w="960" w:type="dxa"/>
            <w:tcBorders>
              <w:top w:val="single" w:sz="4" w:space="0" w:color="auto"/>
              <w:left w:val="single" w:sz="4" w:space="0" w:color="auto"/>
              <w:bottom w:val="single" w:sz="4" w:space="0" w:color="auto"/>
            </w:tcBorders>
            <w:shd w:val="clear" w:color="auto" w:fill="auto"/>
            <w:noWrap/>
            <w:hideMark/>
          </w:tcPr>
          <w:p w14:paraId="41528F69" w14:textId="549D65A1"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-3.132</w:t>
            </w:r>
          </w:p>
        </w:tc>
        <w:tc>
          <w:tcPr>
            <w:tcW w:w="960" w:type="dxa"/>
            <w:tcBorders>
              <w:top w:val="single" w:sz="4" w:space="0" w:color="auto"/>
              <w:bottom w:val="single" w:sz="4" w:space="0" w:color="auto"/>
            </w:tcBorders>
            <w:shd w:val="clear" w:color="auto" w:fill="auto"/>
            <w:noWrap/>
            <w:hideMark/>
          </w:tcPr>
          <w:p w14:paraId="17547E1F" w14:textId="76DFD81C"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-2.500</w:t>
            </w:r>
          </w:p>
        </w:tc>
        <w:tc>
          <w:tcPr>
            <w:tcW w:w="960" w:type="dxa"/>
            <w:tcBorders>
              <w:top w:val="single" w:sz="4" w:space="0" w:color="auto"/>
              <w:bottom w:val="single" w:sz="4" w:space="0" w:color="auto"/>
              <w:right w:val="single" w:sz="4" w:space="0" w:color="auto"/>
            </w:tcBorders>
            <w:shd w:val="clear" w:color="auto" w:fill="auto"/>
            <w:noWrap/>
            <w:hideMark/>
          </w:tcPr>
          <w:p w14:paraId="1F772FF9" w14:textId="3D583E20"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-2.160</w:t>
            </w:r>
          </w:p>
        </w:tc>
      </w:tr>
      <w:tr w:rsidR="002E554D" w:rsidRPr="002E554D" w14:paraId="0D890AB8" w14:textId="77777777" w:rsidTr="008348B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35B1F"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BDB8BEE" w14:textId="0B9AD5C3"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-0.955</w:t>
            </w:r>
          </w:p>
        </w:tc>
        <w:tc>
          <w:tcPr>
            <w:tcW w:w="960" w:type="dxa"/>
            <w:tcBorders>
              <w:top w:val="single" w:sz="4" w:space="0" w:color="auto"/>
              <w:left w:val="single" w:sz="4" w:space="0" w:color="auto"/>
              <w:bottom w:val="single" w:sz="4" w:space="0" w:color="auto"/>
            </w:tcBorders>
            <w:shd w:val="clear" w:color="auto" w:fill="auto"/>
            <w:noWrap/>
            <w:hideMark/>
          </w:tcPr>
          <w:p w14:paraId="2093F0DF" w14:textId="09368DB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-3.145</w:t>
            </w:r>
          </w:p>
        </w:tc>
        <w:tc>
          <w:tcPr>
            <w:tcW w:w="960" w:type="dxa"/>
            <w:tcBorders>
              <w:top w:val="single" w:sz="4" w:space="0" w:color="auto"/>
              <w:bottom w:val="single" w:sz="4" w:space="0" w:color="auto"/>
            </w:tcBorders>
            <w:shd w:val="clear" w:color="auto" w:fill="auto"/>
            <w:noWrap/>
            <w:hideMark/>
          </w:tcPr>
          <w:p w14:paraId="668C5275" w14:textId="2060F6CB"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-2.518</w:t>
            </w:r>
          </w:p>
        </w:tc>
        <w:tc>
          <w:tcPr>
            <w:tcW w:w="960" w:type="dxa"/>
            <w:tcBorders>
              <w:top w:val="single" w:sz="4" w:space="0" w:color="auto"/>
              <w:bottom w:val="single" w:sz="4" w:space="0" w:color="auto"/>
              <w:right w:val="single" w:sz="4" w:space="0" w:color="auto"/>
            </w:tcBorders>
            <w:shd w:val="clear" w:color="auto" w:fill="auto"/>
            <w:noWrap/>
            <w:hideMark/>
          </w:tcPr>
          <w:p w14:paraId="30443C3B" w14:textId="6E26CDB6"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-2.180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4C76239" w14:textId="1DA1CD9C"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0.126</w:t>
            </w:r>
          </w:p>
        </w:tc>
        <w:tc>
          <w:tcPr>
            <w:tcW w:w="960" w:type="dxa"/>
            <w:tcBorders>
              <w:top w:val="single" w:sz="4" w:space="0" w:color="auto"/>
              <w:left w:val="single" w:sz="4" w:space="0" w:color="auto"/>
              <w:bottom w:val="single" w:sz="4" w:space="0" w:color="auto"/>
            </w:tcBorders>
            <w:shd w:val="clear" w:color="auto" w:fill="auto"/>
            <w:noWrap/>
            <w:hideMark/>
          </w:tcPr>
          <w:p w14:paraId="301006CA" w14:textId="7D5ABE8B"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-3.126</w:t>
            </w:r>
          </w:p>
        </w:tc>
        <w:tc>
          <w:tcPr>
            <w:tcW w:w="960" w:type="dxa"/>
            <w:tcBorders>
              <w:top w:val="single" w:sz="4" w:space="0" w:color="auto"/>
              <w:bottom w:val="single" w:sz="4" w:space="0" w:color="auto"/>
            </w:tcBorders>
            <w:shd w:val="clear" w:color="auto" w:fill="auto"/>
            <w:noWrap/>
            <w:hideMark/>
          </w:tcPr>
          <w:p w14:paraId="71E1444D" w14:textId="26BFAA2D"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-2.490</w:t>
            </w:r>
          </w:p>
        </w:tc>
        <w:tc>
          <w:tcPr>
            <w:tcW w:w="960" w:type="dxa"/>
            <w:tcBorders>
              <w:top w:val="single" w:sz="4" w:space="0" w:color="auto"/>
              <w:bottom w:val="single" w:sz="4" w:space="0" w:color="auto"/>
              <w:right w:val="single" w:sz="4" w:space="0" w:color="auto"/>
            </w:tcBorders>
            <w:shd w:val="clear" w:color="auto" w:fill="auto"/>
            <w:noWrap/>
            <w:hideMark/>
          </w:tcPr>
          <w:p w14:paraId="6A0644C4" w14:textId="18A1C493"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-2.150</w:t>
            </w:r>
          </w:p>
        </w:tc>
      </w:tr>
      <w:tr w:rsidR="002E554D" w:rsidRPr="002E554D" w14:paraId="21C3A3C8" w14:textId="77777777" w:rsidTr="008348B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CDD74"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4789637" w14:textId="04148AD3"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-0.770</w:t>
            </w:r>
          </w:p>
        </w:tc>
        <w:tc>
          <w:tcPr>
            <w:tcW w:w="960" w:type="dxa"/>
            <w:tcBorders>
              <w:top w:val="single" w:sz="4" w:space="0" w:color="auto"/>
              <w:left w:val="single" w:sz="4" w:space="0" w:color="auto"/>
              <w:bottom w:val="single" w:sz="4" w:space="0" w:color="auto"/>
            </w:tcBorders>
            <w:shd w:val="clear" w:color="auto" w:fill="auto"/>
            <w:noWrap/>
            <w:hideMark/>
          </w:tcPr>
          <w:p w14:paraId="1127851D" w14:textId="616592A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-3.155</w:t>
            </w:r>
          </w:p>
        </w:tc>
        <w:tc>
          <w:tcPr>
            <w:tcW w:w="960" w:type="dxa"/>
            <w:tcBorders>
              <w:top w:val="single" w:sz="4" w:space="0" w:color="auto"/>
              <w:bottom w:val="single" w:sz="4" w:space="0" w:color="auto"/>
            </w:tcBorders>
            <w:shd w:val="clear" w:color="auto" w:fill="auto"/>
            <w:noWrap/>
            <w:hideMark/>
          </w:tcPr>
          <w:p w14:paraId="342A67CD" w14:textId="7B5BA702"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-2.532</w:t>
            </w:r>
          </w:p>
        </w:tc>
        <w:tc>
          <w:tcPr>
            <w:tcW w:w="960" w:type="dxa"/>
            <w:tcBorders>
              <w:top w:val="single" w:sz="4" w:space="0" w:color="auto"/>
              <w:bottom w:val="single" w:sz="4" w:space="0" w:color="auto"/>
              <w:right w:val="single" w:sz="4" w:space="0" w:color="auto"/>
            </w:tcBorders>
            <w:shd w:val="clear" w:color="auto" w:fill="auto"/>
            <w:noWrap/>
            <w:hideMark/>
          </w:tcPr>
          <w:p w14:paraId="59DCFB23" w14:textId="034F7CA9"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-2.195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D9B5B7D" w14:textId="217D8420"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-1.401</w:t>
            </w:r>
          </w:p>
        </w:tc>
        <w:tc>
          <w:tcPr>
            <w:tcW w:w="960" w:type="dxa"/>
            <w:tcBorders>
              <w:top w:val="single" w:sz="4" w:space="0" w:color="auto"/>
              <w:left w:val="single" w:sz="4" w:space="0" w:color="auto"/>
              <w:bottom w:val="single" w:sz="4" w:space="0" w:color="auto"/>
            </w:tcBorders>
            <w:shd w:val="clear" w:color="auto" w:fill="auto"/>
            <w:noWrap/>
            <w:hideMark/>
          </w:tcPr>
          <w:p w14:paraId="1C1181DC" w14:textId="7D20C8C6"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-3.114</w:t>
            </w:r>
          </w:p>
        </w:tc>
        <w:tc>
          <w:tcPr>
            <w:tcW w:w="960" w:type="dxa"/>
            <w:tcBorders>
              <w:top w:val="single" w:sz="4" w:space="0" w:color="auto"/>
              <w:bottom w:val="single" w:sz="4" w:space="0" w:color="auto"/>
            </w:tcBorders>
            <w:shd w:val="clear" w:color="auto" w:fill="auto"/>
            <w:noWrap/>
            <w:hideMark/>
          </w:tcPr>
          <w:p w14:paraId="66AF9848" w14:textId="7B037CB6"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-2.473</w:t>
            </w:r>
          </w:p>
        </w:tc>
        <w:tc>
          <w:tcPr>
            <w:tcW w:w="960" w:type="dxa"/>
            <w:tcBorders>
              <w:top w:val="single" w:sz="4" w:space="0" w:color="auto"/>
              <w:bottom w:val="single" w:sz="4" w:space="0" w:color="auto"/>
              <w:right w:val="single" w:sz="4" w:space="0" w:color="auto"/>
            </w:tcBorders>
            <w:shd w:val="clear" w:color="auto" w:fill="auto"/>
            <w:noWrap/>
            <w:hideMark/>
          </w:tcPr>
          <w:p w14:paraId="7971E74E" w14:textId="1E8C6F5E"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-2.133</w:t>
            </w:r>
          </w:p>
        </w:tc>
      </w:tr>
      <w:tr w:rsidR="002E554D" w:rsidRPr="002E554D" w14:paraId="5E5E1F96" w14:textId="77777777" w:rsidTr="008348B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F00A7"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278EE11" w14:textId="6B1E4C6E"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-0.558</w:t>
            </w:r>
          </w:p>
        </w:tc>
        <w:tc>
          <w:tcPr>
            <w:tcW w:w="960" w:type="dxa"/>
            <w:tcBorders>
              <w:top w:val="single" w:sz="4" w:space="0" w:color="auto"/>
              <w:left w:val="single" w:sz="4" w:space="0" w:color="auto"/>
              <w:bottom w:val="single" w:sz="4" w:space="0" w:color="auto"/>
            </w:tcBorders>
            <w:shd w:val="clear" w:color="auto" w:fill="auto"/>
            <w:noWrap/>
            <w:hideMark/>
          </w:tcPr>
          <w:p w14:paraId="5451F57D" w14:textId="00D4E37E"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-3.143</w:t>
            </w:r>
          </w:p>
        </w:tc>
        <w:tc>
          <w:tcPr>
            <w:tcW w:w="960" w:type="dxa"/>
            <w:tcBorders>
              <w:top w:val="single" w:sz="4" w:space="0" w:color="auto"/>
              <w:bottom w:val="single" w:sz="4" w:space="0" w:color="auto"/>
            </w:tcBorders>
            <w:shd w:val="clear" w:color="auto" w:fill="auto"/>
            <w:noWrap/>
            <w:hideMark/>
          </w:tcPr>
          <w:p w14:paraId="6743AB27" w14:textId="5692D79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-2.515</w:t>
            </w:r>
          </w:p>
        </w:tc>
        <w:tc>
          <w:tcPr>
            <w:tcW w:w="960" w:type="dxa"/>
            <w:tcBorders>
              <w:top w:val="single" w:sz="4" w:space="0" w:color="auto"/>
              <w:bottom w:val="single" w:sz="4" w:space="0" w:color="auto"/>
              <w:right w:val="single" w:sz="4" w:space="0" w:color="auto"/>
            </w:tcBorders>
            <w:shd w:val="clear" w:color="auto" w:fill="auto"/>
            <w:noWrap/>
            <w:hideMark/>
          </w:tcPr>
          <w:p w14:paraId="2A09E2D7" w14:textId="18B4E2EC"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8502C9E" w14:textId="6AD781AE"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-2.167</w:t>
            </w:r>
          </w:p>
        </w:tc>
        <w:tc>
          <w:tcPr>
            <w:tcW w:w="960" w:type="dxa"/>
            <w:tcBorders>
              <w:top w:val="single" w:sz="4" w:space="0" w:color="auto"/>
              <w:left w:val="single" w:sz="4" w:space="0" w:color="auto"/>
              <w:bottom w:val="single" w:sz="4" w:space="0" w:color="auto"/>
            </w:tcBorders>
            <w:shd w:val="clear" w:color="auto" w:fill="auto"/>
            <w:noWrap/>
            <w:hideMark/>
          </w:tcPr>
          <w:p w14:paraId="16CC936D" w14:textId="7F615D65"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-3.101</w:t>
            </w:r>
          </w:p>
        </w:tc>
        <w:tc>
          <w:tcPr>
            <w:tcW w:w="960" w:type="dxa"/>
            <w:tcBorders>
              <w:top w:val="single" w:sz="4" w:space="0" w:color="auto"/>
              <w:bottom w:val="single" w:sz="4" w:space="0" w:color="auto"/>
            </w:tcBorders>
            <w:shd w:val="clear" w:color="auto" w:fill="auto"/>
            <w:noWrap/>
            <w:hideMark/>
          </w:tcPr>
          <w:p w14:paraId="414070E6" w14:textId="692FA64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-2.455</w:t>
            </w:r>
          </w:p>
        </w:tc>
        <w:tc>
          <w:tcPr>
            <w:tcW w:w="960" w:type="dxa"/>
            <w:tcBorders>
              <w:top w:val="single" w:sz="4" w:space="0" w:color="auto"/>
              <w:bottom w:val="single" w:sz="4" w:space="0" w:color="auto"/>
              <w:right w:val="single" w:sz="4" w:space="0" w:color="auto"/>
            </w:tcBorders>
            <w:shd w:val="clear" w:color="auto" w:fill="auto"/>
            <w:noWrap/>
            <w:hideMark/>
          </w:tcPr>
          <w:p w14:paraId="6037F926" w14:textId="125A3C2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-2.114</w:t>
            </w:r>
          </w:p>
        </w:tc>
      </w:tr>
      <w:tr w:rsidR="002E554D" w:rsidRPr="002E554D" w14:paraId="59B46513" w14:textId="77777777" w:rsidTr="008348B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EB633"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FD0B444" w14:textId="2D078742"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-0.747</w:t>
            </w:r>
          </w:p>
        </w:tc>
        <w:tc>
          <w:tcPr>
            <w:tcW w:w="960" w:type="dxa"/>
            <w:tcBorders>
              <w:top w:val="single" w:sz="4" w:space="0" w:color="auto"/>
              <w:left w:val="single" w:sz="4" w:space="0" w:color="auto"/>
              <w:bottom w:val="single" w:sz="4" w:space="0" w:color="auto"/>
            </w:tcBorders>
            <w:shd w:val="clear" w:color="auto" w:fill="auto"/>
            <w:noWrap/>
            <w:hideMark/>
          </w:tcPr>
          <w:p w14:paraId="34A08A91" w14:textId="70148504"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-3.118</w:t>
            </w:r>
          </w:p>
        </w:tc>
        <w:tc>
          <w:tcPr>
            <w:tcW w:w="960" w:type="dxa"/>
            <w:tcBorders>
              <w:top w:val="single" w:sz="4" w:space="0" w:color="auto"/>
              <w:bottom w:val="single" w:sz="4" w:space="0" w:color="auto"/>
            </w:tcBorders>
            <w:shd w:val="clear" w:color="auto" w:fill="auto"/>
            <w:noWrap/>
            <w:hideMark/>
          </w:tcPr>
          <w:p w14:paraId="0DF0ABE1" w14:textId="534855B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-2.479</w:t>
            </w:r>
          </w:p>
        </w:tc>
        <w:tc>
          <w:tcPr>
            <w:tcW w:w="960" w:type="dxa"/>
            <w:tcBorders>
              <w:top w:val="single" w:sz="4" w:space="0" w:color="auto"/>
              <w:bottom w:val="single" w:sz="4" w:space="0" w:color="auto"/>
              <w:right w:val="single" w:sz="4" w:space="0" w:color="auto"/>
            </w:tcBorders>
            <w:shd w:val="clear" w:color="auto" w:fill="auto"/>
            <w:noWrap/>
            <w:hideMark/>
          </w:tcPr>
          <w:p w14:paraId="64FE89FD" w14:textId="3D33B9ED"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400920B" w14:textId="11D392D6"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-4.191</w:t>
            </w:r>
          </w:p>
        </w:tc>
        <w:tc>
          <w:tcPr>
            <w:tcW w:w="960" w:type="dxa"/>
            <w:tcBorders>
              <w:top w:val="single" w:sz="4" w:space="0" w:color="auto"/>
              <w:left w:val="single" w:sz="4" w:space="0" w:color="auto"/>
              <w:bottom w:val="single" w:sz="4" w:space="0" w:color="auto"/>
            </w:tcBorders>
            <w:shd w:val="clear" w:color="auto" w:fill="auto"/>
            <w:noWrap/>
            <w:hideMark/>
          </w:tcPr>
          <w:p w14:paraId="74EF6F62" w14:textId="425B680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-3.107</w:t>
            </w:r>
          </w:p>
        </w:tc>
        <w:tc>
          <w:tcPr>
            <w:tcW w:w="960" w:type="dxa"/>
            <w:tcBorders>
              <w:top w:val="single" w:sz="4" w:space="0" w:color="auto"/>
              <w:bottom w:val="single" w:sz="4" w:space="0" w:color="auto"/>
            </w:tcBorders>
            <w:shd w:val="clear" w:color="auto" w:fill="auto"/>
            <w:noWrap/>
            <w:hideMark/>
          </w:tcPr>
          <w:p w14:paraId="2090F611" w14:textId="3BC7CB45"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-2.463</w:t>
            </w:r>
          </w:p>
        </w:tc>
        <w:tc>
          <w:tcPr>
            <w:tcW w:w="960" w:type="dxa"/>
            <w:tcBorders>
              <w:top w:val="single" w:sz="4" w:space="0" w:color="auto"/>
              <w:bottom w:val="single" w:sz="4" w:space="0" w:color="auto"/>
              <w:right w:val="single" w:sz="4" w:space="0" w:color="auto"/>
            </w:tcBorders>
            <w:shd w:val="clear" w:color="auto" w:fill="auto"/>
            <w:noWrap/>
            <w:hideMark/>
          </w:tcPr>
          <w:p w14:paraId="743CC091" w14:textId="4A25E131"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-2.123</w:t>
            </w:r>
          </w:p>
        </w:tc>
      </w:tr>
      <w:tr w:rsidR="002E554D" w:rsidRPr="002E554D" w14:paraId="4BA67141" w14:textId="77777777" w:rsidTr="008348B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6610A"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C15C65A" w14:textId="6AF6130F"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-0.763</w:t>
            </w:r>
          </w:p>
        </w:tc>
        <w:tc>
          <w:tcPr>
            <w:tcW w:w="960" w:type="dxa"/>
            <w:tcBorders>
              <w:top w:val="single" w:sz="4" w:space="0" w:color="auto"/>
              <w:left w:val="single" w:sz="4" w:space="0" w:color="auto"/>
              <w:bottom w:val="single" w:sz="4" w:space="0" w:color="auto"/>
            </w:tcBorders>
            <w:shd w:val="clear" w:color="auto" w:fill="auto"/>
            <w:noWrap/>
            <w:hideMark/>
          </w:tcPr>
          <w:p w14:paraId="2A673F24" w14:textId="05C197CD"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-3.080</w:t>
            </w:r>
          </w:p>
        </w:tc>
        <w:tc>
          <w:tcPr>
            <w:tcW w:w="960" w:type="dxa"/>
            <w:tcBorders>
              <w:top w:val="single" w:sz="4" w:space="0" w:color="auto"/>
              <w:bottom w:val="single" w:sz="4" w:space="0" w:color="auto"/>
            </w:tcBorders>
            <w:shd w:val="clear" w:color="auto" w:fill="auto"/>
            <w:noWrap/>
            <w:hideMark/>
          </w:tcPr>
          <w:p w14:paraId="55EE16C0" w14:textId="0928095D"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-2.424</w:t>
            </w:r>
          </w:p>
        </w:tc>
        <w:tc>
          <w:tcPr>
            <w:tcW w:w="960" w:type="dxa"/>
            <w:tcBorders>
              <w:top w:val="single" w:sz="4" w:space="0" w:color="auto"/>
              <w:bottom w:val="single" w:sz="4" w:space="0" w:color="auto"/>
              <w:right w:val="single" w:sz="4" w:space="0" w:color="auto"/>
            </w:tcBorders>
            <w:shd w:val="clear" w:color="auto" w:fill="auto"/>
            <w:noWrap/>
            <w:hideMark/>
          </w:tcPr>
          <w:p w14:paraId="29EBB950" w14:textId="5D97292F"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-2.082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3310BAD" w14:textId="01C0B70B"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-5.379</w:t>
            </w:r>
          </w:p>
        </w:tc>
        <w:tc>
          <w:tcPr>
            <w:tcW w:w="960" w:type="dxa"/>
            <w:tcBorders>
              <w:top w:val="single" w:sz="4" w:space="0" w:color="auto"/>
              <w:left w:val="single" w:sz="4" w:space="0" w:color="auto"/>
              <w:bottom w:val="single" w:sz="4" w:space="0" w:color="auto"/>
            </w:tcBorders>
            <w:shd w:val="clear" w:color="auto" w:fill="auto"/>
            <w:noWrap/>
            <w:hideMark/>
          </w:tcPr>
          <w:p w14:paraId="1B99CEFB" w14:textId="4071BD95"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-3.077</w:t>
            </w:r>
          </w:p>
        </w:tc>
        <w:tc>
          <w:tcPr>
            <w:tcW w:w="960" w:type="dxa"/>
            <w:tcBorders>
              <w:top w:val="single" w:sz="4" w:space="0" w:color="auto"/>
              <w:bottom w:val="single" w:sz="4" w:space="0" w:color="auto"/>
            </w:tcBorders>
            <w:shd w:val="clear" w:color="auto" w:fill="auto"/>
            <w:noWrap/>
            <w:hideMark/>
          </w:tcPr>
          <w:p w14:paraId="76A63292" w14:textId="41C8F8EF"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-2.421</w:t>
            </w:r>
          </w:p>
        </w:tc>
        <w:tc>
          <w:tcPr>
            <w:tcW w:w="960" w:type="dxa"/>
            <w:tcBorders>
              <w:top w:val="single" w:sz="4" w:space="0" w:color="auto"/>
              <w:bottom w:val="single" w:sz="4" w:space="0" w:color="auto"/>
              <w:right w:val="single" w:sz="4" w:space="0" w:color="auto"/>
            </w:tcBorders>
            <w:shd w:val="clear" w:color="auto" w:fill="auto"/>
            <w:noWrap/>
            <w:hideMark/>
          </w:tcPr>
          <w:p w14:paraId="60EEFE80" w14:textId="423DAD94"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-2.079</w:t>
            </w:r>
          </w:p>
        </w:tc>
      </w:tr>
      <w:tr w:rsidR="002E554D" w:rsidRPr="002E554D" w14:paraId="50560662" w14:textId="77777777" w:rsidTr="008348B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3B503"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5540B3B" w14:textId="12D994CD"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-1.271</w:t>
            </w:r>
          </w:p>
        </w:tc>
        <w:tc>
          <w:tcPr>
            <w:tcW w:w="960" w:type="dxa"/>
            <w:tcBorders>
              <w:top w:val="single" w:sz="4" w:space="0" w:color="auto"/>
              <w:left w:val="single" w:sz="4" w:space="0" w:color="auto"/>
              <w:bottom w:val="single" w:sz="4" w:space="0" w:color="auto"/>
            </w:tcBorders>
            <w:shd w:val="clear" w:color="auto" w:fill="auto"/>
            <w:noWrap/>
            <w:hideMark/>
          </w:tcPr>
          <w:p w14:paraId="643FB9C9" w14:textId="48B2BAC6"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-2.911</w:t>
            </w:r>
          </w:p>
        </w:tc>
        <w:tc>
          <w:tcPr>
            <w:tcW w:w="960" w:type="dxa"/>
            <w:tcBorders>
              <w:top w:val="single" w:sz="4" w:space="0" w:color="auto"/>
              <w:bottom w:val="single" w:sz="4" w:space="0" w:color="auto"/>
            </w:tcBorders>
            <w:shd w:val="clear" w:color="auto" w:fill="auto"/>
            <w:noWrap/>
            <w:hideMark/>
          </w:tcPr>
          <w:p w14:paraId="7BC74EAC" w14:textId="1853E2FB"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-2.275</w:t>
            </w:r>
          </w:p>
        </w:tc>
        <w:tc>
          <w:tcPr>
            <w:tcW w:w="960" w:type="dxa"/>
            <w:tcBorders>
              <w:top w:val="single" w:sz="4" w:space="0" w:color="auto"/>
              <w:bottom w:val="single" w:sz="4" w:space="0" w:color="auto"/>
              <w:right w:val="single" w:sz="4" w:space="0" w:color="auto"/>
            </w:tcBorders>
            <w:shd w:val="clear" w:color="auto" w:fill="auto"/>
            <w:noWrap/>
            <w:hideMark/>
          </w:tcPr>
          <w:p w14:paraId="282229F3" w14:textId="1BCF9260"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-1.914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1B026B8" w14:textId="46A61C25"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-2.813</w:t>
            </w:r>
          </w:p>
        </w:tc>
        <w:tc>
          <w:tcPr>
            <w:tcW w:w="960" w:type="dxa"/>
            <w:tcBorders>
              <w:top w:val="single" w:sz="4" w:space="0" w:color="auto"/>
              <w:left w:val="single" w:sz="4" w:space="0" w:color="auto"/>
              <w:bottom w:val="single" w:sz="4" w:space="0" w:color="auto"/>
            </w:tcBorders>
            <w:shd w:val="clear" w:color="auto" w:fill="auto"/>
            <w:noWrap/>
            <w:hideMark/>
          </w:tcPr>
          <w:p w14:paraId="1DCA39B6" w14:textId="2D408D48"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-2.995</w:t>
            </w:r>
          </w:p>
        </w:tc>
        <w:tc>
          <w:tcPr>
            <w:tcW w:w="960" w:type="dxa"/>
            <w:tcBorders>
              <w:top w:val="single" w:sz="4" w:space="0" w:color="auto"/>
              <w:bottom w:val="single" w:sz="4" w:space="0" w:color="auto"/>
            </w:tcBorders>
            <w:shd w:val="clear" w:color="auto" w:fill="auto"/>
            <w:noWrap/>
            <w:hideMark/>
          </w:tcPr>
          <w:p w14:paraId="7214BEED" w14:textId="5863ED11"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-2.345</w:t>
            </w:r>
          </w:p>
        </w:tc>
        <w:tc>
          <w:tcPr>
            <w:tcW w:w="960" w:type="dxa"/>
            <w:tcBorders>
              <w:top w:val="single" w:sz="4" w:space="0" w:color="auto"/>
              <w:bottom w:val="single" w:sz="4" w:space="0" w:color="auto"/>
              <w:right w:val="single" w:sz="4" w:space="0" w:color="auto"/>
            </w:tcBorders>
            <w:shd w:val="clear" w:color="auto" w:fill="auto"/>
            <w:noWrap/>
            <w:hideMark/>
          </w:tcPr>
          <w:p w14:paraId="20ED72B3" w14:textId="380F4FF0"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-1.994</w:t>
            </w:r>
          </w:p>
        </w:tc>
      </w:tr>
      <w:tr w:rsidR="002E554D" w:rsidRPr="002E554D" w14:paraId="425736C3" w14:textId="77777777" w:rsidTr="00855A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FB0C6" w14:textId="77777777" w:rsidR="00771184" w:rsidRPr="002E554D" w:rsidRDefault="00771184" w:rsidP="00771184">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 </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D673C"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DJ65</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3155"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proofErr w:type="spellStart"/>
            <w:r w:rsidRPr="002E554D">
              <w:rPr>
                <w:rFonts w:ascii="Garamond" w:eastAsia="Times New Roman" w:hAnsi="Garamond" w:cs="Calibri"/>
                <w:b/>
                <w:bCs/>
                <w:color w:val="FF0000"/>
                <w:sz w:val="20"/>
                <w:szCs w:val="20"/>
                <w:lang w:val="en-GB" w:eastAsia="en-GB"/>
              </w:rPr>
              <w:t>DJIndustr</w:t>
            </w:r>
            <w:proofErr w:type="spellEnd"/>
          </w:p>
        </w:tc>
      </w:tr>
      <w:tr w:rsidR="002E554D" w:rsidRPr="002E554D" w14:paraId="321157E6" w14:textId="77777777" w:rsidTr="00EF43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CA91D"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A5081F1" w14:textId="6FEDB078"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0.992</w:t>
            </w:r>
          </w:p>
        </w:tc>
        <w:tc>
          <w:tcPr>
            <w:tcW w:w="960" w:type="dxa"/>
            <w:tcBorders>
              <w:top w:val="single" w:sz="4" w:space="0" w:color="auto"/>
              <w:left w:val="single" w:sz="4" w:space="0" w:color="auto"/>
              <w:bottom w:val="single" w:sz="4" w:space="0" w:color="auto"/>
            </w:tcBorders>
            <w:shd w:val="clear" w:color="auto" w:fill="auto"/>
            <w:noWrap/>
            <w:hideMark/>
          </w:tcPr>
          <w:p w14:paraId="7D95F488" w14:textId="3A1E4FC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-3.111</w:t>
            </w:r>
          </w:p>
        </w:tc>
        <w:tc>
          <w:tcPr>
            <w:tcW w:w="960" w:type="dxa"/>
            <w:tcBorders>
              <w:top w:val="single" w:sz="4" w:space="0" w:color="auto"/>
              <w:bottom w:val="single" w:sz="4" w:space="0" w:color="auto"/>
            </w:tcBorders>
            <w:shd w:val="clear" w:color="auto" w:fill="auto"/>
            <w:noWrap/>
            <w:hideMark/>
          </w:tcPr>
          <w:p w14:paraId="7CD2FA84" w14:textId="52F74C33"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-2.469</w:t>
            </w:r>
          </w:p>
        </w:tc>
        <w:tc>
          <w:tcPr>
            <w:tcW w:w="960" w:type="dxa"/>
            <w:tcBorders>
              <w:top w:val="single" w:sz="4" w:space="0" w:color="auto"/>
              <w:bottom w:val="single" w:sz="4" w:space="0" w:color="auto"/>
              <w:right w:val="single" w:sz="4" w:space="0" w:color="auto"/>
            </w:tcBorders>
            <w:shd w:val="clear" w:color="auto" w:fill="auto"/>
            <w:noWrap/>
            <w:hideMark/>
          </w:tcPr>
          <w:p w14:paraId="44E1968F" w14:textId="6681C596"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D59C87D" w14:textId="11ACB881"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1.680</w:t>
            </w:r>
          </w:p>
        </w:tc>
        <w:tc>
          <w:tcPr>
            <w:tcW w:w="960" w:type="dxa"/>
            <w:tcBorders>
              <w:top w:val="single" w:sz="4" w:space="0" w:color="auto"/>
              <w:left w:val="single" w:sz="4" w:space="0" w:color="auto"/>
              <w:bottom w:val="single" w:sz="4" w:space="0" w:color="auto"/>
            </w:tcBorders>
            <w:shd w:val="clear" w:color="auto" w:fill="auto"/>
            <w:noWrap/>
            <w:hideMark/>
          </w:tcPr>
          <w:p w14:paraId="186D2367" w14:textId="64838E3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-3.082</w:t>
            </w:r>
          </w:p>
        </w:tc>
        <w:tc>
          <w:tcPr>
            <w:tcW w:w="960" w:type="dxa"/>
            <w:tcBorders>
              <w:top w:val="single" w:sz="4" w:space="0" w:color="auto"/>
              <w:bottom w:val="single" w:sz="4" w:space="0" w:color="auto"/>
            </w:tcBorders>
            <w:shd w:val="clear" w:color="auto" w:fill="auto"/>
            <w:noWrap/>
            <w:hideMark/>
          </w:tcPr>
          <w:p w14:paraId="2DF3DE8A" w14:textId="112C39C8"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-2.427</w:t>
            </w:r>
          </w:p>
        </w:tc>
        <w:tc>
          <w:tcPr>
            <w:tcW w:w="960" w:type="dxa"/>
            <w:tcBorders>
              <w:top w:val="single" w:sz="4" w:space="0" w:color="auto"/>
              <w:bottom w:val="single" w:sz="4" w:space="0" w:color="auto"/>
              <w:right w:val="single" w:sz="4" w:space="0" w:color="auto"/>
            </w:tcBorders>
            <w:shd w:val="clear" w:color="auto" w:fill="auto"/>
            <w:noWrap/>
            <w:hideMark/>
          </w:tcPr>
          <w:p w14:paraId="7FAD2FD7" w14:textId="79FBEF18"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-2.086</w:t>
            </w:r>
          </w:p>
        </w:tc>
      </w:tr>
      <w:tr w:rsidR="002E554D" w:rsidRPr="002E554D" w14:paraId="304F9D2D" w14:textId="77777777" w:rsidTr="00EF43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5D1B8"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32B5E68" w14:textId="7F228CD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0.654</w:t>
            </w:r>
          </w:p>
        </w:tc>
        <w:tc>
          <w:tcPr>
            <w:tcW w:w="960" w:type="dxa"/>
            <w:tcBorders>
              <w:top w:val="single" w:sz="4" w:space="0" w:color="auto"/>
              <w:left w:val="single" w:sz="4" w:space="0" w:color="auto"/>
              <w:bottom w:val="single" w:sz="4" w:space="0" w:color="auto"/>
            </w:tcBorders>
            <w:shd w:val="clear" w:color="auto" w:fill="auto"/>
            <w:noWrap/>
            <w:hideMark/>
          </w:tcPr>
          <w:p w14:paraId="31D1781A" w14:textId="08DEEDD3"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-3.118</w:t>
            </w:r>
          </w:p>
        </w:tc>
        <w:tc>
          <w:tcPr>
            <w:tcW w:w="960" w:type="dxa"/>
            <w:tcBorders>
              <w:top w:val="single" w:sz="4" w:space="0" w:color="auto"/>
              <w:bottom w:val="single" w:sz="4" w:space="0" w:color="auto"/>
            </w:tcBorders>
            <w:shd w:val="clear" w:color="auto" w:fill="auto"/>
            <w:noWrap/>
            <w:hideMark/>
          </w:tcPr>
          <w:p w14:paraId="4BF93964" w14:textId="6C616DC8"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-2.478</w:t>
            </w:r>
          </w:p>
        </w:tc>
        <w:tc>
          <w:tcPr>
            <w:tcW w:w="960" w:type="dxa"/>
            <w:tcBorders>
              <w:top w:val="single" w:sz="4" w:space="0" w:color="auto"/>
              <w:bottom w:val="single" w:sz="4" w:space="0" w:color="auto"/>
              <w:right w:val="single" w:sz="4" w:space="0" w:color="auto"/>
            </w:tcBorders>
            <w:shd w:val="clear" w:color="auto" w:fill="auto"/>
            <w:noWrap/>
            <w:hideMark/>
          </w:tcPr>
          <w:p w14:paraId="331B87CC" w14:textId="2F1F29E2"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235681D" w14:textId="7EB2A6EC"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0.261</w:t>
            </w:r>
          </w:p>
        </w:tc>
        <w:tc>
          <w:tcPr>
            <w:tcW w:w="960" w:type="dxa"/>
            <w:tcBorders>
              <w:top w:val="single" w:sz="4" w:space="0" w:color="auto"/>
              <w:left w:val="single" w:sz="4" w:space="0" w:color="auto"/>
              <w:bottom w:val="single" w:sz="4" w:space="0" w:color="auto"/>
            </w:tcBorders>
            <w:shd w:val="clear" w:color="auto" w:fill="auto"/>
            <w:noWrap/>
            <w:hideMark/>
          </w:tcPr>
          <w:p w14:paraId="15E7F38F" w14:textId="6277071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-3.130</w:t>
            </w:r>
          </w:p>
        </w:tc>
        <w:tc>
          <w:tcPr>
            <w:tcW w:w="960" w:type="dxa"/>
            <w:tcBorders>
              <w:top w:val="single" w:sz="4" w:space="0" w:color="auto"/>
              <w:bottom w:val="single" w:sz="4" w:space="0" w:color="auto"/>
            </w:tcBorders>
            <w:shd w:val="clear" w:color="auto" w:fill="auto"/>
            <w:noWrap/>
            <w:hideMark/>
          </w:tcPr>
          <w:p w14:paraId="7E777250" w14:textId="58991C7D"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-2.496</w:t>
            </w:r>
          </w:p>
        </w:tc>
        <w:tc>
          <w:tcPr>
            <w:tcW w:w="960" w:type="dxa"/>
            <w:tcBorders>
              <w:top w:val="single" w:sz="4" w:space="0" w:color="auto"/>
              <w:bottom w:val="single" w:sz="4" w:space="0" w:color="auto"/>
              <w:right w:val="single" w:sz="4" w:space="0" w:color="auto"/>
            </w:tcBorders>
            <w:shd w:val="clear" w:color="auto" w:fill="auto"/>
            <w:noWrap/>
            <w:hideMark/>
          </w:tcPr>
          <w:p w14:paraId="47695E33" w14:textId="239EE54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-2.157</w:t>
            </w:r>
          </w:p>
        </w:tc>
      </w:tr>
      <w:tr w:rsidR="002E554D" w:rsidRPr="002E554D" w14:paraId="2E89F322" w14:textId="77777777" w:rsidTr="00EF43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D883B"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E704B2D" w14:textId="00662E5E"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0.266</w:t>
            </w:r>
          </w:p>
        </w:tc>
        <w:tc>
          <w:tcPr>
            <w:tcW w:w="960" w:type="dxa"/>
            <w:tcBorders>
              <w:top w:val="single" w:sz="4" w:space="0" w:color="auto"/>
              <w:left w:val="single" w:sz="4" w:space="0" w:color="auto"/>
              <w:bottom w:val="single" w:sz="4" w:space="0" w:color="auto"/>
            </w:tcBorders>
            <w:shd w:val="clear" w:color="auto" w:fill="auto"/>
            <w:noWrap/>
            <w:hideMark/>
          </w:tcPr>
          <w:p w14:paraId="2500CE0C" w14:textId="7F3F364C"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-3.165</w:t>
            </w:r>
          </w:p>
        </w:tc>
        <w:tc>
          <w:tcPr>
            <w:tcW w:w="960" w:type="dxa"/>
            <w:tcBorders>
              <w:top w:val="single" w:sz="4" w:space="0" w:color="auto"/>
              <w:bottom w:val="single" w:sz="4" w:space="0" w:color="auto"/>
            </w:tcBorders>
            <w:shd w:val="clear" w:color="auto" w:fill="auto"/>
            <w:noWrap/>
            <w:hideMark/>
          </w:tcPr>
          <w:p w14:paraId="2AED6DE4" w14:textId="6CE37535"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-2.547</w:t>
            </w:r>
          </w:p>
        </w:tc>
        <w:tc>
          <w:tcPr>
            <w:tcW w:w="960" w:type="dxa"/>
            <w:tcBorders>
              <w:top w:val="single" w:sz="4" w:space="0" w:color="auto"/>
              <w:bottom w:val="single" w:sz="4" w:space="0" w:color="auto"/>
              <w:right w:val="single" w:sz="4" w:space="0" w:color="auto"/>
            </w:tcBorders>
            <w:shd w:val="clear" w:color="auto" w:fill="auto"/>
            <w:noWrap/>
            <w:hideMark/>
          </w:tcPr>
          <w:p w14:paraId="719D7AE6" w14:textId="41AC048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180B6CD" w14:textId="0DE692DE"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-0.188</w:t>
            </w:r>
          </w:p>
        </w:tc>
        <w:tc>
          <w:tcPr>
            <w:tcW w:w="960" w:type="dxa"/>
            <w:tcBorders>
              <w:top w:val="single" w:sz="4" w:space="0" w:color="auto"/>
              <w:left w:val="single" w:sz="4" w:space="0" w:color="auto"/>
              <w:bottom w:val="single" w:sz="4" w:space="0" w:color="auto"/>
            </w:tcBorders>
            <w:shd w:val="clear" w:color="auto" w:fill="auto"/>
            <w:noWrap/>
            <w:hideMark/>
          </w:tcPr>
          <w:p w14:paraId="01F1AA06" w14:textId="60672BC9"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-3.158</w:t>
            </w:r>
          </w:p>
        </w:tc>
        <w:tc>
          <w:tcPr>
            <w:tcW w:w="960" w:type="dxa"/>
            <w:tcBorders>
              <w:top w:val="single" w:sz="4" w:space="0" w:color="auto"/>
              <w:bottom w:val="single" w:sz="4" w:space="0" w:color="auto"/>
            </w:tcBorders>
            <w:shd w:val="clear" w:color="auto" w:fill="auto"/>
            <w:noWrap/>
            <w:hideMark/>
          </w:tcPr>
          <w:p w14:paraId="2F144999" w14:textId="4DCF2845"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-2.536</w:t>
            </w:r>
          </w:p>
        </w:tc>
        <w:tc>
          <w:tcPr>
            <w:tcW w:w="960" w:type="dxa"/>
            <w:tcBorders>
              <w:top w:val="single" w:sz="4" w:space="0" w:color="auto"/>
              <w:bottom w:val="single" w:sz="4" w:space="0" w:color="auto"/>
              <w:right w:val="single" w:sz="4" w:space="0" w:color="auto"/>
            </w:tcBorders>
            <w:shd w:val="clear" w:color="auto" w:fill="auto"/>
            <w:noWrap/>
            <w:hideMark/>
          </w:tcPr>
          <w:p w14:paraId="38584CE0" w14:textId="46968F2C"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-2.200</w:t>
            </w:r>
          </w:p>
        </w:tc>
      </w:tr>
      <w:tr w:rsidR="002E554D" w:rsidRPr="002E554D" w14:paraId="530FF4AC" w14:textId="77777777" w:rsidTr="00EF43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13D4F"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AD9F75C" w14:textId="6AC3910C"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-1.080</w:t>
            </w:r>
          </w:p>
        </w:tc>
        <w:tc>
          <w:tcPr>
            <w:tcW w:w="960" w:type="dxa"/>
            <w:tcBorders>
              <w:top w:val="single" w:sz="4" w:space="0" w:color="auto"/>
              <w:left w:val="single" w:sz="4" w:space="0" w:color="auto"/>
              <w:bottom w:val="single" w:sz="4" w:space="0" w:color="auto"/>
            </w:tcBorders>
            <w:shd w:val="clear" w:color="auto" w:fill="auto"/>
            <w:noWrap/>
            <w:hideMark/>
          </w:tcPr>
          <w:p w14:paraId="26F36169" w14:textId="02FA824E"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-3.138</w:t>
            </w:r>
          </w:p>
        </w:tc>
        <w:tc>
          <w:tcPr>
            <w:tcW w:w="960" w:type="dxa"/>
            <w:tcBorders>
              <w:top w:val="single" w:sz="4" w:space="0" w:color="auto"/>
              <w:bottom w:val="single" w:sz="4" w:space="0" w:color="auto"/>
            </w:tcBorders>
            <w:shd w:val="clear" w:color="auto" w:fill="auto"/>
            <w:noWrap/>
            <w:hideMark/>
          </w:tcPr>
          <w:p w14:paraId="61ECBC94" w14:textId="565E9D84"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-2.507</w:t>
            </w:r>
          </w:p>
        </w:tc>
        <w:tc>
          <w:tcPr>
            <w:tcW w:w="960" w:type="dxa"/>
            <w:tcBorders>
              <w:top w:val="single" w:sz="4" w:space="0" w:color="auto"/>
              <w:bottom w:val="single" w:sz="4" w:space="0" w:color="auto"/>
              <w:right w:val="single" w:sz="4" w:space="0" w:color="auto"/>
            </w:tcBorders>
            <w:shd w:val="clear" w:color="auto" w:fill="auto"/>
            <w:noWrap/>
            <w:hideMark/>
          </w:tcPr>
          <w:p w14:paraId="520B65E3" w14:textId="1AADE4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A50936D" w14:textId="1B38A864"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-0.747</w:t>
            </w:r>
          </w:p>
        </w:tc>
        <w:tc>
          <w:tcPr>
            <w:tcW w:w="960" w:type="dxa"/>
            <w:tcBorders>
              <w:top w:val="single" w:sz="4" w:space="0" w:color="auto"/>
              <w:left w:val="single" w:sz="4" w:space="0" w:color="auto"/>
              <w:bottom w:val="single" w:sz="4" w:space="0" w:color="auto"/>
            </w:tcBorders>
            <w:shd w:val="clear" w:color="auto" w:fill="auto"/>
            <w:noWrap/>
            <w:hideMark/>
          </w:tcPr>
          <w:p w14:paraId="20348DE6" w14:textId="203BB785"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-3.145</w:t>
            </w:r>
          </w:p>
        </w:tc>
        <w:tc>
          <w:tcPr>
            <w:tcW w:w="960" w:type="dxa"/>
            <w:tcBorders>
              <w:top w:val="single" w:sz="4" w:space="0" w:color="auto"/>
              <w:bottom w:val="single" w:sz="4" w:space="0" w:color="auto"/>
            </w:tcBorders>
            <w:shd w:val="clear" w:color="auto" w:fill="auto"/>
            <w:noWrap/>
            <w:hideMark/>
          </w:tcPr>
          <w:p w14:paraId="1B34671B" w14:textId="4089B423"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-2.518</w:t>
            </w:r>
          </w:p>
        </w:tc>
        <w:tc>
          <w:tcPr>
            <w:tcW w:w="960" w:type="dxa"/>
            <w:tcBorders>
              <w:top w:val="single" w:sz="4" w:space="0" w:color="auto"/>
              <w:bottom w:val="single" w:sz="4" w:space="0" w:color="auto"/>
              <w:right w:val="single" w:sz="4" w:space="0" w:color="auto"/>
            </w:tcBorders>
            <w:shd w:val="clear" w:color="auto" w:fill="auto"/>
            <w:noWrap/>
            <w:hideMark/>
          </w:tcPr>
          <w:p w14:paraId="44643347" w14:textId="40BA771B"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-2.180</w:t>
            </w:r>
          </w:p>
        </w:tc>
      </w:tr>
      <w:tr w:rsidR="002E554D" w:rsidRPr="002E554D" w14:paraId="19B2C058" w14:textId="77777777" w:rsidTr="00EF43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A4812"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F1BAF5C" w14:textId="6E50F1A8"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-1.467</w:t>
            </w:r>
          </w:p>
        </w:tc>
        <w:tc>
          <w:tcPr>
            <w:tcW w:w="960" w:type="dxa"/>
            <w:tcBorders>
              <w:top w:val="single" w:sz="4" w:space="0" w:color="auto"/>
              <w:left w:val="single" w:sz="4" w:space="0" w:color="auto"/>
              <w:bottom w:val="single" w:sz="4" w:space="0" w:color="auto"/>
            </w:tcBorders>
            <w:shd w:val="clear" w:color="auto" w:fill="auto"/>
            <w:noWrap/>
            <w:hideMark/>
          </w:tcPr>
          <w:p w14:paraId="24232794" w14:textId="4C95F596"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-3.117</w:t>
            </w:r>
          </w:p>
        </w:tc>
        <w:tc>
          <w:tcPr>
            <w:tcW w:w="960" w:type="dxa"/>
            <w:tcBorders>
              <w:top w:val="single" w:sz="4" w:space="0" w:color="auto"/>
              <w:bottom w:val="single" w:sz="4" w:space="0" w:color="auto"/>
            </w:tcBorders>
            <w:shd w:val="clear" w:color="auto" w:fill="auto"/>
            <w:noWrap/>
            <w:hideMark/>
          </w:tcPr>
          <w:p w14:paraId="73B2135B" w14:textId="59A07D0E"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-2.478</w:t>
            </w:r>
          </w:p>
        </w:tc>
        <w:tc>
          <w:tcPr>
            <w:tcW w:w="960" w:type="dxa"/>
            <w:tcBorders>
              <w:top w:val="single" w:sz="4" w:space="0" w:color="auto"/>
              <w:bottom w:val="single" w:sz="4" w:space="0" w:color="auto"/>
              <w:right w:val="single" w:sz="4" w:space="0" w:color="auto"/>
            </w:tcBorders>
            <w:shd w:val="clear" w:color="auto" w:fill="auto"/>
            <w:noWrap/>
            <w:hideMark/>
          </w:tcPr>
          <w:p w14:paraId="119D8BEA" w14:textId="49701B41"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40D3B3D" w14:textId="36755E65"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-1.836</w:t>
            </w:r>
          </w:p>
        </w:tc>
        <w:tc>
          <w:tcPr>
            <w:tcW w:w="960" w:type="dxa"/>
            <w:tcBorders>
              <w:top w:val="single" w:sz="4" w:space="0" w:color="auto"/>
              <w:left w:val="single" w:sz="4" w:space="0" w:color="auto"/>
              <w:bottom w:val="single" w:sz="4" w:space="0" w:color="auto"/>
            </w:tcBorders>
            <w:shd w:val="clear" w:color="auto" w:fill="auto"/>
            <w:noWrap/>
            <w:hideMark/>
          </w:tcPr>
          <w:p w14:paraId="6AA68BF1" w14:textId="223B7B61"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-3.142</w:t>
            </w:r>
          </w:p>
        </w:tc>
        <w:tc>
          <w:tcPr>
            <w:tcW w:w="960" w:type="dxa"/>
            <w:tcBorders>
              <w:top w:val="single" w:sz="4" w:space="0" w:color="auto"/>
              <w:bottom w:val="single" w:sz="4" w:space="0" w:color="auto"/>
            </w:tcBorders>
            <w:shd w:val="clear" w:color="auto" w:fill="auto"/>
            <w:noWrap/>
            <w:hideMark/>
          </w:tcPr>
          <w:p w14:paraId="12539543" w14:textId="1106FFAB"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-2.513</w:t>
            </w:r>
          </w:p>
        </w:tc>
        <w:tc>
          <w:tcPr>
            <w:tcW w:w="960" w:type="dxa"/>
            <w:tcBorders>
              <w:top w:val="single" w:sz="4" w:space="0" w:color="auto"/>
              <w:bottom w:val="single" w:sz="4" w:space="0" w:color="auto"/>
              <w:right w:val="single" w:sz="4" w:space="0" w:color="auto"/>
            </w:tcBorders>
            <w:shd w:val="clear" w:color="auto" w:fill="auto"/>
            <w:noWrap/>
            <w:hideMark/>
          </w:tcPr>
          <w:p w14:paraId="2B91F6B8" w14:textId="74FD3C6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-2.175</w:t>
            </w:r>
          </w:p>
        </w:tc>
      </w:tr>
      <w:tr w:rsidR="002E554D" w:rsidRPr="002E554D" w14:paraId="0A31272C" w14:textId="77777777" w:rsidTr="00EF43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9BF17"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474CE5E" w14:textId="619CA030"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-3.050</w:t>
            </w:r>
          </w:p>
        </w:tc>
        <w:tc>
          <w:tcPr>
            <w:tcW w:w="960" w:type="dxa"/>
            <w:tcBorders>
              <w:top w:val="single" w:sz="4" w:space="0" w:color="auto"/>
              <w:left w:val="single" w:sz="4" w:space="0" w:color="auto"/>
              <w:bottom w:val="single" w:sz="4" w:space="0" w:color="auto"/>
            </w:tcBorders>
            <w:shd w:val="clear" w:color="auto" w:fill="auto"/>
            <w:noWrap/>
            <w:hideMark/>
          </w:tcPr>
          <w:p w14:paraId="001DAD1E" w14:textId="11771054"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-3.120</w:t>
            </w:r>
          </w:p>
        </w:tc>
        <w:tc>
          <w:tcPr>
            <w:tcW w:w="960" w:type="dxa"/>
            <w:tcBorders>
              <w:top w:val="single" w:sz="4" w:space="0" w:color="auto"/>
              <w:bottom w:val="single" w:sz="4" w:space="0" w:color="auto"/>
            </w:tcBorders>
            <w:shd w:val="clear" w:color="auto" w:fill="auto"/>
            <w:noWrap/>
            <w:hideMark/>
          </w:tcPr>
          <w:p w14:paraId="0D86F786" w14:textId="44AE927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-2.482</w:t>
            </w:r>
          </w:p>
        </w:tc>
        <w:tc>
          <w:tcPr>
            <w:tcW w:w="960" w:type="dxa"/>
            <w:tcBorders>
              <w:top w:val="single" w:sz="4" w:space="0" w:color="auto"/>
              <w:bottom w:val="single" w:sz="4" w:space="0" w:color="auto"/>
              <w:right w:val="single" w:sz="4" w:space="0" w:color="auto"/>
            </w:tcBorders>
            <w:shd w:val="clear" w:color="auto" w:fill="auto"/>
            <w:noWrap/>
            <w:hideMark/>
          </w:tcPr>
          <w:p w14:paraId="0DD275D3" w14:textId="4F8886BE"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DFECC97" w14:textId="3F5E282B"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-2.897</w:t>
            </w:r>
          </w:p>
        </w:tc>
        <w:tc>
          <w:tcPr>
            <w:tcW w:w="960" w:type="dxa"/>
            <w:tcBorders>
              <w:top w:val="single" w:sz="4" w:space="0" w:color="auto"/>
              <w:left w:val="single" w:sz="4" w:space="0" w:color="auto"/>
              <w:bottom w:val="single" w:sz="4" w:space="0" w:color="auto"/>
            </w:tcBorders>
            <w:shd w:val="clear" w:color="auto" w:fill="auto"/>
            <w:noWrap/>
            <w:hideMark/>
          </w:tcPr>
          <w:p w14:paraId="12FB9DF2" w14:textId="67D568C6"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-3.139</w:t>
            </w:r>
          </w:p>
        </w:tc>
        <w:tc>
          <w:tcPr>
            <w:tcW w:w="960" w:type="dxa"/>
            <w:tcBorders>
              <w:top w:val="single" w:sz="4" w:space="0" w:color="auto"/>
              <w:bottom w:val="single" w:sz="4" w:space="0" w:color="auto"/>
            </w:tcBorders>
            <w:shd w:val="clear" w:color="auto" w:fill="auto"/>
            <w:noWrap/>
            <w:hideMark/>
          </w:tcPr>
          <w:p w14:paraId="59E717D7" w14:textId="791E08C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-2.509</w:t>
            </w:r>
          </w:p>
        </w:tc>
        <w:tc>
          <w:tcPr>
            <w:tcW w:w="960" w:type="dxa"/>
            <w:tcBorders>
              <w:top w:val="single" w:sz="4" w:space="0" w:color="auto"/>
              <w:bottom w:val="single" w:sz="4" w:space="0" w:color="auto"/>
              <w:right w:val="single" w:sz="4" w:space="0" w:color="auto"/>
            </w:tcBorders>
            <w:shd w:val="clear" w:color="auto" w:fill="auto"/>
            <w:noWrap/>
            <w:hideMark/>
          </w:tcPr>
          <w:p w14:paraId="118A8586" w14:textId="23E041D5"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-2.170</w:t>
            </w:r>
          </w:p>
        </w:tc>
      </w:tr>
      <w:tr w:rsidR="002E554D" w:rsidRPr="002E554D" w14:paraId="4FE99864" w14:textId="77777777" w:rsidTr="00EF43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6D06"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03B2ED6" w14:textId="510C0083"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-3.235</w:t>
            </w:r>
          </w:p>
        </w:tc>
        <w:tc>
          <w:tcPr>
            <w:tcW w:w="960" w:type="dxa"/>
            <w:tcBorders>
              <w:top w:val="single" w:sz="4" w:space="0" w:color="auto"/>
              <w:left w:val="single" w:sz="4" w:space="0" w:color="auto"/>
              <w:bottom w:val="single" w:sz="4" w:space="0" w:color="auto"/>
            </w:tcBorders>
            <w:shd w:val="clear" w:color="auto" w:fill="auto"/>
            <w:noWrap/>
            <w:hideMark/>
          </w:tcPr>
          <w:p w14:paraId="69808F4C" w14:textId="4516CDF6"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-3.105</w:t>
            </w:r>
          </w:p>
        </w:tc>
        <w:tc>
          <w:tcPr>
            <w:tcW w:w="960" w:type="dxa"/>
            <w:tcBorders>
              <w:top w:val="single" w:sz="4" w:space="0" w:color="auto"/>
              <w:bottom w:val="single" w:sz="4" w:space="0" w:color="auto"/>
            </w:tcBorders>
            <w:shd w:val="clear" w:color="auto" w:fill="auto"/>
            <w:noWrap/>
            <w:hideMark/>
          </w:tcPr>
          <w:p w14:paraId="0406425C" w14:textId="66C19993"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-2.460</w:t>
            </w:r>
          </w:p>
        </w:tc>
        <w:tc>
          <w:tcPr>
            <w:tcW w:w="960" w:type="dxa"/>
            <w:tcBorders>
              <w:top w:val="single" w:sz="4" w:space="0" w:color="auto"/>
              <w:bottom w:val="single" w:sz="4" w:space="0" w:color="auto"/>
              <w:right w:val="single" w:sz="4" w:space="0" w:color="auto"/>
            </w:tcBorders>
            <w:shd w:val="clear" w:color="auto" w:fill="auto"/>
            <w:noWrap/>
            <w:hideMark/>
          </w:tcPr>
          <w:p w14:paraId="7F2C7E89" w14:textId="6C7BFC60"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8FF5A08" w14:textId="57650A02"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-3.075</w:t>
            </w:r>
          </w:p>
        </w:tc>
        <w:tc>
          <w:tcPr>
            <w:tcW w:w="960" w:type="dxa"/>
            <w:tcBorders>
              <w:top w:val="single" w:sz="4" w:space="0" w:color="auto"/>
              <w:left w:val="single" w:sz="4" w:space="0" w:color="auto"/>
              <w:bottom w:val="single" w:sz="4" w:space="0" w:color="auto"/>
            </w:tcBorders>
            <w:shd w:val="clear" w:color="auto" w:fill="auto"/>
            <w:noWrap/>
            <w:hideMark/>
          </w:tcPr>
          <w:p w14:paraId="272DE64F" w14:textId="129CCDD0"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-3.122</w:t>
            </w:r>
          </w:p>
        </w:tc>
        <w:tc>
          <w:tcPr>
            <w:tcW w:w="960" w:type="dxa"/>
            <w:tcBorders>
              <w:top w:val="single" w:sz="4" w:space="0" w:color="auto"/>
              <w:bottom w:val="single" w:sz="4" w:space="0" w:color="auto"/>
            </w:tcBorders>
            <w:shd w:val="clear" w:color="auto" w:fill="auto"/>
            <w:noWrap/>
            <w:hideMark/>
          </w:tcPr>
          <w:p w14:paraId="26E932C7" w14:textId="506BCADB"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-2.485</w:t>
            </w:r>
          </w:p>
        </w:tc>
        <w:tc>
          <w:tcPr>
            <w:tcW w:w="960" w:type="dxa"/>
            <w:tcBorders>
              <w:top w:val="single" w:sz="4" w:space="0" w:color="auto"/>
              <w:bottom w:val="single" w:sz="4" w:space="0" w:color="auto"/>
              <w:right w:val="single" w:sz="4" w:space="0" w:color="auto"/>
            </w:tcBorders>
            <w:shd w:val="clear" w:color="auto" w:fill="auto"/>
            <w:noWrap/>
            <w:hideMark/>
          </w:tcPr>
          <w:p w14:paraId="5B4DBA1C" w14:textId="3271015D"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-2.146</w:t>
            </w:r>
          </w:p>
        </w:tc>
      </w:tr>
      <w:tr w:rsidR="002E554D" w:rsidRPr="002E554D" w14:paraId="65D296D8" w14:textId="77777777" w:rsidTr="00EF43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81476"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285CE6E" w14:textId="3D08BBCF"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-4.209</w:t>
            </w:r>
          </w:p>
        </w:tc>
        <w:tc>
          <w:tcPr>
            <w:tcW w:w="960" w:type="dxa"/>
            <w:tcBorders>
              <w:top w:val="single" w:sz="4" w:space="0" w:color="auto"/>
              <w:left w:val="single" w:sz="4" w:space="0" w:color="auto"/>
              <w:bottom w:val="single" w:sz="4" w:space="0" w:color="auto"/>
            </w:tcBorders>
            <w:shd w:val="clear" w:color="auto" w:fill="auto"/>
            <w:noWrap/>
            <w:hideMark/>
          </w:tcPr>
          <w:p w14:paraId="524D2A73" w14:textId="5FA62B71"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-3.043</w:t>
            </w:r>
          </w:p>
        </w:tc>
        <w:tc>
          <w:tcPr>
            <w:tcW w:w="960" w:type="dxa"/>
            <w:tcBorders>
              <w:top w:val="single" w:sz="4" w:space="0" w:color="auto"/>
              <w:bottom w:val="single" w:sz="4" w:space="0" w:color="auto"/>
            </w:tcBorders>
            <w:shd w:val="clear" w:color="auto" w:fill="auto"/>
            <w:noWrap/>
            <w:hideMark/>
          </w:tcPr>
          <w:p w14:paraId="75626B78" w14:textId="3F5A0B4F"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-2.384</w:t>
            </w:r>
          </w:p>
        </w:tc>
        <w:tc>
          <w:tcPr>
            <w:tcW w:w="960" w:type="dxa"/>
            <w:tcBorders>
              <w:top w:val="single" w:sz="4" w:space="0" w:color="auto"/>
              <w:bottom w:val="single" w:sz="4" w:space="0" w:color="auto"/>
              <w:right w:val="single" w:sz="4" w:space="0" w:color="auto"/>
            </w:tcBorders>
            <w:shd w:val="clear" w:color="auto" w:fill="auto"/>
            <w:noWrap/>
            <w:hideMark/>
          </w:tcPr>
          <w:p w14:paraId="5BC1D7CC" w14:textId="0792AF43"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-2.039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6809B08" w14:textId="33A5AB63"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-3.329</w:t>
            </w:r>
          </w:p>
        </w:tc>
        <w:tc>
          <w:tcPr>
            <w:tcW w:w="960" w:type="dxa"/>
            <w:tcBorders>
              <w:top w:val="single" w:sz="4" w:space="0" w:color="auto"/>
              <w:left w:val="single" w:sz="4" w:space="0" w:color="auto"/>
              <w:bottom w:val="single" w:sz="4" w:space="0" w:color="auto"/>
            </w:tcBorders>
            <w:shd w:val="clear" w:color="auto" w:fill="auto"/>
            <w:noWrap/>
            <w:hideMark/>
          </w:tcPr>
          <w:p w14:paraId="7EC84749" w14:textId="7F366125"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-3.081</w:t>
            </w:r>
          </w:p>
        </w:tc>
        <w:tc>
          <w:tcPr>
            <w:tcW w:w="960" w:type="dxa"/>
            <w:tcBorders>
              <w:top w:val="single" w:sz="4" w:space="0" w:color="auto"/>
              <w:bottom w:val="single" w:sz="4" w:space="0" w:color="auto"/>
            </w:tcBorders>
            <w:shd w:val="clear" w:color="auto" w:fill="auto"/>
            <w:noWrap/>
            <w:hideMark/>
          </w:tcPr>
          <w:p w14:paraId="6463C35D" w14:textId="187FABEE"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-2.426</w:t>
            </w:r>
          </w:p>
        </w:tc>
        <w:tc>
          <w:tcPr>
            <w:tcW w:w="960" w:type="dxa"/>
            <w:tcBorders>
              <w:top w:val="single" w:sz="4" w:space="0" w:color="auto"/>
              <w:bottom w:val="single" w:sz="4" w:space="0" w:color="auto"/>
              <w:right w:val="single" w:sz="4" w:space="0" w:color="auto"/>
            </w:tcBorders>
            <w:shd w:val="clear" w:color="auto" w:fill="auto"/>
            <w:noWrap/>
            <w:hideMark/>
          </w:tcPr>
          <w:p w14:paraId="624AACC3" w14:textId="403744E1"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-2.085</w:t>
            </w:r>
          </w:p>
        </w:tc>
      </w:tr>
      <w:tr w:rsidR="002E554D" w:rsidRPr="002E554D" w14:paraId="479BDFDF" w14:textId="77777777" w:rsidTr="00EF43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CCC9" w14:textId="77777777"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94A1F94" w14:textId="1EB34C6E"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-1.912</w:t>
            </w:r>
          </w:p>
        </w:tc>
        <w:tc>
          <w:tcPr>
            <w:tcW w:w="960" w:type="dxa"/>
            <w:tcBorders>
              <w:top w:val="single" w:sz="4" w:space="0" w:color="auto"/>
              <w:left w:val="single" w:sz="4" w:space="0" w:color="auto"/>
              <w:bottom w:val="single" w:sz="4" w:space="0" w:color="auto"/>
            </w:tcBorders>
            <w:shd w:val="clear" w:color="auto" w:fill="auto"/>
            <w:noWrap/>
            <w:hideMark/>
          </w:tcPr>
          <w:p w14:paraId="7BAA1B19" w14:textId="7B1AF0BF"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-2.874</w:t>
            </w:r>
          </w:p>
        </w:tc>
        <w:tc>
          <w:tcPr>
            <w:tcW w:w="960" w:type="dxa"/>
            <w:tcBorders>
              <w:top w:val="single" w:sz="4" w:space="0" w:color="auto"/>
              <w:bottom w:val="single" w:sz="4" w:space="0" w:color="auto"/>
            </w:tcBorders>
            <w:shd w:val="clear" w:color="auto" w:fill="auto"/>
            <w:noWrap/>
            <w:hideMark/>
          </w:tcPr>
          <w:p w14:paraId="47DE7FF9" w14:textId="43AE1488"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-2.229</w:t>
            </w:r>
          </w:p>
        </w:tc>
        <w:tc>
          <w:tcPr>
            <w:tcW w:w="960" w:type="dxa"/>
            <w:tcBorders>
              <w:top w:val="single" w:sz="4" w:space="0" w:color="auto"/>
              <w:bottom w:val="single" w:sz="4" w:space="0" w:color="auto"/>
              <w:right w:val="single" w:sz="4" w:space="0" w:color="auto"/>
            </w:tcBorders>
            <w:shd w:val="clear" w:color="auto" w:fill="auto"/>
            <w:noWrap/>
            <w:hideMark/>
          </w:tcPr>
          <w:p w14:paraId="3DE050E5" w14:textId="794E0634"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-1.867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18C2812" w14:textId="59F54762" w:rsidR="00A7519B" w:rsidRPr="002E554D" w:rsidRDefault="00A7519B" w:rsidP="00A7519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-2.116</w:t>
            </w:r>
          </w:p>
        </w:tc>
        <w:tc>
          <w:tcPr>
            <w:tcW w:w="960" w:type="dxa"/>
            <w:tcBorders>
              <w:top w:val="single" w:sz="4" w:space="0" w:color="auto"/>
              <w:left w:val="single" w:sz="4" w:space="0" w:color="auto"/>
              <w:bottom w:val="single" w:sz="4" w:space="0" w:color="auto"/>
            </w:tcBorders>
            <w:shd w:val="clear" w:color="auto" w:fill="auto"/>
            <w:noWrap/>
            <w:hideMark/>
          </w:tcPr>
          <w:p w14:paraId="58EA344C" w14:textId="3D2625AF"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-2.888</w:t>
            </w:r>
          </w:p>
        </w:tc>
        <w:tc>
          <w:tcPr>
            <w:tcW w:w="960" w:type="dxa"/>
            <w:tcBorders>
              <w:top w:val="single" w:sz="4" w:space="0" w:color="auto"/>
              <w:bottom w:val="single" w:sz="4" w:space="0" w:color="auto"/>
            </w:tcBorders>
            <w:shd w:val="clear" w:color="auto" w:fill="auto"/>
            <w:noWrap/>
            <w:hideMark/>
          </w:tcPr>
          <w:p w14:paraId="2BE527D2" w14:textId="0D955A79"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-2.246</w:t>
            </w:r>
          </w:p>
        </w:tc>
        <w:tc>
          <w:tcPr>
            <w:tcW w:w="960" w:type="dxa"/>
            <w:tcBorders>
              <w:top w:val="single" w:sz="4" w:space="0" w:color="auto"/>
              <w:bottom w:val="single" w:sz="4" w:space="0" w:color="auto"/>
              <w:right w:val="single" w:sz="4" w:space="0" w:color="auto"/>
            </w:tcBorders>
            <w:shd w:val="clear" w:color="auto" w:fill="auto"/>
            <w:noWrap/>
            <w:hideMark/>
          </w:tcPr>
          <w:p w14:paraId="11355F76" w14:textId="2019D72A" w:rsidR="00A7519B" w:rsidRPr="002E554D" w:rsidRDefault="00A7519B" w:rsidP="00A7519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-1.884</w:t>
            </w:r>
          </w:p>
        </w:tc>
      </w:tr>
      <w:tr w:rsidR="002E554D" w:rsidRPr="002E554D" w14:paraId="0303899C" w14:textId="77777777" w:rsidTr="00855A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5C15"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 </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164F4"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proofErr w:type="spellStart"/>
            <w:r w:rsidRPr="002E554D">
              <w:rPr>
                <w:rFonts w:ascii="Garamond" w:eastAsia="Times New Roman" w:hAnsi="Garamond" w:cs="Calibri"/>
                <w:b/>
                <w:bCs/>
                <w:color w:val="FF0000"/>
                <w:sz w:val="20"/>
                <w:szCs w:val="20"/>
                <w:lang w:val="en-GB" w:eastAsia="en-GB"/>
              </w:rPr>
              <w:t>EuroStoxx</w:t>
            </w:r>
            <w:proofErr w:type="spellEnd"/>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A9784"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EuroStoxx50</w:t>
            </w:r>
          </w:p>
        </w:tc>
      </w:tr>
      <w:tr w:rsidR="002E554D" w:rsidRPr="002E554D" w14:paraId="2A6A1230" w14:textId="77777777" w:rsidTr="00F03152">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D34E" w14:textId="77777777"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2312292" w14:textId="71E679E3"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2.968</w:t>
            </w:r>
          </w:p>
        </w:tc>
        <w:tc>
          <w:tcPr>
            <w:tcW w:w="960" w:type="dxa"/>
            <w:tcBorders>
              <w:top w:val="single" w:sz="4" w:space="0" w:color="auto"/>
              <w:left w:val="single" w:sz="4" w:space="0" w:color="auto"/>
              <w:bottom w:val="single" w:sz="4" w:space="0" w:color="auto"/>
            </w:tcBorders>
            <w:shd w:val="clear" w:color="auto" w:fill="auto"/>
            <w:noWrap/>
            <w:hideMark/>
          </w:tcPr>
          <w:p w14:paraId="3207ED3E" w14:textId="4DBBD94E"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-3.072</w:t>
            </w:r>
          </w:p>
        </w:tc>
        <w:tc>
          <w:tcPr>
            <w:tcW w:w="960" w:type="dxa"/>
            <w:tcBorders>
              <w:top w:val="single" w:sz="4" w:space="0" w:color="auto"/>
              <w:bottom w:val="single" w:sz="4" w:space="0" w:color="auto"/>
            </w:tcBorders>
            <w:shd w:val="clear" w:color="auto" w:fill="auto"/>
            <w:noWrap/>
            <w:hideMark/>
          </w:tcPr>
          <w:p w14:paraId="752531D3" w14:textId="368AEEC1"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-2.413</w:t>
            </w:r>
          </w:p>
        </w:tc>
        <w:tc>
          <w:tcPr>
            <w:tcW w:w="960" w:type="dxa"/>
            <w:tcBorders>
              <w:top w:val="single" w:sz="4" w:space="0" w:color="auto"/>
              <w:bottom w:val="single" w:sz="4" w:space="0" w:color="auto"/>
              <w:right w:val="single" w:sz="4" w:space="0" w:color="auto"/>
            </w:tcBorders>
            <w:shd w:val="clear" w:color="auto" w:fill="auto"/>
            <w:noWrap/>
            <w:hideMark/>
          </w:tcPr>
          <w:p w14:paraId="2EF55561" w14:textId="2033962C"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-2.071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4D9291B" w14:textId="500789F4"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2.793</w:t>
            </w:r>
          </w:p>
        </w:tc>
        <w:tc>
          <w:tcPr>
            <w:tcW w:w="960" w:type="dxa"/>
            <w:tcBorders>
              <w:top w:val="single" w:sz="4" w:space="0" w:color="auto"/>
              <w:left w:val="single" w:sz="4" w:space="0" w:color="auto"/>
              <w:bottom w:val="single" w:sz="4" w:space="0" w:color="auto"/>
            </w:tcBorders>
            <w:shd w:val="clear" w:color="auto" w:fill="auto"/>
            <w:noWrap/>
            <w:hideMark/>
          </w:tcPr>
          <w:p w14:paraId="6A0AB37E" w14:textId="71AFD2E4"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-3.094</w:t>
            </w:r>
          </w:p>
        </w:tc>
        <w:tc>
          <w:tcPr>
            <w:tcW w:w="960" w:type="dxa"/>
            <w:tcBorders>
              <w:top w:val="single" w:sz="4" w:space="0" w:color="auto"/>
              <w:bottom w:val="single" w:sz="4" w:space="0" w:color="auto"/>
            </w:tcBorders>
            <w:shd w:val="clear" w:color="auto" w:fill="auto"/>
            <w:noWrap/>
            <w:hideMark/>
          </w:tcPr>
          <w:p w14:paraId="3794DBF0" w14:textId="3ACDE3E6"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-2.445</w:t>
            </w:r>
          </w:p>
        </w:tc>
        <w:tc>
          <w:tcPr>
            <w:tcW w:w="960" w:type="dxa"/>
            <w:tcBorders>
              <w:top w:val="single" w:sz="4" w:space="0" w:color="auto"/>
              <w:bottom w:val="single" w:sz="4" w:space="0" w:color="auto"/>
              <w:right w:val="single" w:sz="4" w:space="0" w:color="auto"/>
            </w:tcBorders>
            <w:shd w:val="clear" w:color="auto" w:fill="auto"/>
            <w:noWrap/>
            <w:hideMark/>
          </w:tcPr>
          <w:p w14:paraId="64C666FE" w14:textId="0837E2DC"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-2.104</w:t>
            </w:r>
          </w:p>
        </w:tc>
      </w:tr>
      <w:tr w:rsidR="002E554D" w:rsidRPr="002E554D" w14:paraId="2EA293DF" w14:textId="77777777" w:rsidTr="00F03152">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89534" w14:textId="77777777"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590B697" w14:textId="19F9BD94"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2.241</w:t>
            </w:r>
          </w:p>
        </w:tc>
        <w:tc>
          <w:tcPr>
            <w:tcW w:w="960" w:type="dxa"/>
            <w:tcBorders>
              <w:top w:val="single" w:sz="4" w:space="0" w:color="auto"/>
              <w:left w:val="single" w:sz="4" w:space="0" w:color="auto"/>
              <w:bottom w:val="single" w:sz="4" w:space="0" w:color="auto"/>
            </w:tcBorders>
            <w:shd w:val="clear" w:color="auto" w:fill="auto"/>
            <w:noWrap/>
            <w:hideMark/>
          </w:tcPr>
          <w:p w14:paraId="4BB9C2BB" w14:textId="715B096D"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-3.126</w:t>
            </w:r>
          </w:p>
        </w:tc>
        <w:tc>
          <w:tcPr>
            <w:tcW w:w="960" w:type="dxa"/>
            <w:tcBorders>
              <w:top w:val="single" w:sz="4" w:space="0" w:color="auto"/>
              <w:bottom w:val="single" w:sz="4" w:space="0" w:color="auto"/>
            </w:tcBorders>
            <w:shd w:val="clear" w:color="auto" w:fill="auto"/>
            <w:noWrap/>
            <w:hideMark/>
          </w:tcPr>
          <w:p w14:paraId="30704DC9" w14:textId="3D7C319D"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-2.490</w:t>
            </w:r>
          </w:p>
        </w:tc>
        <w:tc>
          <w:tcPr>
            <w:tcW w:w="960" w:type="dxa"/>
            <w:tcBorders>
              <w:top w:val="single" w:sz="4" w:space="0" w:color="auto"/>
              <w:bottom w:val="single" w:sz="4" w:space="0" w:color="auto"/>
              <w:right w:val="single" w:sz="4" w:space="0" w:color="auto"/>
            </w:tcBorders>
            <w:shd w:val="clear" w:color="auto" w:fill="auto"/>
            <w:noWrap/>
            <w:hideMark/>
          </w:tcPr>
          <w:p w14:paraId="5F64E74B" w14:textId="6568841F"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D0A08D4" w14:textId="1722DC78"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1.988</w:t>
            </w:r>
          </w:p>
        </w:tc>
        <w:tc>
          <w:tcPr>
            <w:tcW w:w="960" w:type="dxa"/>
            <w:tcBorders>
              <w:top w:val="single" w:sz="4" w:space="0" w:color="auto"/>
              <w:left w:val="single" w:sz="4" w:space="0" w:color="auto"/>
              <w:bottom w:val="single" w:sz="4" w:space="0" w:color="auto"/>
            </w:tcBorders>
            <w:shd w:val="clear" w:color="auto" w:fill="auto"/>
            <w:noWrap/>
            <w:hideMark/>
          </w:tcPr>
          <w:p w14:paraId="45018C06" w14:textId="0FC5BE86"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-3.151</w:t>
            </w:r>
          </w:p>
        </w:tc>
        <w:tc>
          <w:tcPr>
            <w:tcW w:w="960" w:type="dxa"/>
            <w:tcBorders>
              <w:top w:val="single" w:sz="4" w:space="0" w:color="auto"/>
              <w:bottom w:val="single" w:sz="4" w:space="0" w:color="auto"/>
            </w:tcBorders>
            <w:shd w:val="clear" w:color="auto" w:fill="auto"/>
            <w:noWrap/>
            <w:hideMark/>
          </w:tcPr>
          <w:p w14:paraId="6765A84E" w14:textId="740E7364"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-2.527</w:t>
            </w:r>
          </w:p>
        </w:tc>
        <w:tc>
          <w:tcPr>
            <w:tcW w:w="960" w:type="dxa"/>
            <w:tcBorders>
              <w:top w:val="single" w:sz="4" w:space="0" w:color="auto"/>
              <w:bottom w:val="single" w:sz="4" w:space="0" w:color="auto"/>
              <w:right w:val="single" w:sz="4" w:space="0" w:color="auto"/>
            </w:tcBorders>
            <w:shd w:val="clear" w:color="auto" w:fill="auto"/>
            <w:noWrap/>
            <w:hideMark/>
          </w:tcPr>
          <w:p w14:paraId="41F6A847" w14:textId="32A28DC6"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-2.190</w:t>
            </w:r>
          </w:p>
        </w:tc>
      </w:tr>
      <w:tr w:rsidR="002E554D" w:rsidRPr="002E554D" w14:paraId="0070EF74" w14:textId="77777777" w:rsidTr="00F03152">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90F4" w14:textId="77777777"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638AA4C" w14:textId="4E73167D"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1.690</w:t>
            </w:r>
          </w:p>
        </w:tc>
        <w:tc>
          <w:tcPr>
            <w:tcW w:w="960" w:type="dxa"/>
            <w:tcBorders>
              <w:top w:val="single" w:sz="4" w:space="0" w:color="auto"/>
              <w:left w:val="single" w:sz="4" w:space="0" w:color="auto"/>
              <w:bottom w:val="single" w:sz="4" w:space="0" w:color="auto"/>
            </w:tcBorders>
            <w:shd w:val="clear" w:color="auto" w:fill="auto"/>
            <w:noWrap/>
            <w:hideMark/>
          </w:tcPr>
          <w:p w14:paraId="66E9EE4A" w14:textId="1D4826F2"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-3.127</w:t>
            </w:r>
          </w:p>
        </w:tc>
        <w:tc>
          <w:tcPr>
            <w:tcW w:w="960" w:type="dxa"/>
            <w:tcBorders>
              <w:top w:val="single" w:sz="4" w:space="0" w:color="auto"/>
              <w:bottom w:val="single" w:sz="4" w:space="0" w:color="auto"/>
            </w:tcBorders>
            <w:shd w:val="clear" w:color="auto" w:fill="auto"/>
            <w:noWrap/>
            <w:hideMark/>
          </w:tcPr>
          <w:p w14:paraId="37676E11" w14:textId="5CE457C2"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-2.491</w:t>
            </w:r>
          </w:p>
        </w:tc>
        <w:tc>
          <w:tcPr>
            <w:tcW w:w="960" w:type="dxa"/>
            <w:tcBorders>
              <w:top w:val="single" w:sz="4" w:space="0" w:color="auto"/>
              <w:bottom w:val="single" w:sz="4" w:space="0" w:color="auto"/>
              <w:right w:val="single" w:sz="4" w:space="0" w:color="auto"/>
            </w:tcBorders>
            <w:shd w:val="clear" w:color="auto" w:fill="auto"/>
            <w:noWrap/>
            <w:hideMark/>
          </w:tcPr>
          <w:p w14:paraId="15F64C35" w14:textId="1EBC81A7"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4D6526A" w14:textId="4119F178"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1.376</w:t>
            </w:r>
          </w:p>
        </w:tc>
        <w:tc>
          <w:tcPr>
            <w:tcW w:w="960" w:type="dxa"/>
            <w:tcBorders>
              <w:top w:val="single" w:sz="4" w:space="0" w:color="auto"/>
              <w:left w:val="single" w:sz="4" w:space="0" w:color="auto"/>
              <w:bottom w:val="single" w:sz="4" w:space="0" w:color="auto"/>
            </w:tcBorders>
            <w:shd w:val="clear" w:color="auto" w:fill="auto"/>
            <w:noWrap/>
            <w:hideMark/>
          </w:tcPr>
          <w:p w14:paraId="4D247916" w14:textId="1D735FE7"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-3.124</w:t>
            </w:r>
          </w:p>
        </w:tc>
        <w:tc>
          <w:tcPr>
            <w:tcW w:w="960" w:type="dxa"/>
            <w:tcBorders>
              <w:top w:val="single" w:sz="4" w:space="0" w:color="auto"/>
              <w:bottom w:val="single" w:sz="4" w:space="0" w:color="auto"/>
            </w:tcBorders>
            <w:shd w:val="clear" w:color="auto" w:fill="auto"/>
            <w:noWrap/>
            <w:hideMark/>
          </w:tcPr>
          <w:p w14:paraId="0B460CE6" w14:textId="30A605DF"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-2.488</w:t>
            </w:r>
          </w:p>
        </w:tc>
        <w:tc>
          <w:tcPr>
            <w:tcW w:w="960" w:type="dxa"/>
            <w:tcBorders>
              <w:top w:val="single" w:sz="4" w:space="0" w:color="auto"/>
              <w:bottom w:val="single" w:sz="4" w:space="0" w:color="auto"/>
              <w:right w:val="single" w:sz="4" w:space="0" w:color="auto"/>
            </w:tcBorders>
            <w:shd w:val="clear" w:color="auto" w:fill="auto"/>
            <w:noWrap/>
            <w:hideMark/>
          </w:tcPr>
          <w:p w14:paraId="1969871C" w14:textId="55FCF670"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-2.148</w:t>
            </w:r>
          </w:p>
        </w:tc>
      </w:tr>
      <w:tr w:rsidR="002E554D" w:rsidRPr="002E554D" w14:paraId="54F01F6C" w14:textId="77777777" w:rsidTr="00F03152">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E40D" w14:textId="77777777"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59F6EF5" w14:textId="1F3965C0"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0.501</w:t>
            </w:r>
          </w:p>
        </w:tc>
        <w:tc>
          <w:tcPr>
            <w:tcW w:w="960" w:type="dxa"/>
            <w:tcBorders>
              <w:top w:val="single" w:sz="4" w:space="0" w:color="auto"/>
              <w:left w:val="single" w:sz="4" w:space="0" w:color="auto"/>
              <w:bottom w:val="single" w:sz="4" w:space="0" w:color="auto"/>
            </w:tcBorders>
            <w:shd w:val="clear" w:color="auto" w:fill="auto"/>
            <w:noWrap/>
            <w:hideMark/>
          </w:tcPr>
          <w:p w14:paraId="0070A71B" w14:textId="63F6941D"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-3.126</w:t>
            </w:r>
          </w:p>
        </w:tc>
        <w:tc>
          <w:tcPr>
            <w:tcW w:w="960" w:type="dxa"/>
            <w:tcBorders>
              <w:top w:val="single" w:sz="4" w:space="0" w:color="auto"/>
              <w:bottom w:val="single" w:sz="4" w:space="0" w:color="auto"/>
            </w:tcBorders>
            <w:shd w:val="clear" w:color="auto" w:fill="auto"/>
            <w:noWrap/>
            <w:hideMark/>
          </w:tcPr>
          <w:p w14:paraId="7CC75680" w14:textId="7519EAB6"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-2.491</w:t>
            </w:r>
          </w:p>
        </w:tc>
        <w:tc>
          <w:tcPr>
            <w:tcW w:w="960" w:type="dxa"/>
            <w:tcBorders>
              <w:top w:val="single" w:sz="4" w:space="0" w:color="auto"/>
              <w:bottom w:val="single" w:sz="4" w:space="0" w:color="auto"/>
              <w:right w:val="single" w:sz="4" w:space="0" w:color="auto"/>
            </w:tcBorders>
            <w:shd w:val="clear" w:color="auto" w:fill="auto"/>
            <w:noWrap/>
            <w:hideMark/>
          </w:tcPr>
          <w:p w14:paraId="064E6657" w14:textId="1BA98A01"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8B8BD99" w14:textId="2C767255"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0.533</w:t>
            </w:r>
          </w:p>
        </w:tc>
        <w:tc>
          <w:tcPr>
            <w:tcW w:w="960" w:type="dxa"/>
            <w:tcBorders>
              <w:top w:val="single" w:sz="4" w:space="0" w:color="auto"/>
              <w:left w:val="single" w:sz="4" w:space="0" w:color="auto"/>
              <w:bottom w:val="single" w:sz="4" w:space="0" w:color="auto"/>
            </w:tcBorders>
            <w:shd w:val="clear" w:color="auto" w:fill="auto"/>
            <w:noWrap/>
            <w:hideMark/>
          </w:tcPr>
          <w:p w14:paraId="324E4D95" w14:textId="294E9F9A"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-3.123</w:t>
            </w:r>
          </w:p>
        </w:tc>
        <w:tc>
          <w:tcPr>
            <w:tcW w:w="960" w:type="dxa"/>
            <w:tcBorders>
              <w:top w:val="single" w:sz="4" w:space="0" w:color="auto"/>
              <w:bottom w:val="single" w:sz="4" w:space="0" w:color="auto"/>
            </w:tcBorders>
            <w:shd w:val="clear" w:color="auto" w:fill="auto"/>
            <w:noWrap/>
            <w:hideMark/>
          </w:tcPr>
          <w:p w14:paraId="01030D0C" w14:textId="66F9E6E6"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-2.486</w:t>
            </w:r>
          </w:p>
        </w:tc>
        <w:tc>
          <w:tcPr>
            <w:tcW w:w="960" w:type="dxa"/>
            <w:tcBorders>
              <w:top w:val="single" w:sz="4" w:space="0" w:color="auto"/>
              <w:bottom w:val="single" w:sz="4" w:space="0" w:color="auto"/>
              <w:right w:val="single" w:sz="4" w:space="0" w:color="auto"/>
            </w:tcBorders>
            <w:shd w:val="clear" w:color="auto" w:fill="auto"/>
            <w:noWrap/>
            <w:hideMark/>
          </w:tcPr>
          <w:p w14:paraId="6D183683" w14:textId="752AADCA"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-2.147</w:t>
            </w:r>
          </w:p>
        </w:tc>
      </w:tr>
      <w:tr w:rsidR="002E554D" w:rsidRPr="002E554D" w14:paraId="5D7E46F2" w14:textId="77777777" w:rsidTr="00F03152">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263E7" w14:textId="77777777"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FEF5D72" w14:textId="332C54D3"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-0.739</w:t>
            </w:r>
          </w:p>
        </w:tc>
        <w:tc>
          <w:tcPr>
            <w:tcW w:w="960" w:type="dxa"/>
            <w:tcBorders>
              <w:top w:val="single" w:sz="4" w:space="0" w:color="auto"/>
              <w:left w:val="single" w:sz="4" w:space="0" w:color="auto"/>
              <w:bottom w:val="single" w:sz="4" w:space="0" w:color="auto"/>
            </w:tcBorders>
            <w:shd w:val="clear" w:color="auto" w:fill="auto"/>
            <w:noWrap/>
            <w:hideMark/>
          </w:tcPr>
          <w:p w14:paraId="7CE0D805" w14:textId="28A1372C"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-3.121</w:t>
            </w:r>
          </w:p>
        </w:tc>
        <w:tc>
          <w:tcPr>
            <w:tcW w:w="960" w:type="dxa"/>
            <w:tcBorders>
              <w:top w:val="single" w:sz="4" w:space="0" w:color="auto"/>
              <w:bottom w:val="single" w:sz="4" w:space="0" w:color="auto"/>
            </w:tcBorders>
            <w:shd w:val="clear" w:color="auto" w:fill="auto"/>
            <w:noWrap/>
            <w:hideMark/>
          </w:tcPr>
          <w:p w14:paraId="58CC3073" w14:textId="4418A70A"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-2.483</w:t>
            </w:r>
          </w:p>
        </w:tc>
        <w:tc>
          <w:tcPr>
            <w:tcW w:w="960" w:type="dxa"/>
            <w:tcBorders>
              <w:top w:val="single" w:sz="4" w:space="0" w:color="auto"/>
              <w:bottom w:val="single" w:sz="4" w:space="0" w:color="auto"/>
              <w:right w:val="single" w:sz="4" w:space="0" w:color="auto"/>
            </w:tcBorders>
            <w:shd w:val="clear" w:color="auto" w:fill="auto"/>
            <w:noWrap/>
            <w:hideMark/>
          </w:tcPr>
          <w:p w14:paraId="2C6B96B4" w14:textId="52CCF7AA"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6813296" w14:textId="798DAFA6"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-1.148</w:t>
            </w:r>
          </w:p>
        </w:tc>
        <w:tc>
          <w:tcPr>
            <w:tcW w:w="960" w:type="dxa"/>
            <w:tcBorders>
              <w:top w:val="single" w:sz="4" w:space="0" w:color="auto"/>
              <w:left w:val="single" w:sz="4" w:space="0" w:color="auto"/>
              <w:bottom w:val="single" w:sz="4" w:space="0" w:color="auto"/>
            </w:tcBorders>
            <w:shd w:val="clear" w:color="auto" w:fill="auto"/>
            <w:noWrap/>
            <w:hideMark/>
          </w:tcPr>
          <w:p w14:paraId="157E6B01" w14:textId="32B3BE04"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-3.114</w:t>
            </w:r>
          </w:p>
        </w:tc>
        <w:tc>
          <w:tcPr>
            <w:tcW w:w="960" w:type="dxa"/>
            <w:tcBorders>
              <w:top w:val="single" w:sz="4" w:space="0" w:color="auto"/>
              <w:bottom w:val="single" w:sz="4" w:space="0" w:color="auto"/>
            </w:tcBorders>
            <w:shd w:val="clear" w:color="auto" w:fill="auto"/>
            <w:noWrap/>
            <w:hideMark/>
          </w:tcPr>
          <w:p w14:paraId="2DDBB5EB" w14:textId="312E3288"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-2.473</w:t>
            </w:r>
          </w:p>
        </w:tc>
        <w:tc>
          <w:tcPr>
            <w:tcW w:w="960" w:type="dxa"/>
            <w:tcBorders>
              <w:top w:val="single" w:sz="4" w:space="0" w:color="auto"/>
              <w:bottom w:val="single" w:sz="4" w:space="0" w:color="auto"/>
              <w:right w:val="single" w:sz="4" w:space="0" w:color="auto"/>
            </w:tcBorders>
            <w:shd w:val="clear" w:color="auto" w:fill="auto"/>
            <w:noWrap/>
            <w:hideMark/>
          </w:tcPr>
          <w:p w14:paraId="60DEC6D2" w14:textId="6BD4CB26"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-2.133</w:t>
            </w:r>
          </w:p>
        </w:tc>
      </w:tr>
      <w:tr w:rsidR="002E554D" w:rsidRPr="002E554D" w14:paraId="2623A5EF" w14:textId="77777777" w:rsidTr="00F03152">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497E4" w14:textId="77777777"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3F3E7D6" w14:textId="48710C49" w:rsidR="00C64677" w:rsidRPr="002E554D" w:rsidRDefault="00C64677" w:rsidP="00C6467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-2.483</w:t>
            </w:r>
          </w:p>
        </w:tc>
        <w:tc>
          <w:tcPr>
            <w:tcW w:w="960" w:type="dxa"/>
            <w:tcBorders>
              <w:top w:val="single" w:sz="4" w:space="0" w:color="auto"/>
              <w:left w:val="single" w:sz="4" w:space="0" w:color="auto"/>
              <w:bottom w:val="single" w:sz="4" w:space="0" w:color="auto"/>
            </w:tcBorders>
            <w:shd w:val="clear" w:color="auto" w:fill="auto"/>
            <w:noWrap/>
            <w:hideMark/>
          </w:tcPr>
          <w:p w14:paraId="5F11C6B2" w14:textId="443CD5E6"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-3.099</w:t>
            </w:r>
          </w:p>
        </w:tc>
        <w:tc>
          <w:tcPr>
            <w:tcW w:w="960" w:type="dxa"/>
            <w:tcBorders>
              <w:top w:val="single" w:sz="4" w:space="0" w:color="auto"/>
              <w:bottom w:val="single" w:sz="4" w:space="0" w:color="auto"/>
            </w:tcBorders>
            <w:shd w:val="clear" w:color="auto" w:fill="auto"/>
            <w:noWrap/>
            <w:hideMark/>
          </w:tcPr>
          <w:p w14:paraId="48007F38" w14:textId="672BD752"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-2.451</w:t>
            </w:r>
          </w:p>
        </w:tc>
        <w:tc>
          <w:tcPr>
            <w:tcW w:w="960" w:type="dxa"/>
            <w:tcBorders>
              <w:top w:val="single" w:sz="4" w:space="0" w:color="auto"/>
              <w:bottom w:val="single" w:sz="4" w:space="0" w:color="auto"/>
              <w:right w:val="single" w:sz="4" w:space="0" w:color="auto"/>
            </w:tcBorders>
            <w:shd w:val="clear" w:color="auto" w:fill="auto"/>
            <w:noWrap/>
            <w:hideMark/>
          </w:tcPr>
          <w:p w14:paraId="561D580A" w14:textId="7AC7084E"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EC76986" w14:textId="703ECB28" w:rsidR="00C64677" w:rsidRPr="002E554D" w:rsidRDefault="00C64677" w:rsidP="00C6467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-2.357</w:t>
            </w:r>
          </w:p>
        </w:tc>
        <w:tc>
          <w:tcPr>
            <w:tcW w:w="960" w:type="dxa"/>
            <w:tcBorders>
              <w:top w:val="single" w:sz="4" w:space="0" w:color="auto"/>
              <w:left w:val="single" w:sz="4" w:space="0" w:color="auto"/>
              <w:bottom w:val="single" w:sz="4" w:space="0" w:color="auto"/>
            </w:tcBorders>
            <w:shd w:val="clear" w:color="auto" w:fill="auto"/>
            <w:noWrap/>
            <w:hideMark/>
          </w:tcPr>
          <w:p w14:paraId="0328171F" w14:textId="351AC52E"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-3.099</w:t>
            </w:r>
          </w:p>
        </w:tc>
        <w:tc>
          <w:tcPr>
            <w:tcW w:w="960" w:type="dxa"/>
            <w:tcBorders>
              <w:top w:val="single" w:sz="4" w:space="0" w:color="auto"/>
              <w:bottom w:val="single" w:sz="4" w:space="0" w:color="auto"/>
            </w:tcBorders>
            <w:shd w:val="clear" w:color="auto" w:fill="auto"/>
            <w:noWrap/>
            <w:hideMark/>
          </w:tcPr>
          <w:p w14:paraId="340BA0C8" w14:textId="4E795718"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-2.451</w:t>
            </w:r>
          </w:p>
        </w:tc>
        <w:tc>
          <w:tcPr>
            <w:tcW w:w="960" w:type="dxa"/>
            <w:tcBorders>
              <w:top w:val="single" w:sz="4" w:space="0" w:color="auto"/>
              <w:bottom w:val="single" w:sz="4" w:space="0" w:color="auto"/>
              <w:right w:val="single" w:sz="4" w:space="0" w:color="auto"/>
            </w:tcBorders>
            <w:shd w:val="clear" w:color="auto" w:fill="auto"/>
            <w:noWrap/>
            <w:hideMark/>
          </w:tcPr>
          <w:p w14:paraId="3D23EC0E" w14:textId="7E1D4662"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-2.110</w:t>
            </w:r>
          </w:p>
        </w:tc>
      </w:tr>
      <w:tr w:rsidR="002E554D" w:rsidRPr="002E554D" w14:paraId="74AEAEA1" w14:textId="77777777" w:rsidTr="00F03152">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9B4A" w14:textId="77777777"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2CF3B14" w14:textId="6DCB27D7" w:rsidR="00C64677" w:rsidRPr="002E554D" w:rsidRDefault="00C64677" w:rsidP="00C6467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-3.690</w:t>
            </w:r>
          </w:p>
        </w:tc>
        <w:tc>
          <w:tcPr>
            <w:tcW w:w="960" w:type="dxa"/>
            <w:tcBorders>
              <w:top w:val="single" w:sz="4" w:space="0" w:color="auto"/>
              <w:left w:val="single" w:sz="4" w:space="0" w:color="auto"/>
              <w:bottom w:val="single" w:sz="4" w:space="0" w:color="auto"/>
            </w:tcBorders>
            <w:shd w:val="clear" w:color="auto" w:fill="auto"/>
            <w:noWrap/>
            <w:hideMark/>
          </w:tcPr>
          <w:p w14:paraId="331A35E6" w14:textId="7945497A"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-3.071</w:t>
            </w:r>
          </w:p>
        </w:tc>
        <w:tc>
          <w:tcPr>
            <w:tcW w:w="960" w:type="dxa"/>
            <w:tcBorders>
              <w:top w:val="single" w:sz="4" w:space="0" w:color="auto"/>
              <w:bottom w:val="single" w:sz="4" w:space="0" w:color="auto"/>
            </w:tcBorders>
            <w:shd w:val="clear" w:color="auto" w:fill="auto"/>
            <w:noWrap/>
            <w:hideMark/>
          </w:tcPr>
          <w:p w14:paraId="0F9284E9" w14:textId="6D4E9875"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-2.411</w:t>
            </w:r>
          </w:p>
        </w:tc>
        <w:tc>
          <w:tcPr>
            <w:tcW w:w="960" w:type="dxa"/>
            <w:tcBorders>
              <w:top w:val="single" w:sz="4" w:space="0" w:color="auto"/>
              <w:bottom w:val="single" w:sz="4" w:space="0" w:color="auto"/>
              <w:right w:val="single" w:sz="4" w:space="0" w:color="auto"/>
            </w:tcBorders>
            <w:shd w:val="clear" w:color="auto" w:fill="auto"/>
            <w:noWrap/>
            <w:hideMark/>
          </w:tcPr>
          <w:p w14:paraId="030195A5" w14:textId="3EDB2BD0"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-2.069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ED69ADA" w14:textId="6AF56421" w:rsidR="00C64677" w:rsidRPr="002E554D" w:rsidRDefault="00C64677" w:rsidP="00C6467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-3.529</w:t>
            </w:r>
          </w:p>
        </w:tc>
        <w:tc>
          <w:tcPr>
            <w:tcW w:w="960" w:type="dxa"/>
            <w:tcBorders>
              <w:top w:val="single" w:sz="4" w:space="0" w:color="auto"/>
              <w:left w:val="single" w:sz="4" w:space="0" w:color="auto"/>
              <w:bottom w:val="single" w:sz="4" w:space="0" w:color="auto"/>
            </w:tcBorders>
            <w:shd w:val="clear" w:color="auto" w:fill="auto"/>
            <w:noWrap/>
            <w:hideMark/>
          </w:tcPr>
          <w:p w14:paraId="39FF9B14" w14:textId="5C523421"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-3.078</w:t>
            </w:r>
          </w:p>
        </w:tc>
        <w:tc>
          <w:tcPr>
            <w:tcW w:w="960" w:type="dxa"/>
            <w:tcBorders>
              <w:top w:val="single" w:sz="4" w:space="0" w:color="auto"/>
              <w:bottom w:val="single" w:sz="4" w:space="0" w:color="auto"/>
            </w:tcBorders>
            <w:shd w:val="clear" w:color="auto" w:fill="auto"/>
            <w:noWrap/>
            <w:hideMark/>
          </w:tcPr>
          <w:p w14:paraId="1DED1ED1" w14:textId="104C2BD1"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-2.421</w:t>
            </w:r>
          </w:p>
        </w:tc>
        <w:tc>
          <w:tcPr>
            <w:tcW w:w="960" w:type="dxa"/>
            <w:tcBorders>
              <w:top w:val="single" w:sz="4" w:space="0" w:color="auto"/>
              <w:bottom w:val="single" w:sz="4" w:space="0" w:color="auto"/>
              <w:right w:val="single" w:sz="4" w:space="0" w:color="auto"/>
            </w:tcBorders>
            <w:shd w:val="clear" w:color="auto" w:fill="auto"/>
            <w:noWrap/>
            <w:hideMark/>
          </w:tcPr>
          <w:p w14:paraId="2CC3F585" w14:textId="2064A995"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-2.079</w:t>
            </w:r>
          </w:p>
        </w:tc>
      </w:tr>
      <w:tr w:rsidR="002E554D" w:rsidRPr="002E554D" w14:paraId="3F135CFE" w14:textId="77777777" w:rsidTr="00F03152">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E42FB" w14:textId="77777777"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D0C97FC" w14:textId="3D7B79D2" w:rsidR="00C64677" w:rsidRPr="002E554D" w:rsidRDefault="00C64677" w:rsidP="00C6467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-5.027</w:t>
            </w:r>
          </w:p>
        </w:tc>
        <w:tc>
          <w:tcPr>
            <w:tcW w:w="960" w:type="dxa"/>
            <w:tcBorders>
              <w:top w:val="single" w:sz="4" w:space="0" w:color="auto"/>
              <w:left w:val="single" w:sz="4" w:space="0" w:color="auto"/>
              <w:bottom w:val="single" w:sz="4" w:space="0" w:color="auto"/>
            </w:tcBorders>
            <w:shd w:val="clear" w:color="auto" w:fill="auto"/>
            <w:noWrap/>
            <w:hideMark/>
          </w:tcPr>
          <w:p w14:paraId="472F81AD" w14:textId="40BEAFC5"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-3.039</w:t>
            </w:r>
          </w:p>
        </w:tc>
        <w:tc>
          <w:tcPr>
            <w:tcW w:w="960" w:type="dxa"/>
            <w:tcBorders>
              <w:top w:val="single" w:sz="4" w:space="0" w:color="auto"/>
              <w:bottom w:val="single" w:sz="4" w:space="0" w:color="auto"/>
            </w:tcBorders>
            <w:shd w:val="clear" w:color="auto" w:fill="auto"/>
            <w:noWrap/>
            <w:hideMark/>
          </w:tcPr>
          <w:p w14:paraId="048EAF9B" w14:textId="6E943355"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-2.380</w:t>
            </w:r>
          </w:p>
        </w:tc>
        <w:tc>
          <w:tcPr>
            <w:tcW w:w="960" w:type="dxa"/>
            <w:tcBorders>
              <w:top w:val="single" w:sz="4" w:space="0" w:color="auto"/>
              <w:bottom w:val="single" w:sz="4" w:space="0" w:color="auto"/>
              <w:right w:val="single" w:sz="4" w:space="0" w:color="auto"/>
            </w:tcBorders>
            <w:shd w:val="clear" w:color="auto" w:fill="auto"/>
            <w:noWrap/>
            <w:hideMark/>
          </w:tcPr>
          <w:p w14:paraId="70F3740B" w14:textId="0F3E2296"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-2.035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6B7C6AD" w14:textId="032ACBA9" w:rsidR="00C64677" w:rsidRPr="002E554D" w:rsidRDefault="00C64677" w:rsidP="00C6467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-4.882</w:t>
            </w:r>
          </w:p>
        </w:tc>
        <w:tc>
          <w:tcPr>
            <w:tcW w:w="960" w:type="dxa"/>
            <w:tcBorders>
              <w:top w:val="single" w:sz="4" w:space="0" w:color="auto"/>
              <w:left w:val="single" w:sz="4" w:space="0" w:color="auto"/>
              <w:bottom w:val="single" w:sz="4" w:space="0" w:color="auto"/>
            </w:tcBorders>
            <w:shd w:val="clear" w:color="auto" w:fill="auto"/>
            <w:noWrap/>
            <w:hideMark/>
          </w:tcPr>
          <w:p w14:paraId="134DBE48" w14:textId="29040F0A"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-3.034</w:t>
            </w:r>
          </w:p>
        </w:tc>
        <w:tc>
          <w:tcPr>
            <w:tcW w:w="960" w:type="dxa"/>
            <w:tcBorders>
              <w:top w:val="single" w:sz="4" w:space="0" w:color="auto"/>
              <w:bottom w:val="single" w:sz="4" w:space="0" w:color="auto"/>
            </w:tcBorders>
            <w:shd w:val="clear" w:color="auto" w:fill="auto"/>
            <w:noWrap/>
            <w:hideMark/>
          </w:tcPr>
          <w:p w14:paraId="2889850F" w14:textId="6FCC094E"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-2.376</w:t>
            </w:r>
          </w:p>
        </w:tc>
        <w:tc>
          <w:tcPr>
            <w:tcW w:w="960" w:type="dxa"/>
            <w:tcBorders>
              <w:top w:val="single" w:sz="4" w:space="0" w:color="auto"/>
              <w:bottom w:val="single" w:sz="4" w:space="0" w:color="auto"/>
              <w:right w:val="single" w:sz="4" w:space="0" w:color="auto"/>
            </w:tcBorders>
            <w:shd w:val="clear" w:color="auto" w:fill="auto"/>
            <w:noWrap/>
            <w:hideMark/>
          </w:tcPr>
          <w:p w14:paraId="3EC24D11" w14:textId="3D7C079B"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-2.030</w:t>
            </w:r>
          </w:p>
        </w:tc>
      </w:tr>
      <w:tr w:rsidR="002E554D" w:rsidRPr="002E554D" w14:paraId="411CBCAB" w14:textId="77777777" w:rsidTr="00F03152">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519D" w14:textId="77777777"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FBEEFF7" w14:textId="63C3AFB0" w:rsidR="00C64677" w:rsidRPr="002E554D" w:rsidRDefault="00C64677" w:rsidP="00C6467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-5.207</w:t>
            </w:r>
          </w:p>
        </w:tc>
        <w:tc>
          <w:tcPr>
            <w:tcW w:w="960" w:type="dxa"/>
            <w:tcBorders>
              <w:top w:val="single" w:sz="4" w:space="0" w:color="auto"/>
              <w:left w:val="single" w:sz="4" w:space="0" w:color="auto"/>
              <w:bottom w:val="single" w:sz="4" w:space="0" w:color="auto"/>
            </w:tcBorders>
            <w:shd w:val="clear" w:color="auto" w:fill="auto"/>
            <w:noWrap/>
            <w:hideMark/>
          </w:tcPr>
          <w:p w14:paraId="5B08C134" w14:textId="2B050574"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-2.923</w:t>
            </w:r>
          </w:p>
        </w:tc>
        <w:tc>
          <w:tcPr>
            <w:tcW w:w="960" w:type="dxa"/>
            <w:tcBorders>
              <w:top w:val="single" w:sz="4" w:space="0" w:color="auto"/>
              <w:bottom w:val="single" w:sz="4" w:space="0" w:color="auto"/>
            </w:tcBorders>
            <w:shd w:val="clear" w:color="auto" w:fill="auto"/>
            <w:noWrap/>
            <w:hideMark/>
          </w:tcPr>
          <w:p w14:paraId="79E8C613" w14:textId="2860ED0E"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-2.286</w:t>
            </w:r>
          </w:p>
        </w:tc>
        <w:tc>
          <w:tcPr>
            <w:tcW w:w="960" w:type="dxa"/>
            <w:tcBorders>
              <w:top w:val="single" w:sz="4" w:space="0" w:color="auto"/>
              <w:bottom w:val="single" w:sz="4" w:space="0" w:color="auto"/>
              <w:right w:val="single" w:sz="4" w:space="0" w:color="auto"/>
            </w:tcBorders>
            <w:shd w:val="clear" w:color="auto" w:fill="auto"/>
            <w:noWrap/>
            <w:hideMark/>
          </w:tcPr>
          <w:p w14:paraId="7203AD1A" w14:textId="3C8F20ED"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-1.926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214B55C" w14:textId="614B021B" w:rsidR="00C64677" w:rsidRPr="002E554D" w:rsidRDefault="00C64677" w:rsidP="00C6467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-5.089</w:t>
            </w:r>
          </w:p>
        </w:tc>
        <w:tc>
          <w:tcPr>
            <w:tcW w:w="960" w:type="dxa"/>
            <w:tcBorders>
              <w:top w:val="single" w:sz="4" w:space="0" w:color="auto"/>
              <w:left w:val="single" w:sz="4" w:space="0" w:color="auto"/>
              <w:bottom w:val="single" w:sz="4" w:space="0" w:color="auto"/>
            </w:tcBorders>
            <w:shd w:val="clear" w:color="auto" w:fill="auto"/>
            <w:noWrap/>
            <w:hideMark/>
          </w:tcPr>
          <w:p w14:paraId="3F7E4817" w14:textId="35D62745"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-2.918</w:t>
            </w:r>
          </w:p>
        </w:tc>
        <w:tc>
          <w:tcPr>
            <w:tcW w:w="960" w:type="dxa"/>
            <w:tcBorders>
              <w:top w:val="single" w:sz="4" w:space="0" w:color="auto"/>
              <w:bottom w:val="single" w:sz="4" w:space="0" w:color="auto"/>
            </w:tcBorders>
            <w:shd w:val="clear" w:color="auto" w:fill="auto"/>
            <w:noWrap/>
            <w:hideMark/>
          </w:tcPr>
          <w:p w14:paraId="6AA060A3" w14:textId="5A613F56"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-2.282</w:t>
            </w:r>
          </w:p>
        </w:tc>
        <w:tc>
          <w:tcPr>
            <w:tcW w:w="960" w:type="dxa"/>
            <w:tcBorders>
              <w:top w:val="single" w:sz="4" w:space="0" w:color="auto"/>
              <w:bottom w:val="single" w:sz="4" w:space="0" w:color="auto"/>
              <w:right w:val="single" w:sz="4" w:space="0" w:color="auto"/>
            </w:tcBorders>
            <w:shd w:val="clear" w:color="auto" w:fill="auto"/>
            <w:noWrap/>
            <w:hideMark/>
          </w:tcPr>
          <w:p w14:paraId="25A83598" w14:textId="07CB1D83" w:rsidR="00C64677" w:rsidRPr="002E554D" w:rsidRDefault="00C64677" w:rsidP="00C6467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-1.921</w:t>
            </w:r>
          </w:p>
        </w:tc>
      </w:tr>
      <w:tr w:rsidR="002E554D" w:rsidRPr="002E554D" w14:paraId="2DB918D1" w14:textId="77777777" w:rsidTr="00855A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ECBA9" w14:textId="77777777" w:rsidR="00771184" w:rsidRPr="002E554D" w:rsidRDefault="00771184" w:rsidP="00771184">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 </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7B636"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CAC40</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608B6"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FTSE100</w:t>
            </w:r>
          </w:p>
        </w:tc>
      </w:tr>
      <w:tr w:rsidR="002E554D" w:rsidRPr="002E554D" w14:paraId="684FEBA4" w14:textId="77777777" w:rsidTr="0067279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9D694" w14:textId="7777777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BA9BEA2" w14:textId="5C19B663"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3.556</w:t>
            </w:r>
          </w:p>
        </w:tc>
        <w:tc>
          <w:tcPr>
            <w:tcW w:w="960" w:type="dxa"/>
            <w:tcBorders>
              <w:top w:val="single" w:sz="4" w:space="0" w:color="auto"/>
              <w:left w:val="single" w:sz="4" w:space="0" w:color="auto"/>
              <w:bottom w:val="single" w:sz="4" w:space="0" w:color="auto"/>
            </w:tcBorders>
            <w:shd w:val="clear" w:color="auto" w:fill="auto"/>
            <w:noWrap/>
            <w:hideMark/>
          </w:tcPr>
          <w:p w14:paraId="3A034902" w14:textId="24FEB24E"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-3.107</w:t>
            </w:r>
          </w:p>
        </w:tc>
        <w:tc>
          <w:tcPr>
            <w:tcW w:w="960" w:type="dxa"/>
            <w:tcBorders>
              <w:top w:val="single" w:sz="4" w:space="0" w:color="auto"/>
              <w:bottom w:val="single" w:sz="4" w:space="0" w:color="auto"/>
            </w:tcBorders>
            <w:shd w:val="clear" w:color="auto" w:fill="auto"/>
            <w:noWrap/>
            <w:hideMark/>
          </w:tcPr>
          <w:p w14:paraId="2B14AAD1" w14:textId="76CCE2D5"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-2.464</w:t>
            </w:r>
          </w:p>
        </w:tc>
        <w:tc>
          <w:tcPr>
            <w:tcW w:w="960" w:type="dxa"/>
            <w:tcBorders>
              <w:top w:val="single" w:sz="4" w:space="0" w:color="auto"/>
              <w:bottom w:val="single" w:sz="4" w:space="0" w:color="auto"/>
              <w:right w:val="single" w:sz="4" w:space="0" w:color="auto"/>
            </w:tcBorders>
            <w:shd w:val="clear" w:color="auto" w:fill="auto"/>
            <w:noWrap/>
            <w:hideMark/>
          </w:tcPr>
          <w:p w14:paraId="52E9ECA4" w14:textId="4C55FF2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3282BD0" w14:textId="12C824AA"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3.639</w:t>
            </w:r>
          </w:p>
        </w:tc>
        <w:tc>
          <w:tcPr>
            <w:tcW w:w="960" w:type="dxa"/>
            <w:tcBorders>
              <w:top w:val="single" w:sz="4" w:space="0" w:color="auto"/>
              <w:left w:val="single" w:sz="4" w:space="0" w:color="auto"/>
              <w:bottom w:val="single" w:sz="4" w:space="0" w:color="auto"/>
            </w:tcBorders>
            <w:shd w:val="clear" w:color="auto" w:fill="auto"/>
            <w:noWrap/>
            <w:hideMark/>
          </w:tcPr>
          <w:p w14:paraId="6725BB67" w14:textId="7F82D62A"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-3.127</w:t>
            </w:r>
          </w:p>
        </w:tc>
        <w:tc>
          <w:tcPr>
            <w:tcW w:w="960" w:type="dxa"/>
            <w:tcBorders>
              <w:top w:val="single" w:sz="4" w:space="0" w:color="auto"/>
              <w:bottom w:val="single" w:sz="4" w:space="0" w:color="auto"/>
            </w:tcBorders>
            <w:shd w:val="clear" w:color="auto" w:fill="auto"/>
            <w:noWrap/>
            <w:hideMark/>
          </w:tcPr>
          <w:p w14:paraId="2D934D8A" w14:textId="2E3CE2B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-2.492</w:t>
            </w:r>
          </w:p>
        </w:tc>
        <w:tc>
          <w:tcPr>
            <w:tcW w:w="960" w:type="dxa"/>
            <w:tcBorders>
              <w:top w:val="single" w:sz="4" w:space="0" w:color="auto"/>
              <w:bottom w:val="single" w:sz="4" w:space="0" w:color="auto"/>
              <w:right w:val="single" w:sz="4" w:space="0" w:color="auto"/>
            </w:tcBorders>
            <w:shd w:val="clear" w:color="auto" w:fill="auto"/>
            <w:noWrap/>
            <w:hideMark/>
          </w:tcPr>
          <w:p w14:paraId="071268EC" w14:textId="5116A359"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-2.152</w:t>
            </w:r>
          </w:p>
        </w:tc>
      </w:tr>
      <w:tr w:rsidR="002E554D" w:rsidRPr="002E554D" w14:paraId="765F6E66" w14:textId="77777777" w:rsidTr="0067279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FDE79" w14:textId="7777777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4D6B760" w14:textId="654E1C6C"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3.011</w:t>
            </w:r>
          </w:p>
        </w:tc>
        <w:tc>
          <w:tcPr>
            <w:tcW w:w="960" w:type="dxa"/>
            <w:tcBorders>
              <w:top w:val="single" w:sz="4" w:space="0" w:color="auto"/>
              <w:left w:val="single" w:sz="4" w:space="0" w:color="auto"/>
              <w:bottom w:val="single" w:sz="4" w:space="0" w:color="auto"/>
            </w:tcBorders>
            <w:shd w:val="clear" w:color="auto" w:fill="auto"/>
            <w:noWrap/>
            <w:hideMark/>
          </w:tcPr>
          <w:p w14:paraId="7C45BB88" w14:textId="5FEBA94D"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-3.113</w:t>
            </w:r>
          </w:p>
        </w:tc>
        <w:tc>
          <w:tcPr>
            <w:tcW w:w="960" w:type="dxa"/>
            <w:tcBorders>
              <w:top w:val="single" w:sz="4" w:space="0" w:color="auto"/>
              <w:bottom w:val="single" w:sz="4" w:space="0" w:color="auto"/>
            </w:tcBorders>
            <w:shd w:val="clear" w:color="auto" w:fill="auto"/>
            <w:noWrap/>
            <w:hideMark/>
          </w:tcPr>
          <w:p w14:paraId="1A38528F" w14:textId="77862E2A"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-2.472</w:t>
            </w:r>
          </w:p>
        </w:tc>
        <w:tc>
          <w:tcPr>
            <w:tcW w:w="960" w:type="dxa"/>
            <w:tcBorders>
              <w:top w:val="single" w:sz="4" w:space="0" w:color="auto"/>
              <w:bottom w:val="single" w:sz="4" w:space="0" w:color="auto"/>
              <w:right w:val="single" w:sz="4" w:space="0" w:color="auto"/>
            </w:tcBorders>
            <w:shd w:val="clear" w:color="auto" w:fill="auto"/>
            <w:noWrap/>
            <w:hideMark/>
          </w:tcPr>
          <w:p w14:paraId="7DC3FF0D" w14:textId="092856E5"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31CA462" w14:textId="57F2F0B4"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2.481</w:t>
            </w:r>
          </w:p>
        </w:tc>
        <w:tc>
          <w:tcPr>
            <w:tcW w:w="960" w:type="dxa"/>
            <w:tcBorders>
              <w:top w:val="single" w:sz="4" w:space="0" w:color="auto"/>
              <w:left w:val="single" w:sz="4" w:space="0" w:color="auto"/>
              <w:bottom w:val="single" w:sz="4" w:space="0" w:color="auto"/>
            </w:tcBorders>
            <w:shd w:val="clear" w:color="auto" w:fill="auto"/>
            <w:noWrap/>
            <w:hideMark/>
          </w:tcPr>
          <w:p w14:paraId="5CDB3DCF" w14:textId="5B85B7D4"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-3.143</w:t>
            </w:r>
          </w:p>
        </w:tc>
        <w:tc>
          <w:tcPr>
            <w:tcW w:w="960" w:type="dxa"/>
            <w:tcBorders>
              <w:top w:val="single" w:sz="4" w:space="0" w:color="auto"/>
              <w:bottom w:val="single" w:sz="4" w:space="0" w:color="auto"/>
            </w:tcBorders>
            <w:shd w:val="clear" w:color="auto" w:fill="auto"/>
            <w:noWrap/>
            <w:hideMark/>
          </w:tcPr>
          <w:p w14:paraId="61DF11DA" w14:textId="379570BB"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-2.515</w:t>
            </w:r>
          </w:p>
        </w:tc>
        <w:tc>
          <w:tcPr>
            <w:tcW w:w="960" w:type="dxa"/>
            <w:tcBorders>
              <w:top w:val="single" w:sz="4" w:space="0" w:color="auto"/>
              <w:bottom w:val="single" w:sz="4" w:space="0" w:color="auto"/>
              <w:right w:val="single" w:sz="4" w:space="0" w:color="auto"/>
            </w:tcBorders>
            <w:shd w:val="clear" w:color="auto" w:fill="auto"/>
            <w:noWrap/>
            <w:hideMark/>
          </w:tcPr>
          <w:p w14:paraId="45BCC85D" w14:textId="10BE00A4"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-2.177</w:t>
            </w:r>
          </w:p>
        </w:tc>
      </w:tr>
      <w:tr w:rsidR="002E554D" w:rsidRPr="002E554D" w14:paraId="559CDEED" w14:textId="77777777" w:rsidTr="0067279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B3E5C" w14:textId="7777777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lastRenderedPageBreak/>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E341A47" w14:textId="159B073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2.361</w:t>
            </w:r>
          </w:p>
        </w:tc>
        <w:tc>
          <w:tcPr>
            <w:tcW w:w="960" w:type="dxa"/>
            <w:tcBorders>
              <w:top w:val="single" w:sz="4" w:space="0" w:color="auto"/>
              <w:left w:val="single" w:sz="4" w:space="0" w:color="auto"/>
              <w:bottom w:val="single" w:sz="4" w:space="0" w:color="auto"/>
            </w:tcBorders>
            <w:shd w:val="clear" w:color="auto" w:fill="auto"/>
            <w:noWrap/>
            <w:hideMark/>
          </w:tcPr>
          <w:p w14:paraId="4FE0DAE0" w14:textId="300A75B2"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-3.120</w:t>
            </w:r>
          </w:p>
        </w:tc>
        <w:tc>
          <w:tcPr>
            <w:tcW w:w="960" w:type="dxa"/>
            <w:tcBorders>
              <w:top w:val="single" w:sz="4" w:space="0" w:color="auto"/>
              <w:bottom w:val="single" w:sz="4" w:space="0" w:color="auto"/>
            </w:tcBorders>
            <w:shd w:val="clear" w:color="auto" w:fill="auto"/>
            <w:noWrap/>
            <w:hideMark/>
          </w:tcPr>
          <w:p w14:paraId="0039AF5A" w14:textId="114A394C"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-2.482</w:t>
            </w:r>
          </w:p>
        </w:tc>
        <w:tc>
          <w:tcPr>
            <w:tcW w:w="960" w:type="dxa"/>
            <w:tcBorders>
              <w:top w:val="single" w:sz="4" w:space="0" w:color="auto"/>
              <w:bottom w:val="single" w:sz="4" w:space="0" w:color="auto"/>
              <w:right w:val="single" w:sz="4" w:space="0" w:color="auto"/>
            </w:tcBorders>
            <w:shd w:val="clear" w:color="auto" w:fill="auto"/>
            <w:noWrap/>
            <w:hideMark/>
          </w:tcPr>
          <w:p w14:paraId="4008B95B" w14:textId="6F145CF3"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9BBB19A" w14:textId="6D1DA110"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1.452</w:t>
            </w:r>
          </w:p>
        </w:tc>
        <w:tc>
          <w:tcPr>
            <w:tcW w:w="960" w:type="dxa"/>
            <w:tcBorders>
              <w:top w:val="single" w:sz="4" w:space="0" w:color="auto"/>
              <w:left w:val="single" w:sz="4" w:space="0" w:color="auto"/>
              <w:bottom w:val="single" w:sz="4" w:space="0" w:color="auto"/>
            </w:tcBorders>
            <w:shd w:val="clear" w:color="auto" w:fill="auto"/>
            <w:noWrap/>
            <w:hideMark/>
          </w:tcPr>
          <w:p w14:paraId="20992522" w14:textId="62C4AF64"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-3.150</w:t>
            </w:r>
          </w:p>
        </w:tc>
        <w:tc>
          <w:tcPr>
            <w:tcW w:w="960" w:type="dxa"/>
            <w:tcBorders>
              <w:top w:val="single" w:sz="4" w:space="0" w:color="auto"/>
              <w:bottom w:val="single" w:sz="4" w:space="0" w:color="auto"/>
            </w:tcBorders>
            <w:shd w:val="clear" w:color="auto" w:fill="auto"/>
            <w:noWrap/>
            <w:hideMark/>
          </w:tcPr>
          <w:p w14:paraId="2E324811" w14:textId="694F3FE2"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-2.525</w:t>
            </w:r>
          </w:p>
        </w:tc>
        <w:tc>
          <w:tcPr>
            <w:tcW w:w="960" w:type="dxa"/>
            <w:tcBorders>
              <w:top w:val="single" w:sz="4" w:space="0" w:color="auto"/>
              <w:bottom w:val="single" w:sz="4" w:space="0" w:color="auto"/>
              <w:right w:val="single" w:sz="4" w:space="0" w:color="auto"/>
            </w:tcBorders>
            <w:shd w:val="clear" w:color="auto" w:fill="auto"/>
            <w:noWrap/>
            <w:hideMark/>
          </w:tcPr>
          <w:p w14:paraId="5A038F4A" w14:textId="21D73E9F"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-2.188</w:t>
            </w:r>
          </w:p>
        </w:tc>
      </w:tr>
      <w:tr w:rsidR="002E554D" w:rsidRPr="002E554D" w14:paraId="4E15C38B" w14:textId="77777777" w:rsidTr="0067279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10A27" w14:textId="7777777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48F7520" w14:textId="3585F51F"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2.338</w:t>
            </w:r>
          </w:p>
        </w:tc>
        <w:tc>
          <w:tcPr>
            <w:tcW w:w="960" w:type="dxa"/>
            <w:tcBorders>
              <w:top w:val="single" w:sz="4" w:space="0" w:color="auto"/>
              <w:left w:val="single" w:sz="4" w:space="0" w:color="auto"/>
              <w:bottom w:val="single" w:sz="4" w:space="0" w:color="auto"/>
            </w:tcBorders>
            <w:shd w:val="clear" w:color="auto" w:fill="auto"/>
            <w:noWrap/>
            <w:hideMark/>
          </w:tcPr>
          <w:p w14:paraId="1E8D2950" w14:textId="3D185C5D"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-3.126</w:t>
            </w:r>
          </w:p>
        </w:tc>
        <w:tc>
          <w:tcPr>
            <w:tcW w:w="960" w:type="dxa"/>
            <w:tcBorders>
              <w:top w:val="single" w:sz="4" w:space="0" w:color="auto"/>
              <w:bottom w:val="single" w:sz="4" w:space="0" w:color="auto"/>
            </w:tcBorders>
            <w:shd w:val="clear" w:color="auto" w:fill="auto"/>
            <w:noWrap/>
            <w:hideMark/>
          </w:tcPr>
          <w:p w14:paraId="2876AFFD" w14:textId="055A9175"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-2.491</w:t>
            </w:r>
          </w:p>
        </w:tc>
        <w:tc>
          <w:tcPr>
            <w:tcW w:w="960" w:type="dxa"/>
            <w:tcBorders>
              <w:top w:val="single" w:sz="4" w:space="0" w:color="auto"/>
              <w:bottom w:val="single" w:sz="4" w:space="0" w:color="auto"/>
              <w:right w:val="single" w:sz="4" w:space="0" w:color="auto"/>
            </w:tcBorders>
            <w:shd w:val="clear" w:color="auto" w:fill="auto"/>
            <w:noWrap/>
            <w:hideMark/>
          </w:tcPr>
          <w:p w14:paraId="6C4A5326" w14:textId="3144006D"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A64DBA0" w14:textId="23FEE2BC"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-0.099</w:t>
            </w:r>
          </w:p>
        </w:tc>
        <w:tc>
          <w:tcPr>
            <w:tcW w:w="960" w:type="dxa"/>
            <w:tcBorders>
              <w:top w:val="single" w:sz="4" w:space="0" w:color="auto"/>
              <w:left w:val="single" w:sz="4" w:space="0" w:color="auto"/>
              <w:bottom w:val="single" w:sz="4" w:space="0" w:color="auto"/>
            </w:tcBorders>
            <w:shd w:val="clear" w:color="auto" w:fill="auto"/>
            <w:noWrap/>
            <w:hideMark/>
          </w:tcPr>
          <w:p w14:paraId="0A4A8F07" w14:textId="1A24FAF0"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-3.139</w:t>
            </w:r>
          </w:p>
        </w:tc>
        <w:tc>
          <w:tcPr>
            <w:tcW w:w="960" w:type="dxa"/>
            <w:tcBorders>
              <w:top w:val="single" w:sz="4" w:space="0" w:color="auto"/>
              <w:bottom w:val="single" w:sz="4" w:space="0" w:color="auto"/>
            </w:tcBorders>
            <w:shd w:val="clear" w:color="auto" w:fill="auto"/>
            <w:noWrap/>
            <w:hideMark/>
          </w:tcPr>
          <w:p w14:paraId="695DA36E" w14:textId="10902194"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-2.509</w:t>
            </w:r>
          </w:p>
        </w:tc>
        <w:tc>
          <w:tcPr>
            <w:tcW w:w="960" w:type="dxa"/>
            <w:tcBorders>
              <w:top w:val="single" w:sz="4" w:space="0" w:color="auto"/>
              <w:bottom w:val="single" w:sz="4" w:space="0" w:color="auto"/>
              <w:right w:val="single" w:sz="4" w:space="0" w:color="auto"/>
            </w:tcBorders>
            <w:shd w:val="clear" w:color="auto" w:fill="auto"/>
            <w:noWrap/>
            <w:hideMark/>
          </w:tcPr>
          <w:p w14:paraId="4853B363" w14:textId="2BBA6D31"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-2.170</w:t>
            </w:r>
          </w:p>
        </w:tc>
      </w:tr>
      <w:tr w:rsidR="002E554D" w:rsidRPr="002E554D" w14:paraId="5479EA5F" w14:textId="77777777" w:rsidTr="0067279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B7886" w14:textId="7777777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14B7C07" w14:textId="2BB9B180"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0.360</w:t>
            </w:r>
          </w:p>
        </w:tc>
        <w:tc>
          <w:tcPr>
            <w:tcW w:w="960" w:type="dxa"/>
            <w:tcBorders>
              <w:top w:val="single" w:sz="4" w:space="0" w:color="auto"/>
              <w:left w:val="single" w:sz="4" w:space="0" w:color="auto"/>
              <w:bottom w:val="single" w:sz="4" w:space="0" w:color="auto"/>
            </w:tcBorders>
            <w:shd w:val="clear" w:color="auto" w:fill="auto"/>
            <w:noWrap/>
            <w:hideMark/>
          </w:tcPr>
          <w:p w14:paraId="57E20018" w14:textId="2F18A24D"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-3.120</w:t>
            </w:r>
          </w:p>
        </w:tc>
        <w:tc>
          <w:tcPr>
            <w:tcW w:w="960" w:type="dxa"/>
            <w:tcBorders>
              <w:top w:val="single" w:sz="4" w:space="0" w:color="auto"/>
              <w:bottom w:val="single" w:sz="4" w:space="0" w:color="auto"/>
            </w:tcBorders>
            <w:shd w:val="clear" w:color="auto" w:fill="auto"/>
            <w:noWrap/>
            <w:hideMark/>
          </w:tcPr>
          <w:p w14:paraId="142A739C" w14:textId="1732C2B0"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-2.482</w:t>
            </w:r>
          </w:p>
        </w:tc>
        <w:tc>
          <w:tcPr>
            <w:tcW w:w="960" w:type="dxa"/>
            <w:tcBorders>
              <w:top w:val="single" w:sz="4" w:space="0" w:color="auto"/>
              <w:bottom w:val="single" w:sz="4" w:space="0" w:color="auto"/>
              <w:right w:val="single" w:sz="4" w:space="0" w:color="auto"/>
            </w:tcBorders>
            <w:shd w:val="clear" w:color="auto" w:fill="auto"/>
            <w:noWrap/>
            <w:hideMark/>
          </w:tcPr>
          <w:p w14:paraId="3BA1E7D0" w14:textId="36C7040E"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D46DC9F" w14:textId="36896194" w:rsidR="00682DA8" w:rsidRPr="002E554D" w:rsidRDefault="00682DA8" w:rsidP="00682DA8">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-1.040</w:t>
            </w:r>
          </w:p>
        </w:tc>
        <w:tc>
          <w:tcPr>
            <w:tcW w:w="960" w:type="dxa"/>
            <w:tcBorders>
              <w:top w:val="single" w:sz="4" w:space="0" w:color="auto"/>
              <w:left w:val="single" w:sz="4" w:space="0" w:color="auto"/>
              <w:bottom w:val="single" w:sz="4" w:space="0" w:color="auto"/>
            </w:tcBorders>
            <w:shd w:val="clear" w:color="auto" w:fill="auto"/>
            <w:noWrap/>
            <w:hideMark/>
          </w:tcPr>
          <w:p w14:paraId="328A933C" w14:textId="4423055B"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-3.117</w:t>
            </w:r>
          </w:p>
        </w:tc>
        <w:tc>
          <w:tcPr>
            <w:tcW w:w="960" w:type="dxa"/>
            <w:tcBorders>
              <w:top w:val="single" w:sz="4" w:space="0" w:color="auto"/>
              <w:bottom w:val="single" w:sz="4" w:space="0" w:color="auto"/>
            </w:tcBorders>
            <w:shd w:val="clear" w:color="auto" w:fill="auto"/>
            <w:noWrap/>
            <w:hideMark/>
          </w:tcPr>
          <w:p w14:paraId="093F259D" w14:textId="77972006"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-2.477</w:t>
            </w:r>
          </w:p>
        </w:tc>
        <w:tc>
          <w:tcPr>
            <w:tcW w:w="960" w:type="dxa"/>
            <w:tcBorders>
              <w:top w:val="single" w:sz="4" w:space="0" w:color="auto"/>
              <w:bottom w:val="single" w:sz="4" w:space="0" w:color="auto"/>
              <w:right w:val="single" w:sz="4" w:space="0" w:color="auto"/>
            </w:tcBorders>
            <w:shd w:val="clear" w:color="auto" w:fill="auto"/>
            <w:noWrap/>
            <w:hideMark/>
          </w:tcPr>
          <w:p w14:paraId="5692B015" w14:textId="5882C4B0"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-2.137</w:t>
            </w:r>
          </w:p>
        </w:tc>
      </w:tr>
      <w:tr w:rsidR="002E554D" w:rsidRPr="002E554D" w14:paraId="4E94A682" w14:textId="77777777" w:rsidTr="0067279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1290F" w14:textId="7777777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7310987" w14:textId="12C36F27" w:rsidR="00682DA8" w:rsidRPr="002E554D" w:rsidRDefault="00682DA8" w:rsidP="00682DA8">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-2.501</w:t>
            </w:r>
          </w:p>
        </w:tc>
        <w:tc>
          <w:tcPr>
            <w:tcW w:w="960" w:type="dxa"/>
            <w:tcBorders>
              <w:top w:val="single" w:sz="4" w:space="0" w:color="auto"/>
              <w:left w:val="single" w:sz="4" w:space="0" w:color="auto"/>
              <w:bottom w:val="single" w:sz="4" w:space="0" w:color="auto"/>
            </w:tcBorders>
            <w:shd w:val="clear" w:color="auto" w:fill="auto"/>
            <w:noWrap/>
            <w:hideMark/>
          </w:tcPr>
          <w:p w14:paraId="5F475B27" w14:textId="0972D464"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-3.097</w:t>
            </w:r>
          </w:p>
        </w:tc>
        <w:tc>
          <w:tcPr>
            <w:tcW w:w="960" w:type="dxa"/>
            <w:tcBorders>
              <w:top w:val="single" w:sz="4" w:space="0" w:color="auto"/>
              <w:bottom w:val="single" w:sz="4" w:space="0" w:color="auto"/>
            </w:tcBorders>
            <w:shd w:val="clear" w:color="auto" w:fill="auto"/>
            <w:noWrap/>
            <w:hideMark/>
          </w:tcPr>
          <w:p w14:paraId="4F80E293" w14:textId="6C374AA5"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-2.449</w:t>
            </w:r>
          </w:p>
        </w:tc>
        <w:tc>
          <w:tcPr>
            <w:tcW w:w="960" w:type="dxa"/>
            <w:tcBorders>
              <w:top w:val="single" w:sz="4" w:space="0" w:color="auto"/>
              <w:bottom w:val="single" w:sz="4" w:space="0" w:color="auto"/>
              <w:right w:val="single" w:sz="4" w:space="0" w:color="auto"/>
            </w:tcBorders>
            <w:shd w:val="clear" w:color="auto" w:fill="auto"/>
            <w:noWrap/>
            <w:hideMark/>
          </w:tcPr>
          <w:p w14:paraId="1E810176" w14:textId="0FC750B1"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621E076" w14:textId="12C42000" w:rsidR="00682DA8" w:rsidRPr="002E554D" w:rsidRDefault="00682DA8" w:rsidP="00682DA8">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-3.262</w:t>
            </w:r>
          </w:p>
        </w:tc>
        <w:tc>
          <w:tcPr>
            <w:tcW w:w="960" w:type="dxa"/>
            <w:tcBorders>
              <w:top w:val="single" w:sz="4" w:space="0" w:color="auto"/>
              <w:left w:val="single" w:sz="4" w:space="0" w:color="auto"/>
              <w:bottom w:val="single" w:sz="4" w:space="0" w:color="auto"/>
            </w:tcBorders>
            <w:shd w:val="clear" w:color="auto" w:fill="auto"/>
            <w:noWrap/>
            <w:hideMark/>
          </w:tcPr>
          <w:p w14:paraId="6CACEB7A" w14:textId="387E05E8"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-3.102</w:t>
            </w:r>
          </w:p>
        </w:tc>
        <w:tc>
          <w:tcPr>
            <w:tcW w:w="960" w:type="dxa"/>
            <w:tcBorders>
              <w:top w:val="single" w:sz="4" w:space="0" w:color="auto"/>
              <w:bottom w:val="single" w:sz="4" w:space="0" w:color="auto"/>
            </w:tcBorders>
            <w:shd w:val="clear" w:color="auto" w:fill="auto"/>
            <w:noWrap/>
            <w:hideMark/>
          </w:tcPr>
          <w:p w14:paraId="40D294A4" w14:textId="2CDC4548"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-2.457</w:t>
            </w:r>
          </w:p>
        </w:tc>
        <w:tc>
          <w:tcPr>
            <w:tcW w:w="960" w:type="dxa"/>
            <w:tcBorders>
              <w:top w:val="single" w:sz="4" w:space="0" w:color="auto"/>
              <w:bottom w:val="single" w:sz="4" w:space="0" w:color="auto"/>
              <w:right w:val="single" w:sz="4" w:space="0" w:color="auto"/>
            </w:tcBorders>
            <w:shd w:val="clear" w:color="auto" w:fill="auto"/>
            <w:noWrap/>
            <w:hideMark/>
          </w:tcPr>
          <w:p w14:paraId="699D3204" w14:textId="42D0E681"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r>
      <w:tr w:rsidR="002E554D" w:rsidRPr="002E554D" w14:paraId="0019C35C" w14:textId="77777777" w:rsidTr="0067279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4A803" w14:textId="7777777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E6E4C51" w14:textId="06BB6E75" w:rsidR="00682DA8" w:rsidRPr="002E554D" w:rsidRDefault="00682DA8" w:rsidP="00682DA8">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-3.603</w:t>
            </w:r>
          </w:p>
        </w:tc>
        <w:tc>
          <w:tcPr>
            <w:tcW w:w="960" w:type="dxa"/>
            <w:tcBorders>
              <w:top w:val="single" w:sz="4" w:space="0" w:color="auto"/>
              <w:left w:val="single" w:sz="4" w:space="0" w:color="auto"/>
              <w:bottom w:val="single" w:sz="4" w:space="0" w:color="auto"/>
            </w:tcBorders>
            <w:shd w:val="clear" w:color="auto" w:fill="auto"/>
            <w:noWrap/>
            <w:hideMark/>
          </w:tcPr>
          <w:p w14:paraId="38726F02" w14:textId="2D213DED"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-3.075</w:t>
            </w:r>
          </w:p>
        </w:tc>
        <w:tc>
          <w:tcPr>
            <w:tcW w:w="960" w:type="dxa"/>
            <w:tcBorders>
              <w:top w:val="single" w:sz="4" w:space="0" w:color="auto"/>
              <w:bottom w:val="single" w:sz="4" w:space="0" w:color="auto"/>
            </w:tcBorders>
            <w:shd w:val="clear" w:color="auto" w:fill="auto"/>
            <w:noWrap/>
            <w:hideMark/>
          </w:tcPr>
          <w:p w14:paraId="19196051" w14:textId="24034A43"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-2.418</w:t>
            </w:r>
          </w:p>
        </w:tc>
        <w:tc>
          <w:tcPr>
            <w:tcW w:w="960" w:type="dxa"/>
            <w:tcBorders>
              <w:top w:val="single" w:sz="4" w:space="0" w:color="auto"/>
              <w:bottom w:val="single" w:sz="4" w:space="0" w:color="auto"/>
              <w:right w:val="single" w:sz="4" w:space="0" w:color="auto"/>
            </w:tcBorders>
            <w:shd w:val="clear" w:color="auto" w:fill="auto"/>
            <w:noWrap/>
            <w:hideMark/>
          </w:tcPr>
          <w:p w14:paraId="7D90CCED" w14:textId="3D495FE0"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-2.076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712A792" w14:textId="08620157" w:rsidR="00682DA8" w:rsidRPr="002E554D" w:rsidRDefault="00682DA8" w:rsidP="00682DA8">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-6.352</w:t>
            </w:r>
          </w:p>
        </w:tc>
        <w:tc>
          <w:tcPr>
            <w:tcW w:w="960" w:type="dxa"/>
            <w:tcBorders>
              <w:top w:val="single" w:sz="4" w:space="0" w:color="auto"/>
              <w:left w:val="single" w:sz="4" w:space="0" w:color="auto"/>
              <w:bottom w:val="single" w:sz="4" w:space="0" w:color="auto"/>
            </w:tcBorders>
            <w:shd w:val="clear" w:color="auto" w:fill="auto"/>
            <w:noWrap/>
            <w:hideMark/>
          </w:tcPr>
          <w:p w14:paraId="61B34F19" w14:textId="73D12D2D"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-3.092</w:t>
            </w:r>
          </w:p>
        </w:tc>
        <w:tc>
          <w:tcPr>
            <w:tcW w:w="960" w:type="dxa"/>
            <w:tcBorders>
              <w:top w:val="single" w:sz="4" w:space="0" w:color="auto"/>
              <w:bottom w:val="single" w:sz="4" w:space="0" w:color="auto"/>
            </w:tcBorders>
            <w:shd w:val="clear" w:color="auto" w:fill="auto"/>
            <w:noWrap/>
            <w:hideMark/>
          </w:tcPr>
          <w:p w14:paraId="36EE61BA" w14:textId="512DC000"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-2.441</w:t>
            </w:r>
          </w:p>
        </w:tc>
        <w:tc>
          <w:tcPr>
            <w:tcW w:w="960" w:type="dxa"/>
            <w:tcBorders>
              <w:top w:val="single" w:sz="4" w:space="0" w:color="auto"/>
              <w:bottom w:val="single" w:sz="4" w:space="0" w:color="auto"/>
              <w:right w:val="single" w:sz="4" w:space="0" w:color="auto"/>
            </w:tcBorders>
            <w:shd w:val="clear" w:color="auto" w:fill="auto"/>
            <w:noWrap/>
            <w:hideMark/>
          </w:tcPr>
          <w:p w14:paraId="7227E8C5" w14:textId="1DFE1925"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-2.100</w:t>
            </w:r>
          </w:p>
        </w:tc>
      </w:tr>
      <w:tr w:rsidR="002E554D" w:rsidRPr="002E554D" w14:paraId="0E6CDE2A" w14:textId="77777777" w:rsidTr="0067279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4236" w14:textId="7777777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5C10EBF" w14:textId="0622ED3B" w:rsidR="00682DA8" w:rsidRPr="002E554D" w:rsidRDefault="00682DA8" w:rsidP="00682DA8">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-4.353</w:t>
            </w:r>
          </w:p>
        </w:tc>
        <w:tc>
          <w:tcPr>
            <w:tcW w:w="960" w:type="dxa"/>
            <w:tcBorders>
              <w:top w:val="single" w:sz="4" w:space="0" w:color="auto"/>
              <w:left w:val="single" w:sz="4" w:space="0" w:color="auto"/>
              <w:bottom w:val="single" w:sz="4" w:space="0" w:color="auto"/>
            </w:tcBorders>
            <w:shd w:val="clear" w:color="auto" w:fill="auto"/>
            <w:noWrap/>
            <w:hideMark/>
          </w:tcPr>
          <w:p w14:paraId="0A5FAA0E" w14:textId="1114FCA2"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-3.082</w:t>
            </w:r>
          </w:p>
        </w:tc>
        <w:tc>
          <w:tcPr>
            <w:tcW w:w="960" w:type="dxa"/>
            <w:tcBorders>
              <w:top w:val="single" w:sz="4" w:space="0" w:color="auto"/>
              <w:bottom w:val="single" w:sz="4" w:space="0" w:color="auto"/>
            </w:tcBorders>
            <w:shd w:val="clear" w:color="auto" w:fill="auto"/>
            <w:noWrap/>
            <w:hideMark/>
          </w:tcPr>
          <w:p w14:paraId="130B8786" w14:textId="5E91E88D"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-2.427</w:t>
            </w:r>
          </w:p>
        </w:tc>
        <w:tc>
          <w:tcPr>
            <w:tcW w:w="960" w:type="dxa"/>
            <w:tcBorders>
              <w:top w:val="single" w:sz="4" w:space="0" w:color="auto"/>
              <w:bottom w:val="single" w:sz="4" w:space="0" w:color="auto"/>
              <w:right w:val="single" w:sz="4" w:space="0" w:color="auto"/>
            </w:tcBorders>
            <w:shd w:val="clear" w:color="auto" w:fill="auto"/>
            <w:noWrap/>
            <w:hideMark/>
          </w:tcPr>
          <w:p w14:paraId="3C5AC824" w14:textId="13E4FE73"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-2.085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1BCEA38" w14:textId="762B5FCD" w:rsidR="00682DA8" w:rsidRPr="002E554D" w:rsidRDefault="00682DA8" w:rsidP="00682DA8">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-7.456</w:t>
            </w:r>
          </w:p>
        </w:tc>
        <w:tc>
          <w:tcPr>
            <w:tcW w:w="960" w:type="dxa"/>
            <w:tcBorders>
              <w:top w:val="single" w:sz="4" w:space="0" w:color="auto"/>
              <w:left w:val="single" w:sz="4" w:space="0" w:color="auto"/>
              <w:bottom w:val="single" w:sz="4" w:space="0" w:color="auto"/>
            </w:tcBorders>
            <w:shd w:val="clear" w:color="auto" w:fill="auto"/>
            <w:noWrap/>
            <w:hideMark/>
          </w:tcPr>
          <w:p w14:paraId="4772115A" w14:textId="251352F9"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-3.034</w:t>
            </w:r>
          </w:p>
        </w:tc>
        <w:tc>
          <w:tcPr>
            <w:tcW w:w="960" w:type="dxa"/>
            <w:tcBorders>
              <w:top w:val="single" w:sz="4" w:space="0" w:color="auto"/>
              <w:bottom w:val="single" w:sz="4" w:space="0" w:color="auto"/>
            </w:tcBorders>
            <w:shd w:val="clear" w:color="auto" w:fill="auto"/>
            <w:noWrap/>
            <w:hideMark/>
          </w:tcPr>
          <w:p w14:paraId="7E108D93" w14:textId="7ADE6950"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-2.376</w:t>
            </w:r>
          </w:p>
        </w:tc>
        <w:tc>
          <w:tcPr>
            <w:tcW w:w="960" w:type="dxa"/>
            <w:tcBorders>
              <w:top w:val="single" w:sz="4" w:space="0" w:color="auto"/>
              <w:bottom w:val="single" w:sz="4" w:space="0" w:color="auto"/>
              <w:right w:val="single" w:sz="4" w:space="0" w:color="auto"/>
            </w:tcBorders>
            <w:shd w:val="clear" w:color="auto" w:fill="auto"/>
            <w:noWrap/>
            <w:hideMark/>
          </w:tcPr>
          <w:p w14:paraId="5C14361D" w14:textId="2DAA47C2"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-2.030</w:t>
            </w:r>
          </w:p>
        </w:tc>
      </w:tr>
      <w:tr w:rsidR="002E554D" w:rsidRPr="002E554D" w14:paraId="081C3482" w14:textId="77777777" w:rsidTr="0067279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3ACC1" w14:textId="77777777"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9572422" w14:textId="1A98E40F" w:rsidR="00682DA8" w:rsidRPr="002E554D" w:rsidRDefault="00682DA8" w:rsidP="00682DA8">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-6.346</w:t>
            </w:r>
          </w:p>
        </w:tc>
        <w:tc>
          <w:tcPr>
            <w:tcW w:w="960" w:type="dxa"/>
            <w:tcBorders>
              <w:top w:val="single" w:sz="4" w:space="0" w:color="auto"/>
              <w:left w:val="single" w:sz="4" w:space="0" w:color="auto"/>
              <w:bottom w:val="single" w:sz="4" w:space="0" w:color="auto"/>
            </w:tcBorders>
            <w:shd w:val="clear" w:color="auto" w:fill="auto"/>
            <w:noWrap/>
            <w:hideMark/>
          </w:tcPr>
          <w:p w14:paraId="3F11F2C9" w14:textId="07593338"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-2.916</w:t>
            </w:r>
          </w:p>
        </w:tc>
        <w:tc>
          <w:tcPr>
            <w:tcW w:w="960" w:type="dxa"/>
            <w:tcBorders>
              <w:top w:val="single" w:sz="4" w:space="0" w:color="auto"/>
              <w:bottom w:val="single" w:sz="4" w:space="0" w:color="auto"/>
            </w:tcBorders>
            <w:shd w:val="clear" w:color="auto" w:fill="auto"/>
            <w:noWrap/>
            <w:hideMark/>
          </w:tcPr>
          <w:p w14:paraId="2E9BE479" w14:textId="41541FED"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-2.280</w:t>
            </w:r>
          </w:p>
        </w:tc>
        <w:tc>
          <w:tcPr>
            <w:tcW w:w="960" w:type="dxa"/>
            <w:tcBorders>
              <w:top w:val="single" w:sz="4" w:space="0" w:color="auto"/>
              <w:bottom w:val="single" w:sz="4" w:space="0" w:color="auto"/>
              <w:right w:val="single" w:sz="4" w:space="0" w:color="auto"/>
            </w:tcBorders>
            <w:shd w:val="clear" w:color="auto" w:fill="auto"/>
            <w:noWrap/>
            <w:hideMark/>
          </w:tcPr>
          <w:p w14:paraId="2D98B0DA" w14:textId="2E973ED9"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-1.919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5C56C31" w14:textId="3C5E9143" w:rsidR="00682DA8" w:rsidRPr="002E554D" w:rsidRDefault="00682DA8" w:rsidP="00682DA8">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-9.469</w:t>
            </w:r>
          </w:p>
        </w:tc>
        <w:tc>
          <w:tcPr>
            <w:tcW w:w="960" w:type="dxa"/>
            <w:tcBorders>
              <w:top w:val="single" w:sz="4" w:space="0" w:color="auto"/>
              <w:left w:val="single" w:sz="4" w:space="0" w:color="auto"/>
              <w:bottom w:val="single" w:sz="4" w:space="0" w:color="auto"/>
            </w:tcBorders>
            <w:shd w:val="clear" w:color="auto" w:fill="auto"/>
            <w:noWrap/>
            <w:hideMark/>
          </w:tcPr>
          <w:p w14:paraId="11D47B34" w14:textId="3E4A263A"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-2.913</w:t>
            </w:r>
          </w:p>
        </w:tc>
        <w:tc>
          <w:tcPr>
            <w:tcW w:w="960" w:type="dxa"/>
            <w:tcBorders>
              <w:top w:val="single" w:sz="4" w:space="0" w:color="auto"/>
              <w:bottom w:val="single" w:sz="4" w:space="0" w:color="auto"/>
            </w:tcBorders>
            <w:shd w:val="clear" w:color="auto" w:fill="auto"/>
            <w:noWrap/>
            <w:hideMark/>
          </w:tcPr>
          <w:p w14:paraId="1F8746D8" w14:textId="26CA1D0A"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-2.278</w:t>
            </w:r>
          </w:p>
        </w:tc>
        <w:tc>
          <w:tcPr>
            <w:tcW w:w="960" w:type="dxa"/>
            <w:tcBorders>
              <w:top w:val="single" w:sz="4" w:space="0" w:color="auto"/>
              <w:bottom w:val="single" w:sz="4" w:space="0" w:color="auto"/>
              <w:right w:val="single" w:sz="4" w:space="0" w:color="auto"/>
            </w:tcBorders>
            <w:shd w:val="clear" w:color="auto" w:fill="auto"/>
            <w:noWrap/>
            <w:hideMark/>
          </w:tcPr>
          <w:p w14:paraId="23B594DA" w14:textId="5DA564A6" w:rsidR="00682DA8" w:rsidRPr="002E554D" w:rsidRDefault="00682DA8" w:rsidP="00682DA8">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-1.916</w:t>
            </w:r>
          </w:p>
        </w:tc>
      </w:tr>
      <w:tr w:rsidR="002E554D" w:rsidRPr="002E554D" w14:paraId="06480AF2" w14:textId="77777777" w:rsidTr="00855A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71361" w14:textId="77777777" w:rsidR="00771184" w:rsidRPr="002E554D" w:rsidRDefault="00771184" w:rsidP="00771184">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 </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F33E6"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FTSE250</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6D938"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Israel TA125</w:t>
            </w:r>
          </w:p>
        </w:tc>
      </w:tr>
      <w:tr w:rsidR="002E554D" w:rsidRPr="002E554D" w14:paraId="02929763" w14:textId="77777777" w:rsidTr="00A96C64">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891FA" w14:textId="7777777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364CFCD" w14:textId="17E29F7A"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4.410</w:t>
            </w:r>
          </w:p>
        </w:tc>
        <w:tc>
          <w:tcPr>
            <w:tcW w:w="960" w:type="dxa"/>
            <w:tcBorders>
              <w:top w:val="single" w:sz="4" w:space="0" w:color="auto"/>
              <w:left w:val="single" w:sz="4" w:space="0" w:color="auto"/>
              <w:bottom w:val="single" w:sz="4" w:space="0" w:color="auto"/>
            </w:tcBorders>
            <w:shd w:val="clear" w:color="auto" w:fill="auto"/>
            <w:noWrap/>
            <w:hideMark/>
          </w:tcPr>
          <w:p w14:paraId="5D84DD36" w14:textId="43BABED8"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-3.017</w:t>
            </w:r>
          </w:p>
        </w:tc>
        <w:tc>
          <w:tcPr>
            <w:tcW w:w="960" w:type="dxa"/>
            <w:tcBorders>
              <w:top w:val="single" w:sz="4" w:space="0" w:color="auto"/>
              <w:bottom w:val="single" w:sz="4" w:space="0" w:color="auto"/>
            </w:tcBorders>
            <w:shd w:val="clear" w:color="auto" w:fill="auto"/>
            <w:noWrap/>
            <w:hideMark/>
          </w:tcPr>
          <w:p w14:paraId="4D27567B" w14:textId="009E18A6"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-2.362</w:t>
            </w:r>
          </w:p>
        </w:tc>
        <w:tc>
          <w:tcPr>
            <w:tcW w:w="960" w:type="dxa"/>
            <w:tcBorders>
              <w:top w:val="single" w:sz="4" w:space="0" w:color="auto"/>
              <w:bottom w:val="single" w:sz="4" w:space="0" w:color="auto"/>
              <w:right w:val="single" w:sz="4" w:space="0" w:color="auto"/>
            </w:tcBorders>
            <w:shd w:val="clear" w:color="auto" w:fill="auto"/>
            <w:noWrap/>
            <w:hideMark/>
          </w:tcPr>
          <w:p w14:paraId="792D7BCE" w14:textId="272B8CF4"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-2.014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0F386D8" w14:textId="1CA46214"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1.215</w:t>
            </w:r>
          </w:p>
        </w:tc>
        <w:tc>
          <w:tcPr>
            <w:tcW w:w="960" w:type="dxa"/>
            <w:tcBorders>
              <w:top w:val="single" w:sz="4" w:space="0" w:color="auto"/>
              <w:left w:val="single" w:sz="4" w:space="0" w:color="auto"/>
              <w:bottom w:val="single" w:sz="4" w:space="0" w:color="auto"/>
            </w:tcBorders>
            <w:shd w:val="clear" w:color="auto" w:fill="auto"/>
            <w:noWrap/>
            <w:hideMark/>
          </w:tcPr>
          <w:p w14:paraId="7988F3CB" w14:textId="3E90E5B8"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-3.216</w:t>
            </w:r>
          </w:p>
        </w:tc>
        <w:tc>
          <w:tcPr>
            <w:tcW w:w="960" w:type="dxa"/>
            <w:tcBorders>
              <w:top w:val="single" w:sz="4" w:space="0" w:color="auto"/>
              <w:bottom w:val="single" w:sz="4" w:space="0" w:color="auto"/>
            </w:tcBorders>
            <w:shd w:val="clear" w:color="auto" w:fill="auto"/>
            <w:noWrap/>
            <w:hideMark/>
          </w:tcPr>
          <w:p w14:paraId="15FD9F18" w14:textId="6A600F04"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-2.610</w:t>
            </w:r>
          </w:p>
        </w:tc>
        <w:tc>
          <w:tcPr>
            <w:tcW w:w="960" w:type="dxa"/>
            <w:tcBorders>
              <w:top w:val="single" w:sz="4" w:space="0" w:color="auto"/>
              <w:bottom w:val="single" w:sz="4" w:space="0" w:color="auto"/>
              <w:right w:val="single" w:sz="4" w:space="0" w:color="auto"/>
            </w:tcBorders>
            <w:shd w:val="clear" w:color="auto" w:fill="auto"/>
            <w:noWrap/>
            <w:hideMark/>
          </w:tcPr>
          <w:p w14:paraId="3DCD285F" w14:textId="10D62E0C"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-2.282</w:t>
            </w:r>
          </w:p>
        </w:tc>
      </w:tr>
      <w:tr w:rsidR="002E554D" w:rsidRPr="002E554D" w14:paraId="773A78C9" w14:textId="77777777" w:rsidTr="00A96C64">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66065" w14:textId="7777777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16CDBB5" w14:textId="294DFD0B"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3.834</w:t>
            </w:r>
          </w:p>
        </w:tc>
        <w:tc>
          <w:tcPr>
            <w:tcW w:w="960" w:type="dxa"/>
            <w:tcBorders>
              <w:top w:val="single" w:sz="4" w:space="0" w:color="auto"/>
              <w:left w:val="single" w:sz="4" w:space="0" w:color="auto"/>
              <w:bottom w:val="single" w:sz="4" w:space="0" w:color="auto"/>
            </w:tcBorders>
            <w:shd w:val="clear" w:color="auto" w:fill="auto"/>
            <w:noWrap/>
            <w:hideMark/>
          </w:tcPr>
          <w:p w14:paraId="78359780" w14:textId="59F99ACD"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-3.112</w:t>
            </w:r>
          </w:p>
        </w:tc>
        <w:tc>
          <w:tcPr>
            <w:tcW w:w="960" w:type="dxa"/>
            <w:tcBorders>
              <w:top w:val="single" w:sz="4" w:space="0" w:color="auto"/>
              <w:bottom w:val="single" w:sz="4" w:space="0" w:color="auto"/>
            </w:tcBorders>
            <w:shd w:val="clear" w:color="auto" w:fill="auto"/>
            <w:noWrap/>
            <w:hideMark/>
          </w:tcPr>
          <w:p w14:paraId="3B02074E" w14:textId="47B42FA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-2.470</w:t>
            </w:r>
          </w:p>
        </w:tc>
        <w:tc>
          <w:tcPr>
            <w:tcW w:w="960" w:type="dxa"/>
            <w:tcBorders>
              <w:top w:val="single" w:sz="4" w:space="0" w:color="auto"/>
              <w:bottom w:val="single" w:sz="4" w:space="0" w:color="auto"/>
              <w:right w:val="single" w:sz="4" w:space="0" w:color="auto"/>
            </w:tcBorders>
            <w:shd w:val="clear" w:color="auto" w:fill="auto"/>
            <w:noWrap/>
            <w:hideMark/>
          </w:tcPr>
          <w:p w14:paraId="57DF1446" w14:textId="78C21141"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419B293" w14:textId="44117163"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1.276</w:t>
            </w:r>
          </w:p>
        </w:tc>
        <w:tc>
          <w:tcPr>
            <w:tcW w:w="960" w:type="dxa"/>
            <w:tcBorders>
              <w:top w:val="single" w:sz="4" w:space="0" w:color="auto"/>
              <w:left w:val="single" w:sz="4" w:space="0" w:color="auto"/>
              <w:bottom w:val="single" w:sz="4" w:space="0" w:color="auto"/>
            </w:tcBorders>
            <w:shd w:val="clear" w:color="auto" w:fill="auto"/>
            <w:noWrap/>
            <w:hideMark/>
          </w:tcPr>
          <w:p w14:paraId="08E46F86" w14:textId="3067471D"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-3.153</w:t>
            </w:r>
          </w:p>
        </w:tc>
        <w:tc>
          <w:tcPr>
            <w:tcW w:w="960" w:type="dxa"/>
            <w:tcBorders>
              <w:top w:val="single" w:sz="4" w:space="0" w:color="auto"/>
              <w:bottom w:val="single" w:sz="4" w:space="0" w:color="auto"/>
            </w:tcBorders>
            <w:shd w:val="clear" w:color="auto" w:fill="auto"/>
            <w:noWrap/>
            <w:hideMark/>
          </w:tcPr>
          <w:p w14:paraId="3E970B0C" w14:textId="361D2AFF"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-2.529</w:t>
            </w:r>
          </w:p>
        </w:tc>
        <w:tc>
          <w:tcPr>
            <w:tcW w:w="960" w:type="dxa"/>
            <w:tcBorders>
              <w:top w:val="single" w:sz="4" w:space="0" w:color="auto"/>
              <w:bottom w:val="single" w:sz="4" w:space="0" w:color="auto"/>
              <w:right w:val="single" w:sz="4" w:space="0" w:color="auto"/>
            </w:tcBorders>
            <w:shd w:val="clear" w:color="auto" w:fill="auto"/>
            <w:noWrap/>
            <w:hideMark/>
          </w:tcPr>
          <w:p w14:paraId="438F9B02" w14:textId="6CDF9963"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-2.192</w:t>
            </w:r>
          </w:p>
        </w:tc>
      </w:tr>
      <w:tr w:rsidR="002E554D" w:rsidRPr="002E554D" w14:paraId="644AFF5F" w14:textId="77777777" w:rsidTr="00A96C64">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8A7CA" w14:textId="7777777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D89B219" w14:textId="14CE6F44"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1.655</w:t>
            </w:r>
          </w:p>
        </w:tc>
        <w:tc>
          <w:tcPr>
            <w:tcW w:w="960" w:type="dxa"/>
            <w:tcBorders>
              <w:top w:val="single" w:sz="4" w:space="0" w:color="auto"/>
              <w:left w:val="single" w:sz="4" w:space="0" w:color="auto"/>
              <w:bottom w:val="single" w:sz="4" w:space="0" w:color="auto"/>
            </w:tcBorders>
            <w:shd w:val="clear" w:color="auto" w:fill="auto"/>
            <w:noWrap/>
            <w:hideMark/>
          </w:tcPr>
          <w:p w14:paraId="16822806" w14:textId="66505C60"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-3.114</w:t>
            </w:r>
          </w:p>
        </w:tc>
        <w:tc>
          <w:tcPr>
            <w:tcW w:w="960" w:type="dxa"/>
            <w:tcBorders>
              <w:top w:val="single" w:sz="4" w:space="0" w:color="auto"/>
              <w:bottom w:val="single" w:sz="4" w:space="0" w:color="auto"/>
            </w:tcBorders>
            <w:shd w:val="clear" w:color="auto" w:fill="auto"/>
            <w:noWrap/>
            <w:hideMark/>
          </w:tcPr>
          <w:p w14:paraId="1A4637D6" w14:textId="4CA89E43"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-2.474</w:t>
            </w:r>
          </w:p>
        </w:tc>
        <w:tc>
          <w:tcPr>
            <w:tcW w:w="960" w:type="dxa"/>
            <w:tcBorders>
              <w:top w:val="single" w:sz="4" w:space="0" w:color="auto"/>
              <w:bottom w:val="single" w:sz="4" w:space="0" w:color="auto"/>
              <w:right w:val="single" w:sz="4" w:space="0" w:color="auto"/>
            </w:tcBorders>
            <w:shd w:val="clear" w:color="auto" w:fill="auto"/>
            <w:noWrap/>
            <w:hideMark/>
          </w:tcPr>
          <w:p w14:paraId="12D8D56D" w14:textId="69C79B8A"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380716B" w14:textId="47C0D8AF"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0.344</w:t>
            </w:r>
          </w:p>
        </w:tc>
        <w:tc>
          <w:tcPr>
            <w:tcW w:w="960" w:type="dxa"/>
            <w:tcBorders>
              <w:top w:val="single" w:sz="4" w:space="0" w:color="auto"/>
              <w:left w:val="single" w:sz="4" w:space="0" w:color="auto"/>
              <w:bottom w:val="single" w:sz="4" w:space="0" w:color="auto"/>
            </w:tcBorders>
            <w:shd w:val="clear" w:color="auto" w:fill="auto"/>
            <w:noWrap/>
            <w:hideMark/>
          </w:tcPr>
          <w:p w14:paraId="118BDFE7" w14:textId="24A8C02C"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-3.166</w:t>
            </w:r>
          </w:p>
        </w:tc>
        <w:tc>
          <w:tcPr>
            <w:tcW w:w="960" w:type="dxa"/>
            <w:tcBorders>
              <w:top w:val="single" w:sz="4" w:space="0" w:color="auto"/>
              <w:bottom w:val="single" w:sz="4" w:space="0" w:color="auto"/>
            </w:tcBorders>
            <w:shd w:val="clear" w:color="auto" w:fill="auto"/>
            <w:noWrap/>
            <w:hideMark/>
          </w:tcPr>
          <w:p w14:paraId="3E196614" w14:textId="6DA3D27A"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-2.548</w:t>
            </w:r>
          </w:p>
        </w:tc>
        <w:tc>
          <w:tcPr>
            <w:tcW w:w="960" w:type="dxa"/>
            <w:tcBorders>
              <w:top w:val="single" w:sz="4" w:space="0" w:color="auto"/>
              <w:bottom w:val="single" w:sz="4" w:space="0" w:color="auto"/>
              <w:right w:val="single" w:sz="4" w:space="0" w:color="auto"/>
            </w:tcBorders>
            <w:shd w:val="clear" w:color="auto" w:fill="auto"/>
            <w:noWrap/>
            <w:hideMark/>
          </w:tcPr>
          <w:p w14:paraId="6F6DD9D7" w14:textId="4AE72954"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-2.212</w:t>
            </w:r>
          </w:p>
        </w:tc>
      </w:tr>
      <w:tr w:rsidR="002E554D" w:rsidRPr="002E554D" w14:paraId="45889E50" w14:textId="77777777" w:rsidTr="00A96C64">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B981" w14:textId="7777777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760431B" w14:textId="06855B9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0.517</w:t>
            </w:r>
          </w:p>
        </w:tc>
        <w:tc>
          <w:tcPr>
            <w:tcW w:w="960" w:type="dxa"/>
            <w:tcBorders>
              <w:top w:val="single" w:sz="4" w:space="0" w:color="auto"/>
              <w:left w:val="single" w:sz="4" w:space="0" w:color="auto"/>
              <w:bottom w:val="single" w:sz="4" w:space="0" w:color="auto"/>
            </w:tcBorders>
            <w:shd w:val="clear" w:color="auto" w:fill="auto"/>
            <w:noWrap/>
            <w:hideMark/>
          </w:tcPr>
          <w:p w14:paraId="22FB5A52" w14:textId="2D9B01EE"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-3.134</w:t>
            </w:r>
          </w:p>
        </w:tc>
        <w:tc>
          <w:tcPr>
            <w:tcW w:w="960" w:type="dxa"/>
            <w:tcBorders>
              <w:top w:val="single" w:sz="4" w:space="0" w:color="auto"/>
              <w:bottom w:val="single" w:sz="4" w:space="0" w:color="auto"/>
            </w:tcBorders>
            <w:shd w:val="clear" w:color="auto" w:fill="auto"/>
            <w:noWrap/>
            <w:hideMark/>
          </w:tcPr>
          <w:p w14:paraId="1FC4CAC4" w14:textId="2CA459F0"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-2.502</w:t>
            </w:r>
          </w:p>
        </w:tc>
        <w:tc>
          <w:tcPr>
            <w:tcW w:w="960" w:type="dxa"/>
            <w:tcBorders>
              <w:top w:val="single" w:sz="4" w:space="0" w:color="auto"/>
              <w:bottom w:val="single" w:sz="4" w:space="0" w:color="auto"/>
              <w:right w:val="single" w:sz="4" w:space="0" w:color="auto"/>
            </w:tcBorders>
            <w:shd w:val="clear" w:color="auto" w:fill="auto"/>
            <w:noWrap/>
            <w:hideMark/>
          </w:tcPr>
          <w:p w14:paraId="5BA385E9" w14:textId="04EAA815"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B552B24" w14:textId="4C3D58E4"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-1.373</w:t>
            </w:r>
          </w:p>
        </w:tc>
        <w:tc>
          <w:tcPr>
            <w:tcW w:w="960" w:type="dxa"/>
            <w:tcBorders>
              <w:top w:val="single" w:sz="4" w:space="0" w:color="auto"/>
              <w:left w:val="single" w:sz="4" w:space="0" w:color="auto"/>
              <w:bottom w:val="single" w:sz="4" w:space="0" w:color="auto"/>
            </w:tcBorders>
            <w:shd w:val="clear" w:color="auto" w:fill="auto"/>
            <w:noWrap/>
            <w:hideMark/>
          </w:tcPr>
          <w:p w14:paraId="7D64C257" w14:textId="4425DB98"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-3.157</w:t>
            </w:r>
          </w:p>
        </w:tc>
        <w:tc>
          <w:tcPr>
            <w:tcW w:w="960" w:type="dxa"/>
            <w:tcBorders>
              <w:top w:val="single" w:sz="4" w:space="0" w:color="auto"/>
              <w:bottom w:val="single" w:sz="4" w:space="0" w:color="auto"/>
            </w:tcBorders>
            <w:shd w:val="clear" w:color="auto" w:fill="auto"/>
            <w:noWrap/>
            <w:hideMark/>
          </w:tcPr>
          <w:p w14:paraId="1D8081A3" w14:textId="1B3D1664"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-2.535</w:t>
            </w:r>
          </w:p>
        </w:tc>
        <w:tc>
          <w:tcPr>
            <w:tcW w:w="960" w:type="dxa"/>
            <w:tcBorders>
              <w:top w:val="single" w:sz="4" w:space="0" w:color="auto"/>
              <w:bottom w:val="single" w:sz="4" w:space="0" w:color="auto"/>
              <w:right w:val="single" w:sz="4" w:space="0" w:color="auto"/>
            </w:tcBorders>
            <w:shd w:val="clear" w:color="auto" w:fill="auto"/>
            <w:noWrap/>
            <w:hideMark/>
          </w:tcPr>
          <w:p w14:paraId="65FA11C5" w14:textId="76D5C49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-2.199</w:t>
            </w:r>
          </w:p>
        </w:tc>
      </w:tr>
      <w:tr w:rsidR="002E554D" w:rsidRPr="002E554D" w14:paraId="4BFCC251" w14:textId="77777777" w:rsidTr="00A96C64">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E448C" w14:textId="7777777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B086E65" w14:textId="39B9783A"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-0.859</w:t>
            </w:r>
          </w:p>
        </w:tc>
        <w:tc>
          <w:tcPr>
            <w:tcW w:w="960" w:type="dxa"/>
            <w:tcBorders>
              <w:top w:val="single" w:sz="4" w:space="0" w:color="auto"/>
              <w:left w:val="single" w:sz="4" w:space="0" w:color="auto"/>
              <w:bottom w:val="single" w:sz="4" w:space="0" w:color="auto"/>
            </w:tcBorders>
            <w:shd w:val="clear" w:color="auto" w:fill="auto"/>
            <w:noWrap/>
            <w:hideMark/>
          </w:tcPr>
          <w:p w14:paraId="0D801A19" w14:textId="6AF5AA7D"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-3.119</w:t>
            </w:r>
          </w:p>
        </w:tc>
        <w:tc>
          <w:tcPr>
            <w:tcW w:w="960" w:type="dxa"/>
            <w:tcBorders>
              <w:top w:val="single" w:sz="4" w:space="0" w:color="auto"/>
              <w:bottom w:val="single" w:sz="4" w:space="0" w:color="auto"/>
            </w:tcBorders>
            <w:shd w:val="clear" w:color="auto" w:fill="auto"/>
            <w:noWrap/>
            <w:hideMark/>
          </w:tcPr>
          <w:p w14:paraId="0675D8DF" w14:textId="595C1298"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-2.481</w:t>
            </w:r>
          </w:p>
        </w:tc>
        <w:tc>
          <w:tcPr>
            <w:tcW w:w="960" w:type="dxa"/>
            <w:tcBorders>
              <w:top w:val="single" w:sz="4" w:space="0" w:color="auto"/>
              <w:bottom w:val="single" w:sz="4" w:space="0" w:color="auto"/>
              <w:right w:val="single" w:sz="4" w:space="0" w:color="auto"/>
            </w:tcBorders>
            <w:shd w:val="clear" w:color="auto" w:fill="auto"/>
            <w:noWrap/>
            <w:hideMark/>
          </w:tcPr>
          <w:p w14:paraId="720DA7CB" w14:textId="5243E711"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0EB0D36" w14:textId="1BE77868"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-0.556</w:t>
            </w:r>
          </w:p>
        </w:tc>
        <w:tc>
          <w:tcPr>
            <w:tcW w:w="960" w:type="dxa"/>
            <w:tcBorders>
              <w:top w:val="single" w:sz="4" w:space="0" w:color="auto"/>
              <w:left w:val="single" w:sz="4" w:space="0" w:color="auto"/>
              <w:bottom w:val="single" w:sz="4" w:space="0" w:color="auto"/>
            </w:tcBorders>
            <w:shd w:val="clear" w:color="auto" w:fill="auto"/>
            <w:noWrap/>
            <w:hideMark/>
          </w:tcPr>
          <w:p w14:paraId="24668AD7" w14:textId="7D68940D"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-3.146</w:t>
            </w:r>
          </w:p>
        </w:tc>
        <w:tc>
          <w:tcPr>
            <w:tcW w:w="960" w:type="dxa"/>
            <w:tcBorders>
              <w:top w:val="single" w:sz="4" w:space="0" w:color="auto"/>
              <w:bottom w:val="single" w:sz="4" w:space="0" w:color="auto"/>
            </w:tcBorders>
            <w:shd w:val="clear" w:color="auto" w:fill="auto"/>
            <w:noWrap/>
            <w:hideMark/>
          </w:tcPr>
          <w:p w14:paraId="0CE912C1" w14:textId="3ED68043"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-2.520</w:t>
            </w:r>
          </w:p>
        </w:tc>
        <w:tc>
          <w:tcPr>
            <w:tcW w:w="960" w:type="dxa"/>
            <w:tcBorders>
              <w:top w:val="single" w:sz="4" w:space="0" w:color="auto"/>
              <w:bottom w:val="single" w:sz="4" w:space="0" w:color="auto"/>
              <w:right w:val="single" w:sz="4" w:space="0" w:color="auto"/>
            </w:tcBorders>
            <w:shd w:val="clear" w:color="auto" w:fill="auto"/>
            <w:noWrap/>
            <w:hideMark/>
          </w:tcPr>
          <w:p w14:paraId="648135E0" w14:textId="082D4CA8"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-2.182</w:t>
            </w:r>
          </w:p>
        </w:tc>
      </w:tr>
      <w:tr w:rsidR="002E554D" w:rsidRPr="002E554D" w14:paraId="1C9772F3" w14:textId="77777777" w:rsidTr="00A96C64">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78580" w14:textId="7777777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D8964CE" w14:textId="4D56B916" w:rsidR="007D626F" w:rsidRPr="002E554D" w:rsidRDefault="007D626F" w:rsidP="007D626F">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-4.138</w:t>
            </w:r>
          </w:p>
        </w:tc>
        <w:tc>
          <w:tcPr>
            <w:tcW w:w="960" w:type="dxa"/>
            <w:tcBorders>
              <w:top w:val="single" w:sz="4" w:space="0" w:color="auto"/>
              <w:left w:val="single" w:sz="4" w:space="0" w:color="auto"/>
              <w:bottom w:val="single" w:sz="4" w:space="0" w:color="auto"/>
            </w:tcBorders>
            <w:shd w:val="clear" w:color="auto" w:fill="auto"/>
            <w:noWrap/>
            <w:hideMark/>
          </w:tcPr>
          <w:p w14:paraId="0AECFC7E" w14:textId="1D652158"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-3.095</w:t>
            </w:r>
          </w:p>
        </w:tc>
        <w:tc>
          <w:tcPr>
            <w:tcW w:w="960" w:type="dxa"/>
            <w:tcBorders>
              <w:top w:val="single" w:sz="4" w:space="0" w:color="auto"/>
              <w:bottom w:val="single" w:sz="4" w:space="0" w:color="auto"/>
            </w:tcBorders>
            <w:shd w:val="clear" w:color="auto" w:fill="auto"/>
            <w:noWrap/>
            <w:hideMark/>
          </w:tcPr>
          <w:p w14:paraId="409F3674" w14:textId="2B709F41"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-2.446</w:t>
            </w:r>
          </w:p>
        </w:tc>
        <w:tc>
          <w:tcPr>
            <w:tcW w:w="960" w:type="dxa"/>
            <w:tcBorders>
              <w:top w:val="single" w:sz="4" w:space="0" w:color="auto"/>
              <w:bottom w:val="single" w:sz="4" w:space="0" w:color="auto"/>
              <w:right w:val="single" w:sz="4" w:space="0" w:color="auto"/>
            </w:tcBorders>
            <w:shd w:val="clear" w:color="auto" w:fill="auto"/>
            <w:noWrap/>
            <w:hideMark/>
          </w:tcPr>
          <w:p w14:paraId="36F8E153" w14:textId="2DFD2C48"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-2.105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4E8F72F" w14:textId="2A6D1AC4" w:rsidR="007D626F" w:rsidRPr="002E554D" w:rsidRDefault="007D626F" w:rsidP="007D626F">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-2.430</w:t>
            </w:r>
          </w:p>
        </w:tc>
        <w:tc>
          <w:tcPr>
            <w:tcW w:w="960" w:type="dxa"/>
            <w:tcBorders>
              <w:top w:val="single" w:sz="4" w:space="0" w:color="auto"/>
              <w:left w:val="single" w:sz="4" w:space="0" w:color="auto"/>
              <w:bottom w:val="single" w:sz="4" w:space="0" w:color="auto"/>
            </w:tcBorders>
            <w:shd w:val="clear" w:color="auto" w:fill="auto"/>
            <w:noWrap/>
            <w:hideMark/>
          </w:tcPr>
          <w:p w14:paraId="785F8B3B" w14:textId="7F7A3961"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-3.113</w:t>
            </w:r>
          </w:p>
        </w:tc>
        <w:tc>
          <w:tcPr>
            <w:tcW w:w="960" w:type="dxa"/>
            <w:tcBorders>
              <w:top w:val="single" w:sz="4" w:space="0" w:color="auto"/>
              <w:bottom w:val="single" w:sz="4" w:space="0" w:color="auto"/>
            </w:tcBorders>
            <w:shd w:val="clear" w:color="auto" w:fill="auto"/>
            <w:noWrap/>
            <w:hideMark/>
          </w:tcPr>
          <w:p w14:paraId="046D4961" w14:textId="65E7968E"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-2.472</w:t>
            </w:r>
          </w:p>
        </w:tc>
        <w:tc>
          <w:tcPr>
            <w:tcW w:w="960" w:type="dxa"/>
            <w:tcBorders>
              <w:top w:val="single" w:sz="4" w:space="0" w:color="auto"/>
              <w:bottom w:val="single" w:sz="4" w:space="0" w:color="auto"/>
              <w:right w:val="single" w:sz="4" w:space="0" w:color="auto"/>
            </w:tcBorders>
            <w:shd w:val="clear" w:color="auto" w:fill="auto"/>
            <w:noWrap/>
            <w:hideMark/>
          </w:tcPr>
          <w:p w14:paraId="6FA4B3ED" w14:textId="7134E526"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-2.132</w:t>
            </w:r>
          </w:p>
        </w:tc>
      </w:tr>
      <w:tr w:rsidR="002E554D" w:rsidRPr="002E554D" w14:paraId="4A647838" w14:textId="77777777" w:rsidTr="00A96C64">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1A4D2" w14:textId="7777777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ABD169C" w14:textId="4A8FF5BA" w:rsidR="007D626F" w:rsidRPr="002E554D" w:rsidRDefault="007D626F" w:rsidP="007D626F">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-5.484</w:t>
            </w:r>
          </w:p>
        </w:tc>
        <w:tc>
          <w:tcPr>
            <w:tcW w:w="960" w:type="dxa"/>
            <w:tcBorders>
              <w:top w:val="single" w:sz="4" w:space="0" w:color="auto"/>
              <w:left w:val="single" w:sz="4" w:space="0" w:color="auto"/>
              <w:bottom w:val="single" w:sz="4" w:space="0" w:color="auto"/>
            </w:tcBorders>
            <w:shd w:val="clear" w:color="auto" w:fill="auto"/>
            <w:noWrap/>
            <w:hideMark/>
          </w:tcPr>
          <w:p w14:paraId="63191E22" w14:textId="238DD113"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-3.074</w:t>
            </w:r>
          </w:p>
        </w:tc>
        <w:tc>
          <w:tcPr>
            <w:tcW w:w="960" w:type="dxa"/>
            <w:tcBorders>
              <w:top w:val="single" w:sz="4" w:space="0" w:color="auto"/>
              <w:bottom w:val="single" w:sz="4" w:space="0" w:color="auto"/>
            </w:tcBorders>
            <w:shd w:val="clear" w:color="auto" w:fill="auto"/>
            <w:noWrap/>
            <w:hideMark/>
          </w:tcPr>
          <w:p w14:paraId="55A5F8C9" w14:textId="4F739EC4"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-2.415</w:t>
            </w:r>
          </w:p>
        </w:tc>
        <w:tc>
          <w:tcPr>
            <w:tcW w:w="960" w:type="dxa"/>
            <w:tcBorders>
              <w:top w:val="single" w:sz="4" w:space="0" w:color="auto"/>
              <w:bottom w:val="single" w:sz="4" w:space="0" w:color="auto"/>
              <w:right w:val="single" w:sz="4" w:space="0" w:color="auto"/>
            </w:tcBorders>
            <w:shd w:val="clear" w:color="auto" w:fill="auto"/>
            <w:noWrap/>
            <w:hideMark/>
          </w:tcPr>
          <w:p w14:paraId="5B460937" w14:textId="5E3F6F8B"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-2.074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8DC66C9" w14:textId="02C57677" w:rsidR="007D626F" w:rsidRPr="002E554D" w:rsidRDefault="007D626F" w:rsidP="007D626F">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-2.408</w:t>
            </w:r>
          </w:p>
        </w:tc>
        <w:tc>
          <w:tcPr>
            <w:tcW w:w="960" w:type="dxa"/>
            <w:tcBorders>
              <w:top w:val="single" w:sz="4" w:space="0" w:color="auto"/>
              <w:left w:val="single" w:sz="4" w:space="0" w:color="auto"/>
              <w:bottom w:val="single" w:sz="4" w:space="0" w:color="auto"/>
            </w:tcBorders>
            <w:shd w:val="clear" w:color="auto" w:fill="auto"/>
            <w:noWrap/>
            <w:hideMark/>
          </w:tcPr>
          <w:p w14:paraId="2A6004C3" w14:textId="7E154E39"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-3.058</w:t>
            </w:r>
          </w:p>
        </w:tc>
        <w:tc>
          <w:tcPr>
            <w:tcW w:w="960" w:type="dxa"/>
            <w:tcBorders>
              <w:top w:val="single" w:sz="4" w:space="0" w:color="auto"/>
              <w:bottom w:val="single" w:sz="4" w:space="0" w:color="auto"/>
            </w:tcBorders>
            <w:shd w:val="clear" w:color="auto" w:fill="auto"/>
            <w:noWrap/>
            <w:hideMark/>
          </w:tcPr>
          <w:p w14:paraId="40A37B37" w14:textId="1189C87A"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-2.396</w:t>
            </w:r>
          </w:p>
        </w:tc>
        <w:tc>
          <w:tcPr>
            <w:tcW w:w="960" w:type="dxa"/>
            <w:tcBorders>
              <w:top w:val="single" w:sz="4" w:space="0" w:color="auto"/>
              <w:bottom w:val="single" w:sz="4" w:space="0" w:color="auto"/>
              <w:right w:val="single" w:sz="4" w:space="0" w:color="auto"/>
            </w:tcBorders>
            <w:shd w:val="clear" w:color="auto" w:fill="auto"/>
            <w:noWrap/>
            <w:hideMark/>
          </w:tcPr>
          <w:p w14:paraId="5ABAC6AB" w14:textId="481F5144"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-2.053</w:t>
            </w:r>
          </w:p>
        </w:tc>
      </w:tr>
      <w:tr w:rsidR="002E554D" w:rsidRPr="002E554D" w14:paraId="03B54338" w14:textId="77777777" w:rsidTr="00A96C64">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4DDFB" w14:textId="7777777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7A48D4C" w14:textId="203AE041" w:rsidR="007D626F" w:rsidRPr="002E554D" w:rsidRDefault="007D626F" w:rsidP="007D626F">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-6.023</w:t>
            </w:r>
          </w:p>
        </w:tc>
        <w:tc>
          <w:tcPr>
            <w:tcW w:w="960" w:type="dxa"/>
            <w:tcBorders>
              <w:top w:val="single" w:sz="4" w:space="0" w:color="auto"/>
              <w:left w:val="single" w:sz="4" w:space="0" w:color="auto"/>
              <w:bottom w:val="single" w:sz="4" w:space="0" w:color="auto"/>
            </w:tcBorders>
            <w:shd w:val="clear" w:color="auto" w:fill="auto"/>
            <w:noWrap/>
            <w:hideMark/>
          </w:tcPr>
          <w:p w14:paraId="3ECD6F68" w14:textId="30D5C025"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-3.025</w:t>
            </w:r>
          </w:p>
        </w:tc>
        <w:tc>
          <w:tcPr>
            <w:tcW w:w="960" w:type="dxa"/>
            <w:tcBorders>
              <w:top w:val="single" w:sz="4" w:space="0" w:color="auto"/>
              <w:bottom w:val="single" w:sz="4" w:space="0" w:color="auto"/>
            </w:tcBorders>
            <w:shd w:val="clear" w:color="auto" w:fill="auto"/>
            <w:noWrap/>
            <w:hideMark/>
          </w:tcPr>
          <w:p w14:paraId="6A37B79B" w14:textId="0ECBB5B3"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-2.369</w:t>
            </w:r>
          </w:p>
        </w:tc>
        <w:tc>
          <w:tcPr>
            <w:tcW w:w="960" w:type="dxa"/>
            <w:tcBorders>
              <w:top w:val="single" w:sz="4" w:space="0" w:color="auto"/>
              <w:bottom w:val="single" w:sz="4" w:space="0" w:color="auto"/>
              <w:right w:val="single" w:sz="4" w:space="0" w:color="auto"/>
            </w:tcBorders>
            <w:shd w:val="clear" w:color="auto" w:fill="auto"/>
            <w:noWrap/>
            <w:hideMark/>
          </w:tcPr>
          <w:p w14:paraId="768B9271" w14:textId="639035EE"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-2.021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37DF0C9" w14:textId="0F4B3F8C" w:rsidR="007D626F" w:rsidRPr="002E554D" w:rsidRDefault="007D626F" w:rsidP="007D626F">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-2.686</w:t>
            </w:r>
          </w:p>
        </w:tc>
        <w:tc>
          <w:tcPr>
            <w:tcW w:w="960" w:type="dxa"/>
            <w:tcBorders>
              <w:top w:val="single" w:sz="4" w:space="0" w:color="auto"/>
              <w:left w:val="single" w:sz="4" w:space="0" w:color="auto"/>
              <w:bottom w:val="single" w:sz="4" w:space="0" w:color="auto"/>
            </w:tcBorders>
            <w:shd w:val="clear" w:color="auto" w:fill="auto"/>
            <w:noWrap/>
            <w:hideMark/>
          </w:tcPr>
          <w:p w14:paraId="718B330C" w14:textId="071D5DC8"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-3.090</w:t>
            </w:r>
          </w:p>
        </w:tc>
        <w:tc>
          <w:tcPr>
            <w:tcW w:w="960" w:type="dxa"/>
            <w:tcBorders>
              <w:top w:val="single" w:sz="4" w:space="0" w:color="auto"/>
              <w:bottom w:val="single" w:sz="4" w:space="0" w:color="auto"/>
            </w:tcBorders>
            <w:shd w:val="clear" w:color="auto" w:fill="auto"/>
            <w:noWrap/>
            <w:hideMark/>
          </w:tcPr>
          <w:p w14:paraId="04324002" w14:textId="733C48C4"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-2.439</w:t>
            </w:r>
          </w:p>
        </w:tc>
        <w:tc>
          <w:tcPr>
            <w:tcW w:w="960" w:type="dxa"/>
            <w:tcBorders>
              <w:top w:val="single" w:sz="4" w:space="0" w:color="auto"/>
              <w:bottom w:val="single" w:sz="4" w:space="0" w:color="auto"/>
              <w:right w:val="single" w:sz="4" w:space="0" w:color="auto"/>
            </w:tcBorders>
            <w:shd w:val="clear" w:color="auto" w:fill="auto"/>
            <w:noWrap/>
            <w:hideMark/>
          </w:tcPr>
          <w:p w14:paraId="16CE4EE4" w14:textId="755706B3"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-2.097</w:t>
            </w:r>
          </w:p>
        </w:tc>
      </w:tr>
      <w:tr w:rsidR="002E554D" w:rsidRPr="002E554D" w14:paraId="13EB4253" w14:textId="77777777" w:rsidTr="00A96C64">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06C45" w14:textId="77777777"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BA6845C" w14:textId="6159C239" w:rsidR="007D626F" w:rsidRPr="002E554D" w:rsidRDefault="007D626F" w:rsidP="007D626F">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-6.720</w:t>
            </w:r>
          </w:p>
        </w:tc>
        <w:tc>
          <w:tcPr>
            <w:tcW w:w="960" w:type="dxa"/>
            <w:tcBorders>
              <w:top w:val="single" w:sz="4" w:space="0" w:color="auto"/>
              <w:left w:val="single" w:sz="4" w:space="0" w:color="auto"/>
              <w:bottom w:val="single" w:sz="4" w:space="0" w:color="auto"/>
            </w:tcBorders>
            <w:shd w:val="clear" w:color="auto" w:fill="auto"/>
            <w:noWrap/>
            <w:hideMark/>
          </w:tcPr>
          <w:p w14:paraId="4E308979" w14:textId="14C8009D"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-2.923</w:t>
            </w:r>
          </w:p>
        </w:tc>
        <w:tc>
          <w:tcPr>
            <w:tcW w:w="960" w:type="dxa"/>
            <w:tcBorders>
              <w:top w:val="single" w:sz="4" w:space="0" w:color="auto"/>
              <w:bottom w:val="single" w:sz="4" w:space="0" w:color="auto"/>
            </w:tcBorders>
            <w:shd w:val="clear" w:color="auto" w:fill="auto"/>
            <w:noWrap/>
            <w:hideMark/>
          </w:tcPr>
          <w:p w14:paraId="3716CECF" w14:textId="53EFE29A"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-2.286</w:t>
            </w:r>
          </w:p>
        </w:tc>
        <w:tc>
          <w:tcPr>
            <w:tcW w:w="960" w:type="dxa"/>
            <w:tcBorders>
              <w:top w:val="single" w:sz="4" w:space="0" w:color="auto"/>
              <w:bottom w:val="single" w:sz="4" w:space="0" w:color="auto"/>
              <w:right w:val="single" w:sz="4" w:space="0" w:color="auto"/>
            </w:tcBorders>
            <w:shd w:val="clear" w:color="auto" w:fill="auto"/>
            <w:noWrap/>
            <w:hideMark/>
          </w:tcPr>
          <w:p w14:paraId="0108AB9A" w14:textId="6CBDAE7F"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-1.926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4ABE29A" w14:textId="3C36AB0A" w:rsidR="007D626F" w:rsidRPr="002E554D" w:rsidRDefault="007D626F" w:rsidP="007D626F">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-3.582</w:t>
            </w:r>
          </w:p>
        </w:tc>
        <w:tc>
          <w:tcPr>
            <w:tcW w:w="960" w:type="dxa"/>
            <w:tcBorders>
              <w:top w:val="single" w:sz="4" w:space="0" w:color="auto"/>
              <w:left w:val="single" w:sz="4" w:space="0" w:color="auto"/>
              <w:bottom w:val="single" w:sz="4" w:space="0" w:color="auto"/>
            </w:tcBorders>
            <w:shd w:val="clear" w:color="auto" w:fill="auto"/>
            <w:noWrap/>
            <w:hideMark/>
          </w:tcPr>
          <w:p w14:paraId="1120F582" w14:textId="4A969608"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-2.957</w:t>
            </w:r>
          </w:p>
        </w:tc>
        <w:tc>
          <w:tcPr>
            <w:tcW w:w="960" w:type="dxa"/>
            <w:tcBorders>
              <w:top w:val="single" w:sz="4" w:space="0" w:color="auto"/>
              <w:bottom w:val="single" w:sz="4" w:space="0" w:color="auto"/>
            </w:tcBorders>
            <w:shd w:val="clear" w:color="auto" w:fill="auto"/>
            <w:noWrap/>
            <w:hideMark/>
          </w:tcPr>
          <w:p w14:paraId="387726B6" w14:textId="2C4D6FD4"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-2.314</w:t>
            </w:r>
          </w:p>
        </w:tc>
        <w:tc>
          <w:tcPr>
            <w:tcW w:w="960" w:type="dxa"/>
            <w:tcBorders>
              <w:top w:val="single" w:sz="4" w:space="0" w:color="auto"/>
              <w:bottom w:val="single" w:sz="4" w:space="0" w:color="auto"/>
              <w:right w:val="single" w:sz="4" w:space="0" w:color="auto"/>
            </w:tcBorders>
            <w:shd w:val="clear" w:color="auto" w:fill="auto"/>
            <w:noWrap/>
            <w:hideMark/>
          </w:tcPr>
          <w:p w14:paraId="4E14ED95" w14:textId="5A93FE66" w:rsidR="007D626F" w:rsidRPr="002E554D" w:rsidRDefault="007D626F" w:rsidP="007D626F">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-1.958</w:t>
            </w:r>
          </w:p>
        </w:tc>
      </w:tr>
      <w:tr w:rsidR="002E554D" w:rsidRPr="002E554D" w14:paraId="0D02DE4B" w14:textId="77777777" w:rsidTr="00855A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C31C9"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 </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EB85F"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IBEX35</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3F1DF"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NASDAQ100</w:t>
            </w:r>
          </w:p>
        </w:tc>
      </w:tr>
      <w:tr w:rsidR="002E554D" w:rsidRPr="002E554D" w14:paraId="30E28295" w14:textId="77777777" w:rsidTr="00077F1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69466"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747ECE3" w14:textId="07348468"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4.693</w:t>
            </w:r>
          </w:p>
        </w:tc>
        <w:tc>
          <w:tcPr>
            <w:tcW w:w="960" w:type="dxa"/>
            <w:tcBorders>
              <w:top w:val="single" w:sz="4" w:space="0" w:color="auto"/>
              <w:left w:val="single" w:sz="4" w:space="0" w:color="auto"/>
              <w:bottom w:val="single" w:sz="4" w:space="0" w:color="auto"/>
            </w:tcBorders>
            <w:shd w:val="clear" w:color="auto" w:fill="auto"/>
            <w:noWrap/>
            <w:hideMark/>
          </w:tcPr>
          <w:p w14:paraId="1D57A685" w14:textId="115B9938"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-3.077</w:t>
            </w:r>
          </w:p>
        </w:tc>
        <w:tc>
          <w:tcPr>
            <w:tcW w:w="960" w:type="dxa"/>
            <w:tcBorders>
              <w:top w:val="single" w:sz="4" w:space="0" w:color="auto"/>
              <w:bottom w:val="single" w:sz="4" w:space="0" w:color="auto"/>
            </w:tcBorders>
            <w:shd w:val="clear" w:color="auto" w:fill="auto"/>
            <w:noWrap/>
            <w:hideMark/>
          </w:tcPr>
          <w:p w14:paraId="469BFF14" w14:textId="7DDD266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-2.420</w:t>
            </w:r>
          </w:p>
        </w:tc>
        <w:tc>
          <w:tcPr>
            <w:tcW w:w="960" w:type="dxa"/>
            <w:tcBorders>
              <w:top w:val="single" w:sz="4" w:space="0" w:color="auto"/>
              <w:bottom w:val="single" w:sz="4" w:space="0" w:color="auto"/>
              <w:right w:val="single" w:sz="4" w:space="0" w:color="auto"/>
            </w:tcBorders>
            <w:shd w:val="clear" w:color="auto" w:fill="auto"/>
            <w:noWrap/>
            <w:hideMark/>
          </w:tcPr>
          <w:p w14:paraId="69957609" w14:textId="1D5C342F"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-2.079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5DE13F5" w14:textId="0716158A"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-0.976</w:t>
            </w:r>
          </w:p>
        </w:tc>
        <w:tc>
          <w:tcPr>
            <w:tcW w:w="960" w:type="dxa"/>
            <w:tcBorders>
              <w:top w:val="single" w:sz="4" w:space="0" w:color="auto"/>
              <w:left w:val="single" w:sz="4" w:space="0" w:color="auto"/>
              <w:bottom w:val="single" w:sz="4" w:space="0" w:color="auto"/>
            </w:tcBorders>
            <w:shd w:val="clear" w:color="auto" w:fill="auto"/>
            <w:noWrap/>
            <w:hideMark/>
          </w:tcPr>
          <w:p w14:paraId="53B06BEE" w14:textId="70DB8ADD"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-3.134</w:t>
            </w:r>
          </w:p>
        </w:tc>
        <w:tc>
          <w:tcPr>
            <w:tcW w:w="960" w:type="dxa"/>
            <w:tcBorders>
              <w:top w:val="single" w:sz="4" w:space="0" w:color="auto"/>
              <w:bottom w:val="single" w:sz="4" w:space="0" w:color="auto"/>
            </w:tcBorders>
            <w:shd w:val="clear" w:color="auto" w:fill="auto"/>
            <w:noWrap/>
            <w:hideMark/>
          </w:tcPr>
          <w:p w14:paraId="32295FB4" w14:textId="76CFF89B"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-2.501</w:t>
            </w:r>
          </w:p>
        </w:tc>
        <w:tc>
          <w:tcPr>
            <w:tcW w:w="960" w:type="dxa"/>
            <w:tcBorders>
              <w:top w:val="single" w:sz="4" w:space="0" w:color="auto"/>
              <w:bottom w:val="single" w:sz="4" w:space="0" w:color="auto"/>
              <w:right w:val="single" w:sz="4" w:space="0" w:color="auto"/>
            </w:tcBorders>
            <w:shd w:val="clear" w:color="auto" w:fill="auto"/>
            <w:noWrap/>
            <w:hideMark/>
          </w:tcPr>
          <w:p w14:paraId="784958D9" w14:textId="34CB4BF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-2.162</w:t>
            </w:r>
          </w:p>
        </w:tc>
      </w:tr>
      <w:tr w:rsidR="002E554D" w:rsidRPr="002E554D" w14:paraId="798A0F58" w14:textId="77777777" w:rsidTr="00077F1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84A71"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50CD9B8" w14:textId="4B47ED06"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4.083</w:t>
            </w:r>
          </w:p>
        </w:tc>
        <w:tc>
          <w:tcPr>
            <w:tcW w:w="960" w:type="dxa"/>
            <w:tcBorders>
              <w:top w:val="single" w:sz="4" w:space="0" w:color="auto"/>
              <w:left w:val="single" w:sz="4" w:space="0" w:color="auto"/>
              <w:bottom w:val="single" w:sz="4" w:space="0" w:color="auto"/>
            </w:tcBorders>
            <w:shd w:val="clear" w:color="auto" w:fill="auto"/>
            <w:noWrap/>
            <w:hideMark/>
          </w:tcPr>
          <w:p w14:paraId="19094DAD" w14:textId="028E200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-3.139</w:t>
            </w:r>
          </w:p>
        </w:tc>
        <w:tc>
          <w:tcPr>
            <w:tcW w:w="960" w:type="dxa"/>
            <w:tcBorders>
              <w:top w:val="single" w:sz="4" w:space="0" w:color="auto"/>
              <w:bottom w:val="single" w:sz="4" w:space="0" w:color="auto"/>
            </w:tcBorders>
            <w:shd w:val="clear" w:color="auto" w:fill="auto"/>
            <w:noWrap/>
            <w:hideMark/>
          </w:tcPr>
          <w:p w14:paraId="14F5938F" w14:textId="46900AD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-2.509</w:t>
            </w:r>
          </w:p>
        </w:tc>
        <w:tc>
          <w:tcPr>
            <w:tcW w:w="960" w:type="dxa"/>
            <w:tcBorders>
              <w:top w:val="single" w:sz="4" w:space="0" w:color="auto"/>
              <w:bottom w:val="single" w:sz="4" w:space="0" w:color="auto"/>
              <w:right w:val="single" w:sz="4" w:space="0" w:color="auto"/>
            </w:tcBorders>
            <w:shd w:val="clear" w:color="auto" w:fill="auto"/>
            <w:noWrap/>
            <w:hideMark/>
          </w:tcPr>
          <w:p w14:paraId="2C2A80C9" w14:textId="5D821440"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59B5C75" w14:textId="4FEE4F50"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-0.545</w:t>
            </w:r>
          </w:p>
        </w:tc>
        <w:tc>
          <w:tcPr>
            <w:tcW w:w="960" w:type="dxa"/>
            <w:tcBorders>
              <w:top w:val="single" w:sz="4" w:space="0" w:color="auto"/>
              <w:left w:val="single" w:sz="4" w:space="0" w:color="auto"/>
              <w:bottom w:val="single" w:sz="4" w:space="0" w:color="auto"/>
            </w:tcBorders>
            <w:shd w:val="clear" w:color="auto" w:fill="auto"/>
            <w:noWrap/>
            <w:hideMark/>
          </w:tcPr>
          <w:p w14:paraId="6436F29B" w14:textId="47E96343"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-3.186</w:t>
            </w:r>
          </w:p>
        </w:tc>
        <w:tc>
          <w:tcPr>
            <w:tcW w:w="960" w:type="dxa"/>
            <w:tcBorders>
              <w:top w:val="single" w:sz="4" w:space="0" w:color="auto"/>
              <w:bottom w:val="single" w:sz="4" w:space="0" w:color="auto"/>
            </w:tcBorders>
            <w:shd w:val="clear" w:color="auto" w:fill="auto"/>
            <w:noWrap/>
            <w:hideMark/>
          </w:tcPr>
          <w:p w14:paraId="2B061920" w14:textId="773C6048"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-2.577</w:t>
            </w:r>
          </w:p>
        </w:tc>
        <w:tc>
          <w:tcPr>
            <w:tcW w:w="960" w:type="dxa"/>
            <w:tcBorders>
              <w:top w:val="single" w:sz="4" w:space="0" w:color="auto"/>
              <w:bottom w:val="single" w:sz="4" w:space="0" w:color="auto"/>
              <w:right w:val="single" w:sz="4" w:space="0" w:color="auto"/>
            </w:tcBorders>
            <w:shd w:val="clear" w:color="auto" w:fill="auto"/>
            <w:noWrap/>
            <w:hideMark/>
          </w:tcPr>
          <w:p w14:paraId="23FE9AEC" w14:textId="482B4966"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-2.244</w:t>
            </w:r>
          </w:p>
        </w:tc>
      </w:tr>
      <w:tr w:rsidR="002E554D" w:rsidRPr="002E554D" w14:paraId="0B258130" w14:textId="77777777" w:rsidTr="00077F1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BAB57"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368F28F" w14:textId="2A9A7A39"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2.334</w:t>
            </w:r>
          </w:p>
        </w:tc>
        <w:tc>
          <w:tcPr>
            <w:tcW w:w="960" w:type="dxa"/>
            <w:tcBorders>
              <w:top w:val="single" w:sz="4" w:space="0" w:color="auto"/>
              <w:left w:val="single" w:sz="4" w:space="0" w:color="auto"/>
              <w:bottom w:val="single" w:sz="4" w:space="0" w:color="auto"/>
            </w:tcBorders>
            <w:shd w:val="clear" w:color="auto" w:fill="auto"/>
            <w:noWrap/>
            <w:hideMark/>
          </w:tcPr>
          <w:p w14:paraId="4C2E3C81" w14:textId="20D6702B"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-3.143</w:t>
            </w:r>
          </w:p>
        </w:tc>
        <w:tc>
          <w:tcPr>
            <w:tcW w:w="960" w:type="dxa"/>
            <w:tcBorders>
              <w:top w:val="single" w:sz="4" w:space="0" w:color="auto"/>
              <w:bottom w:val="single" w:sz="4" w:space="0" w:color="auto"/>
            </w:tcBorders>
            <w:shd w:val="clear" w:color="auto" w:fill="auto"/>
            <w:noWrap/>
            <w:hideMark/>
          </w:tcPr>
          <w:p w14:paraId="24D3F190" w14:textId="72FE185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-2.515</w:t>
            </w:r>
          </w:p>
        </w:tc>
        <w:tc>
          <w:tcPr>
            <w:tcW w:w="960" w:type="dxa"/>
            <w:tcBorders>
              <w:top w:val="single" w:sz="4" w:space="0" w:color="auto"/>
              <w:bottom w:val="single" w:sz="4" w:space="0" w:color="auto"/>
              <w:right w:val="single" w:sz="4" w:space="0" w:color="auto"/>
            </w:tcBorders>
            <w:shd w:val="clear" w:color="auto" w:fill="auto"/>
            <w:noWrap/>
            <w:hideMark/>
          </w:tcPr>
          <w:p w14:paraId="71E6ECD6" w14:textId="0991B35A"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318D18B" w14:textId="36CDB3F1"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-0.885</w:t>
            </w:r>
          </w:p>
        </w:tc>
        <w:tc>
          <w:tcPr>
            <w:tcW w:w="960" w:type="dxa"/>
            <w:tcBorders>
              <w:top w:val="single" w:sz="4" w:space="0" w:color="auto"/>
              <w:left w:val="single" w:sz="4" w:space="0" w:color="auto"/>
              <w:bottom w:val="single" w:sz="4" w:space="0" w:color="auto"/>
            </w:tcBorders>
            <w:shd w:val="clear" w:color="auto" w:fill="auto"/>
            <w:noWrap/>
            <w:hideMark/>
          </w:tcPr>
          <w:p w14:paraId="2A2B8874" w14:textId="326EB18B"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-3.196</w:t>
            </w:r>
          </w:p>
        </w:tc>
        <w:tc>
          <w:tcPr>
            <w:tcW w:w="960" w:type="dxa"/>
            <w:tcBorders>
              <w:top w:val="single" w:sz="4" w:space="0" w:color="auto"/>
              <w:bottom w:val="single" w:sz="4" w:space="0" w:color="auto"/>
            </w:tcBorders>
            <w:shd w:val="clear" w:color="auto" w:fill="auto"/>
            <w:noWrap/>
            <w:hideMark/>
          </w:tcPr>
          <w:p w14:paraId="631EA481" w14:textId="56724768"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-2.589</w:t>
            </w:r>
          </w:p>
        </w:tc>
        <w:tc>
          <w:tcPr>
            <w:tcW w:w="960" w:type="dxa"/>
            <w:tcBorders>
              <w:top w:val="single" w:sz="4" w:space="0" w:color="auto"/>
              <w:bottom w:val="single" w:sz="4" w:space="0" w:color="auto"/>
              <w:right w:val="single" w:sz="4" w:space="0" w:color="auto"/>
            </w:tcBorders>
            <w:shd w:val="clear" w:color="auto" w:fill="auto"/>
            <w:noWrap/>
            <w:hideMark/>
          </w:tcPr>
          <w:p w14:paraId="2999C4F4" w14:textId="6373DECE"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-2.257</w:t>
            </w:r>
          </w:p>
        </w:tc>
      </w:tr>
      <w:tr w:rsidR="002E554D" w:rsidRPr="002E554D" w14:paraId="4B1B1AF5" w14:textId="77777777" w:rsidTr="00077F1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9B8EC"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3980F34" w14:textId="79267A70"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-0.016</w:t>
            </w:r>
          </w:p>
        </w:tc>
        <w:tc>
          <w:tcPr>
            <w:tcW w:w="960" w:type="dxa"/>
            <w:tcBorders>
              <w:top w:val="single" w:sz="4" w:space="0" w:color="auto"/>
              <w:left w:val="single" w:sz="4" w:space="0" w:color="auto"/>
              <w:bottom w:val="single" w:sz="4" w:space="0" w:color="auto"/>
            </w:tcBorders>
            <w:shd w:val="clear" w:color="auto" w:fill="auto"/>
            <w:noWrap/>
            <w:hideMark/>
          </w:tcPr>
          <w:p w14:paraId="4B8BECB8" w14:textId="6B1B6F7A"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-3.141</w:t>
            </w:r>
          </w:p>
        </w:tc>
        <w:tc>
          <w:tcPr>
            <w:tcW w:w="960" w:type="dxa"/>
            <w:tcBorders>
              <w:top w:val="single" w:sz="4" w:space="0" w:color="auto"/>
              <w:bottom w:val="single" w:sz="4" w:space="0" w:color="auto"/>
            </w:tcBorders>
            <w:shd w:val="clear" w:color="auto" w:fill="auto"/>
            <w:noWrap/>
            <w:hideMark/>
          </w:tcPr>
          <w:p w14:paraId="52053CD6" w14:textId="411BFE7F"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-2.512</w:t>
            </w:r>
          </w:p>
        </w:tc>
        <w:tc>
          <w:tcPr>
            <w:tcW w:w="960" w:type="dxa"/>
            <w:tcBorders>
              <w:top w:val="single" w:sz="4" w:space="0" w:color="auto"/>
              <w:bottom w:val="single" w:sz="4" w:space="0" w:color="auto"/>
              <w:right w:val="single" w:sz="4" w:space="0" w:color="auto"/>
            </w:tcBorders>
            <w:shd w:val="clear" w:color="auto" w:fill="auto"/>
            <w:noWrap/>
            <w:hideMark/>
          </w:tcPr>
          <w:p w14:paraId="2DFBD075" w14:textId="7F0078B8"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078F5DE" w14:textId="3ADE9D05"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-0.404</w:t>
            </w:r>
          </w:p>
        </w:tc>
        <w:tc>
          <w:tcPr>
            <w:tcW w:w="960" w:type="dxa"/>
            <w:tcBorders>
              <w:top w:val="single" w:sz="4" w:space="0" w:color="auto"/>
              <w:left w:val="single" w:sz="4" w:space="0" w:color="auto"/>
              <w:bottom w:val="single" w:sz="4" w:space="0" w:color="auto"/>
            </w:tcBorders>
            <w:shd w:val="clear" w:color="auto" w:fill="auto"/>
            <w:noWrap/>
            <w:hideMark/>
          </w:tcPr>
          <w:p w14:paraId="2B7D0590" w14:textId="281A68BE"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-3.190</w:t>
            </w:r>
          </w:p>
        </w:tc>
        <w:tc>
          <w:tcPr>
            <w:tcW w:w="960" w:type="dxa"/>
            <w:tcBorders>
              <w:top w:val="single" w:sz="4" w:space="0" w:color="auto"/>
              <w:bottom w:val="single" w:sz="4" w:space="0" w:color="auto"/>
            </w:tcBorders>
            <w:shd w:val="clear" w:color="auto" w:fill="auto"/>
            <w:noWrap/>
            <w:hideMark/>
          </w:tcPr>
          <w:p w14:paraId="764B3CD3" w14:textId="2AE6CFBD"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-2.583</w:t>
            </w:r>
          </w:p>
        </w:tc>
        <w:tc>
          <w:tcPr>
            <w:tcW w:w="960" w:type="dxa"/>
            <w:tcBorders>
              <w:top w:val="single" w:sz="4" w:space="0" w:color="auto"/>
              <w:bottom w:val="single" w:sz="4" w:space="0" w:color="auto"/>
              <w:right w:val="single" w:sz="4" w:space="0" w:color="auto"/>
            </w:tcBorders>
            <w:shd w:val="clear" w:color="auto" w:fill="auto"/>
            <w:noWrap/>
            <w:hideMark/>
          </w:tcPr>
          <w:p w14:paraId="3F6970D9" w14:textId="1CBF822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-2.250</w:t>
            </w:r>
          </w:p>
        </w:tc>
      </w:tr>
      <w:tr w:rsidR="002E554D" w:rsidRPr="002E554D" w14:paraId="20AE9865" w14:textId="77777777" w:rsidTr="00077F1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618F2"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B57E3FD" w14:textId="15272D75"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-1.875</w:t>
            </w:r>
          </w:p>
        </w:tc>
        <w:tc>
          <w:tcPr>
            <w:tcW w:w="960" w:type="dxa"/>
            <w:tcBorders>
              <w:top w:val="single" w:sz="4" w:space="0" w:color="auto"/>
              <w:left w:val="single" w:sz="4" w:space="0" w:color="auto"/>
              <w:bottom w:val="single" w:sz="4" w:space="0" w:color="auto"/>
            </w:tcBorders>
            <w:shd w:val="clear" w:color="auto" w:fill="auto"/>
            <w:noWrap/>
            <w:hideMark/>
          </w:tcPr>
          <w:p w14:paraId="35D24637" w14:textId="108BA916"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-3.136</w:t>
            </w:r>
          </w:p>
        </w:tc>
        <w:tc>
          <w:tcPr>
            <w:tcW w:w="960" w:type="dxa"/>
            <w:tcBorders>
              <w:top w:val="single" w:sz="4" w:space="0" w:color="auto"/>
              <w:bottom w:val="single" w:sz="4" w:space="0" w:color="auto"/>
            </w:tcBorders>
            <w:shd w:val="clear" w:color="auto" w:fill="auto"/>
            <w:noWrap/>
            <w:hideMark/>
          </w:tcPr>
          <w:p w14:paraId="5EDC75A2" w14:textId="01E16E00"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-2.505</w:t>
            </w:r>
          </w:p>
        </w:tc>
        <w:tc>
          <w:tcPr>
            <w:tcW w:w="960" w:type="dxa"/>
            <w:tcBorders>
              <w:top w:val="single" w:sz="4" w:space="0" w:color="auto"/>
              <w:bottom w:val="single" w:sz="4" w:space="0" w:color="auto"/>
              <w:right w:val="single" w:sz="4" w:space="0" w:color="auto"/>
            </w:tcBorders>
            <w:shd w:val="clear" w:color="auto" w:fill="auto"/>
            <w:noWrap/>
            <w:hideMark/>
          </w:tcPr>
          <w:p w14:paraId="4A99B6E5" w14:textId="4B69A028"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60A5061" w14:textId="145F5A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0.530</w:t>
            </w:r>
          </w:p>
        </w:tc>
        <w:tc>
          <w:tcPr>
            <w:tcW w:w="960" w:type="dxa"/>
            <w:tcBorders>
              <w:top w:val="single" w:sz="4" w:space="0" w:color="auto"/>
              <w:left w:val="single" w:sz="4" w:space="0" w:color="auto"/>
              <w:bottom w:val="single" w:sz="4" w:space="0" w:color="auto"/>
            </w:tcBorders>
            <w:shd w:val="clear" w:color="auto" w:fill="auto"/>
            <w:noWrap/>
            <w:hideMark/>
          </w:tcPr>
          <w:p w14:paraId="54BA3CE7" w14:textId="0BB2D5E8"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-3.183</w:t>
            </w:r>
          </w:p>
        </w:tc>
        <w:tc>
          <w:tcPr>
            <w:tcW w:w="960" w:type="dxa"/>
            <w:tcBorders>
              <w:top w:val="single" w:sz="4" w:space="0" w:color="auto"/>
              <w:bottom w:val="single" w:sz="4" w:space="0" w:color="auto"/>
            </w:tcBorders>
            <w:shd w:val="clear" w:color="auto" w:fill="auto"/>
            <w:noWrap/>
            <w:hideMark/>
          </w:tcPr>
          <w:p w14:paraId="07BF5572" w14:textId="29BF1083"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-2.572</w:t>
            </w:r>
          </w:p>
        </w:tc>
        <w:tc>
          <w:tcPr>
            <w:tcW w:w="960" w:type="dxa"/>
            <w:tcBorders>
              <w:top w:val="single" w:sz="4" w:space="0" w:color="auto"/>
              <w:bottom w:val="single" w:sz="4" w:space="0" w:color="auto"/>
              <w:right w:val="single" w:sz="4" w:space="0" w:color="auto"/>
            </w:tcBorders>
            <w:shd w:val="clear" w:color="auto" w:fill="auto"/>
            <w:noWrap/>
            <w:hideMark/>
          </w:tcPr>
          <w:p w14:paraId="523D9CA0" w14:textId="0A1739A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-2.239</w:t>
            </w:r>
          </w:p>
        </w:tc>
      </w:tr>
      <w:tr w:rsidR="002E554D" w:rsidRPr="002E554D" w14:paraId="5EB8AB26" w14:textId="77777777" w:rsidTr="00077F1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90E3D"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D44392B" w14:textId="51428174"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-4.115</w:t>
            </w:r>
          </w:p>
        </w:tc>
        <w:tc>
          <w:tcPr>
            <w:tcW w:w="960" w:type="dxa"/>
            <w:tcBorders>
              <w:top w:val="single" w:sz="4" w:space="0" w:color="auto"/>
              <w:left w:val="single" w:sz="4" w:space="0" w:color="auto"/>
              <w:bottom w:val="single" w:sz="4" w:space="0" w:color="auto"/>
            </w:tcBorders>
            <w:shd w:val="clear" w:color="auto" w:fill="auto"/>
            <w:noWrap/>
            <w:hideMark/>
          </w:tcPr>
          <w:p w14:paraId="0D51D588" w14:textId="1A27470B"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-3.132</w:t>
            </w:r>
          </w:p>
        </w:tc>
        <w:tc>
          <w:tcPr>
            <w:tcW w:w="960" w:type="dxa"/>
            <w:tcBorders>
              <w:top w:val="single" w:sz="4" w:space="0" w:color="auto"/>
              <w:bottom w:val="single" w:sz="4" w:space="0" w:color="auto"/>
            </w:tcBorders>
            <w:shd w:val="clear" w:color="auto" w:fill="auto"/>
            <w:noWrap/>
            <w:hideMark/>
          </w:tcPr>
          <w:p w14:paraId="17796AA5" w14:textId="1508E263"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-2.499</w:t>
            </w:r>
          </w:p>
        </w:tc>
        <w:tc>
          <w:tcPr>
            <w:tcW w:w="960" w:type="dxa"/>
            <w:tcBorders>
              <w:top w:val="single" w:sz="4" w:space="0" w:color="auto"/>
              <w:bottom w:val="single" w:sz="4" w:space="0" w:color="auto"/>
              <w:right w:val="single" w:sz="4" w:space="0" w:color="auto"/>
            </w:tcBorders>
            <w:shd w:val="clear" w:color="auto" w:fill="auto"/>
            <w:noWrap/>
            <w:hideMark/>
          </w:tcPr>
          <w:p w14:paraId="27FD042D" w14:textId="3B98741A"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095E9B9" w14:textId="1A969E30"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0.949</w:t>
            </w:r>
          </w:p>
        </w:tc>
        <w:tc>
          <w:tcPr>
            <w:tcW w:w="960" w:type="dxa"/>
            <w:tcBorders>
              <w:top w:val="single" w:sz="4" w:space="0" w:color="auto"/>
              <w:left w:val="single" w:sz="4" w:space="0" w:color="auto"/>
              <w:bottom w:val="single" w:sz="4" w:space="0" w:color="auto"/>
            </w:tcBorders>
            <w:shd w:val="clear" w:color="auto" w:fill="auto"/>
            <w:noWrap/>
            <w:hideMark/>
          </w:tcPr>
          <w:p w14:paraId="02341A9A" w14:textId="5D7C9E66"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-3.164</w:t>
            </w:r>
          </w:p>
        </w:tc>
        <w:tc>
          <w:tcPr>
            <w:tcW w:w="960" w:type="dxa"/>
            <w:tcBorders>
              <w:top w:val="single" w:sz="4" w:space="0" w:color="auto"/>
              <w:bottom w:val="single" w:sz="4" w:space="0" w:color="auto"/>
            </w:tcBorders>
            <w:shd w:val="clear" w:color="auto" w:fill="auto"/>
            <w:noWrap/>
            <w:hideMark/>
          </w:tcPr>
          <w:p w14:paraId="23ED48DC" w14:textId="6C0B3E30"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-2.545</w:t>
            </w:r>
          </w:p>
        </w:tc>
        <w:tc>
          <w:tcPr>
            <w:tcW w:w="960" w:type="dxa"/>
            <w:tcBorders>
              <w:top w:val="single" w:sz="4" w:space="0" w:color="auto"/>
              <w:bottom w:val="single" w:sz="4" w:space="0" w:color="auto"/>
              <w:right w:val="single" w:sz="4" w:space="0" w:color="auto"/>
            </w:tcBorders>
            <w:shd w:val="clear" w:color="auto" w:fill="auto"/>
            <w:noWrap/>
            <w:hideMark/>
          </w:tcPr>
          <w:p w14:paraId="6110DB44" w14:textId="51418405"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-2.210</w:t>
            </w:r>
          </w:p>
        </w:tc>
      </w:tr>
      <w:tr w:rsidR="002E554D" w:rsidRPr="002E554D" w14:paraId="677A314B" w14:textId="77777777" w:rsidTr="00077F1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ABCC6"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E78EE50" w14:textId="50C17A7C"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-5.698</w:t>
            </w:r>
          </w:p>
        </w:tc>
        <w:tc>
          <w:tcPr>
            <w:tcW w:w="960" w:type="dxa"/>
            <w:tcBorders>
              <w:top w:val="single" w:sz="4" w:space="0" w:color="auto"/>
              <w:left w:val="single" w:sz="4" w:space="0" w:color="auto"/>
              <w:bottom w:val="single" w:sz="4" w:space="0" w:color="auto"/>
            </w:tcBorders>
            <w:shd w:val="clear" w:color="auto" w:fill="auto"/>
            <w:noWrap/>
            <w:hideMark/>
          </w:tcPr>
          <w:p w14:paraId="005B72F8" w14:textId="654491FF"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-3.109</w:t>
            </w:r>
          </w:p>
        </w:tc>
        <w:tc>
          <w:tcPr>
            <w:tcW w:w="960" w:type="dxa"/>
            <w:tcBorders>
              <w:top w:val="single" w:sz="4" w:space="0" w:color="auto"/>
              <w:bottom w:val="single" w:sz="4" w:space="0" w:color="auto"/>
            </w:tcBorders>
            <w:shd w:val="clear" w:color="auto" w:fill="auto"/>
            <w:noWrap/>
            <w:hideMark/>
          </w:tcPr>
          <w:p w14:paraId="4F5649F7" w14:textId="65195E85"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-2.466</w:t>
            </w:r>
          </w:p>
        </w:tc>
        <w:tc>
          <w:tcPr>
            <w:tcW w:w="960" w:type="dxa"/>
            <w:tcBorders>
              <w:top w:val="single" w:sz="4" w:space="0" w:color="auto"/>
              <w:bottom w:val="single" w:sz="4" w:space="0" w:color="auto"/>
              <w:right w:val="single" w:sz="4" w:space="0" w:color="auto"/>
            </w:tcBorders>
            <w:shd w:val="clear" w:color="auto" w:fill="auto"/>
            <w:noWrap/>
            <w:hideMark/>
          </w:tcPr>
          <w:p w14:paraId="3C607993" w14:textId="14FB982B"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C24D365" w14:textId="19A5E3BC"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2.260</w:t>
            </w:r>
          </w:p>
        </w:tc>
        <w:tc>
          <w:tcPr>
            <w:tcW w:w="960" w:type="dxa"/>
            <w:tcBorders>
              <w:top w:val="single" w:sz="4" w:space="0" w:color="auto"/>
              <w:left w:val="single" w:sz="4" w:space="0" w:color="auto"/>
              <w:bottom w:val="single" w:sz="4" w:space="0" w:color="auto"/>
            </w:tcBorders>
            <w:shd w:val="clear" w:color="auto" w:fill="auto"/>
            <w:noWrap/>
            <w:hideMark/>
          </w:tcPr>
          <w:p w14:paraId="0BCE9F1D" w14:textId="02D41D0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-3.145</w:t>
            </w:r>
          </w:p>
        </w:tc>
        <w:tc>
          <w:tcPr>
            <w:tcW w:w="960" w:type="dxa"/>
            <w:tcBorders>
              <w:top w:val="single" w:sz="4" w:space="0" w:color="auto"/>
              <w:bottom w:val="single" w:sz="4" w:space="0" w:color="auto"/>
            </w:tcBorders>
            <w:shd w:val="clear" w:color="auto" w:fill="auto"/>
            <w:noWrap/>
            <w:hideMark/>
          </w:tcPr>
          <w:p w14:paraId="10BAD1B6" w14:textId="6F7A2B3D"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-2.517</w:t>
            </w:r>
          </w:p>
        </w:tc>
        <w:tc>
          <w:tcPr>
            <w:tcW w:w="960" w:type="dxa"/>
            <w:tcBorders>
              <w:top w:val="single" w:sz="4" w:space="0" w:color="auto"/>
              <w:bottom w:val="single" w:sz="4" w:space="0" w:color="auto"/>
              <w:right w:val="single" w:sz="4" w:space="0" w:color="auto"/>
            </w:tcBorders>
            <w:shd w:val="clear" w:color="auto" w:fill="auto"/>
            <w:noWrap/>
            <w:hideMark/>
          </w:tcPr>
          <w:p w14:paraId="6A0BF31B" w14:textId="04CD4AB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-2.179</w:t>
            </w:r>
          </w:p>
        </w:tc>
      </w:tr>
      <w:tr w:rsidR="002E554D" w:rsidRPr="002E554D" w14:paraId="7120BB4D" w14:textId="77777777" w:rsidTr="00077F1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1E5F5"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A9FCE6F" w14:textId="67CFAA90"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-7.573</w:t>
            </w:r>
          </w:p>
        </w:tc>
        <w:tc>
          <w:tcPr>
            <w:tcW w:w="960" w:type="dxa"/>
            <w:tcBorders>
              <w:top w:val="single" w:sz="4" w:space="0" w:color="auto"/>
              <w:left w:val="single" w:sz="4" w:space="0" w:color="auto"/>
              <w:bottom w:val="single" w:sz="4" w:space="0" w:color="auto"/>
            </w:tcBorders>
            <w:shd w:val="clear" w:color="auto" w:fill="auto"/>
            <w:noWrap/>
            <w:hideMark/>
          </w:tcPr>
          <w:p w14:paraId="2FBF376A" w14:textId="40F1DABB"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-3.074</w:t>
            </w:r>
          </w:p>
        </w:tc>
        <w:tc>
          <w:tcPr>
            <w:tcW w:w="960" w:type="dxa"/>
            <w:tcBorders>
              <w:top w:val="single" w:sz="4" w:space="0" w:color="auto"/>
              <w:bottom w:val="single" w:sz="4" w:space="0" w:color="auto"/>
            </w:tcBorders>
            <w:shd w:val="clear" w:color="auto" w:fill="auto"/>
            <w:noWrap/>
            <w:hideMark/>
          </w:tcPr>
          <w:p w14:paraId="55BDB519" w14:textId="39758750"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-2.416</w:t>
            </w:r>
          </w:p>
        </w:tc>
        <w:tc>
          <w:tcPr>
            <w:tcW w:w="960" w:type="dxa"/>
            <w:tcBorders>
              <w:top w:val="single" w:sz="4" w:space="0" w:color="auto"/>
              <w:bottom w:val="single" w:sz="4" w:space="0" w:color="auto"/>
              <w:right w:val="single" w:sz="4" w:space="0" w:color="auto"/>
            </w:tcBorders>
            <w:shd w:val="clear" w:color="auto" w:fill="auto"/>
            <w:noWrap/>
            <w:hideMark/>
          </w:tcPr>
          <w:p w14:paraId="69D966E2" w14:textId="3CF9B77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-2.074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44CCE08" w14:textId="77528FA1"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1.657</w:t>
            </w:r>
          </w:p>
        </w:tc>
        <w:tc>
          <w:tcPr>
            <w:tcW w:w="960" w:type="dxa"/>
            <w:tcBorders>
              <w:top w:val="single" w:sz="4" w:space="0" w:color="auto"/>
              <w:left w:val="single" w:sz="4" w:space="0" w:color="auto"/>
              <w:bottom w:val="single" w:sz="4" w:space="0" w:color="auto"/>
            </w:tcBorders>
            <w:shd w:val="clear" w:color="auto" w:fill="auto"/>
            <w:noWrap/>
            <w:hideMark/>
          </w:tcPr>
          <w:p w14:paraId="2188F242" w14:textId="50478DC6"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-3.054</w:t>
            </w:r>
          </w:p>
        </w:tc>
        <w:tc>
          <w:tcPr>
            <w:tcW w:w="960" w:type="dxa"/>
            <w:tcBorders>
              <w:top w:val="single" w:sz="4" w:space="0" w:color="auto"/>
              <w:bottom w:val="single" w:sz="4" w:space="0" w:color="auto"/>
            </w:tcBorders>
            <w:shd w:val="clear" w:color="auto" w:fill="auto"/>
            <w:noWrap/>
            <w:hideMark/>
          </w:tcPr>
          <w:p w14:paraId="1DC2904A" w14:textId="55E99106"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-2.392</w:t>
            </w:r>
          </w:p>
        </w:tc>
        <w:tc>
          <w:tcPr>
            <w:tcW w:w="960" w:type="dxa"/>
            <w:tcBorders>
              <w:top w:val="single" w:sz="4" w:space="0" w:color="auto"/>
              <w:bottom w:val="single" w:sz="4" w:space="0" w:color="auto"/>
              <w:right w:val="single" w:sz="4" w:space="0" w:color="auto"/>
            </w:tcBorders>
            <w:shd w:val="clear" w:color="auto" w:fill="auto"/>
            <w:noWrap/>
            <w:hideMark/>
          </w:tcPr>
          <w:p w14:paraId="4C263735" w14:textId="0F6BEE6E"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-2.049</w:t>
            </w:r>
          </w:p>
        </w:tc>
      </w:tr>
      <w:tr w:rsidR="002E554D" w:rsidRPr="002E554D" w14:paraId="4937ED43" w14:textId="77777777" w:rsidTr="00077F1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6B04"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71C3D9D" w14:textId="37328BD2"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-7.019</w:t>
            </w:r>
          </w:p>
        </w:tc>
        <w:tc>
          <w:tcPr>
            <w:tcW w:w="960" w:type="dxa"/>
            <w:tcBorders>
              <w:top w:val="single" w:sz="4" w:space="0" w:color="auto"/>
              <w:left w:val="single" w:sz="4" w:space="0" w:color="auto"/>
              <w:bottom w:val="single" w:sz="4" w:space="0" w:color="auto"/>
            </w:tcBorders>
            <w:shd w:val="clear" w:color="auto" w:fill="auto"/>
            <w:noWrap/>
            <w:hideMark/>
          </w:tcPr>
          <w:p w14:paraId="31747C9D" w14:textId="6B63681F"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-3.006</w:t>
            </w:r>
          </w:p>
        </w:tc>
        <w:tc>
          <w:tcPr>
            <w:tcW w:w="960" w:type="dxa"/>
            <w:tcBorders>
              <w:top w:val="single" w:sz="4" w:space="0" w:color="auto"/>
              <w:bottom w:val="single" w:sz="4" w:space="0" w:color="auto"/>
            </w:tcBorders>
            <w:shd w:val="clear" w:color="auto" w:fill="auto"/>
            <w:noWrap/>
            <w:hideMark/>
          </w:tcPr>
          <w:p w14:paraId="5CDD5EF0" w14:textId="5B44C6B3"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-2.353</w:t>
            </w:r>
          </w:p>
        </w:tc>
        <w:tc>
          <w:tcPr>
            <w:tcW w:w="960" w:type="dxa"/>
            <w:tcBorders>
              <w:top w:val="single" w:sz="4" w:space="0" w:color="auto"/>
              <w:bottom w:val="single" w:sz="4" w:space="0" w:color="auto"/>
              <w:right w:val="single" w:sz="4" w:space="0" w:color="auto"/>
            </w:tcBorders>
            <w:shd w:val="clear" w:color="auto" w:fill="auto"/>
            <w:noWrap/>
            <w:hideMark/>
          </w:tcPr>
          <w:p w14:paraId="338FF71A" w14:textId="09A57646"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5077916" w14:textId="244E2092"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1.022</w:t>
            </w:r>
          </w:p>
        </w:tc>
        <w:tc>
          <w:tcPr>
            <w:tcW w:w="960" w:type="dxa"/>
            <w:tcBorders>
              <w:top w:val="single" w:sz="4" w:space="0" w:color="auto"/>
              <w:left w:val="single" w:sz="4" w:space="0" w:color="auto"/>
              <w:bottom w:val="single" w:sz="4" w:space="0" w:color="auto"/>
            </w:tcBorders>
            <w:shd w:val="clear" w:color="auto" w:fill="auto"/>
            <w:noWrap/>
            <w:hideMark/>
          </w:tcPr>
          <w:p w14:paraId="7ABD1642" w14:textId="2B1A9589"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-2.933</w:t>
            </w:r>
          </w:p>
        </w:tc>
        <w:tc>
          <w:tcPr>
            <w:tcW w:w="960" w:type="dxa"/>
            <w:tcBorders>
              <w:top w:val="single" w:sz="4" w:space="0" w:color="auto"/>
              <w:bottom w:val="single" w:sz="4" w:space="0" w:color="auto"/>
            </w:tcBorders>
            <w:shd w:val="clear" w:color="auto" w:fill="auto"/>
            <w:noWrap/>
            <w:hideMark/>
          </w:tcPr>
          <w:p w14:paraId="430BD6F1" w14:textId="0BBE810A"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-2.294</w:t>
            </w:r>
          </w:p>
        </w:tc>
        <w:tc>
          <w:tcPr>
            <w:tcW w:w="960" w:type="dxa"/>
            <w:tcBorders>
              <w:top w:val="single" w:sz="4" w:space="0" w:color="auto"/>
              <w:bottom w:val="single" w:sz="4" w:space="0" w:color="auto"/>
              <w:right w:val="single" w:sz="4" w:space="0" w:color="auto"/>
            </w:tcBorders>
            <w:shd w:val="clear" w:color="auto" w:fill="auto"/>
            <w:noWrap/>
            <w:hideMark/>
          </w:tcPr>
          <w:p w14:paraId="3841A3DB" w14:textId="289E8835"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-1.935</w:t>
            </w:r>
          </w:p>
        </w:tc>
      </w:tr>
      <w:tr w:rsidR="002E554D" w:rsidRPr="002E554D" w14:paraId="33E53617" w14:textId="77777777" w:rsidTr="00855A31">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601FA" w14:textId="77777777" w:rsidR="00771184" w:rsidRPr="002E554D" w:rsidRDefault="00771184" w:rsidP="00771184">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 </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971A"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NIKKEI.225</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FC4FF"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PSI20</w:t>
            </w:r>
          </w:p>
        </w:tc>
      </w:tr>
      <w:tr w:rsidR="002E554D" w:rsidRPr="002E554D" w14:paraId="049159D9" w14:textId="77777777" w:rsidTr="00E81E77">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8E6D2"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C9BF7A8" w14:textId="33CEB91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0.956</w:t>
            </w:r>
          </w:p>
        </w:tc>
        <w:tc>
          <w:tcPr>
            <w:tcW w:w="960" w:type="dxa"/>
            <w:tcBorders>
              <w:top w:val="single" w:sz="4" w:space="0" w:color="auto"/>
              <w:left w:val="single" w:sz="4" w:space="0" w:color="auto"/>
              <w:bottom w:val="single" w:sz="4" w:space="0" w:color="auto"/>
            </w:tcBorders>
            <w:shd w:val="clear" w:color="auto" w:fill="auto"/>
            <w:noWrap/>
            <w:hideMark/>
          </w:tcPr>
          <w:p w14:paraId="2678BB21" w14:textId="2AF611D3"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-3.163</w:t>
            </w:r>
          </w:p>
        </w:tc>
        <w:tc>
          <w:tcPr>
            <w:tcW w:w="960" w:type="dxa"/>
            <w:tcBorders>
              <w:top w:val="single" w:sz="4" w:space="0" w:color="auto"/>
              <w:bottom w:val="single" w:sz="4" w:space="0" w:color="auto"/>
            </w:tcBorders>
            <w:shd w:val="clear" w:color="auto" w:fill="auto"/>
            <w:noWrap/>
            <w:hideMark/>
          </w:tcPr>
          <w:p w14:paraId="00AFA554" w14:textId="272E3796"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-2.544</w:t>
            </w:r>
          </w:p>
        </w:tc>
        <w:tc>
          <w:tcPr>
            <w:tcW w:w="960" w:type="dxa"/>
            <w:tcBorders>
              <w:top w:val="single" w:sz="4" w:space="0" w:color="auto"/>
              <w:bottom w:val="single" w:sz="4" w:space="0" w:color="auto"/>
              <w:right w:val="single" w:sz="4" w:space="0" w:color="auto"/>
            </w:tcBorders>
            <w:shd w:val="clear" w:color="auto" w:fill="auto"/>
            <w:noWrap/>
            <w:hideMark/>
          </w:tcPr>
          <w:p w14:paraId="6D662DCD" w14:textId="1FA4890E"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3F80AB6" w14:textId="4867E242"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3.244</w:t>
            </w:r>
          </w:p>
        </w:tc>
        <w:tc>
          <w:tcPr>
            <w:tcW w:w="960" w:type="dxa"/>
            <w:tcBorders>
              <w:top w:val="single" w:sz="4" w:space="0" w:color="auto"/>
              <w:left w:val="single" w:sz="4" w:space="0" w:color="auto"/>
              <w:bottom w:val="single" w:sz="4" w:space="0" w:color="auto"/>
            </w:tcBorders>
            <w:shd w:val="clear" w:color="auto" w:fill="auto"/>
            <w:noWrap/>
            <w:hideMark/>
          </w:tcPr>
          <w:p w14:paraId="5DBFA316" w14:textId="7BA241B3"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-3.084</w:t>
            </w:r>
          </w:p>
        </w:tc>
        <w:tc>
          <w:tcPr>
            <w:tcW w:w="960" w:type="dxa"/>
            <w:tcBorders>
              <w:top w:val="single" w:sz="4" w:space="0" w:color="auto"/>
              <w:bottom w:val="single" w:sz="4" w:space="0" w:color="auto"/>
            </w:tcBorders>
            <w:shd w:val="clear" w:color="auto" w:fill="auto"/>
            <w:noWrap/>
            <w:hideMark/>
          </w:tcPr>
          <w:p w14:paraId="1BE05AF6" w14:textId="3AC335E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-2.430</w:t>
            </w:r>
          </w:p>
        </w:tc>
        <w:tc>
          <w:tcPr>
            <w:tcW w:w="960" w:type="dxa"/>
            <w:tcBorders>
              <w:top w:val="single" w:sz="4" w:space="0" w:color="auto"/>
              <w:bottom w:val="single" w:sz="4" w:space="0" w:color="auto"/>
              <w:right w:val="single" w:sz="4" w:space="0" w:color="auto"/>
            </w:tcBorders>
            <w:shd w:val="clear" w:color="auto" w:fill="auto"/>
            <w:noWrap/>
            <w:hideMark/>
          </w:tcPr>
          <w:p w14:paraId="090E4C4A" w14:textId="425261A1"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-2.089</w:t>
            </w:r>
          </w:p>
        </w:tc>
      </w:tr>
      <w:tr w:rsidR="002E554D" w:rsidRPr="002E554D" w14:paraId="33A54AB3" w14:textId="77777777" w:rsidTr="00E81E77">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9EB1"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F44C35D" w14:textId="2B610480"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0.560</w:t>
            </w:r>
          </w:p>
        </w:tc>
        <w:tc>
          <w:tcPr>
            <w:tcW w:w="960" w:type="dxa"/>
            <w:tcBorders>
              <w:top w:val="single" w:sz="4" w:space="0" w:color="auto"/>
              <w:left w:val="single" w:sz="4" w:space="0" w:color="auto"/>
              <w:bottom w:val="single" w:sz="4" w:space="0" w:color="auto"/>
            </w:tcBorders>
            <w:shd w:val="clear" w:color="auto" w:fill="auto"/>
            <w:noWrap/>
            <w:hideMark/>
          </w:tcPr>
          <w:p w14:paraId="0C07C98A" w14:textId="61CDAA1F"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-3.158</w:t>
            </w:r>
          </w:p>
        </w:tc>
        <w:tc>
          <w:tcPr>
            <w:tcW w:w="960" w:type="dxa"/>
            <w:tcBorders>
              <w:top w:val="single" w:sz="4" w:space="0" w:color="auto"/>
              <w:bottom w:val="single" w:sz="4" w:space="0" w:color="auto"/>
            </w:tcBorders>
            <w:shd w:val="clear" w:color="auto" w:fill="auto"/>
            <w:noWrap/>
            <w:hideMark/>
          </w:tcPr>
          <w:p w14:paraId="21CB6543" w14:textId="0247BCD8"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-2.537</w:t>
            </w:r>
          </w:p>
        </w:tc>
        <w:tc>
          <w:tcPr>
            <w:tcW w:w="960" w:type="dxa"/>
            <w:tcBorders>
              <w:top w:val="single" w:sz="4" w:space="0" w:color="auto"/>
              <w:bottom w:val="single" w:sz="4" w:space="0" w:color="auto"/>
              <w:right w:val="single" w:sz="4" w:space="0" w:color="auto"/>
            </w:tcBorders>
            <w:shd w:val="clear" w:color="auto" w:fill="auto"/>
            <w:noWrap/>
            <w:hideMark/>
          </w:tcPr>
          <w:p w14:paraId="12F882AD" w14:textId="2D35359C"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2B9D753" w14:textId="3811E1A3"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3.412</w:t>
            </w:r>
          </w:p>
        </w:tc>
        <w:tc>
          <w:tcPr>
            <w:tcW w:w="960" w:type="dxa"/>
            <w:tcBorders>
              <w:top w:val="single" w:sz="4" w:space="0" w:color="auto"/>
              <w:left w:val="single" w:sz="4" w:space="0" w:color="auto"/>
              <w:bottom w:val="single" w:sz="4" w:space="0" w:color="auto"/>
            </w:tcBorders>
            <w:shd w:val="clear" w:color="auto" w:fill="auto"/>
            <w:noWrap/>
            <w:hideMark/>
          </w:tcPr>
          <w:p w14:paraId="0E867900" w14:textId="1695726B"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-3.138</w:t>
            </w:r>
          </w:p>
        </w:tc>
        <w:tc>
          <w:tcPr>
            <w:tcW w:w="960" w:type="dxa"/>
            <w:tcBorders>
              <w:top w:val="single" w:sz="4" w:space="0" w:color="auto"/>
              <w:bottom w:val="single" w:sz="4" w:space="0" w:color="auto"/>
            </w:tcBorders>
            <w:shd w:val="clear" w:color="auto" w:fill="auto"/>
            <w:noWrap/>
            <w:hideMark/>
          </w:tcPr>
          <w:p w14:paraId="57DCB36A" w14:textId="58C4A10D"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-2.507</w:t>
            </w:r>
          </w:p>
        </w:tc>
        <w:tc>
          <w:tcPr>
            <w:tcW w:w="960" w:type="dxa"/>
            <w:tcBorders>
              <w:top w:val="single" w:sz="4" w:space="0" w:color="auto"/>
              <w:bottom w:val="single" w:sz="4" w:space="0" w:color="auto"/>
              <w:right w:val="single" w:sz="4" w:space="0" w:color="auto"/>
            </w:tcBorders>
            <w:shd w:val="clear" w:color="auto" w:fill="auto"/>
            <w:noWrap/>
            <w:hideMark/>
          </w:tcPr>
          <w:p w14:paraId="48DBCF1C" w14:textId="21684430"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-2.169</w:t>
            </w:r>
          </w:p>
        </w:tc>
      </w:tr>
      <w:tr w:rsidR="002E554D" w:rsidRPr="002E554D" w14:paraId="658DE7C3" w14:textId="77777777" w:rsidTr="00E81E77">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F9396"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73DC42D" w14:textId="2820D588"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-0.423</w:t>
            </w:r>
          </w:p>
        </w:tc>
        <w:tc>
          <w:tcPr>
            <w:tcW w:w="960" w:type="dxa"/>
            <w:tcBorders>
              <w:top w:val="single" w:sz="4" w:space="0" w:color="auto"/>
              <w:left w:val="single" w:sz="4" w:space="0" w:color="auto"/>
              <w:bottom w:val="single" w:sz="4" w:space="0" w:color="auto"/>
            </w:tcBorders>
            <w:shd w:val="clear" w:color="auto" w:fill="auto"/>
            <w:noWrap/>
            <w:hideMark/>
          </w:tcPr>
          <w:p w14:paraId="079BAE4B" w14:textId="0EED2ED2"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-3.170</w:t>
            </w:r>
          </w:p>
        </w:tc>
        <w:tc>
          <w:tcPr>
            <w:tcW w:w="960" w:type="dxa"/>
            <w:tcBorders>
              <w:top w:val="single" w:sz="4" w:space="0" w:color="auto"/>
              <w:bottom w:val="single" w:sz="4" w:space="0" w:color="auto"/>
            </w:tcBorders>
            <w:shd w:val="clear" w:color="auto" w:fill="auto"/>
            <w:noWrap/>
            <w:hideMark/>
          </w:tcPr>
          <w:p w14:paraId="7A7A32B5" w14:textId="2EF1E06D"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-2.553</w:t>
            </w:r>
          </w:p>
        </w:tc>
        <w:tc>
          <w:tcPr>
            <w:tcW w:w="960" w:type="dxa"/>
            <w:tcBorders>
              <w:top w:val="single" w:sz="4" w:space="0" w:color="auto"/>
              <w:bottom w:val="single" w:sz="4" w:space="0" w:color="auto"/>
              <w:right w:val="single" w:sz="4" w:space="0" w:color="auto"/>
            </w:tcBorders>
            <w:shd w:val="clear" w:color="auto" w:fill="auto"/>
            <w:noWrap/>
            <w:hideMark/>
          </w:tcPr>
          <w:p w14:paraId="3CF84430" w14:textId="56EC598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B5CB7C9" w14:textId="5AB4283E"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2.753</w:t>
            </w:r>
          </w:p>
        </w:tc>
        <w:tc>
          <w:tcPr>
            <w:tcW w:w="960" w:type="dxa"/>
            <w:tcBorders>
              <w:top w:val="single" w:sz="4" w:space="0" w:color="auto"/>
              <w:left w:val="single" w:sz="4" w:space="0" w:color="auto"/>
              <w:bottom w:val="single" w:sz="4" w:space="0" w:color="auto"/>
            </w:tcBorders>
            <w:shd w:val="clear" w:color="auto" w:fill="auto"/>
            <w:noWrap/>
            <w:hideMark/>
          </w:tcPr>
          <w:p w14:paraId="4F036566" w14:textId="4D033740"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-3.157</w:t>
            </w:r>
          </w:p>
        </w:tc>
        <w:tc>
          <w:tcPr>
            <w:tcW w:w="960" w:type="dxa"/>
            <w:tcBorders>
              <w:top w:val="single" w:sz="4" w:space="0" w:color="auto"/>
              <w:bottom w:val="single" w:sz="4" w:space="0" w:color="auto"/>
            </w:tcBorders>
            <w:shd w:val="clear" w:color="auto" w:fill="auto"/>
            <w:noWrap/>
            <w:hideMark/>
          </w:tcPr>
          <w:p w14:paraId="5055C98E" w14:textId="26274B2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-2.535</w:t>
            </w:r>
          </w:p>
        </w:tc>
        <w:tc>
          <w:tcPr>
            <w:tcW w:w="960" w:type="dxa"/>
            <w:tcBorders>
              <w:top w:val="single" w:sz="4" w:space="0" w:color="auto"/>
              <w:bottom w:val="single" w:sz="4" w:space="0" w:color="auto"/>
              <w:right w:val="single" w:sz="4" w:space="0" w:color="auto"/>
            </w:tcBorders>
            <w:shd w:val="clear" w:color="auto" w:fill="auto"/>
            <w:noWrap/>
            <w:hideMark/>
          </w:tcPr>
          <w:p w14:paraId="06221BB7" w14:textId="1F0A5E9D"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-2.198</w:t>
            </w:r>
          </w:p>
        </w:tc>
      </w:tr>
      <w:tr w:rsidR="002E554D" w:rsidRPr="002E554D" w14:paraId="1C252A7A" w14:textId="77777777" w:rsidTr="00E81E77">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10B18"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31356BD" w14:textId="72B115BA"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-0.977</w:t>
            </w:r>
          </w:p>
        </w:tc>
        <w:tc>
          <w:tcPr>
            <w:tcW w:w="960" w:type="dxa"/>
            <w:tcBorders>
              <w:top w:val="single" w:sz="4" w:space="0" w:color="auto"/>
              <w:left w:val="single" w:sz="4" w:space="0" w:color="auto"/>
              <w:bottom w:val="single" w:sz="4" w:space="0" w:color="auto"/>
            </w:tcBorders>
            <w:shd w:val="clear" w:color="auto" w:fill="auto"/>
            <w:noWrap/>
            <w:hideMark/>
          </w:tcPr>
          <w:p w14:paraId="67F33AEB" w14:textId="7A696E8F"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-3.144</w:t>
            </w:r>
          </w:p>
        </w:tc>
        <w:tc>
          <w:tcPr>
            <w:tcW w:w="960" w:type="dxa"/>
            <w:tcBorders>
              <w:top w:val="single" w:sz="4" w:space="0" w:color="auto"/>
              <w:bottom w:val="single" w:sz="4" w:space="0" w:color="auto"/>
            </w:tcBorders>
            <w:shd w:val="clear" w:color="auto" w:fill="auto"/>
            <w:noWrap/>
            <w:hideMark/>
          </w:tcPr>
          <w:p w14:paraId="7928344A" w14:textId="169B6CB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-2.516</w:t>
            </w:r>
          </w:p>
        </w:tc>
        <w:tc>
          <w:tcPr>
            <w:tcW w:w="960" w:type="dxa"/>
            <w:tcBorders>
              <w:top w:val="single" w:sz="4" w:space="0" w:color="auto"/>
              <w:bottom w:val="single" w:sz="4" w:space="0" w:color="auto"/>
              <w:right w:val="single" w:sz="4" w:space="0" w:color="auto"/>
            </w:tcBorders>
            <w:shd w:val="clear" w:color="auto" w:fill="auto"/>
            <w:noWrap/>
            <w:hideMark/>
          </w:tcPr>
          <w:p w14:paraId="166B02CE" w14:textId="0219A10C"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2575F7F" w14:textId="03777059"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0.104</w:t>
            </w:r>
          </w:p>
        </w:tc>
        <w:tc>
          <w:tcPr>
            <w:tcW w:w="960" w:type="dxa"/>
            <w:tcBorders>
              <w:top w:val="single" w:sz="4" w:space="0" w:color="auto"/>
              <w:left w:val="single" w:sz="4" w:space="0" w:color="auto"/>
              <w:bottom w:val="single" w:sz="4" w:space="0" w:color="auto"/>
            </w:tcBorders>
            <w:shd w:val="clear" w:color="auto" w:fill="auto"/>
            <w:noWrap/>
            <w:hideMark/>
          </w:tcPr>
          <w:p w14:paraId="0CF749A1" w14:textId="47570CE8"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-3.163</w:t>
            </w:r>
          </w:p>
        </w:tc>
        <w:tc>
          <w:tcPr>
            <w:tcW w:w="960" w:type="dxa"/>
            <w:tcBorders>
              <w:top w:val="single" w:sz="4" w:space="0" w:color="auto"/>
              <w:bottom w:val="single" w:sz="4" w:space="0" w:color="auto"/>
            </w:tcBorders>
            <w:shd w:val="clear" w:color="auto" w:fill="auto"/>
            <w:noWrap/>
            <w:hideMark/>
          </w:tcPr>
          <w:p w14:paraId="05D06BB3" w14:textId="47261305"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-2.544</w:t>
            </w:r>
          </w:p>
        </w:tc>
        <w:tc>
          <w:tcPr>
            <w:tcW w:w="960" w:type="dxa"/>
            <w:tcBorders>
              <w:top w:val="single" w:sz="4" w:space="0" w:color="auto"/>
              <w:bottom w:val="single" w:sz="4" w:space="0" w:color="auto"/>
              <w:right w:val="single" w:sz="4" w:space="0" w:color="auto"/>
            </w:tcBorders>
            <w:shd w:val="clear" w:color="auto" w:fill="auto"/>
            <w:noWrap/>
            <w:hideMark/>
          </w:tcPr>
          <w:p w14:paraId="27C06D13" w14:textId="1BD4E66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-2.208</w:t>
            </w:r>
          </w:p>
        </w:tc>
      </w:tr>
      <w:tr w:rsidR="002E554D" w:rsidRPr="002E554D" w14:paraId="23551F8B" w14:textId="77777777" w:rsidTr="00E81E77">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B431D"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EAAA399" w14:textId="485E42DF"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960" w:type="dxa"/>
            <w:tcBorders>
              <w:top w:val="single" w:sz="4" w:space="0" w:color="auto"/>
              <w:left w:val="single" w:sz="4" w:space="0" w:color="auto"/>
              <w:bottom w:val="single" w:sz="4" w:space="0" w:color="auto"/>
            </w:tcBorders>
            <w:shd w:val="clear" w:color="auto" w:fill="auto"/>
            <w:noWrap/>
            <w:hideMark/>
          </w:tcPr>
          <w:p w14:paraId="23530C49" w14:textId="00C737C0"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-3.130</w:t>
            </w:r>
          </w:p>
        </w:tc>
        <w:tc>
          <w:tcPr>
            <w:tcW w:w="960" w:type="dxa"/>
            <w:tcBorders>
              <w:top w:val="single" w:sz="4" w:space="0" w:color="auto"/>
              <w:bottom w:val="single" w:sz="4" w:space="0" w:color="auto"/>
            </w:tcBorders>
            <w:shd w:val="clear" w:color="auto" w:fill="auto"/>
            <w:noWrap/>
            <w:hideMark/>
          </w:tcPr>
          <w:p w14:paraId="440B0EFB" w14:textId="58B1B74C"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-2.496</w:t>
            </w:r>
          </w:p>
        </w:tc>
        <w:tc>
          <w:tcPr>
            <w:tcW w:w="960" w:type="dxa"/>
            <w:tcBorders>
              <w:top w:val="single" w:sz="4" w:space="0" w:color="auto"/>
              <w:bottom w:val="single" w:sz="4" w:space="0" w:color="auto"/>
              <w:right w:val="single" w:sz="4" w:space="0" w:color="auto"/>
            </w:tcBorders>
            <w:shd w:val="clear" w:color="auto" w:fill="auto"/>
            <w:noWrap/>
            <w:hideMark/>
          </w:tcPr>
          <w:p w14:paraId="774A9171" w14:textId="6CD762DC"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2BA893A" w14:textId="36B9E501"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-1.229</w:t>
            </w:r>
          </w:p>
        </w:tc>
        <w:tc>
          <w:tcPr>
            <w:tcW w:w="960" w:type="dxa"/>
            <w:tcBorders>
              <w:top w:val="single" w:sz="4" w:space="0" w:color="auto"/>
              <w:left w:val="single" w:sz="4" w:space="0" w:color="auto"/>
              <w:bottom w:val="single" w:sz="4" w:space="0" w:color="auto"/>
            </w:tcBorders>
            <w:shd w:val="clear" w:color="auto" w:fill="auto"/>
            <w:noWrap/>
            <w:hideMark/>
          </w:tcPr>
          <w:p w14:paraId="492F1C35" w14:textId="6A3B92F2"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-3.172</w:t>
            </w:r>
          </w:p>
        </w:tc>
        <w:tc>
          <w:tcPr>
            <w:tcW w:w="960" w:type="dxa"/>
            <w:tcBorders>
              <w:top w:val="single" w:sz="4" w:space="0" w:color="auto"/>
              <w:bottom w:val="single" w:sz="4" w:space="0" w:color="auto"/>
            </w:tcBorders>
            <w:shd w:val="clear" w:color="auto" w:fill="auto"/>
            <w:noWrap/>
            <w:hideMark/>
          </w:tcPr>
          <w:p w14:paraId="2F5A088E" w14:textId="19F590BC"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-2.556</w:t>
            </w:r>
          </w:p>
        </w:tc>
        <w:tc>
          <w:tcPr>
            <w:tcW w:w="960" w:type="dxa"/>
            <w:tcBorders>
              <w:top w:val="single" w:sz="4" w:space="0" w:color="auto"/>
              <w:bottom w:val="single" w:sz="4" w:space="0" w:color="auto"/>
              <w:right w:val="single" w:sz="4" w:space="0" w:color="auto"/>
            </w:tcBorders>
            <w:shd w:val="clear" w:color="auto" w:fill="auto"/>
            <w:noWrap/>
            <w:hideMark/>
          </w:tcPr>
          <w:p w14:paraId="2C06FE43" w14:textId="27471016"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-2.222</w:t>
            </w:r>
          </w:p>
        </w:tc>
      </w:tr>
      <w:tr w:rsidR="002E554D" w:rsidRPr="002E554D" w14:paraId="606FE2D4" w14:textId="77777777" w:rsidTr="00E81E77">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7CAC0"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719E485" w14:textId="631EF1FA"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-0.397</w:t>
            </w:r>
          </w:p>
        </w:tc>
        <w:tc>
          <w:tcPr>
            <w:tcW w:w="960" w:type="dxa"/>
            <w:tcBorders>
              <w:top w:val="single" w:sz="4" w:space="0" w:color="auto"/>
              <w:left w:val="single" w:sz="4" w:space="0" w:color="auto"/>
              <w:bottom w:val="single" w:sz="4" w:space="0" w:color="auto"/>
            </w:tcBorders>
            <w:shd w:val="clear" w:color="auto" w:fill="auto"/>
            <w:noWrap/>
            <w:hideMark/>
          </w:tcPr>
          <w:p w14:paraId="276081B5" w14:textId="6E65CF7D"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-3.161</w:t>
            </w:r>
          </w:p>
        </w:tc>
        <w:tc>
          <w:tcPr>
            <w:tcW w:w="960" w:type="dxa"/>
            <w:tcBorders>
              <w:top w:val="single" w:sz="4" w:space="0" w:color="auto"/>
              <w:bottom w:val="single" w:sz="4" w:space="0" w:color="auto"/>
            </w:tcBorders>
            <w:shd w:val="clear" w:color="auto" w:fill="auto"/>
            <w:noWrap/>
            <w:hideMark/>
          </w:tcPr>
          <w:p w14:paraId="3C5CC9DB" w14:textId="6F6A25D1"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-2.540</w:t>
            </w:r>
          </w:p>
        </w:tc>
        <w:tc>
          <w:tcPr>
            <w:tcW w:w="960" w:type="dxa"/>
            <w:tcBorders>
              <w:top w:val="single" w:sz="4" w:space="0" w:color="auto"/>
              <w:bottom w:val="single" w:sz="4" w:space="0" w:color="auto"/>
              <w:right w:val="single" w:sz="4" w:space="0" w:color="auto"/>
            </w:tcBorders>
            <w:shd w:val="clear" w:color="auto" w:fill="auto"/>
            <w:noWrap/>
            <w:hideMark/>
          </w:tcPr>
          <w:p w14:paraId="4EB8ACE0" w14:textId="01083A6D"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DCCF0CF" w14:textId="109FDB06"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-4.452</w:t>
            </w:r>
          </w:p>
        </w:tc>
        <w:tc>
          <w:tcPr>
            <w:tcW w:w="960" w:type="dxa"/>
            <w:tcBorders>
              <w:top w:val="single" w:sz="4" w:space="0" w:color="auto"/>
              <w:left w:val="single" w:sz="4" w:space="0" w:color="auto"/>
              <w:bottom w:val="single" w:sz="4" w:space="0" w:color="auto"/>
            </w:tcBorders>
            <w:shd w:val="clear" w:color="auto" w:fill="auto"/>
            <w:noWrap/>
            <w:hideMark/>
          </w:tcPr>
          <w:p w14:paraId="5A3EEA19" w14:textId="6B4F031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-3.154</w:t>
            </w:r>
          </w:p>
        </w:tc>
        <w:tc>
          <w:tcPr>
            <w:tcW w:w="960" w:type="dxa"/>
            <w:tcBorders>
              <w:top w:val="single" w:sz="4" w:space="0" w:color="auto"/>
              <w:bottom w:val="single" w:sz="4" w:space="0" w:color="auto"/>
            </w:tcBorders>
            <w:shd w:val="clear" w:color="auto" w:fill="auto"/>
            <w:noWrap/>
            <w:hideMark/>
          </w:tcPr>
          <w:p w14:paraId="3AA7A410" w14:textId="22EC0CA3"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-2.531</w:t>
            </w:r>
          </w:p>
        </w:tc>
        <w:tc>
          <w:tcPr>
            <w:tcW w:w="960" w:type="dxa"/>
            <w:tcBorders>
              <w:top w:val="single" w:sz="4" w:space="0" w:color="auto"/>
              <w:bottom w:val="single" w:sz="4" w:space="0" w:color="auto"/>
              <w:right w:val="single" w:sz="4" w:space="0" w:color="auto"/>
            </w:tcBorders>
            <w:shd w:val="clear" w:color="auto" w:fill="auto"/>
            <w:noWrap/>
            <w:hideMark/>
          </w:tcPr>
          <w:p w14:paraId="4C4DD1A1" w14:textId="1FFCB3CF"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-2.194</w:t>
            </w:r>
          </w:p>
        </w:tc>
      </w:tr>
      <w:tr w:rsidR="002E554D" w:rsidRPr="002E554D" w14:paraId="215B4ED4" w14:textId="77777777" w:rsidTr="00E81E77">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DDAF3"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EA56064" w14:textId="6C6497A2"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-1.106</w:t>
            </w:r>
          </w:p>
        </w:tc>
        <w:tc>
          <w:tcPr>
            <w:tcW w:w="960" w:type="dxa"/>
            <w:tcBorders>
              <w:top w:val="single" w:sz="4" w:space="0" w:color="auto"/>
              <w:left w:val="single" w:sz="4" w:space="0" w:color="auto"/>
              <w:bottom w:val="single" w:sz="4" w:space="0" w:color="auto"/>
            </w:tcBorders>
            <w:shd w:val="clear" w:color="auto" w:fill="auto"/>
            <w:noWrap/>
            <w:hideMark/>
          </w:tcPr>
          <w:p w14:paraId="796F9412" w14:textId="05BD8A3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-3.159</w:t>
            </w:r>
          </w:p>
        </w:tc>
        <w:tc>
          <w:tcPr>
            <w:tcW w:w="960" w:type="dxa"/>
            <w:tcBorders>
              <w:top w:val="single" w:sz="4" w:space="0" w:color="auto"/>
              <w:bottom w:val="single" w:sz="4" w:space="0" w:color="auto"/>
            </w:tcBorders>
            <w:shd w:val="clear" w:color="auto" w:fill="auto"/>
            <w:noWrap/>
            <w:hideMark/>
          </w:tcPr>
          <w:p w14:paraId="48907C23" w14:textId="62223142"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-2.537</w:t>
            </w:r>
          </w:p>
        </w:tc>
        <w:tc>
          <w:tcPr>
            <w:tcW w:w="960" w:type="dxa"/>
            <w:tcBorders>
              <w:top w:val="single" w:sz="4" w:space="0" w:color="auto"/>
              <w:bottom w:val="single" w:sz="4" w:space="0" w:color="auto"/>
              <w:right w:val="single" w:sz="4" w:space="0" w:color="auto"/>
            </w:tcBorders>
            <w:shd w:val="clear" w:color="auto" w:fill="auto"/>
            <w:noWrap/>
            <w:hideMark/>
          </w:tcPr>
          <w:p w14:paraId="69F71F75" w14:textId="3147EEA3"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87EB60D" w14:textId="35211C67"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-5.622</w:t>
            </w:r>
          </w:p>
        </w:tc>
        <w:tc>
          <w:tcPr>
            <w:tcW w:w="960" w:type="dxa"/>
            <w:tcBorders>
              <w:top w:val="single" w:sz="4" w:space="0" w:color="auto"/>
              <w:left w:val="single" w:sz="4" w:space="0" w:color="auto"/>
              <w:bottom w:val="single" w:sz="4" w:space="0" w:color="auto"/>
            </w:tcBorders>
            <w:shd w:val="clear" w:color="auto" w:fill="auto"/>
            <w:noWrap/>
            <w:hideMark/>
          </w:tcPr>
          <w:p w14:paraId="401AF5CD" w14:textId="34C70C2D"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-3.129</w:t>
            </w:r>
          </w:p>
        </w:tc>
        <w:tc>
          <w:tcPr>
            <w:tcW w:w="960" w:type="dxa"/>
            <w:tcBorders>
              <w:top w:val="single" w:sz="4" w:space="0" w:color="auto"/>
              <w:bottom w:val="single" w:sz="4" w:space="0" w:color="auto"/>
            </w:tcBorders>
            <w:shd w:val="clear" w:color="auto" w:fill="auto"/>
            <w:noWrap/>
            <w:hideMark/>
          </w:tcPr>
          <w:p w14:paraId="65549495" w14:textId="2DCD7651"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-2.495</w:t>
            </w:r>
          </w:p>
        </w:tc>
        <w:tc>
          <w:tcPr>
            <w:tcW w:w="960" w:type="dxa"/>
            <w:tcBorders>
              <w:top w:val="single" w:sz="4" w:space="0" w:color="auto"/>
              <w:bottom w:val="single" w:sz="4" w:space="0" w:color="auto"/>
              <w:right w:val="single" w:sz="4" w:space="0" w:color="auto"/>
            </w:tcBorders>
            <w:shd w:val="clear" w:color="auto" w:fill="auto"/>
            <w:noWrap/>
            <w:hideMark/>
          </w:tcPr>
          <w:p w14:paraId="78D51388" w14:textId="548B268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-2.155</w:t>
            </w:r>
          </w:p>
        </w:tc>
      </w:tr>
      <w:tr w:rsidR="002E554D" w:rsidRPr="002E554D" w14:paraId="4EFD9B48" w14:textId="77777777" w:rsidTr="00E81E77">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BEFC2"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459D006" w14:textId="5A7F5FDB"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-1.364</w:t>
            </w:r>
          </w:p>
        </w:tc>
        <w:tc>
          <w:tcPr>
            <w:tcW w:w="960" w:type="dxa"/>
            <w:tcBorders>
              <w:top w:val="single" w:sz="4" w:space="0" w:color="auto"/>
              <w:left w:val="single" w:sz="4" w:space="0" w:color="auto"/>
              <w:bottom w:val="single" w:sz="4" w:space="0" w:color="auto"/>
            </w:tcBorders>
            <w:shd w:val="clear" w:color="auto" w:fill="auto"/>
            <w:noWrap/>
            <w:hideMark/>
          </w:tcPr>
          <w:p w14:paraId="648E5B42" w14:textId="3DC907BB"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-3.132</w:t>
            </w:r>
          </w:p>
        </w:tc>
        <w:tc>
          <w:tcPr>
            <w:tcW w:w="960" w:type="dxa"/>
            <w:tcBorders>
              <w:top w:val="single" w:sz="4" w:space="0" w:color="auto"/>
              <w:bottom w:val="single" w:sz="4" w:space="0" w:color="auto"/>
            </w:tcBorders>
            <w:shd w:val="clear" w:color="auto" w:fill="auto"/>
            <w:noWrap/>
            <w:hideMark/>
          </w:tcPr>
          <w:p w14:paraId="444FCE17" w14:textId="2FC023DF"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-2.499</w:t>
            </w:r>
          </w:p>
        </w:tc>
        <w:tc>
          <w:tcPr>
            <w:tcW w:w="960" w:type="dxa"/>
            <w:tcBorders>
              <w:top w:val="single" w:sz="4" w:space="0" w:color="auto"/>
              <w:bottom w:val="single" w:sz="4" w:space="0" w:color="auto"/>
              <w:right w:val="single" w:sz="4" w:space="0" w:color="auto"/>
            </w:tcBorders>
            <w:shd w:val="clear" w:color="auto" w:fill="auto"/>
            <w:noWrap/>
            <w:hideMark/>
          </w:tcPr>
          <w:p w14:paraId="44A21D66" w14:textId="4B17AAC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A4EB21E" w14:textId="5645E097"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-6.055</w:t>
            </w:r>
          </w:p>
        </w:tc>
        <w:tc>
          <w:tcPr>
            <w:tcW w:w="960" w:type="dxa"/>
            <w:tcBorders>
              <w:top w:val="single" w:sz="4" w:space="0" w:color="auto"/>
              <w:left w:val="single" w:sz="4" w:space="0" w:color="auto"/>
              <w:bottom w:val="single" w:sz="4" w:space="0" w:color="auto"/>
            </w:tcBorders>
            <w:shd w:val="clear" w:color="auto" w:fill="auto"/>
            <w:noWrap/>
            <w:hideMark/>
          </w:tcPr>
          <w:p w14:paraId="5813D721" w14:textId="307A5848"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-3.084</w:t>
            </w:r>
          </w:p>
        </w:tc>
        <w:tc>
          <w:tcPr>
            <w:tcW w:w="960" w:type="dxa"/>
            <w:tcBorders>
              <w:top w:val="single" w:sz="4" w:space="0" w:color="auto"/>
              <w:bottom w:val="single" w:sz="4" w:space="0" w:color="auto"/>
            </w:tcBorders>
            <w:shd w:val="clear" w:color="auto" w:fill="auto"/>
            <w:noWrap/>
            <w:hideMark/>
          </w:tcPr>
          <w:p w14:paraId="0C30E99A" w14:textId="000DD6CC"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-2.430</w:t>
            </w:r>
          </w:p>
        </w:tc>
        <w:tc>
          <w:tcPr>
            <w:tcW w:w="960" w:type="dxa"/>
            <w:tcBorders>
              <w:top w:val="single" w:sz="4" w:space="0" w:color="auto"/>
              <w:bottom w:val="single" w:sz="4" w:space="0" w:color="auto"/>
              <w:right w:val="single" w:sz="4" w:space="0" w:color="auto"/>
            </w:tcBorders>
            <w:shd w:val="clear" w:color="auto" w:fill="auto"/>
            <w:noWrap/>
            <w:hideMark/>
          </w:tcPr>
          <w:p w14:paraId="4B7E7FE7" w14:textId="4F6AC06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-2.089</w:t>
            </w:r>
          </w:p>
        </w:tc>
      </w:tr>
      <w:tr w:rsidR="002E554D" w:rsidRPr="002E554D" w14:paraId="20255974" w14:textId="77777777" w:rsidTr="00E81E77">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AF53E" w14:textId="77777777"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ADF2E6D" w14:textId="11427645"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-1.495</w:t>
            </w:r>
          </w:p>
        </w:tc>
        <w:tc>
          <w:tcPr>
            <w:tcW w:w="960" w:type="dxa"/>
            <w:tcBorders>
              <w:top w:val="single" w:sz="4" w:space="0" w:color="auto"/>
              <w:left w:val="single" w:sz="4" w:space="0" w:color="auto"/>
              <w:bottom w:val="single" w:sz="4" w:space="0" w:color="auto"/>
            </w:tcBorders>
            <w:shd w:val="clear" w:color="auto" w:fill="auto"/>
            <w:noWrap/>
            <w:hideMark/>
          </w:tcPr>
          <w:p w14:paraId="3F0502CF" w14:textId="08F50F64"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-3.086</w:t>
            </w:r>
          </w:p>
        </w:tc>
        <w:tc>
          <w:tcPr>
            <w:tcW w:w="960" w:type="dxa"/>
            <w:tcBorders>
              <w:top w:val="single" w:sz="4" w:space="0" w:color="auto"/>
              <w:bottom w:val="single" w:sz="4" w:space="0" w:color="auto"/>
            </w:tcBorders>
            <w:shd w:val="clear" w:color="auto" w:fill="auto"/>
            <w:noWrap/>
            <w:hideMark/>
          </w:tcPr>
          <w:p w14:paraId="3E4998AA" w14:textId="381CEE93"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-2.433</w:t>
            </w:r>
          </w:p>
        </w:tc>
        <w:tc>
          <w:tcPr>
            <w:tcW w:w="960" w:type="dxa"/>
            <w:tcBorders>
              <w:top w:val="single" w:sz="4" w:space="0" w:color="auto"/>
              <w:bottom w:val="single" w:sz="4" w:space="0" w:color="auto"/>
              <w:right w:val="single" w:sz="4" w:space="0" w:color="auto"/>
            </w:tcBorders>
            <w:shd w:val="clear" w:color="auto" w:fill="auto"/>
            <w:noWrap/>
            <w:hideMark/>
          </w:tcPr>
          <w:p w14:paraId="287286F4" w14:textId="1F58856C"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-2.091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CB00646" w14:textId="0416D82C" w:rsidR="005A3771" w:rsidRPr="002E554D" w:rsidRDefault="005A3771" w:rsidP="005A377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-6.869</w:t>
            </w:r>
          </w:p>
        </w:tc>
        <w:tc>
          <w:tcPr>
            <w:tcW w:w="960" w:type="dxa"/>
            <w:tcBorders>
              <w:top w:val="single" w:sz="4" w:space="0" w:color="auto"/>
              <w:left w:val="single" w:sz="4" w:space="0" w:color="auto"/>
              <w:bottom w:val="single" w:sz="4" w:space="0" w:color="auto"/>
            </w:tcBorders>
            <w:shd w:val="clear" w:color="auto" w:fill="auto"/>
            <w:noWrap/>
            <w:hideMark/>
          </w:tcPr>
          <w:p w14:paraId="17ED77C9" w14:textId="08AD62EC"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-2.967</w:t>
            </w:r>
          </w:p>
        </w:tc>
        <w:tc>
          <w:tcPr>
            <w:tcW w:w="960" w:type="dxa"/>
            <w:tcBorders>
              <w:top w:val="single" w:sz="4" w:space="0" w:color="auto"/>
              <w:bottom w:val="single" w:sz="4" w:space="0" w:color="auto"/>
            </w:tcBorders>
            <w:shd w:val="clear" w:color="auto" w:fill="auto"/>
            <w:noWrap/>
            <w:hideMark/>
          </w:tcPr>
          <w:p w14:paraId="0C191105" w14:textId="101C6ACE"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-2.322</w:t>
            </w:r>
          </w:p>
        </w:tc>
        <w:tc>
          <w:tcPr>
            <w:tcW w:w="960" w:type="dxa"/>
            <w:tcBorders>
              <w:top w:val="single" w:sz="4" w:space="0" w:color="auto"/>
              <w:bottom w:val="single" w:sz="4" w:space="0" w:color="auto"/>
              <w:right w:val="single" w:sz="4" w:space="0" w:color="auto"/>
            </w:tcBorders>
            <w:shd w:val="clear" w:color="auto" w:fill="auto"/>
            <w:noWrap/>
            <w:hideMark/>
          </w:tcPr>
          <w:p w14:paraId="38AEACBB" w14:textId="2B09F1A1" w:rsidR="005A3771" w:rsidRPr="002E554D" w:rsidRDefault="005A3771" w:rsidP="005A377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-1.967</w:t>
            </w:r>
          </w:p>
        </w:tc>
      </w:tr>
      <w:tr w:rsidR="002E554D" w:rsidRPr="002E554D" w14:paraId="0506D0E9" w14:textId="77777777" w:rsidTr="00855A31">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709C" w14:textId="77777777" w:rsidR="00855A31" w:rsidRPr="002E554D" w:rsidRDefault="00855A31" w:rsidP="00771184">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 </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DF6BA" w14:textId="77777777" w:rsidR="00855A31" w:rsidRPr="002E554D" w:rsidRDefault="00855A31"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NASDAQ</w:t>
            </w:r>
            <w:r w:rsidRPr="002E554D">
              <w:rPr>
                <w:rFonts w:ascii="Garamond" w:eastAsia="Times New Roman" w:hAnsi="Garamond" w:cs="Calibri"/>
                <w:color w:val="FF0000"/>
                <w:sz w:val="20"/>
                <w:szCs w:val="20"/>
                <w:lang w:val="en-GB" w:eastAsia="en-GB"/>
              </w:rPr>
              <w:t xml:space="preserve"> </w:t>
            </w:r>
            <w:r w:rsidRPr="002E554D">
              <w:rPr>
                <w:rFonts w:ascii="Garamond" w:eastAsia="Times New Roman" w:hAnsi="Garamond" w:cs="Calibri"/>
                <w:b/>
                <w:bCs/>
                <w:color w:val="FF0000"/>
                <w:sz w:val="20"/>
                <w:szCs w:val="20"/>
                <w:lang w:val="en-GB" w:eastAsia="en-GB"/>
              </w:rPr>
              <w:t>COMPOSITE</w:t>
            </w:r>
          </w:p>
        </w:tc>
      </w:tr>
      <w:tr w:rsidR="002E554D" w:rsidRPr="002E554D" w14:paraId="170D7EE0" w14:textId="77777777" w:rsidTr="00470E13">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93935" w14:textId="77777777"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86499CB" w14:textId="79F44D69"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5.679</w:t>
            </w:r>
          </w:p>
        </w:tc>
        <w:tc>
          <w:tcPr>
            <w:tcW w:w="960" w:type="dxa"/>
            <w:tcBorders>
              <w:top w:val="single" w:sz="4" w:space="0" w:color="auto"/>
              <w:left w:val="single" w:sz="4" w:space="0" w:color="auto"/>
              <w:bottom w:val="single" w:sz="4" w:space="0" w:color="auto"/>
            </w:tcBorders>
            <w:shd w:val="clear" w:color="auto" w:fill="auto"/>
            <w:noWrap/>
            <w:hideMark/>
          </w:tcPr>
          <w:p w14:paraId="066CDE2F" w14:textId="4769DC88"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199477F6" w14:textId="43A7FFB9"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6FCAC566" w14:textId="62DFBD86"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643E43A0" w14:textId="77777777" w:rsidTr="00470E13">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90561" w14:textId="77777777"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9E0484E" w14:textId="31488552"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4.897</w:t>
            </w:r>
          </w:p>
        </w:tc>
        <w:tc>
          <w:tcPr>
            <w:tcW w:w="960" w:type="dxa"/>
            <w:tcBorders>
              <w:top w:val="single" w:sz="4" w:space="0" w:color="auto"/>
              <w:left w:val="single" w:sz="4" w:space="0" w:color="auto"/>
              <w:bottom w:val="single" w:sz="4" w:space="0" w:color="auto"/>
            </w:tcBorders>
            <w:shd w:val="clear" w:color="auto" w:fill="auto"/>
            <w:noWrap/>
            <w:hideMark/>
          </w:tcPr>
          <w:p w14:paraId="5C42D218" w14:textId="22331D59"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0A82C2EE" w14:textId="0D985D4F"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557CE0A1" w14:textId="2655F968"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7732EC02" w14:textId="77777777" w:rsidTr="00470E13">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54ACF" w14:textId="77777777"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D03C071" w14:textId="02C4C1EB"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3.599</w:t>
            </w:r>
          </w:p>
        </w:tc>
        <w:tc>
          <w:tcPr>
            <w:tcW w:w="960" w:type="dxa"/>
            <w:tcBorders>
              <w:top w:val="single" w:sz="4" w:space="0" w:color="auto"/>
              <w:left w:val="single" w:sz="4" w:space="0" w:color="auto"/>
              <w:bottom w:val="single" w:sz="4" w:space="0" w:color="auto"/>
            </w:tcBorders>
            <w:shd w:val="clear" w:color="auto" w:fill="auto"/>
            <w:noWrap/>
            <w:hideMark/>
          </w:tcPr>
          <w:p w14:paraId="33FA6F57" w14:textId="040DDB3F"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298E309A" w14:textId="09DA0ACA"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4EEB4F2C" w14:textId="05BAC0C5"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14B7D165" w14:textId="77777777" w:rsidTr="00470E13">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500FC" w14:textId="77777777"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lastRenderedPageBreak/>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A53B1EB" w14:textId="5EDF99C9"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1.336</w:t>
            </w:r>
          </w:p>
        </w:tc>
        <w:tc>
          <w:tcPr>
            <w:tcW w:w="960" w:type="dxa"/>
            <w:tcBorders>
              <w:top w:val="single" w:sz="4" w:space="0" w:color="auto"/>
              <w:left w:val="single" w:sz="4" w:space="0" w:color="auto"/>
              <w:bottom w:val="single" w:sz="4" w:space="0" w:color="auto"/>
            </w:tcBorders>
            <w:shd w:val="clear" w:color="auto" w:fill="auto"/>
            <w:noWrap/>
            <w:hideMark/>
          </w:tcPr>
          <w:p w14:paraId="67DD4D46" w14:textId="14DE6E6C"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2FEA6C85" w14:textId="6B5FC087"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4F51E7FB" w14:textId="1FE49F29"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2E72F107" w14:textId="77777777" w:rsidTr="00470E13">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8C424" w14:textId="77777777"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EB9789C" w14:textId="31CD7E59"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-0.699</w:t>
            </w:r>
          </w:p>
        </w:tc>
        <w:tc>
          <w:tcPr>
            <w:tcW w:w="960" w:type="dxa"/>
            <w:tcBorders>
              <w:top w:val="single" w:sz="4" w:space="0" w:color="auto"/>
              <w:left w:val="single" w:sz="4" w:space="0" w:color="auto"/>
              <w:bottom w:val="single" w:sz="4" w:space="0" w:color="auto"/>
            </w:tcBorders>
            <w:shd w:val="clear" w:color="auto" w:fill="auto"/>
            <w:noWrap/>
            <w:hideMark/>
          </w:tcPr>
          <w:p w14:paraId="2C54E94A" w14:textId="28D2AAA2"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50869605" w14:textId="623135CB"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56362B5C" w14:textId="622428E4"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659AB2E3" w14:textId="77777777" w:rsidTr="00470E13">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55736" w14:textId="77777777"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E3F78E7" w14:textId="0E1769CA" w:rsidR="007A7197" w:rsidRPr="002E554D" w:rsidRDefault="007A7197" w:rsidP="007A719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-3.445</w:t>
            </w:r>
          </w:p>
        </w:tc>
        <w:tc>
          <w:tcPr>
            <w:tcW w:w="960" w:type="dxa"/>
            <w:tcBorders>
              <w:top w:val="single" w:sz="4" w:space="0" w:color="auto"/>
              <w:left w:val="single" w:sz="4" w:space="0" w:color="auto"/>
              <w:bottom w:val="single" w:sz="4" w:space="0" w:color="auto"/>
            </w:tcBorders>
            <w:shd w:val="clear" w:color="auto" w:fill="auto"/>
            <w:noWrap/>
            <w:hideMark/>
          </w:tcPr>
          <w:p w14:paraId="040DF7EF" w14:textId="0889493B"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26ED4047" w14:textId="28F4DD6A"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76C79CF6" w14:textId="091F6D0E"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421C0EB7" w14:textId="77777777" w:rsidTr="00470E13">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DA719" w14:textId="77777777"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E9054DB" w14:textId="4FDC4EE9" w:rsidR="007A7197" w:rsidRPr="002E554D" w:rsidRDefault="007A7197" w:rsidP="007A719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-4.237</w:t>
            </w:r>
          </w:p>
        </w:tc>
        <w:tc>
          <w:tcPr>
            <w:tcW w:w="960" w:type="dxa"/>
            <w:tcBorders>
              <w:top w:val="single" w:sz="4" w:space="0" w:color="auto"/>
              <w:left w:val="single" w:sz="4" w:space="0" w:color="auto"/>
              <w:bottom w:val="single" w:sz="4" w:space="0" w:color="auto"/>
            </w:tcBorders>
            <w:shd w:val="clear" w:color="auto" w:fill="auto"/>
            <w:noWrap/>
            <w:hideMark/>
          </w:tcPr>
          <w:p w14:paraId="42142941" w14:textId="1D54C1E7"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1A7F7855" w14:textId="1DE461A1"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273826ED" w14:textId="62AEFB71"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2E554D" w:rsidRPr="002E554D" w14:paraId="67897021" w14:textId="77777777" w:rsidTr="00470E13">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D501B" w14:textId="77777777"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1A6FC8C" w14:textId="5481A809" w:rsidR="007A7197" w:rsidRPr="002E554D" w:rsidRDefault="007A7197" w:rsidP="007A719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-5.827</w:t>
            </w:r>
          </w:p>
        </w:tc>
        <w:tc>
          <w:tcPr>
            <w:tcW w:w="960" w:type="dxa"/>
            <w:tcBorders>
              <w:top w:val="single" w:sz="4" w:space="0" w:color="auto"/>
              <w:left w:val="single" w:sz="4" w:space="0" w:color="auto"/>
              <w:bottom w:val="single" w:sz="4" w:space="0" w:color="auto"/>
            </w:tcBorders>
            <w:shd w:val="clear" w:color="auto" w:fill="auto"/>
            <w:noWrap/>
            <w:hideMark/>
          </w:tcPr>
          <w:p w14:paraId="7E332713" w14:textId="78E20D56"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0B6F0828" w14:textId="4A5B1E06"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3D98961C" w14:textId="035972B0"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r w:rsidR="007A7197" w:rsidRPr="002E554D" w14:paraId="144998D3" w14:textId="77777777" w:rsidTr="00470E13">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F8319" w14:textId="77777777"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8751924" w14:textId="7F8D65C5" w:rsidR="007A7197" w:rsidRPr="002E554D" w:rsidRDefault="007A7197" w:rsidP="007A7197">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-7.324</w:t>
            </w:r>
          </w:p>
        </w:tc>
        <w:tc>
          <w:tcPr>
            <w:tcW w:w="960" w:type="dxa"/>
            <w:tcBorders>
              <w:top w:val="single" w:sz="4" w:space="0" w:color="auto"/>
              <w:left w:val="single" w:sz="4" w:space="0" w:color="auto"/>
              <w:bottom w:val="single" w:sz="4" w:space="0" w:color="auto"/>
            </w:tcBorders>
            <w:shd w:val="clear" w:color="auto" w:fill="auto"/>
            <w:noWrap/>
            <w:hideMark/>
          </w:tcPr>
          <w:p w14:paraId="6F5269B8" w14:textId="2B523386"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-2.784</w:t>
            </w:r>
          </w:p>
        </w:tc>
        <w:tc>
          <w:tcPr>
            <w:tcW w:w="960" w:type="dxa"/>
            <w:tcBorders>
              <w:top w:val="single" w:sz="4" w:space="0" w:color="auto"/>
              <w:bottom w:val="single" w:sz="4" w:space="0" w:color="auto"/>
            </w:tcBorders>
            <w:shd w:val="clear" w:color="auto" w:fill="auto"/>
            <w:noWrap/>
            <w:hideMark/>
          </w:tcPr>
          <w:p w14:paraId="47AEAA69" w14:textId="160FE9DC"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-2.116</w:t>
            </w:r>
          </w:p>
        </w:tc>
        <w:tc>
          <w:tcPr>
            <w:tcW w:w="960" w:type="dxa"/>
            <w:tcBorders>
              <w:top w:val="single" w:sz="4" w:space="0" w:color="auto"/>
              <w:bottom w:val="single" w:sz="4" w:space="0" w:color="auto"/>
              <w:right w:val="single" w:sz="4" w:space="0" w:color="auto"/>
            </w:tcBorders>
            <w:shd w:val="clear" w:color="auto" w:fill="auto"/>
            <w:noWrap/>
            <w:hideMark/>
          </w:tcPr>
          <w:p w14:paraId="12CC4DA6" w14:textId="2A366F20" w:rsidR="007A7197" w:rsidRPr="002E554D" w:rsidRDefault="007A7197" w:rsidP="007A7197">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-1.753</w:t>
            </w:r>
          </w:p>
        </w:tc>
      </w:tr>
    </w:tbl>
    <w:p w14:paraId="002F9BA7" w14:textId="3D730061"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7FE2513E" w14:textId="62C437A0"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1C96CE11" w14:textId="606C2CF4"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3105711F" w14:textId="38D17BFE"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578E8EEC" w14:textId="130DD0CC"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140FEC84" w14:textId="174E6837"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3600CA8A" w14:textId="5766F1B0"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2352D9CF" w14:textId="3C7AB11E"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49E99A59" w14:textId="21D328FE"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3CD857E3" w14:textId="52B08178"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5863C8E9" w14:textId="071F7734"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5D2CB039" w14:textId="16716C9A"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18600705" w14:textId="36FA11B3"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3285D36C" w14:textId="530CB671"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29BFEF95" w14:textId="4356FB80"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7AFB2534" w14:textId="0FCF3594"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1B4721A5" w14:textId="12E2773C"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1504E66E" w14:textId="7808D530"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05E77A5E" w14:textId="1C4E193B"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7B2A9EEF" w14:textId="164FAE54"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09DF9294" w14:textId="77777777" w:rsidR="008B7FA1" w:rsidRPr="002E554D" w:rsidRDefault="008B7FA1" w:rsidP="00771184">
      <w:pPr>
        <w:pStyle w:val="NoSpacing"/>
        <w:spacing w:line="480" w:lineRule="auto"/>
        <w:jc w:val="center"/>
        <w:rPr>
          <w:rFonts w:ascii="Garamond" w:eastAsia="Times New Roman" w:hAnsi="Garamond" w:cs="Calibri"/>
          <w:b/>
          <w:bCs/>
          <w:color w:val="FF0000"/>
          <w:sz w:val="24"/>
          <w:szCs w:val="24"/>
          <w:lang w:eastAsia="en-GB"/>
        </w:rPr>
      </w:pPr>
    </w:p>
    <w:p w14:paraId="449EBF50" w14:textId="77777777"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339FE4C7" w14:textId="5B8A0B5C" w:rsidR="00771184" w:rsidRPr="002E554D" w:rsidRDefault="00771184" w:rsidP="00771184">
      <w:pPr>
        <w:pStyle w:val="NoSpacing"/>
        <w:spacing w:line="276" w:lineRule="auto"/>
        <w:jc w:val="center"/>
        <w:rPr>
          <w:rFonts w:ascii="Garamond" w:eastAsia="Times New Roman" w:hAnsi="Garamond" w:cs="Calibri"/>
          <w:b/>
          <w:bCs/>
          <w:color w:val="FF0000"/>
          <w:sz w:val="24"/>
          <w:szCs w:val="24"/>
          <w:lang w:eastAsia="en-GB"/>
        </w:rPr>
      </w:pPr>
      <w:r w:rsidRPr="002E554D">
        <w:rPr>
          <w:rFonts w:ascii="Garamond" w:hAnsi="Garamond"/>
          <w:b/>
          <w:bCs/>
          <w:color w:val="FF0000"/>
          <w:sz w:val="24"/>
          <w:szCs w:val="24"/>
          <w:lang w:val="en-GB"/>
        </w:rPr>
        <w:lastRenderedPageBreak/>
        <w:t xml:space="preserve">Table A7 Tests for quantile unit root, </w:t>
      </w:r>
      <w:r w:rsidRPr="002E554D">
        <w:rPr>
          <w:rFonts w:ascii="Garamond" w:eastAsia="Times New Roman" w:hAnsi="Garamond" w:cs="Calibri"/>
          <w:b/>
          <w:bCs/>
          <w:color w:val="FF0000"/>
          <w:sz w:val="24"/>
          <w:szCs w:val="24"/>
          <w:lang w:eastAsia="en-GB"/>
        </w:rPr>
        <w:t>government bonds.</w:t>
      </w:r>
    </w:p>
    <w:p w14:paraId="51A260FD" w14:textId="77777777" w:rsidR="003A16EB" w:rsidRPr="002E554D" w:rsidRDefault="00771184" w:rsidP="003A16EB">
      <w:pPr>
        <w:pStyle w:val="NoSpacing"/>
        <w:spacing w:line="276" w:lineRule="auto"/>
        <w:jc w:val="both"/>
        <w:rPr>
          <w:rFonts w:ascii="Garamond" w:hAnsi="Garamond"/>
          <w:color w:val="FF0000"/>
          <w:lang w:val="en-GB"/>
        </w:rPr>
      </w:pPr>
      <w:r w:rsidRPr="002E554D">
        <w:rPr>
          <w:rFonts w:ascii="Garamond" w:hAnsi="Garamond"/>
          <w:color w:val="FF0000"/>
          <w:lang w:val="en-GB"/>
        </w:rPr>
        <w:t xml:space="preserve">Table shows the results of the quantile nonlinear unit root tests with covariates, </w:t>
      </w:r>
      <w:proofErr w:type="spellStart"/>
      <w:r w:rsidRPr="002E554D">
        <w:rPr>
          <w:rFonts w:ascii="Garamond" w:eastAsia="Times New Roman" w:hAnsi="Garamond" w:cs="Calibri"/>
          <w:i/>
          <w:iCs/>
          <w:color w:val="FF0000"/>
          <w:lang w:val="en-GB" w:eastAsia="en-GB"/>
        </w:rPr>
        <w:t>t</w:t>
      </w:r>
      <w:r w:rsidRPr="002E554D">
        <w:rPr>
          <w:rFonts w:ascii="Garamond" w:eastAsia="Times New Roman" w:hAnsi="Garamond" w:cs="Calibri"/>
          <w:i/>
          <w:iCs/>
          <w:color w:val="FF0000"/>
          <w:vertAlign w:val="subscript"/>
          <w:lang w:val="en-GB" w:eastAsia="en-GB"/>
        </w:rPr>
        <w:t>kss</w:t>
      </w:r>
      <w:proofErr w:type="spellEnd"/>
      <w:r w:rsidRPr="002E554D">
        <w:rPr>
          <w:rFonts w:ascii="Garamond" w:hAnsi="Garamond"/>
          <w:color w:val="FF0000"/>
          <w:lang w:val="en-GB"/>
        </w:rPr>
        <w:t xml:space="preserve">, estimated as in </w:t>
      </w:r>
      <w:proofErr w:type="spellStart"/>
      <w:r w:rsidRPr="002E554D">
        <w:rPr>
          <w:rFonts w:ascii="Garamond" w:hAnsi="Garamond"/>
          <w:color w:val="FF0000"/>
          <w:lang w:val="en-GB"/>
        </w:rPr>
        <w:t>Koenker</w:t>
      </w:r>
      <w:proofErr w:type="spellEnd"/>
      <w:r w:rsidRPr="002E554D">
        <w:rPr>
          <w:rFonts w:ascii="Garamond" w:hAnsi="Garamond"/>
          <w:color w:val="FF0000"/>
          <w:lang w:val="en-GB"/>
        </w:rPr>
        <w:t xml:space="preserve"> and Xiao (2004). The asymptotic critical values are calculated with significance at the 1%, 5% and 10% levels. The null hypothesis of the presence of a unit root is rejected if the </w:t>
      </w:r>
      <w:proofErr w:type="gramStart"/>
      <w:r w:rsidRPr="002E554D">
        <w:rPr>
          <w:rFonts w:ascii="Garamond" w:hAnsi="Garamond"/>
          <w:color w:val="FF0000"/>
          <w:lang w:val="en-GB"/>
        </w:rPr>
        <w:t>calculated  test</w:t>
      </w:r>
      <w:proofErr w:type="gramEnd"/>
      <w:r w:rsidRPr="002E554D">
        <w:rPr>
          <w:rFonts w:ascii="Garamond" w:hAnsi="Garamond"/>
          <w:color w:val="FF0000"/>
          <w:lang w:val="en-GB"/>
        </w:rPr>
        <w:t xml:space="preserve"> statistic is lower in value than calculated critical values at the 1%, 5% and 10% levels of significance.</w:t>
      </w:r>
      <w:r w:rsidR="003A16EB" w:rsidRPr="002E554D">
        <w:rPr>
          <w:rFonts w:ascii="Garamond" w:hAnsi="Garamond"/>
          <w:color w:val="FF0000"/>
          <w:lang w:val="en-GB"/>
        </w:rPr>
        <w:t xml:space="preserve"> Statistically significant values of </w:t>
      </w:r>
      <w:proofErr w:type="spellStart"/>
      <w:r w:rsidR="003A16EB" w:rsidRPr="002E554D">
        <w:rPr>
          <w:rFonts w:ascii="Garamond" w:hAnsi="Garamond"/>
          <w:color w:val="FF0000"/>
          <w:lang w:val="en-GB"/>
        </w:rPr>
        <w:t>YZtks</w:t>
      </w:r>
      <w:proofErr w:type="spellEnd"/>
      <w:r w:rsidR="003A16EB" w:rsidRPr="002E554D">
        <w:rPr>
          <w:rFonts w:ascii="Garamond" w:hAnsi="Garamond"/>
          <w:color w:val="FF0000"/>
          <w:lang w:val="en-GB"/>
        </w:rPr>
        <w:t xml:space="preserve"> are highlighted in bold.</w:t>
      </w:r>
    </w:p>
    <w:p w14:paraId="72D5BA90" w14:textId="77777777" w:rsidR="0037188F" w:rsidRPr="002E554D" w:rsidRDefault="0037188F" w:rsidP="00771184">
      <w:pPr>
        <w:pStyle w:val="NoSpacing"/>
        <w:spacing w:line="276" w:lineRule="auto"/>
        <w:jc w:val="both"/>
        <w:rPr>
          <w:rFonts w:ascii="Garamond" w:hAnsi="Garamond"/>
          <w:color w:val="FF0000"/>
          <w:lang w:val="en-GB"/>
        </w:rPr>
      </w:pPr>
    </w:p>
    <w:tbl>
      <w:tblPr>
        <w:tblW w:w="9736" w:type="dxa"/>
        <w:tblBorders>
          <w:top w:val="single" w:sz="4" w:space="0" w:color="auto"/>
          <w:bottom w:val="single" w:sz="4" w:space="0" w:color="auto"/>
          <w:insideH w:val="single" w:sz="4" w:space="0" w:color="auto"/>
        </w:tblBorders>
        <w:tblLook w:val="04A0" w:firstRow="1" w:lastRow="0" w:firstColumn="1" w:lastColumn="0" w:noHBand="0" w:noVBand="1"/>
      </w:tblPr>
      <w:tblGrid>
        <w:gridCol w:w="1204"/>
        <w:gridCol w:w="1067"/>
        <w:gridCol w:w="1067"/>
        <w:gridCol w:w="1067"/>
        <w:gridCol w:w="1067"/>
        <w:gridCol w:w="1066"/>
        <w:gridCol w:w="1066"/>
        <w:gridCol w:w="1066"/>
        <w:gridCol w:w="1066"/>
      </w:tblGrid>
      <w:tr w:rsidR="002E554D" w:rsidRPr="002E554D" w14:paraId="6F9BA26C" w14:textId="77777777" w:rsidTr="008B7FA1">
        <w:trPr>
          <w:trHeight w:val="330"/>
        </w:trPr>
        <w:tc>
          <w:tcPr>
            <w:tcW w:w="1204" w:type="dxa"/>
            <w:vMerge w:val="restart"/>
            <w:tcBorders>
              <w:left w:val="single" w:sz="4" w:space="0" w:color="auto"/>
              <w:right w:val="single" w:sz="4" w:space="0" w:color="auto"/>
            </w:tcBorders>
            <w:shd w:val="clear" w:color="auto" w:fill="auto"/>
            <w:noWrap/>
            <w:vAlign w:val="center"/>
            <w:hideMark/>
          </w:tcPr>
          <w:p w14:paraId="07CE74BB"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Quantiles</w:t>
            </w:r>
          </w:p>
        </w:tc>
        <w:tc>
          <w:tcPr>
            <w:tcW w:w="1067" w:type="dxa"/>
            <w:vMerge w:val="restart"/>
            <w:tcBorders>
              <w:left w:val="single" w:sz="4" w:space="0" w:color="auto"/>
              <w:right w:val="single" w:sz="4" w:space="0" w:color="auto"/>
            </w:tcBorders>
            <w:shd w:val="clear" w:color="auto" w:fill="auto"/>
            <w:noWrap/>
            <w:vAlign w:val="center"/>
            <w:hideMark/>
          </w:tcPr>
          <w:p w14:paraId="1660EB6C" w14:textId="77777777" w:rsidR="00771184" w:rsidRPr="002E554D" w:rsidRDefault="00771184" w:rsidP="00771184">
            <w:pPr>
              <w:spacing w:after="0" w:line="240" w:lineRule="auto"/>
              <w:jc w:val="center"/>
              <w:rPr>
                <w:rFonts w:ascii="Garamond" w:eastAsia="Times New Roman" w:hAnsi="Garamond" w:cs="Calibri"/>
                <w:b/>
                <w:bCs/>
                <w:i/>
                <w:iCs/>
                <w:color w:val="FF0000"/>
                <w:sz w:val="20"/>
                <w:szCs w:val="20"/>
                <w:lang w:val="en-GB" w:eastAsia="en-GB"/>
              </w:rPr>
            </w:pPr>
            <w:proofErr w:type="spellStart"/>
            <w:r w:rsidRPr="002E554D">
              <w:rPr>
                <w:rFonts w:ascii="Garamond" w:eastAsia="Times New Roman" w:hAnsi="Garamond" w:cs="Calibri"/>
                <w:b/>
                <w:bCs/>
                <w:i/>
                <w:iCs/>
                <w:color w:val="FF0000"/>
                <w:sz w:val="20"/>
                <w:szCs w:val="20"/>
                <w:lang w:val="en-GB" w:eastAsia="en-GB"/>
              </w:rPr>
              <w:t>t</w:t>
            </w:r>
            <w:r w:rsidRPr="002E554D">
              <w:rPr>
                <w:rFonts w:ascii="Garamond" w:eastAsia="Times New Roman" w:hAnsi="Garamond" w:cs="Calibri"/>
                <w:b/>
                <w:bCs/>
                <w:i/>
                <w:iCs/>
                <w:color w:val="FF0000"/>
                <w:sz w:val="20"/>
                <w:szCs w:val="20"/>
                <w:vertAlign w:val="subscript"/>
                <w:lang w:val="en-GB" w:eastAsia="en-GB"/>
              </w:rPr>
              <w:t>ks</w:t>
            </w:r>
            <w:proofErr w:type="spellEnd"/>
          </w:p>
        </w:tc>
        <w:tc>
          <w:tcPr>
            <w:tcW w:w="3201" w:type="dxa"/>
            <w:gridSpan w:val="3"/>
            <w:tcBorders>
              <w:left w:val="single" w:sz="4" w:space="0" w:color="auto"/>
              <w:right w:val="single" w:sz="4" w:space="0" w:color="auto"/>
            </w:tcBorders>
            <w:shd w:val="clear" w:color="auto" w:fill="auto"/>
            <w:noWrap/>
            <w:vAlign w:val="center"/>
            <w:hideMark/>
          </w:tcPr>
          <w:p w14:paraId="1F345EA2"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asymptotic critical values</w:t>
            </w:r>
          </w:p>
        </w:tc>
        <w:tc>
          <w:tcPr>
            <w:tcW w:w="1066" w:type="dxa"/>
            <w:vMerge w:val="restart"/>
            <w:tcBorders>
              <w:left w:val="single" w:sz="4" w:space="0" w:color="auto"/>
              <w:right w:val="single" w:sz="4" w:space="0" w:color="auto"/>
            </w:tcBorders>
            <w:shd w:val="clear" w:color="auto" w:fill="auto"/>
            <w:noWrap/>
            <w:vAlign w:val="center"/>
            <w:hideMark/>
          </w:tcPr>
          <w:p w14:paraId="371F42DF" w14:textId="77777777" w:rsidR="00771184" w:rsidRPr="002E554D" w:rsidRDefault="00771184" w:rsidP="00771184">
            <w:pPr>
              <w:spacing w:after="0" w:line="240" w:lineRule="auto"/>
              <w:jc w:val="center"/>
              <w:rPr>
                <w:rFonts w:ascii="Garamond" w:eastAsia="Times New Roman" w:hAnsi="Garamond" w:cs="Calibri"/>
                <w:b/>
                <w:bCs/>
                <w:i/>
                <w:iCs/>
                <w:color w:val="FF0000"/>
                <w:sz w:val="20"/>
                <w:szCs w:val="20"/>
                <w:lang w:val="en-GB" w:eastAsia="en-GB"/>
              </w:rPr>
            </w:pPr>
            <w:proofErr w:type="spellStart"/>
            <w:r w:rsidRPr="002E554D">
              <w:rPr>
                <w:rFonts w:ascii="Garamond" w:eastAsia="Times New Roman" w:hAnsi="Garamond" w:cs="Calibri"/>
                <w:b/>
                <w:bCs/>
                <w:i/>
                <w:iCs/>
                <w:color w:val="FF0000"/>
                <w:sz w:val="20"/>
                <w:szCs w:val="20"/>
                <w:lang w:val="en-GB" w:eastAsia="en-GB"/>
              </w:rPr>
              <w:t>t</w:t>
            </w:r>
            <w:r w:rsidRPr="002E554D">
              <w:rPr>
                <w:rFonts w:ascii="Garamond" w:eastAsia="Times New Roman" w:hAnsi="Garamond" w:cs="Calibri"/>
                <w:b/>
                <w:bCs/>
                <w:i/>
                <w:iCs/>
                <w:color w:val="FF0000"/>
                <w:sz w:val="20"/>
                <w:szCs w:val="20"/>
                <w:vertAlign w:val="subscript"/>
                <w:lang w:val="en-GB" w:eastAsia="en-GB"/>
              </w:rPr>
              <w:t>ks</w:t>
            </w:r>
            <w:proofErr w:type="spellEnd"/>
          </w:p>
        </w:tc>
        <w:tc>
          <w:tcPr>
            <w:tcW w:w="3198" w:type="dxa"/>
            <w:gridSpan w:val="3"/>
            <w:tcBorders>
              <w:left w:val="single" w:sz="4" w:space="0" w:color="auto"/>
              <w:right w:val="single" w:sz="4" w:space="0" w:color="auto"/>
            </w:tcBorders>
            <w:shd w:val="clear" w:color="auto" w:fill="auto"/>
            <w:noWrap/>
            <w:vAlign w:val="center"/>
            <w:hideMark/>
          </w:tcPr>
          <w:p w14:paraId="45552C91"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asymptotic critical values</w:t>
            </w:r>
          </w:p>
        </w:tc>
      </w:tr>
      <w:tr w:rsidR="002E554D" w:rsidRPr="002E554D" w14:paraId="71B21E26" w14:textId="77777777" w:rsidTr="008B7FA1">
        <w:trPr>
          <w:trHeight w:val="330"/>
        </w:trPr>
        <w:tc>
          <w:tcPr>
            <w:tcW w:w="1204" w:type="dxa"/>
            <w:vMerge/>
            <w:tcBorders>
              <w:left w:val="single" w:sz="4" w:space="0" w:color="auto"/>
              <w:right w:val="single" w:sz="4" w:space="0" w:color="auto"/>
            </w:tcBorders>
            <w:vAlign w:val="center"/>
            <w:hideMark/>
          </w:tcPr>
          <w:p w14:paraId="40B2EAB7" w14:textId="77777777" w:rsidR="00771184" w:rsidRPr="002E554D" w:rsidRDefault="00771184" w:rsidP="00771184">
            <w:pPr>
              <w:spacing w:after="0" w:line="240" w:lineRule="auto"/>
              <w:rPr>
                <w:rFonts w:ascii="Garamond" w:eastAsia="Times New Roman" w:hAnsi="Garamond" w:cs="Calibri"/>
                <w:b/>
                <w:bCs/>
                <w:color w:val="FF0000"/>
                <w:sz w:val="20"/>
                <w:szCs w:val="20"/>
                <w:lang w:val="en-GB" w:eastAsia="en-GB"/>
              </w:rPr>
            </w:pPr>
          </w:p>
        </w:tc>
        <w:tc>
          <w:tcPr>
            <w:tcW w:w="1067" w:type="dxa"/>
            <w:vMerge/>
            <w:tcBorders>
              <w:left w:val="single" w:sz="4" w:space="0" w:color="auto"/>
              <w:right w:val="single" w:sz="4" w:space="0" w:color="auto"/>
            </w:tcBorders>
            <w:vAlign w:val="center"/>
            <w:hideMark/>
          </w:tcPr>
          <w:p w14:paraId="2AE35476" w14:textId="77777777" w:rsidR="00771184" w:rsidRPr="002E554D" w:rsidRDefault="00771184" w:rsidP="00771184">
            <w:pPr>
              <w:spacing w:after="0" w:line="240" w:lineRule="auto"/>
              <w:rPr>
                <w:rFonts w:ascii="Garamond" w:eastAsia="Times New Roman" w:hAnsi="Garamond" w:cs="Calibri"/>
                <w:b/>
                <w:bCs/>
                <w:i/>
                <w:iCs/>
                <w:color w:val="FF0000"/>
                <w:sz w:val="20"/>
                <w:szCs w:val="20"/>
                <w:lang w:val="en-GB" w:eastAsia="en-GB"/>
              </w:rPr>
            </w:pPr>
          </w:p>
        </w:tc>
        <w:tc>
          <w:tcPr>
            <w:tcW w:w="1067" w:type="dxa"/>
            <w:tcBorders>
              <w:left w:val="single" w:sz="4" w:space="0" w:color="auto"/>
            </w:tcBorders>
            <w:shd w:val="clear" w:color="auto" w:fill="auto"/>
            <w:noWrap/>
            <w:vAlign w:val="center"/>
            <w:hideMark/>
          </w:tcPr>
          <w:p w14:paraId="6E2BEE82"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w:t>
            </w:r>
          </w:p>
        </w:tc>
        <w:tc>
          <w:tcPr>
            <w:tcW w:w="1067" w:type="dxa"/>
            <w:shd w:val="clear" w:color="auto" w:fill="auto"/>
            <w:noWrap/>
            <w:vAlign w:val="center"/>
            <w:hideMark/>
          </w:tcPr>
          <w:p w14:paraId="2669E18C"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5%</w:t>
            </w:r>
          </w:p>
        </w:tc>
        <w:tc>
          <w:tcPr>
            <w:tcW w:w="1067" w:type="dxa"/>
            <w:tcBorders>
              <w:right w:val="single" w:sz="4" w:space="0" w:color="auto"/>
            </w:tcBorders>
            <w:shd w:val="clear" w:color="auto" w:fill="auto"/>
            <w:noWrap/>
            <w:vAlign w:val="center"/>
            <w:hideMark/>
          </w:tcPr>
          <w:p w14:paraId="46FE7620"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10%</w:t>
            </w:r>
          </w:p>
        </w:tc>
        <w:tc>
          <w:tcPr>
            <w:tcW w:w="1066" w:type="dxa"/>
            <w:vMerge/>
            <w:tcBorders>
              <w:left w:val="single" w:sz="4" w:space="0" w:color="auto"/>
              <w:right w:val="single" w:sz="4" w:space="0" w:color="auto"/>
            </w:tcBorders>
            <w:vAlign w:val="center"/>
            <w:hideMark/>
          </w:tcPr>
          <w:p w14:paraId="2B06814B" w14:textId="77777777" w:rsidR="00771184" w:rsidRPr="002E554D" w:rsidRDefault="00771184" w:rsidP="00771184">
            <w:pPr>
              <w:spacing w:after="0" w:line="240" w:lineRule="auto"/>
              <w:rPr>
                <w:rFonts w:ascii="Garamond" w:eastAsia="Times New Roman" w:hAnsi="Garamond" w:cs="Calibri"/>
                <w:b/>
                <w:bCs/>
                <w:i/>
                <w:iCs/>
                <w:color w:val="FF0000"/>
                <w:sz w:val="20"/>
                <w:szCs w:val="20"/>
                <w:lang w:val="en-GB" w:eastAsia="en-GB"/>
              </w:rPr>
            </w:pPr>
          </w:p>
        </w:tc>
        <w:tc>
          <w:tcPr>
            <w:tcW w:w="1066" w:type="dxa"/>
            <w:tcBorders>
              <w:left w:val="single" w:sz="4" w:space="0" w:color="auto"/>
            </w:tcBorders>
            <w:shd w:val="clear" w:color="auto" w:fill="auto"/>
            <w:noWrap/>
            <w:vAlign w:val="center"/>
            <w:hideMark/>
          </w:tcPr>
          <w:p w14:paraId="339AE1A7"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w:t>
            </w:r>
          </w:p>
        </w:tc>
        <w:tc>
          <w:tcPr>
            <w:tcW w:w="1066" w:type="dxa"/>
            <w:shd w:val="clear" w:color="auto" w:fill="auto"/>
            <w:noWrap/>
            <w:vAlign w:val="center"/>
            <w:hideMark/>
          </w:tcPr>
          <w:p w14:paraId="57CFA17A"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5%</w:t>
            </w:r>
          </w:p>
        </w:tc>
        <w:tc>
          <w:tcPr>
            <w:tcW w:w="1066" w:type="dxa"/>
            <w:tcBorders>
              <w:right w:val="single" w:sz="4" w:space="0" w:color="auto"/>
            </w:tcBorders>
            <w:shd w:val="clear" w:color="auto" w:fill="auto"/>
            <w:noWrap/>
            <w:vAlign w:val="center"/>
            <w:hideMark/>
          </w:tcPr>
          <w:p w14:paraId="5372AF0B"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10%</w:t>
            </w:r>
          </w:p>
        </w:tc>
      </w:tr>
      <w:tr w:rsidR="002E554D" w:rsidRPr="002E554D" w14:paraId="452F3C05" w14:textId="77777777" w:rsidTr="008B7FA1">
        <w:trPr>
          <w:trHeight w:val="330"/>
        </w:trPr>
        <w:tc>
          <w:tcPr>
            <w:tcW w:w="1204" w:type="dxa"/>
            <w:vMerge/>
            <w:tcBorders>
              <w:left w:val="single" w:sz="4" w:space="0" w:color="auto"/>
              <w:right w:val="single" w:sz="4" w:space="0" w:color="auto"/>
            </w:tcBorders>
            <w:vAlign w:val="center"/>
            <w:hideMark/>
          </w:tcPr>
          <w:p w14:paraId="593B79E2" w14:textId="77777777" w:rsidR="00771184" w:rsidRPr="002E554D" w:rsidRDefault="00771184" w:rsidP="00771184">
            <w:pPr>
              <w:spacing w:after="0" w:line="240" w:lineRule="auto"/>
              <w:rPr>
                <w:rFonts w:ascii="Garamond" w:eastAsia="Times New Roman" w:hAnsi="Garamond" w:cs="Calibri"/>
                <w:b/>
                <w:bCs/>
                <w:color w:val="FF0000"/>
                <w:sz w:val="20"/>
                <w:szCs w:val="20"/>
                <w:lang w:val="en-GB" w:eastAsia="en-GB"/>
              </w:rPr>
            </w:pPr>
          </w:p>
        </w:tc>
        <w:tc>
          <w:tcPr>
            <w:tcW w:w="4268" w:type="dxa"/>
            <w:gridSpan w:val="4"/>
            <w:tcBorders>
              <w:left w:val="single" w:sz="4" w:space="0" w:color="auto"/>
              <w:right w:val="single" w:sz="4" w:space="0" w:color="auto"/>
            </w:tcBorders>
            <w:shd w:val="clear" w:color="auto" w:fill="auto"/>
            <w:noWrap/>
            <w:vAlign w:val="center"/>
            <w:hideMark/>
          </w:tcPr>
          <w:p w14:paraId="59BFCA76"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BD BENCHMARK 10 YEAR DS GOVT. INDEX</w:t>
            </w:r>
          </w:p>
        </w:tc>
        <w:tc>
          <w:tcPr>
            <w:tcW w:w="4264" w:type="dxa"/>
            <w:gridSpan w:val="4"/>
            <w:tcBorders>
              <w:left w:val="single" w:sz="4" w:space="0" w:color="auto"/>
              <w:right w:val="single" w:sz="4" w:space="0" w:color="auto"/>
            </w:tcBorders>
            <w:shd w:val="clear" w:color="auto" w:fill="auto"/>
            <w:noWrap/>
            <w:vAlign w:val="center"/>
            <w:hideMark/>
          </w:tcPr>
          <w:p w14:paraId="2DC6F845"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 xml:space="preserve">US BENCHMARK 10 YEAR DS GOVT. INDEX </w:t>
            </w:r>
          </w:p>
        </w:tc>
      </w:tr>
      <w:tr w:rsidR="002E554D" w:rsidRPr="002E554D" w14:paraId="7B0A9BE0" w14:textId="77777777" w:rsidTr="000D56E6">
        <w:trPr>
          <w:trHeight w:val="330"/>
        </w:trPr>
        <w:tc>
          <w:tcPr>
            <w:tcW w:w="1204" w:type="dxa"/>
            <w:tcBorders>
              <w:left w:val="single" w:sz="4" w:space="0" w:color="auto"/>
              <w:right w:val="single" w:sz="4" w:space="0" w:color="auto"/>
            </w:tcBorders>
            <w:shd w:val="clear" w:color="auto" w:fill="auto"/>
            <w:noWrap/>
            <w:vAlign w:val="center"/>
            <w:hideMark/>
          </w:tcPr>
          <w:p w14:paraId="401E5433"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1067" w:type="dxa"/>
            <w:tcBorders>
              <w:left w:val="single" w:sz="4" w:space="0" w:color="auto"/>
              <w:right w:val="single" w:sz="4" w:space="0" w:color="auto"/>
            </w:tcBorders>
            <w:shd w:val="clear" w:color="auto" w:fill="auto"/>
            <w:noWrap/>
            <w:hideMark/>
          </w:tcPr>
          <w:p w14:paraId="6690EDD6" w14:textId="30D5B151"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-1.154</w:t>
            </w:r>
          </w:p>
        </w:tc>
        <w:tc>
          <w:tcPr>
            <w:tcW w:w="1067" w:type="dxa"/>
            <w:tcBorders>
              <w:left w:val="single" w:sz="4" w:space="0" w:color="auto"/>
            </w:tcBorders>
            <w:shd w:val="clear" w:color="auto" w:fill="auto"/>
            <w:noWrap/>
            <w:hideMark/>
          </w:tcPr>
          <w:p w14:paraId="61010541" w14:textId="531CA526"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-3.143</w:t>
            </w:r>
          </w:p>
        </w:tc>
        <w:tc>
          <w:tcPr>
            <w:tcW w:w="1067" w:type="dxa"/>
            <w:shd w:val="clear" w:color="auto" w:fill="auto"/>
            <w:noWrap/>
            <w:hideMark/>
          </w:tcPr>
          <w:p w14:paraId="7F3378A2" w14:textId="3775EDB6"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-2.514</w:t>
            </w:r>
          </w:p>
        </w:tc>
        <w:tc>
          <w:tcPr>
            <w:tcW w:w="1067" w:type="dxa"/>
            <w:tcBorders>
              <w:right w:val="single" w:sz="4" w:space="0" w:color="auto"/>
            </w:tcBorders>
            <w:shd w:val="clear" w:color="auto" w:fill="auto"/>
            <w:noWrap/>
            <w:hideMark/>
          </w:tcPr>
          <w:p w14:paraId="74A7DFE0" w14:textId="5CFD1485"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-2.176</w:t>
            </w:r>
          </w:p>
        </w:tc>
        <w:tc>
          <w:tcPr>
            <w:tcW w:w="1066" w:type="dxa"/>
            <w:tcBorders>
              <w:left w:val="single" w:sz="4" w:space="0" w:color="auto"/>
              <w:right w:val="single" w:sz="4" w:space="0" w:color="auto"/>
            </w:tcBorders>
            <w:shd w:val="clear" w:color="auto" w:fill="auto"/>
            <w:noWrap/>
            <w:hideMark/>
          </w:tcPr>
          <w:p w14:paraId="67448C7C" w14:textId="4B813EC1" w:rsidR="00703C1B" w:rsidRPr="002E554D" w:rsidRDefault="00703C1B" w:rsidP="00703C1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-2.464</w:t>
            </w:r>
          </w:p>
        </w:tc>
        <w:tc>
          <w:tcPr>
            <w:tcW w:w="1066" w:type="dxa"/>
            <w:tcBorders>
              <w:left w:val="single" w:sz="4" w:space="0" w:color="auto"/>
            </w:tcBorders>
            <w:shd w:val="clear" w:color="auto" w:fill="auto"/>
            <w:noWrap/>
            <w:hideMark/>
          </w:tcPr>
          <w:p w14:paraId="4BCE517B" w14:textId="207CF118"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-3.122</w:t>
            </w:r>
          </w:p>
        </w:tc>
        <w:tc>
          <w:tcPr>
            <w:tcW w:w="1066" w:type="dxa"/>
            <w:shd w:val="clear" w:color="auto" w:fill="auto"/>
            <w:noWrap/>
            <w:hideMark/>
          </w:tcPr>
          <w:p w14:paraId="4518ACC2" w14:textId="6AD81EA0"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-2.485</w:t>
            </w:r>
          </w:p>
        </w:tc>
        <w:tc>
          <w:tcPr>
            <w:tcW w:w="1066" w:type="dxa"/>
            <w:tcBorders>
              <w:right w:val="single" w:sz="4" w:space="0" w:color="auto"/>
            </w:tcBorders>
            <w:shd w:val="clear" w:color="auto" w:fill="auto"/>
            <w:noWrap/>
            <w:hideMark/>
          </w:tcPr>
          <w:p w14:paraId="5EA8567B" w14:textId="47885320"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-2.145</w:t>
            </w:r>
          </w:p>
        </w:tc>
      </w:tr>
      <w:tr w:rsidR="002E554D" w:rsidRPr="002E554D" w14:paraId="2DE626A8" w14:textId="77777777" w:rsidTr="000D56E6">
        <w:trPr>
          <w:trHeight w:val="330"/>
        </w:trPr>
        <w:tc>
          <w:tcPr>
            <w:tcW w:w="1204" w:type="dxa"/>
            <w:tcBorders>
              <w:left w:val="single" w:sz="4" w:space="0" w:color="auto"/>
              <w:right w:val="single" w:sz="4" w:space="0" w:color="auto"/>
            </w:tcBorders>
            <w:shd w:val="clear" w:color="auto" w:fill="auto"/>
            <w:noWrap/>
            <w:vAlign w:val="center"/>
            <w:hideMark/>
          </w:tcPr>
          <w:p w14:paraId="610ACF7E"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1067" w:type="dxa"/>
            <w:tcBorders>
              <w:left w:val="single" w:sz="4" w:space="0" w:color="auto"/>
              <w:right w:val="single" w:sz="4" w:space="0" w:color="auto"/>
            </w:tcBorders>
            <w:shd w:val="clear" w:color="auto" w:fill="auto"/>
            <w:noWrap/>
            <w:hideMark/>
          </w:tcPr>
          <w:p w14:paraId="76C6FCFF" w14:textId="19833373"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-1.527</w:t>
            </w:r>
          </w:p>
        </w:tc>
        <w:tc>
          <w:tcPr>
            <w:tcW w:w="1067" w:type="dxa"/>
            <w:tcBorders>
              <w:left w:val="single" w:sz="4" w:space="0" w:color="auto"/>
            </w:tcBorders>
            <w:shd w:val="clear" w:color="auto" w:fill="auto"/>
            <w:noWrap/>
            <w:hideMark/>
          </w:tcPr>
          <w:p w14:paraId="4AE4B5E0" w14:textId="5825ECC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-3.223</w:t>
            </w:r>
          </w:p>
        </w:tc>
        <w:tc>
          <w:tcPr>
            <w:tcW w:w="1067" w:type="dxa"/>
            <w:shd w:val="clear" w:color="auto" w:fill="auto"/>
            <w:noWrap/>
            <w:hideMark/>
          </w:tcPr>
          <w:p w14:paraId="43223A4D" w14:textId="0A1393AF"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-2.618</w:t>
            </w:r>
          </w:p>
        </w:tc>
        <w:tc>
          <w:tcPr>
            <w:tcW w:w="1067" w:type="dxa"/>
            <w:tcBorders>
              <w:right w:val="single" w:sz="4" w:space="0" w:color="auto"/>
            </w:tcBorders>
            <w:shd w:val="clear" w:color="auto" w:fill="auto"/>
            <w:noWrap/>
            <w:hideMark/>
          </w:tcPr>
          <w:p w14:paraId="13237358" w14:textId="4ACD36CE"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-2.291</w:t>
            </w:r>
          </w:p>
        </w:tc>
        <w:tc>
          <w:tcPr>
            <w:tcW w:w="1066" w:type="dxa"/>
            <w:tcBorders>
              <w:left w:val="single" w:sz="4" w:space="0" w:color="auto"/>
              <w:right w:val="single" w:sz="4" w:space="0" w:color="auto"/>
            </w:tcBorders>
            <w:shd w:val="clear" w:color="auto" w:fill="auto"/>
            <w:noWrap/>
            <w:hideMark/>
          </w:tcPr>
          <w:p w14:paraId="520CA280" w14:textId="4C72647C" w:rsidR="00703C1B" w:rsidRPr="002E554D" w:rsidRDefault="00703C1B" w:rsidP="00703C1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-1.364</w:t>
            </w:r>
          </w:p>
        </w:tc>
        <w:tc>
          <w:tcPr>
            <w:tcW w:w="1066" w:type="dxa"/>
            <w:tcBorders>
              <w:left w:val="single" w:sz="4" w:space="0" w:color="auto"/>
            </w:tcBorders>
            <w:shd w:val="clear" w:color="auto" w:fill="auto"/>
            <w:noWrap/>
            <w:hideMark/>
          </w:tcPr>
          <w:p w14:paraId="49C2F6CB" w14:textId="36E2A102"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-3.169</w:t>
            </w:r>
          </w:p>
        </w:tc>
        <w:tc>
          <w:tcPr>
            <w:tcW w:w="1066" w:type="dxa"/>
            <w:shd w:val="clear" w:color="auto" w:fill="auto"/>
            <w:noWrap/>
            <w:hideMark/>
          </w:tcPr>
          <w:p w14:paraId="5782B1F8" w14:textId="670509C1"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-2.552</w:t>
            </w:r>
          </w:p>
        </w:tc>
        <w:tc>
          <w:tcPr>
            <w:tcW w:w="1066" w:type="dxa"/>
            <w:tcBorders>
              <w:right w:val="single" w:sz="4" w:space="0" w:color="auto"/>
            </w:tcBorders>
            <w:shd w:val="clear" w:color="auto" w:fill="auto"/>
            <w:noWrap/>
            <w:hideMark/>
          </w:tcPr>
          <w:p w14:paraId="4BF26A55" w14:textId="0356A93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-2.217</w:t>
            </w:r>
          </w:p>
        </w:tc>
      </w:tr>
      <w:tr w:rsidR="002E554D" w:rsidRPr="002E554D" w14:paraId="15186E60" w14:textId="77777777" w:rsidTr="000D56E6">
        <w:trPr>
          <w:trHeight w:val="330"/>
        </w:trPr>
        <w:tc>
          <w:tcPr>
            <w:tcW w:w="1204" w:type="dxa"/>
            <w:tcBorders>
              <w:left w:val="single" w:sz="4" w:space="0" w:color="auto"/>
              <w:right w:val="single" w:sz="4" w:space="0" w:color="auto"/>
            </w:tcBorders>
            <w:shd w:val="clear" w:color="auto" w:fill="auto"/>
            <w:noWrap/>
            <w:vAlign w:val="center"/>
            <w:hideMark/>
          </w:tcPr>
          <w:p w14:paraId="7165C475"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1067" w:type="dxa"/>
            <w:tcBorders>
              <w:left w:val="single" w:sz="4" w:space="0" w:color="auto"/>
              <w:right w:val="single" w:sz="4" w:space="0" w:color="auto"/>
            </w:tcBorders>
            <w:shd w:val="clear" w:color="auto" w:fill="auto"/>
            <w:noWrap/>
            <w:hideMark/>
          </w:tcPr>
          <w:p w14:paraId="682EBD01" w14:textId="7F83A36D"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-1.353</w:t>
            </w:r>
          </w:p>
        </w:tc>
        <w:tc>
          <w:tcPr>
            <w:tcW w:w="1067" w:type="dxa"/>
            <w:tcBorders>
              <w:left w:val="single" w:sz="4" w:space="0" w:color="auto"/>
            </w:tcBorders>
            <w:shd w:val="clear" w:color="auto" w:fill="auto"/>
            <w:noWrap/>
            <w:hideMark/>
          </w:tcPr>
          <w:p w14:paraId="6415BCFB" w14:textId="3AFDDC6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-3.215</w:t>
            </w:r>
          </w:p>
        </w:tc>
        <w:tc>
          <w:tcPr>
            <w:tcW w:w="1067" w:type="dxa"/>
            <w:shd w:val="clear" w:color="auto" w:fill="auto"/>
            <w:noWrap/>
            <w:hideMark/>
          </w:tcPr>
          <w:p w14:paraId="30FFDF6C" w14:textId="76BD3CC6"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-2.610</w:t>
            </w:r>
          </w:p>
        </w:tc>
        <w:tc>
          <w:tcPr>
            <w:tcW w:w="1067" w:type="dxa"/>
            <w:tcBorders>
              <w:right w:val="single" w:sz="4" w:space="0" w:color="auto"/>
            </w:tcBorders>
            <w:shd w:val="clear" w:color="auto" w:fill="auto"/>
            <w:noWrap/>
            <w:hideMark/>
          </w:tcPr>
          <w:p w14:paraId="632AFDD6" w14:textId="0070DF55"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-2.282</w:t>
            </w:r>
          </w:p>
        </w:tc>
        <w:tc>
          <w:tcPr>
            <w:tcW w:w="1066" w:type="dxa"/>
            <w:tcBorders>
              <w:left w:val="single" w:sz="4" w:space="0" w:color="auto"/>
              <w:right w:val="single" w:sz="4" w:space="0" w:color="auto"/>
            </w:tcBorders>
            <w:shd w:val="clear" w:color="auto" w:fill="auto"/>
            <w:noWrap/>
            <w:hideMark/>
          </w:tcPr>
          <w:p w14:paraId="0358DF26" w14:textId="3DB73F08"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-1.011</w:t>
            </w:r>
          </w:p>
        </w:tc>
        <w:tc>
          <w:tcPr>
            <w:tcW w:w="1066" w:type="dxa"/>
            <w:tcBorders>
              <w:left w:val="single" w:sz="4" w:space="0" w:color="auto"/>
            </w:tcBorders>
            <w:shd w:val="clear" w:color="auto" w:fill="auto"/>
            <w:noWrap/>
            <w:hideMark/>
          </w:tcPr>
          <w:p w14:paraId="03757792" w14:textId="429AB92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-3.185</w:t>
            </w:r>
          </w:p>
        </w:tc>
        <w:tc>
          <w:tcPr>
            <w:tcW w:w="1066" w:type="dxa"/>
            <w:shd w:val="clear" w:color="auto" w:fill="auto"/>
            <w:noWrap/>
            <w:hideMark/>
          </w:tcPr>
          <w:p w14:paraId="4C78C972" w14:textId="30321148"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-2.575</w:t>
            </w:r>
          </w:p>
        </w:tc>
        <w:tc>
          <w:tcPr>
            <w:tcW w:w="1066" w:type="dxa"/>
            <w:tcBorders>
              <w:right w:val="single" w:sz="4" w:space="0" w:color="auto"/>
            </w:tcBorders>
            <w:shd w:val="clear" w:color="auto" w:fill="auto"/>
            <w:noWrap/>
            <w:hideMark/>
          </w:tcPr>
          <w:p w14:paraId="50D4F71A" w14:textId="6F84931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-2.243</w:t>
            </w:r>
          </w:p>
        </w:tc>
      </w:tr>
      <w:tr w:rsidR="002E554D" w:rsidRPr="002E554D" w14:paraId="313475CD" w14:textId="77777777" w:rsidTr="000D56E6">
        <w:trPr>
          <w:trHeight w:val="330"/>
        </w:trPr>
        <w:tc>
          <w:tcPr>
            <w:tcW w:w="1204" w:type="dxa"/>
            <w:tcBorders>
              <w:left w:val="single" w:sz="4" w:space="0" w:color="auto"/>
              <w:right w:val="single" w:sz="4" w:space="0" w:color="auto"/>
            </w:tcBorders>
            <w:shd w:val="clear" w:color="auto" w:fill="auto"/>
            <w:noWrap/>
            <w:vAlign w:val="center"/>
            <w:hideMark/>
          </w:tcPr>
          <w:p w14:paraId="654F08C1"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1067" w:type="dxa"/>
            <w:tcBorders>
              <w:left w:val="single" w:sz="4" w:space="0" w:color="auto"/>
              <w:right w:val="single" w:sz="4" w:space="0" w:color="auto"/>
            </w:tcBorders>
            <w:shd w:val="clear" w:color="auto" w:fill="auto"/>
            <w:noWrap/>
            <w:hideMark/>
          </w:tcPr>
          <w:p w14:paraId="240FB094" w14:textId="450CC055"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-1.811</w:t>
            </w:r>
          </w:p>
        </w:tc>
        <w:tc>
          <w:tcPr>
            <w:tcW w:w="1067" w:type="dxa"/>
            <w:tcBorders>
              <w:left w:val="single" w:sz="4" w:space="0" w:color="auto"/>
            </w:tcBorders>
            <w:shd w:val="clear" w:color="auto" w:fill="auto"/>
            <w:noWrap/>
            <w:hideMark/>
          </w:tcPr>
          <w:p w14:paraId="08F5D6CA" w14:textId="1EAFF92D"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-3.202</w:t>
            </w:r>
          </w:p>
        </w:tc>
        <w:tc>
          <w:tcPr>
            <w:tcW w:w="1067" w:type="dxa"/>
            <w:shd w:val="clear" w:color="auto" w:fill="auto"/>
            <w:noWrap/>
            <w:hideMark/>
          </w:tcPr>
          <w:p w14:paraId="5A3DBFA0" w14:textId="21F2F0EF"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-2.595</w:t>
            </w:r>
          </w:p>
        </w:tc>
        <w:tc>
          <w:tcPr>
            <w:tcW w:w="1067" w:type="dxa"/>
            <w:tcBorders>
              <w:right w:val="single" w:sz="4" w:space="0" w:color="auto"/>
            </w:tcBorders>
            <w:shd w:val="clear" w:color="auto" w:fill="auto"/>
            <w:noWrap/>
            <w:hideMark/>
          </w:tcPr>
          <w:p w14:paraId="0DED3877" w14:textId="43DF8CE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-2.265</w:t>
            </w:r>
          </w:p>
        </w:tc>
        <w:tc>
          <w:tcPr>
            <w:tcW w:w="1066" w:type="dxa"/>
            <w:tcBorders>
              <w:left w:val="single" w:sz="4" w:space="0" w:color="auto"/>
              <w:right w:val="single" w:sz="4" w:space="0" w:color="auto"/>
            </w:tcBorders>
            <w:shd w:val="clear" w:color="auto" w:fill="auto"/>
            <w:noWrap/>
            <w:hideMark/>
          </w:tcPr>
          <w:p w14:paraId="609BF0D0" w14:textId="67F1AEC1"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-0.095</w:t>
            </w:r>
          </w:p>
        </w:tc>
        <w:tc>
          <w:tcPr>
            <w:tcW w:w="1066" w:type="dxa"/>
            <w:tcBorders>
              <w:left w:val="single" w:sz="4" w:space="0" w:color="auto"/>
            </w:tcBorders>
            <w:shd w:val="clear" w:color="auto" w:fill="auto"/>
            <w:noWrap/>
            <w:hideMark/>
          </w:tcPr>
          <w:p w14:paraId="5972559F" w14:textId="0E906F3B"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-3.197</w:t>
            </w:r>
          </w:p>
        </w:tc>
        <w:tc>
          <w:tcPr>
            <w:tcW w:w="1066" w:type="dxa"/>
            <w:shd w:val="clear" w:color="auto" w:fill="auto"/>
            <w:noWrap/>
            <w:hideMark/>
          </w:tcPr>
          <w:p w14:paraId="124B8A7C" w14:textId="0765DEFC"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-2.590</w:t>
            </w:r>
          </w:p>
        </w:tc>
        <w:tc>
          <w:tcPr>
            <w:tcW w:w="1066" w:type="dxa"/>
            <w:tcBorders>
              <w:right w:val="single" w:sz="4" w:space="0" w:color="auto"/>
            </w:tcBorders>
            <w:shd w:val="clear" w:color="auto" w:fill="auto"/>
            <w:noWrap/>
            <w:hideMark/>
          </w:tcPr>
          <w:p w14:paraId="770C62BA" w14:textId="1E58F31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-2.258</w:t>
            </w:r>
          </w:p>
        </w:tc>
      </w:tr>
      <w:tr w:rsidR="002E554D" w:rsidRPr="002E554D" w14:paraId="5C665AAC" w14:textId="77777777" w:rsidTr="000D56E6">
        <w:trPr>
          <w:trHeight w:val="330"/>
        </w:trPr>
        <w:tc>
          <w:tcPr>
            <w:tcW w:w="1204" w:type="dxa"/>
            <w:tcBorders>
              <w:left w:val="single" w:sz="4" w:space="0" w:color="auto"/>
              <w:right w:val="single" w:sz="4" w:space="0" w:color="auto"/>
            </w:tcBorders>
            <w:shd w:val="clear" w:color="auto" w:fill="auto"/>
            <w:noWrap/>
            <w:vAlign w:val="center"/>
            <w:hideMark/>
          </w:tcPr>
          <w:p w14:paraId="4498199B"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1067" w:type="dxa"/>
            <w:tcBorders>
              <w:left w:val="single" w:sz="4" w:space="0" w:color="auto"/>
              <w:right w:val="single" w:sz="4" w:space="0" w:color="auto"/>
            </w:tcBorders>
            <w:shd w:val="clear" w:color="auto" w:fill="auto"/>
            <w:noWrap/>
            <w:hideMark/>
          </w:tcPr>
          <w:p w14:paraId="1A1B2AE0" w14:textId="4112642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-1.353</w:t>
            </w:r>
          </w:p>
        </w:tc>
        <w:tc>
          <w:tcPr>
            <w:tcW w:w="1067" w:type="dxa"/>
            <w:tcBorders>
              <w:left w:val="single" w:sz="4" w:space="0" w:color="auto"/>
            </w:tcBorders>
            <w:shd w:val="clear" w:color="auto" w:fill="auto"/>
            <w:noWrap/>
            <w:hideMark/>
          </w:tcPr>
          <w:p w14:paraId="1F488581" w14:textId="6F7C79B1"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-3.170</w:t>
            </w:r>
          </w:p>
        </w:tc>
        <w:tc>
          <w:tcPr>
            <w:tcW w:w="1067" w:type="dxa"/>
            <w:shd w:val="clear" w:color="auto" w:fill="auto"/>
            <w:noWrap/>
            <w:hideMark/>
          </w:tcPr>
          <w:p w14:paraId="3C366D32" w14:textId="0B13D9C1"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-2.554</w:t>
            </w:r>
          </w:p>
        </w:tc>
        <w:tc>
          <w:tcPr>
            <w:tcW w:w="1067" w:type="dxa"/>
            <w:tcBorders>
              <w:right w:val="single" w:sz="4" w:space="0" w:color="auto"/>
            </w:tcBorders>
            <w:shd w:val="clear" w:color="auto" w:fill="auto"/>
            <w:noWrap/>
            <w:hideMark/>
          </w:tcPr>
          <w:p w14:paraId="0F07EE02" w14:textId="6564D085"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-2.219</w:t>
            </w:r>
          </w:p>
        </w:tc>
        <w:tc>
          <w:tcPr>
            <w:tcW w:w="1066" w:type="dxa"/>
            <w:tcBorders>
              <w:left w:val="single" w:sz="4" w:space="0" w:color="auto"/>
              <w:right w:val="single" w:sz="4" w:space="0" w:color="auto"/>
            </w:tcBorders>
            <w:shd w:val="clear" w:color="auto" w:fill="auto"/>
            <w:noWrap/>
            <w:hideMark/>
          </w:tcPr>
          <w:p w14:paraId="3E428A35" w14:textId="228C5021"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-0.050</w:t>
            </w:r>
          </w:p>
        </w:tc>
        <w:tc>
          <w:tcPr>
            <w:tcW w:w="1066" w:type="dxa"/>
            <w:tcBorders>
              <w:left w:val="single" w:sz="4" w:space="0" w:color="auto"/>
            </w:tcBorders>
            <w:shd w:val="clear" w:color="auto" w:fill="auto"/>
            <w:noWrap/>
            <w:hideMark/>
          </w:tcPr>
          <w:p w14:paraId="19BCF809" w14:textId="799061BF"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-3.206</w:t>
            </w:r>
          </w:p>
        </w:tc>
        <w:tc>
          <w:tcPr>
            <w:tcW w:w="1066" w:type="dxa"/>
            <w:shd w:val="clear" w:color="auto" w:fill="auto"/>
            <w:noWrap/>
            <w:hideMark/>
          </w:tcPr>
          <w:p w14:paraId="01843083" w14:textId="11900AB0"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-2.599</w:t>
            </w:r>
          </w:p>
        </w:tc>
        <w:tc>
          <w:tcPr>
            <w:tcW w:w="1066" w:type="dxa"/>
            <w:tcBorders>
              <w:right w:val="single" w:sz="4" w:space="0" w:color="auto"/>
            </w:tcBorders>
            <w:shd w:val="clear" w:color="auto" w:fill="auto"/>
            <w:noWrap/>
            <w:hideMark/>
          </w:tcPr>
          <w:p w14:paraId="4745D0C1" w14:textId="60352BAA"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-2.269</w:t>
            </w:r>
          </w:p>
        </w:tc>
      </w:tr>
      <w:tr w:rsidR="002E554D" w:rsidRPr="002E554D" w14:paraId="58E1C68F" w14:textId="77777777" w:rsidTr="000D56E6">
        <w:trPr>
          <w:trHeight w:val="330"/>
        </w:trPr>
        <w:tc>
          <w:tcPr>
            <w:tcW w:w="1204" w:type="dxa"/>
            <w:tcBorders>
              <w:left w:val="single" w:sz="4" w:space="0" w:color="auto"/>
              <w:right w:val="single" w:sz="4" w:space="0" w:color="auto"/>
            </w:tcBorders>
            <w:shd w:val="clear" w:color="auto" w:fill="auto"/>
            <w:noWrap/>
            <w:vAlign w:val="center"/>
            <w:hideMark/>
          </w:tcPr>
          <w:p w14:paraId="5DB166A1"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1067" w:type="dxa"/>
            <w:tcBorders>
              <w:left w:val="single" w:sz="4" w:space="0" w:color="auto"/>
              <w:right w:val="single" w:sz="4" w:space="0" w:color="auto"/>
            </w:tcBorders>
            <w:shd w:val="clear" w:color="auto" w:fill="auto"/>
            <w:noWrap/>
            <w:hideMark/>
          </w:tcPr>
          <w:p w14:paraId="79BB08C6" w14:textId="10B881CC"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-0.151</w:t>
            </w:r>
          </w:p>
        </w:tc>
        <w:tc>
          <w:tcPr>
            <w:tcW w:w="1067" w:type="dxa"/>
            <w:tcBorders>
              <w:left w:val="single" w:sz="4" w:space="0" w:color="auto"/>
            </w:tcBorders>
            <w:shd w:val="clear" w:color="auto" w:fill="auto"/>
            <w:noWrap/>
            <w:hideMark/>
          </w:tcPr>
          <w:p w14:paraId="174C8F6A" w14:textId="7DAF4099"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-3.164</w:t>
            </w:r>
          </w:p>
        </w:tc>
        <w:tc>
          <w:tcPr>
            <w:tcW w:w="1067" w:type="dxa"/>
            <w:shd w:val="clear" w:color="auto" w:fill="auto"/>
            <w:noWrap/>
            <w:hideMark/>
          </w:tcPr>
          <w:p w14:paraId="6F26962B" w14:textId="1F5E9140"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-2.545</w:t>
            </w:r>
          </w:p>
        </w:tc>
        <w:tc>
          <w:tcPr>
            <w:tcW w:w="1067" w:type="dxa"/>
            <w:tcBorders>
              <w:right w:val="single" w:sz="4" w:space="0" w:color="auto"/>
            </w:tcBorders>
            <w:shd w:val="clear" w:color="auto" w:fill="auto"/>
            <w:noWrap/>
            <w:hideMark/>
          </w:tcPr>
          <w:p w14:paraId="365BE675" w14:textId="667B5ED9"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-2.209</w:t>
            </w:r>
          </w:p>
        </w:tc>
        <w:tc>
          <w:tcPr>
            <w:tcW w:w="1066" w:type="dxa"/>
            <w:tcBorders>
              <w:left w:val="single" w:sz="4" w:space="0" w:color="auto"/>
              <w:right w:val="single" w:sz="4" w:space="0" w:color="auto"/>
            </w:tcBorders>
            <w:shd w:val="clear" w:color="auto" w:fill="auto"/>
            <w:noWrap/>
            <w:hideMark/>
          </w:tcPr>
          <w:p w14:paraId="7EA4F3A3" w14:textId="0AC827C3"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-0.400</w:t>
            </w:r>
          </w:p>
        </w:tc>
        <w:tc>
          <w:tcPr>
            <w:tcW w:w="1066" w:type="dxa"/>
            <w:tcBorders>
              <w:left w:val="single" w:sz="4" w:space="0" w:color="auto"/>
            </w:tcBorders>
            <w:shd w:val="clear" w:color="auto" w:fill="auto"/>
            <w:noWrap/>
            <w:hideMark/>
          </w:tcPr>
          <w:p w14:paraId="1923ABF4" w14:textId="084484FB"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-3.179</w:t>
            </w:r>
          </w:p>
        </w:tc>
        <w:tc>
          <w:tcPr>
            <w:tcW w:w="1066" w:type="dxa"/>
            <w:shd w:val="clear" w:color="auto" w:fill="auto"/>
            <w:noWrap/>
            <w:hideMark/>
          </w:tcPr>
          <w:p w14:paraId="08886D4F" w14:textId="021CE9A0"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-2.567</w:t>
            </w:r>
          </w:p>
        </w:tc>
        <w:tc>
          <w:tcPr>
            <w:tcW w:w="1066" w:type="dxa"/>
            <w:tcBorders>
              <w:right w:val="single" w:sz="4" w:space="0" w:color="auto"/>
            </w:tcBorders>
            <w:shd w:val="clear" w:color="auto" w:fill="auto"/>
            <w:noWrap/>
            <w:hideMark/>
          </w:tcPr>
          <w:p w14:paraId="74D635FB" w14:textId="3F5B80F3"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-2.233</w:t>
            </w:r>
          </w:p>
        </w:tc>
      </w:tr>
      <w:tr w:rsidR="002E554D" w:rsidRPr="002E554D" w14:paraId="793AB6F6" w14:textId="77777777" w:rsidTr="000D56E6">
        <w:trPr>
          <w:trHeight w:val="330"/>
        </w:trPr>
        <w:tc>
          <w:tcPr>
            <w:tcW w:w="1204" w:type="dxa"/>
            <w:tcBorders>
              <w:left w:val="single" w:sz="4" w:space="0" w:color="auto"/>
              <w:right w:val="single" w:sz="4" w:space="0" w:color="auto"/>
            </w:tcBorders>
            <w:shd w:val="clear" w:color="auto" w:fill="auto"/>
            <w:noWrap/>
            <w:vAlign w:val="center"/>
            <w:hideMark/>
          </w:tcPr>
          <w:p w14:paraId="688B36D6"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1067" w:type="dxa"/>
            <w:tcBorders>
              <w:left w:val="single" w:sz="4" w:space="0" w:color="auto"/>
              <w:right w:val="single" w:sz="4" w:space="0" w:color="auto"/>
            </w:tcBorders>
            <w:shd w:val="clear" w:color="auto" w:fill="auto"/>
            <w:noWrap/>
            <w:hideMark/>
          </w:tcPr>
          <w:p w14:paraId="3FC3963F" w14:textId="6579596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0.223</w:t>
            </w:r>
          </w:p>
        </w:tc>
        <w:tc>
          <w:tcPr>
            <w:tcW w:w="1067" w:type="dxa"/>
            <w:tcBorders>
              <w:left w:val="single" w:sz="4" w:space="0" w:color="auto"/>
            </w:tcBorders>
            <w:shd w:val="clear" w:color="auto" w:fill="auto"/>
            <w:noWrap/>
            <w:hideMark/>
          </w:tcPr>
          <w:p w14:paraId="4D67B4F2" w14:textId="538DA05C"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-3.160</w:t>
            </w:r>
          </w:p>
        </w:tc>
        <w:tc>
          <w:tcPr>
            <w:tcW w:w="1067" w:type="dxa"/>
            <w:shd w:val="clear" w:color="auto" w:fill="auto"/>
            <w:noWrap/>
            <w:hideMark/>
          </w:tcPr>
          <w:p w14:paraId="1E957B63" w14:textId="7325DD8A"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-2.538</w:t>
            </w:r>
          </w:p>
        </w:tc>
        <w:tc>
          <w:tcPr>
            <w:tcW w:w="1067" w:type="dxa"/>
            <w:tcBorders>
              <w:right w:val="single" w:sz="4" w:space="0" w:color="auto"/>
            </w:tcBorders>
            <w:shd w:val="clear" w:color="auto" w:fill="auto"/>
            <w:noWrap/>
            <w:hideMark/>
          </w:tcPr>
          <w:p w14:paraId="67AB45C7" w14:textId="36F365A5"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-2.202</w:t>
            </w:r>
          </w:p>
        </w:tc>
        <w:tc>
          <w:tcPr>
            <w:tcW w:w="1066" w:type="dxa"/>
            <w:tcBorders>
              <w:left w:val="single" w:sz="4" w:space="0" w:color="auto"/>
              <w:right w:val="single" w:sz="4" w:space="0" w:color="auto"/>
            </w:tcBorders>
            <w:shd w:val="clear" w:color="auto" w:fill="auto"/>
            <w:noWrap/>
            <w:hideMark/>
          </w:tcPr>
          <w:p w14:paraId="30A0C1B4" w14:textId="184CA5BD"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-0.532</w:t>
            </w:r>
          </w:p>
        </w:tc>
        <w:tc>
          <w:tcPr>
            <w:tcW w:w="1066" w:type="dxa"/>
            <w:tcBorders>
              <w:left w:val="single" w:sz="4" w:space="0" w:color="auto"/>
            </w:tcBorders>
            <w:shd w:val="clear" w:color="auto" w:fill="auto"/>
            <w:noWrap/>
            <w:hideMark/>
          </w:tcPr>
          <w:p w14:paraId="2233EB23" w14:textId="5499AE5C"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-3.152</w:t>
            </w:r>
          </w:p>
        </w:tc>
        <w:tc>
          <w:tcPr>
            <w:tcW w:w="1066" w:type="dxa"/>
            <w:shd w:val="clear" w:color="auto" w:fill="auto"/>
            <w:noWrap/>
            <w:hideMark/>
          </w:tcPr>
          <w:p w14:paraId="3CD061E6" w14:textId="1EB9329F"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-2.527</w:t>
            </w:r>
          </w:p>
        </w:tc>
        <w:tc>
          <w:tcPr>
            <w:tcW w:w="1066" w:type="dxa"/>
            <w:tcBorders>
              <w:right w:val="single" w:sz="4" w:space="0" w:color="auto"/>
            </w:tcBorders>
            <w:shd w:val="clear" w:color="auto" w:fill="auto"/>
            <w:noWrap/>
            <w:hideMark/>
          </w:tcPr>
          <w:p w14:paraId="214899A3" w14:textId="0EFE7190"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-2.190</w:t>
            </w:r>
          </w:p>
        </w:tc>
      </w:tr>
      <w:tr w:rsidR="002E554D" w:rsidRPr="002E554D" w14:paraId="6E58F289" w14:textId="77777777" w:rsidTr="000D56E6">
        <w:trPr>
          <w:trHeight w:val="330"/>
        </w:trPr>
        <w:tc>
          <w:tcPr>
            <w:tcW w:w="1204" w:type="dxa"/>
            <w:tcBorders>
              <w:left w:val="single" w:sz="4" w:space="0" w:color="auto"/>
              <w:right w:val="single" w:sz="4" w:space="0" w:color="auto"/>
            </w:tcBorders>
            <w:shd w:val="clear" w:color="auto" w:fill="auto"/>
            <w:noWrap/>
            <w:vAlign w:val="center"/>
            <w:hideMark/>
          </w:tcPr>
          <w:p w14:paraId="5C89F6C6"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1067" w:type="dxa"/>
            <w:tcBorders>
              <w:left w:val="single" w:sz="4" w:space="0" w:color="auto"/>
              <w:right w:val="single" w:sz="4" w:space="0" w:color="auto"/>
            </w:tcBorders>
            <w:shd w:val="clear" w:color="auto" w:fill="auto"/>
            <w:noWrap/>
            <w:hideMark/>
          </w:tcPr>
          <w:p w14:paraId="33CCEA10" w14:textId="3ADEBA6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-1.420</w:t>
            </w:r>
          </w:p>
        </w:tc>
        <w:tc>
          <w:tcPr>
            <w:tcW w:w="1067" w:type="dxa"/>
            <w:tcBorders>
              <w:left w:val="single" w:sz="4" w:space="0" w:color="auto"/>
            </w:tcBorders>
            <w:shd w:val="clear" w:color="auto" w:fill="auto"/>
            <w:noWrap/>
            <w:hideMark/>
          </w:tcPr>
          <w:p w14:paraId="573C4360" w14:textId="05DDD783"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-3.150</w:t>
            </w:r>
          </w:p>
        </w:tc>
        <w:tc>
          <w:tcPr>
            <w:tcW w:w="1067" w:type="dxa"/>
            <w:shd w:val="clear" w:color="auto" w:fill="auto"/>
            <w:noWrap/>
            <w:hideMark/>
          </w:tcPr>
          <w:p w14:paraId="3DF1925E" w14:textId="0BC2CB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-2.524</w:t>
            </w:r>
          </w:p>
        </w:tc>
        <w:tc>
          <w:tcPr>
            <w:tcW w:w="1067" w:type="dxa"/>
            <w:tcBorders>
              <w:right w:val="single" w:sz="4" w:space="0" w:color="auto"/>
            </w:tcBorders>
            <w:shd w:val="clear" w:color="auto" w:fill="auto"/>
            <w:noWrap/>
            <w:hideMark/>
          </w:tcPr>
          <w:p w14:paraId="7788E77A" w14:textId="01A0F581"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-2.187</w:t>
            </w:r>
          </w:p>
        </w:tc>
        <w:tc>
          <w:tcPr>
            <w:tcW w:w="1066" w:type="dxa"/>
            <w:tcBorders>
              <w:left w:val="single" w:sz="4" w:space="0" w:color="auto"/>
              <w:right w:val="single" w:sz="4" w:space="0" w:color="auto"/>
            </w:tcBorders>
            <w:shd w:val="clear" w:color="auto" w:fill="auto"/>
            <w:noWrap/>
            <w:hideMark/>
          </w:tcPr>
          <w:p w14:paraId="5A253086" w14:textId="7BB5B70B"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-0.722</w:t>
            </w:r>
          </w:p>
        </w:tc>
        <w:tc>
          <w:tcPr>
            <w:tcW w:w="1066" w:type="dxa"/>
            <w:tcBorders>
              <w:left w:val="single" w:sz="4" w:space="0" w:color="auto"/>
            </w:tcBorders>
            <w:shd w:val="clear" w:color="auto" w:fill="auto"/>
            <w:noWrap/>
            <w:hideMark/>
          </w:tcPr>
          <w:p w14:paraId="5FC37299" w14:textId="6CDB69D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-3.142</w:t>
            </w:r>
          </w:p>
        </w:tc>
        <w:tc>
          <w:tcPr>
            <w:tcW w:w="1066" w:type="dxa"/>
            <w:shd w:val="clear" w:color="auto" w:fill="auto"/>
            <w:noWrap/>
            <w:hideMark/>
          </w:tcPr>
          <w:p w14:paraId="68104354" w14:textId="6A27E642"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-2.514</w:t>
            </w:r>
          </w:p>
        </w:tc>
        <w:tc>
          <w:tcPr>
            <w:tcW w:w="1066" w:type="dxa"/>
            <w:tcBorders>
              <w:right w:val="single" w:sz="4" w:space="0" w:color="auto"/>
            </w:tcBorders>
            <w:shd w:val="clear" w:color="auto" w:fill="auto"/>
            <w:noWrap/>
            <w:hideMark/>
          </w:tcPr>
          <w:p w14:paraId="52F3CEFF" w14:textId="40B73C60"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-2.175</w:t>
            </w:r>
          </w:p>
        </w:tc>
      </w:tr>
      <w:tr w:rsidR="002E554D" w:rsidRPr="002E554D" w14:paraId="5343D0DD" w14:textId="77777777" w:rsidTr="000D56E6">
        <w:trPr>
          <w:trHeight w:val="330"/>
        </w:trPr>
        <w:tc>
          <w:tcPr>
            <w:tcW w:w="1204" w:type="dxa"/>
            <w:tcBorders>
              <w:left w:val="single" w:sz="4" w:space="0" w:color="auto"/>
              <w:right w:val="single" w:sz="4" w:space="0" w:color="auto"/>
            </w:tcBorders>
            <w:shd w:val="clear" w:color="auto" w:fill="auto"/>
            <w:noWrap/>
            <w:vAlign w:val="center"/>
            <w:hideMark/>
          </w:tcPr>
          <w:p w14:paraId="655D732B"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1067" w:type="dxa"/>
            <w:tcBorders>
              <w:left w:val="single" w:sz="4" w:space="0" w:color="auto"/>
              <w:right w:val="single" w:sz="4" w:space="0" w:color="auto"/>
            </w:tcBorders>
            <w:shd w:val="clear" w:color="auto" w:fill="auto"/>
            <w:noWrap/>
            <w:hideMark/>
          </w:tcPr>
          <w:p w14:paraId="4D182D22" w14:textId="1C31572C"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-1.511</w:t>
            </w:r>
          </w:p>
        </w:tc>
        <w:tc>
          <w:tcPr>
            <w:tcW w:w="1067" w:type="dxa"/>
            <w:tcBorders>
              <w:left w:val="single" w:sz="4" w:space="0" w:color="auto"/>
            </w:tcBorders>
            <w:shd w:val="clear" w:color="auto" w:fill="auto"/>
            <w:noWrap/>
            <w:hideMark/>
          </w:tcPr>
          <w:p w14:paraId="33885C80" w14:textId="48F72A8F"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-3.084</w:t>
            </w:r>
          </w:p>
        </w:tc>
        <w:tc>
          <w:tcPr>
            <w:tcW w:w="1067" w:type="dxa"/>
            <w:shd w:val="clear" w:color="auto" w:fill="auto"/>
            <w:noWrap/>
            <w:hideMark/>
          </w:tcPr>
          <w:p w14:paraId="11516A9A" w14:textId="269B5332"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-2.429</w:t>
            </w:r>
          </w:p>
        </w:tc>
        <w:tc>
          <w:tcPr>
            <w:tcW w:w="1067" w:type="dxa"/>
            <w:tcBorders>
              <w:right w:val="single" w:sz="4" w:space="0" w:color="auto"/>
            </w:tcBorders>
            <w:shd w:val="clear" w:color="auto" w:fill="auto"/>
            <w:noWrap/>
            <w:hideMark/>
          </w:tcPr>
          <w:p w14:paraId="7B735016" w14:textId="5EED2458"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-2.088</w:t>
            </w:r>
          </w:p>
        </w:tc>
        <w:tc>
          <w:tcPr>
            <w:tcW w:w="1066" w:type="dxa"/>
            <w:tcBorders>
              <w:left w:val="single" w:sz="4" w:space="0" w:color="auto"/>
              <w:right w:val="single" w:sz="4" w:space="0" w:color="auto"/>
            </w:tcBorders>
            <w:shd w:val="clear" w:color="auto" w:fill="auto"/>
            <w:noWrap/>
            <w:hideMark/>
          </w:tcPr>
          <w:p w14:paraId="11D45A66" w14:textId="58281CC8"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-1.238</w:t>
            </w:r>
          </w:p>
        </w:tc>
        <w:tc>
          <w:tcPr>
            <w:tcW w:w="1066" w:type="dxa"/>
            <w:tcBorders>
              <w:left w:val="single" w:sz="4" w:space="0" w:color="auto"/>
            </w:tcBorders>
            <w:shd w:val="clear" w:color="auto" w:fill="auto"/>
            <w:noWrap/>
            <w:hideMark/>
          </w:tcPr>
          <w:p w14:paraId="1A9CBF04" w14:textId="118A8BB2"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-3.042</w:t>
            </w:r>
          </w:p>
        </w:tc>
        <w:tc>
          <w:tcPr>
            <w:tcW w:w="1066" w:type="dxa"/>
            <w:shd w:val="clear" w:color="auto" w:fill="auto"/>
            <w:noWrap/>
            <w:hideMark/>
          </w:tcPr>
          <w:p w14:paraId="0A58CCA1" w14:textId="1248ADCC"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-2.383</w:t>
            </w:r>
          </w:p>
        </w:tc>
        <w:tc>
          <w:tcPr>
            <w:tcW w:w="1066" w:type="dxa"/>
            <w:tcBorders>
              <w:right w:val="single" w:sz="4" w:space="0" w:color="auto"/>
            </w:tcBorders>
            <w:shd w:val="clear" w:color="auto" w:fill="auto"/>
            <w:noWrap/>
            <w:hideMark/>
          </w:tcPr>
          <w:p w14:paraId="0BAEFD9B" w14:textId="7F8E27DF"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-2.038</w:t>
            </w:r>
          </w:p>
        </w:tc>
      </w:tr>
      <w:tr w:rsidR="002E554D" w:rsidRPr="002E554D" w14:paraId="7024D175" w14:textId="77777777" w:rsidTr="008B7FA1">
        <w:trPr>
          <w:trHeight w:val="330"/>
        </w:trPr>
        <w:tc>
          <w:tcPr>
            <w:tcW w:w="1204" w:type="dxa"/>
            <w:tcBorders>
              <w:left w:val="single" w:sz="4" w:space="0" w:color="auto"/>
              <w:right w:val="single" w:sz="4" w:space="0" w:color="auto"/>
            </w:tcBorders>
            <w:shd w:val="clear" w:color="auto" w:fill="auto"/>
            <w:noWrap/>
            <w:vAlign w:val="center"/>
            <w:hideMark/>
          </w:tcPr>
          <w:p w14:paraId="6BB098E8" w14:textId="77777777" w:rsidR="00771184" w:rsidRPr="002E554D" w:rsidRDefault="00771184" w:rsidP="00771184">
            <w:pPr>
              <w:spacing w:after="0" w:line="240" w:lineRule="auto"/>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 </w:t>
            </w:r>
          </w:p>
        </w:tc>
        <w:tc>
          <w:tcPr>
            <w:tcW w:w="4268" w:type="dxa"/>
            <w:gridSpan w:val="4"/>
            <w:tcBorders>
              <w:left w:val="single" w:sz="4" w:space="0" w:color="auto"/>
              <w:right w:val="single" w:sz="4" w:space="0" w:color="auto"/>
            </w:tcBorders>
            <w:shd w:val="clear" w:color="auto" w:fill="auto"/>
            <w:noWrap/>
            <w:vAlign w:val="center"/>
            <w:hideMark/>
          </w:tcPr>
          <w:p w14:paraId="70E6E853"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FR BENCHMARK 10 YEAR DS GOVT. INDEX</w:t>
            </w:r>
          </w:p>
        </w:tc>
        <w:tc>
          <w:tcPr>
            <w:tcW w:w="4264" w:type="dxa"/>
            <w:gridSpan w:val="4"/>
            <w:tcBorders>
              <w:left w:val="single" w:sz="4" w:space="0" w:color="auto"/>
              <w:right w:val="single" w:sz="4" w:space="0" w:color="auto"/>
            </w:tcBorders>
            <w:shd w:val="clear" w:color="auto" w:fill="auto"/>
            <w:noWrap/>
            <w:vAlign w:val="center"/>
            <w:hideMark/>
          </w:tcPr>
          <w:p w14:paraId="656BB5A8"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UK BENCHMARK 10 YEAR DS GOVT. INDEX</w:t>
            </w:r>
          </w:p>
        </w:tc>
      </w:tr>
      <w:tr w:rsidR="002E554D" w:rsidRPr="002E554D" w14:paraId="25403EAF" w14:textId="77777777" w:rsidTr="005976DD">
        <w:trPr>
          <w:trHeight w:val="330"/>
        </w:trPr>
        <w:tc>
          <w:tcPr>
            <w:tcW w:w="1204" w:type="dxa"/>
            <w:tcBorders>
              <w:left w:val="single" w:sz="4" w:space="0" w:color="auto"/>
              <w:right w:val="single" w:sz="4" w:space="0" w:color="auto"/>
            </w:tcBorders>
            <w:shd w:val="clear" w:color="auto" w:fill="auto"/>
            <w:noWrap/>
            <w:vAlign w:val="center"/>
            <w:hideMark/>
          </w:tcPr>
          <w:p w14:paraId="4F847721"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1067" w:type="dxa"/>
            <w:tcBorders>
              <w:left w:val="single" w:sz="4" w:space="0" w:color="auto"/>
              <w:right w:val="single" w:sz="4" w:space="0" w:color="auto"/>
            </w:tcBorders>
            <w:shd w:val="clear" w:color="auto" w:fill="auto"/>
            <w:noWrap/>
            <w:hideMark/>
          </w:tcPr>
          <w:p w14:paraId="27DB101F" w14:textId="347F82C2"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-1.599</w:t>
            </w:r>
          </w:p>
        </w:tc>
        <w:tc>
          <w:tcPr>
            <w:tcW w:w="1067" w:type="dxa"/>
            <w:tcBorders>
              <w:left w:val="single" w:sz="4" w:space="0" w:color="auto"/>
            </w:tcBorders>
            <w:shd w:val="clear" w:color="auto" w:fill="auto"/>
            <w:noWrap/>
            <w:hideMark/>
          </w:tcPr>
          <w:p w14:paraId="1A0634A7" w14:textId="09731A1F"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-3.181</w:t>
            </w:r>
          </w:p>
        </w:tc>
        <w:tc>
          <w:tcPr>
            <w:tcW w:w="1067" w:type="dxa"/>
            <w:shd w:val="clear" w:color="auto" w:fill="auto"/>
            <w:noWrap/>
            <w:hideMark/>
          </w:tcPr>
          <w:p w14:paraId="7B1EB7C4" w14:textId="4FB87F1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-2.569</w:t>
            </w:r>
          </w:p>
        </w:tc>
        <w:tc>
          <w:tcPr>
            <w:tcW w:w="1067" w:type="dxa"/>
            <w:tcBorders>
              <w:right w:val="single" w:sz="4" w:space="0" w:color="auto"/>
            </w:tcBorders>
            <w:shd w:val="clear" w:color="auto" w:fill="auto"/>
            <w:noWrap/>
            <w:hideMark/>
          </w:tcPr>
          <w:p w14:paraId="647CD6E2" w14:textId="69BE64A5"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-2.235</w:t>
            </w:r>
          </w:p>
        </w:tc>
        <w:tc>
          <w:tcPr>
            <w:tcW w:w="1066" w:type="dxa"/>
            <w:tcBorders>
              <w:left w:val="single" w:sz="4" w:space="0" w:color="auto"/>
              <w:right w:val="single" w:sz="4" w:space="0" w:color="auto"/>
            </w:tcBorders>
            <w:shd w:val="clear" w:color="auto" w:fill="auto"/>
            <w:noWrap/>
            <w:hideMark/>
          </w:tcPr>
          <w:p w14:paraId="244C7F89" w14:textId="03FBD336" w:rsidR="00703C1B" w:rsidRPr="002E554D" w:rsidRDefault="00703C1B" w:rsidP="00703C1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-2.493</w:t>
            </w:r>
          </w:p>
        </w:tc>
        <w:tc>
          <w:tcPr>
            <w:tcW w:w="1066" w:type="dxa"/>
            <w:tcBorders>
              <w:left w:val="single" w:sz="4" w:space="0" w:color="auto"/>
            </w:tcBorders>
            <w:shd w:val="clear" w:color="auto" w:fill="auto"/>
            <w:noWrap/>
            <w:hideMark/>
          </w:tcPr>
          <w:p w14:paraId="25C55FAC" w14:textId="00BB6ED5"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-3.121</w:t>
            </w:r>
          </w:p>
        </w:tc>
        <w:tc>
          <w:tcPr>
            <w:tcW w:w="1066" w:type="dxa"/>
            <w:shd w:val="clear" w:color="auto" w:fill="auto"/>
            <w:noWrap/>
            <w:hideMark/>
          </w:tcPr>
          <w:p w14:paraId="1FF4061B" w14:textId="21588EA9"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-2.484</w:t>
            </w:r>
          </w:p>
        </w:tc>
        <w:tc>
          <w:tcPr>
            <w:tcW w:w="1066" w:type="dxa"/>
            <w:tcBorders>
              <w:right w:val="single" w:sz="4" w:space="0" w:color="auto"/>
            </w:tcBorders>
            <w:shd w:val="clear" w:color="auto" w:fill="auto"/>
            <w:noWrap/>
            <w:hideMark/>
          </w:tcPr>
          <w:p w14:paraId="6F9AEB42" w14:textId="234BFE8E"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-2.144</w:t>
            </w:r>
          </w:p>
        </w:tc>
      </w:tr>
      <w:tr w:rsidR="002E554D" w:rsidRPr="002E554D" w14:paraId="637F1337" w14:textId="77777777" w:rsidTr="005976DD">
        <w:trPr>
          <w:trHeight w:val="330"/>
        </w:trPr>
        <w:tc>
          <w:tcPr>
            <w:tcW w:w="1204" w:type="dxa"/>
            <w:tcBorders>
              <w:left w:val="single" w:sz="4" w:space="0" w:color="auto"/>
              <w:right w:val="single" w:sz="4" w:space="0" w:color="auto"/>
            </w:tcBorders>
            <w:shd w:val="clear" w:color="auto" w:fill="auto"/>
            <w:noWrap/>
            <w:vAlign w:val="center"/>
            <w:hideMark/>
          </w:tcPr>
          <w:p w14:paraId="2CB19538"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1067" w:type="dxa"/>
            <w:tcBorders>
              <w:left w:val="single" w:sz="4" w:space="0" w:color="auto"/>
              <w:right w:val="single" w:sz="4" w:space="0" w:color="auto"/>
            </w:tcBorders>
            <w:shd w:val="clear" w:color="auto" w:fill="auto"/>
            <w:noWrap/>
            <w:hideMark/>
          </w:tcPr>
          <w:p w14:paraId="33B6506C" w14:textId="40C814BD" w:rsidR="00703C1B" w:rsidRPr="002E554D" w:rsidRDefault="00703C1B" w:rsidP="00703C1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-0.381</w:t>
            </w:r>
          </w:p>
        </w:tc>
        <w:tc>
          <w:tcPr>
            <w:tcW w:w="1067" w:type="dxa"/>
            <w:tcBorders>
              <w:left w:val="single" w:sz="4" w:space="0" w:color="auto"/>
            </w:tcBorders>
            <w:shd w:val="clear" w:color="auto" w:fill="auto"/>
            <w:noWrap/>
            <w:hideMark/>
          </w:tcPr>
          <w:p w14:paraId="74381938" w14:textId="14FFF59B"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-3.180</w:t>
            </w:r>
          </w:p>
        </w:tc>
        <w:tc>
          <w:tcPr>
            <w:tcW w:w="1067" w:type="dxa"/>
            <w:shd w:val="clear" w:color="auto" w:fill="auto"/>
            <w:noWrap/>
            <w:hideMark/>
          </w:tcPr>
          <w:p w14:paraId="272C7F51" w14:textId="0F1E4596"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-2.568</w:t>
            </w:r>
          </w:p>
        </w:tc>
        <w:tc>
          <w:tcPr>
            <w:tcW w:w="1067" w:type="dxa"/>
            <w:tcBorders>
              <w:right w:val="single" w:sz="4" w:space="0" w:color="auto"/>
            </w:tcBorders>
            <w:shd w:val="clear" w:color="auto" w:fill="auto"/>
            <w:noWrap/>
            <w:hideMark/>
          </w:tcPr>
          <w:p w14:paraId="711D1792" w14:textId="652B216F"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-2.234</w:t>
            </w:r>
          </w:p>
        </w:tc>
        <w:tc>
          <w:tcPr>
            <w:tcW w:w="1066" w:type="dxa"/>
            <w:tcBorders>
              <w:left w:val="single" w:sz="4" w:space="0" w:color="auto"/>
              <w:right w:val="single" w:sz="4" w:space="0" w:color="auto"/>
            </w:tcBorders>
            <w:shd w:val="clear" w:color="auto" w:fill="auto"/>
            <w:noWrap/>
            <w:hideMark/>
          </w:tcPr>
          <w:p w14:paraId="041E3161" w14:textId="5601E72A"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-1.919</w:t>
            </w:r>
          </w:p>
        </w:tc>
        <w:tc>
          <w:tcPr>
            <w:tcW w:w="1066" w:type="dxa"/>
            <w:tcBorders>
              <w:left w:val="single" w:sz="4" w:space="0" w:color="auto"/>
            </w:tcBorders>
            <w:shd w:val="clear" w:color="auto" w:fill="auto"/>
            <w:noWrap/>
            <w:hideMark/>
          </w:tcPr>
          <w:p w14:paraId="15591B1A" w14:textId="101C45CD"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-3.145</w:t>
            </w:r>
          </w:p>
        </w:tc>
        <w:tc>
          <w:tcPr>
            <w:tcW w:w="1066" w:type="dxa"/>
            <w:shd w:val="clear" w:color="auto" w:fill="auto"/>
            <w:noWrap/>
            <w:hideMark/>
          </w:tcPr>
          <w:p w14:paraId="16716527" w14:textId="6D01DC2E"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-2.518</w:t>
            </w:r>
          </w:p>
        </w:tc>
        <w:tc>
          <w:tcPr>
            <w:tcW w:w="1066" w:type="dxa"/>
            <w:tcBorders>
              <w:right w:val="single" w:sz="4" w:space="0" w:color="auto"/>
            </w:tcBorders>
            <w:shd w:val="clear" w:color="auto" w:fill="auto"/>
            <w:noWrap/>
            <w:hideMark/>
          </w:tcPr>
          <w:p w14:paraId="17423F32" w14:textId="7A9D06CB"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-2.180</w:t>
            </w:r>
          </w:p>
        </w:tc>
      </w:tr>
      <w:tr w:rsidR="002E554D" w:rsidRPr="002E554D" w14:paraId="60EAD30F" w14:textId="77777777" w:rsidTr="005976DD">
        <w:trPr>
          <w:trHeight w:val="330"/>
        </w:trPr>
        <w:tc>
          <w:tcPr>
            <w:tcW w:w="1204" w:type="dxa"/>
            <w:tcBorders>
              <w:left w:val="single" w:sz="4" w:space="0" w:color="auto"/>
              <w:right w:val="single" w:sz="4" w:space="0" w:color="auto"/>
            </w:tcBorders>
            <w:shd w:val="clear" w:color="auto" w:fill="auto"/>
            <w:noWrap/>
            <w:vAlign w:val="center"/>
            <w:hideMark/>
          </w:tcPr>
          <w:p w14:paraId="1D110BB6"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1067" w:type="dxa"/>
            <w:tcBorders>
              <w:left w:val="single" w:sz="4" w:space="0" w:color="auto"/>
              <w:right w:val="single" w:sz="4" w:space="0" w:color="auto"/>
            </w:tcBorders>
            <w:shd w:val="clear" w:color="auto" w:fill="auto"/>
            <w:noWrap/>
            <w:hideMark/>
          </w:tcPr>
          <w:p w14:paraId="31FAF9B8" w14:textId="3B2E8923"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-0.842</w:t>
            </w:r>
          </w:p>
        </w:tc>
        <w:tc>
          <w:tcPr>
            <w:tcW w:w="1067" w:type="dxa"/>
            <w:tcBorders>
              <w:left w:val="single" w:sz="4" w:space="0" w:color="auto"/>
            </w:tcBorders>
            <w:shd w:val="clear" w:color="auto" w:fill="auto"/>
            <w:noWrap/>
            <w:hideMark/>
          </w:tcPr>
          <w:p w14:paraId="044ACEF4" w14:textId="2821B736"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-3.216</w:t>
            </w:r>
          </w:p>
        </w:tc>
        <w:tc>
          <w:tcPr>
            <w:tcW w:w="1067" w:type="dxa"/>
            <w:shd w:val="clear" w:color="auto" w:fill="auto"/>
            <w:noWrap/>
            <w:hideMark/>
          </w:tcPr>
          <w:p w14:paraId="44F22894" w14:textId="7992D586"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-2.610</w:t>
            </w:r>
          </w:p>
        </w:tc>
        <w:tc>
          <w:tcPr>
            <w:tcW w:w="1067" w:type="dxa"/>
            <w:tcBorders>
              <w:right w:val="single" w:sz="4" w:space="0" w:color="auto"/>
            </w:tcBorders>
            <w:shd w:val="clear" w:color="auto" w:fill="auto"/>
            <w:noWrap/>
            <w:hideMark/>
          </w:tcPr>
          <w:p w14:paraId="190B899D" w14:textId="273EFF0F"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-2.282</w:t>
            </w:r>
          </w:p>
        </w:tc>
        <w:tc>
          <w:tcPr>
            <w:tcW w:w="1066" w:type="dxa"/>
            <w:tcBorders>
              <w:left w:val="single" w:sz="4" w:space="0" w:color="auto"/>
              <w:right w:val="single" w:sz="4" w:space="0" w:color="auto"/>
            </w:tcBorders>
            <w:shd w:val="clear" w:color="auto" w:fill="auto"/>
            <w:noWrap/>
            <w:hideMark/>
          </w:tcPr>
          <w:p w14:paraId="6AAB0953" w14:textId="1A2EBE6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-0.599</w:t>
            </w:r>
          </w:p>
        </w:tc>
        <w:tc>
          <w:tcPr>
            <w:tcW w:w="1066" w:type="dxa"/>
            <w:tcBorders>
              <w:left w:val="single" w:sz="4" w:space="0" w:color="auto"/>
            </w:tcBorders>
            <w:shd w:val="clear" w:color="auto" w:fill="auto"/>
            <w:noWrap/>
            <w:hideMark/>
          </w:tcPr>
          <w:p w14:paraId="3E91A552" w14:textId="78777C4E"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-3.169</w:t>
            </w:r>
          </w:p>
        </w:tc>
        <w:tc>
          <w:tcPr>
            <w:tcW w:w="1066" w:type="dxa"/>
            <w:shd w:val="clear" w:color="auto" w:fill="auto"/>
            <w:noWrap/>
            <w:hideMark/>
          </w:tcPr>
          <w:p w14:paraId="74801167" w14:textId="69A7B92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-2.552</w:t>
            </w:r>
          </w:p>
        </w:tc>
        <w:tc>
          <w:tcPr>
            <w:tcW w:w="1066" w:type="dxa"/>
            <w:tcBorders>
              <w:right w:val="single" w:sz="4" w:space="0" w:color="auto"/>
            </w:tcBorders>
            <w:shd w:val="clear" w:color="auto" w:fill="auto"/>
            <w:noWrap/>
            <w:hideMark/>
          </w:tcPr>
          <w:p w14:paraId="70289BB8" w14:textId="79B37D3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-2.217</w:t>
            </w:r>
          </w:p>
        </w:tc>
      </w:tr>
      <w:tr w:rsidR="002E554D" w:rsidRPr="002E554D" w14:paraId="670A805F" w14:textId="77777777" w:rsidTr="005976DD">
        <w:trPr>
          <w:trHeight w:val="330"/>
        </w:trPr>
        <w:tc>
          <w:tcPr>
            <w:tcW w:w="1204" w:type="dxa"/>
            <w:tcBorders>
              <w:left w:val="single" w:sz="4" w:space="0" w:color="auto"/>
              <w:right w:val="single" w:sz="4" w:space="0" w:color="auto"/>
            </w:tcBorders>
            <w:shd w:val="clear" w:color="auto" w:fill="auto"/>
            <w:noWrap/>
            <w:vAlign w:val="center"/>
            <w:hideMark/>
          </w:tcPr>
          <w:p w14:paraId="2BAFD1F9"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1067" w:type="dxa"/>
            <w:tcBorders>
              <w:left w:val="single" w:sz="4" w:space="0" w:color="auto"/>
              <w:right w:val="single" w:sz="4" w:space="0" w:color="auto"/>
            </w:tcBorders>
            <w:shd w:val="clear" w:color="auto" w:fill="auto"/>
            <w:noWrap/>
            <w:hideMark/>
          </w:tcPr>
          <w:p w14:paraId="13170A09" w14:textId="3CD304CB"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-0.319</w:t>
            </w:r>
          </w:p>
        </w:tc>
        <w:tc>
          <w:tcPr>
            <w:tcW w:w="1067" w:type="dxa"/>
            <w:tcBorders>
              <w:left w:val="single" w:sz="4" w:space="0" w:color="auto"/>
            </w:tcBorders>
            <w:shd w:val="clear" w:color="auto" w:fill="auto"/>
            <w:noWrap/>
            <w:hideMark/>
          </w:tcPr>
          <w:p w14:paraId="75E8C72B" w14:textId="6E0EDD69"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-3.220</w:t>
            </w:r>
          </w:p>
        </w:tc>
        <w:tc>
          <w:tcPr>
            <w:tcW w:w="1067" w:type="dxa"/>
            <w:shd w:val="clear" w:color="auto" w:fill="auto"/>
            <w:noWrap/>
            <w:hideMark/>
          </w:tcPr>
          <w:p w14:paraId="7E2DBCE5" w14:textId="7D8C218E"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-2.615</w:t>
            </w:r>
          </w:p>
        </w:tc>
        <w:tc>
          <w:tcPr>
            <w:tcW w:w="1067" w:type="dxa"/>
            <w:tcBorders>
              <w:right w:val="single" w:sz="4" w:space="0" w:color="auto"/>
            </w:tcBorders>
            <w:shd w:val="clear" w:color="auto" w:fill="auto"/>
            <w:noWrap/>
            <w:hideMark/>
          </w:tcPr>
          <w:p w14:paraId="3BB49C32" w14:textId="3577551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-2.287</w:t>
            </w:r>
          </w:p>
        </w:tc>
        <w:tc>
          <w:tcPr>
            <w:tcW w:w="1066" w:type="dxa"/>
            <w:tcBorders>
              <w:left w:val="single" w:sz="4" w:space="0" w:color="auto"/>
              <w:right w:val="single" w:sz="4" w:space="0" w:color="auto"/>
            </w:tcBorders>
            <w:shd w:val="clear" w:color="auto" w:fill="auto"/>
            <w:noWrap/>
            <w:hideMark/>
          </w:tcPr>
          <w:p w14:paraId="1AD8FF83" w14:textId="6BE53706"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-0.873</w:t>
            </w:r>
          </w:p>
        </w:tc>
        <w:tc>
          <w:tcPr>
            <w:tcW w:w="1066" w:type="dxa"/>
            <w:tcBorders>
              <w:left w:val="single" w:sz="4" w:space="0" w:color="auto"/>
            </w:tcBorders>
            <w:shd w:val="clear" w:color="auto" w:fill="auto"/>
            <w:noWrap/>
            <w:hideMark/>
          </w:tcPr>
          <w:p w14:paraId="11CEF3CC" w14:textId="786C4385"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-3.184</w:t>
            </w:r>
          </w:p>
        </w:tc>
        <w:tc>
          <w:tcPr>
            <w:tcW w:w="1066" w:type="dxa"/>
            <w:shd w:val="clear" w:color="auto" w:fill="auto"/>
            <w:noWrap/>
            <w:hideMark/>
          </w:tcPr>
          <w:p w14:paraId="4B6B9D38" w14:textId="4DD21472"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-2.573</w:t>
            </w:r>
          </w:p>
        </w:tc>
        <w:tc>
          <w:tcPr>
            <w:tcW w:w="1066" w:type="dxa"/>
            <w:tcBorders>
              <w:right w:val="single" w:sz="4" w:space="0" w:color="auto"/>
            </w:tcBorders>
            <w:shd w:val="clear" w:color="auto" w:fill="auto"/>
            <w:noWrap/>
            <w:hideMark/>
          </w:tcPr>
          <w:p w14:paraId="7A7B4B73" w14:textId="034EAB80"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-2.240</w:t>
            </w:r>
          </w:p>
        </w:tc>
      </w:tr>
      <w:tr w:rsidR="002E554D" w:rsidRPr="002E554D" w14:paraId="2F00D1B4" w14:textId="77777777" w:rsidTr="005976DD">
        <w:trPr>
          <w:trHeight w:val="330"/>
        </w:trPr>
        <w:tc>
          <w:tcPr>
            <w:tcW w:w="1204" w:type="dxa"/>
            <w:tcBorders>
              <w:left w:val="single" w:sz="4" w:space="0" w:color="auto"/>
              <w:right w:val="single" w:sz="4" w:space="0" w:color="auto"/>
            </w:tcBorders>
            <w:shd w:val="clear" w:color="auto" w:fill="auto"/>
            <w:noWrap/>
            <w:vAlign w:val="center"/>
            <w:hideMark/>
          </w:tcPr>
          <w:p w14:paraId="18EBB79F"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1067" w:type="dxa"/>
            <w:tcBorders>
              <w:left w:val="single" w:sz="4" w:space="0" w:color="auto"/>
              <w:right w:val="single" w:sz="4" w:space="0" w:color="auto"/>
            </w:tcBorders>
            <w:shd w:val="clear" w:color="auto" w:fill="auto"/>
            <w:noWrap/>
            <w:hideMark/>
          </w:tcPr>
          <w:p w14:paraId="25F012F3" w14:textId="5AA0CA00"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-0.523</w:t>
            </w:r>
          </w:p>
        </w:tc>
        <w:tc>
          <w:tcPr>
            <w:tcW w:w="1067" w:type="dxa"/>
            <w:tcBorders>
              <w:left w:val="single" w:sz="4" w:space="0" w:color="auto"/>
            </w:tcBorders>
            <w:shd w:val="clear" w:color="auto" w:fill="auto"/>
            <w:noWrap/>
            <w:hideMark/>
          </w:tcPr>
          <w:p w14:paraId="0613B2FF" w14:textId="6A2C5BC0"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-3.176</w:t>
            </w:r>
          </w:p>
        </w:tc>
        <w:tc>
          <w:tcPr>
            <w:tcW w:w="1067" w:type="dxa"/>
            <w:shd w:val="clear" w:color="auto" w:fill="auto"/>
            <w:noWrap/>
            <w:hideMark/>
          </w:tcPr>
          <w:p w14:paraId="3CC69563" w14:textId="2A822A23"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-2.562</w:t>
            </w:r>
          </w:p>
        </w:tc>
        <w:tc>
          <w:tcPr>
            <w:tcW w:w="1067" w:type="dxa"/>
            <w:tcBorders>
              <w:right w:val="single" w:sz="4" w:space="0" w:color="auto"/>
            </w:tcBorders>
            <w:shd w:val="clear" w:color="auto" w:fill="auto"/>
            <w:noWrap/>
            <w:hideMark/>
          </w:tcPr>
          <w:p w14:paraId="295DCC03" w14:textId="6E013C32"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-2.228</w:t>
            </w:r>
          </w:p>
        </w:tc>
        <w:tc>
          <w:tcPr>
            <w:tcW w:w="1066" w:type="dxa"/>
            <w:tcBorders>
              <w:left w:val="single" w:sz="4" w:space="0" w:color="auto"/>
              <w:right w:val="single" w:sz="4" w:space="0" w:color="auto"/>
            </w:tcBorders>
            <w:shd w:val="clear" w:color="auto" w:fill="auto"/>
            <w:noWrap/>
            <w:hideMark/>
          </w:tcPr>
          <w:p w14:paraId="0E6848CA" w14:textId="70EBA29E"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0.000</w:t>
            </w:r>
          </w:p>
        </w:tc>
        <w:tc>
          <w:tcPr>
            <w:tcW w:w="1066" w:type="dxa"/>
            <w:tcBorders>
              <w:left w:val="single" w:sz="4" w:space="0" w:color="auto"/>
            </w:tcBorders>
            <w:shd w:val="clear" w:color="auto" w:fill="auto"/>
            <w:noWrap/>
            <w:hideMark/>
          </w:tcPr>
          <w:p w14:paraId="51BD1B9D" w14:textId="62AA9FC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-3.190</w:t>
            </w:r>
          </w:p>
        </w:tc>
        <w:tc>
          <w:tcPr>
            <w:tcW w:w="1066" w:type="dxa"/>
            <w:shd w:val="clear" w:color="auto" w:fill="auto"/>
            <w:noWrap/>
            <w:hideMark/>
          </w:tcPr>
          <w:p w14:paraId="5ED932A5" w14:textId="4FC491B1"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-2.582</w:t>
            </w:r>
          </w:p>
        </w:tc>
        <w:tc>
          <w:tcPr>
            <w:tcW w:w="1066" w:type="dxa"/>
            <w:tcBorders>
              <w:right w:val="single" w:sz="4" w:space="0" w:color="auto"/>
            </w:tcBorders>
            <w:shd w:val="clear" w:color="auto" w:fill="auto"/>
            <w:noWrap/>
            <w:hideMark/>
          </w:tcPr>
          <w:p w14:paraId="4D78D143" w14:textId="40564C00"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-2.249</w:t>
            </w:r>
          </w:p>
        </w:tc>
      </w:tr>
      <w:tr w:rsidR="002E554D" w:rsidRPr="002E554D" w14:paraId="1244EF7E" w14:textId="77777777" w:rsidTr="005976DD">
        <w:trPr>
          <w:trHeight w:val="330"/>
        </w:trPr>
        <w:tc>
          <w:tcPr>
            <w:tcW w:w="1204" w:type="dxa"/>
            <w:tcBorders>
              <w:left w:val="single" w:sz="4" w:space="0" w:color="auto"/>
              <w:right w:val="single" w:sz="4" w:space="0" w:color="auto"/>
            </w:tcBorders>
            <w:shd w:val="clear" w:color="auto" w:fill="auto"/>
            <w:noWrap/>
            <w:vAlign w:val="center"/>
            <w:hideMark/>
          </w:tcPr>
          <w:p w14:paraId="4D79C27A"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1067" w:type="dxa"/>
            <w:tcBorders>
              <w:left w:val="single" w:sz="4" w:space="0" w:color="auto"/>
              <w:right w:val="single" w:sz="4" w:space="0" w:color="auto"/>
            </w:tcBorders>
            <w:shd w:val="clear" w:color="auto" w:fill="auto"/>
            <w:noWrap/>
            <w:hideMark/>
          </w:tcPr>
          <w:p w14:paraId="5326A53A" w14:textId="08DDE5F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-1.254</w:t>
            </w:r>
          </w:p>
        </w:tc>
        <w:tc>
          <w:tcPr>
            <w:tcW w:w="1067" w:type="dxa"/>
            <w:tcBorders>
              <w:left w:val="single" w:sz="4" w:space="0" w:color="auto"/>
            </w:tcBorders>
            <w:shd w:val="clear" w:color="auto" w:fill="auto"/>
            <w:noWrap/>
            <w:hideMark/>
          </w:tcPr>
          <w:p w14:paraId="0C9D72EC" w14:textId="00B7A982"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-3.145</w:t>
            </w:r>
          </w:p>
        </w:tc>
        <w:tc>
          <w:tcPr>
            <w:tcW w:w="1067" w:type="dxa"/>
            <w:shd w:val="clear" w:color="auto" w:fill="auto"/>
            <w:noWrap/>
            <w:hideMark/>
          </w:tcPr>
          <w:p w14:paraId="0F4E7AD7" w14:textId="7A889EDD"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-2.517</w:t>
            </w:r>
          </w:p>
        </w:tc>
        <w:tc>
          <w:tcPr>
            <w:tcW w:w="1067" w:type="dxa"/>
            <w:tcBorders>
              <w:right w:val="single" w:sz="4" w:space="0" w:color="auto"/>
            </w:tcBorders>
            <w:shd w:val="clear" w:color="auto" w:fill="auto"/>
            <w:noWrap/>
            <w:hideMark/>
          </w:tcPr>
          <w:p w14:paraId="50CB38EF" w14:textId="46CCF63A"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-2.179</w:t>
            </w:r>
          </w:p>
        </w:tc>
        <w:tc>
          <w:tcPr>
            <w:tcW w:w="1066" w:type="dxa"/>
            <w:tcBorders>
              <w:left w:val="single" w:sz="4" w:space="0" w:color="auto"/>
              <w:right w:val="single" w:sz="4" w:space="0" w:color="auto"/>
            </w:tcBorders>
            <w:shd w:val="clear" w:color="auto" w:fill="auto"/>
            <w:noWrap/>
            <w:hideMark/>
          </w:tcPr>
          <w:p w14:paraId="1F5416D2" w14:textId="4430B32F"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-0.410</w:t>
            </w:r>
          </w:p>
        </w:tc>
        <w:tc>
          <w:tcPr>
            <w:tcW w:w="1066" w:type="dxa"/>
            <w:tcBorders>
              <w:left w:val="single" w:sz="4" w:space="0" w:color="auto"/>
            </w:tcBorders>
            <w:shd w:val="clear" w:color="auto" w:fill="auto"/>
            <w:noWrap/>
            <w:hideMark/>
          </w:tcPr>
          <w:p w14:paraId="77FC42A3" w14:textId="707A239E"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-3.186</w:t>
            </w:r>
          </w:p>
        </w:tc>
        <w:tc>
          <w:tcPr>
            <w:tcW w:w="1066" w:type="dxa"/>
            <w:shd w:val="clear" w:color="auto" w:fill="auto"/>
            <w:noWrap/>
            <w:hideMark/>
          </w:tcPr>
          <w:p w14:paraId="23956AF1" w14:textId="7F93F446"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-2.576</w:t>
            </w:r>
          </w:p>
        </w:tc>
        <w:tc>
          <w:tcPr>
            <w:tcW w:w="1066" w:type="dxa"/>
            <w:tcBorders>
              <w:right w:val="single" w:sz="4" w:space="0" w:color="auto"/>
            </w:tcBorders>
            <w:shd w:val="clear" w:color="auto" w:fill="auto"/>
            <w:noWrap/>
            <w:hideMark/>
          </w:tcPr>
          <w:p w14:paraId="36345F9E" w14:textId="63AF1CF8"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-2.244</w:t>
            </w:r>
          </w:p>
        </w:tc>
      </w:tr>
      <w:tr w:rsidR="002E554D" w:rsidRPr="002E554D" w14:paraId="684945A9" w14:textId="77777777" w:rsidTr="005976DD">
        <w:trPr>
          <w:trHeight w:val="330"/>
        </w:trPr>
        <w:tc>
          <w:tcPr>
            <w:tcW w:w="1204" w:type="dxa"/>
            <w:tcBorders>
              <w:left w:val="single" w:sz="4" w:space="0" w:color="auto"/>
              <w:right w:val="single" w:sz="4" w:space="0" w:color="auto"/>
            </w:tcBorders>
            <w:shd w:val="clear" w:color="auto" w:fill="auto"/>
            <w:noWrap/>
            <w:vAlign w:val="center"/>
            <w:hideMark/>
          </w:tcPr>
          <w:p w14:paraId="79A46600"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1067" w:type="dxa"/>
            <w:tcBorders>
              <w:left w:val="single" w:sz="4" w:space="0" w:color="auto"/>
              <w:right w:val="single" w:sz="4" w:space="0" w:color="auto"/>
            </w:tcBorders>
            <w:shd w:val="clear" w:color="auto" w:fill="auto"/>
            <w:noWrap/>
            <w:hideMark/>
          </w:tcPr>
          <w:p w14:paraId="32E9F4CE" w14:textId="18E44EFB"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-1.259</w:t>
            </w:r>
          </w:p>
        </w:tc>
        <w:tc>
          <w:tcPr>
            <w:tcW w:w="1067" w:type="dxa"/>
            <w:tcBorders>
              <w:left w:val="single" w:sz="4" w:space="0" w:color="auto"/>
            </w:tcBorders>
            <w:shd w:val="clear" w:color="auto" w:fill="auto"/>
            <w:noWrap/>
            <w:hideMark/>
          </w:tcPr>
          <w:p w14:paraId="54613E67" w14:textId="40A8819C"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-3.150</w:t>
            </w:r>
          </w:p>
        </w:tc>
        <w:tc>
          <w:tcPr>
            <w:tcW w:w="1067" w:type="dxa"/>
            <w:shd w:val="clear" w:color="auto" w:fill="auto"/>
            <w:noWrap/>
            <w:hideMark/>
          </w:tcPr>
          <w:p w14:paraId="31A3DEC5" w14:textId="3F7BD046"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-2.525</w:t>
            </w:r>
          </w:p>
        </w:tc>
        <w:tc>
          <w:tcPr>
            <w:tcW w:w="1067" w:type="dxa"/>
            <w:tcBorders>
              <w:right w:val="single" w:sz="4" w:space="0" w:color="auto"/>
            </w:tcBorders>
            <w:shd w:val="clear" w:color="auto" w:fill="auto"/>
            <w:noWrap/>
            <w:hideMark/>
          </w:tcPr>
          <w:p w14:paraId="76A5EDE0" w14:textId="5BA3A3D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-2.187</w:t>
            </w:r>
          </w:p>
        </w:tc>
        <w:tc>
          <w:tcPr>
            <w:tcW w:w="1066" w:type="dxa"/>
            <w:tcBorders>
              <w:left w:val="single" w:sz="4" w:space="0" w:color="auto"/>
              <w:right w:val="single" w:sz="4" w:space="0" w:color="auto"/>
            </w:tcBorders>
            <w:shd w:val="clear" w:color="auto" w:fill="auto"/>
            <w:noWrap/>
            <w:hideMark/>
          </w:tcPr>
          <w:p w14:paraId="56A3A10F" w14:textId="5DC21E46"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0.475</w:t>
            </w:r>
          </w:p>
        </w:tc>
        <w:tc>
          <w:tcPr>
            <w:tcW w:w="1066" w:type="dxa"/>
            <w:tcBorders>
              <w:left w:val="single" w:sz="4" w:space="0" w:color="auto"/>
            </w:tcBorders>
            <w:shd w:val="clear" w:color="auto" w:fill="auto"/>
            <w:noWrap/>
            <w:hideMark/>
          </w:tcPr>
          <w:p w14:paraId="5E66B1DC" w14:textId="39BAA9DA"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-3.175</w:t>
            </w:r>
          </w:p>
        </w:tc>
        <w:tc>
          <w:tcPr>
            <w:tcW w:w="1066" w:type="dxa"/>
            <w:shd w:val="clear" w:color="auto" w:fill="auto"/>
            <w:noWrap/>
            <w:hideMark/>
          </w:tcPr>
          <w:p w14:paraId="24C236F7" w14:textId="726D522F"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-2.560</w:t>
            </w:r>
          </w:p>
        </w:tc>
        <w:tc>
          <w:tcPr>
            <w:tcW w:w="1066" w:type="dxa"/>
            <w:tcBorders>
              <w:right w:val="single" w:sz="4" w:space="0" w:color="auto"/>
            </w:tcBorders>
            <w:shd w:val="clear" w:color="auto" w:fill="auto"/>
            <w:noWrap/>
            <w:hideMark/>
          </w:tcPr>
          <w:p w14:paraId="49C366BD" w14:textId="25F39B75"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-2.226</w:t>
            </w:r>
          </w:p>
        </w:tc>
      </w:tr>
      <w:tr w:rsidR="002E554D" w:rsidRPr="002E554D" w14:paraId="32169741" w14:textId="77777777" w:rsidTr="005976DD">
        <w:trPr>
          <w:trHeight w:val="330"/>
        </w:trPr>
        <w:tc>
          <w:tcPr>
            <w:tcW w:w="1204" w:type="dxa"/>
            <w:tcBorders>
              <w:left w:val="single" w:sz="4" w:space="0" w:color="auto"/>
              <w:right w:val="single" w:sz="4" w:space="0" w:color="auto"/>
            </w:tcBorders>
            <w:shd w:val="clear" w:color="auto" w:fill="auto"/>
            <w:noWrap/>
            <w:vAlign w:val="center"/>
            <w:hideMark/>
          </w:tcPr>
          <w:p w14:paraId="5E025EE7"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1067" w:type="dxa"/>
            <w:tcBorders>
              <w:left w:val="single" w:sz="4" w:space="0" w:color="auto"/>
              <w:right w:val="single" w:sz="4" w:space="0" w:color="auto"/>
            </w:tcBorders>
            <w:shd w:val="clear" w:color="auto" w:fill="auto"/>
            <w:noWrap/>
            <w:hideMark/>
          </w:tcPr>
          <w:p w14:paraId="1BFF9D16" w14:textId="7E1E30E2" w:rsidR="00703C1B" w:rsidRPr="002E554D" w:rsidRDefault="00703C1B" w:rsidP="00703C1B">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-2.192</w:t>
            </w:r>
          </w:p>
        </w:tc>
        <w:tc>
          <w:tcPr>
            <w:tcW w:w="1067" w:type="dxa"/>
            <w:tcBorders>
              <w:left w:val="single" w:sz="4" w:space="0" w:color="auto"/>
            </w:tcBorders>
            <w:shd w:val="clear" w:color="auto" w:fill="auto"/>
            <w:noWrap/>
            <w:hideMark/>
          </w:tcPr>
          <w:p w14:paraId="383A0E50" w14:textId="112DE18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-3.090</w:t>
            </w:r>
          </w:p>
        </w:tc>
        <w:tc>
          <w:tcPr>
            <w:tcW w:w="1067" w:type="dxa"/>
            <w:shd w:val="clear" w:color="auto" w:fill="auto"/>
            <w:noWrap/>
            <w:hideMark/>
          </w:tcPr>
          <w:p w14:paraId="2643EB2E" w14:textId="17BB5A6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-2.439</w:t>
            </w:r>
          </w:p>
        </w:tc>
        <w:tc>
          <w:tcPr>
            <w:tcW w:w="1067" w:type="dxa"/>
            <w:tcBorders>
              <w:right w:val="single" w:sz="4" w:space="0" w:color="auto"/>
            </w:tcBorders>
            <w:shd w:val="clear" w:color="auto" w:fill="auto"/>
            <w:noWrap/>
            <w:hideMark/>
          </w:tcPr>
          <w:p w14:paraId="16A20E91" w14:textId="2D212695"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-2.098</w:t>
            </w:r>
          </w:p>
        </w:tc>
        <w:tc>
          <w:tcPr>
            <w:tcW w:w="1066" w:type="dxa"/>
            <w:tcBorders>
              <w:left w:val="single" w:sz="4" w:space="0" w:color="auto"/>
              <w:right w:val="single" w:sz="4" w:space="0" w:color="auto"/>
            </w:tcBorders>
            <w:shd w:val="clear" w:color="auto" w:fill="auto"/>
            <w:noWrap/>
            <w:hideMark/>
          </w:tcPr>
          <w:p w14:paraId="621595C2" w14:textId="3E16602C"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0.649</w:t>
            </w:r>
          </w:p>
        </w:tc>
        <w:tc>
          <w:tcPr>
            <w:tcW w:w="1066" w:type="dxa"/>
            <w:tcBorders>
              <w:left w:val="single" w:sz="4" w:space="0" w:color="auto"/>
            </w:tcBorders>
            <w:shd w:val="clear" w:color="auto" w:fill="auto"/>
            <w:noWrap/>
            <w:hideMark/>
          </w:tcPr>
          <w:p w14:paraId="711F1F72" w14:textId="393474A9"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-3.164</w:t>
            </w:r>
          </w:p>
        </w:tc>
        <w:tc>
          <w:tcPr>
            <w:tcW w:w="1066" w:type="dxa"/>
            <w:shd w:val="clear" w:color="auto" w:fill="auto"/>
            <w:noWrap/>
            <w:hideMark/>
          </w:tcPr>
          <w:p w14:paraId="52064ECD" w14:textId="51448A2D"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-2.545</w:t>
            </w:r>
          </w:p>
        </w:tc>
        <w:tc>
          <w:tcPr>
            <w:tcW w:w="1066" w:type="dxa"/>
            <w:tcBorders>
              <w:right w:val="single" w:sz="4" w:space="0" w:color="auto"/>
            </w:tcBorders>
            <w:shd w:val="clear" w:color="auto" w:fill="auto"/>
            <w:noWrap/>
            <w:hideMark/>
          </w:tcPr>
          <w:p w14:paraId="5709E803" w14:textId="3A9C7C48"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-2.209</w:t>
            </w:r>
          </w:p>
        </w:tc>
      </w:tr>
      <w:tr w:rsidR="00703C1B" w:rsidRPr="002E554D" w14:paraId="20E0D1CD" w14:textId="77777777" w:rsidTr="00D24F7C">
        <w:trPr>
          <w:trHeight w:val="330"/>
        </w:trPr>
        <w:tc>
          <w:tcPr>
            <w:tcW w:w="1204" w:type="dxa"/>
            <w:tcBorders>
              <w:left w:val="single" w:sz="4" w:space="0" w:color="auto"/>
              <w:right w:val="single" w:sz="4" w:space="0" w:color="auto"/>
            </w:tcBorders>
            <w:shd w:val="clear" w:color="auto" w:fill="auto"/>
            <w:noWrap/>
            <w:vAlign w:val="center"/>
            <w:hideMark/>
          </w:tcPr>
          <w:p w14:paraId="27B55C20"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1067" w:type="dxa"/>
            <w:tcBorders>
              <w:left w:val="single" w:sz="4" w:space="0" w:color="auto"/>
              <w:right w:val="single" w:sz="4" w:space="0" w:color="auto"/>
            </w:tcBorders>
            <w:shd w:val="clear" w:color="auto" w:fill="auto"/>
            <w:noWrap/>
            <w:hideMark/>
          </w:tcPr>
          <w:p w14:paraId="739C0459" w14:textId="6FBF61A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-1.263</w:t>
            </w:r>
          </w:p>
        </w:tc>
        <w:tc>
          <w:tcPr>
            <w:tcW w:w="1067" w:type="dxa"/>
            <w:tcBorders>
              <w:left w:val="single" w:sz="4" w:space="0" w:color="auto"/>
            </w:tcBorders>
            <w:shd w:val="clear" w:color="auto" w:fill="auto"/>
            <w:noWrap/>
            <w:hideMark/>
          </w:tcPr>
          <w:p w14:paraId="435FCA89" w14:textId="03C85381"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-3.059</w:t>
            </w:r>
          </w:p>
        </w:tc>
        <w:tc>
          <w:tcPr>
            <w:tcW w:w="1067" w:type="dxa"/>
            <w:shd w:val="clear" w:color="auto" w:fill="auto"/>
            <w:noWrap/>
            <w:hideMark/>
          </w:tcPr>
          <w:p w14:paraId="4CE9BB84" w14:textId="013AD142"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-2.396</w:t>
            </w:r>
          </w:p>
        </w:tc>
        <w:tc>
          <w:tcPr>
            <w:tcW w:w="1067" w:type="dxa"/>
            <w:tcBorders>
              <w:right w:val="single" w:sz="4" w:space="0" w:color="auto"/>
            </w:tcBorders>
            <w:shd w:val="clear" w:color="auto" w:fill="auto"/>
            <w:noWrap/>
            <w:hideMark/>
          </w:tcPr>
          <w:p w14:paraId="3DCB9750" w14:textId="1C1BEBA4"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-2.054</w:t>
            </w:r>
          </w:p>
        </w:tc>
        <w:tc>
          <w:tcPr>
            <w:tcW w:w="1066" w:type="dxa"/>
            <w:tcBorders>
              <w:left w:val="single" w:sz="4" w:space="0" w:color="auto"/>
              <w:right w:val="single" w:sz="4" w:space="0" w:color="auto"/>
            </w:tcBorders>
            <w:shd w:val="clear" w:color="auto" w:fill="auto"/>
            <w:noWrap/>
            <w:vAlign w:val="center"/>
            <w:hideMark/>
          </w:tcPr>
          <w:p w14:paraId="4678A22B"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0.26</w:t>
            </w:r>
          </w:p>
        </w:tc>
        <w:tc>
          <w:tcPr>
            <w:tcW w:w="1066" w:type="dxa"/>
            <w:tcBorders>
              <w:left w:val="single" w:sz="4" w:space="0" w:color="auto"/>
            </w:tcBorders>
            <w:shd w:val="clear" w:color="auto" w:fill="auto"/>
            <w:noWrap/>
            <w:vAlign w:val="center"/>
            <w:hideMark/>
          </w:tcPr>
          <w:p w14:paraId="1CF217C0"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-3.074</w:t>
            </w:r>
          </w:p>
        </w:tc>
        <w:tc>
          <w:tcPr>
            <w:tcW w:w="1066" w:type="dxa"/>
            <w:shd w:val="clear" w:color="auto" w:fill="auto"/>
            <w:noWrap/>
            <w:vAlign w:val="center"/>
            <w:hideMark/>
          </w:tcPr>
          <w:p w14:paraId="0E85E936"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-2.416</w:t>
            </w:r>
          </w:p>
        </w:tc>
        <w:tc>
          <w:tcPr>
            <w:tcW w:w="1066" w:type="dxa"/>
            <w:tcBorders>
              <w:right w:val="single" w:sz="4" w:space="0" w:color="auto"/>
            </w:tcBorders>
            <w:shd w:val="clear" w:color="auto" w:fill="auto"/>
            <w:noWrap/>
            <w:vAlign w:val="center"/>
            <w:hideMark/>
          </w:tcPr>
          <w:p w14:paraId="42506288" w14:textId="77777777" w:rsidR="00703C1B" w:rsidRPr="002E554D" w:rsidRDefault="00703C1B" w:rsidP="00703C1B">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-2.074</w:t>
            </w:r>
          </w:p>
        </w:tc>
      </w:tr>
    </w:tbl>
    <w:p w14:paraId="1CA47329" w14:textId="488A0C30"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73026D1E" w14:textId="3F211661"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73645217" w14:textId="6AAE27CD"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3639CF98" w14:textId="62DDD82D"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73BB2E01" w14:textId="57DFA212"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eastAsia="en-GB"/>
        </w:rPr>
      </w:pPr>
    </w:p>
    <w:p w14:paraId="3959731E" w14:textId="37A212ED" w:rsidR="00ED53CE" w:rsidRPr="002E554D" w:rsidRDefault="00ED53CE" w:rsidP="00771184">
      <w:pPr>
        <w:pStyle w:val="NoSpacing"/>
        <w:spacing w:line="480" w:lineRule="auto"/>
        <w:jc w:val="center"/>
        <w:rPr>
          <w:rFonts w:ascii="Garamond" w:eastAsia="Times New Roman" w:hAnsi="Garamond" w:cs="Calibri"/>
          <w:b/>
          <w:bCs/>
          <w:color w:val="FF0000"/>
          <w:sz w:val="24"/>
          <w:szCs w:val="24"/>
          <w:lang w:eastAsia="en-GB"/>
        </w:rPr>
      </w:pPr>
    </w:p>
    <w:p w14:paraId="5FBCDD72" w14:textId="6B8845F6" w:rsidR="00ED53CE" w:rsidRPr="002E554D" w:rsidRDefault="00ED53CE" w:rsidP="00771184">
      <w:pPr>
        <w:pStyle w:val="NoSpacing"/>
        <w:spacing w:line="480" w:lineRule="auto"/>
        <w:jc w:val="center"/>
        <w:rPr>
          <w:rFonts w:ascii="Garamond" w:eastAsia="Times New Roman" w:hAnsi="Garamond" w:cs="Calibri"/>
          <w:b/>
          <w:bCs/>
          <w:color w:val="FF0000"/>
          <w:sz w:val="24"/>
          <w:szCs w:val="24"/>
          <w:lang w:eastAsia="en-GB"/>
        </w:rPr>
      </w:pPr>
    </w:p>
    <w:p w14:paraId="65F0EF9E" w14:textId="77777777" w:rsidR="00ED53CE" w:rsidRPr="002E554D" w:rsidRDefault="00ED53CE" w:rsidP="00771184">
      <w:pPr>
        <w:pStyle w:val="NoSpacing"/>
        <w:spacing w:line="480" w:lineRule="auto"/>
        <w:jc w:val="center"/>
        <w:rPr>
          <w:rFonts w:ascii="Garamond" w:eastAsia="Times New Roman" w:hAnsi="Garamond" w:cs="Calibri"/>
          <w:b/>
          <w:bCs/>
          <w:color w:val="FF0000"/>
          <w:sz w:val="24"/>
          <w:szCs w:val="24"/>
          <w:lang w:eastAsia="en-GB"/>
        </w:rPr>
      </w:pPr>
    </w:p>
    <w:p w14:paraId="0F4FA040" w14:textId="2CA5C6C3" w:rsidR="00771184" w:rsidRPr="002E554D" w:rsidRDefault="00771184" w:rsidP="00771184">
      <w:pPr>
        <w:pStyle w:val="NoSpacing"/>
        <w:spacing w:line="276" w:lineRule="auto"/>
        <w:jc w:val="center"/>
        <w:rPr>
          <w:rFonts w:ascii="Garamond" w:eastAsia="Times New Roman" w:hAnsi="Garamond" w:cs="Calibri"/>
          <w:b/>
          <w:bCs/>
          <w:color w:val="FF0000"/>
          <w:sz w:val="24"/>
          <w:szCs w:val="24"/>
          <w:lang w:eastAsia="en-GB"/>
        </w:rPr>
      </w:pPr>
      <w:r w:rsidRPr="002E554D">
        <w:rPr>
          <w:rFonts w:ascii="Garamond" w:hAnsi="Garamond"/>
          <w:b/>
          <w:bCs/>
          <w:color w:val="FF0000"/>
          <w:sz w:val="24"/>
          <w:szCs w:val="24"/>
          <w:lang w:val="en-GB"/>
        </w:rPr>
        <w:lastRenderedPageBreak/>
        <w:t xml:space="preserve">Table A8 Tests for quantile unit root, </w:t>
      </w:r>
      <w:r w:rsidRPr="002E554D">
        <w:rPr>
          <w:rFonts w:ascii="Garamond" w:eastAsia="Times New Roman" w:hAnsi="Garamond" w:cs="Calibri"/>
          <w:b/>
          <w:bCs/>
          <w:color w:val="FF0000"/>
          <w:sz w:val="24"/>
          <w:szCs w:val="24"/>
          <w:lang w:eastAsia="en-GB"/>
        </w:rPr>
        <w:t>cryptocurrencies.</w:t>
      </w:r>
    </w:p>
    <w:p w14:paraId="0E8DC3DD" w14:textId="77777777" w:rsidR="003A16EB" w:rsidRPr="002E554D" w:rsidRDefault="00771184" w:rsidP="003A16EB">
      <w:pPr>
        <w:pStyle w:val="NoSpacing"/>
        <w:spacing w:line="276" w:lineRule="auto"/>
        <w:jc w:val="both"/>
        <w:rPr>
          <w:rFonts w:ascii="Garamond" w:hAnsi="Garamond"/>
          <w:color w:val="FF0000"/>
          <w:lang w:val="en-GB"/>
        </w:rPr>
      </w:pPr>
      <w:r w:rsidRPr="002E554D">
        <w:rPr>
          <w:rFonts w:ascii="Garamond" w:hAnsi="Garamond"/>
          <w:color w:val="FF0000"/>
          <w:lang w:val="en-GB"/>
        </w:rPr>
        <w:t xml:space="preserve">Table shows the results of the quantile nonlinear unit root tests with covariates, </w:t>
      </w:r>
      <w:proofErr w:type="spellStart"/>
      <w:r w:rsidRPr="002E554D">
        <w:rPr>
          <w:rFonts w:ascii="Garamond" w:eastAsia="Times New Roman" w:hAnsi="Garamond" w:cs="Calibri"/>
          <w:i/>
          <w:iCs/>
          <w:color w:val="FF0000"/>
          <w:lang w:val="en-GB" w:eastAsia="en-GB"/>
        </w:rPr>
        <w:t>t</w:t>
      </w:r>
      <w:r w:rsidRPr="002E554D">
        <w:rPr>
          <w:rFonts w:ascii="Garamond" w:eastAsia="Times New Roman" w:hAnsi="Garamond" w:cs="Calibri"/>
          <w:i/>
          <w:iCs/>
          <w:color w:val="FF0000"/>
          <w:vertAlign w:val="subscript"/>
          <w:lang w:val="en-GB" w:eastAsia="en-GB"/>
        </w:rPr>
        <w:t>kss</w:t>
      </w:r>
      <w:proofErr w:type="spellEnd"/>
      <w:r w:rsidRPr="002E554D">
        <w:rPr>
          <w:rFonts w:ascii="Garamond" w:hAnsi="Garamond"/>
          <w:color w:val="FF0000"/>
          <w:lang w:val="en-GB"/>
        </w:rPr>
        <w:t xml:space="preserve">, estimated as in </w:t>
      </w:r>
      <w:proofErr w:type="spellStart"/>
      <w:r w:rsidRPr="002E554D">
        <w:rPr>
          <w:rFonts w:ascii="Garamond" w:hAnsi="Garamond"/>
          <w:color w:val="FF0000"/>
          <w:lang w:val="en-GB"/>
        </w:rPr>
        <w:t>Koenker</w:t>
      </w:r>
      <w:proofErr w:type="spellEnd"/>
      <w:r w:rsidRPr="002E554D">
        <w:rPr>
          <w:rFonts w:ascii="Garamond" w:hAnsi="Garamond"/>
          <w:color w:val="FF0000"/>
          <w:lang w:val="en-GB"/>
        </w:rPr>
        <w:t xml:space="preserve"> and Xiao (2004). The asymptotic critical values are calculated with significance at the 1%, 5% and 10% levels. The null hypothesis of the presence of a unit root is rejected if the </w:t>
      </w:r>
      <w:proofErr w:type="gramStart"/>
      <w:r w:rsidRPr="002E554D">
        <w:rPr>
          <w:rFonts w:ascii="Garamond" w:hAnsi="Garamond"/>
          <w:color w:val="FF0000"/>
          <w:lang w:val="en-GB"/>
        </w:rPr>
        <w:t>calculated  test</w:t>
      </w:r>
      <w:proofErr w:type="gramEnd"/>
      <w:r w:rsidRPr="002E554D">
        <w:rPr>
          <w:rFonts w:ascii="Garamond" w:hAnsi="Garamond"/>
          <w:color w:val="FF0000"/>
          <w:lang w:val="en-GB"/>
        </w:rPr>
        <w:t xml:space="preserve"> statistic is lower in value than calculated critical values at the 1%, 5% and 10% levels of significance.</w:t>
      </w:r>
      <w:r w:rsidR="003A16EB" w:rsidRPr="002E554D">
        <w:rPr>
          <w:rFonts w:ascii="Garamond" w:hAnsi="Garamond"/>
          <w:color w:val="FF0000"/>
          <w:lang w:val="en-GB"/>
        </w:rPr>
        <w:t xml:space="preserve"> Statistically significant values of </w:t>
      </w:r>
      <w:proofErr w:type="spellStart"/>
      <w:r w:rsidR="003A16EB" w:rsidRPr="002E554D">
        <w:rPr>
          <w:rFonts w:ascii="Garamond" w:hAnsi="Garamond"/>
          <w:color w:val="FF0000"/>
          <w:lang w:val="en-GB"/>
        </w:rPr>
        <w:t>YZtks</w:t>
      </w:r>
      <w:proofErr w:type="spellEnd"/>
      <w:r w:rsidR="003A16EB" w:rsidRPr="002E554D">
        <w:rPr>
          <w:rFonts w:ascii="Garamond" w:hAnsi="Garamond"/>
          <w:color w:val="FF0000"/>
          <w:lang w:val="en-GB"/>
        </w:rPr>
        <w:t xml:space="preserve"> are highlighted in bold.</w:t>
      </w:r>
    </w:p>
    <w:p w14:paraId="50A74045" w14:textId="77777777" w:rsidR="0037188F" w:rsidRPr="002E554D" w:rsidRDefault="0037188F" w:rsidP="00771184">
      <w:pPr>
        <w:pStyle w:val="NoSpacing"/>
        <w:spacing w:line="276" w:lineRule="auto"/>
        <w:jc w:val="both"/>
        <w:rPr>
          <w:rFonts w:ascii="Garamond" w:hAnsi="Garamond"/>
          <w:color w:val="FF0000"/>
          <w:lang w:val="en-GB"/>
        </w:rPr>
      </w:pPr>
    </w:p>
    <w:tbl>
      <w:tblPr>
        <w:tblW w:w="8719" w:type="dxa"/>
        <w:tblBorders>
          <w:insideH w:val="single" w:sz="4" w:space="0" w:color="auto"/>
        </w:tblBorders>
        <w:tblLook w:val="04A0" w:firstRow="1" w:lastRow="0" w:firstColumn="1" w:lastColumn="0" w:noHBand="0" w:noVBand="1"/>
      </w:tblPr>
      <w:tblGrid>
        <w:gridCol w:w="1039"/>
        <w:gridCol w:w="960"/>
        <w:gridCol w:w="960"/>
        <w:gridCol w:w="960"/>
        <w:gridCol w:w="960"/>
        <w:gridCol w:w="960"/>
        <w:gridCol w:w="960"/>
        <w:gridCol w:w="960"/>
        <w:gridCol w:w="960"/>
      </w:tblGrid>
      <w:tr w:rsidR="002E554D" w:rsidRPr="002E554D" w14:paraId="3D0647D2" w14:textId="77777777" w:rsidTr="00FD7FC7">
        <w:trPr>
          <w:trHeight w:val="33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B4F4A"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Quantiles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DAF1C" w14:textId="77777777" w:rsidR="00771184" w:rsidRPr="002E554D" w:rsidRDefault="00771184" w:rsidP="00771184">
            <w:pPr>
              <w:spacing w:after="0" w:line="240" w:lineRule="auto"/>
              <w:jc w:val="center"/>
              <w:rPr>
                <w:rFonts w:ascii="Garamond" w:eastAsia="Times New Roman" w:hAnsi="Garamond" w:cs="Calibri"/>
                <w:b/>
                <w:bCs/>
                <w:i/>
                <w:iCs/>
                <w:color w:val="FF0000"/>
                <w:sz w:val="20"/>
                <w:szCs w:val="20"/>
                <w:lang w:val="en-GB" w:eastAsia="en-GB"/>
              </w:rPr>
            </w:pPr>
            <w:proofErr w:type="spellStart"/>
            <w:r w:rsidRPr="002E554D">
              <w:rPr>
                <w:rFonts w:ascii="Garamond" w:eastAsia="Times New Roman" w:hAnsi="Garamond" w:cs="Calibri"/>
                <w:b/>
                <w:bCs/>
                <w:i/>
                <w:iCs/>
                <w:color w:val="FF0000"/>
                <w:sz w:val="20"/>
                <w:szCs w:val="20"/>
                <w:lang w:val="en-GB" w:eastAsia="en-GB"/>
              </w:rPr>
              <w:t>t</w:t>
            </w:r>
            <w:r w:rsidRPr="002E554D">
              <w:rPr>
                <w:rFonts w:ascii="Garamond" w:eastAsia="Times New Roman" w:hAnsi="Garamond" w:cs="Calibri"/>
                <w:b/>
                <w:bCs/>
                <w:i/>
                <w:iCs/>
                <w:color w:val="FF0000"/>
                <w:sz w:val="20"/>
                <w:szCs w:val="20"/>
                <w:vertAlign w:val="subscript"/>
                <w:lang w:val="en-GB" w:eastAsia="en-GB"/>
              </w:rPr>
              <w:t>ks</w:t>
            </w:r>
            <w:r w:rsidRPr="002E554D">
              <w:rPr>
                <w:rFonts w:ascii="Garamond" w:eastAsia="Times New Roman" w:hAnsi="Garamond" w:cs="Calibri"/>
                <w:b/>
                <w:bCs/>
                <w:i/>
                <w:iCs/>
                <w:strike/>
                <w:color w:val="FF0000"/>
                <w:sz w:val="20"/>
                <w:szCs w:val="20"/>
                <w:vertAlign w:val="subscript"/>
                <w:lang w:val="en-GB" w:eastAsia="en-GB"/>
              </w:rPr>
              <w:t>s</w:t>
            </w:r>
            <w:proofErr w:type="spellEnd"/>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3AE39"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asymptotic critical values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F8D82" w14:textId="77777777" w:rsidR="00771184" w:rsidRPr="002E554D" w:rsidRDefault="00771184" w:rsidP="00771184">
            <w:pPr>
              <w:spacing w:after="0" w:line="240" w:lineRule="auto"/>
              <w:jc w:val="center"/>
              <w:rPr>
                <w:rFonts w:ascii="Garamond" w:eastAsia="Times New Roman" w:hAnsi="Garamond" w:cs="Calibri"/>
                <w:b/>
                <w:bCs/>
                <w:i/>
                <w:iCs/>
                <w:color w:val="FF0000"/>
                <w:sz w:val="20"/>
                <w:szCs w:val="20"/>
                <w:lang w:val="en-GB" w:eastAsia="en-GB"/>
              </w:rPr>
            </w:pPr>
            <w:proofErr w:type="spellStart"/>
            <w:r w:rsidRPr="002E554D">
              <w:rPr>
                <w:rFonts w:ascii="Garamond" w:eastAsia="Times New Roman" w:hAnsi="Garamond" w:cs="Calibri"/>
                <w:b/>
                <w:bCs/>
                <w:i/>
                <w:iCs/>
                <w:color w:val="FF0000"/>
                <w:sz w:val="20"/>
                <w:szCs w:val="20"/>
                <w:lang w:val="en-GB" w:eastAsia="en-GB"/>
              </w:rPr>
              <w:t>t</w:t>
            </w:r>
            <w:r w:rsidRPr="002E554D">
              <w:rPr>
                <w:rFonts w:ascii="Garamond" w:eastAsia="Times New Roman" w:hAnsi="Garamond" w:cs="Calibri"/>
                <w:b/>
                <w:bCs/>
                <w:i/>
                <w:iCs/>
                <w:color w:val="FF0000"/>
                <w:sz w:val="20"/>
                <w:szCs w:val="20"/>
                <w:vertAlign w:val="subscript"/>
                <w:lang w:val="en-GB" w:eastAsia="en-GB"/>
              </w:rPr>
              <w:t>ks</w:t>
            </w:r>
            <w:r w:rsidRPr="002E554D">
              <w:rPr>
                <w:rFonts w:ascii="Garamond" w:eastAsia="Times New Roman" w:hAnsi="Garamond" w:cs="Calibri"/>
                <w:b/>
                <w:bCs/>
                <w:i/>
                <w:iCs/>
                <w:strike/>
                <w:color w:val="FF0000"/>
                <w:sz w:val="20"/>
                <w:szCs w:val="20"/>
                <w:vertAlign w:val="subscript"/>
                <w:lang w:val="en-GB" w:eastAsia="en-GB"/>
              </w:rPr>
              <w:t>s</w:t>
            </w:r>
            <w:proofErr w:type="spellEnd"/>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49509"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asymptotic critical values</w:t>
            </w:r>
          </w:p>
        </w:tc>
      </w:tr>
      <w:tr w:rsidR="002E554D" w:rsidRPr="002E554D" w14:paraId="6961475E" w14:textId="77777777" w:rsidTr="00FD7FC7">
        <w:trPr>
          <w:trHeight w:val="33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34FE1D0E" w14:textId="77777777" w:rsidR="00771184" w:rsidRPr="002E554D" w:rsidRDefault="00771184" w:rsidP="00771184">
            <w:pPr>
              <w:spacing w:after="0" w:line="240" w:lineRule="auto"/>
              <w:rPr>
                <w:rFonts w:ascii="Garamond" w:eastAsia="Times New Roman" w:hAnsi="Garamond" w:cs="Calibri"/>
                <w:b/>
                <w:bCs/>
                <w:color w:val="FF0000"/>
                <w:sz w:val="20"/>
                <w:szCs w:val="20"/>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3AD6CCB" w14:textId="77777777" w:rsidR="00771184" w:rsidRPr="002E554D" w:rsidRDefault="00771184" w:rsidP="00771184">
            <w:pPr>
              <w:spacing w:after="0" w:line="240" w:lineRule="auto"/>
              <w:rPr>
                <w:rFonts w:ascii="Garamond" w:eastAsia="Times New Roman" w:hAnsi="Garamond" w:cs="Calibri"/>
                <w:b/>
                <w:bCs/>
                <w:i/>
                <w:iCs/>
                <w:color w:val="FF0000"/>
                <w:sz w:val="20"/>
                <w:szCs w:val="20"/>
                <w:lang w:val="en-GB" w:eastAsia="en-GB"/>
              </w:rPr>
            </w:pPr>
          </w:p>
        </w:tc>
        <w:tc>
          <w:tcPr>
            <w:tcW w:w="960" w:type="dxa"/>
            <w:tcBorders>
              <w:top w:val="single" w:sz="4" w:space="0" w:color="auto"/>
              <w:left w:val="single" w:sz="4" w:space="0" w:color="auto"/>
              <w:bottom w:val="single" w:sz="4" w:space="0" w:color="auto"/>
            </w:tcBorders>
            <w:shd w:val="clear" w:color="auto" w:fill="auto"/>
            <w:noWrap/>
            <w:vAlign w:val="center"/>
            <w:hideMark/>
          </w:tcPr>
          <w:p w14:paraId="7F335EE4"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w:t>
            </w:r>
          </w:p>
        </w:tc>
        <w:tc>
          <w:tcPr>
            <w:tcW w:w="960" w:type="dxa"/>
            <w:tcBorders>
              <w:top w:val="single" w:sz="4" w:space="0" w:color="auto"/>
              <w:bottom w:val="single" w:sz="4" w:space="0" w:color="auto"/>
            </w:tcBorders>
            <w:shd w:val="clear" w:color="auto" w:fill="auto"/>
            <w:noWrap/>
            <w:vAlign w:val="center"/>
            <w:hideMark/>
          </w:tcPr>
          <w:p w14:paraId="70CC450A"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5%</w:t>
            </w:r>
          </w:p>
        </w:tc>
        <w:tc>
          <w:tcPr>
            <w:tcW w:w="960" w:type="dxa"/>
            <w:tcBorders>
              <w:top w:val="single" w:sz="4" w:space="0" w:color="auto"/>
              <w:bottom w:val="single" w:sz="4" w:space="0" w:color="auto"/>
              <w:right w:val="single" w:sz="4" w:space="0" w:color="auto"/>
            </w:tcBorders>
            <w:shd w:val="clear" w:color="auto" w:fill="auto"/>
            <w:noWrap/>
            <w:vAlign w:val="center"/>
            <w:hideMark/>
          </w:tcPr>
          <w:p w14:paraId="67818658"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10%</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F0BC598" w14:textId="77777777" w:rsidR="00771184" w:rsidRPr="002E554D" w:rsidRDefault="00771184" w:rsidP="00771184">
            <w:pPr>
              <w:spacing w:after="0" w:line="240" w:lineRule="auto"/>
              <w:rPr>
                <w:rFonts w:ascii="Garamond" w:eastAsia="Times New Roman" w:hAnsi="Garamond" w:cs="Calibri"/>
                <w:b/>
                <w:bCs/>
                <w:i/>
                <w:iCs/>
                <w:color w:val="FF0000"/>
                <w:sz w:val="20"/>
                <w:szCs w:val="20"/>
                <w:lang w:val="en-GB" w:eastAsia="en-GB"/>
              </w:rPr>
            </w:pPr>
          </w:p>
        </w:tc>
        <w:tc>
          <w:tcPr>
            <w:tcW w:w="960" w:type="dxa"/>
            <w:tcBorders>
              <w:top w:val="single" w:sz="4" w:space="0" w:color="auto"/>
              <w:left w:val="single" w:sz="4" w:space="0" w:color="auto"/>
              <w:bottom w:val="single" w:sz="4" w:space="0" w:color="auto"/>
            </w:tcBorders>
            <w:shd w:val="clear" w:color="auto" w:fill="auto"/>
            <w:noWrap/>
            <w:vAlign w:val="center"/>
            <w:hideMark/>
          </w:tcPr>
          <w:p w14:paraId="31A83A14"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w:t>
            </w:r>
          </w:p>
        </w:tc>
        <w:tc>
          <w:tcPr>
            <w:tcW w:w="960" w:type="dxa"/>
            <w:tcBorders>
              <w:top w:val="single" w:sz="4" w:space="0" w:color="auto"/>
              <w:bottom w:val="single" w:sz="4" w:space="0" w:color="auto"/>
            </w:tcBorders>
            <w:shd w:val="clear" w:color="auto" w:fill="auto"/>
            <w:noWrap/>
            <w:vAlign w:val="center"/>
            <w:hideMark/>
          </w:tcPr>
          <w:p w14:paraId="1DC8CD6F"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5%</w:t>
            </w:r>
          </w:p>
        </w:tc>
        <w:tc>
          <w:tcPr>
            <w:tcW w:w="960" w:type="dxa"/>
            <w:tcBorders>
              <w:top w:val="single" w:sz="4" w:space="0" w:color="auto"/>
              <w:bottom w:val="single" w:sz="4" w:space="0" w:color="auto"/>
              <w:right w:val="single" w:sz="4" w:space="0" w:color="auto"/>
            </w:tcBorders>
            <w:shd w:val="clear" w:color="auto" w:fill="auto"/>
            <w:noWrap/>
            <w:vAlign w:val="center"/>
            <w:hideMark/>
          </w:tcPr>
          <w:p w14:paraId="3B7DEFB2"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10%</w:t>
            </w:r>
          </w:p>
        </w:tc>
      </w:tr>
      <w:tr w:rsidR="002E554D" w:rsidRPr="002E554D" w14:paraId="1865B0B9" w14:textId="77777777" w:rsidTr="00FD7FC7">
        <w:trPr>
          <w:trHeight w:val="33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53FBDAD5" w14:textId="77777777" w:rsidR="00771184" w:rsidRPr="002E554D" w:rsidRDefault="00771184" w:rsidP="00771184">
            <w:pPr>
              <w:spacing w:after="0" w:line="240" w:lineRule="auto"/>
              <w:rPr>
                <w:rFonts w:ascii="Garamond" w:eastAsia="Times New Roman" w:hAnsi="Garamond" w:cs="Calibri"/>
                <w:b/>
                <w:bCs/>
                <w:color w:val="FF0000"/>
                <w:sz w:val="20"/>
                <w:szCs w:val="20"/>
                <w:lang w:val="en-GB" w:eastAsia="en-GB"/>
              </w:rPr>
            </w:pP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6F69F"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BTC</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FF20D" w14:textId="77777777" w:rsidR="00771184" w:rsidRPr="002E554D" w:rsidRDefault="00771184"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ETH</w:t>
            </w:r>
          </w:p>
        </w:tc>
      </w:tr>
      <w:tr w:rsidR="002E554D" w:rsidRPr="002E554D" w14:paraId="50106C39" w14:textId="77777777" w:rsidTr="00D735A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95BB6"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38018EE" w14:textId="69127C55" w:rsidR="003356F1" w:rsidRPr="002E554D" w:rsidRDefault="003356F1" w:rsidP="003356F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-3.419</w:t>
            </w:r>
          </w:p>
        </w:tc>
        <w:tc>
          <w:tcPr>
            <w:tcW w:w="960" w:type="dxa"/>
            <w:tcBorders>
              <w:top w:val="single" w:sz="4" w:space="0" w:color="auto"/>
              <w:left w:val="single" w:sz="4" w:space="0" w:color="auto"/>
            </w:tcBorders>
            <w:shd w:val="clear" w:color="auto" w:fill="auto"/>
            <w:noWrap/>
            <w:hideMark/>
          </w:tcPr>
          <w:p w14:paraId="644924B2" w14:textId="6AF2058E"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-3.103</w:t>
            </w:r>
          </w:p>
        </w:tc>
        <w:tc>
          <w:tcPr>
            <w:tcW w:w="960" w:type="dxa"/>
            <w:tcBorders>
              <w:top w:val="single" w:sz="4" w:space="0" w:color="auto"/>
            </w:tcBorders>
            <w:shd w:val="clear" w:color="auto" w:fill="auto"/>
            <w:noWrap/>
            <w:hideMark/>
          </w:tcPr>
          <w:p w14:paraId="6511B061" w14:textId="6998A07A"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-2.457</w:t>
            </w:r>
          </w:p>
        </w:tc>
        <w:tc>
          <w:tcPr>
            <w:tcW w:w="960" w:type="dxa"/>
            <w:tcBorders>
              <w:top w:val="single" w:sz="4" w:space="0" w:color="auto"/>
              <w:bottom w:val="single" w:sz="4" w:space="0" w:color="auto"/>
              <w:right w:val="single" w:sz="4" w:space="0" w:color="auto"/>
            </w:tcBorders>
            <w:shd w:val="clear" w:color="auto" w:fill="auto"/>
            <w:noWrap/>
            <w:hideMark/>
          </w:tcPr>
          <w:p w14:paraId="72A872C5" w14:textId="0CFEFE14"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-2.117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347E13C" w14:textId="1FB0B52D"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-1.876</w:t>
            </w:r>
          </w:p>
        </w:tc>
        <w:tc>
          <w:tcPr>
            <w:tcW w:w="960" w:type="dxa"/>
            <w:tcBorders>
              <w:top w:val="single" w:sz="4" w:space="0" w:color="auto"/>
              <w:left w:val="single" w:sz="4" w:space="0" w:color="auto"/>
            </w:tcBorders>
            <w:shd w:val="clear" w:color="auto" w:fill="auto"/>
            <w:noWrap/>
            <w:hideMark/>
          </w:tcPr>
          <w:p w14:paraId="37988367" w14:textId="36225D2C"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-3.126</w:t>
            </w:r>
          </w:p>
        </w:tc>
        <w:tc>
          <w:tcPr>
            <w:tcW w:w="960" w:type="dxa"/>
            <w:tcBorders>
              <w:top w:val="single" w:sz="4" w:space="0" w:color="auto"/>
            </w:tcBorders>
            <w:shd w:val="clear" w:color="auto" w:fill="auto"/>
            <w:noWrap/>
            <w:hideMark/>
          </w:tcPr>
          <w:p w14:paraId="70F5E0A1" w14:textId="12EC2D43"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-2.491</w:t>
            </w:r>
          </w:p>
        </w:tc>
        <w:tc>
          <w:tcPr>
            <w:tcW w:w="960" w:type="dxa"/>
            <w:tcBorders>
              <w:top w:val="single" w:sz="4" w:space="0" w:color="auto"/>
              <w:bottom w:val="single" w:sz="4" w:space="0" w:color="auto"/>
              <w:right w:val="single" w:sz="4" w:space="0" w:color="auto"/>
            </w:tcBorders>
            <w:shd w:val="clear" w:color="auto" w:fill="auto"/>
            <w:noWrap/>
            <w:hideMark/>
          </w:tcPr>
          <w:p w14:paraId="23B77501" w14:textId="21E53668"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-2.151</w:t>
            </w:r>
          </w:p>
        </w:tc>
      </w:tr>
      <w:tr w:rsidR="002E554D" w:rsidRPr="002E554D" w14:paraId="554779B1" w14:textId="77777777" w:rsidTr="00D735A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49DC7"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EF59151" w14:textId="39DF5B66" w:rsidR="003356F1" w:rsidRPr="002E554D" w:rsidRDefault="003356F1" w:rsidP="003356F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-3.879</w:t>
            </w:r>
          </w:p>
        </w:tc>
        <w:tc>
          <w:tcPr>
            <w:tcW w:w="960" w:type="dxa"/>
            <w:tcBorders>
              <w:left w:val="single" w:sz="4" w:space="0" w:color="auto"/>
            </w:tcBorders>
            <w:shd w:val="clear" w:color="auto" w:fill="auto"/>
            <w:noWrap/>
            <w:hideMark/>
          </w:tcPr>
          <w:p w14:paraId="1DD4A8D8" w14:textId="5A29B095"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-3.151</w:t>
            </w:r>
          </w:p>
        </w:tc>
        <w:tc>
          <w:tcPr>
            <w:tcW w:w="960" w:type="dxa"/>
            <w:shd w:val="clear" w:color="auto" w:fill="auto"/>
            <w:noWrap/>
            <w:hideMark/>
          </w:tcPr>
          <w:p w14:paraId="025E26D6" w14:textId="1246D9C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-2.526</w:t>
            </w:r>
          </w:p>
        </w:tc>
        <w:tc>
          <w:tcPr>
            <w:tcW w:w="960" w:type="dxa"/>
            <w:tcBorders>
              <w:top w:val="single" w:sz="4" w:space="0" w:color="auto"/>
              <w:bottom w:val="single" w:sz="4" w:space="0" w:color="auto"/>
              <w:right w:val="single" w:sz="4" w:space="0" w:color="auto"/>
            </w:tcBorders>
            <w:shd w:val="clear" w:color="auto" w:fill="auto"/>
            <w:noWrap/>
            <w:hideMark/>
          </w:tcPr>
          <w:p w14:paraId="71049457" w14:textId="575E32AE"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-2.189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7BBBB14" w14:textId="47A99968" w:rsidR="003356F1" w:rsidRPr="002E554D" w:rsidRDefault="003356F1" w:rsidP="003356F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-2.759</w:t>
            </w:r>
          </w:p>
        </w:tc>
        <w:tc>
          <w:tcPr>
            <w:tcW w:w="960" w:type="dxa"/>
            <w:tcBorders>
              <w:left w:val="single" w:sz="4" w:space="0" w:color="auto"/>
            </w:tcBorders>
            <w:shd w:val="clear" w:color="auto" w:fill="auto"/>
            <w:noWrap/>
            <w:hideMark/>
          </w:tcPr>
          <w:p w14:paraId="5804C734" w14:textId="4DEE9AFC"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-3.163</w:t>
            </w:r>
          </w:p>
        </w:tc>
        <w:tc>
          <w:tcPr>
            <w:tcW w:w="960" w:type="dxa"/>
            <w:shd w:val="clear" w:color="auto" w:fill="auto"/>
            <w:noWrap/>
            <w:hideMark/>
          </w:tcPr>
          <w:p w14:paraId="4A5B0708" w14:textId="3F6DC846"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-2.543</w:t>
            </w:r>
          </w:p>
        </w:tc>
        <w:tc>
          <w:tcPr>
            <w:tcW w:w="960" w:type="dxa"/>
            <w:tcBorders>
              <w:top w:val="single" w:sz="4" w:space="0" w:color="auto"/>
              <w:bottom w:val="single" w:sz="4" w:space="0" w:color="auto"/>
              <w:right w:val="single" w:sz="4" w:space="0" w:color="auto"/>
            </w:tcBorders>
            <w:shd w:val="clear" w:color="auto" w:fill="auto"/>
            <w:noWrap/>
            <w:hideMark/>
          </w:tcPr>
          <w:p w14:paraId="2129A263" w14:textId="79CEDD53"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-2.208</w:t>
            </w:r>
          </w:p>
        </w:tc>
      </w:tr>
      <w:tr w:rsidR="002E554D" w:rsidRPr="002E554D" w14:paraId="68B16638" w14:textId="77777777" w:rsidTr="00D735A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47150"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54BE71F" w14:textId="30460AA6" w:rsidR="003356F1" w:rsidRPr="002E554D" w:rsidRDefault="003356F1" w:rsidP="003356F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-4.100</w:t>
            </w:r>
          </w:p>
        </w:tc>
        <w:tc>
          <w:tcPr>
            <w:tcW w:w="960" w:type="dxa"/>
            <w:tcBorders>
              <w:left w:val="single" w:sz="4" w:space="0" w:color="auto"/>
            </w:tcBorders>
            <w:shd w:val="clear" w:color="auto" w:fill="auto"/>
            <w:noWrap/>
            <w:hideMark/>
          </w:tcPr>
          <w:p w14:paraId="5BEE8107" w14:textId="1FEE953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-3.166</w:t>
            </w:r>
          </w:p>
        </w:tc>
        <w:tc>
          <w:tcPr>
            <w:tcW w:w="960" w:type="dxa"/>
            <w:shd w:val="clear" w:color="auto" w:fill="auto"/>
            <w:noWrap/>
            <w:hideMark/>
          </w:tcPr>
          <w:p w14:paraId="67D8D18B" w14:textId="72631B2D"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-2.547</w:t>
            </w:r>
          </w:p>
        </w:tc>
        <w:tc>
          <w:tcPr>
            <w:tcW w:w="960" w:type="dxa"/>
            <w:tcBorders>
              <w:top w:val="single" w:sz="4" w:space="0" w:color="auto"/>
              <w:bottom w:val="single" w:sz="4" w:space="0" w:color="auto"/>
              <w:right w:val="single" w:sz="4" w:space="0" w:color="auto"/>
            </w:tcBorders>
            <w:shd w:val="clear" w:color="auto" w:fill="auto"/>
            <w:noWrap/>
            <w:hideMark/>
          </w:tcPr>
          <w:p w14:paraId="03EB9FD6" w14:textId="7EE2504F"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15F7C29" w14:textId="7742442F"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-1.932</w:t>
            </w:r>
          </w:p>
        </w:tc>
        <w:tc>
          <w:tcPr>
            <w:tcW w:w="960" w:type="dxa"/>
            <w:tcBorders>
              <w:left w:val="single" w:sz="4" w:space="0" w:color="auto"/>
            </w:tcBorders>
            <w:shd w:val="clear" w:color="auto" w:fill="auto"/>
            <w:noWrap/>
            <w:hideMark/>
          </w:tcPr>
          <w:p w14:paraId="472AD2D6" w14:textId="36B8730E"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-3.172</w:t>
            </w:r>
          </w:p>
        </w:tc>
        <w:tc>
          <w:tcPr>
            <w:tcW w:w="960" w:type="dxa"/>
            <w:shd w:val="clear" w:color="auto" w:fill="auto"/>
            <w:noWrap/>
            <w:hideMark/>
          </w:tcPr>
          <w:p w14:paraId="50E74072" w14:textId="16B9BC7D"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-2.556</w:t>
            </w:r>
          </w:p>
        </w:tc>
        <w:tc>
          <w:tcPr>
            <w:tcW w:w="960" w:type="dxa"/>
            <w:tcBorders>
              <w:top w:val="single" w:sz="4" w:space="0" w:color="auto"/>
              <w:bottom w:val="single" w:sz="4" w:space="0" w:color="auto"/>
              <w:right w:val="single" w:sz="4" w:space="0" w:color="auto"/>
            </w:tcBorders>
            <w:shd w:val="clear" w:color="auto" w:fill="auto"/>
            <w:noWrap/>
            <w:hideMark/>
          </w:tcPr>
          <w:p w14:paraId="52A03F83" w14:textId="5F9C1973"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-2.221</w:t>
            </w:r>
          </w:p>
        </w:tc>
      </w:tr>
      <w:tr w:rsidR="002E554D" w:rsidRPr="002E554D" w14:paraId="1F2E6D17" w14:textId="77777777" w:rsidTr="00D735A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B662E"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27BEBDE" w14:textId="0721A499"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-1.206</w:t>
            </w:r>
          </w:p>
        </w:tc>
        <w:tc>
          <w:tcPr>
            <w:tcW w:w="960" w:type="dxa"/>
            <w:tcBorders>
              <w:left w:val="single" w:sz="4" w:space="0" w:color="auto"/>
            </w:tcBorders>
            <w:shd w:val="clear" w:color="auto" w:fill="auto"/>
            <w:noWrap/>
            <w:hideMark/>
          </w:tcPr>
          <w:p w14:paraId="471498E9" w14:textId="0CA66F26"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-3.156</w:t>
            </w:r>
          </w:p>
        </w:tc>
        <w:tc>
          <w:tcPr>
            <w:tcW w:w="960" w:type="dxa"/>
            <w:shd w:val="clear" w:color="auto" w:fill="auto"/>
            <w:noWrap/>
            <w:hideMark/>
          </w:tcPr>
          <w:p w14:paraId="7C3B06BF" w14:textId="4E5E318E"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-2.533</w:t>
            </w:r>
          </w:p>
        </w:tc>
        <w:tc>
          <w:tcPr>
            <w:tcW w:w="960" w:type="dxa"/>
            <w:tcBorders>
              <w:top w:val="single" w:sz="4" w:space="0" w:color="auto"/>
              <w:bottom w:val="single" w:sz="4" w:space="0" w:color="auto"/>
              <w:right w:val="single" w:sz="4" w:space="0" w:color="auto"/>
            </w:tcBorders>
            <w:shd w:val="clear" w:color="auto" w:fill="auto"/>
            <w:noWrap/>
            <w:hideMark/>
          </w:tcPr>
          <w:p w14:paraId="7F7EC0FF" w14:textId="2B8A1ABE"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-2.196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CBF0154" w14:textId="646B331A"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0.215</w:t>
            </w:r>
          </w:p>
        </w:tc>
        <w:tc>
          <w:tcPr>
            <w:tcW w:w="960" w:type="dxa"/>
            <w:tcBorders>
              <w:left w:val="single" w:sz="4" w:space="0" w:color="auto"/>
            </w:tcBorders>
            <w:shd w:val="clear" w:color="auto" w:fill="auto"/>
            <w:noWrap/>
            <w:hideMark/>
          </w:tcPr>
          <w:p w14:paraId="06A2D5C0" w14:textId="78926D96"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-3.167</w:t>
            </w:r>
          </w:p>
        </w:tc>
        <w:tc>
          <w:tcPr>
            <w:tcW w:w="960" w:type="dxa"/>
            <w:shd w:val="clear" w:color="auto" w:fill="auto"/>
            <w:noWrap/>
            <w:hideMark/>
          </w:tcPr>
          <w:p w14:paraId="2FEEDF3F" w14:textId="50A0878D"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-2.550</w:t>
            </w:r>
          </w:p>
        </w:tc>
        <w:tc>
          <w:tcPr>
            <w:tcW w:w="960" w:type="dxa"/>
            <w:tcBorders>
              <w:top w:val="single" w:sz="4" w:space="0" w:color="auto"/>
              <w:bottom w:val="single" w:sz="4" w:space="0" w:color="auto"/>
              <w:right w:val="single" w:sz="4" w:space="0" w:color="auto"/>
            </w:tcBorders>
            <w:shd w:val="clear" w:color="auto" w:fill="auto"/>
            <w:noWrap/>
            <w:hideMark/>
          </w:tcPr>
          <w:p w14:paraId="79F74C13" w14:textId="0F696271"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-2.214</w:t>
            </w:r>
          </w:p>
        </w:tc>
      </w:tr>
      <w:tr w:rsidR="002E554D" w:rsidRPr="002E554D" w14:paraId="2D808069" w14:textId="77777777" w:rsidTr="00D735A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CC51"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C7A2BC5" w14:textId="2200B1DF"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2.089</w:t>
            </w:r>
          </w:p>
        </w:tc>
        <w:tc>
          <w:tcPr>
            <w:tcW w:w="960" w:type="dxa"/>
            <w:tcBorders>
              <w:left w:val="single" w:sz="4" w:space="0" w:color="auto"/>
            </w:tcBorders>
            <w:shd w:val="clear" w:color="auto" w:fill="auto"/>
            <w:noWrap/>
            <w:hideMark/>
          </w:tcPr>
          <w:p w14:paraId="25EE176F" w14:textId="184463CF"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-3.164</w:t>
            </w:r>
          </w:p>
        </w:tc>
        <w:tc>
          <w:tcPr>
            <w:tcW w:w="960" w:type="dxa"/>
            <w:shd w:val="clear" w:color="auto" w:fill="auto"/>
            <w:noWrap/>
            <w:hideMark/>
          </w:tcPr>
          <w:p w14:paraId="3A05C255" w14:textId="5FC80A04"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-2.545</w:t>
            </w:r>
          </w:p>
        </w:tc>
        <w:tc>
          <w:tcPr>
            <w:tcW w:w="960" w:type="dxa"/>
            <w:tcBorders>
              <w:top w:val="single" w:sz="4" w:space="0" w:color="auto"/>
              <w:bottom w:val="single" w:sz="4" w:space="0" w:color="auto"/>
              <w:right w:val="single" w:sz="4" w:space="0" w:color="auto"/>
            </w:tcBorders>
            <w:shd w:val="clear" w:color="auto" w:fill="auto"/>
            <w:noWrap/>
            <w:hideMark/>
          </w:tcPr>
          <w:p w14:paraId="09FD1BE3" w14:textId="4BD9FDBD"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E23813F" w14:textId="5F53C0DC"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1.803</w:t>
            </w:r>
          </w:p>
        </w:tc>
        <w:tc>
          <w:tcPr>
            <w:tcW w:w="960" w:type="dxa"/>
            <w:tcBorders>
              <w:left w:val="single" w:sz="4" w:space="0" w:color="auto"/>
            </w:tcBorders>
            <w:shd w:val="clear" w:color="auto" w:fill="auto"/>
            <w:noWrap/>
            <w:hideMark/>
          </w:tcPr>
          <w:p w14:paraId="4322270D" w14:textId="39AF25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-3.162</w:t>
            </w:r>
          </w:p>
        </w:tc>
        <w:tc>
          <w:tcPr>
            <w:tcW w:w="960" w:type="dxa"/>
            <w:shd w:val="clear" w:color="auto" w:fill="auto"/>
            <w:noWrap/>
            <w:hideMark/>
          </w:tcPr>
          <w:p w14:paraId="1040FD69" w14:textId="33A8AAE1"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-2.541</w:t>
            </w:r>
          </w:p>
        </w:tc>
        <w:tc>
          <w:tcPr>
            <w:tcW w:w="960" w:type="dxa"/>
            <w:tcBorders>
              <w:top w:val="single" w:sz="4" w:space="0" w:color="auto"/>
              <w:bottom w:val="single" w:sz="4" w:space="0" w:color="auto"/>
              <w:right w:val="single" w:sz="4" w:space="0" w:color="auto"/>
            </w:tcBorders>
            <w:shd w:val="clear" w:color="auto" w:fill="auto"/>
            <w:noWrap/>
            <w:hideMark/>
          </w:tcPr>
          <w:p w14:paraId="284656E6" w14:textId="50213F53"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-2.205</w:t>
            </w:r>
          </w:p>
        </w:tc>
      </w:tr>
      <w:tr w:rsidR="002E554D" w:rsidRPr="002E554D" w14:paraId="3837C2C8" w14:textId="77777777" w:rsidTr="00D735A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B013B"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7FAFA0B" w14:textId="5853CCBD"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3.877</w:t>
            </w:r>
          </w:p>
        </w:tc>
        <w:tc>
          <w:tcPr>
            <w:tcW w:w="960" w:type="dxa"/>
            <w:tcBorders>
              <w:left w:val="single" w:sz="4" w:space="0" w:color="auto"/>
            </w:tcBorders>
            <w:shd w:val="clear" w:color="auto" w:fill="auto"/>
            <w:noWrap/>
            <w:hideMark/>
          </w:tcPr>
          <w:p w14:paraId="02574806" w14:textId="011B2724"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-3.184</w:t>
            </w:r>
          </w:p>
        </w:tc>
        <w:tc>
          <w:tcPr>
            <w:tcW w:w="960" w:type="dxa"/>
            <w:shd w:val="clear" w:color="auto" w:fill="auto"/>
            <w:noWrap/>
            <w:hideMark/>
          </w:tcPr>
          <w:p w14:paraId="6972C15A" w14:textId="241F27BA"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-2.573</w:t>
            </w:r>
          </w:p>
        </w:tc>
        <w:tc>
          <w:tcPr>
            <w:tcW w:w="960" w:type="dxa"/>
            <w:tcBorders>
              <w:top w:val="single" w:sz="4" w:space="0" w:color="auto"/>
              <w:bottom w:val="single" w:sz="4" w:space="0" w:color="auto"/>
              <w:right w:val="single" w:sz="4" w:space="0" w:color="auto"/>
            </w:tcBorders>
            <w:shd w:val="clear" w:color="auto" w:fill="auto"/>
            <w:noWrap/>
            <w:hideMark/>
          </w:tcPr>
          <w:p w14:paraId="72709C38" w14:textId="750266E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-2.240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5261138" w14:textId="2B4BB8A5"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3.114</w:t>
            </w:r>
          </w:p>
        </w:tc>
        <w:tc>
          <w:tcPr>
            <w:tcW w:w="960" w:type="dxa"/>
            <w:tcBorders>
              <w:left w:val="single" w:sz="4" w:space="0" w:color="auto"/>
            </w:tcBorders>
            <w:shd w:val="clear" w:color="auto" w:fill="auto"/>
            <w:noWrap/>
            <w:hideMark/>
          </w:tcPr>
          <w:p w14:paraId="006F7B5F" w14:textId="368A64E0"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-3.171</w:t>
            </w:r>
          </w:p>
        </w:tc>
        <w:tc>
          <w:tcPr>
            <w:tcW w:w="960" w:type="dxa"/>
            <w:shd w:val="clear" w:color="auto" w:fill="auto"/>
            <w:noWrap/>
            <w:hideMark/>
          </w:tcPr>
          <w:p w14:paraId="4FDC9FD0" w14:textId="788FDB50"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-2.555</w:t>
            </w:r>
          </w:p>
        </w:tc>
        <w:tc>
          <w:tcPr>
            <w:tcW w:w="960" w:type="dxa"/>
            <w:tcBorders>
              <w:top w:val="single" w:sz="4" w:space="0" w:color="auto"/>
              <w:bottom w:val="single" w:sz="4" w:space="0" w:color="auto"/>
              <w:right w:val="single" w:sz="4" w:space="0" w:color="auto"/>
            </w:tcBorders>
            <w:shd w:val="clear" w:color="auto" w:fill="auto"/>
            <w:noWrap/>
            <w:hideMark/>
          </w:tcPr>
          <w:p w14:paraId="5DEBC029" w14:textId="6C6ED208"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-2.220</w:t>
            </w:r>
          </w:p>
        </w:tc>
      </w:tr>
      <w:tr w:rsidR="002E554D" w:rsidRPr="002E554D" w14:paraId="4153D039" w14:textId="77777777" w:rsidTr="00D735A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83CFC"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E887094" w14:textId="489DAEA1"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4.415</w:t>
            </w:r>
          </w:p>
        </w:tc>
        <w:tc>
          <w:tcPr>
            <w:tcW w:w="960" w:type="dxa"/>
            <w:tcBorders>
              <w:left w:val="single" w:sz="4" w:space="0" w:color="auto"/>
            </w:tcBorders>
            <w:shd w:val="clear" w:color="auto" w:fill="auto"/>
            <w:noWrap/>
            <w:hideMark/>
          </w:tcPr>
          <w:p w14:paraId="3353C039" w14:textId="3540C8AB"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-3.168</w:t>
            </w:r>
          </w:p>
        </w:tc>
        <w:tc>
          <w:tcPr>
            <w:tcW w:w="960" w:type="dxa"/>
            <w:shd w:val="clear" w:color="auto" w:fill="auto"/>
            <w:noWrap/>
            <w:hideMark/>
          </w:tcPr>
          <w:p w14:paraId="2F02181C" w14:textId="0A366594"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-2.551</w:t>
            </w:r>
          </w:p>
        </w:tc>
        <w:tc>
          <w:tcPr>
            <w:tcW w:w="960" w:type="dxa"/>
            <w:tcBorders>
              <w:top w:val="single" w:sz="4" w:space="0" w:color="auto"/>
              <w:bottom w:val="single" w:sz="4" w:space="0" w:color="auto"/>
              <w:right w:val="single" w:sz="4" w:space="0" w:color="auto"/>
            </w:tcBorders>
            <w:shd w:val="clear" w:color="auto" w:fill="auto"/>
            <w:noWrap/>
            <w:hideMark/>
          </w:tcPr>
          <w:p w14:paraId="7E63B5FF" w14:textId="2A3ABF8B"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249F0F2" w14:textId="2C069670"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3.845</w:t>
            </w:r>
          </w:p>
        </w:tc>
        <w:tc>
          <w:tcPr>
            <w:tcW w:w="960" w:type="dxa"/>
            <w:tcBorders>
              <w:left w:val="single" w:sz="4" w:space="0" w:color="auto"/>
            </w:tcBorders>
            <w:shd w:val="clear" w:color="auto" w:fill="auto"/>
            <w:noWrap/>
            <w:hideMark/>
          </w:tcPr>
          <w:p w14:paraId="79AD50BF" w14:textId="2E3A6200"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-3.146</w:t>
            </w:r>
          </w:p>
        </w:tc>
        <w:tc>
          <w:tcPr>
            <w:tcW w:w="960" w:type="dxa"/>
            <w:shd w:val="clear" w:color="auto" w:fill="auto"/>
            <w:noWrap/>
            <w:hideMark/>
          </w:tcPr>
          <w:p w14:paraId="08FFB19E" w14:textId="56E942B2"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-2.519</w:t>
            </w:r>
          </w:p>
        </w:tc>
        <w:tc>
          <w:tcPr>
            <w:tcW w:w="960" w:type="dxa"/>
            <w:tcBorders>
              <w:top w:val="single" w:sz="4" w:space="0" w:color="auto"/>
              <w:bottom w:val="single" w:sz="4" w:space="0" w:color="auto"/>
              <w:right w:val="single" w:sz="4" w:space="0" w:color="auto"/>
            </w:tcBorders>
            <w:shd w:val="clear" w:color="auto" w:fill="auto"/>
            <w:noWrap/>
            <w:hideMark/>
          </w:tcPr>
          <w:p w14:paraId="544DA22F" w14:textId="09D98889"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-2.181</w:t>
            </w:r>
          </w:p>
        </w:tc>
      </w:tr>
      <w:tr w:rsidR="002E554D" w:rsidRPr="002E554D" w14:paraId="218EC763" w14:textId="77777777" w:rsidTr="00D735A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EACE"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8A7C157" w14:textId="7E8C1F11"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3.186</w:t>
            </w:r>
          </w:p>
        </w:tc>
        <w:tc>
          <w:tcPr>
            <w:tcW w:w="960" w:type="dxa"/>
            <w:tcBorders>
              <w:left w:val="single" w:sz="4" w:space="0" w:color="auto"/>
            </w:tcBorders>
            <w:shd w:val="clear" w:color="auto" w:fill="auto"/>
            <w:noWrap/>
            <w:hideMark/>
          </w:tcPr>
          <w:p w14:paraId="56B12502" w14:textId="2C48A6D1"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-3.140</w:t>
            </w:r>
          </w:p>
        </w:tc>
        <w:tc>
          <w:tcPr>
            <w:tcW w:w="960" w:type="dxa"/>
            <w:shd w:val="clear" w:color="auto" w:fill="auto"/>
            <w:noWrap/>
            <w:hideMark/>
          </w:tcPr>
          <w:p w14:paraId="64E5A80C" w14:textId="49025374"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-2.511</w:t>
            </w:r>
          </w:p>
        </w:tc>
        <w:tc>
          <w:tcPr>
            <w:tcW w:w="960" w:type="dxa"/>
            <w:tcBorders>
              <w:top w:val="single" w:sz="4" w:space="0" w:color="auto"/>
              <w:bottom w:val="single" w:sz="4" w:space="0" w:color="auto"/>
              <w:right w:val="single" w:sz="4" w:space="0" w:color="auto"/>
            </w:tcBorders>
            <w:shd w:val="clear" w:color="auto" w:fill="auto"/>
            <w:noWrap/>
            <w:hideMark/>
          </w:tcPr>
          <w:p w14:paraId="596CCAE5" w14:textId="6A96B702"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-2.172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DB09AAB" w14:textId="3280352A"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3.148</w:t>
            </w:r>
          </w:p>
        </w:tc>
        <w:tc>
          <w:tcPr>
            <w:tcW w:w="960" w:type="dxa"/>
            <w:tcBorders>
              <w:left w:val="single" w:sz="4" w:space="0" w:color="auto"/>
            </w:tcBorders>
            <w:shd w:val="clear" w:color="auto" w:fill="auto"/>
            <w:noWrap/>
            <w:hideMark/>
          </w:tcPr>
          <w:p w14:paraId="3B2A660B" w14:textId="1D7C4ABA"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-3.133</w:t>
            </w:r>
          </w:p>
        </w:tc>
        <w:tc>
          <w:tcPr>
            <w:tcW w:w="960" w:type="dxa"/>
            <w:shd w:val="clear" w:color="auto" w:fill="auto"/>
            <w:noWrap/>
            <w:hideMark/>
          </w:tcPr>
          <w:p w14:paraId="64997841" w14:textId="20CCFCE4"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-2.501</w:t>
            </w:r>
          </w:p>
        </w:tc>
        <w:tc>
          <w:tcPr>
            <w:tcW w:w="960" w:type="dxa"/>
            <w:tcBorders>
              <w:top w:val="single" w:sz="4" w:space="0" w:color="auto"/>
              <w:bottom w:val="single" w:sz="4" w:space="0" w:color="auto"/>
              <w:right w:val="single" w:sz="4" w:space="0" w:color="auto"/>
            </w:tcBorders>
            <w:shd w:val="clear" w:color="auto" w:fill="auto"/>
            <w:noWrap/>
            <w:hideMark/>
          </w:tcPr>
          <w:p w14:paraId="6EA741A8" w14:textId="0EAE9A5E"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-2.161</w:t>
            </w:r>
          </w:p>
        </w:tc>
      </w:tr>
      <w:tr w:rsidR="002E554D" w:rsidRPr="002E554D" w14:paraId="04D44D81" w14:textId="77777777" w:rsidTr="00D735A5">
        <w:trPr>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3F674"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A92CA02" w14:textId="61EF7E7C"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1.651</w:t>
            </w:r>
          </w:p>
        </w:tc>
        <w:tc>
          <w:tcPr>
            <w:tcW w:w="960" w:type="dxa"/>
            <w:tcBorders>
              <w:left w:val="single" w:sz="4" w:space="0" w:color="auto"/>
            </w:tcBorders>
            <w:shd w:val="clear" w:color="auto" w:fill="auto"/>
            <w:noWrap/>
            <w:hideMark/>
          </w:tcPr>
          <w:p w14:paraId="7C5C90F4" w14:textId="56C9FC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-3.085</w:t>
            </w:r>
          </w:p>
        </w:tc>
        <w:tc>
          <w:tcPr>
            <w:tcW w:w="960" w:type="dxa"/>
            <w:shd w:val="clear" w:color="auto" w:fill="auto"/>
            <w:noWrap/>
            <w:hideMark/>
          </w:tcPr>
          <w:p w14:paraId="0631E5DE" w14:textId="4A5EF862"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-2.432</w:t>
            </w:r>
          </w:p>
        </w:tc>
        <w:tc>
          <w:tcPr>
            <w:tcW w:w="960" w:type="dxa"/>
            <w:tcBorders>
              <w:top w:val="single" w:sz="4" w:space="0" w:color="auto"/>
              <w:bottom w:val="single" w:sz="4" w:space="0" w:color="auto"/>
              <w:right w:val="single" w:sz="4" w:space="0" w:color="auto"/>
            </w:tcBorders>
            <w:shd w:val="clear" w:color="auto" w:fill="auto"/>
            <w:noWrap/>
            <w:hideMark/>
          </w:tcPr>
          <w:p w14:paraId="434C27A0" w14:textId="15C0EAD8"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-2.091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B9904E2" w14:textId="44C9206A"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2.261</w:t>
            </w:r>
          </w:p>
        </w:tc>
        <w:tc>
          <w:tcPr>
            <w:tcW w:w="960" w:type="dxa"/>
            <w:tcBorders>
              <w:left w:val="single" w:sz="4" w:space="0" w:color="auto"/>
            </w:tcBorders>
            <w:shd w:val="clear" w:color="auto" w:fill="auto"/>
            <w:noWrap/>
            <w:hideMark/>
          </w:tcPr>
          <w:p w14:paraId="185D3130" w14:textId="1769CF18"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-3.058</w:t>
            </w:r>
          </w:p>
        </w:tc>
        <w:tc>
          <w:tcPr>
            <w:tcW w:w="960" w:type="dxa"/>
            <w:shd w:val="clear" w:color="auto" w:fill="auto"/>
            <w:noWrap/>
            <w:hideMark/>
          </w:tcPr>
          <w:p w14:paraId="4A34C52B" w14:textId="4BA4790B"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-2.395</w:t>
            </w:r>
          </w:p>
        </w:tc>
        <w:tc>
          <w:tcPr>
            <w:tcW w:w="960" w:type="dxa"/>
            <w:tcBorders>
              <w:top w:val="single" w:sz="4" w:space="0" w:color="auto"/>
              <w:bottom w:val="single" w:sz="4" w:space="0" w:color="auto"/>
              <w:right w:val="single" w:sz="4" w:space="0" w:color="auto"/>
            </w:tcBorders>
            <w:shd w:val="clear" w:color="auto" w:fill="auto"/>
            <w:noWrap/>
            <w:hideMark/>
          </w:tcPr>
          <w:p w14:paraId="657CEE71" w14:textId="2F97BDD8"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-2.052</w:t>
            </w:r>
          </w:p>
        </w:tc>
      </w:tr>
      <w:tr w:rsidR="002E554D" w:rsidRPr="002E554D" w14:paraId="31ED6FCB" w14:textId="77777777" w:rsidTr="00FD7FC7">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E0948" w14:textId="77777777" w:rsidR="00FD7FC7" w:rsidRPr="002E554D" w:rsidRDefault="00FD7FC7" w:rsidP="00771184">
            <w:pPr>
              <w:spacing w:after="0" w:line="240" w:lineRule="auto"/>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 </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EA92" w14:textId="77777777" w:rsidR="00FD7FC7" w:rsidRPr="002E554D" w:rsidRDefault="00FD7FC7" w:rsidP="00771184">
            <w:pPr>
              <w:spacing w:after="0" w:line="240" w:lineRule="auto"/>
              <w:jc w:val="center"/>
              <w:rPr>
                <w:rFonts w:ascii="Garamond" w:eastAsia="Times New Roman" w:hAnsi="Garamond" w:cs="Calibri"/>
                <w:b/>
                <w:bCs/>
                <w:color w:val="FF0000"/>
                <w:sz w:val="20"/>
                <w:szCs w:val="20"/>
                <w:lang w:val="en-GB" w:eastAsia="en-GB"/>
              </w:rPr>
            </w:pPr>
            <w:r w:rsidRPr="002E554D">
              <w:rPr>
                <w:rFonts w:ascii="Garamond" w:eastAsia="Times New Roman" w:hAnsi="Garamond" w:cs="Calibri"/>
                <w:b/>
                <w:bCs/>
                <w:color w:val="FF0000"/>
                <w:sz w:val="20"/>
                <w:szCs w:val="20"/>
                <w:lang w:val="en-GB" w:eastAsia="en-GB"/>
              </w:rPr>
              <w:t>LTC</w:t>
            </w:r>
          </w:p>
        </w:tc>
      </w:tr>
      <w:tr w:rsidR="002E554D" w:rsidRPr="002E554D" w14:paraId="7E32472C" w14:textId="77777777" w:rsidTr="008C1417">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694D6"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4E8CAA2" w14:textId="09A30768" w:rsidR="003356F1" w:rsidRPr="002E554D" w:rsidRDefault="003356F1" w:rsidP="003356F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-3.297</w:t>
            </w:r>
          </w:p>
        </w:tc>
        <w:tc>
          <w:tcPr>
            <w:tcW w:w="960" w:type="dxa"/>
            <w:tcBorders>
              <w:left w:val="single" w:sz="4" w:space="0" w:color="auto"/>
            </w:tcBorders>
            <w:shd w:val="clear" w:color="auto" w:fill="auto"/>
            <w:noWrap/>
            <w:hideMark/>
          </w:tcPr>
          <w:p w14:paraId="61B26A1D" w14:textId="4C33C719"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-3.108</w:t>
            </w:r>
          </w:p>
        </w:tc>
        <w:tc>
          <w:tcPr>
            <w:tcW w:w="960" w:type="dxa"/>
            <w:shd w:val="clear" w:color="auto" w:fill="auto"/>
            <w:noWrap/>
            <w:hideMark/>
          </w:tcPr>
          <w:p w14:paraId="149DBC65" w14:textId="6F455BCD"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-2.464</w:t>
            </w:r>
          </w:p>
        </w:tc>
        <w:tc>
          <w:tcPr>
            <w:tcW w:w="960" w:type="dxa"/>
            <w:tcBorders>
              <w:top w:val="single" w:sz="4" w:space="0" w:color="auto"/>
              <w:bottom w:val="single" w:sz="4" w:space="0" w:color="auto"/>
              <w:right w:val="single" w:sz="4" w:space="0" w:color="auto"/>
            </w:tcBorders>
            <w:shd w:val="clear" w:color="auto" w:fill="auto"/>
            <w:noWrap/>
            <w:hideMark/>
          </w:tcPr>
          <w:p w14:paraId="02512AB7" w14:textId="6944BFE9"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-2.124</w:t>
            </w:r>
          </w:p>
        </w:tc>
      </w:tr>
      <w:tr w:rsidR="002E554D" w:rsidRPr="002E554D" w14:paraId="3FB948A1" w14:textId="77777777" w:rsidTr="008C1417">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4C8E"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342E13F" w14:textId="7D351EB4" w:rsidR="003356F1" w:rsidRPr="002E554D" w:rsidRDefault="003356F1" w:rsidP="003356F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-4.949</w:t>
            </w:r>
          </w:p>
        </w:tc>
        <w:tc>
          <w:tcPr>
            <w:tcW w:w="960" w:type="dxa"/>
            <w:tcBorders>
              <w:left w:val="single" w:sz="4" w:space="0" w:color="auto"/>
            </w:tcBorders>
            <w:shd w:val="clear" w:color="auto" w:fill="auto"/>
            <w:noWrap/>
            <w:hideMark/>
          </w:tcPr>
          <w:p w14:paraId="37C7D274" w14:textId="509BEED4"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-3.146</w:t>
            </w:r>
          </w:p>
        </w:tc>
        <w:tc>
          <w:tcPr>
            <w:tcW w:w="960" w:type="dxa"/>
            <w:shd w:val="clear" w:color="auto" w:fill="auto"/>
            <w:noWrap/>
            <w:hideMark/>
          </w:tcPr>
          <w:p w14:paraId="07E17833" w14:textId="15C9DDEC"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-2.519</w:t>
            </w:r>
          </w:p>
        </w:tc>
        <w:tc>
          <w:tcPr>
            <w:tcW w:w="960" w:type="dxa"/>
            <w:tcBorders>
              <w:top w:val="single" w:sz="4" w:space="0" w:color="auto"/>
              <w:bottom w:val="single" w:sz="4" w:space="0" w:color="auto"/>
              <w:right w:val="single" w:sz="4" w:space="0" w:color="auto"/>
            </w:tcBorders>
            <w:shd w:val="clear" w:color="auto" w:fill="auto"/>
            <w:noWrap/>
            <w:hideMark/>
          </w:tcPr>
          <w:p w14:paraId="6FCCEEA7" w14:textId="262E4A7B"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-2.181</w:t>
            </w:r>
          </w:p>
        </w:tc>
      </w:tr>
      <w:tr w:rsidR="002E554D" w:rsidRPr="002E554D" w14:paraId="780C7C58" w14:textId="77777777" w:rsidTr="008C1417">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40FF8"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C8581DE" w14:textId="718AE903" w:rsidR="003356F1" w:rsidRPr="002E554D" w:rsidRDefault="003356F1" w:rsidP="003356F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b/>
                <w:bCs/>
                <w:color w:val="FF0000"/>
                <w:sz w:val="20"/>
                <w:szCs w:val="20"/>
              </w:rPr>
              <w:t>-3.636</w:t>
            </w:r>
          </w:p>
        </w:tc>
        <w:tc>
          <w:tcPr>
            <w:tcW w:w="960" w:type="dxa"/>
            <w:tcBorders>
              <w:left w:val="single" w:sz="4" w:space="0" w:color="auto"/>
            </w:tcBorders>
            <w:shd w:val="clear" w:color="auto" w:fill="auto"/>
            <w:noWrap/>
            <w:hideMark/>
          </w:tcPr>
          <w:p w14:paraId="28D42D9E" w14:textId="77681AE8"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-3.172</w:t>
            </w:r>
          </w:p>
        </w:tc>
        <w:tc>
          <w:tcPr>
            <w:tcW w:w="960" w:type="dxa"/>
            <w:shd w:val="clear" w:color="000000" w:fill="FFFFFF"/>
            <w:noWrap/>
            <w:hideMark/>
          </w:tcPr>
          <w:p w14:paraId="6EE6C58F" w14:textId="12DC57AE"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-2.556</w:t>
            </w:r>
          </w:p>
        </w:tc>
        <w:tc>
          <w:tcPr>
            <w:tcW w:w="960" w:type="dxa"/>
            <w:tcBorders>
              <w:top w:val="single" w:sz="4" w:space="0" w:color="auto"/>
              <w:bottom w:val="single" w:sz="4" w:space="0" w:color="auto"/>
              <w:right w:val="single" w:sz="4" w:space="0" w:color="auto"/>
            </w:tcBorders>
            <w:shd w:val="clear" w:color="000000" w:fill="FFFFFF"/>
            <w:noWrap/>
            <w:hideMark/>
          </w:tcPr>
          <w:p w14:paraId="263603E0" w14:textId="1D07B82F"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-2.221</w:t>
            </w:r>
          </w:p>
        </w:tc>
      </w:tr>
      <w:tr w:rsidR="002E554D" w:rsidRPr="002E554D" w14:paraId="42A3B2C4" w14:textId="77777777" w:rsidTr="008C1417">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B3FEC"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49FFACE" w14:textId="250D7509" w:rsidR="003356F1" w:rsidRPr="002E554D" w:rsidRDefault="003356F1" w:rsidP="003356F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-1.667</w:t>
            </w:r>
          </w:p>
        </w:tc>
        <w:tc>
          <w:tcPr>
            <w:tcW w:w="960" w:type="dxa"/>
            <w:tcBorders>
              <w:left w:val="single" w:sz="4" w:space="0" w:color="auto"/>
            </w:tcBorders>
            <w:shd w:val="clear" w:color="auto" w:fill="auto"/>
            <w:noWrap/>
            <w:hideMark/>
          </w:tcPr>
          <w:p w14:paraId="186581E9" w14:textId="59704DDD"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-3.168</w:t>
            </w:r>
          </w:p>
        </w:tc>
        <w:tc>
          <w:tcPr>
            <w:tcW w:w="960" w:type="dxa"/>
            <w:shd w:val="clear" w:color="000000" w:fill="FFFFFF"/>
            <w:noWrap/>
            <w:hideMark/>
          </w:tcPr>
          <w:p w14:paraId="09358FA7" w14:textId="65E18488"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-2.551</w:t>
            </w:r>
          </w:p>
        </w:tc>
        <w:tc>
          <w:tcPr>
            <w:tcW w:w="960" w:type="dxa"/>
            <w:tcBorders>
              <w:top w:val="single" w:sz="4" w:space="0" w:color="auto"/>
              <w:bottom w:val="single" w:sz="4" w:space="0" w:color="auto"/>
              <w:right w:val="single" w:sz="4" w:space="0" w:color="auto"/>
            </w:tcBorders>
            <w:shd w:val="clear" w:color="000000" w:fill="FFFFFF"/>
            <w:noWrap/>
            <w:hideMark/>
          </w:tcPr>
          <w:p w14:paraId="66D4C27F" w14:textId="61016C6E"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-2.215</w:t>
            </w:r>
          </w:p>
        </w:tc>
      </w:tr>
      <w:tr w:rsidR="002E554D" w:rsidRPr="002E554D" w14:paraId="7C5E2EF5" w14:textId="77777777" w:rsidTr="008C1417">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DCF1D"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5CF5112" w14:textId="1F0E0050" w:rsidR="003356F1" w:rsidRPr="002E554D" w:rsidRDefault="003356F1" w:rsidP="003356F1">
            <w:pPr>
              <w:spacing w:after="0" w:line="240" w:lineRule="auto"/>
              <w:jc w:val="center"/>
              <w:rPr>
                <w:rFonts w:ascii="Garamond" w:eastAsia="Times New Roman" w:hAnsi="Garamond" w:cs="Calibri"/>
                <w:b/>
                <w:bCs/>
                <w:color w:val="FF0000"/>
                <w:sz w:val="20"/>
                <w:szCs w:val="20"/>
                <w:lang w:val="en-GB" w:eastAsia="en-GB"/>
              </w:rPr>
            </w:pPr>
            <w:r w:rsidRPr="002E554D">
              <w:rPr>
                <w:rFonts w:ascii="Garamond" w:hAnsi="Garamond"/>
                <w:color w:val="FF0000"/>
                <w:sz w:val="20"/>
                <w:szCs w:val="20"/>
              </w:rPr>
              <w:t>-0.356</w:t>
            </w:r>
          </w:p>
        </w:tc>
        <w:tc>
          <w:tcPr>
            <w:tcW w:w="960" w:type="dxa"/>
            <w:tcBorders>
              <w:left w:val="single" w:sz="4" w:space="0" w:color="auto"/>
            </w:tcBorders>
            <w:shd w:val="clear" w:color="auto" w:fill="auto"/>
            <w:noWrap/>
            <w:hideMark/>
          </w:tcPr>
          <w:p w14:paraId="6D65E897" w14:textId="57C11293"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-3.172</w:t>
            </w:r>
          </w:p>
        </w:tc>
        <w:tc>
          <w:tcPr>
            <w:tcW w:w="960" w:type="dxa"/>
            <w:shd w:val="clear" w:color="000000" w:fill="FFFFFF"/>
            <w:noWrap/>
            <w:hideMark/>
          </w:tcPr>
          <w:p w14:paraId="7998ECE0" w14:textId="071F4C20"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-2.556</w:t>
            </w:r>
          </w:p>
        </w:tc>
        <w:tc>
          <w:tcPr>
            <w:tcW w:w="960" w:type="dxa"/>
            <w:tcBorders>
              <w:top w:val="single" w:sz="4" w:space="0" w:color="auto"/>
              <w:bottom w:val="single" w:sz="4" w:space="0" w:color="auto"/>
              <w:right w:val="single" w:sz="4" w:space="0" w:color="auto"/>
            </w:tcBorders>
            <w:shd w:val="clear" w:color="000000" w:fill="FFFFFF"/>
            <w:noWrap/>
            <w:hideMark/>
          </w:tcPr>
          <w:p w14:paraId="7AC44FAC" w14:textId="6F4DCD9E"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-2.221</w:t>
            </w:r>
          </w:p>
        </w:tc>
      </w:tr>
      <w:tr w:rsidR="002E554D" w:rsidRPr="002E554D" w14:paraId="74EDF5AD" w14:textId="77777777" w:rsidTr="008C1417">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C6EEE"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D78791A" w14:textId="2C15E76D"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1.012</w:t>
            </w:r>
          </w:p>
        </w:tc>
        <w:tc>
          <w:tcPr>
            <w:tcW w:w="960" w:type="dxa"/>
            <w:tcBorders>
              <w:left w:val="single" w:sz="4" w:space="0" w:color="auto"/>
            </w:tcBorders>
            <w:shd w:val="clear" w:color="auto" w:fill="auto"/>
            <w:noWrap/>
            <w:hideMark/>
          </w:tcPr>
          <w:p w14:paraId="71CAAFB6" w14:textId="667B6564"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-3.161</w:t>
            </w:r>
          </w:p>
        </w:tc>
        <w:tc>
          <w:tcPr>
            <w:tcW w:w="960" w:type="dxa"/>
            <w:shd w:val="clear" w:color="000000" w:fill="FFFFFF"/>
            <w:noWrap/>
            <w:hideMark/>
          </w:tcPr>
          <w:p w14:paraId="07C3CE16" w14:textId="037B165F"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-2.541</w:t>
            </w:r>
          </w:p>
        </w:tc>
        <w:tc>
          <w:tcPr>
            <w:tcW w:w="960" w:type="dxa"/>
            <w:tcBorders>
              <w:top w:val="single" w:sz="4" w:space="0" w:color="auto"/>
              <w:bottom w:val="single" w:sz="4" w:space="0" w:color="auto"/>
              <w:right w:val="single" w:sz="4" w:space="0" w:color="auto"/>
            </w:tcBorders>
            <w:shd w:val="clear" w:color="000000" w:fill="FFFFFF"/>
            <w:noWrap/>
            <w:hideMark/>
          </w:tcPr>
          <w:p w14:paraId="7DC5C3EE" w14:textId="79016CF3"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-2.205</w:t>
            </w:r>
          </w:p>
        </w:tc>
      </w:tr>
      <w:tr w:rsidR="002E554D" w:rsidRPr="002E554D" w14:paraId="44C8D8BA" w14:textId="77777777" w:rsidTr="008C1417">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6D77F"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3B6017A" w14:textId="72A60581"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3.891</w:t>
            </w:r>
          </w:p>
        </w:tc>
        <w:tc>
          <w:tcPr>
            <w:tcW w:w="960" w:type="dxa"/>
            <w:tcBorders>
              <w:left w:val="single" w:sz="4" w:space="0" w:color="auto"/>
            </w:tcBorders>
            <w:shd w:val="clear" w:color="auto" w:fill="auto"/>
            <w:noWrap/>
            <w:hideMark/>
          </w:tcPr>
          <w:p w14:paraId="78634CBB" w14:textId="0EF67FDC"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-3.146</w:t>
            </w:r>
          </w:p>
        </w:tc>
        <w:tc>
          <w:tcPr>
            <w:tcW w:w="960" w:type="dxa"/>
            <w:shd w:val="clear" w:color="auto" w:fill="auto"/>
            <w:noWrap/>
            <w:hideMark/>
          </w:tcPr>
          <w:p w14:paraId="1483909B" w14:textId="40D77468"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-2.519</w:t>
            </w:r>
          </w:p>
        </w:tc>
        <w:tc>
          <w:tcPr>
            <w:tcW w:w="960" w:type="dxa"/>
            <w:tcBorders>
              <w:top w:val="single" w:sz="4" w:space="0" w:color="auto"/>
              <w:bottom w:val="single" w:sz="4" w:space="0" w:color="auto"/>
              <w:right w:val="single" w:sz="4" w:space="0" w:color="auto"/>
            </w:tcBorders>
            <w:shd w:val="clear" w:color="auto" w:fill="auto"/>
            <w:noWrap/>
            <w:hideMark/>
          </w:tcPr>
          <w:p w14:paraId="164F48BA" w14:textId="2FAA9000"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-2.181</w:t>
            </w:r>
          </w:p>
        </w:tc>
      </w:tr>
      <w:tr w:rsidR="002E554D" w:rsidRPr="002E554D" w14:paraId="3EE3EF7B" w14:textId="77777777" w:rsidTr="008C1417">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F3634"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63F5289" w14:textId="1D942DF3"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3.659</w:t>
            </w:r>
          </w:p>
        </w:tc>
        <w:tc>
          <w:tcPr>
            <w:tcW w:w="960" w:type="dxa"/>
            <w:tcBorders>
              <w:left w:val="single" w:sz="4" w:space="0" w:color="auto"/>
              <w:bottom w:val="single" w:sz="4" w:space="0" w:color="auto"/>
            </w:tcBorders>
            <w:shd w:val="clear" w:color="auto" w:fill="auto"/>
            <w:noWrap/>
            <w:hideMark/>
          </w:tcPr>
          <w:p w14:paraId="764E5651" w14:textId="772A83EE"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-3.116</w:t>
            </w:r>
          </w:p>
        </w:tc>
        <w:tc>
          <w:tcPr>
            <w:tcW w:w="960" w:type="dxa"/>
            <w:tcBorders>
              <w:bottom w:val="single" w:sz="4" w:space="0" w:color="auto"/>
            </w:tcBorders>
            <w:shd w:val="clear" w:color="auto" w:fill="auto"/>
            <w:noWrap/>
            <w:hideMark/>
          </w:tcPr>
          <w:p w14:paraId="365247B4" w14:textId="63C098BE"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-2.476</w:t>
            </w:r>
          </w:p>
        </w:tc>
        <w:tc>
          <w:tcPr>
            <w:tcW w:w="960" w:type="dxa"/>
            <w:tcBorders>
              <w:top w:val="single" w:sz="4" w:space="0" w:color="auto"/>
              <w:bottom w:val="single" w:sz="4" w:space="0" w:color="auto"/>
              <w:right w:val="single" w:sz="4" w:space="0" w:color="auto"/>
            </w:tcBorders>
            <w:shd w:val="clear" w:color="auto" w:fill="auto"/>
            <w:noWrap/>
            <w:hideMark/>
          </w:tcPr>
          <w:p w14:paraId="0D959BFC" w14:textId="0A46FE5C"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-2.136</w:t>
            </w:r>
          </w:p>
        </w:tc>
      </w:tr>
      <w:tr w:rsidR="003356F1" w:rsidRPr="002E554D" w14:paraId="0E26A93A" w14:textId="77777777" w:rsidTr="008C1417">
        <w:trPr>
          <w:gridAfter w:val="4"/>
          <w:wAfter w:w="3840" w:type="dxa"/>
          <w:trHeight w:val="33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704AB" w14:textId="77777777"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eastAsia="Times New Roman" w:hAnsi="Garamond" w:cs="Calibri"/>
                <w:color w:val="FF0000"/>
                <w:sz w:val="20"/>
                <w:szCs w:val="20"/>
                <w:lang w:val="en-GB" w:eastAsia="en-GB"/>
              </w:rPr>
              <w:t>0.9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02AFCCD" w14:textId="60377AB0"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2.877</w:t>
            </w:r>
          </w:p>
        </w:tc>
        <w:tc>
          <w:tcPr>
            <w:tcW w:w="960" w:type="dxa"/>
            <w:tcBorders>
              <w:top w:val="single" w:sz="4" w:space="0" w:color="auto"/>
              <w:left w:val="single" w:sz="4" w:space="0" w:color="auto"/>
              <w:bottom w:val="single" w:sz="4" w:space="0" w:color="auto"/>
            </w:tcBorders>
            <w:shd w:val="clear" w:color="auto" w:fill="auto"/>
            <w:noWrap/>
            <w:hideMark/>
          </w:tcPr>
          <w:p w14:paraId="5C30EE6E" w14:textId="56AB6779"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-3.036</w:t>
            </w:r>
          </w:p>
        </w:tc>
        <w:tc>
          <w:tcPr>
            <w:tcW w:w="960" w:type="dxa"/>
            <w:tcBorders>
              <w:top w:val="single" w:sz="4" w:space="0" w:color="auto"/>
              <w:bottom w:val="single" w:sz="4" w:space="0" w:color="auto"/>
            </w:tcBorders>
            <w:shd w:val="clear" w:color="auto" w:fill="auto"/>
            <w:noWrap/>
            <w:hideMark/>
          </w:tcPr>
          <w:p w14:paraId="5C37E75F" w14:textId="029A8BC3"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-2.378</w:t>
            </w:r>
          </w:p>
        </w:tc>
        <w:tc>
          <w:tcPr>
            <w:tcW w:w="960" w:type="dxa"/>
            <w:tcBorders>
              <w:top w:val="single" w:sz="4" w:space="0" w:color="auto"/>
              <w:bottom w:val="single" w:sz="4" w:space="0" w:color="auto"/>
              <w:right w:val="single" w:sz="4" w:space="0" w:color="auto"/>
            </w:tcBorders>
            <w:shd w:val="clear" w:color="auto" w:fill="auto"/>
            <w:noWrap/>
            <w:hideMark/>
          </w:tcPr>
          <w:p w14:paraId="67B4198D" w14:textId="0DA7B934" w:rsidR="003356F1" w:rsidRPr="002E554D" w:rsidRDefault="003356F1" w:rsidP="003356F1">
            <w:pPr>
              <w:spacing w:after="0" w:line="240" w:lineRule="auto"/>
              <w:jc w:val="center"/>
              <w:rPr>
                <w:rFonts w:ascii="Garamond" w:eastAsia="Times New Roman" w:hAnsi="Garamond" w:cs="Calibri"/>
                <w:color w:val="FF0000"/>
                <w:sz w:val="20"/>
                <w:szCs w:val="20"/>
                <w:lang w:val="en-GB" w:eastAsia="en-GB"/>
              </w:rPr>
            </w:pPr>
            <w:r w:rsidRPr="002E554D">
              <w:rPr>
                <w:rFonts w:ascii="Garamond" w:hAnsi="Garamond"/>
                <w:color w:val="FF0000"/>
                <w:sz w:val="20"/>
                <w:szCs w:val="20"/>
              </w:rPr>
              <w:t>-2.032</w:t>
            </w:r>
          </w:p>
        </w:tc>
      </w:tr>
    </w:tbl>
    <w:p w14:paraId="4BA18A9E" w14:textId="77777777" w:rsidR="00771184" w:rsidRPr="002E554D" w:rsidRDefault="00771184" w:rsidP="00771184">
      <w:pPr>
        <w:pStyle w:val="NoSpacing"/>
        <w:spacing w:line="480" w:lineRule="auto"/>
        <w:jc w:val="center"/>
        <w:rPr>
          <w:rFonts w:ascii="Garamond" w:eastAsia="Times New Roman" w:hAnsi="Garamond" w:cs="Calibri"/>
          <w:b/>
          <w:bCs/>
          <w:color w:val="FF0000"/>
          <w:sz w:val="24"/>
          <w:szCs w:val="24"/>
          <w:lang w:val="en-GB" w:eastAsia="en-GB"/>
        </w:rPr>
      </w:pPr>
    </w:p>
    <w:sectPr w:rsidR="00771184" w:rsidRPr="002E554D" w:rsidSect="00EE2D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59922" w14:textId="77777777" w:rsidR="00880EE9" w:rsidRDefault="00880EE9" w:rsidP="0052235B">
      <w:pPr>
        <w:spacing w:after="0" w:line="240" w:lineRule="auto"/>
      </w:pPr>
      <w:r>
        <w:separator/>
      </w:r>
    </w:p>
  </w:endnote>
  <w:endnote w:type="continuationSeparator" w:id="0">
    <w:p w14:paraId="22347DFD" w14:textId="77777777" w:rsidR="00880EE9" w:rsidRDefault="00880EE9" w:rsidP="0052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dvTTe692faf0">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492097"/>
      <w:docPartObj>
        <w:docPartGallery w:val="Page Numbers (Bottom of Page)"/>
        <w:docPartUnique/>
      </w:docPartObj>
    </w:sdtPr>
    <w:sdtEndPr>
      <w:rPr>
        <w:noProof/>
      </w:rPr>
    </w:sdtEndPr>
    <w:sdtContent>
      <w:p w14:paraId="1A6E06C2" w14:textId="799426FB" w:rsidR="0072104F" w:rsidRDefault="0072104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7601D4DC" w14:textId="77777777" w:rsidR="0072104F" w:rsidRDefault="0072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47CAE" w14:textId="77777777" w:rsidR="00880EE9" w:rsidRDefault="00880EE9" w:rsidP="0052235B">
      <w:pPr>
        <w:spacing w:after="0" w:line="240" w:lineRule="auto"/>
      </w:pPr>
      <w:r>
        <w:separator/>
      </w:r>
    </w:p>
  </w:footnote>
  <w:footnote w:type="continuationSeparator" w:id="0">
    <w:p w14:paraId="2F91E887" w14:textId="77777777" w:rsidR="00880EE9" w:rsidRDefault="00880EE9" w:rsidP="0052235B">
      <w:pPr>
        <w:spacing w:after="0" w:line="240" w:lineRule="auto"/>
      </w:pPr>
      <w:r>
        <w:continuationSeparator/>
      </w:r>
    </w:p>
  </w:footnote>
  <w:footnote w:id="1">
    <w:p w14:paraId="75B469F3" w14:textId="7DF89E0E" w:rsidR="0072104F" w:rsidRPr="00943696" w:rsidRDefault="0072104F" w:rsidP="001C553B">
      <w:pPr>
        <w:pStyle w:val="FootnoteText"/>
        <w:rPr>
          <w:rFonts w:ascii="Times New Roman" w:hAnsi="Times New Roman" w:cs="Times New Roman"/>
        </w:rPr>
      </w:pPr>
      <w:r>
        <w:rPr>
          <w:rStyle w:val="FootnoteReference"/>
        </w:rPr>
        <w:footnoteRef/>
      </w:r>
      <w:r>
        <w:t xml:space="preserve"> </w:t>
      </w:r>
      <w:r w:rsidRPr="00943696">
        <w:rPr>
          <w:rFonts w:ascii="Times New Roman" w:hAnsi="Times New Roman" w:cs="Times New Roman"/>
        </w:rPr>
        <w:t>The diverse financial effects of the pandemic have been considered by Corbet et al. (2020a), Goodell (2020), Sharif et al. (2020), and Yarovaya et al. (2020</w:t>
      </w:r>
      <w:r w:rsidRPr="007667B2">
        <w:rPr>
          <w:rFonts w:ascii="Times New Roman" w:hAnsi="Times New Roman" w:cs="Times New Roman"/>
        </w:rPr>
        <w:t>a,</w:t>
      </w:r>
      <w:r>
        <w:rPr>
          <w:rFonts w:ascii="Times New Roman" w:hAnsi="Times New Roman" w:cs="Times New Roman"/>
        </w:rPr>
        <w:t xml:space="preserve"> </w:t>
      </w:r>
      <w:r w:rsidRPr="007667B2">
        <w:rPr>
          <w:rFonts w:ascii="Times New Roman" w:hAnsi="Times New Roman" w:cs="Times New Roman"/>
        </w:rPr>
        <w:t>b) among others</w:t>
      </w:r>
      <w:r w:rsidRPr="00943696">
        <w:rPr>
          <w:rFonts w:ascii="Times New Roman" w:hAnsi="Times New Roman" w:cs="Times New Roman"/>
        </w:rPr>
        <w:t>.</w:t>
      </w:r>
    </w:p>
    <w:p w14:paraId="430B8CC8" w14:textId="77777777" w:rsidR="0072104F" w:rsidRPr="007667B2" w:rsidRDefault="0072104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A7209"/>
    <w:multiLevelType w:val="hybridMultilevel"/>
    <w:tmpl w:val="2568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95A12"/>
    <w:multiLevelType w:val="hybridMultilevel"/>
    <w:tmpl w:val="18F48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D3F8C"/>
    <w:multiLevelType w:val="hybridMultilevel"/>
    <w:tmpl w:val="2032A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20B13"/>
    <w:multiLevelType w:val="hybridMultilevel"/>
    <w:tmpl w:val="18F48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45271E"/>
    <w:multiLevelType w:val="hybridMultilevel"/>
    <w:tmpl w:val="18F48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F6303"/>
    <w:multiLevelType w:val="hybridMultilevel"/>
    <w:tmpl w:val="4FA86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D716A"/>
    <w:multiLevelType w:val="hybridMultilevel"/>
    <w:tmpl w:val="6FD6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20457"/>
    <w:multiLevelType w:val="hybridMultilevel"/>
    <w:tmpl w:val="6AC69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AA51A8"/>
    <w:multiLevelType w:val="hybridMultilevel"/>
    <w:tmpl w:val="EE608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0NbG0tLA0tzQ2NzBX0lEKTi0uzszPAykwtKgFAB1yV80tAAAA"/>
  </w:docVars>
  <w:rsids>
    <w:rsidRoot w:val="00697353"/>
    <w:rsid w:val="00010EBC"/>
    <w:rsid w:val="00022305"/>
    <w:rsid w:val="0003232E"/>
    <w:rsid w:val="00034295"/>
    <w:rsid w:val="00035932"/>
    <w:rsid w:val="00035D63"/>
    <w:rsid w:val="0004202B"/>
    <w:rsid w:val="00042DDC"/>
    <w:rsid w:val="00045478"/>
    <w:rsid w:val="00050C4D"/>
    <w:rsid w:val="00050FB1"/>
    <w:rsid w:val="00053F8F"/>
    <w:rsid w:val="00056071"/>
    <w:rsid w:val="000632A9"/>
    <w:rsid w:val="00063F51"/>
    <w:rsid w:val="0006522D"/>
    <w:rsid w:val="00072A47"/>
    <w:rsid w:val="00075138"/>
    <w:rsid w:val="00076208"/>
    <w:rsid w:val="00076F70"/>
    <w:rsid w:val="0008081D"/>
    <w:rsid w:val="00080DFC"/>
    <w:rsid w:val="00091450"/>
    <w:rsid w:val="00094A2E"/>
    <w:rsid w:val="00096B19"/>
    <w:rsid w:val="000A1A1A"/>
    <w:rsid w:val="000A23A1"/>
    <w:rsid w:val="000A38CC"/>
    <w:rsid w:val="000A5531"/>
    <w:rsid w:val="000A6A41"/>
    <w:rsid w:val="000A754D"/>
    <w:rsid w:val="000B3195"/>
    <w:rsid w:val="000C3C89"/>
    <w:rsid w:val="000C5D19"/>
    <w:rsid w:val="000C670C"/>
    <w:rsid w:val="000D098C"/>
    <w:rsid w:val="000D4323"/>
    <w:rsid w:val="000D4B91"/>
    <w:rsid w:val="000D6EB1"/>
    <w:rsid w:val="000D740B"/>
    <w:rsid w:val="000F069E"/>
    <w:rsid w:val="000F2472"/>
    <w:rsid w:val="000F3CEE"/>
    <w:rsid w:val="000F3E12"/>
    <w:rsid w:val="000F44AF"/>
    <w:rsid w:val="000F4D66"/>
    <w:rsid w:val="0010243B"/>
    <w:rsid w:val="001026AC"/>
    <w:rsid w:val="00103D91"/>
    <w:rsid w:val="00104EBE"/>
    <w:rsid w:val="00107DB4"/>
    <w:rsid w:val="00110EFA"/>
    <w:rsid w:val="00116CDB"/>
    <w:rsid w:val="001209D0"/>
    <w:rsid w:val="001270D6"/>
    <w:rsid w:val="00130971"/>
    <w:rsid w:val="00137760"/>
    <w:rsid w:val="00142469"/>
    <w:rsid w:val="00152358"/>
    <w:rsid w:val="00153D08"/>
    <w:rsid w:val="00154FAA"/>
    <w:rsid w:val="001550AC"/>
    <w:rsid w:val="00155B8B"/>
    <w:rsid w:val="001567D5"/>
    <w:rsid w:val="00161C38"/>
    <w:rsid w:val="00167F04"/>
    <w:rsid w:val="00175813"/>
    <w:rsid w:val="00180131"/>
    <w:rsid w:val="00181B1D"/>
    <w:rsid w:val="00181DF3"/>
    <w:rsid w:val="00185C62"/>
    <w:rsid w:val="00192776"/>
    <w:rsid w:val="00194A29"/>
    <w:rsid w:val="001951AC"/>
    <w:rsid w:val="00196277"/>
    <w:rsid w:val="0019744A"/>
    <w:rsid w:val="001A4F9B"/>
    <w:rsid w:val="001A56AB"/>
    <w:rsid w:val="001B0E86"/>
    <w:rsid w:val="001B42DA"/>
    <w:rsid w:val="001B763A"/>
    <w:rsid w:val="001C432F"/>
    <w:rsid w:val="001C4D4C"/>
    <w:rsid w:val="001C553B"/>
    <w:rsid w:val="001C6A75"/>
    <w:rsid w:val="001D00F0"/>
    <w:rsid w:val="001D280E"/>
    <w:rsid w:val="001D2C51"/>
    <w:rsid w:val="001D7215"/>
    <w:rsid w:val="001E12DF"/>
    <w:rsid w:val="001E1DE4"/>
    <w:rsid w:val="001E77B8"/>
    <w:rsid w:val="001F23CE"/>
    <w:rsid w:val="001F6626"/>
    <w:rsid w:val="00201D7F"/>
    <w:rsid w:val="002058D3"/>
    <w:rsid w:val="00207208"/>
    <w:rsid w:val="00207DFC"/>
    <w:rsid w:val="00210669"/>
    <w:rsid w:val="00212245"/>
    <w:rsid w:val="00212FC6"/>
    <w:rsid w:val="0021326F"/>
    <w:rsid w:val="0021677E"/>
    <w:rsid w:val="0022059D"/>
    <w:rsid w:val="002224E9"/>
    <w:rsid w:val="0022312E"/>
    <w:rsid w:val="00226D8B"/>
    <w:rsid w:val="0022732F"/>
    <w:rsid w:val="00230E1C"/>
    <w:rsid w:val="00235404"/>
    <w:rsid w:val="002354B9"/>
    <w:rsid w:val="00236178"/>
    <w:rsid w:val="00236D3A"/>
    <w:rsid w:val="002428EB"/>
    <w:rsid w:val="00244A63"/>
    <w:rsid w:val="00246E1A"/>
    <w:rsid w:val="00247943"/>
    <w:rsid w:val="002573C4"/>
    <w:rsid w:val="002630C0"/>
    <w:rsid w:val="00263C34"/>
    <w:rsid w:val="00263E86"/>
    <w:rsid w:val="00265FA7"/>
    <w:rsid w:val="0026600A"/>
    <w:rsid w:val="00272FF0"/>
    <w:rsid w:val="002732B5"/>
    <w:rsid w:val="002745A3"/>
    <w:rsid w:val="002753E7"/>
    <w:rsid w:val="0028292B"/>
    <w:rsid w:val="00284F3C"/>
    <w:rsid w:val="002852F9"/>
    <w:rsid w:val="00287043"/>
    <w:rsid w:val="002A306B"/>
    <w:rsid w:val="002A3F7A"/>
    <w:rsid w:val="002A4170"/>
    <w:rsid w:val="002A5DC7"/>
    <w:rsid w:val="002B09CA"/>
    <w:rsid w:val="002B2EA5"/>
    <w:rsid w:val="002B320F"/>
    <w:rsid w:val="002B463C"/>
    <w:rsid w:val="002B47A4"/>
    <w:rsid w:val="002B5625"/>
    <w:rsid w:val="002C2C88"/>
    <w:rsid w:val="002C3BFA"/>
    <w:rsid w:val="002C3D6F"/>
    <w:rsid w:val="002C5946"/>
    <w:rsid w:val="002D2A8C"/>
    <w:rsid w:val="002D42A8"/>
    <w:rsid w:val="002E3A18"/>
    <w:rsid w:val="002E554D"/>
    <w:rsid w:val="002E5FFE"/>
    <w:rsid w:val="002E6841"/>
    <w:rsid w:val="002E71B6"/>
    <w:rsid w:val="002E7502"/>
    <w:rsid w:val="002F0906"/>
    <w:rsid w:val="002F1823"/>
    <w:rsid w:val="002F36CB"/>
    <w:rsid w:val="002F7988"/>
    <w:rsid w:val="00300571"/>
    <w:rsid w:val="00300BF6"/>
    <w:rsid w:val="00311DEC"/>
    <w:rsid w:val="00312B05"/>
    <w:rsid w:val="00312BC4"/>
    <w:rsid w:val="00312E31"/>
    <w:rsid w:val="00313C3C"/>
    <w:rsid w:val="0031712F"/>
    <w:rsid w:val="003178F9"/>
    <w:rsid w:val="003248B4"/>
    <w:rsid w:val="00325F37"/>
    <w:rsid w:val="00326111"/>
    <w:rsid w:val="00331777"/>
    <w:rsid w:val="00333264"/>
    <w:rsid w:val="003356F1"/>
    <w:rsid w:val="00342201"/>
    <w:rsid w:val="00342D98"/>
    <w:rsid w:val="00342D9F"/>
    <w:rsid w:val="00343373"/>
    <w:rsid w:val="00345BEB"/>
    <w:rsid w:val="00346B66"/>
    <w:rsid w:val="00351FA8"/>
    <w:rsid w:val="00354D8C"/>
    <w:rsid w:val="003578FB"/>
    <w:rsid w:val="003610C9"/>
    <w:rsid w:val="00361BB6"/>
    <w:rsid w:val="0036202B"/>
    <w:rsid w:val="00362CB2"/>
    <w:rsid w:val="00362DF3"/>
    <w:rsid w:val="00362EFA"/>
    <w:rsid w:val="003633A5"/>
    <w:rsid w:val="00367058"/>
    <w:rsid w:val="00367B7B"/>
    <w:rsid w:val="00367E4A"/>
    <w:rsid w:val="0037188F"/>
    <w:rsid w:val="00373DBE"/>
    <w:rsid w:val="003747B8"/>
    <w:rsid w:val="00377270"/>
    <w:rsid w:val="00383D95"/>
    <w:rsid w:val="00386B07"/>
    <w:rsid w:val="00392E19"/>
    <w:rsid w:val="003957BC"/>
    <w:rsid w:val="00395CA4"/>
    <w:rsid w:val="003A16EB"/>
    <w:rsid w:val="003A346F"/>
    <w:rsid w:val="003B4150"/>
    <w:rsid w:val="003B5083"/>
    <w:rsid w:val="003B64F9"/>
    <w:rsid w:val="003C1609"/>
    <w:rsid w:val="003C7E88"/>
    <w:rsid w:val="003D38A2"/>
    <w:rsid w:val="003D511D"/>
    <w:rsid w:val="003D5D07"/>
    <w:rsid w:val="003D606D"/>
    <w:rsid w:val="003E2FEE"/>
    <w:rsid w:val="003E4858"/>
    <w:rsid w:val="003E7E5A"/>
    <w:rsid w:val="003F5251"/>
    <w:rsid w:val="0040102E"/>
    <w:rsid w:val="004037F5"/>
    <w:rsid w:val="00404931"/>
    <w:rsid w:val="004051CD"/>
    <w:rsid w:val="00405E61"/>
    <w:rsid w:val="00412874"/>
    <w:rsid w:val="00412983"/>
    <w:rsid w:val="004148A3"/>
    <w:rsid w:val="00415B79"/>
    <w:rsid w:val="00422084"/>
    <w:rsid w:val="004309C7"/>
    <w:rsid w:val="00435200"/>
    <w:rsid w:val="0043757F"/>
    <w:rsid w:val="0044325A"/>
    <w:rsid w:val="004438DB"/>
    <w:rsid w:val="00447166"/>
    <w:rsid w:val="004500B3"/>
    <w:rsid w:val="00454D9C"/>
    <w:rsid w:val="00460CC5"/>
    <w:rsid w:val="00462DCE"/>
    <w:rsid w:val="004677F1"/>
    <w:rsid w:val="00472B83"/>
    <w:rsid w:val="004828B7"/>
    <w:rsid w:val="004849F1"/>
    <w:rsid w:val="00490B30"/>
    <w:rsid w:val="004A448C"/>
    <w:rsid w:val="004A4F9A"/>
    <w:rsid w:val="004B0F83"/>
    <w:rsid w:val="004B411F"/>
    <w:rsid w:val="004C251F"/>
    <w:rsid w:val="004C2E5E"/>
    <w:rsid w:val="004C3F4D"/>
    <w:rsid w:val="004C4C8B"/>
    <w:rsid w:val="004C6F91"/>
    <w:rsid w:val="004D3861"/>
    <w:rsid w:val="004D3A52"/>
    <w:rsid w:val="004D453B"/>
    <w:rsid w:val="004D6592"/>
    <w:rsid w:val="004E1092"/>
    <w:rsid w:val="004E1D6B"/>
    <w:rsid w:val="004E2FC3"/>
    <w:rsid w:val="004E33B3"/>
    <w:rsid w:val="004E6C2B"/>
    <w:rsid w:val="004F26AA"/>
    <w:rsid w:val="00500977"/>
    <w:rsid w:val="0050356A"/>
    <w:rsid w:val="0050412F"/>
    <w:rsid w:val="00505951"/>
    <w:rsid w:val="005062FE"/>
    <w:rsid w:val="00507A50"/>
    <w:rsid w:val="00511100"/>
    <w:rsid w:val="00512158"/>
    <w:rsid w:val="00512338"/>
    <w:rsid w:val="005200A5"/>
    <w:rsid w:val="0052235B"/>
    <w:rsid w:val="00524728"/>
    <w:rsid w:val="00524D68"/>
    <w:rsid w:val="00527E3B"/>
    <w:rsid w:val="00530CF4"/>
    <w:rsid w:val="005338C3"/>
    <w:rsid w:val="0053561B"/>
    <w:rsid w:val="005406E2"/>
    <w:rsid w:val="00540FAB"/>
    <w:rsid w:val="0054644E"/>
    <w:rsid w:val="00557893"/>
    <w:rsid w:val="00560B81"/>
    <w:rsid w:val="00562352"/>
    <w:rsid w:val="005625BD"/>
    <w:rsid w:val="0056381E"/>
    <w:rsid w:val="00563E28"/>
    <w:rsid w:val="00564139"/>
    <w:rsid w:val="00564DEF"/>
    <w:rsid w:val="00567959"/>
    <w:rsid w:val="00567AC8"/>
    <w:rsid w:val="00571090"/>
    <w:rsid w:val="00575B52"/>
    <w:rsid w:val="00577FD9"/>
    <w:rsid w:val="00580D4D"/>
    <w:rsid w:val="005842DF"/>
    <w:rsid w:val="005851BE"/>
    <w:rsid w:val="00592307"/>
    <w:rsid w:val="00592A45"/>
    <w:rsid w:val="00594E8D"/>
    <w:rsid w:val="00597287"/>
    <w:rsid w:val="005A01D7"/>
    <w:rsid w:val="005A126D"/>
    <w:rsid w:val="005A2460"/>
    <w:rsid w:val="005A3771"/>
    <w:rsid w:val="005A5BB8"/>
    <w:rsid w:val="005A7A71"/>
    <w:rsid w:val="005B0F2C"/>
    <w:rsid w:val="005B5E17"/>
    <w:rsid w:val="005B71A1"/>
    <w:rsid w:val="005C092C"/>
    <w:rsid w:val="005C0C1E"/>
    <w:rsid w:val="005C18DF"/>
    <w:rsid w:val="005C42B9"/>
    <w:rsid w:val="005D13CD"/>
    <w:rsid w:val="005D141C"/>
    <w:rsid w:val="005D1A0C"/>
    <w:rsid w:val="005D63CD"/>
    <w:rsid w:val="005D671C"/>
    <w:rsid w:val="005E01BC"/>
    <w:rsid w:val="005E11C9"/>
    <w:rsid w:val="005E176C"/>
    <w:rsid w:val="005E25ED"/>
    <w:rsid w:val="005E45B9"/>
    <w:rsid w:val="005F0650"/>
    <w:rsid w:val="005F0F64"/>
    <w:rsid w:val="005F2858"/>
    <w:rsid w:val="006001B5"/>
    <w:rsid w:val="006051D9"/>
    <w:rsid w:val="00606374"/>
    <w:rsid w:val="00611214"/>
    <w:rsid w:val="006139B1"/>
    <w:rsid w:val="006158DA"/>
    <w:rsid w:val="006179AD"/>
    <w:rsid w:val="00617BFC"/>
    <w:rsid w:val="00620CBF"/>
    <w:rsid w:val="00623ADB"/>
    <w:rsid w:val="00623E79"/>
    <w:rsid w:val="00627718"/>
    <w:rsid w:val="00627D9C"/>
    <w:rsid w:val="00627F62"/>
    <w:rsid w:val="00631568"/>
    <w:rsid w:val="00633877"/>
    <w:rsid w:val="00637378"/>
    <w:rsid w:val="006402A3"/>
    <w:rsid w:val="00640C82"/>
    <w:rsid w:val="0064104C"/>
    <w:rsid w:val="00644470"/>
    <w:rsid w:val="00645993"/>
    <w:rsid w:val="0064732A"/>
    <w:rsid w:val="0065157C"/>
    <w:rsid w:val="00655688"/>
    <w:rsid w:val="00663DFD"/>
    <w:rsid w:val="00665E15"/>
    <w:rsid w:val="00674C54"/>
    <w:rsid w:val="00680499"/>
    <w:rsid w:val="00681D4C"/>
    <w:rsid w:val="00682DA8"/>
    <w:rsid w:val="0068325C"/>
    <w:rsid w:val="00684750"/>
    <w:rsid w:val="006854EF"/>
    <w:rsid w:val="00685E1C"/>
    <w:rsid w:val="00691E76"/>
    <w:rsid w:val="00693278"/>
    <w:rsid w:val="00697353"/>
    <w:rsid w:val="006A36C5"/>
    <w:rsid w:val="006A5F13"/>
    <w:rsid w:val="006A7132"/>
    <w:rsid w:val="006A7ECE"/>
    <w:rsid w:val="006B02AF"/>
    <w:rsid w:val="006B0333"/>
    <w:rsid w:val="006B6F94"/>
    <w:rsid w:val="006B7FED"/>
    <w:rsid w:val="006C0D76"/>
    <w:rsid w:val="006C1289"/>
    <w:rsid w:val="006C31A3"/>
    <w:rsid w:val="006D2218"/>
    <w:rsid w:val="006D5AB2"/>
    <w:rsid w:val="006D5BF3"/>
    <w:rsid w:val="006D7585"/>
    <w:rsid w:val="006E231A"/>
    <w:rsid w:val="006E504D"/>
    <w:rsid w:val="006E7AAF"/>
    <w:rsid w:val="006F07CC"/>
    <w:rsid w:val="006F2838"/>
    <w:rsid w:val="006F5984"/>
    <w:rsid w:val="006F652D"/>
    <w:rsid w:val="006F6A4A"/>
    <w:rsid w:val="006F71A6"/>
    <w:rsid w:val="006F7806"/>
    <w:rsid w:val="007004B4"/>
    <w:rsid w:val="00702E29"/>
    <w:rsid w:val="00703C1B"/>
    <w:rsid w:val="007074FE"/>
    <w:rsid w:val="00712818"/>
    <w:rsid w:val="00712A3D"/>
    <w:rsid w:val="00715136"/>
    <w:rsid w:val="007159B6"/>
    <w:rsid w:val="00720CF0"/>
    <w:rsid w:val="0072104F"/>
    <w:rsid w:val="00721F8F"/>
    <w:rsid w:val="00722B27"/>
    <w:rsid w:val="00731EB4"/>
    <w:rsid w:val="00734032"/>
    <w:rsid w:val="00735EF3"/>
    <w:rsid w:val="00736F4A"/>
    <w:rsid w:val="00742AFD"/>
    <w:rsid w:val="00744A5C"/>
    <w:rsid w:val="00744A94"/>
    <w:rsid w:val="007462B0"/>
    <w:rsid w:val="00746C3B"/>
    <w:rsid w:val="00746F9E"/>
    <w:rsid w:val="007479C5"/>
    <w:rsid w:val="007516D9"/>
    <w:rsid w:val="00754285"/>
    <w:rsid w:val="00756311"/>
    <w:rsid w:val="007563CE"/>
    <w:rsid w:val="00756B46"/>
    <w:rsid w:val="007667B2"/>
    <w:rsid w:val="00767F24"/>
    <w:rsid w:val="00771184"/>
    <w:rsid w:val="007728CF"/>
    <w:rsid w:val="007729BD"/>
    <w:rsid w:val="0077408E"/>
    <w:rsid w:val="0077455A"/>
    <w:rsid w:val="00775333"/>
    <w:rsid w:val="00782436"/>
    <w:rsid w:val="007852F9"/>
    <w:rsid w:val="007922D9"/>
    <w:rsid w:val="00794C27"/>
    <w:rsid w:val="00794D14"/>
    <w:rsid w:val="007A4B66"/>
    <w:rsid w:val="007A4CDA"/>
    <w:rsid w:val="007A7197"/>
    <w:rsid w:val="007B4F45"/>
    <w:rsid w:val="007B7D57"/>
    <w:rsid w:val="007C013E"/>
    <w:rsid w:val="007C20F5"/>
    <w:rsid w:val="007C311E"/>
    <w:rsid w:val="007C6DD0"/>
    <w:rsid w:val="007D0EA3"/>
    <w:rsid w:val="007D5C98"/>
    <w:rsid w:val="007D626F"/>
    <w:rsid w:val="007D7752"/>
    <w:rsid w:val="007D7754"/>
    <w:rsid w:val="007E171A"/>
    <w:rsid w:val="007E56A1"/>
    <w:rsid w:val="007F3FDB"/>
    <w:rsid w:val="007F42BB"/>
    <w:rsid w:val="007F7B7F"/>
    <w:rsid w:val="00803226"/>
    <w:rsid w:val="008068A2"/>
    <w:rsid w:val="00806C70"/>
    <w:rsid w:val="00821B91"/>
    <w:rsid w:val="008222B2"/>
    <w:rsid w:val="00822AE1"/>
    <w:rsid w:val="0082320F"/>
    <w:rsid w:val="00823360"/>
    <w:rsid w:val="00823B48"/>
    <w:rsid w:val="00834FBB"/>
    <w:rsid w:val="00841387"/>
    <w:rsid w:val="00841AFE"/>
    <w:rsid w:val="00846CA4"/>
    <w:rsid w:val="00853617"/>
    <w:rsid w:val="0085460C"/>
    <w:rsid w:val="00855A31"/>
    <w:rsid w:val="00856600"/>
    <w:rsid w:val="0086471A"/>
    <w:rsid w:val="00867C84"/>
    <w:rsid w:val="0088026E"/>
    <w:rsid w:val="00880BA3"/>
    <w:rsid w:val="00880EE9"/>
    <w:rsid w:val="00883040"/>
    <w:rsid w:val="00883575"/>
    <w:rsid w:val="00886936"/>
    <w:rsid w:val="008915F4"/>
    <w:rsid w:val="00891B98"/>
    <w:rsid w:val="008938B2"/>
    <w:rsid w:val="00893E23"/>
    <w:rsid w:val="00895AEC"/>
    <w:rsid w:val="00896453"/>
    <w:rsid w:val="00896522"/>
    <w:rsid w:val="008A31C8"/>
    <w:rsid w:val="008B109E"/>
    <w:rsid w:val="008B4792"/>
    <w:rsid w:val="008B7FA1"/>
    <w:rsid w:val="008C3F90"/>
    <w:rsid w:val="008C5438"/>
    <w:rsid w:val="008C5F13"/>
    <w:rsid w:val="008C673D"/>
    <w:rsid w:val="008D4BB7"/>
    <w:rsid w:val="008D780B"/>
    <w:rsid w:val="008E1879"/>
    <w:rsid w:val="008E1A17"/>
    <w:rsid w:val="008E424F"/>
    <w:rsid w:val="008E75A2"/>
    <w:rsid w:val="008F12C2"/>
    <w:rsid w:val="008F22BF"/>
    <w:rsid w:val="008F27B1"/>
    <w:rsid w:val="008F521F"/>
    <w:rsid w:val="0090042B"/>
    <w:rsid w:val="009037E9"/>
    <w:rsid w:val="0090434D"/>
    <w:rsid w:val="0090452D"/>
    <w:rsid w:val="00911ADF"/>
    <w:rsid w:val="00912154"/>
    <w:rsid w:val="009151F6"/>
    <w:rsid w:val="00920D84"/>
    <w:rsid w:val="00922462"/>
    <w:rsid w:val="00925B0D"/>
    <w:rsid w:val="0092717D"/>
    <w:rsid w:val="009325A1"/>
    <w:rsid w:val="009348EE"/>
    <w:rsid w:val="009376AE"/>
    <w:rsid w:val="00937FC5"/>
    <w:rsid w:val="009415D7"/>
    <w:rsid w:val="0094218B"/>
    <w:rsid w:val="00943696"/>
    <w:rsid w:val="00944593"/>
    <w:rsid w:val="0094558D"/>
    <w:rsid w:val="00945A1A"/>
    <w:rsid w:val="009554F6"/>
    <w:rsid w:val="009563FF"/>
    <w:rsid w:val="00956F99"/>
    <w:rsid w:val="00956FF1"/>
    <w:rsid w:val="00960AEF"/>
    <w:rsid w:val="009629E4"/>
    <w:rsid w:val="00963122"/>
    <w:rsid w:val="009666F6"/>
    <w:rsid w:val="009670ED"/>
    <w:rsid w:val="009701F2"/>
    <w:rsid w:val="0097582A"/>
    <w:rsid w:val="00982674"/>
    <w:rsid w:val="00982BCC"/>
    <w:rsid w:val="009834E7"/>
    <w:rsid w:val="009839BB"/>
    <w:rsid w:val="009866B8"/>
    <w:rsid w:val="00993624"/>
    <w:rsid w:val="00995F62"/>
    <w:rsid w:val="009A0082"/>
    <w:rsid w:val="009A1CCC"/>
    <w:rsid w:val="009A27FB"/>
    <w:rsid w:val="009A2AA7"/>
    <w:rsid w:val="009A31C2"/>
    <w:rsid w:val="009A419C"/>
    <w:rsid w:val="009A48A9"/>
    <w:rsid w:val="009B5808"/>
    <w:rsid w:val="009B7BA5"/>
    <w:rsid w:val="009C1000"/>
    <w:rsid w:val="009C474F"/>
    <w:rsid w:val="009C562D"/>
    <w:rsid w:val="009C6071"/>
    <w:rsid w:val="009C6650"/>
    <w:rsid w:val="009C6AFD"/>
    <w:rsid w:val="009C727A"/>
    <w:rsid w:val="009D4BC6"/>
    <w:rsid w:val="009E00D2"/>
    <w:rsid w:val="009E1E70"/>
    <w:rsid w:val="009E38FC"/>
    <w:rsid w:val="009E6072"/>
    <w:rsid w:val="009E7228"/>
    <w:rsid w:val="009F02A3"/>
    <w:rsid w:val="009F1023"/>
    <w:rsid w:val="009F1244"/>
    <w:rsid w:val="009F1BD8"/>
    <w:rsid w:val="009F2B51"/>
    <w:rsid w:val="009F62EF"/>
    <w:rsid w:val="009F64B9"/>
    <w:rsid w:val="009F7755"/>
    <w:rsid w:val="00A05156"/>
    <w:rsid w:val="00A0625F"/>
    <w:rsid w:val="00A11985"/>
    <w:rsid w:val="00A11BCF"/>
    <w:rsid w:val="00A1201E"/>
    <w:rsid w:val="00A1630C"/>
    <w:rsid w:val="00A23BD6"/>
    <w:rsid w:val="00A24DB1"/>
    <w:rsid w:val="00A24E79"/>
    <w:rsid w:val="00A27AF3"/>
    <w:rsid w:val="00A300B7"/>
    <w:rsid w:val="00A308B1"/>
    <w:rsid w:val="00A33761"/>
    <w:rsid w:val="00A362EB"/>
    <w:rsid w:val="00A37DAD"/>
    <w:rsid w:val="00A42D67"/>
    <w:rsid w:val="00A42F6F"/>
    <w:rsid w:val="00A4619B"/>
    <w:rsid w:val="00A46876"/>
    <w:rsid w:val="00A470B2"/>
    <w:rsid w:val="00A50C0D"/>
    <w:rsid w:val="00A52462"/>
    <w:rsid w:val="00A56948"/>
    <w:rsid w:val="00A60ACF"/>
    <w:rsid w:val="00A61541"/>
    <w:rsid w:val="00A655E6"/>
    <w:rsid w:val="00A66325"/>
    <w:rsid w:val="00A6739A"/>
    <w:rsid w:val="00A719C9"/>
    <w:rsid w:val="00A74A7E"/>
    <w:rsid w:val="00A7519B"/>
    <w:rsid w:val="00A76FC1"/>
    <w:rsid w:val="00AA386D"/>
    <w:rsid w:val="00AA5AC8"/>
    <w:rsid w:val="00AB17E3"/>
    <w:rsid w:val="00AB2096"/>
    <w:rsid w:val="00AC414A"/>
    <w:rsid w:val="00AC6E74"/>
    <w:rsid w:val="00AD0921"/>
    <w:rsid w:val="00AD1EF1"/>
    <w:rsid w:val="00AD306C"/>
    <w:rsid w:val="00AD40A8"/>
    <w:rsid w:val="00AD4728"/>
    <w:rsid w:val="00AD5466"/>
    <w:rsid w:val="00AE1382"/>
    <w:rsid w:val="00AE4614"/>
    <w:rsid w:val="00AE528E"/>
    <w:rsid w:val="00AE57BC"/>
    <w:rsid w:val="00AF25E2"/>
    <w:rsid w:val="00B01911"/>
    <w:rsid w:val="00B02F30"/>
    <w:rsid w:val="00B052F4"/>
    <w:rsid w:val="00B052FA"/>
    <w:rsid w:val="00B0770C"/>
    <w:rsid w:val="00B11E61"/>
    <w:rsid w:val="00B122E8"/>
    <w:rsid w:val="00B1686E"/>
    <w:rsid w:val="00B2291F"/>
    <w:rsid w:val="00B22D9B"/>
    <w:rsid w:val="00B257EF"/>
    <w:rsid w:val="00B26A09"/>
    <w:rsid w:val="00B273CD"/>
    <w:rsid w:val="00B30E23"/>
    <w:rsid w:val="00B343B8"/>
    <w:rsid w:val="00B37723"/>
    <w:rsid w:val="00B37E86"/>
    <w:rsid w:val="00B46D0E"/>
    <w:rsid w:val="00B51EDE"/>
    <w:rsid w:val="00B52047"/>
    <w:rsid w:val="00B52E7C"/>
    <w:rsid w:val="00B54C79"/>
    <w:rsid w:val="00B5527C"/>
    <w:rsid w:val="00B62DC9"/>
    <w:rsid w:val="00B6546B"/>
    <w:rsid w:val="00B65A07"/>
    <w:rsid w:val="00B74686"/>
    <w:rsid w:val="00B75090"/>
    <w:rsid w:val="00B75B96"/>
    <w:rsid w:val="00B84BF0"/>
    <w:rsid w:val="00B92444"/>
    <w:rsid w:val="00B92AA4"/>
    <w:rsid w:val="00BA08FD"/>
    <w:rsid w:val="00BA4F7A"/>
    <w:rsid w:val="00BA7440"/>
    <w:rsid w:val="00BB1978"/>
    <w:rsid w:val="00BB6322"/>
    <w:rsid w:val="00BB727E"/>
    <w:rsid w:val="00BC0CC7"/>
    <w:rsid w:val="00BC1852"/>
    <w:rsid w:val="00BC1E02"/>
    <w:rsid w:val="00BC2A0A"/>
    <w:rsid w:val="00BC2DE7"/>
    <w:rsid w:val="00BC383A"/>
    <w:rsid w:val="00BC388E"/>
    <w:rsid w:val="00BD1463"/>
    <w:rsid w:val="00BD329C"/>
    <w:rsid w:val="00BE1111"/>
    <w:rsid w:val="00BE3973"/>
    <w:rsid w:val="00BE6DC5"/>
    <w:rsid w:val="00BF1CE7"/>
    <w:rsid w:val="00BF4924"/>
    <w:rsid w:val="00C026B3"/>
    <w:rsid w:val="00C101F4"/>
    <w:rsid w:val="00C108A4"/>
    <w:rsid w:val="00C10BCA"/>
    <w:rsid w:val="00C12973"/>
    <w:rsid w:val="00C13349"/>
    <w:rsid w:val="00C15E5B"/>
    <w:rsid w:val="00C246AF"/>
    <w:rsid w:val="00C26F92"/>
    <w:rsid w:val="00C30D6C"/>
    <w:rsid w:val="00C32CFC"/>
    <w:rsid w:val="00C337FD"/>
    <w:rsid w:val="00C33A9B"/>
    <w:rsid w:val="00C42F97"/>
    <w:rsid w:val="00C432CD"/>
    <w:rsid w:val="00C43B4D"/>
    <w:rsid w:val="00C43EA6"/>
    <w:rsid w:val="00C44EA2"/>
    <w:rsid w:val="00C50EE2"/>
    <w:rsid w:val="00C51BD2"/>
    <w:rsid w:val="00C53154"/>
    <w:rsid w:val="00C5402E"/>
    <w:rsid w:val="00C54B42"/>
    <w:rsid w:val="00C559C1"/>
    <w:rsid w:val="00C57E81"/>
    <w:rsid w:val="00C62C28"/>
    <w:rsid w:val="00C64677"/>
    <w:rsid w:val="00C70FD6"/>
    <w:rsid w:val="00C711B6"/>
    <w:rsid w:val="00C76C6E"/>
    <w:rsid w:val="00C82801"/>
    <w:rsid w:val="00C84A71"/>
    <w:rsid w:val="00C9074E"/>
    <w:rsid w:val="00C909CF"/>
    <w:rsid w:val="00C93923"/>
    <w:rsid w:val="00C95F9D"/>
    <w:rsid w:val="00C96AE9"/>
    <w:rsid w:val="00CA0D80"/>
    <w:rsid w:val="00CA0D94"/>
    <w:rsid w:val="00CA32A8"/>
    <w:rsid w:val="00CA4110"/>
    <w:rsid w:val="00CA5D80"/>
    <w:rsid w:val="00CB2349"/>
    <w:rsid w:val="00CB6240"/>
    <w:rsid w:val="00CB6B3B"/>
    <w:rsid w:val="00CC7A38"/>
    <w:rsid w:val="00CD0B9B"/>
    <w:rsid w:val="00CD34C3"/>
    <w:rsid w:val="00CD6A4B"/>
    <w:rsid w:val="00CE2D6E"/>
    <w:rsid w:val="00CE6931"/>
    <w:rsid w:val="00CF32F8"/>
    <w:rsid w:val="00CF3767"/>
    <w:rsid w:val="00CF53B1"/>
    <w:rsid w:val="00D05534"/>
    <w:rsid w:val="00D05A3E"/>
    <w:rsid w:val="00D0603D"/>
    <w:rsid w:val="00D06055"/>
    <w:rsid w:val="00D10550"/>
    <w:rsid w:val="00D1237A"/>
    <w:rsid w:val="00D12D08"/>
    <w:rsid w:val="00D170DF"/>
    <w:rsid w:val="00D21301"/>
    <w:rsid w:val="00D22E4B"/>
    <w:rsid w:val="00D25697"/>
    <w:rsid w:val="00D330C4"/>
    <w:rsid w:val="00D34CC0"/>
    <w:rsid w:val="00D36973"/>
    <w:rsid w:val="00D371C9"/>
    <w:rsid w:val="00D40505"/>
    <w:rsid w:val="00D52DB6"/>
    <w:rsid w:val="00D5545E"/>
    <w:rsid w:val="00D56531"/>
    <w:rsid w:val="00D60A9A"/>
    <w:rsid w:val="00D610A5"/>
    <w:rsid w:val="00D616A7"/>
    <w:rsid w:val="00D63E64"/>
    <w:rsid w:val="00D644AB"/>
    <w:rsid w:val="00D6502F"/>
    <w:rsid w:val="00D67230"/>
    <w:rsid w:val="00D72902"/>
    <w:rsid w:val="00D75173"/>
    <w:rsid w:val="00D75497"/>
    <w:rsid w:val="00D77657"/>
    <w:rsid w:val="00D814F0"/>
    <w:rsid w:val="00D837E7"/>
    <w:rsid w:val="00D84F9E"/>
    <w:rsid w:val="00D86E88"/>
    <w:rsid w:val="00D94E8B"/>
    <w:rsid w:val="00D97413"/>
    <w:rsid w:val="00DA72C5"/>
    <w:rsid w:val="00DA7AEE"/>
    <w:rsid w:val="00DB1A00"/>
    <w:rsid w:val="00DB2AF3"/>
    <w:rsid w:val="00DB370D"/>
    <w:rsid w:val="00DB3734"/>
    <w:rsid w:val="00DB3F6E"/>
    <w:rsid w:val="00DB74CB"/>
    <w:rsid w:val="00DC18B4"/>
    <w:rsid w:val="00DC621F"/>
    <w:rsid w:val="00DD029C"/>
    <w:rsid w:val="00DD096E"/>
    <w:rsid w:val="00DD136A"/>
    <w:rsid w:val="00DD1757"/>
    <w:rsid w:val="00DD4474"/>
    <w:rsid w:val="00DD595A"/>
    <w:rsid w:val="00DD65BF"/>
    <w:rsid w:val="00DF377D"/>
    <w:rsid w:val="00E0108D"/>
    <w:rsid w:val="00E036A9"/>
    <w:rsid w:val="00E04224"/>
    <w:rsid w:val="00E05D7E"/>
    <w:rsid w:val="00E0675E"/>
    <w:rsid w:val="00E10B55"/>
    <w:rsid w:val="00E171E7"/>
    <w:rsid w:val="00E21451"/>
    <w:rsid w:val="00E220B7"/>
    <w:rsid w:val="00E23888"/>
    <w:rsid w:val="00E26607"/>
    <w:rsid w:val="00E32E3D"/>
    <w:rsid w:val="00E412BE"/>
    <w:rsid w:val="00E421B3"/>
    <w:rsid w:val="00E42B73"/>
    <w:rsid w:val="00E44E1E"/>
    <w:rsid w:val="00E4660B"/>
    <w:rsid w:val="00E546B1"/>
    <w:rsid w:val="00E57EF0"/>
    <w:rsid w:val="00E60A52"/>
    <w:rsid w:val="00E670C2"/>
    <w:rsid w:val="00E72107"/>
    <w:rsid w:val="00E72155"/>
    <w:rsid w:val="00E75012"/>
    <w:rsid w:val="00E7608F"/>
    <w:rsid w:val="00E76167"/>
    <w:rsid w:val="00E86B80"/>
    <w:rsid w:val="00E929EB"/>
    <w:rsid w:val="00E935A5"/>
    <w:rsid w:val="00E97EFB"/>
    <w:rsid w:val="00EA038C"/>
    <w:rsid w:val="00EA1008"/>
    <w:rsid w:val="00EA40FF"/>
    <w:rsid w:val="00EB388F"/>
    <w:rsid w:val="00EB3C92"/>
    <w:rsid w:val="00EB4F93"/>
    <w:rsid w:val="00EB6DEA"/>
    <w:rsid w:val="00EB70F3"/>
    <w:rsid w:val="00EB7B80"/>
    <w:rsid w:val="00EC310F"/>
    <w:rsid w:val="00EC3C3B"/>
    <w:rsid w:val="00EC75C6"/>
    <w:rsid w:val="00ED53CE"/>
    <w:rsid w:val="00ED5E3A"/>
    <w:rsid w:val="00EE2429"/>
    <w:rsid w:val="00EE2DBD"/>
    <w:rsid w:val="00EE454E"/>
    <w:rsid w:val="00EE4B9E"/>
    <w:rsid w:val="00EE4FC6"/>
    <w:rsid w:val="00F05784"/>
    <w:rsid w:val="00F11884"/>
    <w:rsid w:val="00F20837"/>
    <w:rsid w:val="00F24D3A"/>
    <w:rsid w:val="00F2630C"/>
    <w:rsid w:val="00F30DDF"/>
    <w:rsid w:val="00F35615"/>
    <w:rsid w:val="00F37831"/>
    <w:rsid w:val="00F37F71"/>
    <w:rsid w:val="00F4043C"/>
    <w:rsid w:val="00F404EE"/>
    <w:rsid w:val="00F4118B"/>
    <w:rsid w:val="00F41C4D"/>
    <w:rsid w:val="00F51B7A"/>
    <w:rsid w:val="00F529BF"/>
    <w:rsid w:val="00F53692"/>
    <w:rsid w:val="00F54907"/>
    <w:rsid w:val="00F55402"/>
    <w:rsid w:val="00F55634"/>
    <w:rsid w:val="00F620E3"/>
    <w:rsid w:val="00F632B7"/>
    <w:rsid w:val="00F64BFE"/>
    <w:rsid w:val="00F70ABC"/>
    <w:rsid w:val="00F71BB0"/>
    <w:rsid w:val="00F7691F"/>
    <w:rsid w:val="00F81F72"/>
    <w:rsid w:val="00F82BEE"/>
    <w:rsid w:val="00F861E9"/>
    <w:rsid w:val="00F97016"/>
    <w:rsid w:val="00F97D2D"/>
    <w:rsid w:val="00F97D43"/>
    <w:rsid w:val="00FA1105"/>
    <w:rsid w:val="00FA2A7C"/>
    <w:rsid w:val="00FA4457"/>
    <w:rsid w:val="00FB0F09"/>
    <w:rsid w:val="00FB2196"/>
    <w:rsid w:val="00FB305F"/>
    <w:rsid w:val="00FB4DD9"/>
    <w:rsid w:val="00FC1085"/>
    <w:rsid w:val="00FC28AA"/>
    <w:rsid w:val="00FC30EF"/>
    <w:rsid w:val="00FC3B27"/>
    <w:rsid w:val="00FC6690"/>
    <w:rsid w:val="00FC6E38"/>
    <w:rsid w:val="00FD24E1"/>
    <w:rsid w:val="00FD4A99"/>
    <w:rsid w:val="00FD7FC7"/>
    <w:rsid w:val="00FE2E09"/>
    <w:rsid w:val="00FE69CF"/>
    <w:rsid w:val="00FE6DC5"/>
    <w:rsid w:val="00FF0BEA"/>
    <w:rsid w:val="00FF2CB4"/>
    <w:rsid w:val="00FF4C84"/>
    <w:rsid w:val="00FF5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541C"/>
  <w15:chartTrackingRefBased/>
  <w15:docId w15:val="{0FB3F939-5F60-47D9-8574-6B2D1D72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D6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60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53"/>
    <w:pPr>
      <w:spacing w:after="0" w:line="240" w:lineRule="auto"/>
    </w:pPr>
    <w:rPr>
      <w:lang w:val="en-US"/>
    </w:rPr>
  </w:style>
  <w:style w:type="table" w:styleId="PlainTable2">
    <w:name w:val="Plain Table 2"/>
    <w:basedOn w:val="TableNormal"/>
    <w:uiPriority w:val="42"/>
    <w:rsid w:val="009670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9A27FB"/>
    <w:rPr>
      <w:color w:val="808080"/>
    </w:rPr>
  </w:style>
  <w:style w:type="table" w:styleId="TableGrid">
    <w:name w:val="Table Grid"/>
    <w:basedOn w:val="TableNormal"/>
    <w:uiPriority w:val="39"/>
    <w:rsid w:val="00D9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35B"/>
    <w:rPr>
      <w:sz w:val="20"/>
      <w:szCs w:val="20"/>
      <w:lang w:val="en-US"/>
    </w:rPr>
  </w:style>
  <w:style w:type="character" w:styleId="FootnoteReference">
    <w:name w:val="footnote reference"/>
    <w:basedOn w:val="DefaultParagraphFont"/>
    <w:uiPriority w:val="99"/>
    <w:semiHidden/>
    <w:unhideWhenUsed/>
    <w:rsid w:val="0052235B"/>
    <w:rPr>
      <w:vertAlign w:val="superscript"/>
    </w:rPr>
  </w:style>
  <w:style w:type="character" w:styleId="CommentReference">
    <w:name w:val="annotation reference"/>
    <w:basedOn w:val="DefaultParagraphFont"/>
    <w:uiPriority w:val="99"/>
    <w:semiHidden/>
    <w:unhideWhenUsed/>
    <w:rsid w:val="004D6592"/>
    <w:rPr>
      <w:sz w:val="16"/>
      <w:szCs w:val="16"/>
    </w:rPr>
  </w:style>
  <w:style w:type="paragraph" w:styleId="CommentText">
    <w:name w:val="annotation text"/>
    <w:basedOn w:val="Normal"/>
    <w:link w:val="CommentTextChar"/>
    <w:uiPriority w:val="99"/>
    <w:semiHidden/>
    <w:unhideWhenUsed/>
    <w:rsid w:val="004D6592"/>
    <w:pPr>
      <w:spacing w:line="240" w:lineRule="auto"/>
    </w:pPr>
    <w:rPr>
      <w:sz w:val="20"/>
      <w:szCs w:val="20"/>
    </w:rPr>
  </w:style>
  <w:style w:type="character" w:customStyle="1" w:styleId="CommentTextChar">
    <w:name w:val="Comment Text Char"/>
    <w:basedOn w:val="DefaultParagraphFont"/>
    <w:link w:val="CommentText"/>
    <w:uiPriority w:val="99"/>
    <w:semiHidden/>
    <w:rsid w:val="004D6592"/>
    <w:rPr>
      <w:sz w:val="20"/>
      <w:szCs w:val="20"/>
      <w:lang w:val="en-US"/>
    </w:rPr>
  </w:style>
  <w:style w:type="paragraph" w:styleId="CommentSubject">
    <w:name w:val="annotation subject"/>
    <w:basedOn w:val="CommentText"/>
    <w:next w:val="CommentText"/>
    <w:link w:val="CommentSubjectChar"/>
    <w:uiPriority w:val="99"/>
    <w:semiHidden/>
    <w:unhideWhenUsed/>
    <w:rsid w:val="004D6592"/>
    <w:rPr>
      <w:b/>
      <w:bCs/>
    </w:rPr>
  </w:style>
  <w:style w:type="character" w:customStyle="1" w:styleId="CommentSubjectChar">
    <w:name w:val="Comment Subject Char"/>
    <w:basedOn w:val="CommentTextChar"/>
    <w:link w:val="CommentSubject"/>
    <w:uiPriority w:val="99"/>
    <w:semiHidden/>
    <w:rsid w:val="004D6592"/>
    <w:rPr>
      <w:b/>
      <w:bCs/>
      <w:sz w:val="20"/>
      <w:szCs w:val="20"/>
      <w:lang w:val="en-US"/>
    </w:rPr>
  </w:style>
  <w:style w:type="paragraph" w:styleId="BalloonText">
    <w:name w:val="Balloon Text"/>
    <w:basedOn w:val="Normal"/>
    <w:link w:val="BalloonTextChar"/>
    <w:uiPriority w:val="99"/>
    <w:semiHidden/>
    <w:unhideWhenUsed/>
    <w:rsid w:val="004D6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92"/>
    <w:rPr>
      <w:rFonts w:ascii="Segoe UI" w:hAnsi="Segoe UI" w:cs="Segoe UI"/>
      <w:sz w:val="18"/>
      <w:szCs w:val="18"/>
      <w:lang w:val="en-US"/>
    </w:rPr>
  </w:style>
  <w:style w:type="paragraph" w:styleId="ListParagraph">
    <w:name w:val="List Paragraph"/>
    <w:basedOn w:val="Normal"/>
    <w:uiPriority w:val="34"/>
    <w:qFormat/>
    <w:rsid w:val="004309C7"/>
    <w:pPr>
      <w:ind w:left="720"/>
      <w:contextualSpacing/>
    </w:pPr>
  </w:style>
  <w:style w:type="character" w:styleId="Hyperlink">
    <w:name w:val="Hyperlink"/>
    <w:basedOn w:val="DefaultParagraphFont"/>
    <w:uiPriority w:val="99"/>
    <w:unhideWhenUsed/>
    <w:rsid w:val="005851BE"/>
    <w:rPr>
      <w:color w:val="0563C1" w:themeColor="hyperlink"/>
      <w:u w:val="single"/>
    </w:rPr>
  </w:style>
  <w:style w:type="character" w:customStyle="1" w:styleId="UnresolvedMention1">
    <w:name w:val="Unresolved Mention1"/>
    <w:basedOn w:val="DefaultParagraphFont"/>
    <w:uiPriority w:val="99"/>
    <w:semiHidden/>
    <w:unhideWhenUsed/>
    <w:rsid w:val="005851BE"/>
    <w:rPr>
      <w:color w:val="605E5C"/>
      <w:shd w:val="clear" w:color="auto" w:fill="E1DFDD"/>
    </w:rPr>
  </w:style>
  <w:style w:type="paragraph" w:styleId="Header">
    <w:name w:val="header"/>
    <w:basedOn w:val="Normal"/>
    <w:link w:val="HeaderChar"/>
    <w:uiPriority w:val="99"/>
    <w:unhideWhenUsed/>
    <w:rsid w:val="005C1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8DF"/>
    <w:rPr>
      <w:lang w:val="en-US"/>
    </w:rPr>
  </w:style>
  <w:style w:type="paragraph" w:styleId="Footer">
    <w:name w:val="footer"/>
    <w:basedOn w:val="Normal"/>
    <w:link w:val="FooterChar"/>
    <w:uiPriority w:val="99"/>
    <w:unhideWhenUsed/>
    <w:rsid w:val="005C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8DF"/>
    <w:rPr>
      <w:lang w:val="en-US"/>
    </w:rPr>
  </w:style>
  <w:style w:type="table" w:styleId="TableGridLight">
    <w:name w:val="Grid Table Light"/>
    <w:basedOn w:val="TableNormal"/>
    <w:uiPriority w:val="40"/>
    <w:rsid w:val="009834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5338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63E28"/>
    <w:rPr>
      <w:color w:val="605E5C"/>
      <w:shd w:val="clear" w:color="auto" w:fill="E1DFDD"/>
    </w:rPr>
  </w:style>
  <w:style w:type="character" w:customStyle="1" w:styleId="Heading1Char">
    <w:name w:val="Heading 1 Char"/>
    <w:basedOn w:val="DefaultParagraphFont"/>
    <w:link w:val="Heading1"/>
    <w:uiPriority w:val="9"/>
    <w:rsid w:val="003D606D"/>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3D606D"/>
    <w:rPr>
      <w:rFonts w:asciiTheme="majorHAnsi" w:eastAsiaTheme="majorEastAsia" w:hAnsiTheme="majorHAnsi" w:cstheme="majorBidi"/>
      <w:color w:val="2E74B5" w:themeColor="accent1" w:themeShade="BF"/>
      <w:sz w:val="26"/>
      <w:szCs w:val="26"/>
      <w:lang w:val="en-US"/>
    </w:rPr>
  </w:style>
  <w:style w:type="paragraph" w:styleId="Revision">
    <w:name w:val="Revision"/>
    <w:hidden/>
    <w:uiPriority w:val="99"/>
    <w:semiHidden/>
    <w:rsid w:val="00063F51"/>
    <w:pPr>
      <w:spacing w:after="0" w:line="240" w:lineRule="auto"/>
    </w:pPr>
    <w:rPr>
      <w:lang w:val="en-US"/>
    </w:rPr>
  </w:style>
  <w:style w:type="character" w:styleId="UnresolvedMention">
    <w:name w:val="Unresolved Mention"/>
    <w:basedOn w:val="DefaultParagraphFont"/>
    <w:uiPriority w:val="99"/>
    <w:semiHidden/>
    <w:unhideWhenUsed/>
    <w:rsid w:val="00263E86"/>
    <w:rPr>
      <w:color w:val="605E5C"/>
      <w:shd w:val="clear" w:color="auto" w:fill="E1DFDD"/>
    </w:rPr>
  </w:style>
  <w:style w:type="character" w:styleId="FollowedHyperlink">
    <w:name w:val="FollowedHyperlink"/>
    <w:basedOn w:val="DefaultParagraphFont"/>
    <w:uiPriority w:val="99"/>
    <w:semiHidden/>
    <w:unhideWhenUsed/>
    <w:rsid w:val="00E935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3059">
      <w:bodyDiv w:val="1"/>
      <w:marLeft w:val="0"/>
      <w:marRight w:val="0"/>
      <w:marTop w:val="0"/>
      <w:marBottom w:val="0"/>
      <w:divBdr>
        <w:top w:val="none" w:sz="0" w:space="0" w:color="auto"/>
        <w:left w:val="none" w:sz="0" w:space="0" w:color="auto"/>
        <w:bottom w:val="none" w:sz="0" w:space="0" w:color="auto"/>
        <w:right w:val="none" w:sz="0" w:space="0" w:color="auto"/>
      </w:divBdr>
    </w:div>
    <w:div w:id="51778023">
      <w:bodyDiv w:val="1"/>
      <w:marLeft w:val="0"/>
      <w:marRight w:val="0"/>
      <w:marTop w:val="0"/>
      <w:marBottom w:val="0"/>
      <w:divBdr>
        <w:top w:val="none" w:sz="0" w:space="0" w:color="auto"/>
        <w:left w:val="none" w:sz="0" w:space="0" w:color="auto"/>
        <w:bottom w:val="none" w:sz="0" w:space="0" w:color="auto"/>
        <w:right w:val="none" w:sz="0" w:space="0" w:color="auto"/>
      </w:divBdr>
    </w:div>
    <w:div w:id="55131567">
      <w:bodyDiv w:val="1"/>
      <w:marLeft w:val="0"/>
      <w:marRight w:val="0"/>
      <w:marTop w:val="0"/>
      <w:marBottom w:val="0"/>
      <w:divBdr>
        <w:top w:val="none" w:sz="0" w:space="0" w:color="auto"/>
        <w:left w:val="none" w:sz="0" w:space="0" w:color="auto"/>
        <w:bottom w:val="none" w:sz="0" w:space="0" w:color="auto"/>
        <w:right w:val="none" w:sz="0" w:space="0" w:color="auto"/>
      </w:divBdr>
    </w:div>
    <w:div w:id="66073673">
      <w:bodyDiv w:val="1"/>
      <w:marLeft w:val="0"/>
      <w:marRight w:val="0"/>
      <w:marTop w:val="0"/>
      <w:marBottom w:val="0"/>
      <w:divBdr>
        <w:top w:val="none" w:sz="0" w:space="0" w:color="auto"/>
        <w:left w:val="none" w:sz="0" w:space="0" w:color="auto"/>
        <w:bottom w:val="none" w:sz="0" w:space="0" w:color="auto"/>
        <w:right w:val="none" w:sz="0" w:space="0" w:color="auto"/>
      </w:divBdr>
    </w:div>
    <w:div w:id="113251093">
      <w:bodyDiv w:val="1"/>
      <w:marLeft w:val="0"/>
      <w:marRight w:val="0"/>
      <w:marTop w:val="0"/>
      <w:marBottom w:val="0"/>
      <w:divBdr>
        <w:top w:val="none" w:sz="0" w:space="0" w:color="auto"/>
        <w:left w:val="none" w:sz="0" w:space="0" w:color="auto"/>
        <w:bottom w:val="none" w:sz="0" w:space="0" w:color="auto"/>
        <w:right w:val="none" w:sz="0" w:space="0" w:color="auto"/>
      </w:divBdr>
    </w:div>
    <w:div w:id="155272666">
      <w:bodyDiv w:val="1"/>
      <w:marLeft w:val="0"/>
      <w:marRight w:val="0"/>
      <w:marTop w:val="0"/>
      <w:marBottom w:val="0"/>
      <w:divBdr>
        <w:top w:val="none" w:sz="0" w:space="0" w:color="auto"/>
        <w:left w:val="none" w:sz="0" w:space="0" w:color="auto"/>
        <w:bottom w:val="none" w:sz="0" w:space="0" w:color="auto"/>
        <w:right w:val="none" w:sz="0" w:space="0" w:color="auto"/>
      </w:divBdr>
    </w:div>
    <w:div w:id="186910098">
      <w:bodyDiv w:val="1"/>
      <w:marLeft w:val="0"/>
      <w:marRight w:val="0"/>
      <w:marTop w:val="0"/>
      <w:marBottom w:val="0"/>
      <w:divBdr>
        <w:top w:val="none" w:sz="0" w:space="0" w:color="auto"/>
        <w:left w:val="none" w:sz="0" w:space="0" w:color="auto"/>
        <w:bottom w:val="none" w:sz="0" w:space="0" w:color="auto"/>
        <w:right w:val="none" w:sz="0" w:space="0" w:color="auto"/>
      </w:divBdr>
    </w:div>
    <w:div w:id="191723625">
      <w:bodyDiv w:val="1"/>
      <w:marLeft w:val="0"/>
      <w:marRight w:val="0"/>
      <w:marTop w:val="0"/>
      <w:marBottom w:val="0"/>
      <w:divBdr>
        <w:top w:val="none" w:sz="0" w:space="0" w:color="auto"/>
        <w:left w:val="none" w:sz="0" w:space="0" w:color="auto"/>
        <w:bottom w:val="none" w:sz="0" w:space="0" w:color="auto"/>
        <w:right w:val="none" w:sz="0" w:space="0" w:color="auto"/>
      </w:divBdr>
    </w:div>
    <w:div w:id="286400162">
      <w:bodyDiv w:val="1"/>
      <w:marLeft w:val="0"/>
      <w:marRight w:val="0"/>
      <w:marTop w:val="0"/>
      <w:marBottom w:val="0"/>
      <w:divBdr>
        <w:top w:val="none" w:sz="0" w:space="0" w:color="auto"/>
        <w:left w:val="none" w:sz="0" w:space="0" w:color="auto"/>
        <w:bottom w:val="none" w:sz="0" w:space="0" w:color="auto"/>
        <w:right w:val="none" w:sz="0" w:space="0" w:color="auto"/>
      </w:divBdr>
    </w:div>
    <w:div w:id="304358517">
      <w:bodyDiv w:val="1"/>
      <w:marLeft w:val="0"/>
      <w:marRight w:val="0"/>
      <w:marTop w:val="0"/>
      <w:marBottom w:val="0"/>
      <w:divBdr>
        <w:top w:val="none" w:sz="0" w:space="0" w:color="auto"/>
        <w:left w:val="none" w:sz="0" w:space="0" w:color="auto"/>
        <w:bottom w:val="none" w:sz="0" w:space="0" w:color="auto"/>
        <w:right w:val="none" w:sz="0" w:space="0" w:color="auto"/>
      </w:divBdr>
    </w:div>
    <w:div w:id="327289492">
      <w:bodyDiv w:val="1"/>
      <w:marLeft w:val="0"/>
      <w:marRight w:val="0"/>
      <w:marTop w:val="0"/>
      <w:marBottom w:val="0"/>
      <w:divBdr>
        <w:top w:val="none" w:sz="0" w:space="0" w:color="auto"/>
        <w:left w:val="none" w:sz="0" w:space="0" w:color="auto"/>
        <w:bottom w:val="none" w:sz="0" w:space="0" w:color="auto"/>
        <w:right w:val="none" w:sz="0" w:space="0" w:color="auto"/>
      </w:divBdr>
    </w:div>
    <w:div w:id="338582404">
      <w:bodyDiv w:val="1"/>
      <w:marLeft w:val="0"/>
      <w:marRight w:val="0"/>
      <w:marTop w:val="0"/>
      <w:marBottom w:val="0"/>
      <w:divBdr>
        <w:top w:val="none" w:sz="0" w:space="0" w:color="auto"/>
        <w:left w:val="none" w:sz="0" w:space="0" w:color="auto"/>
        <w:bottom w:val="none" w:sz="0" w:space="0" w:color="auto"/>
        <w:right w:val="none" w:sz="0" w:space="0" w:color="auto"/>
      </w:divBdr>
    </w:div>
    <w:div w:id="385178906">
      <w:bodyDiv w:val="1"/>
      <w:marLeft w:val="0"/>
      <w:marRight w:val="0"/>
      <w:marTop w:val="0"/>
      <w:marBottom w:val="0"/>
      <w:divBdr>
        <w:top w:val="none" w:sz="0" w:space="0" w:color="auto"/>
        <w:left w:val="none" w:sz="0" w:space="0" w:color="auto"/>
        <w:bottom w:val="none" w:sz="0" w:space="0" w:color="auto"/>
        <w:right w:val="none" w:sz="0" w:space="0" w:color="auto"/>
      </w:divBdr>
    </w:div>
    <w:div w:id="385684542">
      <w:bodyDiv w:val="1"/>
      <w:marLeft w:val="0"/>
      <w:marRight w:val="0"/>
      <w:marTop w:val="0"/>
      <w:marBottom w:val="0"/>
      <w:divBdr>
        <w:top w:val="none" w:sz="0" w:space="0" w:color="auto"/>
        <w:left w:val="none" w:sz="0" w:space="0" w:color="auto"/>
        <w:bottom w:val="none" w:sz="0" w:space="0" w:color="auto"/>
        <w:right w:val="none" w:sz="0" w:space="0" w:color="auto"/>
      </w:divBdr>
    </w:div>
    <w:div w:id="392116938">
      <w:bodyDiv w:val="1"/>
      <w:marLeft w:val="0"/>
      <w:marRight w:val="0"/>
      <w:marTop w:val="0"/>
      <w:marBottom w:val="0"/>
      <w:divBdr>
        <w:top w:val="none" w:sz="0" w:space="0" w:color="auto"/>
        <w:left w:val="none" w:sz="0" w:space="0" w:color="auto"/>
        <w:bottom w:val="none" w:sz="0" w:space="0" w:color="auto"/>
        <w:right w:val="none" w:sz="0" w:space="0" w:color="auto"/>
      </w:divBdr>
    </w:div>
    <w:div w:id="402997189">
      <w:bodyDiv w:val="1"/>
      <w:marLeft w:val="0"/>
      <w:marRight w:val="0"/>
      <w:marTop w:val="0"/>
      <w:marBottom w:val="0"/>
      <w:divBdr>
        <w:top w:val="none" w:sz="0" w:space="0" w:color="auto"/>
        <w:left w:val="none" w:sz="0" w:space="0" w:color="auto"/>
        <w:bottom w:val="none" w:sz="0" w:space="0" w:color="auto"/>
        <w:right w:val="none" w:sz="0" w:space="0" w:color="auto"/>
      </w:divBdr>
    </w:div>
    <w:div w:id="571815343">
      <w:bodyDiv w:val="1"/>
      <w:marLeft w:val="0"/>
      <w:marRight w:val="0"/>
      <w:marTop w:val="0"/>
      <w:marBottom w:val="0"/>
      <w:divBdr>
        <w:top w:val="none" w:sz="0" w:space="0" w:color="auto"/>
        <w:left w:val="none" w:sz="0" w:space="0" w:color="auto"/>
        <w:bottom w:val="none" w:sz="0" w:space="0" w:color="auto"/>
        <w:right w:val="none" w:sz="0" w:space="0" w:color="auto"/>
      </w:divBdr>
    </w:div>
    <w:div w:id="656349333">
      <w:bodyDiv w:val="1"/>
      <w:marLeft w:val="0"/>
      <w:marRight w:val="0"/>
      <w:marTop w:val="0"/>
      <w:marBottom w:val="0"/>
      <w:divBdr>
        <w:top w:val="none" w:sz="0" w:space="0" w:color="auto"/>
        <w:left w:val="none" w:sz="0" w:space="0" w:color="auto"/>
        <w:bottom w:val="none" w:sz="0" w:space="0" w:color="auto"/>
        <w:right w:val="none" w:sz="0" w:space="0" w:color="auto"/>
      </w:divBdr>
    </w:div>
    <w:div w:id="711543681">
      <w:bodyDiv w:val="1"/>
      <w:marLeft w:val="0"/>
      <w:marRight w:val="0"/>
      <w:marTop w:val="0"/>
      <w:marBottom w:val="0"/>
      <w:divBdr>
        <w:top w:val="none" w:sz="0" w:space="0" w:color="auto"/>
        <w:left w:val="none" w:sz="0" w:space="0" w:color="auto"/>
        <w:bottom w:val="none" w:sz="0" w:space="0" w:color="auto"/>
        <w:right w:val="none" w:sz="0" w:space="0" w:color="auto"/>
      </w:divBdr>
    </w:div>
    <w:div w:id="730426595">
      <w:bodyDiv w:val="1"/>
      <w:marLeft w:val="0"/>
      <w:marRight w:val="0"/>
      <w:marTop w:val="0"/>
      <w:marBottom w:val="0"/>
      <w:divBdr>
        <w:top w:val="none" w:sz="0" w:space="0" w:color="auto"/>
        <w:left w:val="none" w:sz="0" w:space="0" w:color="auto"/>
        <w:bottom w:val="none" w:sz="0" w:space="0" w:color="auto"/>
        <w:right w:val="none" w:sz="0" w:space="0" w:color="auto"/>
      </w:divBdr>
    </w:div>
    <w:div w:id="730616321">
      <w:bodyDiv w:val="1"/>
      <w:marLeft w:val="0"/>
      <w:marRight w:val="0"/>
      <w:marTop w:val="0"/>
      <w:marBottom w:val="0"/>
      <w:divBdr>
        <w:top w:val="none" w:sz="0" w:space="0" w:color="auto"/>
        <w:left w:val="none" w:sz="0" w:space="0" w:color="auto"/>
        <w:bottom w:val="none" w:sz="0" w:space="0" w:color="auto"/>
        <w:right w:val="none" w:sz="0" w:space="0" w:color="auto"/>
      </w:divBdr>
    </w:div>
    <w:div w:id="862135051">
      <w:bodyDiv w:val="1"/>
      <w:marLeft w:val="0"/>
      <w:marRight w:val="0"/>
      <w:marTop w:val="0"/>
      <w:marBottom w:val="0"/>
      <w:divBdr>
        <w:top w:val="none" w:sz="0" w:space="0" w:color="auto"/>
        <w:left w:val="none" w:sz="0" w:space="0" w:color="auto"/>
        <w:bottom w:val="none" w:sz="0" w:space="0" w:color="auto"/>
        <w:right w:val="none" w:sz="0" w:space="0" w:color="auto"/>
      </w:divBdr>
    </w:div>
    <w:div w:id="879905050">
      <w:bodyDiv w:val="1"/>
      <w:marLeft w:val="0"/>
      <w:marRight w:val="0"/>
      <w:marTop w:val="0"/>
      <w:marBottom w:val="0"/>
      <w:divBdr>
        <w:top w:val="none" w:sz="0" w:space="0" w:color="auto"/>
        <w:left w:val="none" w:sz="0" w:space="0" w:color="auto"/>
        <w:bottom w:val="none" w:sz="0" w:space="0" w:color="auto"/>
        <w:right w:val="none" w:sz="0" w:space="0" w:color="auto"/>
      </w:divBdr>
    </w:div>
    <w:div w:id="887107358">
      <w:bodyDiv w:val="1"/>
      <w:marLeft w:val="0"/>
      <w:marRight w:val="0"/>
      <w:marTop w:val="0"/>
      <w:marBottom w:val="0"/>
      <w:divBdr>
        <w:top w:val="none" w:sz="0" w:space="0" w:color="auto"/>
        <w:left w:val="none" w:sz="0" w:space="0" w:color="auto"/>
        <w:bottom w:val="none" w:sz="0" w:space="0" w:color="auto"/>
        <w:right w:val="none" w:sz="0" w:space="0" w:color="auto"/>
      </w:divBdr>
    </w:div>
    <w:div w:id="908348594">
      <w:bodyDiv w:val="1"/>
      <w:marLeft w:val="0"/>
      <w:marRight w:val="0"/>
      <w:marTop w:val="0"/>
      <w:marBottom w:val="0"/>
      <w:divBdr>
        <w:top w:val="none" w:sz="0" w:space="0" w:color="auto"/>
        <w:left w:val="none" w:sz="0" w:space="0" w:color="auto"/>
        <w:bottom w:val="none" w:sz="0" w:space="0" w:color="auto"/>
        <w:right w:val="none" w:sz="0" w:space="0" w:color="auto"/>
      </w:divBdr>
    </w:div>
    <w:div w:id="913005575">
      <w:bodyDiv w:val="1"/>
      <w:marLeft w:val="0"/>
      <w:marRight w:val="0"/>
      <w:marTop w:val="0"/>
      <w:marBottom w:val="0"/>
      <w:divBdr>
        <w:top w:val="none" w:sz="0" w:space="0" w:color="auto"/>
        <w:left w:val="none" w:sz="0" w:space="0" w:color="auto"/>
        <w:bottom w:val="none" w:sz="0" w:space="0" w:color="auto"/>
        <w:right w:val="none" w:sz="0" w:space="0" w:color="auto"/>
      </w:divBdr>
    </w:div>
    <w:div w:id="943416886">
      <w:bodyDiv w:val="1"/>
      <w:marLeft w:val="0"/>
      <w:marRight w:val="0"/>
      <w:marTop w:val="0"/>
      <w:marBottom w:val="0"/>
      <w:divBdr>
        <w:top w:val="none" w:sz="0" w:space="0" w:color="auto"/>
        <w:left w:val="none" w:sz="0" w:space="0" w:color="auto"/>
        <w:bottom w:val="none" w:sz="0" w:space="0" w:color="auto"/>
        <w:right w:val="none" w:sz="0" w:space="0" w:color="auto"/>
      </w:divBdr>
    </w:div>
    <w:div w:id="947853763">
      <w:bodyDiv w:val="1"/>
      <w:marLeft w:val="0"/>
      <w:marRight w:val="0"/>
      <w:marTop w:val="0"/>
      <w:marBottom w:val="0"/>
      <w:divBdr>
        <w:top w:val="none" w:sz="0" w:space="0" w:color="auto"/>
        <w:left w:val="none" w:sz="0" w:space="0" w:color="auto"/>
        <w:bottom w:val="none" w:sz="0" w:space="0" w:color="auto"/>
        <w:right w:val="none" w:sz="0" w:space="0" w:color="auto"/>
      </w:divBdr>
    </w:div>
    <w:div w:id="972445694">
      <w:bodyDiv w:val="1"/>
      <w:marLeft w:val="0"/>
      <w:marRight w:val="0"/>
      <w:marTop w:val="0"/>
      <w:marBottom w:val="0"/>
      <w:divBdr>
        <w:top w:val="none" w:sz="0" w:space="0" w:color="auto"/>
        <w:left w:val="none" w:sz="0" w:space="0" w:color="auto"/>
        <w:bottom w:val="none" w:sz="0" w:space="0" w:color="auto"/>
        <w:right w:val="none" w:sz="0" w:space="0" w:color="auto"/>
      </w:divBdr>
    </w:div>
    <w:div w:id="1000693900">
      <w:bodyDiv w:val="1"/>
      <w:marLeft w:val="0"/>
      <w:marRight w:val="0"/>
      <w:marTop w:val="0"/>
      <w:marBottom w:val="0"/>
      <w:divBdr>
        <w:top w:val="none" w:sz="0" w:space="0" w:color="auto"/>
        <w:left w:val="none" w:sz="0" w:space="0" w:color="auto"/>
        <w:bottom w:val="none" w:sz="0" w:space="0" w:color="auto"/>
        <w:right w:val="none" w:sz="0" w:space="0" w:color="auto"/>
      </w:divBdr>
    </w:div>
    <w:div w:id="1061097132">
      <w:bodyDiv w:val="1"/>
      <w:marLeft w:val="0"/>
      <w:marRight w:val="0"/>
      <w:marTop w:val="0"/>
      <w:marBottom w:val="0"/>
      <w:divBdr>
        <w:top w:val="none" w:sz="0" w:space="0" w:color="auto"/>
        <w:left w:val="none" w:sz="0" w:space="0" w:color="auto"/>
        <w:bottom w:val="none" w:sz="0" w:space="0" w:color="auto"/>
        <w:right w:val="none" w:sz="0" w:space="0" w:color="auto"/>
      </w:divBdr>
    </w:div>
    <w:div w:id="1080447832">
      <w:bodyDiv w:val="1"/>
      <w:marLeft w:val="0"/>
      <w:marRight w:val="0"/>
      <w:marTop w:val="0"/>
      <w:marBottom w:val="0"/>
      <w:divBdr>
        <w:top w:val="none" w:sz="0" w:space="0" w:color="auto"/>
        <w:left w:val="none" w:sz="0" w:space="0" w:color="auto"/>
        <w:bottom w:val="none" w:sz="0" w:space="0" w:color="auto"/>
        <w:right w:val="none" w:sz="0" w:space="0" w:color="auto"/>
      </w:divBdr>
    </w:div>
    <w:div w:id="1086879069">
      <w:bodyDiv w:val="1"/>
      <w:marLeft w:val="0"/>
      <w:marRight w:val="0"/>
      <w:marTop w:val="0"/>
      <w:marBottom w:val="0"/>
      <w:divBdr>
        <w:top w:val="none" w:sz="0" w:space="0" w:color="auto"/>
        <w:left w:val="none" w:sz="0" w:space="0" w:color="auto"/>
        <w:bottom w:val="none" w:sz="0" w:space="0" w:color="auto"/>
        <w:right w:val="none" w:sz="0" w:space="0" w:color="auto"/>
      </w:divBdr>
    </w:div>
    <w:div w:id="1151019699">
      <w:bodyDiv w:val="1"/>
      <w:marLeft w:val="0"/>
      <w:marRight w:val="0"/>
      <w:marTop w:val="0"/>
      <w:marBottom w:val="0"/>
      <w:divBdr>
        <w:top w:val="none" w:sz="0" w:space="0" w:color="auto"/>
        <w:left w:val="none" w:sz="0" w:space="0" w:color="auto"/>
        <w:bottom w:val="none" w:sz="0" w:space="0" w:color="auto"/>
        <w:right w:val="none" w:sz="0" w:space="0" w:color="auto"/>
      </w:divBdr>
    </w:div>
    <w:div w:id="1165125291">
      <w:bodyDiv w:val="1"/>
      <w:marLeft w:val="0"/>
      <w:marRight w:val="0"/>
      <w:marTop w:val="0"/>
      <w:marBottom w:val="0"/>
      <w:divBdr>
        <w:top w:val="none" w:sz="0" w:space="0" w:color="auto"/>
        <w:left w:val="none" w:sz="0" w:space="0" w:color="auto"/>
        <w:bottom w:val="none" w:sz="0" w:space="0" w:color="auto"/>
        <w:right w:val="none" w:sz="0" w:space="0" w:color="auto"/>
      </w:divBdr>
    </w:div>
    <w:div w:id="1194075067">
      <w:bodyDiv w:val="1"/>
      <w:marLeft w:val="0"/>
      <w:marRight w:val="0"/>
      <w:marTop w:val="0"/>
      <w:marBottom w:val="0"/>
      <w:divBdr>
        <w:top w:val="none" w:sz="0" w:space="0" w:color="auto"/>
        <w:left w:val="none" w:sz="0" w:space="0" w:color="auto"/>
        <w:bottom w:val="none" w:sz="0" w:space="0" w:color="auto"/>
        <w:right w:val="none" w:sz="0" w:space="0" w:color="auto"/>
      </w:divBdr>
    </w:div>
    <w:div w:id="1309093076">
      <w:bodyDiv w:val="1"/>
      <w:marLeft w:val="0"/>
      <w:marRight w:val="0"/>
      <w:marTop w:val="0"/>
      <w:marBottom w:val="0"/>
      <w:divBdr>
        <w:top w:val="none" w:sz="0" w:space="0" w:color="auto"/>
        <w:left w:val="none" w:sz="0" w:space="0" w:color="auto"/>
        <w:bottom w:val="none" w:sz="0" w:space="0" w:color="auto"/>
        <w:right w:val="none" w:sz="0" w:space="0" w:color="auto"/>
      </w:divBdr>
    </w:div>
    <w:div w:id="1374846646">
      <w:bodyDiv w:val="1"/>
      <w:marLeft w:val="0"/>
      <w:marRight w:val="0"/>
      <w:marTop w:val="0"/>
      <w:marBottom w:val="0"/>
      <w:divBdr>
        <w:top w:val="none" w:sz="0" w:space="0" w:color="auto"/>
        <w:left w:val="none" w:sz="0" w:space="0" w:color="auto"/>
        <w:bottom w:val="none" w:sz="0" w:space="0" w:color="auto"/>
        <w:right w:val="none" w:sz="0" w:space="0" w:color="auto"/>
      </w:divBdr>
    </w:div>
    <w:div w:id="1449622790">
      <w:bodyDiv w:val="1"/>
      <w:marLeft w:val="0"/>
      <w:marRight w:val="0"/>
      <w:marTop w:val="0"/>
      <w:marBottom w:val="0"/>
      <w:divBdr>
        <w:top w:val="none" w:sz="0" w:space="0" w:color="auto"/>
        <w:left w:val="none" w:sz="0" w:space="0" w:color="auto"/>
        <w:bottom w:val="none" w:sz="0" w:space="0" w:color="auto"/>
        <w:right w:val="none" w:sz="0" w:space="0" w:color="auto"/>
      </w:divBdr>
    </w:div>
    <w:div w:id="1470510843">
      <w:bodyDiv w:val="1"/>
      <w:marLeft w:val="0"/>
      <w:marRight w:val="0"/>
      <w:marTop w:val="0"/>
      <w:marBottom w:val="0"/>
      <w:divBdr>
        <w:top w:val="none" w:sz="0" w:space="0" w:color="auto"/>
        <w:left w:val="none" w:sz="0" w:space="0" w:color="auto"/>
        <w:bottom w:val="none" w:sz="0" w:space="0" w:color="auto"/>
        <w:right w:val="none" w:sz="0" w:space="0" w:color="auto"/>
      </w:divBdr>
    </w:div>
    <w:div w:id="1495104182">
      <w:bodyDiv w:val="1"/>
      <w:marLeft w:val="0"/>
      <w:marRight w:val="0"/>
      <w:marTop w:val="0"/>
      <w:marBottom w:val="0"/>
      <w:divBdr>
        <w:top w:val="none" w:sz="0" w:space="0" w:color="auto"/>
        <w:left w:val="none" w:sz="0" w:space="0" w:color="auto"/>
        <w:bottom w:val="none" w:sz="0" w:space="0" w:color="auto"/>
        <w:right w:val="none" w:sz="0" w:space="0" w:color="auto"/>
      </w:divBdr>
    </w:div>
    <w:div w:id="1508910872">
      <w:bodyDiv w:val="1"/>
      <w:marLeft w:val="0"/>
      <w:marRight w:val="0"/>
      <w:marTop w:val="0"/>
      <w:marBottom w:val="0"/>
      <w:divBdr>
        <w:top w:val="none" w:sz="0" w:space="0" w:color="auto"/>
        <w:left w:val="none" w:sz="0" w:space="0" w:color="auto"/>
        <w:bottom w:val="none" w:sz="0" w:space="0" w:color="auto"/>
        <w:right w:val="none" w:sz="0" w:space="0" w:color="auto"/>
      </w:divBdr>
    </w:div>
    <w:div w:id="1576627860">
      <w:bodyDiv w:val="1"/>
      <w:marLeft w:val="0"/>
      <w:marRight w:val="0"/>
      <w:marTop w:val="0"/>
      <w:marBottom w:val="0"/>
      <w:divBdr>
        <w:top w:val="none" w:sz="0" w:space="0" w:color="auto"/>
        <w:left w:val="none" w:sz="0" w:space="0" w:color="auto"/>
        <w:bottom w:val="none" w:sz="0" w:space="0" w:color="auto"/>
        <w:right w:val="none" w:sz="0" w:space="0" w:color="auto"/>
      </w:divBdr>
    </w:div>
    <w:div w:id="1588883104">
      <w:bodyDiv w:val="1"/>
      <w:marLeft w:val="0"/>
      <w:marRight w:val="0"/>
      <w:marTop w:val="0"/>
      <w:marBottom w:val="0"/>
      <w:divBdr>
        <w:top w:val="none" w:sz="0" w:space="0" w:color="auto"/>
        <w:left w:val="none" w:sz="0" w:space="0" w:color="auto"/>
        <w:bottom w:val="none" w:sz="0" w:space="0" w:color="auto"/>
        <w:right w:val="none" w:sz="0" w:space="0" w:color="auto"/>
      </w:divBdr>
    </w:div>
    <w:div w:id="1597252008">
      <w:bodyDiv w:val="1"/>
      <w:marLeft w:val="0"/>
      <w:marRight w:val="0"/>
      <w:marTop w:val="0"/>
      <w:marBottom w:val="0"/>
      <w:divBdr>
        <w:top w:val="none" w:sz="0" w:space="0" w:color="auto"/>
        <w:left w:val="none" w:sz="0" w:space="0" w:color="auto"/>
        <w:bottom w:val="none" w:sz="0" w:space="0" w:color="auto"/>
        <w:right w:val="none" w:sz="0" w:space="0" w:color="auto"/>
      </w:divBdr>
    </w:div>
    <w:div w:id="1604268064">
      <w:bodyDiv w:val="1"/>
      <w:marLeft w:val="0"/>
      <w:marRight w:val="0"/>
      <w:marTop w:val="0"/>
      <w:marBottom w:val="0"/>
      <w:divBdr>
        <w:top w:val="none" w:sz="0" w:space="0" w:color="auto"/>
        <w:left w:val="none" w:sz="0" w:space="0" w:color="auto"/>
        <w:bottom w:val="none" w:sz="0" w:space="0" w:color="auto"/>
        <w:right w:val="none" w:sz="0" w:space="0" w:color="auto"/>
      </w:divBdr>
      <w:divsChild>
        <w:div w:id="1453592794">
          <w:marLeft w:val="0"/>
          <w:marRight w:val="0"/>
          <w:marTop w:val="0"/>
          <w:marBottom w:val="0"/>
          <w:divBdr>
            <w:top w:val="none" w:sz="0" w:space="0" w:color="auto"/>
            <w:left w:val="none" w:sz="0" w:space="0" w:color="auto"/>
            <w:bottom w:val="none" w:sz="0" w:space="0" w:color="auto"/>
            <w:right w:val="none" w:sz="0" w:space="0" w:color="auto"/>
          </w:divBdr>
        </w:div>
        <w:div w:id="71004364">
          <w:marLeft w:val="0"/>
          <w:marRight w:val="0"/>
          <w:marTop w:val="0"/>
          <w:marBottom w:val="0"/>
          <w:divBdr>
            <w:top w:val="none" w:sz="0" w:space="0" w:color="auto"/>
            <w:left w:val="none" w:sz="0" w:space="0" w:color="auto"/>
            <w:bottom w:val="none" w:sz="0" w:space="0" w:color="auto"/>
            <w:right w:val="none" w:sz="0" w:space="0" w:color="auto"/>
          </w:divBdr>
        </w:div>
      </w:divsChild>
    </w:div>
    <w:div w:id="1624070904">
      <w:bodyDiv w:val="1"/>
      <w:marLeft w:val="0"/>
      <w:marRight w:val="0"/>
      <w:marTop w:val="0"/>
      <w:marBottom w:val="0"/>
      <w:divBdr>
        <w:top w:val="none" w:sz="0" w:space="0" w:color="auto"/>
        <w:left w:val="none" w:sz="0" w:space="0" w:color="auto"/>
        <w:bottom w:val="none" w:sz="0" w:space="0" w:color="auto"/>
        <w:right w:val="none" w:sz="0" w:space="0" w:color="auto"/>
      </w:divBdr>
    </w:div>
    <w:div w:id="1631322223">
      <w:bodyDiv w:val="1"/>
      <w:marLeft w:val="0"/>
      <w:marRight w:val="0"/>
      <w:marTop w:val="0"/>
      <w:marBottom w:val="0"/>
      <w:divBdr>
        <w:top w:val="none" w:sz="0" w:space="0" w:color="auto"/>
        <w:left w:val="none" w:sz="0" w:space="0" w:color="auto"/>
        <w:bottom w:val="none" w:sz="0" w:space="0" w:color="auto"/>
        <w:right w:val="none" w:sz="0" w:space="0" w:color="auto"/>
      </w:divBdr>
    </w:div>
    <w:div w:id="1678658007">
      <w:bodyDiv w:val="1"/>
      <w:marLeft w:val="0"/>
      <w:marRight w:val="0"/>
      <w:marTop w:val="0"/>
      <w:marBottom w:val="0"/>
      <w:divBdr>
        <w:top w:val="none" w:sz="0" w:space="0" w:color="auto"/>
        <w:left w:val="none" w:sz="0" w:space="0" w:color="auto"/>
        <w:bottom w:val="none" w:sz="0" w:space="0" w:color="auto"/>
        <w:right w:val="none" w:sz="0" w:space="0" w:color="auto"/>
      </w:divBdr>
    </w:div>
    <w:div w:id="1728532304">
      <w:bodyDiv w:val="1"/>
      <w:marLeft w:val="0"/>
      <w:marRight w:val="0"/>
      <w:marTop w:val="0"/>
      <w:marBottom w:val="0"/>
      <w:divBdr>
        <w:top w:val="none" w:sz="0" w:space="0" w:color="auto"/>
        <w:left w:val="none" w:sz="0" w:space="0" w:color="auto"/>
        <w:bottom w:val="none" w:sz="0" w:space="0" w:color="auto"/>
        <w:right w:val="none" w:sz="0" w:space="0" w:color="auto"/>
      </w:divBdr>
    </w:div>
    <w:div w:id="1742101644">
      <w:bodyDiv w:val="1"/>
      <w:marLeft w:val="0"/>
      <w:marRight w:val="0"/>
      <w:marTop w:val="0"/>
      <w:marBottom w:val="0"/>
      <w:divBdr>
        <w:top w:val="none" w:sz="0" w:space="0" w:color="auto"/>
        <w:left w:val="none" w:sz="0" w:space="0" w:color="auto"/>
        <w:bottom w:val="none" w:sz="0" w:space="0" w:color="auto"/>
        <w:right w:val="none" w:sz="0" w:space="0" w:color="auto"/>
      </w:divBdr>
    </w:div>
    <w:div w:id="1766926528">
      <w:bodyDiv w:val="1"/>
      <w:marLeft w:val="0"/>
      <w:marRight w:val="0"/>
      <w:marTop w:val="0"/>
      <w:marBottom w:val="0"/>
      <w:divBdr>
        <w:top w:val="none" w:sz="0" w:space="0" w:color="auto"/>
        <w:left w:val="none" w:sz="0" w:space="0" w:color="auto"/>
        <w:bottom w:val="none" w:sz="0" w:space="0" w:color="auto"/>
        <w:right w:val="none" w:sz="0" w:space="0" w:color="auto"/>
      </w:divBdr>
    </w:div>
    <w:div w:id="1867669003">
      <w:bodyDiv w:val="1"/>
      <w:marLeft w:val="0"/>
      <w:marRight w:val="0"/>
      <w:marTop w:val="0"/>
      <w:marBottom w:val="0"/>
      <w:divBdr>
        <w:top w:val="none" w:sz="0" w:space="0" w:color="auto"/>
        <w:left w:val="none" w:sz="0" w:space="0" w:color="auto"/>
        <w:bottom w:val="none" w:sz="0" w:space="0" w:color="auto"/>
        <w:right w:val="none" w:sz="0" w:space="0" w:color="auto"/>
      </w:divBdr>
    </w:div>
    <w:div w:id="2076657825">
      <w:bodyDiv w:val="1"/>
      <w:marLeft w:val="0"/>
      <w:marRight w:val="0"/>
      <w:marTop w:val="0"/>
      <w:marBottom w:val="0"/>
      <w:divBdr>
        <w:top w:val="none" w:sz="0" w:space="0" w:color="auto"/>
        <w:left w:val="none" w:sz="0" w:space="0" w:color="auto"/>
        <w:bottom w:val="none" w:sz="0" w:space="0" w:color="auto"/>
        <w:right w:val="none" w:sz="0" w:space="0" w:color="auto"/>
      </w:divBdr>
    </w:div>
    <w:div w:id="21244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mf.org/en/News/Articles/2020/03/23/pr2098-imf-managing-director" TargetMode="External"/><Relationship Id="rId18" Type="http://schemas.openxmlformats.org/officeDocument/2006/relationships/hyperlink" Target="https://www.spglobal.com/marketintelligence/en/news-insights/research/covid-19-impacts-to-metals-prices-volatility-is-here-to-stay-part-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sciencedirect.com/science/journal/02615606" TargetMode="External"/><Relationship Id="rId2" Type="http://schemas.openxmlformats.org/officeDocument/2006/relationships/numbering" Target="numbering.xml"/><Relationship Id="rId16" Type="http://schemas.openxmlformats.org/officeDocument/2006/relationships/hyperlink" Target="https://papers.ssrn.com/sol3/papers.cfm?abstract_id=3550274" TargetMode="External"/><Relationship Id="rId20" Type="http://schemas.openxmlformats.org/officeDocument/2006/relationships/hyperlink" Target="https://dx.doi.org/10.2139/ssrn.36029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mpra.ub.uni-muenchen.de/99850/" TargetMode="External"/><Relationship Id="rId10" Type="http://schemas.openxmlformats.org/officeDocument/2006/relationships/chart" Target="charts/chart2.xml"/><Relationship Id="rId19" Type="http://schemas.openxmlformats.org/officeDocument/2006/relationships/hyperlink" Target="https://ssrn.com/abstract=360297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dx.doi.org/10.2139/ssrn.3565646"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OneDriveNew\OneDrive%20for%20Business\PAPERS\CoronaVirus\COVID19-QAR\general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OneDriveNew\OneDrive%20for%20Business\PAPERS\CoronaVirus\COVID19-QAR\generalStatist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OneDriveNew\OneDrive%20for%20Business\PAPERS\CoronaVirus\COVID19-QAR\generalStatistic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OneDriveNew\OneDrive%20for%20Business\PAPERS\CoronaVirus\COVID19-QAR\generalStatistic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Sheet2!$B$8</c:f>
              <c:strCache>
                <c:ptCount val="1"/>
                <c:pt idx="0">
                  <c:v>Losses (pandemic bottom date), % of the max in 2020</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Sheet2!$A$9:$A$17</c:f>
              <c:strCache>
                <c:ptCount val="9"/>
                <c:pt idx="0">
                  <c:v>Rhodium </c:v>
                </c:pt>
                <c:pt idx="1">
                  <c:v>Palladium </c:v>
                </c:pt>
                <c:pt idx="2">
                  <c:v>Platinum</c:v>
                </c:pt>
                <c:pt idx="3">
                  <c:v>Silver</c:v>
                </c:pt>
                <c:pt idx="4">
                  <c:v>S&amp;P GSCI Precious Metal</c:v>
                </c:pt>
                <c:pt idx="5">
                  <c:v>Gold</c:v>
                </c:pt>
                <c:pt idx="6">
                  <c:v>Osmium </c:v>
                </c:pt>
                <c:pt idx="7">
                  <c:v>Iridium</c:v>
                </c:pt>
                <c:pt idx="8">
                  <c:v>Ruthenium </c:v>
                </c:pt>
              </c:strCache>
            </c:strRef>
          </c:cat>
          <c:val>
            <c:numRef>
              <c:f>Sheet2!$B$9:$B$17</c:f>
              <c:numCache>
                <c:formatCode>General</c:formatCode>
                <c:ptCount val="9"/>
                <c:pt idx="0">
                  <c:v>-54.62462256904039</c:v>
                </c:pt>
                <c:pt idx="1">
                  <c:v>-44.01294498381877</c:v>
                </c:pt>
                <c:pt idx="2">
                  <c:v>-42.809788437164862</c:v>
                </c:pt>
                <c:pt idx="3">
                  <c:v>-35.478723404255319</c:v>
                </c:pt>
                <c:pt idx="4">
                  <c:v>-14.157167953589095</c:v>
                </c:pt>
                <c:pt idx="5">
                  <c:v>-12.437264277017206</c:v>
                </c:pt>
                <c:pt idx="6">
                  <c:v>-5.1439120584039699</c:v>
                </c:pt>
              </c:numCache>
            </c:numRef>
          </c:val>
          <c:extLst>
            <c:ext xmlns:c16="http://schemas.microsoft.com/office/drawing/2014/chart" uri="{C3380CC4-5D6E-409C-BE32-E72D297353CC}">
              <c16:uniqueId val="{00000000-AE70-446A-A432-81497F91C5DB}"/>
            </c:ext>
          </c:extLst>
        </c:ser>
        <c:ser>
          <c:idx val="1"/>
          <c:order val="1"/>
          <c:tx>
            <c:strRef>
              <c:f>Sheet2!$C$8</c:f>
              <c:strCache>
                <c:ptCount val="1"/>
                <c:pt idx="0">
                  <c:v>Gain in value (10/04/2020), % of a bottom value</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Sheet2!$A$9:$A$17</c:f>
              <c:strCache>
                <c:ptCount val="9"/>
                <c:pt idx="0">
                  <c:v>Rhodium </c:v>
                </c:pt>
                <c:pt idx="1">
                  <c:v>Palladium </c:v>
                </c:pt>
                <c:pt idx="2">
                  <c:v>Platinum</c:v>
                </c:pt>
                <c:pt idx="3">
                  <c:v>Silver</c:v>
                </c:pt>
                <c:pt idx="4">
                  <c:v>S&amp;P GSCI Precious Metal</c:v>
                </c:pt>
                <c:pt idx="5">
                  <c:v>Gold</c:v>
                </c:pt>
                <c:pt idx="6">
                  <c:v>Osmium </c:v>
                </c:pt>
                <c:pt idx="7">
                  <c:v>Iridium</c:v>
                </c:pt>
                <c:pt idx="8">
                  <c:v>Ruthenium </c:v>
                </c:pt>
              </c:strCache>
            </c:strRef>
          </c:cat>
          <c:val>
            <c:numRef>
              <c:f>Sheet2!$C$9:$C$17</c:f>
              <c:numCache>
                <c:formatCode>General</c:formatCode>
                <c:ptCount val="9"/>
                <c:pt idx="0">
                  <c:v>175.04134540172083</c:v>
                </c:pt>
                <c:pt idx="1">
                  <c:v>139.11368015414257</c:v>
                </c:pt>
                <c:pt idx="2">
                  <c:v>127.37811114899421</c:v>
                </c:pt>
                <c:pt idx="3">
                  <c:v>126.95795548227534</c:v>
                </c:pt>
                <c:pt idx="4">
                  <c:v>119.59558342356064</c:v>
                </c:pt>
                <c:pt idx="5">
                  <c:v>114.00033915550279</c:v>
                </c:pt>
                <c:pt idx="6">
                  <c:v>104.09589525831564</c:v>
                </c:pt>
              </c:numCache>
            </c:numRef>
          </c:val>
          <c:extLst>
            <c:ext xmlns:c16="http://schemas.microsoft.com/office/drawing/2014/chart" uri="{C3380CC4-5D6E-409C-BE32-E72D297353CC}">
              <c16:uniqueId val="{00000001-AE70-446A-A432-81497F91C5DB}"/>
            </c:ext>
          </c:extLst>
        </c:ser>
        <c:dLbls>
          <c:showLegendKey val="0"/>
          <c:showVal val="0"/>
          <c:showCatName val="0"/>
          <c:showSerName val="0"/>
          <c:showPercent val="0"/>
          <c:showBubbleSize val="0"/>
        </c:dLbls>
        <c:gapWidth val="100"/>
        <c:overlap val="-24"/>
        <c:axId val="582953728"/>
        <c:axId val="582957008"/>
      </c:barChart>
      <c:catAx>
        <c:axId val="58295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582957008"/>
        <c:crosses val="autoZero"/>
        <c:auto val="1"/>
        <c:lblAlgn val="ctr"/>
        <c:lblOffset val="100"/>
        <c:noMultiLvlLbl val="0"/>
      </c:catAx>
      <c:valAx>
        <c:axId val="5829570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8295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Sheet2!$B$34</c:f>
              <c:strCache>
                <c:ptCount val="1"/>
                <c:pt idx="0">
                  <c:v>Losses (pandemic bottom date), % of the max in 2020</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Sheet2!$A$35:$A$48</c:f>
              <c:strCache>
                <c:ptCount val="14"/>
                <c:pt idx="0">
                  <c:v>FTSE 250</c:v>
                </c:pt>
                <c:pt idx="1">
                  <c:v>IBEX 35</c:v>
                </c:pt>
                <c:pt idx="2">
                  <c:v>DAX 30 </c:v>
                </c:pt>
                <c:pt idx="3">
                  <c:v>CAC 40</c:v>
                </c:pt>
                <c:pt idx="4">
                  <c:v>EURO STOXX</c:v>
                </c:pt>
                <c:pt idx="5">
                  <c:v>DOW JONES 65</c:v>
                </c:pt>
                <c:pt idx="6">
                  <c:v>DOW JONES INDUSTRIALS</c:v>
                </c:pt>
                <c:pt idx="7">
                  <c:v>FTSE 100</c:v>
                </c:pt>
                <c:pt idx="8">
                  <c:v>ISRAEL TA 125</c:v>
                </c:pt>
                <c:pt idx="9">
                  <c:v>S&amp;P 50</c:v>
                </c:pt>
                <c:pt idx="10">
                  <c:v>PSI-20</c:v>
                </c:pt>
                <c:pt idx="11">
                  <c:v>NIKKEI 225</c:v>
                </c:pt>
                <c:pt idx="12">
                  <c:v>NASDAQ COMPOSITE</c:v>
                </c:pt>
                <c:pt idx="13">
                  <c:v>NASDAQ 100 </c:v>
                </c:pt>
              </c:strCache>
            </c:strRef>
          </c:cat>
          <c:val>
            <c:numRef>
              <c:f>Sheet2!$B$35:$B$48</c:f>
              <c:numCache>
                <c:formatCode>General</c:formatCode>
                <c:ptCount val="14"/>
                <c:pt idx="0">
                  <c:v>-41.325802615933405</c:v>
                </c:pt>
                <c:pt idx="1">
                  <c:v>-39.434329009480741</c:v>
                </c:pt>
                <c:pt idx="2">
                  <c:v>-38.779389368337092</c:v>
                </c:pt>
                <c:pt idx="3">
                  <c:v>-38.558459494308842</c:v>
                </c:pt>
                <c:pt idx="4">
                  <c:v>-37.928628389154703</c:v>
                </c:pt>
                <c:pt idx="5">
                  <c:v>-37.175038954645764</c:v>
                </c:pt>
                <c:pt idx="6">
                  <c:v>-37.086170478440629</c:v>
                </c:pt>
                <c:pt idx="7">
                  <c:v>-34.92929887837218</c:v>
                </c:pt>
                <c:pt idx="8">
                  <c:v>-34.330689024535062</c:v>
                </c:pt>
                <c:pt idx="9">
                  <c:v>-33.924959024260588</c:v>
                </c:pt>
                <c:pt idx="10">
                  <c:v>-33.845120818271297</c:v>
                </c:pt>
                <c:pt idx="11">
                  <c:v>-31.269030137218351</c:v>
                </c:pt>
                <c:pt idx="12">
                  <c:v>-30.115674766073354</c:v>
                </c:pt>
                <c:pt idx="13">
                  <c:v>-28.032880839368929</c:v>
                </c:pt>
              </c:numCache>
            </c:numRef>
          </c:val>
          <c:extLst>
            <c:ext xmlns:c16="http://schemas.microsoft.com/office/drawing/2014/chart" uri="{C3380CC4-5D6E-409C-BE32-E72D297353CC}">
              <c16:uniqueId val="{00000000-B749-43A0-92E1-8AA8D788EB30}"/>
            </c:ext>
          </c:extLst>
        </c:ser>
        <c:ser>
          <c:idx val="1"/>
          <c:order val="1"/>
          <c:tx>
            <c:strRef>
              <c:f>Sheet2!$C$34</c:f>
              <c:strCache>
                <c:ptCount val="1"/>
                <c:pt idx="0">
                  <c:v>Gain in value (10/04/2020), % of a bottom value</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Sheet2!$A$35:$A$48</c:f>
              <c:strCache>
                <c:ptCount val="14"/>
                <c:pt idx="0">
                  <c:v>FTSE 250</c:v>
                </c:pt>
                <c:pt idx="1">
                  <c:v>IBEX 35</c:v>
                </c:pt>
                <c:pt idx="2">
                  <c:v>DAX 30 </c:v>
                </c:pt>
                <c:pt idx="3">
                  <c:v>CAC 40</c:v>
                </c:pt>
                <c:pt idx="4">
                  <c:v>EURO STOXX</c:v>
                </c:pt>
                <c:pt idx="5">
                  <c:v>DOW JONES 65</c:v>
                </c:pt>
                <c:pt idx="6">
                  <c:v>DOW JONES INDUSTRIALS</c:v>
                </c:pt>
                <c:pt idx="7">
                  <c:v>FTSE 100</c:v>
                </c:pt>
                <c:pt idx="8">
                  <c:v>ISRAEL TA 125</c:v>
                </c:pt>
                <c:pt idx="9">
                  <c:v>S&amp;P 50</c:v>
                </c:pt>
                <c:pt idx="10">
                  <c:v>PSI-20</c:v>
                </c:pt>
                <c:pt idx="11">
                  <c:v>NIKKEI 225</c:v>
                </c:pt>
                <c:pt idx="12">
                  <c:v>NASDAQ COMPOSITE</c:v>
                </c:pt>
                <c:pt idx="13">
                  <c:v>NASDAQ 100 </c:v>
                </c:pt>
              </c:strCache>
            </c:strRef>
          </c:cat>
          <c:val>
            <c:numRef>
              <c:f>Sheet2!$C$35:$C$48</c:f>
              <c:numCache>
                <c:formatCode>General</c:formatCode>
                <c:ptCount val="14"/>
                <c:pt idx="0">
                  <c:v>127.89012993289006</c:v>
                </c:pt>
                <c:pt idx="1">
                  <c:v>115.77482315954938</c:v>
                </c:pt>
                <c:pt idx="2">
                  <c:v>125.14928847354389</c:v>
                </c:pt>
                <c:pt idx="3">
                  <c:v>120.02775084957017</c:v>
                </c:pt>
                <c:pt idx="4">
                  <c:v>120.82291403794537</c:v>
                </c:pt>
                <c:pt idx="5">
                  <c:v>127.93989157928038</c:v>
                </c:pt>
                <c:pt idx="6">
                  <c:v>127.57884738163278</c:v>
                </c:pt>
                <c:pt idx="7">
                  <c:v>116.9961693189077</c:v>
                </c:pt>
                <c:pt idx="8">
                  <c:v>118.67805958678059</c:v>
                </c:pt>
                <c:pt idx="9">
                  <c:v>124.69026548672565</c:v>
                </c:pt>
                <c:pt idx="10">
                  <c:v>116.69123045093548</c:v>
                </c:pt>
                <c:pt idx="11">
                  <c:v>116.87288518035888</c:v>
                </c:pt>
                <c:pt idx="12">
                  <c:v>118.84524397762902</c:v>
                </c:pt>
                <c:pt idx="13">
                  <c:v>117.78936818461918</c:v>
                </c:pt>
              </c:numCache>
            </c:numRef>
          </c:val>
          <c:extLst>
            <c:ext xmlns:c16="http://schemas.microsoft.com/office/drawing/2014/chart" uri="{C3380CC4-5D6E-409C-BE32-E72D297353CC}">
              <c16:uniqueId val="{00000001-B749-43A0-92E1-8AA8D788EB30}"/>
            </c:ext>
          </c:extLst>
        </c:ser>
        <c:dLbls>
          <c:showLegendKey val="0"/>
          <c:showVal val="0"/>
          <c:showCatName val="0"/>
          <c:showSerName val="0"/>
          <c:showPercent val="0"/>
          <c:showBubbleSize val="0"/>
        </c:dLbls>
        <c:gapWidth val="100"/>
        <c:overlap val="-24"/>
        <c:axId val="1149233760"/>
        <c:axId val="1149219328"/>
      </c:barChart>
      <c:catAx>
        <c:axId val="114923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149219328"/>
        <c:crosses val="autoZero"/>
        <c:auto val="1"/>
        <c:lblAlgn val="ctr"/>
        <c:lblOffset val="100"/>
        <c:noMultiLvlLbl val="0"/>
      </c:catAx>
      <c:valAx>
        <c:axId val="11492193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4923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Sheet2!$B$34</c:f>
              <c:strCache>
                <c:ptCount val="1"/>
                <c:pt idx="0">
                  <c:v>Losses (pandemic bottom date), % of the max in 2020</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Sheet2!$A$55:$A$58</c:f>
              <c:strCache>
                <c:ptCount val="4"/>
                <c:pt idx="0">
                  <c:v>BD BENCHMARK 10 YEAR GOVT. INDEX</c:v>
                </c:pt>
                <c:pt idx="1">
                  <c:v>FR BENCHMARK 10 YEAR DS GOVT. INDEX</c:v>
                </c:pt>
                <c:pt idx="2">
                  <c:v>US BENCHMARK 10 YEAR DS GOVT. INDEX</c:v>
                </c:pt>
                <c:pt idx="3">
                  <c:v>UK BENCHMARK 10 YEAR DS GOVT. INDEX</c:v>
                </c:pt>
              </c:strCache>
            </c:strRef>
          </c:cat>
          <c:val>
            <c:numRef>
              <c:f>Sheet2!$B$55:$B$58</c:f>
              <c:numCache>
                <c:formatCode>General</c:formatCode>
                <c:ptCount val="4"/>
                <c:pt idx="0">
                  <c:v>-6.4842456882541484</c:v>
                </c:pt>
                <c:pt idx="1">
                  <c:v>-6.1029430631462702</c:v>
                </c:pt>
                <c:pt idx="2">
                  <c:v>-5.9678588416498712</c:v>
                </c:pt>
                <c:pt idx="3">
                  <c:v>-5.5543334306045011</c:v>
                </c:pt>
              </c:numCache>
            </c:numRef>
          </c:val>
          <c:extLst>
            <c:ext xmlns:c16="http://schemas.microsoft.com/office/drawing/2014/chart" uri="{C3380CC4-5D6E-409C-BE32-E72D297353CC}">
              <c16:uniqueId val="{00000000-44AF-44EC-ACD2-FC342E3D480E}"/>
            </c:ext>
          </c:extLst>
        </c:ser>
        <c:ser>
          <c:idx val="1"/>
          <c:order val="1"/>
          <c:tx>
            <c:strRef>
              <c:f>Sheet2!$C$34</c:f>
              <c:strCache>
                <c:ptCount val="1"/>
                <c:pt idx="0">
                  <c:v>Gain in value (10/04/2020), % of a bottom value</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Sheet2!$A$55:$A$58</c:f>
              <c:strCache>
                <c:ptCount val="4"/>
                <c:pt idx="0">
                  <c:v>BD BENCHMARK 10 YEAR GOVT. INDEX</c:v>
                </c:pt>
                <c:pt idx="1">
                  <c:v>FR BENCHMARK 10 YEAR DS GOVT. INDEX</c:v>
                </c:pt>
                <c:pt idx="2">
                  <c:v>US BENCHMARK 10 YEAR DS GOVT. INDEX</c:v>
                </c:pt>
                <c:pt idx="3">
                  <c:v>UK BENCHMARK 10 YEAR DS GOVT. INDEX</c:v>
                </c:pt>
              </c:strCache>
            </c:strRef>
          </c:cat>
          <c:val>
            <c:numRef>
              <c:f>Sheet2!$C$55:$C$58</c:f>
              <c:numCache>
                <c:formatCode>General</c:formatCode>
                <c:ptCount val="4"/>
                <c:pt idx="0">
                  <c:v>101.77156301802046</c:v>
                </c:pt>
                <c:pt idx="1">
                  <c:v>101.87414320002551</c:v>
                </c:pt>
                <c:pt idx="2">
                  <c:v>105.96301270045831</c:v>
                </c:pt>
                <c:pt idx="3">
                  <c:v>104.77342624766487</c:v>
                </c:pt>
              </c:numCache>
            </c:numRef>
          </c:val>
          <c:extLst>
            <c:ext xmlns:c16="http://schemas.microsoft.com/office/drawing/2014/chart" uri="{C3380CC4-5D6E-409C-BE32-E72D297353CC}">
              <c16:uniqueId val="{00000001-44AF-44EC-ACD2-FC342E3D480E}"/>
            </c:ext>
          </c:extLst>
        </c:ser>
        <c:dLbls>
          <c:showLegendKey val="0"/>
          <c:showVal val="0"/>
          <c:showCatName val="0"/>
          <c:showSerName val="0"/>
          <c:showPercent val="0"/>
          <c:showBubbleSize val="0"/>
        </c:dLbls>
        <c:gapWidth val="100"/>
        <c:overlap val="-24"/>
        <c:axId val="1149233760"/>
        <c:axId val="1149219328"/>
      </c:barChart>
      <c:catAx>
        <c:axId val="114923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149219328"/>
        <c:crosses val="autoZero"/>
        <c:auto val="1"/>
        <c:lblAlgn val="ctr"/>
        <c:lblOffset val="100"/>
        <c:noMultiLvlLbl val="0"/>
      </c:catAx>
      <c:valAx>
        <c:axId val="11492193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4923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Sheet2!$B$21</c:f>
              <c:strCache>
                <c:ptCount val="1"/>
                <c:pt idx="0">
                  <c:v>Losses (pandemic bottom date), % of the max in 2020</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Sheet2!$A$22:$A$24</c:f>
              <c:strCache>
                <c:ptCount val="3"/>
                <c:pt idx="0">
                  <c:v>LTC</c:v>
                </c:pt>
                <c:pt idx="1">
                  <c:v>ETH</c:v>
                </c:pt>
                <c:pt idx="2">
                  <c:v>Bitcoin</c:v>
                </c:pt>
              </c:strCache>
            </c:strRef>
          </c:cat>
          <c:val>
            <c:numRef>
              <c:f>Sheet2!$B$22:$B$24</c:f>
              <c:numCache>
                <c:formatCode>General</c:formatCode>
                <c:ptCount val="3"/>
                <c:pt idx="0">
                  <c:v>-63.88</c:v>
                </c:pt>
                <c:pt idx="1">
                  <c:v>-61.47</c:v>
                </c:pt>
                <c:pt idx="2">
                  <c:v>-53.17</c:v>
                </c:pt>
              </c:numCache>
            </c:numRef>
          </c:val>
          <c:extLst>
            <c:ext xmlns:c16="http://schemas.microsoft.com/office/drawing/2014/chart" uri="{C3380CC4-5D6E-409C-BE32-E72D297353CC}">
              <c16:uniqueId val="{00000000-4438-4F5E-B18D-8679BBA49A3C}"/>
            </c:ext>
          </c:extLst>
        </c:ser>
        <c:ser>
          <c:idx val="1"/>
          <c:order val="1"/>
          <c:tx>
            <c:strRef>
              <c:f>Sheet2!$C$21</c:f>
              <c:strCache>
                <c:ptCount val="1"/>
                <c:pt idx="0">
                  <c:v>Gain in value (10/04/2020), % of a bottom value</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Sheet2!$A$22:$A$24</c:f>
              <c:strCache>
                <c:ptCount val="3"/>
                <c:pt idx="0">
                  <c:v>LTC</c:v>
                </c:pt>
                <c:pt idx="1">
                  <c:v>ETH</c:v>
                </c:pt>
                <c:pt idx="2">
                  <c:v>Bitcoin</c:v>
                </c:pt>
              </c:strCache>
            </c:strRef>
          </c:cat>
          <c:val>
            <c:numRef>
              <c:f>Sheet2!$C$22:$C$24</c:f>
              <c:numCache>
                <c:formatCode>General</c:formatCode>
                <c:ptCount val="3"/>
                <c:pt idx="0">
                  <c:v>154.80000000000001</c:v>
                </c:pt>
                <c:pt idx="1">
                  <c:v>157.16999999999999</c:v>
                </c:pt>
                <c:pt idx="2">
                  <c:v>151.74</c:v>
                </c:pt>
              </c:numCache>
            </c:numRef>
          </c:val>
          <c:extLst>
            <c:ext xmlns:c16="http://schemas.microsoft.com/office/drawing/2014/chart" uri="{C3380CC4-5D6E-409C-BE32-E72D297353CC}">
              <c16:uniqueId val="{00000001-4438-4F5E-B18D-8679BBA49A3C}"/>
            </c:ext>
          </c:extLst>
        </c:ser>
        <c:dLbls>
          <c:showLegendKey val="0"/>
          <c:showVal val="0"/>
          <c:showCatName val="0"/>
          <c:showSerName val="0"/>
          <c:showPercent val="0"/>
          <c:showBubbleSize val="0"/>
        </c:dLbls>
        <c:gapWidth val="100"/>
        <c:overlap val="-24"/>
        <c:axId val="1159216400"/>
        <c:axId val="1159220008"/>
      </c:barChart>
      <c:catAx>
        <c:axId val="115921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159220008"/>
        <c:crosses val="autoZero"/>
        <c:auto val="1"/>
        <c:lblAlgn val="ctr"/>
        <c:lblOffset val="100"/>
        <c:noMultiLvlLbl val="0"/>
      </c:catAx>
      <c:valAx>
        <c:axId val="11592200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5921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641710-0D83-4B54-B09A-57285915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52</Pages>
  <Words>15045</Words>
  <Characters>85762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MATKOVSKYY</dc:creator>
  <cp:keywords/>
  <dc:description/>
  <cp:lastModifiedBy>Larisa Yarovaya</cp:lastModifiedBy>
  <cp:revision>248</cp:revision>
  <dcterms:created xsi:type="dcterms:W3CDTF">2021-06-21T08:53:00Z</dcterms:created>
  <dcterms:modified xsi:type="dcterms:W3CDTF">2021-08-31T12:19:00Z</dcterms:modified>
</cp:coreProperties>
</file>