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22407" w14:textId="1A96203F" w:rsidR="0079420E" w:rsidRPr="00336C4D" w:rsidRDefault="00A7686C" w:rsidP="000476F9">
      <w:pPr>
        <w:spacing w:line="276" w:lineRule="auto"/>
        <w:jc w:val="center"/>
        <w:rPr>
          <w:b/>
          <w:bCs/>
          <w:smallCaps/>
          <w:lang w:val="en-GB"/>
        </w:rPr>
      </w:pPr>
      <w:bookmarkStart w:id="0" w:name="_GoBack"/>
      <w:bookmarkEnd w:id="0"/>
      <w:r w:rsidRPr="00336C4D">
        <w:rPr>
          <w:b/>
          <w:bCs/>
          <w:smallCaps/>
          <w:lang w:val="en-GB"/>
        </w:rPr>
        <w:t xml:space="preserve">International Law </w:t>
      </w:r>
      <w:r w:rsidR="00A11248">
        <w:rPr>
          <w:b/>
          <w:bCs/>
          <w:smallCaps/>
          <w:lang w:val="en-GB"/>
        </w:rPr>
        <w:t>as the Basis for</w:t>
      </w:r>
      <w:r w:rsidR="00094A50" w:rsidRPr="00336C4D">
        <w:rPr>
          <w:b/>
          <w:bCs/>
          <w:smallCaps/>
          <w:lang w:val="en-GB"/>
        </w:rPr>
        <w:t xml:space="preserve"> </w:t>
      </w:r>
      <w:r w:rsidR="00CD2A0B" w:rsidRPr="00336C4D">
        <w:rPr>
          <w:b/>
          <w:bCs/>
          <w:smallCaps/>
          <w:lang w:val="en-GB"/>
        </w:rPr>
        <w:t>E</w:t>
      </w:r>
      <w:r w:rsidR="00626570" w:rsidRPr="00336C4D">
        <w:rPr>
          <w:b/>
          <w:bCs/>
          <w:smallCaps/>
          <w:lang w:val="en-GB"/>
        </w:rPr>
        <w:t>xten</w:t>
      </w:r>
      <w:r w:rsidR="00A11248">
        <w:rPr>
          <w:b/>
          <w:bCs/>
          <w:smallCaps/>
          <w:lang w:val="en-GB"/>
        </w:rPr>
        <w:t>ding</w:t>
      </w:r>
      <w:r w:rsidR="00626570" w:rsidRPr="00336C4D">
        <w:rPr>
          <w:b/>
          <w:bCs/>
          <w:smallCaps/>
          <w:lang w:val="en-GB"/>
        </w:rPr>
        <w:t xml:space="preserve"> </w:t>
      </w:r>
      <w:r w:rsidR="00AD1090" w:rsidRPr="00336C4D">
        <w:rPr>
          <w:b/>
          <w:bCs/>
          <w:smallCaps/>
          <w:lang w:val="en-GB"/>
        </w:rPr>
        <w:t>A</w:t>
      </w:r>
      <w:r w:rsidR="00626570" w:rsidRPr="00336C4D">
        <w:rPr>
          <w:b/>
          <w:bCs/>
          <w:smallCaps/>
          <w:lang w:val="en-GB"/>
        </w:rPr>
        <w:t xml:space="preserve">rbitration </w:t>
      </w:r>
      <w:r w:rsidR="00AD1090" w:rsidRPr="00336C4D">
        <w:rPr>
          <w:b/>
          <w:bCs/>
          <w:smallCaps/>
          <w:lang w:val="en-GB"/>
        </w:rPr>
        <w:t>A</w:t>
      </w:r>
      <w:r w:rsidR="00626570" w:rsidRPr="00336C4D">
        <w:rPr>
          <w:b/>
          <w:bCs/>
          <w:smallCaps/>
          <w:lang w:val="en-GB"/>
        </w:rPr>
        <w:t>greement</w:t>
      </w:r>
      <w:r w:rsidR="003241CA">
        <w:rPr>
          <w:b/>
          <w:bCs/>
          <w:smallCaps/>
          <w:lang w:val="en-GB"/>
        </w:rPr>
        <w:t>s</w:t>
      </w:r>
      <w:r w:rsidR="00626570" w:rsidRPr="00336C4D">
        <w:rPr>
          <w:b/>
          <w:bCs/>
          <w:smallCaps/>
          <w:lang w:val="en-GB"/>
        </w:rPr>
        <w:t xml:space="preserve"> </w:t>
      </w:r>
      <w:r w:rsidR="003241CA" w:rsidRPr="003241CA">
        <w:rPr>
          <w:b/>
          <w:bCs/>
          <w:smallCaps/>
          <w:lang w:val="en-GB"/>
        </w:rPr>
        <w:t xml:space="preserve">Concluded </w:t>
      </w:r>
      <w:r w:rsidR="003241CA">
        <w:rPr>
          <w:b/>
          <w:bCs/>
          <w:smallCaps/>
          <w:lang w:val="en-GB"/>
        </w:rPr>
        <w:t>b</w:t>
      </w:r>
      <w:r w:rsidR="003241CA" w:rsidRPr="003241CA">
        <w:rPr>
          <w:b/>
          <w:bCs/>
          <w:smallCaps/>
          <w:lang w:val="en-GB"/>
        </w:rPr>
        <w:t xml:space="preserve">y States </w:t>
      </w:r>
      <w:r w:rsidR="003241CA">
        <w:rPr>
          <w:b/>
          <w:bCs/>
          <w:smallCaps/>
          <w:lang w:val="en-GB"/>
        </w:rPr>
        <w:t>o</w:t>
      </w:r>
      <w:r w:rsidR="003241CA" w:rsidRPr="003241CA">
        <w:rPr>
          <w:b/>
          <w:bCs/>
          <w:smallCaps/>
          <w:lang w:val="en-GB"/>
        </w:rPr>
        <w:t xml:space="preserve">r State Entities </w:t>
      </w:r>
      <w:r w:rsidR="003241CA">
        <w:rPr>
          <w:b/>
          <w:bCs/>
          <w:smallCaps/>
          <w:lang w:val="en-GB"/>
        </w:rPr>
        <w:t>t</w:t>
      </w:r>
      <w:r w:rsidR="003241CA" w:rsidRPr="003241CA">
        <w:rPr>
          <w:b/>
          <w:bCs/>
          <w:smallCaps/>
          <w:lang w:val="en-GB"/>
        </w:rPr>
        <w:t xml:space="preserve">o Non-Signatories </w:t>
      </w:r>
    </w:p>
    <w:p w14:paraId="13697BC1" w14:textId="659CDBE4" w:rsidR="00CD2A0B" w:rsidRDefault="00CD2A0B" w:rsidP="000476F9">
      <w:pPr>
        <w:spacing w:line="276" w:lineRule="auto"/>
        <w:rPr>
          <w:smallCaps/>
          <w:lang w:val="en-GB"/>
        </w:rPr>
      </w:pPr>
    </w:p>
    <w:p w14:paraId="4DACAA39" w14:textId="740B28DE" w:rsidR="00F02E10" w:rsidRDefault="00F02E10" w:rsidP="000476F9">
      <w:pPr>
        <w:spacing w:line="276" w:lineRule="auto"/>
        <w:rPr>
          <w:smallCaps/>
          <w:lang w:val="en-GB"/>
        </w:rPr>
      </w:pPr>
    </w:p>
    <w:p w14:paraId="6B2BB685" w14:textId="77777777" w:rsidR="00F02E10" w:rsidRPr="00F02E10" w:rsidRDefault="00F02E10" w:rsidP="000476F9">
      <w:pPr>
        <w:spacing w:line="276" w:lineRule="auto"/>
        <w:rPr>
          <w:smallCaps/>
          <w:lang w:val="en-GB"/>
        </w:rPr>
      </w:pPr>
    </w:p>
    <w:p w14:paraId="36239829" w14:textId="6C2015AD" w:rsidR="004A7A2D" w:rsidRPr="00673080" w:rsidRDefault="004A7A2D" w:rsidP="004A7A2D">
      <w:pPr>
        <w:spacing w:line="276" w:lineRule="auto"/>
        <w:rPr>
          <w:smallCaps/>
          <w:lang w:val="el-GR"/>
        </w:rPr>
      </w:pPr>
    </w:p>
    <w:p w14:paraId="7E5AF1C0" w14:textId="77777777" w:rsidR="00BE68B3" w:rsidRPr="00BE68B3" w:rsidRDefault="00BE68B3" w:rsidP="00BE68B3">
      <w:pPr>
        <w:spacing w:line="276" w:lineRule="auto"/>
        <w:rPr>
          <w:smallCaps/>
          <w:lang w:val="en-US"/>
        </w:rPr>
      </w:pPr>
    </w:p>
    <w:p w14:paraId="37DBCD5C" w14:textId="79438A20" w:rsidR="0011272E" w:rsidRPr="00336C4D" w:rsidRDefault="0011272E" w:rsidP="000476F9">
      <w:pPr>
        <w:spacing w:line="276" w:lineRule="auto"/>
        <w:rPr>
          <w:smallCaps/>
          <w:lang w:val="en-GB"/>
        </w:rPr>
      </w:pPr>
    </w:p>
    <w:p w14:paraId="76393772" w14:textId="1BCF5738" w:rsidR="00626570" w:rsidRPr="00336C4D" w:rsidRDefault="00B25974" w:rsidP="000476F9">
      <w:pPr>
        <w:pStyle w:val="Heading1"/>
        <w:spacing w:before="0" w:line="276" w:lineRule="auto"/>
        <w:rPr>
          <w:rFonts w:ascii="Times New Roman" w:hAnsi="Times New Roman" w:cs="Times New Roman"/>
          <w:szCs w:val="24"/>
          <w:lang w:val="en-GB"/>
        </w:rPr>
      </w:pPr>
      <w:bookmarkStart w:id="1" w:name="_Toc63442244"/>
      <w:r w:rsidRPr="00336C4D">
        <w:rPr>
          <w:rFonts w:ascii="Times New Roman" w:hAnsi="Times New Roman" w:cs="Times New Roman"/>
          <w:szCs w:val="24"/>
          <w:lang w:val="en-GB"/>
        </w:rPr>
        <w:t>I.</w:t>
      </w:r>
      <w:r w:rsidRPr="00336C4D">
        <w:rPr>
          <w:rFonts w:ascii="Times New Roman" w:hAnsi="Times New Roman" w:cs="Times New Roman"/>
          <w:szCs w:val="24"/>
          <w:lang w:val="en-GB"/>
        </w:rPr>
        <w:tab/>
      </w:r>
      <w:r w:rsidR="00CD2A0B" w:rsidRPr="00336C4D">
        <w:rPr>
          <w:rFonts w:ascii="Times New Roman" w:hAnsi="Times New Roman" w:cs="Times New Roman"/>
          <w:szCs w:val="24"/>
          <w:lang w:val="en-GB"/>
        </w:rPr>
        <w:t>INTRODUCTION</w:t>
      </w:r>
      <w:bookmarkEnd w:id="1"/>
    </w:p>
    <w:p w14:paraId="3016C4AD" w14:textId="77777777" w:rsidR="004A7A2D" w:rsidRDefault="004A7A2D" w:rsidP="000476F9">
      <w:pPr>
        <w:widowControl w:val="0"/>
        <w:spacing w:line="276" w:lineRule="auto"/>
        <w:jc w:val="both"/>
        <w:rPr>
          <w:lang w:val="en-GB"/>
        </w:rPr>
      </w:pPr>
    </w:p>
    <w:p w14:paraId="14D14E22" w14:textId="01CB3F74" w:rsidR="00B10BDB" w:rsidRPr="00336C4D" w:rsidRDefault="003F63D5" w:rsidP="000476F9">
      <w:pPr>
        <w:widowControl w:val="0"/>
        <w:spacing w:line="276" w:lineRule="auto"/>
        <w:jc w:val="both"/>
        <w:rPr>
          <w:lang w:val="en-GB"/>
        </w:rPr>
      </w:pPr>
      <w:r w:rsidRPr="00336C4D">
        <w:rPr>
          <w:lang w:val="en-GB"/>
        </w:rPr>
        <w:t xml:space="preserve">This article </w:t>
      </w:r>
      <w:r w:rsidR="00D32574">
        <w:rPr>
          <w:lang w:val="en-GB"/>
        </w:rPr>
        <w:t>examines</w:t>
      </w:r>
      <w:r w:rsidR="00A7686C" w:rsidRPr="00336C4D">
        <w:rPr>
          <w:lang w:val="en-GB"/>
        </w:rPr>
        <w:t xml:space="preserve"> </w:t>
      </w:r>
      <w:r w:rsidRPr="00336C4D">
        <w:rPr>
          <w:lang w:val="en-GB"/>
        </w:rPr>
        <w:t xml:space="preserve">the following question: </w:t>
      </w:r>
      <w:r w:rsidR="009562EC">
        <w:rPr>
          <w:lang w:val="en-GB"/>
        </w:rPr>
        <w:t>is</w:t>
      </w:r>
      <w:r w:rsidRPr="00336C4D">
        <w:rPr>
          <w:lang w:val="en-GB"/>
        </w:rPr>
        <w:t xml:space="preserve"> (</w:t>
      </w:r>
      <w:proofErr w:type="spellStart"/>
      <w:r w:rsidRPr="00336C4D">
        <w:rPr>
          <w:lang w:val="en-GB"/>
        </w:rPr>
        <w:t>i</w:t>
      </w:r>
      <w:proofErr w:type="spellEnd"/>
      <w:r w:rsidRPr="00336C4D">
        <w:rPr>
          <w:lang w:val="en-GB"/>
        </w:rPr>
        <w:t xml:space="preserve">) the </w:t>
      </w:r>
      <w:r w:rsidR="009562EC">
        <w:rPr>
          <w:lang w:val="en-GB"/>
        </w:rPr>
        <w:t>law</w:t>
      </w:r>
      <w:r w:rsidRPr="00336C4D">
        <w:rPr>
          <w:lang w:val="en-GB"/>
        </w:rPr>
        <w:t xml:space="preserve"> governing the extension of arbitration agreement</w:t>
      </w:r>
      <w:r w:rsidR="00E81B76">
        <w:rPr>
          <w:lang w:val="en-GB"/>
        </w:rPr>
        <w:t>s concluded by States or State entities</w:t>
      </w:r>
      <w:r w:rsidRPr="00336C4D">
        <w:rPr>
          <w:lang w:val="en-GB"/>
        </w:rPr>
        <w:t xml:space="preserve"> </w:t>
      </w:r>
      <w:r w:rsidR="00890CE7" w:rsidRPr="00336C4D">
        <w:rPr>
          <w:lang w:val="en-GB"/>
        </w:rPr>
        <w:t xml:space="preserve">to non-signatories </w:t>
      </w:r>
      <w:r w:rsidRPr="00336C4D">
        <w:rPr>
          <w:lang w:val="en-GB"/>
        </w:rPr>
        <w:t xml:space="preserve">different from (ii) the </w:t>
      </w:r>
      <w:r w:rsidR="009562EC">
        <w:rPr>
          <w:lang w:val="en-GB"/>
        </w:rPr>
        <w:t>law</w:t>
      </w:r>
      <w:r w:rsidRPr="00336C4D">
        <w:rPr>
          <w:lang w:val="en-GB"/>
        </w:rPr>
        <w:t xml:space="preserve"> governing the same issue in arbitrations between purely private parties? The answer </w:t>
      </w:r>
      <w:r w:rsidR="005C7061">
        <w:rPr>
          <w:lang w:val="en-GB"/>
        </w:rPr>
        <w:t xml:space="preserve">usually </w:t>
      </w:r>
      <w:r w:rsidR="00A7686C" w:rsidRPr="00336C4D">
        <w:rPr>
          <w:lang w:val="en-GB"/>
        </w:rPr>
        <w:t>given</w:t>
      </w:r>
      <w:r w:rsidRPr="00336C4D">
        <w:rPr>
          <w:lang w:val="en-GB"/>
        </w:rPr>
        <w:t xml:space="preserve"> in the past</w:t>
      </w:r>
      <w:r w:rsidR="00A7686C" w:rsidRPr="00336C4D">
        <w:rPr>
          <w:lang w:val="en-GB"/>
        </w:rPr>
        <w:t xml:space="preserve"> </w:t>
      </w:r>
      <w:r w:rsidRPr="00336C4D">
        <w:rPr>
          <w:lang w:val="en-GB"/>
        </w:rPr>
        <w:t>was in the negative, albeit with varying degrees of hesitation.</w:t>
      </w:r>
      <w:r w:rsidR="00B10BDB" w:rsidRPr="00336C4D">
        <w:rPr>
          <w:rStyle w:val="FootnoteReference"/>
          <w:lang w:val="en-GB"/>
        </w:rPr>
        <w:footnoteReference w:id="1"/>
      </w:r>
      <w:r w:rsidR="00B10BDB" w:rsidRPr="00336C4D">
        <w:rPr>
          <w:lang w:val="en-GB"/>
        </w:rPr>
        <w:t xml:space="preserve"> This article answers the question in the affirmative, arguing that </w:t>
      </w:r>
      <w:r w:rsidR="00B10BDB">
        <w:rPr>
          <w:lang w:val="en-US"/>
        </w:rPr>
        <w:t>the difference</w:t>
      </w:r>
      <w:r w:rsidR="00B10BDB">
        <w:rPr>
          <w:i/>
          <w:iCs/>
          <w:lang w:val="en-GB"/>
        </w:rPr>
        <w:t xml:space="preserve"> </w:t>
      </w:r>
      <w:r w:rsidR="00B10BDB">
        <w:rPr>
          <w:lang w:val="en-GB"/>
        </w:rPr>
        <w:t>lies in the application of</w:t>
      </w:r>
      <w:r w:rsidR="00B10BDB" w:rsidRPr="00336C4D">
        <w:rPr>
          <w:lang w:val="en-GB"/>
        </w:rPr>
        <w:t xml:space="preserve"> public international law </w:t>
      </w:r>
      <w:r w:rsidR="00B10BDB">
        <w:rPr>
          <w:lang w:val="en-GB"/>
        </w:rPr>
        <w:t>to the matter</w:t>
      </w:r>
      <w:r w:rsidR="00B10BDB" w:rsidRPr="00336C4D">
        <w:rPr>
          <w:lang w:val="en-GB"/>
        </w:rPr>
        <w:t xml:space="preserve">. </w:t>
      </w:r>
      <w:r w:rsidR="00B10BDB">
        <w:rPr>
          <w:lang w:val="en-GB"/>
        </w:rPr>
        <w:t>T</w:t>
      </w:r>
      <w:r w:rsidR="00B10BDB" w:rsidRPr="00336C4D">
        <w:rPr>
          <w:lang w:val="en-GB"/>
        </w:rPr>
        <w:t xml:space="preserve">he argument is </w:t>
      </w:r>
      <w:r w:rsidR="00B10BDB">
        <w:rPr>
          <w:lang w:val="en-GB"/>
        </w:rPr>
        <w:t xml:space="preserve">not that the extension of arbitration agreements concluded by States or State entities to non-signatories is governed </w:t>
      </w:r>
      <w:r w:rsidR="00B10BDB" w:rsidRPr="00835B56">
        <w:rPr>
          <w:i/>
          <w:iCs/>
          <w:lang w:val="en-GB"/>
        </w:rPr>
        <w:t>exclusively</w:t>
      </w:r>
      <w:r w:rsidR="00B10BDB">
        <w:rPr>
          <w:lang w:val="en-GB"/>
        </w:rPr>
        <w:t xml:space="preserve"> by</w:t>
      </w:r>
      <w:r w:rsidR="00B10BDB" w:rsidRPr="00336C4D">
        <w:rPr>
          <w:lang w:val="en-GB"/>
        </w:rPr>
        <w:t xml:space="preserve"> international law</w:t>
      </w:r>
      <w:r w:rsidR="00B87124">
        <w:rPr>
          <w:lang w:val="el-GR"/>
        </w:rPr>
        <w:t xml:space="preserve">, </w:t>
      </w:r>
      <w:r w:rsidR="00B87124">
        <w:rPr>
          <w:lang w:val="en-US"/>
        </w:rPr>
        <w:t>but,</w:t>
      </w:r>
      <w:r w:rsidR="00B10BDB">
        <w:rPr>
          <w:lang w:val="en-GB"/>
        </w:rPr>
        <w:t xml:space="preserve"> rather, that international law</w:t>
      </w:r>
      <w:r w:rsidR="00B10BDB" w:rsidRPr="00336C4D">
        <w:rPr>
          <w:lang w:val="en-GB"/>
        </w:rPr>
        <w:t xml:space="preserve"> is applicable in </w:t>
      </w:r>
      <w:r w:rsidR="00B10BDB" w:rsidRPr="00336C4D">
        <w:rPr>
          <w:i/>
          <w:iCs/>
          <w:lang w:val="en-GB"/>
        </w:rPr>
        <w:t>parallel</w:t>
      </w:r>
      <w:r w:rsidR="00B10BDB" w:rsidRPr="00336C4D">
        <w:rPr>
          <w:lang w:val="en-GB"/>
        </w:rPr>
        <w:t xml:space="preserve"> to domestic law. By exploring the role of international law in that regard, this article mak</w:t>
      </w:r>
      <w:r w:rsidR="00B10BDB">
        <w:rPr>
          <w:lang w:val="en-GB"/>
        </w:rPr>
        <w:t>es</w:t>
      </w:r>
      <w:r w:rsidR="00B10BDB" w:rsidRPr="00336C4D">
        <w:rPr>
          <w:lang w:val="en-GB"/>
        </w:rPr>
        <w:t xml:space="preserve"> a</w:t>
      </w:r>
      <w:r w:rsidR="00B10BDB">
        <w:rPr>
          <w:lang w:val="en-GB"/>
        </w:rPr>
        <w:t>n original</w:t>
      </w:r>
      <w:r w:rsidR="00B10BDB" w:rsidRPr="00336C4D">
        <w:rPr>
          <w:lang w:val="en-GB"/>
        </w:rPr>
        <w:t xml:space="preserve"> contribution towards identifying the applicable legal framework governing the question of the extension of arbitration agreement</w:t>
      </w:r>
      <w:r w:rsidR="00B10BDB">
        <w:rPr>
          <w:lang w:val="en-GB"/>
        </w:rPr>
        <w:t>s</w:t>
      </w:r>
      <w:r w:rsidR="00B10BDB" w:rsidRPr="00336C4D">
        <w:rPr>
          <w:lang w:val="en-GB"/>
        </w:rPr>
        <w:t xml:space="preserve"> to non-signatories in</w:t>
      </w:r>
      <w:r w:rsidR="00B10BDB">
        <w:rPr>
          <w:lang w:val="en-GB"/>
        </w:rPr>
        <w:t xml:space="preserve"> the context of</w:t>
      </w:r>
      <w:r w:rsidR="00B10BDB" w:rsidRPr="00336C4D">
        <w:rPr>
          <w:lang w:val="en-GB"/>
        </w:rPr>
        <w:t xml:space="preserve"> arbitration</w:t>
      </w:r>
      <w:r w:rsidR="00B10BDB">
        <w:rPr>
          <w:lang w:val="en-GB"/>
        </w:rPr>
        <w:t>s</w:t>
      </w:r>
      <w:r w:rsidR="00B10BDB" w:rsidRPr="00336C4D">
        <w:rPr>
          <w:lang w:val="en-GB"/>
        </w:rPr>
        <w:t xml:space="preserve"> involving State or State entities. </w:t>
      </w:r>
    </w:p>
    <w:p w14:paraId="3CAF3B61" w14:textId="2683DB46" w:rsidR="00B10BDB" w:rsidRPr="00336C4D" w:rsidRDefault="00B10BDB" w:rsidP="00D44E08">
      <w:pPr>
        <w:spacing w:line="276" w:lineRule="auto"/>
        <w:ind w:firstLine="720"/>
        <w:jc w:val="both"/>
        <w:rPr>
          <w:lang w:val="en-GB"/>
        </w:rPr>
      </w:pPr>
      <w:r w:rsidRPr="00336C4D">
        <w:rPr>
          <w:lang w:val="en-GB"/>
        </w:rPr>
        <w:t>The latest ICC dispute resolution statistic</w:t>
      </w:r>
      <w:r w:rsidR="00AD6A21">
        <w:rPr>
          <w:lang w:val="en-GB"/>
        </w:rPr>
        <w:t>s</w:t>
      </w:r>
      <w:r w:rsidRPr="00336C4D">
        <w:rPr>
          <w:lang w:val="en-GB"/>
        </w:rPr>
        <w:t xml:space="preserve"> report took note of a ‘new all-time ICC record’, as in 2019 20% of the news cases involved States or State entities,</w:t>
      </w:r>
      <w:r w:rsidRPr="00336C4D">
        <w:rPr>
          <w:rStyle w:val="FootnoteReference"/>
          <w:lang w:val="en-GB"/>
        </w:rPr>
        <w:footnoteReference w:id="2"/>
      </w:r>
      <w:r w:rsidRPr="00336C4D">
        <w:rPr>
          <w:lang w:val="en-GB"/>
        </w:rPr>
        <w:t xml:space="preserve"> representing an impressive 67% increase in the number of such arbitrations over the past five years.</w:t>
      </w:r>
      <w:r w:rsidRPr="00336C4D">
        <w:rPr>
          <w:rStyle w:val="FootnoteReference"/>
          <w:lang w:val="en-GB"/>
        </w:rPr>
        <w:footnoteReference w:id="3"/>
      </w:r>
      <w:r w:rsidRPr="00336C4D">
        <w:rPr>
          <w:lang w:val="en-GB"/>
        </w:rPr>
        <w:t xml:space="preserve"> </w:t>
      </w:r>
      <w:r>
        <w:rPr>
          <w:lang w:val="en-GB"/>
        </w:rPr>
        <w:t xml:space="preserve">This trend is reinforced by the </w:t>
      </w:r>
      <w:r w:rsidRPr="00336C4D">
        <w:rPr>
          <w:lang w:val="en-GB"/>
        </w:rPr>
        <w:t>current backlash against investment treaty arbitration</w:t>
      </w:r>
      <w:r>
        <w:rPr>
          <w:lang w:val="en-GB"/>
        </w:rPr>
        <w:t xml:space="preserve">, </w:t>
      </w:r>
      <w:r w:rsidRPr="00336C4D">
        <w:rPr>
          <w:lang w:val="en-GB"/>
        </w:rPr>
        <w:t>exemplified inter alia by States’ withdrawal from the ICSID Convention,</w:t>
      </w:r>
      <w:r w:rsidRPr="00336C4D">
        <w:rPr>
          <w:rStyle w:val="FootnoteReference"/>
          <w:lang w:val="en-GB"/>
        </w:rPr>
        <w:footnoteReference w:id="4"/>
      </w:r>
      <w:r>
        <w:rPr>
          <w:lang w:val="en-GB"/>
        </w:rPr>
        <w:t xml:space="preserve"> </w:t>
      </w:r>
      <w:r w:rsidRPr="00336C4D">
        <w:rPr>
          <w:lang w:val="en-GB"/>
        </w:rPr>
        <w:t xml:space="preserve">the termination </w:t>
      </w:r>
      <w:r>
        <w:rPr>
          <w:lang w:val="en-GB"/>
        </w:rPr>
        <w:t xml:space="preserve">of </w:t>
      </w:r>
      <w:r w:rsidRPr="00336C4D">
        <w:rPr>
          <w:lang w:val="en-GB"/>
        </w:rPr>
        <w:t xml:space="preserve">their Bilateral </w:t>
      </w:r>
      <w:r w:rsidRPr="00336C4D">
        <w:rPr>
          <w:lang w:val="en-GB"/>
        </w:rPr>
        <w:lastRenderedPageBreak/>
        <w:t>Investment Treaties (BITs),</w:t>
      </w:r>
      <w:r w:rsidRPr="00336C4D">
        <w:rPr>
          <w:rStyle w:val="FootnoteReference"/>
          <w:lang w:val="en-GB"/>
        </w:rPr>
        <w:footnoteReference w:id="5"/>
      </w:r>
      <w:r w:rsidRPr="00336C4D">
        <w:rPr>
          <w:lang w:val="en-GB"/>
        </w:rPr>
        <w:t xml:space="preserve"> and the </w:t>
      </w:r>
      <w:proofErr w:type="spellStart"/>
      <w:r w:rsidRPr="00336C4D">
        <w:rPr>
          <w:i/>
          <w:iCs/>
          <w:lang w:val="en-GB"/>
        </w:rPr>
        <w:t>Achmea</w:t>
      </w:r>
      <w:proofErr w:type="spellEnd"/>
      <w:r w:rsidRPr="00336C4D">
        <w:rPr>
          <w:lang w:val="en-GB"/>
        </w:rPr>
        <w:t xml:space="preserve"> decision </w:t>
      </w:r>
      <w:r>
        <w:rPr>
          <w:lang w:val="en-GB"/>
        </w:rPr>
        <w:t>of the Court of Justice of the EU.</w:t>
      </w:r>
      <w:r w:rsidRPr="00336C4D">
        <w:rPr>
          <w:rStyle w:val="FootnoteReference"/>
          <w:lang w:val="en-GB"/>
        </w:rPr>
        <w:footnoteReference w:id="6"/>
      </w:r>
      <w:r w:rsidRPr="00336C4D">
        <w:rPr>
          <w:lang w:val="en-GB"/>
        </w:rPr>
        <w:t xml:space="preserve"> </w:t>
      </w:r>
      <w:r>
        <w:rPr>
          <w:lang w:val="en-GB"/>
        </w:rPr>
        <w:t>F</w:t>
      </w:r>
      <w:r w:rsidRPr="00336C4D">
        <w:rPr>
          <w:lang w:val="en-GB"/>
        </w:rPr>
        <w:t xml:space="preserve">oreign investors will </w:t>
      </w:r>
      <w:r>
        <w:rPr>
          <w:lang w:val="en-GB"/>
        </w:rPr>
        <w:t>increasingly often</w:t>
      </w:r>
      <w:r w:rsidRPr="00336C4D">
        <w:rPr>
          <w:lang w:val="en-GB"/>
        </w:rPr>
        <w:t xml:space="preserve"> seek protection against </w:t>
      </w:r>
      <w:r>
        <w:rPr>
          <w:lang w:val="en-GB"/>
        </w:rPr>
        <w:t>s</w:t>
      </w:r>
      <w:r w:rsidRPr="00336C4D">
        <w:rPr>
          <w:lang w:val="en-GB"/>
        </w:rPr>
        <w:t xml:space="preserve">tate action on the basis of </w:t>
      </w:r>
      <w:r w:rsidRPr="00A353E2">
        <w:rPr>
          <w:i/>
          <w:iCs/>
          <w:lang w:val="en-GB"/>
        </w:rPr>
        <w:t>contracts</w:t>
      </w:r>
      <w:r w:rsidRPr="00336C4D">
        <w:rPr>
          <w:lang w:val="en-GB"/>
        </w:rPr>
        <w:t xml:space="preserve"> concluded with States or States entities providing for international arbitration </w:t>
      </w:r>
      <w:r>
        <w:rPr>
          <w:lang w:val="en-GB"/>
        </w:rPr>
        <w:t xml:space="preserve">rather than </w:t>
      </w:r>
      <w:r w:rsidRPr="00A353E2">
        <w:rPr>
          <w:i/>
          <w:iCs/>
          <w:lang w:val="en-GB"/>
        </w:rPr>
        <w:t>investment treaties</w:t>
      </w:r>
      <w:r w:rsidRPr="00336C4D">
        <w:rPr>
          <w:lang w:val="en-GB"/>
        </w:rPr>
        <w:t>. Therefore, delineating the scope of arbitration agreement</w:t>
      </w:r>
      <w:r>
        <w:rPr>
          <w:lang w:val="en-GB"/>
        </w:rPr>
        <w:t>s</w:t>
      </w:r>
      <w:r w:rsidRPr="00336C4D">
        <w:rPr>
          <w:lang w:val="en-GB"/>
        </w:rPr>
        <w:t xml:space="preserve"> contained in </w:t>
      </w:r>
      <w:r>
        <w:rPr>
          <w:lang w:val="en-GB"/>
        </w:rPr>
        <w:t xml:space="preserve">state </w:t>
      </w:r>
      <w:r w:rsidRPr="00336C4D">
        <w:rPr>
          <w:lang w:val="en-GB"/>
        </w:rPr>
        <w:t xml:space="preserve">contracts and determining the law applicable to </w:t>
      </w:r>
      <w:r>
        <w:rPr>
          <w:lang w:val="en-US"/>
        </w:rPr>
        <w:t>them</w:t>
      </w:r>
      <w:r w:rsidRPr="00336C4D">
        <w:rPr>
          <w:lang w:val="en-GB"/>
        </w:rPr>
        <w:t xml:space="preserve"> is of pivotal </w:t>
      </w:r>
      <w:r>
        <w:rPr>
          <w:lang w:val="en-GB"/>
        </w:rPr>
        <w:t xml:space="preserve">practical </w:t>
      </w:r>
      <w:r w:rsidRPr="00336C4D">
        <w:rPr>
          <w:lang w:val="en-GB"/>
        </w:rPr>
        <w:t>importance. Not least because, even after obtaining a favourable award against State</w:t>
      </w:r>
      <w:r>
        <w:rPr>
          <w:lang w:val="en-GB"/>
        </w:rPr>
        <w:t>s</w:t>
      </w:r>
      <w:r w:rsidRPr="00336C4D">
        <w:rPr>
          <w:lang w:val="en-GB"/>
        </w:rPr>
        <w:t xml:space="preserve"> </w:t>
      </w:r>
      <w:r>
        <w:rPr>
          <w:lang w:val="en-GB"/>
        </w:rPr>
        <w:t>(</w:t>
      </w:r>
      <w:r w:rsidRPr="00336C4D">
        <w:rPr>
          <w:lang w:val="en-GB"/>
        </w:rPr>
        <w:t>or State entit</w:t>
      </w:r>
      <w:r>
        <w:rPr>
          <w:lang w:val="en-GB"/>
        </w:rPr>
        <w:t>ies)</w:t>
      </w:r>
      <w:r w:rsidRPr="00336C4D">
        <w:rPr>
          <w:lang w:val="en-GB"/>
        </w:rPr>
        <w:t>, investors will face serious and</w:t>
      </w:r>
      <w:r>
        <w:rPr>
          <w:lang w:val="en-GB"/>
        </w:rPr>
        <w:t>,</w:t>
      </w:r>
      <w:r w:rsidRPr="00336C4D">
        <w:rPr>
          <w:lang w:val="en-GB"/>
        </w:rPr>
        <w:t xml:space="preserve"> </w:t>
      </w:r>
      <w:r>
        <w:rPr>
          <w:lang w:val="en-GB"/>
        </w:rPr>
        <w:t>in some cases,</w:t>
      </w:r>
      <w:r w:rsidRPr="00336C4D">
        <w:rPr>
          <w:lang w:val="en-GB"/>
        </w:rPr>
        <w:t xml:space="preserve"> insurmountable obstacles </w:t>
      </w:r>
      <w:r>
        <w:rPr>
          <w:lang w:val="en-GB"/>
        </w:rPr>
        <w:t xml:space="preserve">in </w:t>
      </w:r>
      <w:r w:rsidRPr="00336C4D">
        <w:rPr>
          <w:lang w:val="en-GB"/>
        </w:rPr>
        <w:t>enforcing it against non-signatory State entit</w:t>
      </w:r>
      <w:r>
        <w:rPr>
          <w:lang w:val="en-GB"/>
        </w:rPr>
        <w:t>ies</w:t>
      </w:r>
      <w:r w:rsidRPr="00336C4D">
        <w:rPr>
          <w:lang w:val="en-GB"/>
        </w:rPr>
        <w:t xml:space="preserve"> (or State</w:t>
      </w:r>
      <w:r>
        <w:rPr>
          <w:lang w:val="en-GB"/>
        </w:rPr>
        <w:t>s</w:t>
      </w:r>
      <w:r w:rsidRPr="00336C4D">
        <w:rPr>
          <w:lang w:val="en-GB"/>
        </w:rPr>
        <w:t xml:space="preserve">). </w:t>
      </w:r>
      <w:r>
        <w:rPr>
          <w:lang w:val="en-GB"/>
        </w:rPr>
        <w:t>A</w:t>
      </w:r>
      <w:r w:rsidRPr="00336C4D">
        <w:rPr>
          <w:lang w:val="en-GB"/>
        </w:rPr>
        <w:t xml:space="preserve">ccording </w:t>
      </w:r>
      <w:r w:rsidRPr="003D4AA1">
        <w:rPr>
          <w:lang w:val="en-GB"/>
        </w:rPr>
        <w:t xml:space="preserve">to </w:t>
      </w:r>
      <w:r>
        <w:rPr>
          <w:lang w:val="en-GB"/>
        </w:rPr>
        <w:t>Emmanuel</w:t>
      </w:r>
      <w:r w:rsidRPr="003D4AA1">
        <w:rPr>
          <w:lang w:val="en-GB"/>
        </w:rPr>
        <w:t xml:space="preserve"> Gaillard, ‘</w:t>
      </w:r>
      <w:r>
        <w:rPr>
          <w:lang w:val="en-GB"/>
        </w:rPr>
        <w:t xml:space="preserve">it is in many cases </w:t>
      </w:r>
      <w:r w:rsidRPr="003D4AA1">
        <w:rPr>
          <w:lang w:val="en-GB"/>
        </w:rPr>
        <w:t>the</w:t>
      </w:r>
      <w:r w:rsidRPr="00336C4D">
        <w:rPr>
          <w:lang w:val="en-GB"/>
        </w:rPr>
        <w:t xml:space="preserve"> effectiveness of arbitral awards</w:t>
      </w:r>
      <w:r>
        <w:rPr>
          <w:lang w:val="en-GB"/>
        </w:rPr>
        <w:t xml:space="preserve"> – </w:t>
      </w:r>
      <w:r w:rsidRPr="00336C4D">
        <w:rPr>
          <w:lang w:val="en-GB"/>
        </w:rPr>
        <w:t>and thus the commitment of a State to resolve certain disputes through arbitratio</w:t>
      </w:r>
      <w:r>
        <w:rPr>
          <w:lang w:val="en-GB"/>
        </w:rPr>
        <w:t>n – that</w:t>
      </w:r>
      <w:r w:rsidRPr="00336C4D">
        <w:rPr>
          <w:lang w:val="en-GB"/>
        </w:rPr>
        <w:t xml:space="preserve"> will give way befor</w:t>
      </w:r>
      <w:r>
        <w:rPr>
          <w:lang w:val="en-GB"/>
        </w:rPr>
        <w:t xml:space="preserve">e State immunity from execution and </w:t>
      </w:r>
      <w:r w:rsidRPr="00336C4D">
        <w:rPr>
          <w:lang w:val="en-GB"/>
        </w:rPr>
        <w:t>respect for the division of the State’s commercial activities into separate legal entities’</w:t>
      </w:r>
      <w:r>
        <w:rPr>
          <w:lang w:val="en-GB"/>
        </w:rPr>
        <w:t>.</w:t>
      </w:r>
      <w:r w:rsidRPr="00336C4D">
        <w:rPr>
          <w:rStyle w:val="FootnoteReference"/>
          <w:lang w:val="en-GB"/>
        </w:rPr>
        <w:footnoteReference w:id="7"/>
      </w:r>
      <w:r>
        <w:rPr>
          <w:lang w:val="en-GB"/>
        </w:rPr>
        <w:t xml:space="preserve"> However, </w:t>
      </w:r>
      <w:r w:rsidRPr="00336C4D">
        <w:rPr>
          <w:lang w:val="en-GB"/>
        </w:rPr>
        <w:t xml:space="preserve">in several cases </w:t>
      </w:r>
      <w:r>
        <w:rPr>
          <w:lang w:val="en-GB"/>
        </w:rPr>
        <w:t xml:space="preserve">courts </w:t>
      </w:r>
      <w:r w:rsidRPr="00336C4D">
        <w:rPr>
          <w:lang w:val="en-GB"/>
        </w:rPr>
        <w:t>refuse to disregard the separate legal personality of State</w:t>
      </w:r>
      <w:r>
        <w:rPr>
          <w:lang w:val="en-GB"/>
        </w:rPr>
        <w:t>s</w:t>
      </w:r>
      <w:r w:rsidRPr="00336C4D">
        <w:rPr>
          <w:lang w:val="en-GB"/>
        </w:rPr>
        <w:t xml:space="preserve"> or State entities at the enforcement stage.</w:t>
      </w:r>
      <w:r w:rsidRPr="00336C4D">
        <w:rPr>
          <w:rStyle w:val="FootnoteReference"/>
          <w:lang w:val="en-GB"/>
        </w:rPr>
        <w:footnoteReference w:id="8"/>
      </w:r>
      <w:r w:rsidRPr="00336C4D">
        <w:rPr>
          <w:lang w:val="en-GB"/>
        </w:rPr>
        <w:t xml:space="preserve"> By way of example, in 2019 the Moscow Commercial Court refused to enforce an arbitral award against the State of Kyrgyzstan because the arbitration was signed by, and the award was issued against, the Ministry of Transport.</w:t>
      </w:r>
      <w:r w:rsidRPr="00336C4D">
        <w:rPr>
          <w:rStyle w:val="FootnoteReference"/>
          <w:lang w:val="en-GB"/>
        </w:rPr>
        <w:footnoteReference w:id="9"/>
      </w:r>
      <w:r w:rsidRPr="00336C4D">
        <w:rPr>
          <w:lang w:val="en-GB"/>
        </w:rPr>
        <w:t xml:space="preserve"> </w:t>
      </w:r>
    </w:p>
    <w:p w14:paraId="57766ED6" w14:textId="3CDC8AA1" w:rsidR="00B10BDB" w:rsidRPr="00336C4D" w:rsidRDefault="00B10BDB" w:rsidP="00E0479F">
      <w:pPr>
        <w:widowControl w:val="0"/>
        <w:spacing w:line="276" w:lineRule="auto"/>
        <w:ind w:right="-6" w:firstLine="720"/>
        <w:jc w:val="both"/>
        <w:rPr>
          <w:lang w:val="en-GB"/>
        </w:rPr>
      </w:pPr>
      <w:r>
        <w:rPr>
          <w:lang w:val="en-GB"/>
        </w:rPr>
        <w:t>As a</w:t>
      </w:r>
      <w:r w:rsidRPr="00336C4D">
        <w:rPr>
          <w:lang w:val="en-GB"/>
        </w:rPr>
        <w:t xml:space="preserve"> rule</w:t>
      </w:r>
      <w:r>
        <w:rPr>
          <w:lang w:val="en-GB"/>
        </w:rPr>
        <w:t>,</w:t>
      </w:r>
      <w:r w:rsidRPr="00336C4D">
        <w:rPr>
          <w:lang w:val="en-GB"/>
        </w:rPr>
        <w:t xml:space="preserve"> an arbitration agreement</w:t>
      </w:r>
      <w:r>
        <w:rPr>
          <w:lang w:val="en-GB"/>
        </w:rPr>
        <w:t xml:space="preserve"> contained in a contract</w:t>
      </w:r>
      <w:r w:rsidRPr="00336C4D">
        <w:rPr>
          <w:lang w:val="en-GB"/>
        </w:rPr>
        <w:t xml:space="preserve"> is binding only upon the entities which have signed th</w:t>
      </w:r>
      <w:r>
        <w:rPr>
          <w:lang w:val="en-GB"/>
        </w:rPr>
        <w:t>at</w:t>
      </w:r>
      <w:r w:rsidRPr="00336C4D">
        <w:rPr>
          <w:lang w:val="en-GB"/>
        </w:rPr>
        <w:t xml:space="preserve"> contract.</w:t>
      </w:r>
      <w:r w:rsidRPr="00336C4D">
        <w:rPr>
          <w:rStyle w:val="FootnoteReference"/>
          <w:lang w:val="en-GB"/>
        </w:rPr>
        <w:footnoteReference w:id="10"/>
      </w:r>
      <w:r w:rsidRPr="00336C4D">
        <w:rPr>
          <w:lang w:val="en-GB"/>
        </w:rPr>
        <w:t xml:space="preserve"> At the same time, arbitral tribunals </w:t>
      </w:r>
      <w:r>
        <w:rPr>
          <w:lang w:val="en-GB"/>
        </w:rPr>
        <w:t xml:space="preserve">and </w:t>
      </w:r>
      <w:r w:rsidRPr="00336C4D">
        <w:rPr>
          <w:lang w:val="en-GB"/>
        </w:rPr>
        <w:t>domestic courts recognise that in certain circumstances arbitration agreement</w:t>
      </w:r>
      <w:r>
        <w:rPr>
          <w:lang w:val="en-GB"/>
        </w:rPr>
        <w:t>s</w:t>
      </w:r>
      <w:r w:rsidRPr="00336C4D">
        <w:rPr>
          <w:lang w:val="en-GB"/>
        </w:rPr>
        <w:t xml:space="preserve"> can be extended to non-signatories. Unfortunately, there is no uniform approach as clearly highlighted by the antithetical approaches of the French and English Courts in </w:t>
      </w:r>
      <w:proofErr w:type="spellStart"/>
      <w:r w:rsidRPr="00336C4D">
        <w:rPr>
          <w:i/>
          <w:iCs/>
          <w:lang w:val="en-GB"/>
        </w:rPr>
        <w:t>Dallah</w:t>
      </w:r>
      <w:proofErr w:type="spellEnd"/>
      <w:r>
        <w:rPr>
          <w:lang w:val="en-GB"/>
        </w:rPr>
        <w:t xml:space="preserve"> and, more recently, in </w:t>
      </w:r>
      <w:r w:rsidRPr="00234836">
        <w:rPr>
          <w:i/>
          <w:iCs/>
          <w:lang w:val="en-GB"/>
        </w:rPr>
        <w:lastRenderedPageBreak/>
        <w:t>Kabab-Ji</w:t>
      </w:r>
      <w:r>
        <w:rPr>
          <w:i/>
          <w:iCs/>
          <w:lang w:val="en-GB"/>
        </w:rPr>
        <w:t xml:space="preserve"> </w:t>
      </w:r>
      <w:r>
        <w:rPr>
          <w:lang w:val="en-GB"/>
        </w:rPr>
        <w:t>(which concerned private entities).</w:t>
      </w:r>
      <w:r>
        <w:rPr>
          <w:rStyle w:val="FootnoteReference"/>
          <w:lang w:val="en-GB"/>
        </w:rPr>
        <w:footnoteReference w:id="11"/>
      </w:r>
      <w:r>
        <w:rPr>
          <w:lang w:val="en-GB"/>
        </w:rPr>
        <w:t xml:space="preserve"> </w:t>
      </w:r>
      <w:r w:rsidRPr="00336C4D">
        <w:rPr>
          <w:lang w:val="en-GB"/>
        </w:rPr>
        <w:t xml:space="preserve">Two ICSID contract tribunals </w:t>
      </w:r>
      <w:r>
        <w:rPr>
          <w:lang w:val="en-GB"/>
        </w:rPr>
        <w:t xml:space="preserve">also </w:t>
      </w:r>
      <w:r w:rsidRPr="00336C4D">
        <w:rPr>
          <w:lang w:val="en-GB"/>
        </w:rPr>
        <w:t>reached diametrically opposite results</w:t>
      </w:r>
      <w:r>
        <w:rPr>
          <w:lang w:val="en-GB"/>
        </w:rPr>
        <w:t xml:space="preserve"> </w:t>
      </w:r>
      <w:r w:rsidRPr="00336C4D">
        <w:rPr>
          <w:lang w:val="en-GB"/>
        </w:rPr>
        <w:t xml:space="preserve">on whether Bangladesh could be joined in an arbitration pursuant to an arbitration agreement contained in a contract signed by </w:t>
      </w:r>
      <w:proofErr w:type="spellStart"/>
      <w:r w:rsidRPr="00336C4D">
        <w:rPr>
          <w:lang w:val="en-GB"/>
        </w:rPr>
        <w:t>Petrobangla</w:t>
      </w:r>
      <w:proofErr w:type="spellEnd"/>
      <w:r w:rsidRPr="00336C4D">
        <w:rPr>
          <w:lang w:val="en-GB"/>
        </w:rPr>
        <w:t>, a State entity.</w:t>
      </w:r>
      <w:r w:rsidRPr="00336C4D">
        <w:rPr>
          <w:rStyle w:val="FootnoteReference"/>
          <w:lang w:val="en-GB"/>
        </w:rPr>
        <w:footnoteReference w:id="12"/>
      </w:r>
      <w:r>
        <w:rPr>
          <w:lang w:val="en-GB"/>
        </w:rPr>
        <w:t xml:space="preserve"> Likewise, i</w:t>
      </w:r>
      <w:r w:rsidRPr="00BD2B6E">
        <w:rPr>
          <w:lang w:val="en-GB"/>
        </w:rPr>
        <w:t xml:space="preserve">n </w:t>
      </w:r>
      <w:r w:rsidRPr="00BD2B6E">
        <w:rPr>
          <w:i/>
          <w:iCs/>
          <w:lang w:val="en-GB"/>
        </w:rPr>
        <w:t>Westland</w:t>
      </w:r>
      <w:r w:rsidRPr="00BD2B6E">
        <w:rPr>
          <w:lang w:val="en-GB"/>
        </w:rPr>
        <w:t>, while</w:t>
      </w:r>
      <w:r w:rsidRPr="00336C4D">
        <w:rPr>
          <w:lang w:val="en-GB"/>
        </w:rPr>
        <w:t xml:space="preserve"> the tribunal extended the arbitration agreement between Westland Helicopters and the Arab Organisation for Industrialisation to four non-signatory States (Egypt, United Arab Emirates, Saudi Arabia</w:t>
      </w:r>
      <w:r>
        <w:rPr>
          <w:lang w:val="en-GB"/>
        </w:rPr>
        <w:t>,</w:t>
      </w:r>
      <w:r w:rsidRPr="00336C4D">
        <w:rPr>
          <w:lang w:val="en-GB"/>
        </w:rPr>
        <w:t xml:space="preserve"> and Qatar), the Swiss Federal Tribunal set </w:t>
      </w:r>
      <w:r>
        <w:rPr>
          <w:lang w:val="en-GB"/>
        </w:rPr>
        <w:t>the award</w:t>
      </w:r>
      <w:r w:rsidRPr="00336C4D">
        <w:rPr>
          <w:lang w:val="en-GB"/>
        </w:rPr>
        <w:t xml:space="preserve"> aside (with respect to Egypt).</w:t>
      </w:r>
      <w:r w:rsidRPr="00336C4D">
        <w:rPr>
          <w:rStyle w:val="FootnoteReference"/>
          <w:lang w:val="en-GB"/>
        </w:rPr>
        <w:footnoteReference w:id="13"/>
      </w:r>
    </w:p>
    <w:p w14:paraId="02A34B2E" w14:textId="0BCC4D1D" w:rsidR="00B10BDB" w:rsidRDefault="00B10BDB" w:rsidP="00FB185A">
      <w:pPr>
        <w:widowControl w:val="0"/>
        <w:spacing w:line="276" w:lineRule="auto"/>
        <w:ind w:firstLine="720"/>
        <w:jc w:val="both"/>
        <w:rPr>
          <w:lang w:val="en-GB"/>
        </w:rPr>
      </w:pPr>
      <w:r>
        <w:rPr>
          <w:lang w:val="en-GB"/>
        </w:rPr>
        <w:t>T</w:t>
      </w:r>
      <w:r w:rsidRPr="00336C4D">
        <w:rPr>
          <w:lang w:val="en-GB"/>
        </w:rPr>
        <w:t>h</w:t>
      </w:r>
      <w:r>
        <w:rPr>
          <w:lang w:val="en-GB"/>
        </w:rPr>
        <w:t xml:space="preserve">is uncertainty </w:t>
      </w:r>
      <w:r w:rsidR="00A9131A">
        <w:rPr>
          <w:lang w:val="en-GB"/>
        </w:rPr>
        <w:t>is linked to the lack of</w:t>
      </w:r>
      <w:r>
        <w:rPr>
          <w:lang w:val="en-GB"/>
        </w:rPr>
        <w:t xml:space="preserve"> </w:t>
      </w:r>
      <w:r w:rsidRPr="00336C4D">
        <w:rPr>
          <w:lang w:val="en-GB"/>
        </w:rPr>
        <w:t>a proper theoretical framework</w:t>
      </w:r>
      <w:r>
        <w:rPr>
          <w:lang w:val="en-GB"/>
        </w:rPr>
        <w:t xml:space="preserve"> regarding </w:t>
      </w:r>
      <w:r w:rsidRPr="00336C4D">
        <w:rPr>
          <w:lang w:val="en-GB"/>
        </w:rPr>
        <w:t>the extension of arbitration agreements to non-signatories</w:t>
      </w:r>
      <w:r>
        <w:rPr>
          <w:lang w:val="en-GB"/>
        </w:rPr>
        <w:t>,</w:t>
      </w:r>
      <w:r w:rsidRPr="00336C4D">
        <w:rPr>
          <w:rStyle w:val="FootnoteReference"/>
          <w:lang w:val="en-GB"/>
        </w:rPr>
        <w:footnoteReference w:id="14"/>
      </w:r>
      <w:r w:rsidRPr="00336C4D">
        <w:rPr>
          <w:lang w:val="en-GB"/>
        </w:rPr>
        <w:t xml:space="preserve"> especially in arbitrations involving States or State entities.</w:t>
      </w:r>
      <w:r w:rsidRPr="00336C4D">
        <w:rPr>
          <w:rStyle w:val="FootnoteReference"/>
          <w:lang w:val="en-GB"/>
        </w:rPr>
        <w:footnoteReference w:id="15"/>
      </w:r>
      <w:r w:rsidRPr="00336C4D">
        <w:rPr>
          <w:lang w:val="en-GB"/>
        </w:rPr>
        <w:t xml:space="preserve"> According to a </w:t>
      </w:r>
      <w:r w:rsidR="00A9131A">
        <w:rPr>
          <w:lang w:val="en-GB"/>
        </w:rPr>
        <w:t>popular</w:t>
      </w:r>
      <w:r w:rsidRPr="00336C4D">
        <w:rPr>
          <w:lang w:val="en-GB"/>
        </w:rPr>
        <w:t xml:space="preserve"> arbitrator, ‘the “extension” of the arbitration clause to the non-signatory State, is to a large extent a matter of personal judgment’, thus explaining ‘why, confronted with relatively similar factual and legal contexts, different arbitral tribunals or courts may sometimes reach – and have sometimes reached – opposite conclusions’.</w:t>
      </w:r>
      <w:r w:rsidRPr="00336C4D">
        <w:rPr>
          <w:rStyle w:val="FootnoteReference"/>
          <w:lang w:val="en-GB"/>
        </w:rPr>
        <w:footnoteReference w:id="16"/>
      </w:r>
      <w:r w:rsidRPr="00336C4D">
        <w:rPr>
          <w:lang w:val="en-GB"/>
        </w:rPr>
        <w:t xml:space="preserve"> Indeed, most of the analysis to date directly proceeds </w:t>
      </w:r>
      <w:r>
        <w:rPr>
          <w:lang w:val="en-GB"/>
        </w:rPr>
        <w:t xml:space="preserve">with providing </w:t>
      </w:r>
      <w:r w:rsidRPr="00336C4D">
        <w:rPr>
          <w:lang w:val="en-GB"/>
        </w:rPr>
        <w:t xml:space="preserve">a typology of cases </w:t>
      </w:r>
      <w:r w:rsidR="00A9131A">
        <w:rPr>
          <w:lang w:val="en-GB"/>
        </w:rPr>
        <w:t>where</w:t>
      </w:r>
      <w:r w:rsidRPr="00336C4D">
        <w:rPr>
          <w:lang w:val="en-GB"/>
        </w:rPr>
        <w:t xml:space="preserve"> such extension is justified,</w:t>
      </w:r>
      <w:r w:rsidRPr="00336C4D">
        <w:rPr>
          <w:rStyle w:val="FootnoteReference"/>
          <w:lang w:val="en-GB"/>
        </w:rPr>
        <w:footnoteReference w:id="17"/>
      </w:r>
      <w:r w:rsidRPr="00336C4D">
        <w:rPr>
          <w:lang w:val="en-GB"/>
        </w:rPr>
        <w:t xml:space="preserve"> without first determining the applicable law</w:t>
      </w:r>
      <w:r>
        <w:rPr>
          <w:lang w:val="en-GB"/>
        </w:rPr>
        <w:t xml:space="preserve"> on the issue</w:t>
      </w:r>
      <w:r w:rsidRPr="00336C4D">
        <w:rPr>
          <w:lang w:val="en-GB"/>
        </w:rPr>
        <w:t>.</w:t>
      </w:r>
      <w:r w:rsidRPr="00336C4D">
        <w:rPr>
          <w:rStyle w:val="FootnoteReference"/>
          <w:lang w:val="en-GB"/>
        </w:rPr>
        <w:footnoteReference w:id="18"/>
      </w:r>
      <w:r w:rsidRPr="00336C4D">
        <w:rPr>
          <w:lang w:val="en-GB"/>
        </w:rPr>
        <w:t xml:space="preserve"> The German Supreme Court held that when there is a need to protect the non-signatory party, the issue of the extension of the arbitration agreement to it will be governed by the law applicable to the relationship between the third party and the party to the arbitration agreement </w:t>
      </w:r>
      <w:r w:rsidRPr="00336C4D">
        <w:rPr>
          <w:lang w:val="en-GB"/>
        </w:rPr>
        <w:lastRenderedPageBreak/>
        <w:t>(rather than the law applicable to the arbitration agreement).</w:t>
      </w:r>
      <w:r w:rsidRPr="00336C4D">
        <w:rPr>
          <w:rStyle w:val="FootnoteReference"/>
          <w:lang w:val="en-GB"/>
        </w:rPr>
        <w:footnoteReference w:id="19"/>
      </w:r>
      <w:r w:rsidRPr="00336C4D">
        <w:rPr>
          <w:lang w:val="en-GB"/>
        </w:rPr>
        <w:t xml:space="preserve"> However, a case-by-case approach or the inevitable exercise of the </w:t>
      </w:r>
      <w:r>
        <w:rPr>
          <w:lang w:val="en-GB"/>
        </w:rPr>
        <w:t>adjudicators</w:t>
      </w:r>
      <w:r w:rsidRPr="00336C4D">
        <w:rPr>
          <w:lang w:val="en-GB"/>
        </w:rPr>
        <w:t>’ judgment cannot substitute methodology.</w:t>
      </w:r>
      <w:r w:rsidRPr="00336C4D">
        <w:rPr>
          <w:rStyle w:val="FootnoteReference"/>
          <w:lang w:val="en-GB"/>
        </w:rPr>
        <w:footnoteReference w:id="20"/>
      </w:r>
      <w:r w:rsidRPr="00336C4D">
        <w:rPr>
          <w:lang w:val="en-GB"/>
        </w:rPr>
        <w:t xml:space="preserve"> In 2017 Professor </w:t>
      </w:r>
      <w:proofErr w:type="spellStart"/>
      <w:r w:rsidRPr="00336C4D">
        <w:rPr>
          <w:lang w:val="en-GB"/>
        </w:rPr>
        <w:t>Brekoulakis</w:t>
      </w:r>
      <w:proofErr w:type="spellEnd"/>
      <w:r w:rsidRPr="00336C4D">
        <w:rPr>
          <w:lang w:val="en-GB"/>
        </w:rPr>
        <w:t xml:space="preserve"> suggested </w:t>
      </w:r>
      <w:r>
        <w:rPr>
          <w:lang w:val="en-GB"/>
        </w:rPr>
        <w:t>a new</w:t>
      </w:r>
      <w:r w:rsidRPr="00336C4D">
        <w:rPr>
          <w:lang w:val="en-GB"/>
        </w:rPr>
        <w:t xml:space="preserve"> theory</w:t>
      </w:r>
      <w:r>
        <w:rPr>
          <w:lang w:val="en-GB"/>
        </w:rPr>
        <w:t xml:space="preserve"> for extending arbitration agreements to non-signatories</w:t>
      </w:r>
      <w:r w:rsidRPr="00336C4D">
        <w:rPr>
          <w:lang w:val="en-GB"/>
        </w:rPr>
        <w:t xml:space="preserve"> based on the concept of ‘dispute’.</w:t>
      </w:r>
      <w:r w:rsidRPr="00336C4D">
        <w:rPr>
          <w:rStyle w:val="FootnoteReference"/>
          <w:lang w:val="en-GB"/>
        </w:rPr>
        <w:footnoteReference w:id="21"/>
      </w:r>
      <w:r w:rsidRPr="00336C4D">
        <w:rPr>
          <w:lang w:val="en-GB"/>
        </w:rPr>
        <w:t xml:space="preserve"> </w:t>
      </w:r>
      <w:r w:rsidR="00821C75">
        <w:rPr>
          <w:lang w:val="en-GB"/>
        </w:rPr>
        <w:t>However, t</w:t>
      </w:r>
      <w:r w:rsidRPr="003241CA">
        <w:rPr>
          <w:lang w:val="en-GB"/>
        </w:rPr>
        <w:t xml:space="preserve">he determination of the applicable law always comes </w:t>
      </w:r>
      <w:r w:rsidRPr="003241CA">
        <w:rPr>
          <w:i/>
          <w:iCs/>
          <w:lang w:val="en-GB"/>
        </w:rPr>
        <w:t>before</w:t>
      </w:r>
      <w:r w:rsidRPr="003241CA">
        <w:rPr>
          <w:lang w:val="en-GB"/>
        </w:rPr>
        <w:t xml:space="preserve"> </w:t>
      </w:r>
      <w:r>
        <w:rPr>
          <w:lang w:val="en-GB"/>
        </w:rPr>
        <w:t>its</w:t>
      </w:r>
      <w:r w:rsidRPr="003241CA">
        <w:rPr>
          <w:lang w:val="en-GB"/>
        </w:rPr>
        <w:t xml:space="preserve"> application to specific facts.</w:t>
      </w:r>
      <w:r w:rsidRPr="00336C4D">
        <w:rPr>
          <w:lang w:val="en-GB"/>
        </w:rPr>
        <w:t xml:space="preserve"> The extension of the arbitration agreement to non-signatories can be no different. ‘Consent’, ‘abuse’, ‘need for protection’</w:t>
      </w:r>
      <w:r>
        <w:rPr>
          <w:lang w:val="en-GB"/>
        </w:rPr>
        <w:t>,</w:t>
      </w:r>
      <w:r w:rsidRPr="00336C4D">
        <w:rPr>
          <w:lang w:val="en-GB"/>
        </w:rPr>
        <w:t xml:space="preserve"> </w:t>
      </w:r>
      <w:r>
        <w:rPr>
          <w:lang w:val="en-GB"/>
        </w:rPr>
        <w:t xml:space="preserve">‘dispute’ </w:t>
      </w:r>
      <w:r>
        <w:rPr>
          <w:lang w:val="en-US"/>
        </w:rPr>
        <w:t xml:space="preserve">and other similar concepts </w:t>
      </w:r>
      <w:r w:rsidRPr="00336C4D">
        <w:rPr>
          <w:lang w:val="en-GB"/>
        </w:rPr>
        <w:t xml:space="preserve">are </w:t>
      </w:r>
      <w:r>
        <w:rPr>
          <w:lang w:val="en-GB"/>
        </w:rPr>
        <w:t>also</w:t>
      </w:r>
      <w:r w:rsidRPr="00336C4D">
        <w:rPr>
          <w:lang w:val="en-GB"/>
        </w:rPr>
        <w:t xml:space="preserve"> legal – not </w:t>
      </w:r>
      <w:r>
        <w:rPr>
          <w:lang w:val="en-GB"/>
        </w:rPr>
        <w:t>purely</w:t>
      </w:r>
      <w:r w:rsidRPr="00336C4D">
        <w:rPr>
          <w:lang w:val="en-GB"/>
        </w:rPr>
        <w:t xml:space="preserve"> factual – </w:t>
      </w:r>
      <w:r>
        <w:rPr>
          <w:lang w:val="en-GB"/>
        </w:rPr>
        <w:t>concepts</w:t>
      </w:r>
      <w:r w:rsidRPr="00336C4D">
        <w:rPr>
          <w:lang w:val="en-GB"/>
        </w:rPr>
        <w:t xml:space="preserve"> and can only be interpreted and applied within one (or more) legal system(s).</w:t>
      </w:r>
    </w:p>
    <w:p w14:paraId="348F982C" w14:textId="6AE7E41E" w:rsidR="00B10BDB" w:rsidRDefault="00B10BDB" w:rsidP="001B3617">
      <w:pPr>
        <w:widowControl w:val="0"/>
        <w:spacing w:line="276" w:lineRule="auto"/>
        <w:ind w:right="-6" w:firstLine="720"/>
        <w:jc w:val="both"/>
        <w:rPr>
          <w:lang w:val="en-GB"/>
        </w:rPr>
      </w:pPr>
      <w:r>
        <w:rPr>
          <w:lang w:val="en-GB"/>
        </w:rPr>
        <w:t>The argument of this article is set out in three main sections below.</w:t>
      </w:r>
      <w:r w:rsidRPr="00336C4D">
        <w:rPr>
          <w:lang w:val="en-GB"/>
        </w:rPr>
        <w:t xml:space="preserve"> </w:t>
      </w:r>
      <w:r w:rsidRPr="002C2000">
        <w:rPr>
          <w:b/>
          <w:bCs/>
          <w:szCs w:val="36"/>
          <w:lang w:val="en-GB"/>
        </w:rPr>
        <w:t>Section II</w:t>
      </w:r>
      <w:r>
        <w:rPr>
          <w:b/>
          <w:bCs/>
          <w:szCs w:val="36"/>
          <w:lang w:val="en-GB"/>
        </w:rPr>
        <w:t xml:space="preserve">. </w:t>
      </w:r>
      <w:r>
        <w:rPr>
          <w:lang w:val="en-GB"/>
        </w:rPr>
        <w:t xml:space="preserve">explains that </w:t>
      </w:r>
      <w:r>
        <w:rPr>
          <w:szCs w:val="36"/>
          <w:lang w:val="en-GB"/>
        </w:rPr>
        <w:t xml:space="preserve">the </w:t>
      </w:r>
      <w:r w:rsidRPr="00336C4D">
        <w:rPr>
          <w:szCs w:val="36"/>
          <w:lang w:val="en-GB"/>
        </w:rPr>
        <w:t xml:space="preserve">extension of the arbitration agreement to third parties will be determined by reference to </w:t>
      </w:r>
      <w:r>
        <w:rPr>
          <w:szCs w:val="36"/>
          <w:lang w:val="en-GB"/>
        </w:rPr>
        <w:t>(</w:t>
      </w:r>
      <w:proofErr w:type="spellStart"/>
      <w:r>
        <w:rPr>
          <w:szCs w:val="36"/>
          <w:lang w:val="en-GB"/>
        </w:rPr>
        <w:t>i</w:t>
      </w:r>
      <w:proofErr w:type="spellEnd"/>
      <w:r>
        <w:rPr>
          <w:szCs w:val="36"/>
          <w:lang w:val="en-GB"/>
        </w:rPr>
        <w:t xml:space="preserve">) </w:t>
      </w:r>
      <w:r w:rsidRPr="00336C4D">
        <w:rPr>
          <w:szCs w:val="36"/>
          <w:lang w:val="en-GB"/>
        </w:rPr>
        <w:t>the law applicable to the arbitration agreement, which will generally be either the law applicable to the contract containing the arbitration clause or the law of the seat</w:t>
      </w:r>
      <w:r>
        <w:rPr>
          <w:szCs w:val="36"/>
          <w:lang w:val="en-GB"/>
        </w:rPr>
        <w:t xml:space="preserve">, or (ii) </w:t>
      </w:r>
      <w:r w:rsidRPr="00336C4D">
        <w:rPr>
          <w:szCs w:val="36"/>
          <w:lang w:val="en-GB"/>
        </w:rPr>
        <w:t>by</w:t>
      </w:r>
      <w:r>
        <w:rPr>
          <w:szCs w:val="36"/>
          <w:lang w:val="en-GB"/>
        </w:rPr>
        <w:t xml:space="preserve"> </w:t>
      </w:r>
      <w:r w:rsidRPr="00336C4D">
        <w:rPr>
          <w:szCs w:val="36"/>
          <w:lang w:val="en-GB"/>
        </w:rPr>
        <w:t>applying transnational legal principles</w:t>
      </w:r>
      <w:r>
        <w:rPr>
          <w:szCs w:val="36"/>
          <w:lang w:val="en-GB"/>
        </w:rPr>
        <w:t>.</w:t>
      </w:r>
      <w:r w:rsidRPr="00336C4D">
        <w:rPr>
          <w:szCs w:val="36"/>
          <w:lang w:val="en-GB"/>
        </w:rPr>
        <w:t xml:space="preserve"> </w:t>
      </w:r>
      <w:r w:rsidR="00AD6A21" w:rsidRPr="00AD6A21">
        <w:rPr>
          <w:szCs w:val="36"/>
          <w:lang w:val="en-GB"/>
        </w:rPr>
        <w:t>Next, this article examines whether int</w:t>
      </w:r>
      <w:r w:rsidR="00AD6A21">
        <w:rPr>
          <w:szCs w:val="36"/>
          <w:lang w:val="en-GB"/>
        </w:rPr>
        <w:t>ernational</w:t>
      </w:r>
      <w:r w:rsidR="00AD6A21" w:rsidRPr="00AD6A21">
        <w:rPr>
          <w:szCs w:val="36"/>
          <w:lang w:val="en-GB"/>
        </w:rPr>
        <w:t xml:space="preserve"> law plays a role in that regard, concluding that </w:t>
      </w:r>
      <w:r w:rsidR="00AD6A21">
        <w:rPr>
          <w:szCs w:val="36"/>
          <w:lang w:val="en-GB"/>
        </w:rPr>
        <w:t>it</w:t>
      </w:r>
      <w:r w:rsidR="00AD6A21" w:rsidRPr="00AD6A21">
        <w:rPr>
          <w:szCs w:val="36"/>
          <w:lang w:val="en-GB"/>
        </w:rPr>
        <w:t xml:space="preserve"> is, indeed, relevant</w:t>
      </w:r>
      <w:r w:rsidRPr="00336C4D">
        <w:rPr>
          <w:lang w:val="en-GB"/>
        </w:rPr>
        <w:t xml:space="preserve"> (</w:t>
      </w:r>
      <w:r w:rsidRPr="00336C4D">
        <w:rPr>
          <w:b/>
          <w:bCs/>
          <w:lang w:val="en-GB"/>
        </w:rPr>
        <w:t>Section I</w:t>
      </w:r>
      <w:r>
        <w:rPr>
          <w:b/>
          <w:bCs/>
          <w:lang w:val="en-GB"/>
        </w:rPr>
        <w:t>II</w:t>
      </w:r>
      <w:r w:rsidRPr="00336C4D">
        <w:rPr>
          <w:b/>
          <w:bCs/>
          <w:lang w:val="en-GB"/>
        </w:rPr>
        <w:t>.</w:t>
      </w:r>
      <w:r w:rsidRPr="00336C4D">
        <w:rPr>
          <w:lang w:val="en-GB"/>
        </w:rPr>
        <w:t xml:space="preserve">). </w:t>
      </w:r>
      <w:r w:rsidRPr="002C2000">
        <w:rPr>
          <w:b/>
          <w:bCs/>
          <w:lang w:val="en-GB"/>
        </w:rPr>
        <w:t xml:space="preserve">Section </w:t>
      </w:r>
      <w:r>
        <w:rPr>
          <w:b/>
          <w:bCs/>
          <w:lang w:val="en-GB"/>
        </w:rPr>
        <w:t>I</w:t>
      </w:r>
      <w:r w:rsidRPr="002C2000">
        <w:rPr>
          <w:b/>
          <w:bCs/>
          <w:lang w:val="en-GB"/>
        </w:rPr>
        <w:t>V</w:t>
      </w:r>
      <w:r>
        <w:rPr>
          <w:b/>
          <w:bCs/>
          <w:lang w:val="en-GB"/>
        </w:rPr>
        <w:t>.</w:t>
      </w:r>
      <w:r w:rsidR="00AD6A21" w:rsidRPr="00AD6A21">
        <w:t xml:space="preserve"> </w:t>
      </w:r>
      <w:r w:rsidR="00AD6A21" w:rsidRPr="00AD6A21">
        <w:rPr>
          <w:lang w:val="en-GB"/>
        </w:rPr>
        <w:t xml:space="preserve">explores the </w:t>
      </w:r>
      <w:r w:rsidR="00AD6A21">
        <w:rPr>
          <w:lang w:val="en-GB"/>
        </w:rPr>
        <w:t>international legal</w:t>
      </w:r>
      <w:r w:rsidR="00AD6A21" w:rsidRPr="00AD6A21">
        <w:rPr>
          <w:lang w:val="en-GB"/>
        </w:rPr>
        <w:t xml:space="preserve"> principles that are relevant to the extension of arb</w:t>
      </w:r>
      <w:r w:rsidR="00AD6A21">
        <w:rPr>
          <w:lang w:val="en-GB"/>
        </w:rPr>
        <w:t>itration</w:t>
      </w:r>
      <w:r w:rsidR="00AD6A21" w:rsidRPr="00AD6A21">
        <w:rPr>
          <w:lang w:val="en-GB"/>
        </w:rPr>
        <w:t xml:space="preserve"> agreements to non-signatories</w:t>
      </w:r>
      <w:r w:rsidRPr="00336C4D">
        <w:rPr>
          <w:lang w:val="en-GB"/>
        </w:rPr>
        <w:t xml:space="preserve">. The conventional </w:t>
      </w:r>
      <w:r w:rsidRPr="00336C4D">
        <w:rPr>
          <w:i/>
          <w:iCs/>
          <w:lang w:val="en-GB"/>
        </w:rPr>
        <w:t xml:space="preserve">summa </w:t>
      </w:r>
      <w:proofErr w:type="spellStart"/>
      <w:r w:rsidRPr="00336C4D">
        <w:rPr>
          <w:i/>
          <w:iCs/>
          <w:lang w:val="en-GB"/>
        </w:rPr>
        <w:t>divisio</w:t>
      </w:r>
      <w:proofErr w:type="spellEnd"/>
      <w:r w:rsidRPr="00336C4D">
        <w:rPr>
          <w:lang w:val="en-GB"/>
        </w:rPr>
        <w:t xml:space="preserve"> of the bases for extending arbitration agreement</w:t>
      </w:r>
      <w:r>
        <w:rPr>
          <w:lang w:val="en-GB"/>
        </w:rPr>
        <w:t>s</w:t>
      </w:r>
      <w:r w:rsidRPr="00336C4D">
        <w:rPr>
          <w:lang w:val="en-GB"/>
        </w:rPr>
        <w:t xml:space="preserve"> to non-signatories is between consensual theories, revolving around the idea of implied consent, and non-consensual theories.</w:t>
      </w:r>
      <w:r w:rsidRPr="00336C4D">
        <w:rPr>
          <w:rStyle w:val="FootnoteReference"/>
          <w:lang w:val="en-GB"/>
        </w:rPr>
        <w:footnoteReference w:id="22"/>
      </w:r>
      <w:r>
        <w:rPr>
          <w:lang w:val="en-GB"/>
        </w:rPr>
        <w:t xml:space="preserve"> The discussion of the relevant international rules will follow that distinction in </w:t>
      </w:r>
      <w:r w:rsidRPr="00B3292C">
        <w:rPr>
          <w:b/>
          <w:bCs/>
          <w:lang w:val="en-GB"/>
        </w:rPr>
        <w:t xml:space="preserve">Sections </w:t>
      </w:r>
      <w:r>
        <w:rPr>
          <w:b/>
          <w:bCs/>
          <w:lang w:val="en-GB"/>
        </w:rPr>
        <w:t>I</w:t>
      </w:r>
      <w:r w:rsidRPr="00B3292C">
        <w:rPr>
          <w:b/>
          <w:bCs/>
          <w:lang w:val="en-GB"/>
        </w:rPr>
        <w:t>V.A.</w:t>
      </w:r>
      <w:r>
        <w:rPr>
          <w:lang w:val="en-GB"/>
        </w:rPr>
        <w:t xml:space="preserve"> and </w:t>
      </w:r>
      <w:r w:rsidRPr="00E0479F">
        <w:rPr>
          <w:b/>
          <w:bCs/>
          <w:lang w:val="en-GB"/>
        </w:rPr>
        <w:t>I</w:t>
      </w:r>
      <w:r w:rsidRPr="00B3292C">
        <w:rPr>
          <w:b/>
          <w:bCs/>
          <w:lang w:val="en-GB"/>
        </w:rPr>
        <w:t>V.B.</w:t>
      </w:r>
      <w:r>
        <w:rPr>
          <w:lang w:val="en-GB"/>
        </w:rPr>
        <w:t xml:space="preserve"> respectively. </w:t>
      </w:r>
      <w:r w:rsidRPr="00336C4D">
        <w:rPr>
          <w:b/>
          <w:bCs/>
          <w:lang w:val="en-GB"/>
        </w:rPr>
        <w:t>Section V</w:t>
      </w:r>
      <w:r>
        <w:rPr>
          <w:b/>
          <w:bCs/>
          <w:lang w:val="en-GB"/>
        </w:rPr>
        <w:t>.</w:t>
      </w:r>
      <w:r w:rsidRPr="00336C4D">
        <w:rPr>
          <w:lang w:val="en-GB"/>
        </w:rPr>
        <w:t xml:space="preserve"> concludes.</w:t>
      </w:r>
    </w:p>
    <w:p w14:paraId="64E1587C" w14:textId="028B58A3" w:rsidR="00B10BDB" w:rsidRDefault="00B10BDB" w:rsidP="00F02E10">
      <w:pPr>
        <w:keepNext/>
        <w:widowControl w:val="0"/>
        <w:spacing w:line="276" w:lineRule="auto"/>
        <w:ind w:right="-6" w:firstLine="720"/>
        <w:jc w:val="both"/>
        <w:rPr>
          <w:lang w:val="en-GB"/>
        </w:rPr>
      </w:pPr>
      <w:r>
        <w:rPr>
          <w:lang w:val="en-GB"/>
        </w:rPr>
        <w:lastRenderedPageBreak/>
        <w:t>Before analysi</w:t>
      </w:r>
      <w:r w:rsidR="00531500">
        <w:rPr>
          <w:lang w:val="en-GB"/>
        </w:rPr>
        <w:t>ng</w:t>
      </w:r>
      <w:r>
        <w:rPr>
          <w:lang w:val="en-GB"/>
        </w:rPr>
        <w:t xml:space="preserve"> the salient issues two caveats are necessary. This article does not </w:t>
      </w:r>
      <w:r>
        <w:rPr>
          <w:lang w:val="en-US"/>
        </w:rPr>
        <w:t>examine</w:t>
      </w:r>
      <w:r>
        <w:rPr>
          <w:lang w:val="en-GB"/>
        </w:rPr>
        <w:t xml:space="preserve"> two questions: (</w:t>
      </w:r>
      <w:proofErr w:type="spellStart"/>
      <w:r>
        <w:rPr>
          <w:lang w:val="en-GB"/>
        </w:rPr>
        <w:t>i</w:t>
      </w:r>
      <w:proofErr w:type="spellEnd"/>
      <w:r>
        <w:rPr>
          <w:lang w:val="en-GB"/>
        </w:rPr>
        <w:t xml:space="preserve">) the definition of ‘State contracts’ and (ii) the delineation of </w:t>
      </w:r>
      <w:r>
        <w:rPr>
          <w:lang w:val="en-US"/>
        </w:rPr>
        <w:t xml:space="preserve">the concept </w:t>
      </w:r>
      <w:r w:rsidR="00505282">
        <w:rPr>
          <w:lang w:val="en-US"/>
        </w:rPr>
        <w:t xml:space="preserve">of </w:t>
      </w:r>
      <w:r>
        <w:rPr>
          <w:lang w:val="en-GB"/>
        </w:rPr>
        <w:t xml:space="preserve">‘State </w:t>
      </w:r>
      <w:proofErr w:type="gramStart"/>
      <w:r>
        <w:rPr>
          <w:lang w:val="en-GB"/>
        </w:rPr>
        <w:t>entities’</w:t>
      </w:r>
      <w:proofErr w:type="gramEnd"/>
      <w:r>
        <w:rPr>
          <w:lang w:val="en-GB"/>
        </w:rPr>
        <w:t xml:space="preserve">. The analysis of either warrants the length of a separate article or even a monograph. The concept of State contracts is </w:t>
      </w:r>
      <w:r w:rsidR="005F4BD7">
        <w:rPr>
          <w:lang w:val="en-GB"/>
        </w:rPr>
        <w:t>extensively</w:t>
      </w:r>
      <w:r>
        <w:rPr>
          <w:lang w:val="en-GB"/>
        </w:rPr>
        <w:t xml:space="preserve"> discussed in the relevant literature.</w:t>
      </w:r>
      <w:r>
        <w:rPr>
          <w:rStyle w:val="FootnoteReference"/>
          <w:lang w:val="en-GB"/>
        </w:rPr>
        <w:footnoteReference w:id="23"/>
      </w:r>
      <w:r>
        <w:rPr>
          <w:lang w:val="en-GB"/>
        </w:rPr>
        <w:t xml:space="preserve"> For the purposes of this article State contracts are understood as contracts between State or State entities and foreign investors concerning foreign investments.</w:t>
      </w:r>
      <w:r>
        <w:rPr>
          <w:rStyle w:val="FootnoteReference"/>
          <w:lang w:val="en-GB"/>
        </w:rPr>
        <w:footnoteReference w:id="24"/>
      </w:r>
      <w:r>
        <w:rPr>
          <w:lang w:val="en-GB"/>
        </w:rPr>
        <w:t xml:space="preserve"> Likewise, </w:t>
      </w:r>
      <w:r w:rsidR="00505282">
        <w:rPr>
          <w:lang w:val="en-GB"/>
        </w:rPr>
        <w:t xml:space="preserve">questions regarding </w:t>
      </w:r>
      <w:r>
        <w:rPr>
          <w:lang w:val="en-GB"/>
        </w:rPr>
        <w:t>w</w:t>
      </w:r>
      <w:r w:rsidRPr="00E81B76">
        <w:rPr>
          <w:lang w:val="en-GB"/>
        </w:rPr>
        <w:t>hat counts as a State entity, and</w:t>
      </w:r>
      <w:r>
        <w:rPr>
          <w:lang w:val="en-GB"/>
        </w:rPr>
        <w:t>,</w:t>
      </w:r>
      <w:r w:rsidRPr="00E81B76">
        <w:rPr>
          <w:lang w:val="en-GB"/>
        </w:rPr>
        <w:t xml:space="preserve"> perhaps more importantly</w:t>
      </w:r>
      <w:r>
        <w:rPr>
          <w:lang w:val="en-GB"/>
        </w:rPr>
        <w:t>,</w:t>
      </w:r>
      <w:r w:rsidRPr="00E81B76">
        <w:rPr>
          <w:lang w:val="en-GB"/>
        </w:rPr>
        <w:t xml:space="preserve"> what </w:t>
      </w:r>
      <w:r w:rsidR="00505282">
        <w:rPr>
          <w:lang w:val="en-GB"/>
        </w:rPr>
        <w:t xml:space="preserve">are </w:t>
      </w:r>
      <w:r w:rsidRPr="00E81B76">
        <w:rPr>
          <w:lang w:val="en-GB"/>
        </w:rPr>
        <w:t xml:space="preserve">the relevant rules for such determination </w:t>
      </w:r>
      <w:r w:rsidR="00505282">
        <w:rPr>
          <w:lang w:val="en-GB"/>
        </w:rPr>
        <w:t>are</w:t>
      </w:r>
      <w:r w:rsidRPr="00E81B76">
        <w:rPr>
          <w:lang w:val="en-GB"/>
        </w:rPr>
        <w:t xml:space="preserve"> beyond the scope of this article.</w:t>
      </w:r>
      <w:r w:rsidRPr="00336C4D">
        <w:rPr>
          <w:rStyle w:val="FootnoteReference"/>
          <w:lang w:val="en-GB"/>
        </w:rPr>
        <w:footnoteReference w:id="25"/>
      </w:r>
      <w:r>
        <w:rPr>
          <w:lang w:val="en-GB"/>
        </w:rPr>
        <w:t xml:space="preserve"> However, these caveats do not diminish the article’s </w:t>
      </w:r>
      <w:r>
        <w:rPr>
          <w:lang w:val="en-US"/>
        </w:rPr>
        <w:t>original contribution</w:t>
      </w:r>
      <w:r>
        <w:rPr>
          <w:lang w:val="en-GB"/>
        </w:rPr>
        <w:t>. Consensus among the parties about the nature of their contract or the characterisation of a particular entity as State entity does not prevent disputes regarding the extension of arbitration agreements to non-signatories.</w:t>
      </w:r>
    </w:p>
    <w:p w14:paraId="3043B05F" w14:textId="788B365A" w:rsidR="00B10BDB" w:rsidRPr="00407C68" w:rsidRDefault="00B10BDB" w:rsidP="00407C68">
      <w:pPr>
        <w:pStyle w:val="Heading1"/>
        <w:spacing w:line="276" w:lineRule="auto"/>
        <w:ind w:left="851" w:hanging="851"/>
        <w:jc w:val="both"/>
        <w:rPr>
          <w:rFonts w:ascii="Times New Roman" w:hAnsi="Times New Roman" w:cs="Times New Roman"/>
          <w:szCs w:val="24"/>
          <w:lang w:val="en-GB"/>
        </w:rPr>
      </w:pPr>
      <w:bookmarkStart w:id="2" w:name="_Toc63442245"/>
      <w:r>
        <w:rPr>
          <w:rFonts w:ascii="Times New Roman" w:hAnsi="Times New Roman" w:cs="Times New Roman"/>
          <w:szCs w:val="24"/>
          <w:lang w:val="en-GB"/>
        </w:rPr>
        <w:t>I</w:t>
      </w:r>
      <w:r w:rsidRPr="00336C4D">
        <w:rPr>
          <w:rFonts w:ascii="Times New Roman" w:hAnsi="Times New Roman" w:cs="Times New Roman"/>
          <w:szCs w:val="24"/>
          <w:lang w:val="en-GB"/>
        </w:rPr>
        <w:t>I.</w:t>
      </w:r>
      <w:r w:rsidRPr="00336C4D">
        <w:rPr>
          <w:rFonts w:ascii="Times New Roman" w:hAnsi="Times New Roman" w:cs="Times New Roman"/>
          <w:szCs w:val="24"/>
          <w:lang w:val="en-GB"/>
        </w:rPr>
        <w:tab/>
        <w:t>THE LAW GOVERNING THE EXTENSION OF THE ARBITRATION AGREEMENT TO NON-SIGNATORIES</w:t>
      </w:r>
      <w:bookmarkEnd w:id="2"/>
    </w:p>
    <w:p w14:paraId="59B4A635" w14:textId="77777777" w:rsidR="00B10BDB" w:rsidRPr="00336C4D" w:rsidRDefault="00B10BDB" w:rsidP="000476F9">
      <w:pPr>
        <w:widowControl w:val="0"/>
        <w:spacing w:line="276" w:lineRule="auto"/>
        <w:jc w:val="both"/>
        <w:rPr>
          <w:lang w:val="en-GB"/>
        </w:rPr>
      </w:pPr>
    </w:p>
    <w:p w14:paraId="0C0A97A9" w14:textId="38E0CC79" w:rsidR="00B10BDB" w:rsidRPr="00336C4D" w:rsidRDefault="00B10BDB" w:rsidP="006F567F">
      <w:pPr>
        <w:spacing w:line="276" w:lineRule="auto"/>
        <w:jc w:val="both"/>
        <w:rPr>
          <w:lang w:val="en-GB"/>
        </w:rPr>
      </w:pPr>
      <w:r w:rsidRPr="00336C4D">
        <w:rPr>
          <w:lang w:val="en-GB"/>
        </w:rPr>
        <w:t xml:space="preserve">The first answer in response to what is the law applicable to </w:t>
      </w:r>
      <w:r>
        <w:rPr>
          <w:lang w:val="en-US"/>
        </w:rPr>
        <w:t xml:space="preserve">the </w:t>
      </w:r>
      <w:r w:rsidRPr="00336C4D">
        <w:rPr>
          <w:lang w:val="en-GB"/>
        </w:rPr>
        <w:t>issue of the extension of the arbitration agreement to non-signatories is that this is no other than the law governing such agreement.</w:t>
      </w:r>
      <w:r w:rsidRPr="00336C4D">
        <w:rPr>
          <w:rStyle w:val="FootnoteReference"/>
          <w:lang w:val="en-GB"/>
        </w:rPr>
        <w:footnoteReference w:id="26"/>
      </w:r>
      <w:r w:rsidRPr="00336C4D">
        <w:rPr>
          <w:lang w:val="en-GB"/>
        </w:rPr>
        <w:t xml:space="preserve"> After all, the word “extension” is not entirely accurate</w:t>
      </w:r>
      <w:r w:rsidRPr="00336C4D">
        <w:rPr>
          <w:rStyle w:val="FootnoteReference"/>
          <w:lang w:val="en-GB"/>
        </w:rPr>
        <w:footnoteReference w:id="27"/>
      </w:r>
      <w:r w:rsidRPr="00336C4D">
        <w:rPr>
          <w:lang w:val="en-GB"/>
        </w:rPr>
        <w:t xml:space="preserve"> and the question</w:t>
      </w:r>
      <w:r>
        <w:rPr>
          <w:lang w:val="en-GB"/>
        </w:rPr>
        <w:t xml:space="preserve"> really</w:t>
      </w:r>
      <w:r w:rsidRPr="00336C4D">
        <w:rPr>
          <w:lang w:val="en-GB"/>
        </w:rPr>
        <w:t xml:space="preserve"> revolves around the personal scope of the arbitration agreement</w:t>
      </w:r>
      <w:r>
        <w:rPr>
          <w:lang w:val="en-GB"/>
        </w:rPr>
        <w:t xml:space="preserve"> </w:t>
      </w:r>
      <w:r w:rsidRPr="009C52A5">
        <w:rPr>
          <w:lang w:val="en-GB"/>
        </w:rPr>
        <w:t>(</w:t>
      </w:r>
      <w:r>
        <w:rPr>
          <w:lang w:val="en-GB"/>
        </w:rPr>
        <w:t xml:space="preserve">jurisdiction </w:t>
      </w:r>
      <w:proofErr w:type="spellStart"/>
      <w:r w:rsidRPr="001B3617">
        <w:rPr>
          <w:i/>
          <w:iCs/>
          <w:lang w:val="en-GB"/>
        </w:rPr>
        <w:t>ratione</w:t>
      </w:r>
      <w:proofErr w:type="spellEnd"/>
      <w:r w:rsidRPr="001B3617">
        <w:rPr>
          <w:i/>
          <w:iCs/>
          <w:lang w:val="en-GB"/>
        </w:rPr>
        <w:t xml:space="preserve"> personae</w:t>
      </w:r>
      <w:r>
        <w:rPr>
          <w:lang w:val="en-GB"/>
        </w:rPr>
        <w:t>)</w:t>
      </w:r>
      <w:r w:rsidRPr="00336C4D">
        <w:rPr>
          <w:lang w:val="en-GB"/>
        </w:rPr>
        <w:t>.</w:t>
      </w:r>
    </w:p>
    <w:p w14:paraId="777F8156" w14:textId="428E800D" w:rsidR="00B10BDB" w:rsidRDefault="00B10BDB" w:rsidP="000476F9">
      <w:pPr>
        <w:widowControl w:val="0"/>
        <w:spacing w:line="276" w:lineRule="auto"/>
        <w:ind w:firstLine="720"/>
        <w:jc w:val="both"/>
        <w:rPr>
          <w:lang w:val="en-GB"/>
        </w:rPr>
      </w:pPr>
      <w:r>
        <w:rPr>
          <w:lang w:val="en-GB"/>
        </w:rPr>
        <w:lastRenderedPageBreak/>
        <w:t>T</w:t>
      </w:r>
      <w:r w:rsidRPr="00336C4D">
        <w:rPr>
          <w:lang w:val="en-GB"/>
        </w:rPr>
        <w:t>he parties could very well explicitly choose a particular law to govern their agreement to arbitrate and</w:t>
      </w:r>
      <w:r>
        <w:rPr>
          <w:lang w:val="en-GB"/>
        </w:rPr>
        <w:t>, naturally,</w:t>
      </w:r>
      <w:r w:rsidRPr="00336C4D">
        <w:rPr>
          <w:lang w:val="en-GB"/>
        </w:rPr>
        <w:t xml:space="preserve"> this would be the end of the matter.</w:t>
      </w:r>
      <w:r w:rsidRPr="00336C4D">
        <w:rPr>
          <w:rStyle w:val="FootnoteReference"/>
          <w:lang w:val="en-GB"/>
        </w:rPr>
        <w:footnoteReference w:id="28"/>
      </w:r>
      <w:r w:rsidRPr="00336C4D">
        <w:rPr>
          <w:lang w:val="en-GB"/>
        </w:rPr>
        <w:t xml:space="preserve"> However, this rarely happens.</w:t>
      </w:r>
      <w:r w:rsidRPr="00336C4D">
        <w:rPr>
          <w:rStyle w:val="FootnoteReference"/>
          <w:lang w:val="en-GB"/>
        </w:rPr>
        <w:footnoteReference w:id="29"/>
      </w:r>
      <w:r w:rsidRPr="00336C4D">
        <w:rPr>
          <w:lang w:val="en-GB"/>
        </w:rPr>
        <w:t xml:space="preserve"> In the absence of an explicit choice of the law applicable to the arbitration agreement, </w:t>
      </w:r>
      <w:r>
        <w:rPr>
          <w:lang w:val="en-GB"/>
        </w:rPr>
        <w:t xml:space="preserve">in most cases </w:t>
      </w:r>
      <w:r w:rsidRPr="00336C4D">
        <w:rPr>
          <w:lang w:val="en-GB"/>
        </w:rPr>
        <w:t>courts and tribunals either apply the law applicable to the contract containing th</w:t>
      </w:r>
      <w:r>
        <w:rPr>
          <w:lang w:val="en-GB"/>
        </w:rPr>
        <w:t>at</w:t>
      </w:r>
      <w:r w:rsidRPr="00336C4D">
        <w:rPr>
          <w:lang w:val="en-GB"/>
        </w:rPr>
        <w:t xml:space="preserve"> arbitration agreement</w:t>
      </w:r>
      <w:r>
        <w:rPr>
          <w:lang w:val="en-GB"/>
        </w:rPr>
        <w:t xml:space="preserve"> </w:t>
      </w:r>
      <w:r w:rsidRPr="00336C4D">
        <w:rPr>
          <w:lang w:val="en-GB"/>
        </w:rPr>
        <w:t>or the law of the seat (</w:t>
      </w:r>
      <w:proofErr w:type="spellStart"/>
      <w:r w:rsidRPr="00336C4D">
        <w:rPr>
          <w:i/>
          <w:iCs/>
          <w:lang w:val="en-GB"/>
        </w:rPr>
        <w:t>lex</w:t>
      </w:r>
      <w:proofErr w:type="spellEnd"/>
      <w:r w:rsidRPr="00336C4D">
        <w:rPr>
          <w:i/>
          <w:iCs/>
          <w:lang w:val="en-GB"/>
        </w:rPr>
        <w:t xml:space="preserve"> loci </w:t>
      </w:r>
      <w:proofErr w:type="spellStart"/>
      <w:r w:rsidRPr="00336C4D">
        <w:rPr>
          <w:i/>
          <w:iCs/>
          <w:lang w:val="en-GB"/>
        </w:rPr>
        <w:t>arbitri</w:t>
      </w:r>
      <w:proofErr w:type="spellEnd"/>
      <w:r w:rsidRPr="00336C4D">
        <w:rPr>
          <w:lang w:val="en-GB"/>
        </w:rPr>
        <w:t>),</w:t>
      </w:r>
      <w:r>
        <w:rPr>
          <w:lang w:val="en-GB"/>
        </w:rPr>
        <w:t xml:space="preserve"> </w:t>
      </w:r>
      <w:r w:rsidRPr="00336C4D">
        <w:rPr>
          <w:lang w:val="en-GB"/>
        </w:rPr>
        <w:t>which governs procedural matters.</w:t>
      </w:r>
      <w:r w:rsidRPr="00336C4D">
        <w:rPr>
          <w:rStyle w:val="FootnoteReference"/>
          <w:lang w:val="en-GB"/>
        </w:rPr>
        <w:footnoteReference w:id="30"/>
      </w:r>
    </w:p>
    <w:p w14:paraId="5B821F8E" w14:textId="6E1A928A" w:rsidR="00B10BDB" w:rsidRPr="00336C4D" w:rsidRDefault="00B10BDB" w:rsidP="00BE3BA2">
      <w:pPr>
        <w:widowControl w:val="0"/>
        <w:spacing w:line="276" w:lineRule="auto"/>
        <w:ind w:firstLine="720"/>
        <w:jc w:val="both"/>
        <w:rPr>
          <w:lang w:val="en-GB"/>
        </w:rPr>
      </w:pPr>
      <w:r w:rsidRPr="00336C4D">
        <w:rPr>
          <w:lang w:val="en-GB"/>
        </w:rPr>
        <w:t>In the early 1990s the conventional wisdom</w:t>
      </w:r>
      <w:r>
        <w:rPr>
          <w:lang w:val="en-GB"/>
        </w:rPr>
        <w:t>,</w:t>
      </w:r>
      <w:r w:rsidRPr="00336C4D">
        <w:rPr>
          <w:lang w:val="en-GB"/>
        </w:rPr>
        <w:t xml:space="preserve"> as expressed by Lord </w:t>
      </w:r>
      <w:proofErr w:type="spellStart"/>
      <w:r w:rsidRPr="00336C4D">
        <w:rPr>
          <w:lang w:val="en-GB"/>
        </w:rPr>
        <w:t>Mustill</w:t>
      </w:r>
      <w:proofErr w:type="spellEnd"/>
      <w:r>
        <w:rPr>
          <w:lang w:val="en-GB"/>
        </w:rPr>
        <w:t>,</w:t>
      </w:r>
      <w:r w:rsidRPr="00336C4D">
        <w:rPr>
          <w:lang w:val="en-GB"/>
        </w:rPr>
        <w:t xml:space="preserve"> was that it would be ‘exceptional’ for the law applicable to the arbitration agreement to be different from that applicable to the rest of the contract.</w:t>
      </w:r>
      <w:r w:rsidRPr="00336C4D">
        <w:rPr>
          <w:rStyle w:val="FootnoteReference"/>
          <w:lang w:val="en-GB"/>
        </w:rPr>
        <w:footnoteReference w:id="31"/>
      </w:r>
      <w:r w:rsidRPr="00336C4D">
        <w:rPr>
          <w:lang w:val="en-GB"/>
        </w:rPr>
        <w:t xml:space="preserve"> Subsequent cases cast doubt on that approach in England and other jurisdictions</w:t>
      </w:r>
      <w:r>
        <w:rPr>
          <w:lang w:val="en-GB"/>
        </w:rPr>
        <w:t>.</w:t>
      </w:r>
      <w:r w:rsidRPr="00336C4D">
        <w:rPr>
          <w:lang w:val="en-GB"/>
        </w:rPr>
        <w:t xml:space="preserve"> </w:t>
      </w:r>
      <w:r>
        <w:rPr>
          <w:lang w:val="en-GB"/>
        </w:rPr>
        <w:t>U</w:t>
      </w:r>
      <w:r w:rsidRPr="00336C4D">
        <w:rPr>
          <w:lang w:val="en-GB"/>
        </w:rPr>
        <w:t>ltimately, a more nuanced approach emerged distinguishing between (</w:t>
      </w:r>
      <w:proofErr w:type="spellStart"/>
      <w:r w:rsidRPr="00336C4D">
        <w:rPr>
          <w:lang w:val="en-GB"/>
        </w:rPr>
        <w:t>i</w:t>
      </w:r>
      <w:proofErr w:type="spellEnd"/>
      <w:r w:rsidRPr="00336C4D">
        <w:rPr>
          <w:lang w:val="en-GB"/>
        </w:rPr>
        <w:t xml:space="preserve">) cases in which the parties have chosen explicitly the governing law of the contract and (ii) cases in which there is no such express choice. The UK Supreme Court recently held that in </w:t>
      </w:r>
      <w:r w:rsidR="00531500">
        <w:rPr>
          <w:lang w:val="en-GB"/>
        </w:rPr>
        <w:t xml:space="preserve">the </w:t>
      </w:r>
      <w:r w:rsidRPr="00336C4D">
        <w:rPr>
          <w:lang w:val="en-GB"/>
        </w:rPr>
        <w:t>former case,</w:t>
      </w:r>
      <w:r>
        <w:rPr>
          <w:lang w:val="en-GB"/>
        </w:rPr>
        <w:t xml:space="preserve"> </w:t>
      </w:r>
      <w:r w:rsidRPr="00336C4D">
        <w:rPr>
          <w:lang w:val="en-GB"/>
        </w:rPr>
        <w:t>‘an agreement on a choice of law to govern a contract should generally be construed as applying to an arbitration agreement set out or otherwise incorporated in the contract.’</w:t>
      </w:r>
      <w:r w:rsidRPr="00336C4D">
        <w:rPr>
          <w:rStyle w:val="FootnoteReference"/>
          <w:lang w:val="en-GB"/>
        </w:rPr>
        <w:footnoteReference w:id="32"/>
      </w:r>
      <w:r>
        <w:rPr>
          <w:lang w:val="en-GB"/>
        </w:rPr>
        <w:t xml:space="preserve"> </w:t>
      </w:r>
      <w:r w:rsidRPr="00336C4D">
        <w:rPr>
          <w:lang w:val="en-GB"/>
        </w:rPr>
        <w:t xml:space="preserve">When the parties did not choose ‘the law applicable to the arbitration agreement, either specifically or by choosing a system of law to govern the contract as a whole including the arbitration agreement’, </w:t>
      </w:r>
      <w:r w:rsidR="002622C4">
        <w:rPr>
          <w:lang w:val="en-GB"/>
        </w:rPr>
        <w:t>the court</w:t>
      </w:r>
      <w:r w:rsidRPr="00336C4D">
        <w:rPr>
          <w:lang w:val="en-GB"/>
        </w:rPr>
        <w:t xml:space="preserve"> must determine ‘objectively and irrespective of the parties’ intention, with which system of law the arbitration agreement has its closest connection’.</w:t>
      </w:r>
      <w:r w:rsidRPr="00336C4D">
        <w:rPr>
          <w:rStyle w:val="FootnoteReference"/>
          <w:lang w:val="en-GB"/>
        </w:rPr>
        <w:footnoteReference w:id="33"/>
      </w:r>
      <w:r w:rsidRPr="00336C4D">
        <w:rPr>
          <w:lang w:val="en-GB"/>
        </w:rPr>
        <w:t xml:space="preserve"> In </w:t>
      </w:r>
      <w:r w:rsidRPr="00336C4D">
        <w:rPr>
          <w:lang w:val="en-GB"/>
        </w:rPr>
        <w:lastRenderedPageBreak/>
        <w:t>that context, ‘as a general rule</w:t>
      </w:r>
      <w:r>
        <w:rPr>
          <w:lang w:val="en-GB"/>
        </w:rPr>
        <w:t>’,</w:t>
      </w:r>
      <w:r w:rsidRPr="00336C4D">
        <w:rPr>
          <w:lang w:val="en-GB"/>
        </w:rPr>
        <w:t xml:space="preserve"> </w:t>
      </w:r>
      <w:r>
        <w:rPr>
          <w:lang w:val="en-GB"/>
        </w:rPr>
        <w:t>‘</w:t>
      </w:r>
      <w:r w:rsidRPr="00336C4D">
        <w:rPr>
          <w:lang w:val="en-GB"/>
        </w:rPr>
        <w:t>the law of the place chosen as the seat of arbitration</w:t>
      </w:r>
      <w:r>
        <w:rPr>
          <w:lang w:val="en-GB"/>
        </w:rPr>
        <w:t>’</w:t>
      </w:r>
      <w:r w:rsidRPr="00336C4D">
        <w:rPr>
          <w:lang w:val="en-GB"/>
        </w:rPr>
        <w:t xml:space="preserve"> </w:t>
      </w:r>
      <w:r>
        <w:rPr>
          <w:lang w:val="en-GB"/>
        </w:rPr>
        <w:t>will constitute</w:t>
      </w:r>
      <w:r w:rsidRPr="00336C4D">
        <w:rPr>
          <w:lang w:val="en-GB"/>
        </w:rPr>
        <w:t xml:space="preserve"> </w:t>
      </w:r>
      <w:r>
        <w:rPr>
          <w:lang w:val="en-GB"/>
        </w:rPr>
        <w:t>‘</w:t>
      </w:r>
      <w:r w:rsidRPr="00336C4D">
        <w:rPr>
          <w:lang w:val="en-GB"/>
        </w:rPr>
        <w:t>the law most closely connected with the arbitration agreement which in the absence of choice will apply by default’.</w:t>
      </w:r>
      <w:r w:rsidRPr="00336C4D">
        <w:rPr>
          <w:rStyle w:val="FootnoteReference"/>
          <w:lang w:val="en-GB"/>
        </w:rPr>
        <w:footnoteReference w:id="34"/>
      </w:r>
      <w:r w:rsidRPr="00336C4D">
        <w:rPr>
          <w:lang w:val="en-GB"/>
        </w:rPr>
        <w:t xml:space="preserve"> As a result, when the contract contains an express choice of law, that law will </w:t>
      </w:r>
      <w:r>
        <w:rPr>
          <w:lang w:val="en-GB"/>
        </w:rPr>
        <w:t xml:space="preserve">likely </w:t>
      </w:r>
      <w:r w:rsidRPr="00336C4D">
        <w:rPr>
          <w:lang w:val="en-GB"/>
        </w:rPr>
        <w:t>govern the arbitration agreement and the question of the extension of such agreement to third parties.</w:t>
      </w:r>
      <w:r w:rsidRPr="00336C4D">
        <w:rPr>
          <w:rStyle w:val="FootnoteReference"/>
          <w:lang w:val="en-GB"/>
        </w:rPr>
        <w:footnoteReference w:id="35"/>
      </w:r>
      <w:r w:rsidRPr="00336C4D">
        <w:rPr>
          <w:lang w:val="en-GB"/>
        </w:rPr>
        <w:t xml:space="preserve"> When there is no such choice, the law governing the arbitration agreement</w:t>
      </w:r>
      <w:r>
        <w:rPr>
          <w:lang w:val="en-GB"/>
        </w:rPr>
        <w:t xml:space="preserve"> and </w:t>
      </w:r>
      <w:r w:rsidRPr="00336C4D">
        <w:rPr>
          <w:lang w:val="en-GB"/>
        </w:rPr>
        <w:t>questions regarding its</w:t>
      </w:r>
      <w:r>
        <w:rPr>
          <w:lang w:val="en-GB"/>
        </w:rPr>
        <w:t xml:space="preserve"> </w:t>
      </w:r>
      <w:r w:rsidRPr="00336C4D">
        <w:rPr>
          <w:lang w:val="en-GB"/>
        </w:rPr>
        <w:t xml:space="preserve">scope </w:t>
      </w:r>
      <w:proofErr w:type="spellStart"/>
      <w:r w:rsidR="00531500" w:rsidRPr="00531500">
        <w:rPr>
          <w:i/>
          <w:iCs/>
          <w:lang w:val="en-GB"/>
        </w:rPr>
        <w:t>ratione</w:t>
      </w:r>
      <w:proofErr w:type="spellEnd"/>
      <w:r w:rsidR="00531500" w:rsidRPr="00531500">
        <w:rPr>
          <w:i/>
          <w:iCs/>
          <w:lang w:val="en-GB"/>
        </w:rPr>
        <w:t xml:space="preserve"> personae</w:t>
      </w:r>
      <w:r w:rsidR="00531500">
        <w:rPr>
          <w:lang w:val="en-GB"/>
        </w:rPr>
        <w:t xml:space="preserve"> </w:t>
      </w:r>
      <w:r w:rsidRPr="00336C4D">
        <w:rPr>
          <w:lang w:val="en-GB"/>
        </w:rPr>
        <w:t>will likely be the law of the seat.</w:t>
      </w:r>
      <w:r w:rsidRPr="00336C4D">
        <w:rPr>
          <w:rStyle w:val="FootnoteReference"/>
          <w:lang w:val="en-GB"/>
        </w:rPr>
        <w:footnoteReference w:id="36"/>
      </w:r>
      <w:r w:rsidRPr="00336C4D">
        <w:rPr>
          <w:lang w:val="en-GB"/>
        </w:rPr>
        <w:t xml:space="preserve"> </w:t>
      </w:r>
      <w:r>
        <w:rPr>
          <w:lang w:val="en-GB"/>
        </w:rPr>
        <w:t>Naturally</w:t>
      </w:r>
      <w:r w:rsidR="002622C4">
        <w:rPr>
          <w:lang w:val="en-GB"/>
        </w:rPr>
        <w:t>,</w:t>
      </w:r>
      <w:r>
        <w:rPr>
          <w:lang w:val="en-GB"/>
        </w:rPr>
        <w:t xml:space="preserve"> the domestic law which is found to be applicable could (and in some cases does) contain a </w:t>
      </w:r>
      <w:r w:rsidRPr="00B10BDB">
        <w:rPr>
          <w:i/>
          <w:iCs/>
          <w:lang w:val="en-GB"/>
        </w:rPr>
        <w:t>renvoi</w:t>
      </w:r>
      <w:r>
        <w:rPr>
          <w:lang w:val="en-GB"/>
        </w:rPr>
        <w:t xml:space="preserve"> to another domestic law</w:t>
      </w:r>
      <w:r w:rsidRPr="00336C4D">
        <w:rPr>
          <w:lang w:val="en-GB"/>
        </w:rPr>
        <w:t>.</w:t>
      </w:r>
      <w:r w:rsidRPr="00336C4D">
        <w:rPr>
          <w:rStyle w:val="FootnoteReference"/>
          <w:lang w:val="en-GB"/>
        </w:rPr>
        <w:footnoteReference w:id="37"/>
      </w:r>
    </w:p>
    <w:p w14:paraId="339BB9D9" w14:textId="4589EBAC" w:rsidR="00B10BDB" w:rsidRPr="00336C4D" w:rsidRDefault="00B10BDB" w:rsidP="00BE3BA2">
      <w:pPr>
        <w:spacing w:line="276" w:lineRule="auto"/>
        <w:ind w:firstLine="720"/>
        <w:jc w:val="both"/>
        <w:rPr>
          <w:lang w:val="en-GB"/>
        </w:rPr>
      </w:pPr>
      <w:r w:rsidRPr="00336C4D">
        <w:rPr>
          <w:lang w:val="en-GB"/>
        </w:rPr>
        <w:t xml:space="preserve">The second approach in relation to the law applicable to the issue of the extension of arbitration agreement to non-signatories is to look beyond a specific domestic legal system. This is often described </w:t>
      </w:r>
      <w:r>
        <w:rPr>
          <w:lang w:val="en-GB"/>
        </w:rPr>
        <w:t xml:space="preserve">as </w:t>
      </w:r>
      <w:r w:rsidRPr="00336C4D">
        <w:rPr>
          <w:lang w:val="en-GB"/>
        </w:rPr>
        <w:t>‘transnational’ approach.</w:t>
      </w:r>
      <w:r w:rsidRPr="00336C4D">
        <w:rPr>
          <w:rStyle w:val="FootnoteReference"/>
          <w:lang w:val="en-GB"/>
        </w:rPr>
        <w:footnoteReference w:id="38"/>
      </w:r>
      <w:r>
        <w:rPr>
          <w:lang w:val="en-GB"/>
        </w:rPr>
        <w:t xml:space="preserve"> </w:t>
      </w:r>
      <w:r w:rsidRPr="00336C4D">
        <w:rPr>
          <w:lang w:val="en-GB"/>
        </w:rPr>
        <w:t xml:space="preserve">More generally, </w:t>
      </w:r>
      <w:r>
        <w:rPr>
          <w:lang w:val="en-US"/>
        </w:rPr>
        <w:t>transnational approaches are</w:t>
      </w:r>
      <w:r w:rsidRPr="00336C4D">
        <w:rPr>
          <w:lang w:val="en-GB"/>
        </w:rPr>
        <w:t xml:space="preserve"> linked to the idea that international arbitrators ‘play a judicial role for the benefit of the international community’, rather than a particular State or States.</w:t>
      </w:r>
      <w:r w:rsidRPr="00336C4D">
        <w:rPr>
          <w:rStyle w:val="FootnoteReference"/>
          <w:lang w:val="en-GB"/>
        </w:rPr>
        <w:footnoteReference w:id="39"/>
      </w:r>
      <w:r w:rsidRPr="00336C4D">
        <w:rPr>
          <w:lang w:val="en-GB"/>
        </w:rPr>
        <w:t xml:space="preserve"> </w:t>
      </w:r>
      <w:r w:rsidR="00531500">
        <w:rPr>
          <w:lang w:val="en-GB"/>
        </w:rPr>
        <w:t>In this context</w:t>
      </w:r>
      <w:r>
        <w:rPr>
          <w:lang w:val="en-GB"/>
        </w:rPr>
        <w:t>,</w:t>
      </w:r>
      <w:r w:rsidRPr="00336C4D">
        <w:rPr>
          <w:lang w:val="en-GB"/>
        </w:rPr>
        <w:t xml:space="preserve"> </w:t>
      </w:r>
      <w:r>
        <w:rPr>
          <w:lang w:val="en-GB"/>
        </w:rPr>
        <w:t>the validity of the arbitration clause</w:t>
      </w:r>
      <w:r w:rsidRPr="00336C4D">
        <w:rPr>
          <w:lang w:val="en-GB"/>
        </w:rPr>
        <w:t xml:space="preserve"> is not </w:t>
      </w:r>
      <w:r w:rsidR="007C4B15">
        <w:rPr>
          <w:lang w:val="en-GB"/>
        </w:rPr>
        <w:t xml:space="preserve">determined by </w:t>
      </w:r>
      <w:r w:rsidRPr="00336C4D">
        <w:rPr>
          <w:lang w:val="en-GB"/>
        </w:rPr>
        <w:t>a particular system of domestic law, but, rather</w:t>
      </w:r>
      <w:r>
        <w:rPr>
          <w:lang w:val="en-GB"/>
        </w:rPr>
        <w:t>,</w:t>
      </w:r>
      <w:r w:rsidRPr="00336C4D">
        <w:rPr>
          <w:lang w:val="en-GB"/>
        </w:rPr>
        <w:t xml:space="preserve"> a set of transnational principles</w:t>
      </w:r>
      <w:r>
        <w:rPr>
          <w:lang w:val="en-GB"/>
        </w:rPr>
        <w:t xml:space="preserve"> and ‘</w:t>
      </w:r>
      <w:r w:rsidRPr="00336C4D">
        <w:rPr>
          <w:lang w:val="en-GB"/>
        </w:rPr>
        <w:t>the common intention of the parties, without it being necessary to make reference to a national law</w:t>
      </w:r>
      <w:r>
        <w:rPr>
          <w:lang w:val="en-GB"/>
        </w:rPr>
        <w:t>’</w:t>
      </w:r>
      <w:r w:rsidRPr="00336C4D">
        <w:rPr>
          <w:lang w:val="en-GB"/>
        </w:rPr>
        <w:t>.</w:t>
      </w:r>
      <w:r w:rsidRPr="00336C4D">
        <w:rPr>
          <w:rStyle w:val="FootnoteReference"/>
          <w:lang w:val="en-GB"/>
        </w:rPr>
        <w:footnoteReference w:id="40"/>
      </w:r>
      <w:r w:rsidRPr="00336C4D">
        <w:rPr>
          <w:lang w:val="en-GB"/>
        </w:rPr>
        <w:t xml:space="preserve"> </w:t>
      </w:r>
      <w:r>
        <w:rPr>
          <w:lang w:val="en-GB"/>
        </w:rPr>
        <w:t>A</w:t>
      </w:r>
      <w:r w:rsidRPr="00336C4D">
        <w:rPr>
          <w:lang w:val="en-GB"/>
        </w:rPr>
        <w:t>ccording to a more nuanced view, instead of replacing domestic law as the law applicable to the arbitration agreement, transnational principles could play a corrective or supplementary role.</w:t>
      </w:r>
      <w:r w:rsidRPr="00FB185A">
        <w:rPr>
          <w:rStyle w:val="FootnoteReference"/>
          <w:lang w:val="en-GB"/>
        </w:rPr>
        <w:t xml:space="preserve"> </w:t>
      </w:r>
      <w:r w:rsidRPr="00336C4D">
        <w:rPr>
          <w:rStyle w:val="FootnoteReference"/>
          <w:lang w:val="en-GB"/>
        </w:rPr>
        <w:footnoteReference w:id="41"/>
      </w:r>
      <w:r w:rsidRPr="00336C4D">
        <w:rPr>
          <w:lang w:val="en-GB"/>
        </w:rPr>
        <w:t xml:space="preserve"> </w:t>
      </w:r>
      <w:r w:rsidR="007C4B15">
        <w:rPr>
          <w:lang w:val="en-GB"/>
        </w:rPr>
        <w:t>Likewise</w:t>
      </w:r>
      <w:r w:rsidRPr="00336C4D">
        <w:rPr>
          <w:lang w:val="en-GB"/>
        </w:rPr>
        <w:t xml:space="preserve">, </w:t>
      </w:r>
      <w:r w:rsidR="007C4B15">
        <w:rPr>
          <w:lang w:val="en-GB"/>
        </w:rPr>
        <w:t>to determine</w:t>
      </w:r>
      <w:r w:rsidRPr="00336C4D">
        <w:rPr>
          <w:lang w:val="en-GB"/>
        </w:rPr>
        <w:t xml:space="preserve"> the law applicable to the issue of the extension of the arbitration agreement to non-signatories</w:t>
      </w:r>
      <w:r>
        <w:rPr>
          <w:lang w:val="en-GB"/>
        </w:rPr>
        <w:t>,</w:t>
      </w:r>
      <w:r w:rsidRPr="00336C4D">
        <w:rPr>
          <w:lang w:val="en-GB"/>
        </w:rPr>
        <w:t xml:space="preserve"> transnational principles can apply exclusively or in addition to a specific domestic law. In the </w:t>
      </w:r>
      <w:r w:rsidRPr="00336C4D">
        <w:rPr>
          <w:lang w:val="en-GB"/>
        </w:rPr>
        <w:lastRenderedPageBreak/>
        <w:t>latter case, transnational law will correct or supplement the domestic law</w:t>
      </w:r>
      <w:r>
        <w:rPr>
          <w:lang w:val="en-GB"/>
        </w:rPr>
        <w:t xml:space="preserve"> </w:t>
      </w:r>
      <w:r w:rsidRPr="00336C4D">
        <w:rPr>
          <w:lang w:val="en-GB"/>
        </w:rPr>
        <w:t>applicable to the arbitration agreement</w:t>
      </w:r>
      <w:r w:rsidR="00505282">
        <w:rPr>
          <w:lang w:val="en-GB"/>
        </w:rPr>
        <w:t>,</w:t>
      </w:r>
      <w:r w:rsidRPr="00336C4D">
        <w:rPr>
          <w:lang w:val="en-GB"/>
        </w:rPr>
        <w:t xml:space="preserve"> usually the law governing the contract or the law of the seat, as explained above. The former approach was adopted in the famous (or </w:t>
      </w:r>
      <w:r w:rsidR="007C4B15">
        <w:rPr>
          <w:lang w:val="en-GB"/>
        </w:rPr>
        <w:t>infamous</w:t>
      </w:r>
      <w:r w:rsidRPr="00336C4D">
        <w:rPr>
          <w:lang w:val="en-GB"/>
        </w:rPr>
        <w:t xml:space="preserve">) award in </w:t>
      </w:r>
      <w:r w:rsidRPr="00336C4D">
        <w:rPr>
          <w:i/>
          <w:iCs/>
          <w:lang w:val="en-GB"/>
        </w:rPr>
        <w:t>Dow Chemical</w:t>
      </w:r>
      <w:r w:rsidRPr="00336C4D">
        <w:rPr>
          <w:lang w:val="en-GB"/>
        </w:rPr>
        <w:t xml:space="preserve"> </w:t>
      </w:r>
      <w:r>
        <w:rPr>
          <w:lang w:val="en-GB"/>
        </w:rPr>
        <w:t>which</w:t>
      </w:r>
      <w:r w:rsidRPr="00336C4D">
        <w:rPr>
          <w:lang w:val="en-GB"/>
        </w:rPr>
        <w:t xml:space="preserve"> extended</w:t>
      </w:r>
      <w:r>
        <w:rPr>
          <w:lang w:val="en-GB"/>
        </w:rPr>
        <w:t xml:space="preserve"> the arbitration agreement</w:t>
      </w:r>
      <w:r w:rsidRPr="00336C4D">
        <w:rPr>
          <w:lang w:val="en-GB"/>
        </w:rPr>
        <w:t xml:space="preserve"> to non-signatory companies belonging to the same ‘group  of companies’.</w:t>
      </w:r>
      <w:r w:rsidRPr="00336C4D">
        <w:rPr>
          <w:rStyle w:val="FootnoteReference"/>
          <w:lang w:val="en-GB"/>
        </w:rPr>
        <w:footnoteReference w:id="42"/>
      </w:r>
      <w:r w:rsidRPr="00336C4D">
        <w:rPr>
          <w:lang w:val="en-GB"/>
        </w:rPr>
        <w:t xml:space="preserve"> The Paris Court of Appeal</w:t>
      </w:r>
      <w:r>
        <w:rPr>
          <w:lang w:val="en-GB"/>
        </w:rPr>
        <w:t xml:space="preserve"> rejected the set-aside application,</w:t>
      </w:r>
      <w:r w:rsidRPr="00336C4D">
        <w:rPr>
          <w:rStyle w:val="FootnoteReference"/>
          <w:lang w:val="en-GB"/>
        </w:rPr>
        <w:footnoteReference w:id="43"/>
      </w:r>
      <w:r w:rsidRPr="00336C4D">
        <w:rPr>
          <w:lang w:val="en-GB"/>
        </w:rPr>
        <w:t xml:space="preserve"> </w:t>
      </w:r>
      <w:r>
        <w:rPr>
          <w:lang w:val="en-GB"/>
        </w:rPr>
        <w:t>and m</w:t>
      </w:r>
      <w:r w:rsidRPr="00336C4D">
        <w:rPr>
          <w:lang w:val="en-GB"/>
        </w:rPr>
        <w:t xml:space="preserve">ore recently in </w:t>
      </w:r>
      <w:r w:rsidRPr="00336C4D">
        <w:rPr>
          <w:i/>
          <w:iCs/>
          <w:lang w:val="en-GB"/>
        </w:rPr>
        <w:t>Kabab-Ji</w:t>
      </w:r>
      <w:r w:rsidRPr="00336C4D">
        <w:rPr>
          <w:lang w:val="en-GB"/>
        </w:rPr>
        <w:t>, confirmed that the arbitration agreement was right</w:t>
      </w:r>
      <w:r>
        <w:rPr>
          <w:lang w:val="en-GB"/>
        </w:rPr>
        <w:t>ly</w:t>
      </w:r>
      <w:r w:rsidRPr="00336C4D">
        <w:rPr>
          <w:lang w:val="en-GB"/>
        </w:rPr>
        <w:t xml:space="preserve"> extended to a non-signatory </w:t>
      </w:r>
      <w:r>
        <w:rPr>
          <w:lang w:val="en-GB"/>
        </w:rPr>
        <w:t>without</w:t>
      </w:r>
      <w:r w:rsidRPr="00336C4D">
        <w:rPr>
          <w:lang w:val="en-GB"/>
        </w:rPr>
        <w:t xml:space="preserve"> reference</w:t>
      </w:r>
      <w:r>
        <w:rPr>
          <w:lang w:val="en-GB"/>
        </w:rPr>
        <w:t>s</w:t>
      </w:r>
      <w:r w:rsidRPr="00336C4D">
        <w:rPr>
          <w:lang w:val="en-GB"/>
        </w:rPr>
        <w:t xml:space="preserve"> to a specific domestic law</w:t>
      </w:r>
      <w:r>
        <w:rPr>
          <w:lang w:val="en-GB"/>
        </w:rPr>
        <w:t>.</w:t>
      </w:r>
      <w:r w:rsidRPr="00336C4D">
        <w:rPr>
          <w:rStyle w:val="FootnoteReference"/>
          <w:lang w:val="en-GB"/>
        </w:rPr>
        <w:footnoteReference w:id="44"/>
      </w:r>
      <w:r>
        <w:rPr>
          <w:lang w:val="en-GB"/>
        </w:rPr>
        <w:t xml:space="preserve"> Other tribunals also adopt a genuine transnational approach.</w:t>
      </w:r>
      <w:r>
        <w:rPr>
          <w:rStyle w:val="FootnoteReference"/>
          <w:lang w:val="en-GB"/>
        </w:rPr>
        <w:footnoteReference w:id="45"/>
      </w:r>
      <w:r>
        <w:rPr>
          <w:lang w:val="en-GB"/>
        </w:rPr>
        <w:t xml:space="preserve"> For example, </w:t>
      </w:r>
      <w:r w:rsidRPr="00336C4D">
        <w:rPr>
          <w:lang w:val="en-GB"/>
        </w:rPr>
        <w:t xml:space="preserve">an arbitral tribunal </w:t>
      </w:r>
      <w:r>
        <w:rPr>
          <w:lang w:val="en-GB"/>
        </w:rPr>
        <w:t xml:space="preserve">held that </w:t>
      </w:r>
      <w:r w:rsidRPr="00336C4D">
        <w:rPr>
          <w:lang w:val="en-GB"/>
        </w:rPr>
        <w:t>there is a ‘[g]</w:t>
      </w:r>
      <w:proofErr w:type="spellStart"/>
      <w:r w:rsidRPr="00336C4D">
        <w:rPr>
          <w:lang w:val="en-GB"/>
        </w:rPr>
        <w:t>eneral</w:t>
      </w:r>
      <w:proofErr w:type="spellEnd"/>
      <w:r w:rsidRPr="00336C4D">
        <w:rPr>
          <w:lang w:val="en-GB"/>
        </w:rPr>
        <w:t xml:space="preserve"> principle that transnational norms should be applied to determine the issue of extension of the arbitration clause to a non-signatory, even when piercing the corporate veil is at issue’.</w:t>
      </w:r>
      <w:r w:rsidRPr="00336C4D">
        <w:rPr>
          <w:rStyle w:val="FootnoteReference"/>
          <w:lang w:val="en-GB"/>
        </w:rPr>
        <w:footnoteReference w:id="46"/>
      </w:r>
      <w:r>
        <w:rPr>
          <w:lang w:val="en-GB"/>
        </w:rPr>
        <w:t xml:space="preserve"> </w:t>
      </w:r>
    </w:p>
    <w:p w14:paraId="747D370C" w14:textId="056164B0" w:rsidR="00B10BDB" w:rsidRPr="00336C4D" w:rsidRDefault="00B10BDB" w:rsidP="000476F9">
      <w:pPr>
        <w:widowControl w:val="0"/>
        <w:spacing w:line="276" w:lineRule="auto"/>
        <w:ind w:firstLine="720"/>
        <w:jc w:val="both"/>
        <w:rPr>
          <w:lang w:val="en-GB"/>
        </w:rPr>
      </w:pPr>
    </w:p>
    <w:p w14:paraId="4DAF333B" w14:textId="18C92060" w:rsidR="00B10BDB" w:rsidRPr="00336C4D" w:rsidRDefault="00B10BDB" w:rsidP="000476F9">
      <w:pPr>
        <w:pStyle w:val="Heading1"/>
        <w:keepNext w:val="0"/>
        <w:keepLines w:val="0"/>
        <w:widowControl w:val="0"/>
        <w:spacing w:before="0" w:line="276" w:lineRule="auto"/>
        <w:ind w:left="709" w:hanging="709"/>
        <w:jc w:val="both"/>
        <w:rPr>
          <w:rFonts w:ascii="Times New Roman" w:hAnsi="Times New Roman" w:cs="Times New Roman"/>
          <w:szCs w:val="24"/>
          <w:lang w:val="en-GB"/>
        </w:rPr>
      </w:pPr>
      <w:bookmarkStart w:id="3" w:name="_Toc63442249"/>
      <w:r w:rsidRPr="00336C4D">
        <w:rPr>
          <w:rFonts w:ascii="Times New Roman" w:hAnsi="Times New Roman" w:cs="Times New Roman"/>
          <w:szCs w:val="24"/>
          <w:lang w:val="en-GB"/>
        </w:rPr>
        <w:t>I</w:t>
      </w:r>
      <w:r>
        <w:rPr>
          <w:rFonts w:ascii="Times New Roman" w:hAnsi="Times New Roman" w:cs="Times New Roman"/>
          <w:szCs w:val="24"/>
          <w:lang w:val="en-GB"/>
        </w:rPr>
        <w:t>II</w:t>
      </w:r>
      <w:r w:rsidRPr="00336C4D">
        <w:rPr>
          <w:rFonts w:ascii="Times New Roman" w:hAnsi="Times New Roman" w:cs="Times New Roman"/>
          <w:szCs w:val="24"/>
          <w:lang w:val="en-GB"/>
        </w:rPr>
        <w:t>.</w:t>
      </w:r>
      <w:r w:rsidRPr="00336C4D">
        <w:rPr>
          <w:rFonts w:ascii="Times New Roman" w:hAnsi="Times New Roman" w:cs="Times New Roman"/>
          <w:szCs w:val="24"/>
          <w:lang w:val="en-GB"/>
        </w:rPr>
        <w:tab/>
      </w:r>
      <w:r>
        <w:rPr>
          <w:rFonts w:ascii="Times New Roman" w:hAnsi="Times New Roman" w:cs="Times New Roman"/>
          <w:szCs w:val="24"/>
          <w:lang w:val="en-GB"/>
        </w:rPr>
        <w:t xml:space="preserve">THE APPLICATION OF </w:t>
      </w:r>
      <w:r w:rsidRPr="00336C4D">
        <w:rPr>
          <w:rFonts w:ascii="Times New Roman" w:hAnsi="Times New Roman" w:cs="Times New Roman"/>
          <w:szCs w:val="24"/>
          <w:lang w:val="en-GB"/>
        </w:rPr>
        <w:t>INTERNATIONAL LAW</w:t>
      </w:r>
      <w:r>
        <w:rPr>
          <w:rFonts w:ascii="Times New Roman" w:hAnsi="Times New Roman" w:cs="Times New Roman"/>
          <w:szCs w:val="24"/>
          <w:lang w:val="en-GB"/>
        </w:rPr>
        <w:t xml:space="preserve"> TO </w:t>
      </w:r>
      <w:bookmarkEnd w:id="3"/>
      <w:r>
        <w:rPr>
          <w:rFonts w:ascii="Times New Roman" w:hAnsi="Times New Roman" w:cs="Times New Roman"/>
          <w:szCs w:val="24"/>
          <w:lang w:val="en-US"/>
        </w:rPr>
        <w:t xml:space="preserve">THE EXTENSION OF ARBITRATION AGREEMENTS IN INVESTMENT </w:t>
      </w:r>
      <w:r>
        <w:rPr>
          <w:rFonts w:ascii="Times New Roman" w:hAnsi="Times New Roman" w:cs="Times New Roman"/>
          <w:szCs w:val="24"/>
          <w:lang w:val="en-GB"/>
        </w:rPr>
        <w:t xml:space="preserve">CONTRACTS </w:t>
      </w:r>
    </w:p>
    <w:p w14:paraId="6A819BB6" w14:textId="289305F2" w:rsidR="00B10BDB" w:rsidRPr="00336C4D" w:rsidRDefault="00B10BDB" w:rsidP="000476F9">
      <w:pPr>
        <w:widowControl w:val="0"/>
        <w:spacing w:line="276" w:lineRule="auto"/>
        <w:jc w:val="both"/>
        <w:rPr>
          <w:lang w:val="en-GB"/>
        </w:rPr>
      </w:pPr>
    </w:p>
    <w:p w14:paraId="2B57EEAE" w14:textId="4E2A9805" w:rsidR="00B10BDB" w:rsidRPr="00E57C99" w:rsidRDefault="00B10BDB" w:rsidP="000476F9">
      <w:pPr>
        <w:widowControl w:val="0"/>
        <w:spacing w:line="276" w:lineRule="auto"/>
        <w:jc w:val="both"/>
        <w:rPr>
          <w:lang w:val="en-US"/>
        </w:rPr>
      </w:pPr>
      <w:r w:rsidRPr="00336C4D">
        <w:rPr>
          <w:lang w:val="en-GB"/>
        </w:rPr>
        <w:t xml:space="preserve">The previous section explained that </w:t>
      </w:r>
      <w:r>
        <w:rPr>
          <w:lang w:val="en-GB"/>
        </w:rPr>
        <w:t>three</w:t>
      </w:r>
      <w:r w:rsidRPr="00336C4D">
        <w:rPr>
          <w:lang w:val="en-GB"/>
        </w:rPr>
        <w:t xml:space="preserve"> systems of </w:t>
      </w:r>
      <w:r>
        <w:rPr>
          <w:lang w:val="en-US"/>
        </w:rPr>
        <w:t>law</w:t>
      </w:r>
      <w:r w:rsidRPr="00336C4D">
        <w:rPr>
          <w:lang w:val="en-GB"/>
        </w:rPr>
        <w:t xml:space="preserve"> </w:t>
      </w:r>
      <w:r>
        <w:rPr>
          <w:lang w:val="en-GB"/>
        </w:rPr>
        <w:t>potentially</w:t>
      </w:r>
      <w:r w:rsidRPr="00336C4D">
        <w:rPr>
          <w:lang w:val="en-GB"/>
        </w:rPr>
        <w:t xml:space="preserve"> govern the extension of arbitration agreement</w:t>
      </w:r>
      <w:r>
        <w:rPr>
          <w:lang w:val="en-GB"/>
        </w:rPr>
        <w:t>s</w:t>
      </w:r>
      <w:r w:rsidRPr="00336C4D">
        <w:rPr>
          <w:lang w:val="en-GB"/>
        </w:rPr>
        <w:t xml:space="preserve"> to non-signatories</w:t>
      </w:r>
      <w:r>
        <w:rPr>
          <w:lang w:val="en-GB"/>
        </w:rPr>
        <w:t>:</w:t>
      </w:r>
      <w:r w:rsidRPr="00336C4D">
        <w:rPr>
          <w:lang w:val="en-GB"/>
        </w:rPr>
        <w:t xml:space="preserve"> (</w:t>
      </w:r>
      <w:proofErr w:type="spellStart"/>
      <w:r w:rsidRPr="00336C4D">
        <w:rPr>
          <w:lang w:val="en-GB"/>
        </w:rPr>
        <w:t>i</w:t>
      </w:r>
      <w:proofErr w:type="spellEnd"/>
      <w:r w:rsidRPr="00336C4D">
        <w:rPr>
          <w:lang w:val="en-GB"/>
        </w:rPr>
        <w:t>) the law of the contract</w:t>
      </w:r>
      <w:r>
        <w:rPr>
          <w:lang w:val="en-GB"/>
        </w:rPr>
        <w:t xml:space="preserve"> (</w:t>
      </w:r>
      <w:proofErr w:type="spellStart"/>
      <w:r w:rsidRPr="00075ACF">
        <w:rPr>
          <w:i/>
          <w:iCs/>
          <w:lang w:val="en-GB"/>
        </w:rPr>
        <w:t>lex</w:t>
      </w:r>
      <w:proofErr w:type="spellEnd"/>
      <w:r w:rsidRPr="00075ACF">
        <w:rPr>
          <w:i/>
          <w:iCs/>
          <w:lang w:val="en-GB"/>
        </w:rPr>
        <w:t xml:space="preserve"> </w:t>
      </w:r>
      <w:proofErr w:type="spellStart"/>
      <w:r w:rsidRPr="00075ACF">
        <w:rPr>
          <w:i/>
          <w:iCs/>
          <w:lang w:val="en-GB"/>
        </w:rPr>
        <w:t>contractus</w:t>
      </w:r>
      <w:proofErr w:type="spellEnd"/>
      <w:r>
        <w:rPr>
          <w:lang w:val="en-GB"/>
        </w:rPr>
        <w:t>)</w:t>
      </w:r>
      <w:r w:rsidRPr="00336C4D">
        <w:rPr>
          <w:lang w:val="en-GB"/>
        </w:rPr>
        <w:t>; (ii) the law of the seat</w:t>
      </w:r>
      <w:r>
        <w:rPr>
          <w:lang w:val="en-GB"/>
        </w:rPr>
        <w:t xml:space="preserve"> (</w:t>
      </w:r>
      <w:proofErr w:type="spellStart"/>
      <w:r w:rsidRPr="00075ACF">
        <w:rPr>
          <w:i/>
          <w:iCs/>
          <w:lang w:val="en-GB"/>
        </w:rPr>
        <w:t>lex</w:t>
      </w:r>
      <w:proofErr w:type="spellEnd"/>
      <w:r w:rsidRPr="00075ACF">
        <w:rPr>
          <w:i/>
          <w:iCs/>
          <w:lang w:val="en-GB"/>
        </w:rPr>
        <w:t xml:space="preserve"> </w:t>
      </w:r>
      <w:proofErr w:type="spellStart"/>
      <w:r w:rsidRPr="00075ACF">
        <w:rPr>
          <w:i/>
          <w:iCs/>
          <w:lang w:val="en-GB"/>
        </w:rPr>
        <w:t>arbitri</w:t>
      </w:r>
      <w:proofErr w:type="spellEnd"/>
      <w:r>
        <w:rPr>
          <w:lang w:val="en-GB"/>
        </w:rPr>
        <w:t>)</w:t>
      </w:r>
      <w:r w:rsidRPr="00336C4D">
        <w:rPr>
          <w:lang w:val="en-GB"/>
        </w:rPr>
        <w:t xml:space="preserve">, </w:t>
      </w:r>
      <w:r>
        <w:rPr>
          <w:lang w:val="en-GB"/>
        </w:rPr>
        <w:t>and</w:t>
      </w:r>
      <w:r w:rsidRPr="00336C4D">
        <w:rPr>
          <w:lang w:val="en-GB"/>
        </w:rPr>
        <w:t xml:space="preserve"> (iii) transnational principles. </w:t>
      </w:r>
      <w:r>
        <w:rPr>
          <w:lang w:val="en-GB"/>
        </w:rPr>
        <w:t xml:space="preserve">Irrespective of which of the three is held to be applicable, </w:t>
      </w:r>
      <w:r w:rsidRPr="00336C4D">
        <w:rPr>
          <w:lang w:val="en-GB"/>
        </w:rPr>
        <w:t xml:space="preserve">public international law is part of </w:t>
      </w:r>
      <w:r>
        <w:rPr>
          <w:lang w:val="en-GB"/>
        </w:rPr>
        <w:t>all of</w:t>
      </w:r>
      <w:r w:rsidRPr="00336C4D">
        <w:rPr>
          <w:lang w:val="en-GB"/>
        </w:rPr>
        <w:t xml:space="preserve"> </w:t>
      </w:r>
      <w:r>
        <w:rPr>
          <w:lang w:val="en-GB"/>
        </w:rPr>
        <w:t xml:space="preserve">them in arbitrations involving States or State entities on the basis of investment contracts. As a result, international law will be </w:t>
      </w:r>
      <w:r w:rsidRPr="00336C4D">
        <w:rPr>
          <w:lang w:val="en-GB"/>
        </w:rPr>
        <w:t xml:space="preserve">relevant to the issue of the extension of arbitration agreements </w:t>
      </w:r>
      <w:r>
        <w:rPr>
          <w:lang w:val="en-GB"/>
        </w:rPr>
        <w:t>contained therein to non-signatories</w:t>
      </w:r>
      <w:r w:rsidRPr="00336C4D">
        <w:rPr>
          <w:lang w:val="en-GB"/>
        </w:rPr>
        <w:t>.</w:t>
      </w:r>
    </w:p>
    <w:p w14:paraId="2D71BB6B" w14:textId="4D189496" w:rsidR="00B10BDB" w:rsidRDefault="00B10BDB" w:rsidP="002622C4">
      <w:pPr>
        <w:spacing w:line="276" w:lineRule="auto"/>
        <w:ind w:right="-6" w:firstLine="720"/>
        <w:jc w:val="both"/>
        <w:rPr>
          <w:lang w:val="en-GB"/>
        </w:rPr>
      </w:pPr>
      <w:r w:rsidRPr="00336C4D">
        <w:rPr>
          <w:lang w:val="en-GB"/>
        </w:rPr>
        <w:t xml:space="preserve">The </w:t>
      </w:r>
      <w:r>
        <w:rPr>
          <w:lang w:val="en-GB"/>
        </w:rPr>
        <w:t>Permanent Court of International Justice (</w:t>
      </w:r>
      <w:r w:rsidRPr="00336C4D">
        <w:rPr>
          <w:lang w:val="en-GB"/>
        </w:rPr>
        <w:t>PCIJ</w:t>
      </w:r>
      <w:r>
        <w:rPr>
          <w:lang w:val="en-GB"/>
        </w:rPr>
        <w:t>)</w:t>
      </w:r>
      <w:r w:rsidRPr="00336C4D">
        <w:rPr>
          <w:lang w:val="en-GB"/>
        </w:rPr>
        <w:t xml:space="preserve"> in </w:t>
      </w:r>
      <w:r w:rsidRPr="00336C4D">
        <w:rPr>
          <w:i/>
          <w:iCs/>
          <w:lang w:val="en-GB"/>
        </w:rPr>
        <w:t>Serbian loans</w:t>
      </w:r>
      <w:r w:rsidRPr="00336C4D">
        <w:rPr>
          <w:lang w:val="en-GB"/>
        </w:rPr>
        <w:t xml:space="preserve"> adopted a binary understanding of </w:t>
      </w:r>
      <w:r>
        <w:rPr>
          <w:lang w:val="en-GB"/>
        </w:rPr>
        <w:t>agreement</w:t>
      </w:r>
      <w:r w:rsidRPr="00336C4D">
        <w:rPr>
          <w:lang w:val="en-GB"/>
        </w:rPr>
        <w:t xml:space="preserve">s </w:t>
      </w:r>
      <w:r>
        <w:rPr>
          <w:lang w:val="en-GB"/>
        </w:rPr>
        <w:t>concluded by</w:t>
      </w:r>
      <w:r w:rsidRPr="00336C4D">
        <w:rPr>
          <w:lang w:val="en-GB"/>
        </w:rPr>
        <w:t xml:space="preserve"> States dividing them into (</w:t>
      </w:r>
      <w:proofErr w:type="spellStart"/>
      <w:r w:rsidRPr="00336C4D">
        <w:rPr>
          <w:lang w:val="en-GB"/>
        </w:rPr>
        <w:t>i</w:t>
      </w:r>
      <w:proofErr w:type="spellEnd"/>
      <w:r w:rsidRPr="00336C4D">
        <w:rPr>
          <w:lang w:val="en-GB"/>
        </w:rPr>
        <w:t xml:space="preserve">) contracts governed by </w:t>
      </w:r>
      <w:r>
        <w:rPr>
          <w:lang w:val="en-GB"/>
        </w:rPr>
        <w:t xml:space="preserve">a particular </w:t>
      </w:r>
      <w:r w:rsidRPr="00336C4D">
        <w:rPr>
          <w:lang w:val="en-GB"/>
        </w:rPr>
        <w:t>domestic law</w:t>
      </w:r>
      <w:r>
        <w:rPr>
          <w:lang w:val="en-GB"/>
        </w:rPr>
        <w:t xml:space="preserve"> which will</w:t>
      </w:r>
      <w:r w:rsidRPr="00336C4D">
        <w:rPr>
          <w:lang w:val="en-GB"/>
        </w:rPr>
        <w:t xml:space="preserve"> be determined by </w:t>
      </w:r>
      <w:r>
        <w:rPr>
          <w:lang w:val="en-GB"/>
        </w:rPr>
        <w:t>applying</w:t>
      </w:r>
      <w:r w:rsidRPr="00336C4D">
        <w:rPr>
          <w:lang w:val="en-GB"/>
        </w:rPr>
        <w:t xml:space="preserve"> private international law </w:t>
      </w:r>
      <w:r>
        <w:rPr>
          <w:lang w:val="en-GB"/>
        </w:rPr>
        <w:t xml:space="preserve">(conflict of laws) rules </w:t>
      </w:r>
      <w:r w:rsidRPr="00336C4D">
        <w:rPr>
          <w:lang w:val="en-GB"/>
        </w:rPr>
        <w:t>and (ii) treaties which are subject to international law.</w:t>
      </w:r>
      <w:r w:rsidRPr="00336C4D">
        <w:rPr>
          <w:rStyle w:val="FootnoteReference"/>
          <w:lang w:val="en-GB"/>
        </w:rPr>
        <w:footnoteReference w:id="47"/>
      </w:r>
      <w:r w:rsidR="002622C4">
        <w:rPr>
          <w:lang w:val="en-GB"/>
        </w:rPr>
        <w:t xml:space="preserve"> </w:t>
      </w:r>
      <w:r w:rsidRPr="00336C4D">
        <w:rPr>
          <w:lang w:val="en-GB"/>
        </w:rPr>
        <w:t xml:space="preserve">Article 2(1)(a) </w:t>
      </w:r>
      <w:r w:rsidRPr="00336C4D">
        <w:rPr>
          <w:lang w:val="en-GB"/>
        </w:rPr>
        <w:lastRenderedPageBreak/>
        <w:t>of the Vienna Convention on the Law of Treaties</w:t>
      </w:r>
      <w:r>
        <w:rPr>
          <w:lang w:val="en-GB"/>
        </w:rPr>
        <w:t xml:space="preserve"> (VCLT) </w:t>
      </w:r>
      <w:r w:rsidRPr="00336C4D">
        <w:rPr>
          <w:lang w:val="en-GB"/>
        </w:rPr>
        <w:t xml:space="preserve">provides that </w:t>
      </w:r>
      <w:r>
        <w:rPr>
          <w:lang w:val="en-GB"/>
        </w:rPr>
        <w:t xml:space="preserve">one of the </w:t>
      </w:r>
      <w:r w:rsidRPr="00336C4D">
        <w:rPr>
          <w:lang w:val="en-GB"/>
        </w:rPr>
        <w:t>defining characteristic</w:t>
      </w:r>
      <w:r>
        <w:rPr>
          <w:lang w:val="en-GB"/>
        </w:rPr>
        <w:t>s</w:t>
      </w:r>
      <w:r w:rsidRPr="00336C4D">
        <w:rPr>
          <w:lang w:val="en-GB"/>
        </w:rPr>
        <w:t xml:space="preserve"> of international treat</w:t>
      </w:r>
      <w:r>
        <w:rPr>
          <w:lang w:val="en-GB"/>
        </w:rPr>
        <w:t>ies</w:t>
      </w:r>
      <w:r w:rsidRPr="00336C4D">
        <w:rPr>
          <w:lang w:val="en-GB"/>
        </w:rPr>
        <w:t xml:space="preserve"> is that </w:t>
      </w:r>
      <w:r>
        <w:rPr>
          <w:lang w:val="en-GB"/>
        </w:rPr>
        <w:t>they are</w:t>
      </w:r>
      <w:r w:rsidRPr="00336C4D">
        <w:rPr>
          <w:lang w:val="en-GB"/>
        </w:rPr>
        <w:t xml:space="preserve"> ‘governed by international law’.</w:t>
      </w:r>
      <w:r w:rsidRPr="00336C4D">
        <w:rPr>
          <w:rStyle w:val="FootnoteReference"/>
          <w:lang w:val="en-GB"/>
        </w:rPr>
        <w:footnoteReference w:id="48"/>
      </w:r>
      <w:r w:rsidRPr="00336C4D">
        <w:rPr>
          <w:lang w:val="en-GB"/>
        </w:rPr>
        <w:t xml:space="preserve"> However, nowhere does the VCLT stipulate that any agreement concluded by a State which is not a treaty is governed exclusively by domestic law</w:t>
      </w:r>
      <w:r w:rsidR="00FB5B3F">
        <w:rPr>
          <w:lang w:val="el-GR"/>
        </w:rPr>
        <w:t>.</w:t>
      </w:r>
      <w:r w:rsidRPr="00BE3BA2">
        <w:rPr>
          <w:lang w:val="en-GB"/>
        </w:rPr>
        <w:t xml:space="preserve"> </w:t>
      </w:r>
      <w:r w:rsidR="002622C4">
        <w:rPr>
          <w:lang w:val="en-US"/>
        </w:rPr>
        <w:t>I</w:t>
      </w:r>
      <w:proofErr w:type="spellStart"/>
      <w:r w:rsidR="002622C4">
        <w:rPr>
          <w:lang w:val="en-GB"/>
        </w:rPr>
        <w:t>n</w:t>
      </w:r>
      <w:proofErr w:type="spellEnd"/>
      <w:r>
        <w:rPr>
          <w:lang w:val="en-GB"/>
        </w:rPr>
        <w:t xml:space="preserve"> fact, p</w:t>
      </w:r>
      <w:r w:rsidRPr="00336C4D">
        <w:rPr>
          <w:lang w:val="en-GB"/>
        </w:rPr>
        <w:t xml:space="preserve">ublic international law is often part of the </w:t>
      </w:r>
      <w:proofErr w:type="spellStart"/>
      <w:r w:rsidRPr="00336C4D">
        <w:rPr>
          <w:i/>
          <w:iCs/>
          <w:lang w:val="en-GB"/>
        </w:rPr>
        <w:t>lex</w:t>
      </w:r>
      <w:proofErr w:type="spellEnd"/>
      <w:r w:rsidRPr="00336C4D">
        <w:rPr>
          <w:i/>
          <w:iCs/>
          <w:lang w:val="en-GB"/>
        </w:rPr>
        <w:t xml:space="preserve"> </w:t>
      </w:r>
      <w:proofErr w:type="spellStart"/>
      <w:r w:rsidRPr="00336C4D">
        <w:rPr>
          <w:i/>
          <w:iCs/>
          <w:lang w:val="en-GB"/>
        </w:rPr>
        <w:t>contractus</w:t>
      </w:r>
      <w:proofErr w:type="spellEnd"/>
      <w:r w:rsidRPr="00336C4D">
        <w:rPr>
          <w:lang w:val="en-GB"/>
        </w:rPr>
        <w:t xml:space="preserve"> </w:t>
      </w:r>
      <w:r>
        <w:rPr>
          <w:lang w:val="en-GB"/>
        </w:rPr>
        <w:t>i</w:t>
      </w:r>
      <w:r w:rsidRPr="00336C4D">
        <w:rPr>
          <w:lang w:val="en-GB"/>
        </w:rPr>
        <w:t xml:space="preserve">n contracts between foreign investors </w:t>
      </w:r>
      <w:r>
        <w:rPr>
          <w:lang w:val="en-GB"/>
        </w:rPr>
        <w:t xml:space="preserve">and </w:t>
      </w:r>
      <w:r w:rsidRPr="00336C4D">
        <w:rPr>
          <w:lang w:val="en-GB"/>
        </w:rPr>
        <w:t>States or State entities. A close examination of the universe of applicable clauses in contracts concluded by foreign investors and States or State entities</w:t>
      </w:r>
      <w:r>
        <w:rPr>
          <w:lang w:val="en-GB"/>
        </w:rPr>
        <w:t xml:space="preserve"> </w:t>
      </w:r>
      <w:r w:rsidRPr="00336C4D">
        <w:rPr>
          <w:lang w:val="en-GB"/>
        </w:rPr>
        <w:t xml:space="preserve">reveals a complex picture, which in turn raises </w:t>
      </w:r>
      <w:r>
        <w:rPr>
          <w:lang w:val="en-GB"/>
        </w:rPr>
        <w:t>important</w:t>
      </w:r>
      <w:r w:rsidRPr="00336C4D">
        <w:rPr>
          <w:lang w:val="en-GB"/>
        </w:rPr>
        <w:t xml:space="preserve"> questions regarding the relationship between domestic and international law</w:t>
      </w:r>
      <w:r>
        <w:rPr>
          <w:lang w:val="en-GB"/>
        </w:rPr>
        <w:t>.</w:t>
      </w:r>
      <w:r w:rsidRPr="00336C4D">
        <w:rPr>
          <w:rStyle w:val="FootnoteReference"/>
          <w:lang w:val="en-GB"/>
        </w:rPr>
        <w:footnoteReference w:id="49"/>
      </w:r>
      <w:r>
        <w:rPr>
          <w:lang w:val="en-GB"/>
        </w:rPr>
        <w:t xml:space="preserve"> In </w:t>
      </w:r>
      <w:r w:rsidRPr="009025E8">
        <w:rPr>
          <w:i/>
          <w:iCs/>
          <w:lang w:val="en-GB"/>
        </w:rPr>
        <w:t xml:space="preserve">Texaco and </w:t>
      </w:r>
      <w:proofErr w:type="spellStart"/>
      <w:r w:rsidRPr="009025E8">
        <w:rPr>
          <w:i/>
          <w:iCs/>
          <w:lang w:val="en-GB"/>
        </w:rPr>
        <w:t>Calasiatic</w:t>
      </w:r>
      <w:proofErr w:type="spellEnd"/>
      <w:r w:rsidRPr="009025E8">
        <w:rPr>
          <w:i/>
          <w:iCs/>
          <w:lang w:val="en-GB"/>
        </w:rPr>
        <w:t xml:space="preserve"> v Libya</w:t>
      </w:r>
      <w:r>
        <w:rPr>
          <w:lang w:val="en-GB"/>
        </w:rPr>
        <w:t xml:space="preserve"> the sole arbitrator </w:t>
      </w:r>
      <w:r w:rsidRPr="00336C4D">
        <w:rPr>
          <w:lang w:val="en-GB"/>
        </w:rPr>
        <w:t xml:space="preserve">René-Jean Dupuy </w:t>
      </w:r>
      <w:r>
        <w:rPr>
          <w:lang w:val="en-GB"/>
        </w:rPr>
        <w:t>held that</w:t>
      </w:r>
      <w:r w:rsidRPr="009025E8">
        <w:rPr>
          <w:lang w:val="en-GB"/>
        </w:rPr>
        <w:t xml:space="preserve"> ‘treaties are not the only type of agreements governed by [international] law… </w:t>
      </w:r>
      <w:r w:rsidR="002622C4">
        <w:rPr>
          <w:lang w:val="en-GB"/>
        </w:rPr>
        <w:t>c</w:t>
      </w:r>
      <w:r w:rsidRPr="009025E8">
        <w:rPr>
          <w:lang w:val="en-GB"/>
        </w:rPr>
        <w:t>ontracts between States and private persons can, under certain conditions, come within the ambit of a particular and new branch of international law: The international law of contracts’</w:t>
      </w:r>
      <w:r>
        <w:rPr>
          <w:lang w:val="en-GB"/>
        </w:rPr>
        <w:t>.</w:t>
      </w:r>
      <w:r>
        <w:rPr>
          <w:rStyle w:val="FootnoteReference"/>
          <w:lang w:val="en-GB"/>
        </w:rPr>
        <w:footnoteReference w:id="50"/>
      </w:r>
    </w:p>
    <w:p w14:paraId="3E8007C3" w14:textId="46D72FA7" w:rsidR="00B10BDB" w:rsidRDefault="00B10BDB" w:rsidP="00773164">
      <w:pPr>
        <w:spacing w:line="276" w:lineRule="auto"/>
        <w:ind w:right="-6" w:firstLine="720"/>
        <w:jc w:val="both"/>
        <w:rPr>
          <w:lang w:val="en-GB"/>
        </w:rPr>
      </w:pPr>
      <w:r>
        <w:rPr>
          <w:lang w:val="en-GB"/>
        </w:rPr>
        <w:t>C</w:t>
      </w:r>
      <w:r w:rsidRPr="00336C4D">
        <w:rPr>
          <w:lang w:val="en-GB"/>
        </w:rPr>
        <w:t>ertain investment contracts contain applicable law clauses referring to the application of rules and principles of public international law</w:t>
      </w:r>
      <w:r w:rsidRPr="00336C4D">
        <w:rPr>
          <w:rStyle w:val="FootnoteReference"/>
          <w:lang w:val="en-GB"/>
        </w:rPr>
        <w:footnoteReference w:id="51"/>
      </w:r>
      <w:r w:rsidRPr="00336C4D">
        <w:rPr>
          <w:lang w:val="en-GB"/>
        </w:rPr>
        <w:t xml:space="preserve"> or ‘considerations of equity and generally recognized principles of law and in particular international law’.</w:t>
      </w:r>
      <w:r w:rsidRPr="00336C4D">
        <w:rPr>
          <w:rStyle w:val="FootnoteReference"/>
          <w:lang w:val="en-GB"/>
        </w:rPr>
        <w:footnoteReference w:id="52"/>
      </w:r>
      <w:r w:rsidRPr="00336C4D">
        <w:rPr>
          <w:lang w:val="en-GB"/>
        </w:rPr>
        <w:t xml:space="preserve"> In some cases international law applies alongside with domestic law</w:t>
      </w:r>
      <w:r w:rsidRPr="00336C4D">
        <w:rPr>
          <w:rStyle w:val="FootnoteReference"/>
          <w:lang w:val="en-GB"/>
        </w:rPr>
        <w:footnoteReference w:id="53"/>
      </w:r>
      <w:r w:rsidRPr="00336C4D">
        <w:rPr>
          <w:lang w:val="en-GB"/>
        </w:rPr>
        <w:t xml:space="preserve"> or to the extent that </w:t>
      </w:r>
      <w:r>
        <w:rPr>
          <w:lang w:val="en-GB"/>
        </w:rPr>
        <w:t>it</w:t>
      </w:r>
      <w:r w:rsidRPr="00336C4D">
        <w:rPr>
          <w:lang w:val="en-GB"/>
        </w:rPr>
        <w:t xml:space="preserve"> is not incompatible with </w:t>
      </w:r>
      <w:r>
        <w:rPr>
          <w:lang w:val="en-GB"/>
        </w:rPr>
        <w:t>it</w:t>
      </w:r>
      <w:r w:rsidRPr="00336C4D">
        <w:rPr>
          <w:lang w:val="en-GB"/>
        </w:rPr>
        <w:t>.</w:t>
      </w:r>
      <w:r w:rsidRPr="00336C4D">
        <w:rPr>
          <w:rStyle w:val="FootnoteReference"/>
          <w:lang w:val="en-GB"/>
        </w:rPr>
        <w:footnoteReference w:id="54"/>
      </w:r>
      <w:r w:rsidRPr="00336C4D">
        <w:rPr>
          <w:lang w:val="en-GB"/>
        </w:rPr>
        <w:t xml:space="preserve"> </w:t>
      </w:r>
      <w:r>
        <w:rPr>
          <w:lang w:val="en-GB"/>
        </w:rPr>
        <w:lastRenderedPageBreak/>
        <w:t xml:space="preserve">In </w:t>
      </w:r>
      <w:r w:rsidRPr="001B2E69">
        <w:rPr>
          <w:i/>
          <w:iCs/>
          <w:lang w:val="en-GB"/>
        </w:rPr>
        <w:t>BP v Libya</w:t>
      </w:r>
      <w:r>
        <w:rPr>
          <w:lang w:val="en-GB"/>
        </w:rPr>
        <w:t xml:space="preserve">, </w:t>
      </w:r>
      <w:r w:rsidRPr="00A61432">
        <w:rPr>
          <w:i/>
          <w:iCs/>
          <w:lang w:val="en-GB"/>
        </w:rPr>
        <w:t xml:space="preserve">Texaco and </w:t>
      </w:r>
      <w:proofErr w:type="spellStart"/>
      <w:r w:rsidRPr="00A61432">
        <w:rPr>
          <w:i/>
          <w:iCs/>
          <w:lang w:val="en-GB"/>
        </w:rPr>
        <w:t>Calasiatic</w:t>
      </w:r>
      <w:proofErr w:type="spellEnd"/>
      <w:r w:rsidRPr="00A61432">
        <w:rPr>
          <w:i/>
          <w:iCs/>
          <w:lang w:val="en-GB"/>
        </w:rPr>
        <w:t xml:space="preserve"> v Libya</w:t>
      </w:r>
      <w:r>
        <w:rPr>
          <w:lang w:val="en-GB"/>
        </w:rPr>
        <w:t xml:space="preserve">, and </w:t>
      </w:r>
      <w:r w:rsidRPr="001B2E69">
        <w:rPr>
          <w:i/>
          <w:iCs/>
          <w:lang w:val="en-GB"/>
        </w:rPr>
        <w:t>LIAMCO v Libya</w:t>
      </w:r>
      <w:r>
        <w:rPr>
          <w:lang w:val="en-GB"/>
        </w:rPr>
        <w:t xml:space="preserve"> internationalisation was achieved by reference to the relevant applicable law clauses</w:t>
      </w:r>
      <w:r w:rsidR="000727ED">
        <w:rPr>
          <w:lang w:val="en-GB"/>
        </w:rPr>
        <w:t>.</w:t>
      </w:r>
      <w:r w:rsidRPr="00336C4D">
        <w:rPr>
          <w:rStyle w:val="FootnoteReference"/>
          <w:lang w:val="en-GB"/>
        </w:rPr>
        <w:footnoteReference w:id="55"/>
      </w:r>
      <w:r w:rsidRPr="007C3F71">
        <w:rPr>
          <w:lang w:val="en-GB"/>
        </w:rPr>
        <w:t xml:space="preserve"> </w:t>
      </w:r>
      <w:r w:rsidR="000727ED">
        <w:rPr>
          <w:lang w:val="el-GR"/>
        </w:rPr>
        <w:t>Α</w:t>
      </w:r>
      <w:proofErr w:type="spellStart"/>
      <w:r>
        <w:rPr>
          <w:lang w:val="en-GB"/>
        </w:rPr>
        <w:t>ll</w:t>
      </w:r>
      <w:proofErr w:type="spellEnd"/>
      <w:r>
        <w:rPr>
          <w:lang w:val="en-GB"/>
        </w:rPr>
        <w:t xml:space="preserve"> three tribunals accepted that ‘[t]</w:t>
      </w:r>
      <w:r w:rsidRPr="00EC49F6">
        <w:rPr>
          <w:lang w:val="en-GB"/>
        </w:rPr>
        <w:t>he non-municipal system by which the contract is to be governed may be public international law</w:t>
      </w:r>
      <w:r>
        <w:rPr>
          <w:lang w:val="en-GB"/>
        </w:rPr>
        <w:t>’.</w:t>
      </w:r>
      <w:r>
        <w:rPr>
          <w:rStyle w:val="FootnoteReference"/>
          <w:lang w:val="en-GB"/>
        </w:rPr>
        <w:footnoteReference w:id="56"/>
      </w:r>
      <w:r>
        <w:rPr>
          <w:lang w:val="en-GB"/>
        </w:rPr>
        <w:t xml:space="preserve"> </w:t>
      </w:r>
      <w:r w:rsidRPr="003D19B6">
        <w:rPr>
          <w:lang w:val="en-GB"/>
        </w:rPr>
        <w:t xml:space="preserve">The taxonomy of different applicable law clauses provided by Professor </w:t>
      </w:r>
      <w:proofErr w:type="spellStart"/>
      <w:r w:rsidRPr="003D19B6">
        <w:rPr>
          <w:lang w:val="en-GB"/>
        </w:rPr>
        <w:t>Böckstiegel</w:t>
      </w:r>
      <w:proofErr w:type="spellEnd"/>
      <w:r w:rsidRPr="003D19B6">
        <w:rPr>
          <w:lang w:val="en-GB"/>
        </w:rPr>
        <w:t xml:space="preserve"> </w:t>
      </w:r>
      <w:r>
        <w:rPr>
          <w:lang w:val="en-GB"/>
        </w:rPr>
        <w:t xml:space="preserve">summarises the different scenarios and </w:t>
      </w:r>
      <w:r w:rsidRPr="003D19B6">
        <w:rPr>
          <w:lang w:val="en-GB"/>
        </w:rPr>
        <w:t>is indicative of th</w:t>
      </w:r>
      <w:r>
        <w:rPr>
          <w:lang w:val="en-GB"/>
        </w:rPr>
        <w:t xml:space="preserve">e </w:t>
      </w:r>
      <w:r w:rsidRPr="003D19B6">
        <w:rPr>
          <w:lang w:val="en-GB"/>
        </w:rPr>
        <w:t>complexity</w:t>
      </w:r>
      <w:r>
        <w:rPr>
          <w:lang w:val="en-GB"/>
        </w:rPr>
        <w:t xml:space="preserve"> of the matter</w:t>
      </w:r>
      <w:r w:rsidR="00FB5B3F">
        <w:rPr>
          <w:lang w:val="el-GR"/>
        </w:rPr>
        <w:t xml:space="preserve">, </w:t>
      </w:r>
      <w:r w:rsidR="00FB5B3F">
        <w:rPr>
          <w:lang w:val="en-US"/>
        </w:rPr>
        <w:t>with contracts being subject</w:t>
      </w:r>
      <w:r w:rsidRPr="003D19B6">
        <w:rPr>
          <w:lang w:val="en-GB"/>
        </w:rPr>
        <w:t>:</w:t>
      </w:r>
    </w:p>
    <w:p w14:paraId="3E4AB89A" w14:textId="77777777" w:rsidR="00B10BDB" w:rsidRDefault="00B10BDB" w:rsidP="003D19B6">
      <w:pPr>
        <w:spacing w:line="276" w:lineRule="auto"/>
        <w:ind w:right="-6"/>
        <w:jc w:val="both"/>
        <w:rPr>
          <w:lang w:val="en-GB"/>
        </w:rPr>
      </w:pPr>
    </w:p>
    <w:p w14:paraId="4AAFFD79" w14:textId="3D597FDB" w:rsidR="00B10BDB" w:rsidRDefault="00B10BDB" w:rsidP="008A62CA">
      <w:pPr>
        <w:spacing w:line="276" w:lineRule="auto"/>
        <w:ind w:left="720" w:right="419"/>
        <w:jc w:val="both"/>
        <w:rPr>
          <w:lang w:val="en-GB"/>
        </w:rPr>
      </w:pPr>
      <w:r w:rsidRPr="003D19B6">
        <w:rPr>
          <w:lang w:val="en-GB"/>
        </w:rPr>
        <w:t xml:space="preserve">1 to two systems of national law; 2 to a national law and, in addition, to the ‘principle of good will and good faith’; 3 to a national law in combination with 'the general principles of law and justice’; 4 to the principles of law common to the national legal systems of the contracting partners; 5 to the ‘principles of law recognised by civilised nations’; 6 exclusively to the contract itself, possibly in addition to </w:t>
      </w:r>
      <w:r w:rsidRPr="008A62CA">
        <w:rPr>
          <w:i/>
          <w:iCs/>
          <w:lang w:val="en-GB"/>
        </w:rPr>
        <w:t>bona fides</w:t>
      </w:r>
      <w:r w:rsidRPr="003D19B6">
        <w:rPr>
          <w:lang w:val="en-GB"/>
        </w:rPr>
        <w:t>; 7 to legal principles or combinations of legal principles which go beyond any specific category; 8 to the arbitrators themselves, asking them to act as ‘</w:t>
      </w:r>
      <w:r w:rsidRPr="008A62CA">
        <w:rPr>
          <w:i/>
          <w:iCs/>
          <w:lang w:val="en-GB"/>
        </w:rPr>
        <w:t xml:space="preserve">amiable </w:t>
      </w:r>
      <w:proofErr w:type="spellStart"/>
      <w:r w:rsidRPr="008A62CA">
        <w:rPr>
          <w:i/>
          <w:iCs/>
          <w:lang w:val="en-GB"/>
        </w:rPr>
        <w:t>compositeur</w:t>
      </w:r>
      <w:proofErr w:type="spellEnd"/>
      <w:r w:rsidRPr="003D19B6">
        <w:rPr>
          <w:lang w:val="en-GB"/>
        </w:rPr>
        <w:t>’ or decide ‘</w:t>
      </w:r>
      <w:r w:rsidRPr="008A62CA">
        <w:rPr>
          <w:i/>
          <w:iCs/>
          <w:lang w:val="en-GB"/>
        </w:rPr>
        <w:t xml:space="preserve">ex </w:t>
      </w:r>
      <w:proofErr w:type="spellStart"/>
      <w:r w:rsidRPr="008A62CA">
        <w:rPr>
          <w:i/>
          <w:iCs/>
          <w:lang w:val="en-GB"/>
        </w:rPr>
        <w:t>aequo</w:t>
      </w:r>
      <w:proofErr w:type="spellEnd"/>
      <w:r w:rsidRPr="008A62CA">
        <w:rPr>
          <w:i/>
          <w:iCs/>
          <w:lang w:val="en-GB"/>
        </w:rPr>
        <w:t xml:space="preserve"> et bono</w:t>
      </w:r>
      <w:r w:rsidRPr="003D19B6">
        <w:rPr>
          <w:lang w:val="en-GB"/>
        </w:rPr>
        <w:t xml:space="preserve">’; 9 and </w:t>
      </w:r>
      <w:r w:rsidR="008A62CA">
        <w:rPr>
          <w:lang w:val="en-GB"/>
        </w:rPr>
        <w:t>–</w:t>
      </w:r>
      <w:r w:rsidRPr="003D19B6">
        <w:rPr>
          <w:lang w:val="en-GB"/>
        </w:rPr>
        <w:t xml:space="preserve"> to allow arbitrators to ‘decide all cases on the basis of respect for law, applying such choice of law rules and principles of commercial and international law as the Tribunal determines to be applicable, taking into account relevant usages of the trade, contract provisions and changed circumstances</w:t>
      </w:r>
      <w:r w:rsidR="008A62CA">
        <w:rPr>
          <w:lang w:val="el-GR"/>
        </w:rPr>
        <w:t>’</w:t>
      </w:r>
      <w:r>
        <w:rPr>
          <w:lang w:val="en-GB"/>
        </w:rPr>
        <w:t>.</w:t>
      </w:r>
      <w:r w:rsidRPr="00336C4D">
        <w:rPr>
          <w:rStyle w:val="FootnoteReference"/>
          <w:lang w:val="en-GB"/>
        </w:rPr>
        <w:footnoteReference w:id="57"/>
      </w:r>
    </w:p>
    <w:p w14:paraId="77AB0878" w14:textId="77777777" w:rsidR="00B10BDB" w:rsidRDefault="00B10BDB" w:rsidP="003D19B6">
      <w:pPr>
        <w:spacing w:line="276" w:lineRule="auto"/>
        <w:ind w:right="-6"/>
        <w:jc w:val="both"/>
        <w:rPr>
          <w:lang w:val="en-GB"/>
        </w:rPr>
      </w:pPr>
    </w:p>
    <w:p w14:paraId="25359CB4" w14:textId="3FD4B337" w:rsidR="00B10BDB" w:rsidRDefault="00B10BDB" w:rsidP="00EB4894">
      <w:pPr>
        <w:spacing w:line="276" w:lineRule="auto"/>
        <w:ind w:right="-6" w:firstLine="720"/>
        <w:jc w:val="both"/>
        <w:rPr>
          <w:lang w:val="en-US"/>
        </w:rPr>
      </w:pPr>
      <w:r>
        <w:rPr>
          <w:lang w:val="en-GB"/>
        </w:rPr>
        <w:t>More controversially, certain authorities accept that, e</w:t>
      </w:r>
      <w:r w:rsidRPr="00336C4D">
        <w:rPr>
          <w:lang w:val="en-GB"/>
        </w:rPr>
        <w:t>ven when the applicable law clause does not refer to international law, it</w:t>
      </w:r>
      <w:r w:rsidR="000D6547">
        <w:rPr>
          <w:lang w:val="el-GR"/>
        </w:rPr>
        <w:t xml:space="preserve"> </w:t>
      </w:r>
      <w:r w:rsidR="000D6547">
        <w:rPr>
          <w:lang w:val="en-US"/>
        </w:rPr>
        <w:t>still applies</w:t>
      </w:r>
      <w:r w:rsidRPr="00336C4D">
        <w:rPr>
          <w:lang w:val="en-GB"/>
        </w:rPr>
        <w:t>.</w:t>
      </w:r>
      <w:r w:rsidR="0087535F">
        <w:rPr>
          <w:rStyle w:val="FootnoteReference"/>
          <w:lang w:val="en-GB"/>
        </w:rPr>
        <w:footnoteReference w:id="58"/>
      </w:r>
      <w:r w:rsidRPr="00336C4D">
        <w:rPr>
          <w:lang w:val="en-GB"/>
        </w:rPr>
        <w:t xml:space="preserve"> In 1930 the tribunal</w:t>
      </w:r>
      <w:r>
        <w:rPr>
          <w:lang w:val="en-GB"/>
        </w:rPr>
        <w:t xml:space="preserve"> in</w:t>
      </w:r>
      <w:r w:rsidRPr="00336C4D">
        <w:rPr>
          <w:lang w:val="en-GB"/>
        </w:rPr>
        <w:t xml:space="preserve"> </w:t>
      </w:r>
      <w:r w:rsidRPr="00336C4D">
        <w:rPr>
          <w:i/>
          <w:iCs/>
          <w:lang w:val="en-GB"/>
        </w:rPr>
        <w:t>Lena Goldfields</w:t>
      </w:r>
      <w:r w:rsidRPr="00336C4D">
        <w:rPr>
          <w:lang w:val="en-GB"/>
        </w:rPr>
        <w:t xml:space="preserve"> applied principles of public international law in a concession contract governed by English law</w:t>
      </w:r>
      <w:r w:rsidRPr="00336C4D">
        <w:rPr>
          <w:rStyle w:val="FootnoteReference"/>
          <w:lang w:val="en-GB"/>
        </w:rPr>
        <w:footnoteReference w:id="59"/>
      </w:r>
      <w:r>
        <w:rPr>
          <w:lang w:val="en-GB"/>
        </w:rPr>
        <w:t xml:space="preserve"> </w:t>
      </w:r>
      <w:r>
        <w:rPr>
          <w:lang w:val="en-US"/>
        </w:rPr>
        <w:t>to offer compensation for unjust enrichment</w:t>
      </w:r>
      <w:r>
        <w:rPr>
          <w:rStyle w:val="FootnoteReference"/>
          <w:lang w:val="en-US"/>
        </w:rPr>
        <w:footnoteReference w:id="60"/>
      </w:r>
      <w:r>
        <w:rPr>
          <w:lang w:val="en-US"/>
        </w:rPr>
        <w:t xml:space="preserve">.  </w:t>
      </w:r>
      <w:r>
        <w:rPr>
          <w:lang w:val="en-GB"/>
        </w:rPr>
        <w:t>A series of arbitral awards dealing with oil concession</w:t>
      </w:r>
      <w:r w:rsidR="0088560B">
        <w:rPr>
          <w:lang w:val="en-GB"/>
        </w:rPr>
        <w:t>s</w:t>
      </w:r>
      <w:r>
        <w:rPr>
          <w:lang w:val="en-GB"/>
        </w:rPr>
        <w:t xml:space="preserve"> applied general principles of international law in the light of the fact that the Host State law was (or perceived to be) insufficiently developed.</w:t>
      </w:r>
      <w:r>
        <w:rPr>
          <w:rStyle w:val="FootnoteReference"/>
          <w:lang w:val="en-GB"/>
        </w:rPr>
        <w:footnoteReference w:id="61"/>
      </w:r>
      <w:r>
        <w:rPr>
          <w:lang w:val="en-GB"/>
        </w:rPr>
        <w:t xml:space="preserve"> The tribunal in </w:t>
      </w:r>
      <w:r w:rsidRPr="008B75EF">
        <w:rPr>
          <w:i/>
          <w:iCs/>
          <w:lang w:val="en-GB"/>
        </w:rPr>
        <w:t xml:space="preserve">Aramco </w:t>
      </w:r>
      <w:r w:rsidRPr="008B75EF">
        <w:rPr>
          <w:i/>
          <w:iCs/>
          <w:lang w:val="en-GB"/>
        </w:rPr>
        <w:lastRenderedPageBreak/>
        <w:t>v Saudi Arabia</w:t>
      </w:r>
      <w:r>
        <w:rPr>
          <w:lang w:val="en-GB"/>
        </w:rPr>
        <w:t xml:space="preserve"> explicitly endorsed </w:t>
      </w:r>
      <w:r w:rsidRPr="008B75EF">
        <w:rPr>
          <w:i/>
          <w:iCs/>
          <w:lang w:val="en-GB"/>
        </w:rPr>
        <w:t>Lena Goldfields</w:t>
      </w:r>
      <w:r>
        <w:rPr>
          <w:i/>
          <w:iCs/>
          <w:lang w:val="el-GR"/>
        </w:rPr>
        <w:t>.</w:t>
      </w:r>
      <w:r w:rsidRPr="008B75EF">
        <w:rPr>
          <w:lang w:val="en-GB"/>
        </w:rPr>
        <w:t xml:space="preserve"> </w:t>
      </w:r>
      <w:r>
        <w:rPr>
          <w:lang w:val="en-US"/>
        </w:rPr>
        <w:t>Despite</w:t>
      </w:r>
      <w:r>
        <w:rPr>
          <w:lang w:val="en-GB"/>
        </w:rPr>
        <w:t xml:space="preserve"> the absence of any reference to international law in </w:t>
      </w:r>
      <w:r w:rsidR="00FD6038">
        <w:rPr>
          <w:lang w:val="en-GB"/>
        </w:rPr>
        <w:t xml:space="preserve">the contract’s </w:t>
      </w:r>
      <w:r>
        <w:rPr>
          <w:lang w:val="en-GB"/>
        </w:rPr>
        <w:t xml:space="preserve"> applicable law clause </w:t>
      </w:r>
      <w:r w:rsidR="00CF00A8">
        <w:rPr>
          <w:lang w:val="en-GB"/>
        </w:rPr>
        <w:t xml:space="preserve">and </w:t>
      </w:r>
      <w:r>
        <w:rPr>
          <w:lang w:val="en-GB"/>
        </w:rPr>
        <w:t>the tribunal</w:t>
      </w:r>
      <w:r w:rsidR="00CF00A8">
        <w:rPr>
          <w:lang w:val="en-GB"/>
        </w:rPr>
        <w:t>’s categorical statement that the contract ‘is not governed by public international law’,</w:t>
      </w:r>
      <w:r w:rsidR="00CF00A8">
        <w:rPr>
          <w:rStyle w:val="FootnoteReference"/>
          <w:lang w:val="en-GB"/>
        </w:rPr>
        <w:footnoteReference w:id="62"/>
      </w:r>
      <w:r w:rsidR="00CF00A8">
        <w:rPr>
          <w:lang w:val="en-GB"/>
        </w:rPr>
        <w:t xml:space="preserve"> the tribunal did </w:t>
      </w:r>
      <w:r>
        <w:rPr>
          <w:lang w:val="en-GB"/>
        </w:rPr>
        <w:t>h</w:t>
      </w:r>
      <w:r w:rsidR="00CF00A8">
        <w:rPr>
          <w:lang w:val="en-GB"/>
        </w:rPr>
        <w:t>o</w:t>
      </w:r>
      <w:r>
        <w:rPr>
          <w:lang w:val="en-GB"/>
        </w:rPr>
        <w:t>ld that ‘public international law should be applied to the effects of the Concession, when objective reasons lead it to conclude that certain matters cannot be governed by any rule of the municipal law of any State, as is the case in all matters relating to transport by sea, to the sovereignty of the State on its territorial waters and to the responsibility of States for the violation of its international obligations’</w:t>
      </w:r>
      <w:r w:rsidRPr="0032482A">
        <w:rPr>
          <w:lang w:val="en-GB"/>
        </w:rPr>
        <w:t>.</w:t>
      </w:r>
      <w:r w:rsidRPr="0032482A">
        <w:rPr>
          <w:rStyle w:val="FootnoteReference"/>
          <w:lang w:val="en-GB"/>
        </w:rPr>
        <w:footnoteReference w:id="63"/>
      </w:r>
      <w:r w:rsidRPr="0032482A">
        <w:rPr>
          <w:lang w:val="en-GB"/>
        </w:rPr>
        <w:t xml:space="preserve"> In </w:t>
      </w:r>
      <w:r w:rsidRPr="0032482A">
        <w:rPr>
          <w:i/>
          <w:iCs/>
          <w:lang w:val="en-GB"/>
        </w:rPr>
        <w:t>Sapphire v National Iranian Oil</w:t>
      </w:r>
      <w:r>
        <w:rPr>
          <w:i/>
          <w:iCs/>
          <w:lang w:val="en-GB"/>
        </w:rPr>
        <w:t xml:space="preserve"> Company (NIOC) </w:t>
      </w:r>
      <w:r>
        <w:rPr>
          <w:lang w:val="en-GB"/>
        </w:rPr>
        <w:t xml:space="preserve">general principles of law were applied </w:t>
      </w:r>
      <w:r w:rsidRPr="004230E7">
        <w:rPr>
          <w:i/>
          <w:iCs/>
          <w:lang w:val="en-GB"/>
        </w:rPr>
        <w:t>in lieu</w:t>
      </w:r>
      <w:r>
        <w:rPr>
          <w:lang w:val="en-GB"/>
        </w:rPr>
        <w:t xml:space="preserve"> of Iranian law, on the basis that the absence of an express choice of law indicated a ‘</w:t>
      </w:r>
      <w:r w:rsidRPr="004230E7">
        <w:rPr>
          <w:lang w:val="en-GB"/>
        </w:rPr>
        <w:t>negative intention, namely to reject the exclusive application of Iranian law</w:t>
      </w:r>
      <w:r>
        <w:rPr>
          <w:lang w:val="en-GB"/>
        </w:rPr>
        <w:t>’</w:t>
      </w:r>
      <w:r>
        <w:rPr>
          <w:rStyle w:val="FootnoteReference"/>
          <w:vertAlign w:val="baseline"/>
          <w:lang w:val="en-GB"/>
        </w:rPr>
        <w:t>.</w:t>
      </w:r>
      <w:r>
        <w:rPr>
          <w:rStyle w:val="FootnoteReference"/>
          <w:lang w:val="en-GB"/>
        </w:rPr>
        <w:footnoteReference w:id="64"/>
      </w:r>
      <w:r>
        <w:rPr>
          <w:lang w:val="en-GB"/>
        </w:rPr>
        <w:t xml:space="preserve"> </w:t>
      </w:r>
      <w:r>
        <w:rPr>
          <w:lang w:val="en-US"/>
        </w:rPr>
        <w:t>As a result, the sole arbitrator held that</w:t>
      </w:r>
    </w:p>
    <w:p w14:paraId="46C305A1" w14:textId="77777777" w:rsidR="00B10BDB" w:rsidRPr="00EB4894" w:rsidRDefault="00B10BDB" w:rsidP="00EB4894">
      <w:pPr>
        <w:spacing w:line="276" w:lineRule="auto"/>
        <w:ind w:right="-6" w:firstLine="720"/>
        <w:jc w:val="both"/>
        <w:rPr>
          <w:lang w:val="en-US"/>
        </w:rPr>
      </w:pPr>
    </w:p>
    <w:p w14:paraId="18C6A653" w14:textId="24368A22" w:rsidR="00B10BDB" w:rsidRDefault="00B10BDB" w:rsidP="0038302F">
      <w:pPr>
        <w:spacing w:line="276" w:lineRule="auto"/>
        <w:ind w:left="709" w:right="419"/>
        <w:jc w:val="both"/>
        <w:rPr>
          <w:lang w:val="en-US"/>
        </w:rPr>
      </w:pPr>
      <w:r>
        <w:rPr>
          <w:lang w:val="en-US"/>
        </w:rPr>
        <w:t>[</w:t>
      </w:r>
      <w:proofErr w:type="spellStart"/>
      <w:r>
        <w:rPr>
          <w:lang w:val="en-US"/>
        </w:rPr>
        <w:t>i</w:t>
      </w:r>
      <w:proofErr w:type="spellEnd"/>
      <w:r>
        <w:rPr>
          <w:lang w:val="en-US"/>
        </w:rPr>
        <w:t xml:space="preserve">]t is therefore perfectly legitimate to find in such a clause evidence of the intention of the parties not to apply the strict rules of a particular system but, rather, to rely upon the rules of law, based upon reason, which are common to civilized nations. These rules are enshrined in Article 38 of the Statute of the International Court of Justice as a source of law, and numerous decisions of international tribunals have made use of them and clarified them. Their application is particularly justified in the present contract, which was concluded between a State organ and a foreign </w:t>
      </w:r>
      <w:proofErr w:type="gramStart"/>
      <w:r>
        <w:rPr>
          <w:lang w:val="en-US"/>
        </w:rPr>
        <w:t>company, and</w:t>
      </w:r>
      <w:proofErr w:type="gramEnd"/>
      <w:r>
        <w:rPr>
          <w:lang w:val="en-US"/>
        </w:rPr>
        <w:t xml:space="preserve"> depends upon public law in certain of its aspects. This contract has therefore a quasi-international character which releases it from the sovereignty of a particular legal system and it different fundamentally from an ordinary commercial contract.</w:t>
      </w:r>
      <w:r>
        <w:rPr>
          <w:rStyle w:val="FootnoteReference"/>
          <w:lang w:val="en-US"/>
        </w:rPr>
        <w:footnoteReference w:id="65"/>
      </w:r>
      <w:r>
        <w:rPr>
          <w:lang w:val="en-US"/>
        </w:rPr>
        <w:t xml:space="preserve"> </w:t>
      </w:r>
    </w:p>
    <w:p w14:paraId="7603A29B" w14:textId="77777777" w:rsidR="00B10BDB" w:rsidRDefault="00B10BDB" w:rsidP="00EB4894">
      <w:pPr>
        <w:spacing w:line="276" w:lineRule="auto"/>
        <w:ind w:right="-6"/>
        <w:jc w:val="both"/>
        <w:rPr>
          <w:lang w:val="en-US"/>
        </w:rPr>
      </w:pPr>
    </w:p>
    <w:p w14:paraId="035BB5C5" w14:textId="3BCA95DC" w:rsidR="00B10BDB" w:rsidRPr="0038302F" w:rsidRDefault="00B10BDB" w:rsidP="00EB4894">
      <w:pPr>
        <w:spacing w:line="276" w:lineRule="auto"/>
        <w:ind w:right="-6"/>
        <w:jc w:val="both"/>
        <w:rPr>
          <w:lang w:val="en-GB"/>
        </w:rPr>
      </w:pPr>
      <w:r>
        <w:rPr>
          <w:lang w:val="en-US"/>
        </w:rPr>
        <w:t>Importantly, the sole arbitrator added that ‘[s]</w:t>
      </w:r>
      <w:proofErr w:type="spellStart"/>
      <w:r>
        <w:rPr>
          <w:lang w:val="en-US"/>
        </w:rPr>
        <w:t>uch</w:t>
      </w:r>
      <w:proofErr w:type="spellEnd"/>
      <w:r>
        <w:rPr>
          <w:lang w:val="en-US"/>
        </w:rPr>
        <w:t xml:space="preserve"> a solution seems particularly suitable for giving the guarantees of protection which are indispensable for foreign companies, since these companies undergo very considerable risks in brining financial and technical aid to countries in the process of development’.</w:t>
      </w:r>
      <w:r>
        <w:rPr>
          <w:rStyle w:val="FootnoteReference"/>
          <w:lang w:val="en-US"/>
        </w:rPr>
        <w:footnoteReference w:id="66"/>
      </w:r>
      <w:r>
        <w:rPr>
          <w:lang w:val="en-US"/>
        </w:rPr>
        <w:t xml:space="preserve"> As </w:t>
      </w:r>
      <w:proofErr w:type="spellStart"/>
      <w:r>
        <w:rPr>
          <w:lang w:val="en-US"/>
        </w:rPr>
        <w:t>Alvik</w:t>
      </w:r>
      <w:proofErr w:type="spellEnd"/>
      <w:r>
        <w:rPr>
          <w:lang w:val="en-US"/>
        </w:rPr>
        <w:t xml:space="preserve"> notes </w:t>
      </w:r>
      <w:r w:rsidRPr="0038302F">
        <w:rPr>
          <w:lang w:val="en-GB"/>
        </w:rPr>
        <w:t>‘[t]he substantial result of this, as perceived by the arbitrator, was to neutralise the legislative power of the Iranian government as far as the contract was concerned</w:t>
      </w:r>
      <w:r>
        <w:rPr>
          <w:lang w:val="en-GB"/>
        </w:rPr>
        <w:t>’</w:t>
      </w:r>
      <w:r>
        <w:rPr>
          <w:lang w:val="en-US"/>
        </w:rPr>
        <w:t>.</w:t>
      </w:r>
      <w:r>
        <w:rPr>
          <w:rStyle w:val="FootnoteReference"/>
          <w:lang w:val="en-US"/>
        </w:rPr>
        <w:footnoteReference w:id="67"/>
      </w:r>
      <w:r>
        <w:rPr>
          <w:lang w:val="en-US"/>
        </w:rPr>
        <w:t xml:space="preserve"> </w:t>
      </w:r>
      <w:r>
        <w:rPr>
          <w:lang w:val="en-GB"/>
        </w:rPr>
        <w:t xml:space="preserve">In </w:t>
      </w:r>
      <w:r w:rsidRPr="00A61432">
        <w:rPr>
          <w:i/>
          <w:iCs/>
          <w:lang w:val="en-GB"/>
        </w:rPr>
        <w:t xml:space="preserve">Texaco and </w:t>
      </w:r>
      <w:proofErr w:type="spellStart"/>
      <w:r w:rsidRPr="00A61432">
        <w:rPr>
          <w:i/>
          <w:iCs/>
          <w:lang w:val="en-GB"/>
        </w:rPr>
        <w:t>Calasiatic</w:t>
      </w:r>
      <w:proofErr w:type="spellEnd"/>
      <w:r w:rsidRPr="00A61432">
        <w:rPr>
          <w:i/>
          <w:iCs/>
          <w:lang w:val="en-GB"/>
        </w:rPr>
        <w:t xml:space="preserve"> v Libya</w:t>
      </w:r>
      <w:r>
        <w:rPr>
          <w:lang w:val="en-GB"/>
        </w:rPr>
        <w:t>, sole arbitrator Dupuy accepted that ‘[</w:t>
      </w:r>
      <w:proofErr w:type="spellStart"/>
      <w:r>
        <w:rPr>
          <w:lang w:val="en-GB"/>
        </w:rPr>
        <w:t>i</w:t>
      </w:r>
      <w:proofErr w:type="spellEnd"/>
      <w:r>
        <w:rPr>
          <w:lang w:val="en-GB"/>
        </w:rPr>
        <w:t xml:space="preserve">]t’ is therefore unquestionable that the reference to international arbitration is sufficient to internationalize a contract’, although in that case the applicable law clause did include </w:t>
      </w:r>
      <w:r>
        <w:rPr>
          <w:lang w:val="en-GB"/>
        </w:rPr>
        <w:lastRenderedPageBreak/>
        <w:t>reference to international law.</w:t>
      </w:r>
      <w:r>
        <w:rPr>
          <w:rStyle w:val="FootnoteReference"/>
          <w:lang w:val="en-GB"/>
        </w:rPr>
        <w:footnoteReference w:id="68"/>
      </w:r>
      <w:r>
        <w:rPr>
          <w:lang w:val="en-GB"/>
        </w:rPr>
        <w:t xml:space="preserve"> Again</w:t>
      </w:r>
      <w:r w:rsidR="000727ED">
        <w:rPr>
          <w:lang w:val="en-GB"/>
        </w:rPr>
        <w:t>,</w:t>
      </w:r>
      <w:r>
        <w:rPr>
          <w:lang w:val="en-GB"/>
        </w:rPr>
        <w:t xml:space="preserve"> both the rationale and the result of this internationalisation was the same: affording protection to the foreign investor. In an arbitration between Electricity companies and Greece another tribunal chaired by Guggenheim referred to general principles of law and Article 38 of the International Court of Justice (ICJ) Statute,</w:t>
      </w:r>
      <w:r w:rsidRPr="00E92197">
        <w:rPr>
          <w:lang w:val="en-GB"/>
        </w:rPr>
        <w:t xml:space="preserve"> </w:t>
      </w:r>
      <w:r>
        <w:rPr>
          <w:lang w:val="en-GB"/>
        </w:rPr>
        <w:t>while there was no express choice of law (and therefore no reference to international law) in the contract.</w:t>
      </w:r>
      <w:r>
        <w:rPr>
          <w:rStyle w:val="FootnoteReference"/>
          <w:lang w:val="en-GB"/>
        </w:rPr>
        <w:footnoteReference w:id="69"/>
      </w:r>
      <w:r w:rsidR="005075FB">
        <w:rPr>
          <w:lang w:val="en-GB"/>
        </w:rPr>
        <w:t xml:space="preserve"> </w:t>
      </w:r>
      <w:r w:rsidRPr="00336C4D">
        <w:rPr>
          <w:lang w:val="en-GB"/>
        </w:rPr>
        <w:t xml:space="preserve">In </w:t>
      </w:r>
      <w:proofErr w:type="spellStart"/>
      <w:r w:rsidRPr="00336C4D">
        <w:rPr>
          <w:i/>
          <w:iCs/>
          <w:lang w:val="en-GB"/>
        </w:rPr>
        <w:t>Bankswitch</w:t>
      </w:r>
      <w:proofErr w:type="spellEnd"/>
      <w:r w:rsidRPr="00336C4D">
        <w:rPr>
          <w:i/>
          <w:iCs/>
          <w:lang w:val="en-GB"/>
        </w:rPr>
        <w:t xml:space="preserve"> v Ghana</w:t>
      </w:r>
      <w:r w:rsidRPr="00336C4D">
        <w:rPr>
          <w:lang w:val="en-GB"/>
        </w:rPr>
        <w:t xml:space="preserve"> the tribunal aptly summarised th</w:t>
      </w:r>
      <w:r>
        <w:rPr>
          <w:lang w:val="en-GB"/>
        </w:rPr>
        <w:t xml:space="preserve">is </w:t>
      </w:r>
      <w:r w:rsidRPr="00336C4D">
        <w:rPr>
          <w:lang w:val="en-GB"/>
        </w:rPr>
        <w:t>principle:</w:t>
      </w:r>
    </w:p>
    <w:p w14:paraId="7058F731" w14:textId="77777777" w:rsidR="00B10BDB" w:rsidRPr="00336C4D" w:rsidRDefault="00B10BDB" w:rsidP="004F55F7">
      <w:pPr>
        <w:widowControl w:val="0"/>
        <w:spacing w:line="276" w:lineRule="auto"/>
        <w:ind w:firstLine="720"/>
        <w:jc w:val="both"/>
        <w:rPr>
          <w:lang w:val="en-GB"/>
        </w:rPr>
      </w:pPr>
    </w:p>
    <w:p w14:paraId="20100E96" w14:textId="17A7FA5B" w:rsidR="00B10BDB" w:rsidRPr="00336C4D" w:rsidRDefault="00B10BDB" w:rsidP="004F55F7">
      <w:pPr>
        <w:widowControl w:val="0"/>
        <w:spacing w:line="276" w:lineRule="auto"/>
        <w:ind w:left="720" w:right="419"/>
        <w:jc w:val="both"/>
        <w:rPr>
          <w:lang w:val="en-GB"/>
        </w:rPr>
      </w:pPr>
      <w:r w:rsidRPr="00336C4D">
        <w:rPr>
          <w:lang w:val="en-GB"/>
        </w:rPr>
        <w:t>[t]</w:t>
      </w:r>
      <w:proofErr w:type="spellStart"/>
      <w:r w:rsidRPr="00336C4D">
        <w:rPr>
          <w:lang w:val="en-GB"/>
        </w:rPr>
        <w:t>hus</w:t>
      </w:r>
      <w:proofErr w:type="spellEnd"/>
      <w:r w:rsidRPr="00336C4D">
        <w:rPr>
          <w:lang w:val="en-GB"/>
        </w:rPr>
        <w:t>, while Clause 22 of the Agreement states that the Agreement ‘shall be governed by the Laws of the Republic of Ghana’, that choice of law clause does not insulate the Government from its obligations under customary international law to treat what is essentially a foreign investment fairly and equitably and not to take that investment without compensation. Contracts between a State and a foreign entity are typically governed by the law of the State, but it would be untenable for that reason to allow a State to act freely in order to absolve itself of its obligations towards the foreign entity by altering the content of its governing law to evade the terms of its commitments without regard to the State’s obligations under international law.</w:t>
      </w:r>
      <w:r w:rsidRPr="00336C4D">
        <w:rPr>
          <w:rStyle w:val="FootnoteReference"/>
          <w:lang w:val="en-GB"/>
        </w:rPr>
        <w:footnoteReference w:id="70"/>
      </w:r>
    </w:p>
    <w:p w14:paraId="36A796BF" w14:textId="7CE41C72" w:rsidR="00B10BDB" w:rsidRDefault="00B10BDB" w:rsidP="004230E7">
      <w:pPr>
        <w:spacing w:line="276" w:lineRule="auto"/>
        <w:ind w:right="-6"/>
        <w:jc w:val="both"/>
        <w:rPr>
          <w:lang w:val="en-GB"/>
        </w:rPr>
      </w:pPr>
    </w:p>
    <w:p w14:paraId="649FF1B3" w14:textId="200C0336" w:rsidR="00B10BDB" w:rsidRDefault="00B10BDB" w:rsidP="004230E7">
      <w:pPr>
        <w:spacing w:line="276" w:lineRule="auto"/>
        <w:ind w:right="-6"/>
        <w:jc w:val="both"/>
        <w:rPr>
          <w:lang w:val="en-GB"/>
        </w:rPr>
      </w:pPr>
      <w:r>
        <w:rPr>
          <w:lang w:val="en-GB"/>
        </w:rPr>
        <w:t>After extensively analysing why and how the international legal principle of estoppel applies in that case,</w:t>
      </w:r>
      <w:r>
        <w:rPr>
          <w:rStyle w:val="FootnoteReference"/>
          <w:lang w:val="en-GB"/>
        </w:rPr>
        <w:footnoteReference w:id="71"/>
      </w:r>
      <w:r>
        <w:rPr>
          <w:lang w:val="en-GB"/>
        </w:rPr>
        <w:t xml:space="preserve"> the tribunal concluded that Ghana was ‘estopped from arguing’ that its Constitution invalidated the Agreement.</w:t>
      </w:r>
      <w:r>
        <w:rPr>
          <w:rStyle w:val="FootnoteReference"/>
          <w:lang w:val="en-GB"/>
        </w:rPr>
        <w:footnoteReference w:id="72"/>
      </w:r>
      <w:r>
        <w:rPr>
          <w:lang w:val="en-GB"/>
        </w:rPr>
        <w:t xml:space="preserve"> I</w:t>
      </w:r>
      <w:r w:rsidRPr="00336C4D">
        <w:rPr>
          <w:lang w:val="en-GB"/>
        </w:rPr>
        <w:t xml:space="preserve">n </w:t>
      </w:r>
      <w:r w:rsidRPr="00336C4D">
        <w:rPr>
          <w:i/>
          <w:iCs/>
          <w:lang w:val="en-GB"/>
        </w:rPr>
        <w:t>Cambodia Power Company v Kingdom of Cambodia</w:t>
      </w:r>
      <w:r w:rsidRPr="00336C4D">
        <w:rPr>
          <w:lang w:val="en-GB"/>
        </w:rPr>
        <w:t>, an ICSID contract arbitration</w:t>
      </w:r>
      <w:r>
        <w:rPr>
          <w:lang w:val="en-GB"/>
        </w:rPr>
        <w:t xml:space="preserve">, </w:t>
      </w:r>
      <w:r w:rsidRPr="00336C4D">
        <w:rPr>
          <w:lang w:val="en-GB"/>
        </w:rPr>
        <w:t>the tribunal</w:t>
      </w:r>
      <w:r>
        <w:rPr>
          <w:lang w:val="en-GB"/>
        </w:rPr>
        <w:t xml:space="preserve"> </w:t>
      </w:r>
      <w:r w:rsidRPr="00336C4D">
        <w:rPr>
          <w:lang w:val="en-GB"/>
        </w:rPr>
        <w:t>concluded that the choice of a particular domestic law by the parties in an investment contract cannot exclude the application of international law</w:t>
      </w:r>
      <w:r>
        <w:rPr>
          <w:lang w:val="en-GB"/>
        </w:rPr>
        <w:t>,</w:t>
      </w:r>
      <w:r w:rsidRPr="00336C4D">
        <w:rPr>
          <w:rStyle w:val="FootnoteReference"/>
          <w:lang w:val="en-GB"/>
        </w:rPr>
        <w:footnoteReference w:id="73"/>
      </w:r>
      <w:r>
        <w:rPr>
          <w:lang w:val="en-GB"/>
        </w:rPr>
        <w:t xml:space="preserve"> and therefore it had jurisdiction to hear claims under customary international law.</w:t>
      </w:r>
      <w:r>
        <w:rPr>
          <w:rStyle w:val="FootnoteReference"/>
          <w:lang w:val="en-GB"/>
        </w:rPr>
        <w:footnoteReference w:id="74"/>
      </w:r>
    </w:p>
    <w:p w14:paraId="2C7052BD" w14:textId="304C0FCE" w:rsidR="00B10BDB" w:rsidRPr="00336C4D" w:rsidRDefault="00B10BDB" w:rsidP="007808F9">
      <w:pPr>
        <w:spacing w:line="276" w:lineRule="auto"/>
        <w:ind w:right="-6" w:firstLine="720"/>
        <w:jc w:val="both"/>
        <w:rPr>
          <w:lang w:val="en-GB"/>
        </w:rPr>
      </w:pPr>
      <w:r w:rsidRPr="00336C4D">
        <w:rPr>
          <w:lang w:val="en-GB"/>
        </w:rPr>
        <w:t xml:space="preserve">In </w:t>
      </w:r>
      <w:proofErr w:type="spellStart"/>
      <w:r w:rsidRPr="00336C4D">
        <w:rPr>
          <w:i/>
          <w:iCs/>
          <w:lang w:val="en-GB"/>
        </w:rPr>
        <w:t>Sandline</w:t>
      </w:r>
      <w:proofErr w:type="spellEnd"/>
      <w:r w:rsidRPr="00336C4D">
        <w:rPr>
          <w:i/>
          <w:iCs/>
          <w:lang w:val="en-GB"/>
        </w:rPr>
        <w:t xml:space="preserve"> v Papua New Guinea</w:t>
      </w:r>
      <w:r w:rsidRPr="00336C4D">
        <w:rPr>
          <w:lang w:val="en-GB"/>
        </w:rPr>
        <w:t xml:space="preserve">, </w:t>
      </w:r>
      <w:r w:rsidR="00CB3B4D">
        <w:rPr>
          <w:lang w:val="en-GB"/>
        </w:rPr>
        <w:t xml:space="preserve">despite the fact that the agreement was governed by domestic (English) law, </w:t>
      </w:r>
      <w:r>
        <w:rPr>
          <w:lang w:val="en-GB"/>
        </w:rPr>
        <w:t xml:space="preserve">the tribunal </w:t>
      </w:r>
      <w:r w:rsidRPr="00336C4D">
        <w:rPr>
          <w:lang w:val="en-GB"/>
        </w:rPr>
        <w:t xml:space="preserve">emphasized that ‘[a]n agreement between a private party </w:t>
      </w:r>
      <w:r w:rsidRPr="00336C4D">
        <w:rPr>
          <w:lang w:val="en-GB"/>
        </w:rPr>
        <w:lastRenderedPageBreak/>
        <w:t>and a State is an international, not a domestic, contract. This Tribunal is an international, not a domestic, arbitral tribunal and is bound to apply the rules of international law’.</w:t>
      </w:r>
      <w:r w:rsidRPr="00336C4D">
        <w:rPr>
          <w:rStyle w:val="FootnoteReference"/>
          <w:lang w:val="en-GB"/>
        </w:rPr>
        <w:footnoteReference w:id="75"/>
      </w:r>
      <w:r w:rsidRPr="00336C4D">
        <w:rPr>
          <w:lang w:val="en-GB"/>
        </w:rPr>
        <w:t xml:space="preserve"> </w:t>
      </w:r>
      <w:r>
        <w:rPr>
          <w:lang w:val="en-GB"/>
        </w:rPr>
        <w:t>Thus, the tribunal squarely rejected Papua New Guinea’s defence of the contract’s illegality based on its domestic law.</w:t>
      </w:r>
      <w:r>
        <w:rPr>
          <w:rStyle w:val="FootnoteReference"/>
          <w:lang w:val="en-GB"/>
        </w:rPr>
        <w:footnoteReference w:id="76"/>
      </w:r>
      <w:r>
        <w:rPr>
          <w:lang w:val="en-GB"/>
        </w:rPr>
        <w:t xml:space="preserve"> </w:t>
      </w:r>
      <w:r w:rsidRPr="00336C4D">
        <w:rPr>
          <w:lang w:val="en-GB"/>
        </w:rPr>
        <w:t xml:space="preserve">In </w:t>
      </w:r>
      <w:r w:rsidR="00CB3B4D">
        <w:rPr>
          <w:lang w:val="en-GB"/>
        </w:rPr>
        <w:t>another</w:t>
      </w:r>
      <w:r w:rsidRPr="00336C4D">
        <w:rPr>
          <w:lang w:val="en-GB"/>
        </w:rPr>
        <w:t xml:space="preserve"> ICSID arbitration, the tribunal held</w:t>
      </w:r>
      <w:r>
        <w:rPr>
          <w:lang w:val="en-GB"/>
        </w:rPr>
        <w:t xml:space="preserve"> that</w:t>
      </w:r>
    </w:p>
    <w:p w14:paraId="06B8E7B1" w14:textId="17AA9884" w:rsidR="00B10BDB" w:rsidRPr="00336C4D" w:rsidRDefault="00B10BDB" w:rsidP="000476F9">
      <w:pPr>
        <w:widowControl w:val="0"/>
        <w:spacing w:line="276" w:lineRule="auto"/>
        <w:jc w:val="both"/>
        <w:rPr>
          <w:lang w:val="en-GB"/>
        </w:rPr>
      </w:pPr>
    </w:p>
    <w:p w14:paraId="06A9AE90" w14:textId="4A8359E8" w:rsidR="00B10BDB" w:rsidRPr="00336C4D" w:rsidRDefault="00B10BDB" w:rsidP="000476F9">
      <w:pPr>
        <w:widowControl w:val="0"/>
        <w:spacing w:line="276" w:lineRule="auto"/>
        <w:ind w:left="720" w:right="419"/>
        <w:jc w:val="both"/>
        <w:rPr>
          <w:lang w:val="en-GB"/>
        </w:rPr>
      </w:pPr>
      <w:r w:rsidRPr="00336C4D">
        <w:rPr>
          <w:lang w:val="en-GB"/>
        </w:rPr>
        <w:t>it cannot disregard, but must take into account international law, in particular mandatory rules of international law, when deciding the present dispute. In accordance with Clause 26.1 of the Contract, this Tribunal will apply Kazakh law to the merits of the dispute as the law chosen by the Parties.  However, in doing so, it will afford a supplemental and corrective function to international law, supplementing and informing the Parties’ choice of law by the application of relevant international law rules.</w:t>
      </w:r>
      <w:r w:rsidRPr="00336C4D">
        <w:rPr>
          <w:rStyle w:val="FootnoteReference"/>
          <w:lang w:val="en-GB"/>
        </w:rPr>
        <w:footnoteReference w:id="77"/>
      </w:r>
    </w:p>
    <w:p w14:paraId="27E7C891" w14:textId="77777777" w:rsidR="00B10BDB" w:rsidRPr="00336C4D" w:rsidRDefault="00B10BDB" w:rsidP="000476F9">
      <w:pPr>
        <w:spacing w:line="276" w:lineRule="auto"/>
        <w:jc w:val="both"/>
        <w:rPr>
          <w:lang w:val="en-GB"/>
        </w:rPr>
      </w:pPr>
    </w:p>
    <w:p w14:paraId="1DD0D4F4" w14:textId="1C417C63" w:rsidR="00B10BDB" w:rsidRPr="00336C4D" w:rsidRDefault="005075FB" w:rsidP="000476F9">
      <w:pPr>
        <w:spacing w:line="276" w:lineRule="auto"/>
        <w:jc w:val="both"/>
        <w:rPr>
          <w:lang w:val="en-GB"/>
        </w:rPr>
      </w:pPr>
      <w:r w:rsidRPr="00336C4D">
        <w:rPr>
          <w:lang w:val="en-GB"/>
        </w:rPr>
        <w:t>In ICSID arbitrations, in the absence of the parties’ agreements on applicable law, both the law of the Host State and international law are applicable</w:t>
      </w:r>
      <w:r>
        <w:rPr>
          <w:lang w:val="en-GB"/>
        </w:rPr>
        <w:t xml:space="preserve"> by default</w:t>
      </w:r>
      <w:r>
        <w:rPr>
          <w:lang w:val="el-GR"/>
        </w:rPr>
        <w:t>.</w:t>
      </w:r>
      <w:r w:rsidRPr="00336C4D">
        <w:rPr>
          <w:rStyle w:val="FootnoteReference"/>
          <w:lang w:val="en-GB"/>
        </w:rPr>
        <w:footnoteReference w:id="78"/>
      </w:r>
      <w:r>
        <w:rPr>
          <w:lang w:val="el-GR"/>
        </w:rPr>
        <w:t xml:space="preserve"> </w:t>
      </w:r>
      <w:r>
        <w:rPr>
          <w:lang w:val="en-US"/>
        </w:rPr>
        <w:t>In</w:t>
      </w:r>
      <w:r w:rsidRPr="00336C4D">
        <w:rPr>
          <w:lang w:val="en-GB"/>
        </w:rPr>
        <w:t xml:space="preserve"> most cases, </w:t>
      </w:r>
      <w:r>
        <w:rPr>
          <w:lang w:val="en-US"/>
        </w:rPr>
        <w:t xml:space="preserve">the relevant </w:t>
      </w:r>
      <w:r w:rsidRPr="00336C4D">
        <w:rPr>
          <w:lang w:val="en-GB"/>
        </w:rPr>
        <w:t xml:space="preserve">contract will contain an applicable law clause. </w:t>
      </w:r>
      <w:r w:rsidR="00B10BDB" w:rsidRPr="00336C4D">
        <w:rPr>
          <w:lang w:val="en-GB"/>
        </w:rPr>
        <w:t xml:space="preserve">In that context, the distinction between ICSID and non-ICSID arbitration should not be </w:t>
      </w:r>
      <w:r w:rsidR="00B10BDB">
        <w:rPr>
          <w:lang w:val="en-GB"/>
        </w:rPr>
        <w:t>overemphasised in relation to</w:t>
      </w:r>
      <w:r w:rsidR="00B10BDB" w:rsidRPr="00336C4D">
        <w:rPr>
          <w:lang w:val="en-GB"/>
        </w:rPr>
        <w:t xml:space="preserve"> the international character of the</w:t>
      </w:r>
      <w:r w:rsidR="0030260C">
        <w:rPr>
          <w:lang w:val="en-GB"/>
        </w:rPr>
        <w:t xml:space="preserve"> arbitral</w:t>
      </w:r>
      <w:r w:rsidR="00B10BDB" w:rsidRPr="00336C4D">
        <w:rPr>
          <w:lang w:val="en-GB"/>
        </w:rPr>
        <w:t xml:space="preserve"> proceedings involving States or State entities. </w:t>
      </w:r>
      <w:r w:rsidR="00B10BDB">
        <w:rPr>
          <w:lang w:val="en-GB"/>
        </w:rPr>
        <w:t>A</w:t>
      </w:r>
      <w:r w:rsidR="00B10BDB" w:rsidRPr="00336C4D">
        <w:rPr>
          <w:lang w:val="en-GB"/>
        </w:rPr>
        <w:t xml:space="preserve">s </w:t>
      </w:r>
      <w:r w:rsidR="00B10BDB">
        <w:rPr>
          <w:lang w:val="en-GB"/>
        </w:rPr>
        <w:t xml:space="preserve">Charles </w:t>
      </w:r>
      <w:r w:rsidR="00B10BDB" w:rsidRPr="00336C4D">
        <w:rPr>
          <w:lang w:val="en-GB"/>
        </w:rPr>
        <w:t>Leben accurately observe</w:t>
      </w:r>
      <w:r w:rsidR="00B10BDB">
        <w:rPr>
          <w:lang w:val="en-GB"/>
        </w:rPr>
        <w:t>d</w:t>
      </w:r>
      <w:r w:rsidR="00B10BDB" w:rsidRPr="00336C4D">
        <w:rPr>
          <w:lang w:val="en-GB"/>
        </w:rPr>
        <w:t xml:space="preserve"> in </w:t>
      </w:r>
      <w:r w:rsidR="00B10BDB">
        <w:rPr>
          <w:lang w:val="en-GB"/>
        </w:rPr>
        <w:t xml:space="preserve">his </w:t>
      </w:r>
      <w:r w:rsidR="00B10BDB" w:rsidRPr="00336C4D">
        <w:rPr>
          <w:lang w:val="en-GB"/>
        </w:rPr>
        <w:t xml:space="preserve">Hague Academy course, many investment treaties offer a choice between ICSID arbitration and arbitration under other rules and </w:t>
      </w:r>
      <w:r w:rsidR="00B10BDB">
        <w:rPr>
          <w:lang w:val="en-US"/>
        </w:rPr>
        <w:t>institutions</w:t>
      </w:r>
      <w:r w:rsidR="00B10BDB" w:rsidRPr="00336C4D">
        <w:rPr>
          <w:lang w:val="en-GB"/>
        </w:rPr>
        <w:t xml:space="preserve"> such as the ICC and SCC.</w:t>
      </w:r>
      <w:r w:rsidR="00B10BDB" w:rsidRPr="00336C4D">
        <w:rPr>
          <w:rStyle w:val="FootnoteReference"/>
          <w:lang w:val="en-GB"/>
        </w:rPr>
        <w:footnoteReference w:id="79"/>
      </w:r>
      <w:r w:rsidR="00B10BDB" w:rsidRPr="00336C4D">
        <w:rPr>
          <w:lang w:val="en-GB"/>
        </w:rPr>
        <w:t xml:space="preserve"> </w:t>
      </w:r>
    </w:p>
    <w:p w14:paraId="73A924F7" w14:textId="434B6885" w:rsidR="00B10BDB" w:rsidRPr="00FB1A70" w:rsidRDefault="00B10BDB" w:rsidP="00FB1A70">
      <w:pPr>
        <w:spacing w:line="276" w:lineRule="auto"/>
        <w:ind w:firstLine="720"/>
        <w:jc w:val="both"/>
        <w:rPr>
          <w:lang w:val="en-GB"/>
        </w:rPr>
      </w:pPr>
      <w:r>
        <w:rPr>
          <w:lang w:val="en-GB"/>
        </w:rPr>
        <w:t xml:space="preserve">The factual and legal context of each case cited above referring to the application </w:t>
      </w:r>
      <w:r w:rsidR="000727ED">
        <w:rPr>
          <w:lang w:val="en-GB"/>
        </w:rPr>
        <w:t xml:space="preserve">of </w:t>
      </w:r>
      <w:r>
        <w:rPr>
          <w:lang w:val="en-GB"/>
        </w:rPr>
        <w:t xml:space="preserve">public international law in contract-based arbitrations is different. </w:t>
      </w:r>
      <w:r>
        <w:rPr>
          <w:lang w:val="en-US"/>
        </w:rPr>
        <w:t>However, the common feature of all these cases is that the application of international law was deemed necessary to protect foreign investors</w:t>
      </w:r>
      <w:r w:rsidR="00CB3B4D">
        <w:rPr>
          <w:lang w:val="en-US"/>
        </w:rPr>
        <w:t xml:space="preserve">, usually </w:t>
      </w:r>
      <w:r>
        <w:rPr>
          <w:lang w:val="en-US"/>
        </w:rPr>
        <w:t xml:space="preserve">against abuse of state (legislative) power. This is clearly explained by the sole arbitrator in </w:t>
      </w:r>
      <w:r w:rsidRPr="003B7137">
        <w:rPr>
          <w:i/>
          <w:iCs/>
          <w:lang w:val="en-US"/>
        </w:rPr>
        <w:t>Sapphire v NIOC</w:t>
      </w:r>
      <w:r>
        <w:rPr>
          <w:lang w:val="en-US"/>
        </w:rPr>
        <w:t>:</w:t>
      </w:r>
    </w:p>
    <w:p w14:paraId="3AFC03A1" w14:textId="77777777" w:rsidR="00B10BDB" w:rsidRDefault="00B10BDB" w:rsidP="00841132">
      <w:pPr>
        <w:spacing w:line="276" w:lineRule="auto"/>
        <w:jc w:val="both"/>
        <w:rPr>
          <w:lang w:val="en-US"/>
        </w:rPr>
      </w:pPr>
    </w:p>
    <w:p w14:paraId="7124008A" w14:textId="77777777" w:rsidR="00B10BDB" w:rsidRPr="003617E0" w:rsidRDefault="00B10BDB" w:rsidP="00841132">
      <w:pPr>
        <w:spacing w:line="276" w:lineRule="auto"/>
        <w:ind w:left="720" w:right="419"/>
        <w:jc w:val="both"/>
        <w:rPr>
          <w:lang w:val="el-GR"/>
        </w:rPr>
      </w:pPr>
      <w:r>
        <w:rPr>
          <w:lang w:val="en-US"/>
        </w:rPr>
        <w:t>[u]</w:t>
      </w:r>
      <w:proofErr w:type="spellStart"/>
      <w:r>
        <w:rPr>
          <w:lang w:val="en-US"/>
        </w:rPr>
        <w:t>nder</w:t>
      </w:r>
      <w:proofErr w:type="spellEnd"/>
      <w:r>
        <w:rPr>
          <w:lang w:val="en-US"/>
        </w:rPr>
        <w:t xml:space="preserve"> the present agreement, the foreign company was bringing financial and technical assistance to Iran, which involved it in investments, responsibilities, and considerable risks. It therefore seems natural that they should be protected against any legislative changes which might alter the character of the contract, and that they should be assured some legal security. This could not be guaranteed to them by the </w:t>
      </w:r>
      <w:r>
        <w:rPr>
          <w:lang w:val="en-US"/>
        </w:rPr>
        <w:lastRenderedPageBreak/>
        <w:t>outright application of Iranian law, which it is within the power of the Iranian State to change.</w:t>
      </w:r>
      <w:r>
        <w:rPr>
          <w:rStyle w:val="FootnoteReference"/>
          <w:lang w:val="en-US"/>
        </w:rPr>
        <w:footnoteReference w:id="80"/>
      </w:r>
    </w:p>
    <w:p w14:paraId="5B6CF7D9" w14:textId="7E6D1A0B" w:rsidR="00B10BDB" w:rsidRDefault="00B10BDB" w:rsidP="00841132">
      <w:pPr>
        <w:spacing w:line="276" w:lineRule="auto"/>
        <w:jc w:val="both"/>
        <w:rPr>
          <w:lang w:val="en-GB"/>
        </w:rPr>
      </w:pPr>
    </w:p>
    <w:p w14:paraId="17722885" w14:textId="572555F4" w:rsidR="00B10BDB" w:rsidRPr="00336C4D" w:rsidRDefault="00B10BDB" w:rsidP="003576BC">
      <w:pPr>
        <w:spacing w:line="276" w:lineRule="auto"/>
        <w:jc w:val="both"/>
        <w:rPr>
          <w:lang w:val="en-GB"/>
        </w:rPr>
      </w:pPr>
      <w:r w:rsidRPr="00336C4D">
        <w:rPr>
          <w:lang w:val="en-GB"/>
        </w:rPr>
        <w:t>Another reason for the application of international law to international State contracts is the need to differentiate them from domestic law contracts concluded between private parties.</w:t>
      </w:r>
      <w:r w:rsidRPr="00336C4D">
        <w:rPr>
          <w:rStyle w:val="FootnoteReference"/>
          <w:lang w:val="en-GB"/>
        </w:rPr>
        <w:t xml:space="preserve"> </w:t>
      </w:r>
      <w:r w:rsidRPr="00336C4D">
        <w:rPr>
          <w:lang w:val="en-GB"/>
        </w:rPr>
        <w:t>In some jurisdictions (such as France) certain contracts concluded between private entities and the State are subject to public law (and to the jurisdiction of special courts).</w:t>
      </w:r>
      <w:r w:rsidRPr="00336C4D">
        <w:rPr>
          <w:rStyle w:val="FootnoteReference"/>
          <w:lang w:val="en-GB"/>
        </w:rPr>
        <w:footnoteReference w:id="81"/>
      </w:r>
      <w:r w:rsidRPr="00336C4D">
        <w:rPr>
          <w:lang w:val="en-GB"/>
        </w:rPr>
        <w:t xml:space="preserve"> Because international law does not make such distinction,</w:t>
      </w:r>
      <w:r w:rsidRPr="00336C4D">
        <w:rPr>
          <w:rStyle w:val="FootnoteReference"/>
          <w:lang w:val="en-GB"/>
        </w:rPr>
        <w:footnoteReference w:id="82"/>
      </w:r>
      <w:r w:rsidRPr="00336C4D">
        <w:rPr>
          <w:lang w:val="en-GB"/>
        </w:rPr>
        <w:t xml:space="preserve"> it is perhaps necessary to recognise the special nature of investment contracts between foreign investors and States </w:t>
      </w:r>
      <w:r>
        <w:rPr>
          <w:lang w:val="en-GB"/>
        </w:rPr>
        <w:t>by accepting that they are also governed</w:t>
      </w:r>
      <w:r w:rsidRPr="00336C4D">
        <w:rPr>
          <w:lang w:val="en-GB"/>
        </w:rPr>
        <w:t xml:space="preserve"> </w:t>
      </w:r>
      <w:r>
        <w:rPr>
          <w:lang w:val="en-GB"/>
        </w:rPr>
        <w:t xml:space="preserve">by </w:t>
      </w:r>
      <w:r w:rsidRPr="00336C4D">
        <w:rPr>
          <w:lang w:val="en-GB"/>
        </w:rPr>
        <w:t>international law, irrespective of the applicable law chosen by the parties.</w:t>
      </w:r>
      <w:r w:rsidRPr="00336C4D">
        <w:rPr>
          <w:rStyle w:val="FootnoteReference"/>
          <w:lang w:val="en-GB"/>
        </w:rPr>
        <w:footnoteReference w:id="83"/>
      </w:r>
      <w:r>
        <w:rPr>
          <w:lang w:val="en-GB"/>
        </w:rPr>
        <w:t xml:space="preserve"> In any event, for the purposes of the present analysis it suffices to state that even the most dedicated opponent of the ‘internationalisation’ of investment contracts must accept that public international law forms </w:t>
      </w:r>
      <w:r w:rsidRPr="00023D8D">
        <w:rPr>
          <w:lang w:val="en-GB"/>
        </w:rPr>
        <w:t xml:space="preserve">part </w:t>
      </w:r>
      <w:r>
        <w:rPr>
          <w:lang w:val="en-GB"/>
        </w:rPr>
        <w:t>of the law applicable to such contracts by express choice of the parties in many instances or by default in the ICSID context.</w:t>
      </w:r>
      <w:r w:rsidRPr="003576BC">
        <w:rPr>
          <w:lang w:val="en-GB"/>
        </w:rPr>
        <w:t xml:space="preserve"> </w:t>
      </w:r>
      <w:r w:rsidRPr="00336C4D">
        <w:rPr>
          <w:lang w:val="en-GB"/>
        </w:rPr>
        <w:t xml:space="preserve">This ‘internationalization’ of </w:t>
      </w:r>
      <w:r>
        <w:rPr>
          <w:lang w:val="en-GB"/>
        </w:rPr>
        <w:t xml:space="preserve">investment </w:t>
      </w:r>
      <w:r w:rsidRPr="00336C4D">
        <w:rPr>
          <w:lang w:val="en-GB"/>
        </w:rPr>
        <w:t>contracts was viewed as tool of (neo)imperial oppression.</w:t>
      </w:r>
      <w:r w:rsidRPr="00336C4D">
        <w:rPr>
          <w:rStyle w:val="FootnoteReference"/>
          <w:lang w:val="en-GB"/>
        </w:rPr>
        <w:footnoteReference w:id="84"/>
      </w:r>
      <w:r w:rsidRPr="00336C4D">
        <w:rPr>
          <w:lang w:val="en-GB"/>
        </w:rPr>
        <w:t xml:space="preserve"> However, as </w:t>
      </w:r>
      <w:r>
        <w:rPr>
          <w:lang w:val="en-GB"/>
        </w:rPr>
        <w:t xml:space="preserve">Prosper </w:t>
      </w:r>
      <w:r w:rsidRPr="00336C4D">
        <w:rPr>
          <w:lang w:val="en-GB"/>
        </w:rPr>
        <w:t xml:space="preserve">Weil explained, this is not necessarily the case as </w:t>
      </w:r>
      <w:r>
        <w:rPr>
          <w:lang w:val="en-GB"/>
        </w:rPr>
        <w:t xml:space="preserve">public </w:t>
      </w:r>
      <w:r w:rsidRPr="00336C4D">
        <w:rPr>
          <w:lang w:val="en-GB"/>
        </w:rPr>
        <w:t>international law balances competing interests between developed and developing States.</w:t>
      </w:r>
      <w:r w:rsidRPr="00336C4D">
        <w:rPr>
          <w:rStyle w:val="FootnoteReference"/>
          <w:lang w:val="en-GB"/>
        </w:rPr>
        <w:footnoteReference w:id="85"/>
      </w:r>
      <w:r>
        <w:rPr>
          <w:lang w:val="en-GB"/>
        </w:rPr>
        <w:t xml:space="preserve"> The lack of certainty could be attributed that post-1990 the relevant debate became moot and was effectively halted due to the </w:t>
      </w:r>
      <w:r w:rsidRPr="00336C4D">
        <w:rPr>
          <w:lang w:val="en-GB"/>
        </w:rPr>
        <w:t>‘</w:t>
      </w:r>
      <w:proofErr w:type="spellStart"/>
      <w:r w:rsidRPr="00336C4D">
        <w:rPr>
          <w:lang w:val="en-GB"/>
        </w:rPr>
        <w:t>Βig</w:t>
      </w:r>
      <w:proofErr w:type="spellEnd"/>
      <w:r w:rsidRPr="00336C4D">
        <w:rPr>
          <w:lang w:val="en-GB"/>
        </w:rPr>
        <w:t xml:space="preserve"> </w:t>
      </w:r>
      <w:proofErr w:type="spellStart"/>
      <w:r w:rsidRPr="00336C4D">
        <w:rPr>
          <w:lang w:val="en-GB"/>
        </w:rPr>
        <w:t>Βang</w:t>
      </w:r>
      <w:proofErr w:type="spellEnd"/>
      <w:r w:rsidRPr="00336C4D">
        <w:rPr>
          <w:lang w:val="en-GB"/>
        </w:rPr>
        <w:t>’ explosion of investment treaties in the universe of international economic law,</w:t>
      </w:r>
      <w:r>
        <w:rPr>
          <w:lang w:val="en-GB"/>
        </w:rPr>
        <w:t xml:space="preserve"> which offered a more straightforward way for investors to invoke (and benefit from the substantive protection of) international law in an international forum</w:t>
      </w:r>
      <w:r w:rsidRPr="00336C4D">
        <w:rPr>
          <w:lang w:val="en-GB"/>
        </w:rPr>
        <w:t>.</w:t>
      </w:r>
      <w:r w:rsidRPr="00336C4D">
        <w:rPr>
          <w:rStyle w:val="FootnoteReference"/>
          <w:lang w:val="en-GB"/>
        </w:rPr>
        <w:footnoteReference w:id="86"/>
      </w:r>
      <w:r>
        <w:rPr>
          <w:lang w:val="en-GB"/>
        </w:rPr>
        <w:t xml:space="preserve"> With the ongoing backlash against investment treaty arbitration,</w:t>
      </w:r>
      <w:r>
        <w:rPr>
          <w:rStyle w:val="FootnoteReference"/>
          <w:lang w:val="en-GB"/>
        </w:rPr>
        <w:footnoteReference w:id="87"/>
      </w:r>
      <w:r>
        <w:rPr>
          <w:lang w:val="en-GB"/>
        </w:rPr>
        <w:t xml:space="preserve"> this debate will likely be resumed by courts, tribunals and scholars contributing towards greater clarity on the matter.</w:t>
      </w:r>
    </w:p>
    <w:p w14:paraId="5871CAFA" w14:textId="60F31B77" w:rsidR="00B10BDB" w:rsidRDefault="00B10BDB" w:rsidP="00520B2B">
      <w:pPr>
        <w:widowControl w:val="0"/>
        <w:spacing w:line="276" w:lineRule="auto"/>
        <w:ind w:firstLine="720"/>
        <w:jc w:val="both"/>
        <w:rPr>
          <w:lang w:val="en-GB"/>
        </w:rPr>
      </w:pPr>
      <w:r>
        <w:rPr>
          <w:lang w:val="en-GB"/>
        </w:rPr>
        <w:t>I</w:t>
      </w:r>
      <w:r w:rsidRPr="00336C4D">
        <w:rPr>
          <w:lang w:val="en-GB"/>
        </w:rPr>
        <w:t xml:space="preserve">nternational law </w:t>
      </w:r>
      <w:r>
        <w:rPr>
          <w:lang w:val="en-GB"/>
        </w:rPr>
        <w:t>forms</w:t>
      </w:r>
      <w:r w:rsidRPr="00336C4D">
        <w:rPr>
          <w:lang w:val="en-GB"/>
        </w:rPr>
        <w:t xml:space="preserve"> part of the </w:t>
      </w:r>
      <w:proofErr w:type="spellStart"/>
      <w:r w:rsidRPr="00336C4D">
        <w:rPr>
          <w:i/>
          <w:iCs/>
          <w:lang w:val="en-GB"/>
        </w:rPr>
        <w:t>lex</w:t>
      </w:r>
      <w:proofErr w:type="spellEnd"/>
      <w:r w:rsidRPr="00336C4D">
        <w:rPr>
          <w:i/>
          <w:iCs/>
          <w:lang w:val="en-GB"/>
        </w:rPr>
        <w:t xml:space="preserve"> </w:t>
      </w:r>
      <w:proofErr w:type="spellStart"/>
      <w:r w:rsidRPr="00336C4D">
        <w:rPr>
          <w:i/>
          <w:iCs/>
          <w:lang w:val="en-GB"/>
        </w:rPr>
        <w:t>arbitri</w:t>
      </w:r>
      <w:proofErr w:type="spellEnd"/>
      <w:r>
        <w:rPr>
          <w:lang w:val="en-GB"/>
        </w:rPr>
        <w:t xml:space="preserve"> in contract arbitrations involving States or State entities.</w:t>
      </w:r>
      <w:r w:rsidRPr="00336C4D">
        <w:rPr>
          <w:lang w:val="en-GB"/>
        </w:rPr>
        <w:t xml:space="preserve"> In ICSID contract arbitrations, there is no arbitral seat and the arbitral process is governed by the ICSID Convention and international law. Even outside the ICSID system, international law </w:t>
      </w:r>
      <w:r>
        <w:rPr>
          <w:lang w:val="en-US"/>
        </w:rPr>
        <w:t>is considered</w:t>
      </w:r>
      <w:r>
        <w:rPr>
          <w:lang w:val="en-GB"/>
        </w:rPr>
        <w:t xml:space="preserve"> part of the law </w:t>
      </w:r>
      <w:r w:rsidRPr="00336C4D">
        <w:rPr>
          <w:lang w:val="en-GB"/>
        </w:rPr>
        <w:t>govern</w:t>
      </w:r>
      <w:r>
        <w:rPr>
          <w:lang w:val="en-GB"/>
        </w:rPr>
        <w:t>ing</w:t>
      </w:r>
      <w:r w:rsidRPr="00336C4D">
        <w:rPr>
          <w:lang w:val="en-GB"/>
        </w:rPr>
        <w:t xml:space="preserve"> the arbitral process.</w:t>
      </w:r>
      <w:r w:rsidRPr="00336C4D">
        <w:rPr>
          <w:rStyle w:val="FootnoteReference"/>
          <w:lang w:val="en-GB"/>
        </w:rPr>
        <w:footnoteReference w:id="88"/>
      </w:r>
      <w:r w:rsidRPr="00336C4D">
        <w:rPr>
          <w:lang w:val="en-GB"/>
        </w:rPr>
        <w:t xml:space="preserve"> </w:t>
      </w:r>
      <w:r>
        <w:rPr>
          <w:lang w:val="en-GB"/>
        </w:rPr>
        <w:t>For example, an</w:t>
      </w:r>
      <w:r w:rsidRPr="00336C4D">
        <w:rPr>
          <w:lang w:val="en-GB"/>
        </w:rPr>
        <w:t xml:space="preserve"> </w:t>
      </w:r>
      <w:r w:rsidRPr="00336C4D">
        <w:rPr>
          <w:lang w:val="en-GB"/>
        </w:rPr>
        <w:lastRenderedPageBreak/>
        <w:t>1978 agreement between an African Arab State and an Asian Arab State to establish an industrial and agricultural investment company provided for arbitration to resolve disputes relating to that instrument, specifying that ‘[t]he arbitral tribunal shall draw the rules of procedure appropriate for its mission without being bound with the procedural laws of the two States’.</w:t>
      </w:r>
      <w:r w:rsidRPr="00336C4D">
        <w:rPr>
          <w:rStyle w:val="FootnoteReference"/>
          <w:lang w:val="en-GB"/>
        </w:rPr>
        <w:footnoteReference w:id="89"/>
      </w:r>
      <w:r w:rsidRPr="00336C4D">
        <w:rPr>
          <w:lang w:val="en-GB"/>
        </w:rPr>
        <w:t xml:space="preserve"> </w:t>
      </w:r>
    </w:p>
    <w:p w14:paraId="2DD90935" w14:textId="71C973F1" w:rsidR="00B10BDB" w:rsidRPr="00336C4D" w:rsidRDefault="00B10BDB" w:rsidP="00520B2B">
      <w:pPr>
        <w:widowControl w:val="0"/>
        <w:spacing w:line="276" w:lineRule="auto"/>
        <w:ind w:firstLine="720"/>
        <w:jc w:val="both"/>
        <w:rPr>
          <w:lang w:val="en-GB"/>
        </w:rPr>
      </w:pPr>
      <w:r w:rsidRPr="00336C4D">
        <w:rPr>
          <w:lang w:val="en-GB"/>
        </w:rPr>
        <w:t>Finally, at least in cases involving States or State entities it is uncontroversial that a transnational approach includes public international law. As Jean-</w:t>
      </w:r>
      <w:proofErr w:type="spellStart"/>
      <w:r w:rsidRPr="00336C4D">
        <w:rPr>
          <w:lang w:val="en-GB"/>
        </w:rPr>
        <w:t>Flavien</w:t>
      </w:r>
      <w:proofErr w:type="spellEnd"/>
      <w:r w:rsidRPr="00336C4D">
        <w:rPr>
          <w:lang w:val="en-GB"/>
        </w:rPr>
        <w:t xml:space="preserve"> </w:t>
      </w:r>
      <w:proofErr w:type="spellStart"/>
      <w:r w:rsidRPr="00336C4D">
        <w:rPr>
          <w:lang w:val="en-GB"/>
        </w:rPr>
        <w:t>Lalive</w:t>
      </w:r>
      <w:proofErr w:type="spellEnd"/>
      <w:r w:rsidRPr="00336C4D">
        <w:rPr>
          <w:lang w:val="en-GB"/>
        </w:rPr>
        <w:t xml:space="preserve"> noted in 1964, </w:t>
      </w:r>
    </w:p>
    <w:p w14:paraId="2D7EC262" w14:textId="72F3EE88" w:rsidR="00B10BDB" w:rsidRPr="00336C4D" w:rsidRDefault="00B10BDB" w:rsidP="000476F9">
      <w:pPr>
        <w:widowControl w:val="0"/>
        <w:spacing w:line="276" w:lineRule="auto"/>
        <w:ind w:firstLine="720"/>
        <w:jc w:val="both"/>
        <w:rPr>
          <w:lang w:val="en-GB"/>
        </w:rPr>
      </w:pPr>
    </w:p>
    <w:p w14:paraId="1312DBCF" w14:textId="622B719C" w:rsidR="00B10BDB" w:rsidRPr="00336C4D" w:rsidRDefault="00B10BDB" w:rsidP="000476F9">
      <w:pPr>
        <w:widowControl w:val="0"/>
        <w:spacing w:line="276" w:lineRule="auto"/>
        <w:ind w:left="709" w:right="419"/>
        <w:jc w:val="both"/>
        <w:rPr>
          <w:lang w:val="en-GB"/>
        </w:rPr>
      </w:pPr>
      <w:r w:rsidRPr="00336C4D">
        <w:rPr>
          <w:lang w:val="en-GB"/>
        </w:rPr>
        <w:t xml:space="preserve">[t]he great majority of lawyers drafting contracts, judges, arbitrators and writers have taken for granted that the ‘general principles’ belong to international law and are to be </w:t>
      </w:r>
      <w:proofErr w:type="spellStart"/>
      <w:r w:rsidRPr="00336C4D">
        <w:rPr>
          <w:lang w:val="en-GB"/>
        </w:rPr>
        <w:t>equiparated</w:t>
      </w:r>
      <w:proofErr w:type="spellEnd"/>
      <w:r w:rsidRPr="00336C4D">
        <w:rPr>
          <w:lang w:val="en-GB"/>
        </w:rPr>
        <w:t xml:space="preserve"> to ‘general principles of international law’.</w:t>
      </w:r>
      <w:r w:rsidRPr="00336C4D">
        <w:rPr>
          <w:rStyle w:val="FootnoteReference"/>
          <w:lang w:val="en-GB"/>
        </w:rPr>
        <w:footnoteReference w:id="90"/>
      </w:r>
    </w:p>
    <w:p w14:paraId="419C0C1B" w14:textId="77777777" w:rsidR="00B10BDB" w:rsidRPr="00336C4D" w:rsidRDefault="00B10BDB" w:rsidP="000476F9">
      <w:pPr>
        <w:widowControl w:val="0"/>
        <w:spacing w:line="276" w:lineRule="auto"/>
        <w:ind w:firstLine="720"/>
        <w:jc w:val="both"/>
        <w:rPr>
          <w:lang w:val="en-GB"/>
        </w:rPr>
      </w:pPr>
    </w:p>
    <w:p w14:paraId="5AF9C821" w14:textId="3E0C33AB" w:rsidR="00B10BDB" w:rsidRPr="00336C4D" w:rsidRDefault="00B10BDB" w:rsidP="00EF1E73">
      <w:pPr>
        <w:widowControl w:val="0"/>
        <w:spacing w:line="276" w:lineRule="auto"/>
        <w:ind w:right="-6" w:firstLine="720"/>
        <w:jc w:val="both"/>
        <w:rPr>
          <w:lang w:val="en-GB"/>
        </w:rPr>
      </w:pPr>
      <w:r>
        <w:rPr>
          <w:lang w:val="en-GB"/>
        </w:rPr>
        <w:t>T</w:t>
      </w:r>
      <w:r w:rsidRPr="00336C4D">
        <w:rPr>
          <w:lang w:val="en-GB"/>
        </w:rPr>
        <w:t xml:space="preserve">he ICSID </w:t>
      </w:r>
      <w:r w:rsidRPr="00336C4D">
        <w:rPr>
          <w:i/>
          <w:iCs/>
          <w:lang w:val="en-GB"/>
        </w:rPr>
        <w:t xml:space="preserve">East Kalimantan v PT </w:t>
      </w:r>
      <w:proofErr w:type="spellStart"/>
      <w:r w:rsidRPr="00336C4D">
        <w:rPr>
          <w:i/>
          <w:iCs/>
          <w:lang w:val="en-GB"/>
        </w:rPr>
        <w:t>Kaltim</w:t>
      </w:r>
      <w:proofErr w:type="spellEnd"/>
      <w:r w:rsidRPr="00336C4D">
        <w:rPr>
          <w:i/>
          <w:iCs/>
          <w:lang w:val="en-GB"/>
        </w:rPr>
        <w:t xml:space="preserve"> Prima Coal and others</w:t>
      </w:r>
      <w:r w:rsidRPr="00336C4D">
        <w:rPr>
          <w:lang w:val="en-GB"/>
        </w:rPr>
        <w:t xml:space="preserve"> (</w:t>
      </w:r>
      <w:r w:rsidRPr="00336C4D">
        <w:rPr>
          <w:i/>
          <w:iCs/>
          <w:lang w:val="en-GB"/>
        </w:rPr>
        <w:t>East Kalimantan v KPC</w:t>
      </w:r>
      <w:r w:rsidRPr="00336C4D">
        <w:rPr>
          <w:lang w:val="en-GB"/>
        </w:rPr>
        <w:t>)</w:t>
      </w:r>
      <w:r>
        <w:rPr>
          <w:lang w:val="en-GB"/>
        </w:rPr>
        <w:t xml:space="preserve"> case is relevant to the role of international law in the extension of the arbitration agreement to non-signatory States</w:t>
      </w:r>
      <w:r w:rsidRPr="00336C4D">
        <w:rPr>
          <w:lang w:val="en-GB"/>
        </w:rPr>
        <w:t>. Indonesia ha</w:t>
      </w:r>
      <w:r>
        <w:rPr>
          <w:lang w:val="en-GB"/>
        </w:rPr>
        <w:t>d</w:t>
      </w:r>
      <w:r w:rsidRPr="00336C4D">
        <w:rPr>
          <w:lang w:val="en-GB"/>
        </w:rPr>
        <w:t xml:space="preserve"> concluded a contract (‘the KPC contract’) with foreign investors, which was governed by Indonesia</w:t>
      </w:r>
      <w:r w:rsidR="00CB1E6F">
        <w:rPr>
          <w:lang w:val="en-GB"/>
        </w:rPr>
        <w:t>n</w:t>
      </w:r>
      <w:r w:rsidRPr="00336C4D">
        <w:rPr>
          <w:lang w:val="en-GB"/>
        </w:rPr>
        <w:t xml:space="preserve"> law, and provided for ICSID arbitration.</w:t>
      </w:r>
      <w:r w:rsidRPr="00336C4D">
        <w:rPr>
          <w:rStyle w:val="FootnoteReference"/>
          <w:lang w:val="en-GB"/>
        </w:rPr>
        <w:footnoteReference w:id="91"/>
      </w:r>
      <w:r w:rsidRPr="00336C4D">
        <w:rPr>
          <w:lang w:val="en-GB"/>
        </w:rPr>
        <w:t xml:space="preserve"> </w:t>
      </w:r>
      <w:r>
        <w:rPr>
          <w:lang w:val="en-GB"/>
        </w:rPr>
        <w:t>T</w:t>
      </w:r>
      <w:r w:rsidRPr="00336C4D">
        <w:rPr>
          <w:lang w:val="en-GB"/>
        </w:rPr>
        <w:t>he contract also provided for non-ICSID arbitration, ‘[</w:t>
      </w:r>
      <w:proofErr w:type="spellStart"/>
      <w:r w:rsidRPr="00336C4D">
        <w:rPr>
          <w:lang w:val="en-GB"/>
        </w:rPr>
        <w:t>i</w:t>
      </w:r>
      <w:proofErr w:type="spellEnd"/>
      <w:r w:rsidRPr="00336C4D">
        <w:rPr>
          <w:lang w:val="en-GB"/>
        </w:rPr>
        <w:t>]f the services of the Centre are unavailable to the Parties’.</w:t>
      </w:r>
      <w:r w:rsidRPr="00336C4D">
        <w:rPr>
          <w:rStyle w:val="FootnoteReference"/>
          <w:lang w:val="en-GB"/>
        </w:rPr>
        <w:footnoteReference w:id="92"/>
      </w:r>
      <w:r w:rsidRPr="00336C4D">
        <w:rPr>
          <w:lang w:val="en-GB"/>
        </w:rPr>
        <w:t xml:space="preserve"> The Government of East Kalimantan, a province of Indonesia, commenced ICSID arbitration under the contract, although it was not a contracting party.</w:t>
      </w:r>
      <w:r>
        <w:rPr>
          <w:lang w:val="en-GB"/>
        </w:rPr>
        <w:t xml:space="preserve"> F</w:t>
      </w:r>
      <w:r w:rsidRPr="00336C4D">
        <w:rPr>
          <w:lang w:val="en-GB"/>
        </w:rPr>
        <w:t xml:space="preserve">or </w:t>
      </w:r>
      <w:r>
        <w:rPr>
          <w:lang w:val="en-GB"/>
        </w:rPr>
        <w:t>an ICSID</w:t>
      </w:r>
      <w:r w:rsidRPr="00336C4D">
        <w:rPr>
          <w:lang w:val="en-GB"/>
        </w:rPr>
        <w:t xml:space="preserve"> arbitral tribunal to exercise jurisdiction, in addition to the jurisdictional requirements of the arbitration agreement, the jurisdictional requirements of the ICSID Convention must also be met.</w:t>
      </w:r>
      <w:r w:rsidRPr="00336C4D">
        <w:rPr>
          <w:rStyle w:val="FootnoteReference"/>
          <w:lang w:val="en-GB"/>
        </w:rPr>
        <w:footnoteReference w:id="93"/>
      </w:r>
      <w:r w:rsidRPr="00336C4D">
        <w:rPr>
          <w:lang w:val="en-GB"/>
        </w:rPr>
        <w:t xml:space="preserve"> In </w:t>
      </w:r>
      <w:r w:rsidRPr="00336C4D">
        <w:rPr>
          <w:i/>
          <w:iCs/>
          <w:lang w:val="en-GB"/>
        </w:rPr>
        <w:t>East Kalimantan v KPC</w:t>
      </w:r>
      <w:r w:rsidRPr="00336C4D">
        <w:rPr>
          <w:lang w:val="en-GB"/>
        </w:rPr>
        <w:t>, the parties agreed on both the existence and the content of the ICSID jurisdictional requirements, one of these four requirements being that ‘the dispute must be between a Contracting State (or any constituent subdivision or agency of a Contracting State designated to the Centre by that State) and a national of another Contracting State’.</w:t>
      </w:r>
      <w:r w:rsidRPr="00336C4D">
        <w:rPr>
          <w:rStyle w:val="FootnoteReference"/>
          <w:lang w:val="en-GB"/>
        </w:rPr>
        <w:footnoteReference w:id="94"/>
      </w:r>
      <w:r w:rsidRPr="00336C4D">
        <w:rPr>
          <w:lang w:val="en-GB"/>
        </w:rPr>
        <w:t xml:space="preserve"> However, the parties disagreed</w:t>
      </w:r>
    </w:p>
    <w:p w14:paraId="0B6ACEFF" w14:textId="1B93CE34" w:rsidR="00B10BDB" w:rsidRPr="00336C4D" w:rsidRDefault="00B10BDB" w:rsidP="000476F9">
      <w:pPr>
        <w:widowControl w:val="0"/>
        <w:spacing w:line="276" w:lineRule="auto"/>
        <w:ind w:right="-6"/>
        <w:jc w:val="both"/>
        <w:rPr>
          <w:lang w:val="en-GB"/>
        </w:rPr>
      </w:pPr>
    </w:p>
    <w:p w14:paraId="105A51E6" w14:textId="6B45A586" w:rsidR="00B10BDB" w:rsidRPr="00336C4D" w:rsidRDefault="00B10BDB" w:rsidP="000476F9">
      <w:pPr>
        <w:widowControl w:val="0"/>
        <w:spacing w:line="276" w:lineRule="auto"/>
        <w:ind w:left="720" w:right="419"/>
        <w:jc w:val="both"/>
        <w:rPr>
          <w:lang w:val="en-GB"/>
        </w:rPr>
      </w:pPr>
      <w:r w:rsidRPr="00336C4D">
        <w:rPr>
          <w:lang w:val="en-GB"/>
        </w:rPr>
        <w:t xml:space="preserve">on the law governing the Tribunal’s jurisdiction. This is in particular so because their alleged consent is not based on a treaty but on an arbitration agreement which is part of a contract governed by national law, and more specifically by an alleged </w:t>
      </w:r>
      <w:proofErr w:type="gramStart"/>
      <w:r w:rsidRPr="00336C4D">
        <w:rPr>
          <w:lang w:val="en-GB"/>
        </w:rPr>
        <w:lastRenderedPageBreak/>
        <w:t>third party</w:t>
      </w:r>
      <w:proofErr w:type="gramEnd"/>
      <w:r w:rsidRPr="00336C4D">
        <w:rPr>
          <w:lang w:val="en-GB"/>
        </w:rPr>
        <w:t xml:space="preserve"> beneficiary right to such arbitration agreement.</w:t>
      </w:r>
      <w:r w:rsidRPr="00336C4D">
        <w:rPr>
          <w:rStyle w:val="FootnoteReference"/>
          <w:lang w:val="en-GB"/>
        </w:rPr>
        <w:footnoteReference w:id="95"/>
      </w:r>
    </w:p>
    <w:p w14:paraId="254609C6" w14:textId="0B6A463D" w:rsidR="00B10BDB" w:rsidRPr="00336C4D" w:rsidRDefault="00B10BDB" w:rsidP="000476F9">
      <w:pPr>
        <w:widowControl w:val="0"/>
        <w:spacing w:line="276" w:lineRule="auto"/>
        <w:ind w:right="-6"/>
        <w:jc w:val="both"/>
        <w:rPr>
          <w:lang w:val="en-GB"/>
        </w:rPr>
      </w:pPr>
    </w:p>
    <w:p w14:paraId="07153814" w14:textId="0F33CD6C" w:rsidR="00B10BDB" w:rsidRPr="00336C4D" w:rsidRDefault="00B10BDB" w:rsidP="000476F9">
      <w:pPr>
        <w:widowControl w:val="0"/>
        <w:spacing w:line="276" w:lineRule="auto"/>
        <w:ind w:right="-6"/>
        <w:jc w:val="both"/>
        <w:rPr>
          <w:lang w:val="en-GB"/>
        </w:rPr>
      </w:pPr>
      <w:r w:rsidRPr="00336C4D">
        <w:rPr>
          <w:lang w:val="en-GB"/>
        </w:rPr>
        <w:t>East Kalimantan argued that the issue would have to be determined by reference to Indonesian law, while the respondents submitted that the tribunal should apply international law.</w:t>
      </w:r>
      <w:r w:rsidRPr="00336C4D">
        <w:rPr>
          <w:rStyle w:val="FootnoteReference"/>
          <w:lang w:val="en-GB"/>
        </w:rPr>
        <w:footnoteReference w:id="96"/>
      </w:r>
      <w:r w:rsidRPr="00336C4D">
        <w:rPr>
          <w:lang w:val="en-GB"/>
        </w:rPr>
        <w:t xml:space="preserve"> The tribunal held that </w:t>
      </w:r>
    </w:p>
    <w:p w14:paraId="79CDD416" w14:textId="77777777" w:rsidR="00B10BDB" w:rsidRPr="00336C4D" w:rsidRDefault="00B10BDB" w:rsidP="000476F9">
      <w:pPr>
        <w:widowControl w:val="0"/>
        <w:spacing w:line="276" w:lineRule="auto"/>
        <w:ind w:right="-6"/>
        <w:jc w:val="both"/>
        <w:rPr>
          <w:lang w:val="en-GB"/>
        </w:rPr>
      </w:pPr>
    </w:p>
    <w:p w14:paraId="25C914CF" w14:textId="058E4E3A" w:rsidR="00B10BDB" w:rsidRPr="00336C4D" w:rsidRDefault="00B10BDB" w:rsidP="000476F9">
      <w:pPr>
        <w:widowControl w:val="0"/>
        <w:spacing w:line="276" w:lineRule="auto"/>
        <w:ind w:left="720" w:right="419"/>
        <w:jc w:val="both"/>
        <w:rPr>
          <w:lang w:val="en-GB"/>
        </w:rPr>
      </w:pPr>
      <w:r w:rsidRPr="00336C4D">
        <w:rPr>
          <w:lang w:val="en-GB"/>
        </w:rPr>
        <w:t xml:space="preserve">[t]he fact that international law sets the requirements for ICSID jurisdiction does not mean that other laws, specifically national laws, may </w:t>
      </w:r>
      <w:r w:rsidRPr="00336C4D">
        <w:rPr>
          <w:i/>
          <w:iCs/>
          <w:lang w:val="en-GB"/>
        </w:rPr>
        <w:t>never</w:t>
      </w:r>
      <w:r w:rsidRPr="00336C4D">
        <w:rPr>
          <w:lang w:val="en-GB"/>
        </w:rPr>
        <w:t xml:space="preserve"> be considered when reviewing whether the requirements set by international law are met. A review of ICSID cases shows that tribunals do refer to national law, for instance to determine whether the requirements of nationality or of the existence of an investment are fulfilled. In other words, depending on the circumstances, certain jurisdictional requirements under Article 25 of the ICSID Convention </w:t>
      </w:r>
      <w:r w:rsidRPr="00336C4D">
        <w:rPr>
          <w:i/>
          <w:iCs/>
          <w:lang w:val="en-GB"/>
        </w:rPr>
        <w:t>may sometimes</w:t>
      </w:r>
      <w:r w:rsidRPr="00336C4D">
        <w:rPr>
          <w:lang w:val="en-GB"/>
        </w:rPr>
        <w:t xml:space="preserve"> have to be assessed taking into account national law. This may especially be true of the requirement of consent when the agreement to arbitrate is contained in a contract governed by national law.</w:t>
      </w:r>
      <w:r w:rsidRPr="00336C4D">
        <w:rPr>
          <w:rStyle w:val="FootnoteReference"/>
          <w:lang w:val="en-GB"/>
        </w:rPr>
        <w:footnoteReference w:id="97"/>
      </w:r>
    </w:p>
    <w:p w14:paraId="7703E422" w14:textId="515C6081" w:rsidR="00B10BDB" w:rsidRPr="00336C4D" w:rsidRDefault="00B10BDB" w:rsidP="000476F9">
      <w:pPr>
        <w:widowControl w:val="0"/>
        <w:spacing w:line="276" w:lineRule="auto"/>
        <w:ind w:right="419"/>
        <w:jc w:val="both"/>
        <w:rPr>
          <w:lang w:val="en-GB"/>
        </w:rPr>
      </w:pPr>
    </w:p>
    <w:p w14:paraId="5FEF1E83" w14:textId="1FB496C8" w:rsidR="00B10BDB" w:rsidRPr="00336C4D" w:rsidRDefault="00B10BDB" w:rsidP="000476F9">
      <w:pPr>
        <w:widowControl w:val="0"/>
        <w:spacing w:line="276" w:lineRule="auto"/>
        <w:ind w:right="419"/>
        <w:jc w:val="both"/>
        <w:rPr>
          <w:lang w:val="en-GB"/>
        </w:rPr>
      </w:pPr>
      <w:r w:rsidRPr="00336C4D">
        <w:rPr>
          <w:lang w:val="en-GB"/>
        </w:rPr>
        <w:t>Further, the tribunal held that</w:t>
      </w:r>
    </w:p>
    <w:p w14:paraId="250479B8" w14:textId="18AFD8B6" w:rsidR="00B10BDB" w:rsidRPr="00336C4D" w:rsidRDefault="00B10BDB" w:rsidP="000476F9">
      <w:pPr>
        <w:widowControl w:val="0"/>
        <w:spacing w:line="276" w:lineRule="auto"/>
        <w:ind w:right="419"/>
        <w:jc w:val="both"/>
        <w:rPr>
          <w:lang w:val="en-GB"/>
        </w:rPr>
      </w:pPr>
    </w:p>
    <w:p w14:paraId="5F83805F" w14:textId="64717B5A" w:rsidR="00B10BDB" w:rsidRPr="00336C4D" w:rsidRDefault="00B10BDB" w:rsidP="000476F9">
      <w:pPr>
        <w:spacing w:line="276" w:lineRule="auto"/>
        <w:ind w:left="720" w:right="419"/>
        <w:jc w:val="both"/>
        <w:rPr>
          <w:lang w:val="en-GB"/>
        </w:rPr>
      </w:pPr>
      <w:r w:rsidRPr="00336C4D">
        <w:rPr>
          <w:lang w:val="en-GB"/>
        </w:rPr>
        <w:t>[u]</w:t>
      </w:r>
      <w:proofErr w:type="spellStart"/>
      <w:r w:rsidRPr="00336C4D">
        <w:rPr>
          <w:lang w:val="en-GB"/>
        </w:rPr>
        <w:t>nder</w:t>
      </w:r>
      <w:proofErr w:type="spellEnd"/>
      <w:r w:rsidRPr="00336C4D">
        <w:rPr>
          <w:lang w:val="en-GB"/>
        </w:rPr>
        <w:t xml:space="preserve"> the principle of autonomy, the arbitration agreement contained in a contract is not necessarily governed by the same law as the contract itself. In this case, however, both Parties have pleaded the issue of </w:t>
      </w:r>
      <w:proofErr w:type="gramStart"/>
      <w:r w:rsidRPr="00336C4D">
        <w:rPr>
          <w:lang w:val="en-GB"/>
        </w:rPr>
        <w:t>third party</w:t>
      </w:r>
      <w:proofErr w:type="gramEnd"/>
      <w:r w:rsidRPr="00336C4D">
        <w:rPr>
          <w:lang w:val="en-GB"/>
        </w:rPr>
        <w:t xml:space="preserve"> beneficiary rights under Indonesian law. This is particularly noteworthy with respect to the Respondents, who had previously argued that international law applied to the Tribunal’s jurisdiction… In sum, the Arbitral Tribunal concludes that international law applies to the determination of its jurisdiction over this dispute and that, in assessing the requirement of consent set by international law, it will take Indonesian law into account because of the specifics of the consent involved here.</w:t>
      </w:r>
      <w:r w:rsidRPr="00336C4D">
        <w:rPr>
          <w:rStyle w:val="FootnoteReference"/>
          <w:lang w:val="en-GB"/>
        </w:rPr>
        <w:footnoteReference w:id="98"/>
      </w:r>
    </w:p>
    <w:p w14:paraId="2D198141" w14:textId="3F5BC81C" w:rsidR="00B10BDB" w:rsidRPr="00336C4D" w:rsidRDefault="00B10BDB" w:rsidP="000476F9">
      <w:pPr>
        <w:widowControl w:val="0"/>
        <w:spacing w:line="276" w:lineRule="auto"/>
        <w:ind w:right="419"/>
        <w:jc w:val="both"/>
        <w:rPr>
          <w:lang w:val="en-GB"/>
        </w:rPr>
      </w:pPr>
    </w:p>
    <w:p w14:paraId="4B4E7269" w14:textId="5C86AE6C" w:rsidR="00B10BDB" w:rsidRDefault="00B10BDB" w:rsidP="000476F9">
      <w:pPr>
        <w:widowControl w:val="0"/>
        <w:spacing w:line="276" w:lineRule="auto"/>
        <w:ind w:right="-6"/>
        <w:jc w:val="both"/>
        <w:rPr>
          <w:lang w:val="en-GB"/>
        </w:rPr>
      </w:pPr>
      <w:r>
        <w:rPr>
          <w:lang w:val="en-US"/>
        </w:rPr>
        <w:t>Ultimately,</w:t>
      </w:r>
      <w:r w:rsidRPr="00336C4D">
        <w:rPr>
          <w:lang w:val="en-GB"/>
        </w:rPr>
        <w:t xml:space="preserve"> the tribunal declined jurisdiction because it found that East Kalimantan is a separate entity from Indonesia (a party to the ICSID Convention)</w:t>
      </w:r>
      <w:r w:rsidRPr="00336C4D">
        <w:rPr>
          <w:rStyle w:val="FootnoteReference"/>
          <w:lang w:val="en-GB"/>
        </w:rPr>
        <w:footnoteReference w:id="99"/>
      </w:r>
      <w:r w:rsidRPr="00336C4D">
        <w:rPr>
          <w:lang w:val="en-GB"/>
        </w:rPr>
        <w:t xml:space="preserve"> </w:t>
      </w:r>
      <w:r>
        <w:rPr>
          <w:lang w:val="en-GB"/>
        </w:rPr>
        <w:t>and was not</w:t>
      </w:r>
      <w:r w:rsidRPr="00336C4D">
        <w:rPr>
          <w:lang w:val="en-GB"/>
        </w:rPr>
        <w:t xml:space="preserve"> a ‘designated constituent subdivision’,</w:t>
      </w:r>
      <w:r w:rsidRPr="00336C4D">
        <w:rPr>
          <w:rStyle w:val="FootnoteReference"/>
          <w:lang w:val="en-GB"/>
        </w:rPr>
        <w:footnoteReference w:id="100"/>
      </w:r>
      <w:r w:rsidRPr="00336C4D">
        <w:rPr>
          <w:lang w:val="en-GB"/>
        </w:rPr>
        <w:t xml:space="preserve"> but also noted that ‘if the Claimant still intends to pursue its claims, the KPC Contract provides for an alternative dispute settlement mechanism’.</w:t>
      </w:r>
      <w:r w:rsidRPr="00336C4D">
        <w:rPr>
          <w:rStyle w:val="FootnoteReference"/>
          <w:lang w:val="en-GB"/>
        </w:rPr>
        <w:footnoteReference w:id="101"/>
      </w:r>
      <w:r w:rsidRPr="00336C4D">
        <w:rPr>
          <w:lang w:val="en-GB"/>
        </w:rPr>
        <w:t xml:space="preserve"> Therefore, this decision can be </w:t>
      </w:r>
      <w:r>
        <w:rPr>
          <w:lang w:val="en-GB"/>
        </w:rPr>
        <w:t>interpreted</w:t>
      </w:r>
      <w:r w:rsidRPr="00336C4D">
        <w:rPr>
          <w:lang w:val="en-GB"/>
        </w:rPr>
        <w:t xml:space="preserve"> as confirming (</w:t>
      </w:r>
      <w:proofErr w:type="spellStart"/>
      <w:r w:rsidRPr="00336C4D">
        <w:rPr>
          <w:lang w:val="en-GB"/>
        </w:rPr>
        <w:t>i</w:t>
      </w:r>
      <w:proofErr w:type="spellEnd"/>
      <w:r w:rsidRPr="00336C4D">
        <w:rPr>
          <w:lang w:val="en-GB"/>
        </w:rPr>
        <w:t xml:space="preserve">) the possibility of the extension of the arbitration to non-signatories in case of arbitrations involving States or State entities </w:t>
      </w:r>
      <w:r>
        <w:rPr>
          <w:lang w:val="en-GB"/>
        </w:rPr>
        <w:t>and</w:t>
      </w:r>
      <w:r w:rsidRPr="00336C4D">
        <w:rPr>
          <w:lang w:val="en-GB"/>
        </w:rPr>
        <w:t xml:space="preserve"> (ii) the argument that this issue is governed </w:t>
      </w:r>
      <w:r>
        <w:rPr>
          <w:lang w:val="en-GB"/>
        </w:rPr>
        <w:t xml:space="preserve">by national </w:t>
      </w:r>
      <w:r w:rsidRPr="000E2B64">
        <w:rPr>
          <w:i/>
          <w:iCs/>
          <w:lang w:val="en-GB"/>
        </w:rPr>
        <w:t>and</w:t>
      </w:r>
      <w:r w:rsidRPr="00336C4D">
        <w:rPr>
          <w:lang w:val="en-GB"/>
        </w:rPr>
        <w:t xml:space="preserve"> international law.</w:t>
      </w:r>
    </w:p>
    <w:p w14:paraId="3D23F32F" w14:textId="6620ED9B" w:rsidR="00B10BDB" w:rsidRDefault="00B10BDB" w:rsidP="00E73B55">
      <w:pPr>
        <w:widowControl w:val="0"/>
        <w:spacing w:line="276" w:lineRule="auto"/>
        <w:ind w:right="-6" w:firstLine="709"/>
        <w:jc w:val="both"/>
        <w:rPr>
          <w:lang w:val="en-GB"/>
        </w:rPr>
      </w:pPr>
      <w:r>
        <w:rPr>
          <w:lang w:val="en-GB"/>
        </w:rPr>
        <w:t xml:space="preserve">A similar issue has arisen in relation to the interpretation of domestic investment laws </w:t>
      </w:r>
      <w:r>
        <w:rPr>
          <w:lang w:val="en-GB"/>
        </w:rPr>
        <w:lastRenderedPageBreak/>
        <w:t>providing for ICSID arbitration.</w:t>
      </w:r>
      <w:r>
        <w:rPr>
          <w:rStyle w:val="FootnoteReference"/>
          <w:lang w:val="en-GB"/>
        </w:rPr>
        <w:footnoteReference w:id="102"/>
      </w:r>
      <w:r w:rsidRPr="00336C4D">
        <w:rPr>
          <w:lang w:val="en-GB"/>
        </w:rPr>
        <w:t xml:space="preserve"> </w:t>
      </w:r>
      <w:r>
        <w:rPr>
          <w:lang w:val="en-GB"/>
        </w:rPr>
        <w:t>T</w:t>
      </w:r>
      <w:r w:rsidRPr="00336C4D">
        <w:rPr>
          <w:lang w:val="en-GB"/>
        </w:rPr>
        <w:t xml:space="preserve">he relevant </w:t>
      </w:r>
      <w:r>
        <w:rPr>
          <w:lang w:val="en-GB"/>
        </w:rPr>
        <w:t xml:space="preserve">ICSID </w:t>
      </w:r>
      <w:r w:rsidRPr="00336C4D">
        <w:rPr>
          <w:lang w:val="en-GB"/>
        </w:rPr>
        <w:t>case law ‘is rare and lacks coherence’,</w:t>
      </w:r>
      <w:r w:rsidRPr="00336C4D">
        <w:rPr>
          <w:rStyle w:val="FootnoteReference"/>
          <w:lang w:val="en-GB"/>
        </w:rPr>
        <w:footnoteReference w:id="103"/>
      </w:r>
      <w:r w:rsidRPr="00336C4D">
        <w:rPr>
          <w:lang w:val="en-GB"/>
        </w:rPr>
        <w:t xml:space="preserve"> and with varying degrees of emphasis, tribunals held that that domestic investment laws have to be interpreted by applying international legal principles</w:t>
      </w:r>
      <w:r>
        <w:rPr>
          <w:lang w:val="en-GB"/>
        </w:rPr>
        <w:t xml:space="preserve"> as well</w:t>
      </w:r>
      <w:r w:rsidRPr="00336C4D">
        <w:rPr>
          <w:lang w:val="en-GB"/>
        </w:rPr>
        <w:t>.</w:t>
      </w:r>
      <w:r w:rsidRPr="00336C4D">
        <w:rPr>
          <w:rStyle w:val="FootnoteReference"/>
          <w:lang w:val="en-GB"/>
        </w:rPr>
        <w:footnoteReference w:id="104"/>
      </w:r>
      <w:r w:rsidRPr="00336C4D">
        <w:rPr>
          <w:lang w:val="en-GB"/>
        </w:rPr>
        <w:t xml:space="preserve"> </w:t>
      </w:r>
      <w:r>
        <w:rPr>
          <w:lang w:val="en-GB"/>
        </w:rPr>
        <w:t xml:space="preserve"> </w:t>
      </w:r>
    </w:p>
    <w:p w14:paraId="524DE6F8" w14:textId="002FB235" w:rsidR="00B10BDB" w:rsidRPr="007624B2" w:rsidRDefault="00B10BDB" w:rsidP="00E73B55">
      <w:pPr>
        <w:widowControl w:val="0"/>
        <w:spacing w:line="276" w:lineRule="auto"/>
        <w:ind w:right="-6" w:firstLine="720"/>
        <w:jc w:val="both"/>
        <w:rPr>
          <w:lang w:val="en-US"/>
        </w:rPr>
      </w:pPr>
      <w:r w:rsidRPr="00336C4D">
        <w:rPr>
          <w:lang w:val="en-GB"/>
        </w:rPr>
        <w:t xml:space="preserve">The </w:t>
      </w:r>
      <w:r>
        <w:rPr>
          <w:lang w:val="en-GB"/>
        </w:rPr>
        <w:t xml:space="preserve">above </w:t>
      </w:r>
      <w:r w:rsidRPr="00336C4D">
        <w:rPr>
          <w:lang w:val="en-GB"/>
        </w:rPr>
        <w:t>analysis demonstrate</w:t>
      </w:r>
      <w:r w:rsidR="0011784D">
        <w:rPr>
          <w:lang w:val="en-GB"/>
        </w:rPr>
        <w:t>s</w:t>
      </w:r>
      <w:r w:rsidRPr="00336C4D">
        <w:rPr>
          <w:lang w:val="en-GB"/>
        </w:rPr>
        <w:t xml:space="preserve"> that irrespective of which approach one follows to determine the issue of the extension of the arbitration agreement to non-signatories (</w:t>
      </w:r>
      <w:proofErr w:type="spellStart"/>
      <w:r w:rsidRPr="004E2133">
        <w:rPr>
          <w:i/>
          <w:iCs/>
          <w:lang w:val="en-GB"/>
        </w:rPr>
        <w:t>lex</w:t>
      </w:r>
      <w:proofErr w:type="spellEnd"/>
      <w:r w:rsidRPr="004E2133">
        <w:rPr>
          <w:i/>
          <w:iCs/>
          <w:lang w:val="en-GB"/>
        </w:rPr>
        <w:t xml:space="preserve"> </w:t>
      </w:r>
      <w:proofErr w:type="spellStart"/>
      <w:r w:rsidRPr="004E2133">
        <w:rPr>
          <w:i/>
          <w:iCs/>
          <w:lang w:val="en-GB"/>
        </w:rPr>
        <w:t>contractus</w:t>
      </w:r>
      <w:proofErr w:type="spellEnd"/>
      <w:r w:rsidRPr="00336C4D">
        <w:rPr>
          <w:lang w:val="en-GB"/>
        </w:rPr>
        <w:t xml:space="preserve">, </w:t>
      </w:r>
      <w:proofErr w:type="spellStart"/>
      <w:r w:rsidRPr="00336C4D">
        <w:rPr>
          <w:i/>
          <w:iCs/>
          <w:lang w:val="en-GB"/>
        </w:rPr>
        <w:t>lex</w:t>
      </w:r>
      <w:proofErr w:type="spellEnd"/>
      <w:r w:rsidRPr="00336C4D">
        <w:rPr>
          <w:i/>
          <w:iCs/>
          <w:lang w:val="en-GB"/>
        </w:rPr>
        <w:t xml:space="preserve"> </w:t>
      </w:r>
      <w:proofErr w:type="spellStart"/>
      <w:r w:rsidRPr="00336C4D">
        <w:rPr>
          <w:i/>
          <w:iCs/>
          <w:lang w:val="en-GB"/>
        </w:rPr>
        <w:t>arbitri</w:t>
      </w:r>
      <w:proofErr w:type="spellEnd"/>
      <w:r w:rsidRPr="00336C4D">
        <w:rPr>
          <w:lang w:val="en-GB"/>
        </w:rPr>
        <w:t>, or transnational law) pubic international law is part of all these laws in arbitrations under international State contracts.</w:t>
      </w:r>
    </w:p>
    <w:p w14:paraId="16F60FDD" w14:textId="2518F5AE" w:rsidR="00B10BDB" w:rsidRPr="003617E0" w:rsidRDefault="00B10BDB" w:rsidP="00A2404A">
      <w:pPr>
        <w:pStyle w:val="Heading1"/>
        <w:spacing w:line="276" w:lineRule="auto"/>
        <w:ind w:left="709" w:hanging="709"/>
        <w:jc w:val="both"/>
        <w:rPr>
          <w:rFonts w:ascii="Times New Roman" w:hAnsi="Times New Roman" w:cs="Times New Roman"/>
          <w:lang w:val="en-US"/>
        </w:rPr>
      </w:pPr>
      <w:bookmarkStart w:id="4" w:name="_Toc63442253"/>
      <w:r>
        <w:rPr>
          <w:rFonts w:ascii="Times New Roman" w:hAnsi="Times New Roman" w:cs="Times New Roman"/>
          <w:lang w:val="en-GB"/>
        </w:rPr>
        <w:t>I</w:t>
      </w:r>
      <w:r w:rsidRPr="00336C4D">
        <w:rPr>
          <w:rFonts w:ascii="Times New Roman" w:hAnsi="Times New Roman" w:cs="Times New Roman"/>
          <w:lang w:val="en-GB"/>
        </w:rPr>
        <w:t>V.</w:t>
      </w:r>
      <w:r w:rsidRPr="00336C4D">
        <w:rPr>
          <w:rFonts w:ascii="Times New Roman" w:hAnsi="Times New Roman" w:cs="Times New Roman"/>
          <w:lang w:val="en-GB"/>
        </w:rPr>
        <w:tab/>
        <w:t xml:space="preserve">INTERNATIONAL LAW </w:t>
      </w:r>
      <w:r>
        <w:rPr>
          <w:rFonts w:ascii="Times New Roman" w:hAnsi="Times New Roman" w:cs="Times New Roman"/>
          <w:lang w:val="en-GB"/>
        </w:rPr>
        <w:t xml:space="preserve">AS THE BASIS FOR </w:t>
      </w:r>
      <w:r w:rsidRPr="00336C4D">
        <w:rPr>
          <w:rFonts w:ascii="Times New Roman" w:hAnsi="Times New Roman" w:cs="Times New Roman"/>
          <w:lang w:val="en-GB"/>
        </w:rPr>
        <w:t>EXTEN</w:t>
      </w:r>
      <w:r>
        <w:rPr>
          <w:rFonts w:ascii="Times New Roman" w:hAnsi="Times New Roman" w:cs="Times New Roman"/>
          <w:lang w:val="en-GB"/>
        </w:rPr>
        <w:t>DING</w:t>
      </w:r>
      <w:r w:rsidRPr="00336C4D">
        <w:rPr>
          <w:rFonts w:ascii="Times New Roman" w:hAnsi="Times New Roman" w:cs="Times New Roman"/>
          <w:lang w:val="en-GB"/>
        </w:rPr>
        <w:t xml:space="preserve"> ARBITRATION AGREEMENTS </w:t>
      </w:r>
      <w:r>
        <w:rPr>
          <w:rFonts w:ascii="Times New Roman" w:hAnsi="Times New Roman" w:cs="Times New Roman"/>
          <w:lang w:val="en-GB"/>
        </w:rPr>
        <w:t xml:space="preserve">CONCLUDED BY STATES OR STATE ENTITIES </w:t>
      </w:r>
      <w:r w:rsidRPr="00336C4D">
        <w:rPr>
          <w:rFonts w:ascii="Times New Roman" w:hAnsi="Times New Roman" w:cs="Times New Roman"/>
          <w:lang w:val="en-GB"/>
        </w:rPr>
        <w:t>TO NON-SIGNATORIES</w:t>
      </w:r>
      <w:bookmarkEnd w:id="4"/>
    </w:p>
    <w:p w14:paraId="316B1366" w14:textId="77777777" w:rsidR="00B10BDB" w:rsidRPr="00012A0C" w:rsidRDefault="00B10BDB" w:rsidP="000476F9">
      <w:pPr>
        <w:widowControl w:val="0"/>
        <w:spacing w:line="276" w:lineRule="auto"/>
        <w:ind w:left="709" w:hanging="709"/>
        <w:rPr>
          <w:lang w:val="en-US"/>
        </w:rPr>
      </w:pPr>
    </w:p>
    <w:p w14:paraId="71D4BB46" w14:textId="3427ACA7" w:rsidR="00B10BDB" w:rsidRDefault="00B10BDB" w:rsidP="00BD2B6E">
      <w:pPr>
        <w:widowControl w:val="0"/>
        <w:spacing w:line="276" w:lineRule="auto"/>
        <w:ind w:right="-6"/>
        <w:jc w:val="both"/>
        <w:rPr>
          <w:lang w:val="en-GB"/>
        </w:rPr>
      </w:pPr>
      <w:r w:rsidRPr="00336C4D">
        <w:rPr>
          <w:lang w:val="en-GB"/>
        </w:rPr>
        <w:t xml:space="preserve">Domestic laws, while emphasising the central role of the principle of consent in arbitration, also </w:t>
      </w:r>
      <w:r>
        <w:rPr>
          <w:lang w:val="en-GB"/>
        </w:rPr>
        <w:t>contain</w:t>
      </w:r>
      <w:r w:rsidRPr="00336C4D">
        <w:rPr>
          <w:lang w:val="en-GB"/>
        </w:rPr>
        <w:t xml:space="preserve"> exceptions under which arbitration agreement</w:t>
      </w:r>
      <w:r>
        <w:rPr>
          <w:lang w:val="en-GB"/>
        </w:rPr>
        <w:t>s</w:t>
      </w:r>
      <w:r w:rsidRPr="00336C4D">
        <w:rPr>
          <w:lang w:val="en-GB"/>
        </w:rPr>
        <w:t xml:space="preserve"> can be extended to non-signatories. The question is whether, to what extent, and under which conditions, this is the case under </w:t>
      </w:r>
      <w:r w:rsidRPr="000B2ACA">
        <w:rPr>
          <w:i/>
          <w:iCs/>
          <w:lang w:val="en-GB"/>
        </w:rPr>
        <w:t>public international law</w:t>
      </w:r>
      <w:r w:rsidRPr="00336C4D">
        <w:rPr>
          <w:lang w:val="en-GB"/>
        </w:rPr>
        <w:t>.</w:t>
      </w:r>
      <w:r>
        <w:rPr>
          <w:lang w:val="en-GB"/>
        </w:rPr>
        <w:t xml:space="preserve"> This is immensely important in practice. If international law </w:t>
      </w:r>
      <w:r w:rsidR="007F463E">
        <w:rPr>
          <w:lang w:val="el-GR"/>
        </w:rPr>
        <w:t>(</w:t>
      </w:r>
      <w:r w:rsidR="007F463E">
        <w:rPr>
          <w:lang w:val="en-US"/>
        </w:rPr>
        <w:t xml:space="preserve">which as </w:t>
      </w:r>
      <w:r w:rsidR="007F463E" w:rsidRPr="007F463E">
        <w:rPr>
          <w:b/>
          <w:bCs/>
          <w:lang w:val="en-US"/>
        </w:rPr>
        <w:t>Section III</w:t>
      </w:r>
      <w:r w:rsidR="007F463E">
        <w:rPr>
          <w:lang w:val="en-US"/>
        </w:rPr>
        <w:t xml:space="preserve"> explained is relevant) </w:t>
      </w:r>
      <w:r>
        <w:rPr>
          <w:lang w:val="en-GB"/>
        </w:rPr>
        <w:t xml:space="preserve">contains rules allowing the extension of arbitration agreements concluded by States or State entities to non-signatories, then it can be invoked as the basis for such extension, irrespective of the applicable </w:t>
      </w:r>
      <w:r w:rsidRPr="005206D6">
        <w:rPr>
          <w:i/>
          <w:iCs/>
          <w:lang w:val="en-GB"/>
        </w:rPr>
        <w:t>domestic</w:t>
      </w:r>
      <w:r>
        <w:rPr>
          <w:lang w:val="en-GB"/>
        </w:rPr>
        <w:t xml:space="preserve"> law.</w:t>
      </w:r>
    </w:p>
    <w:p w14:paraId="035A73E0" w14:textId="401C022F" w:rsidR="00B10BDB" w:rsidRPr="00336C4D" w:rsidRDefault="00B10BDB" w:rsidP="000476F9">
      <w:pPr>
        <w:widowControl w:val="0"/>
        <w:spacing w:line="276" w:lineRule="auto"/>
        <w:ind w:firstLine="720"/>
        <w:jc w:val="both"/>
        <w:rPr>
          <w:lang w:val="en-GB"/>
        </w:rPr>
      </w:pPr>
    </w:p>
    <w:p w14:paraId="0D8CAC8E" w14:textId="4933C00D" w:rsidR="00B10BDB" w:rsidRPr="00336C4D" w:rsidRDefault="00B10BDB" w:rsidP="000476F9">
      <w:pPr>
        <w:pStyle w:val="Heading2"/>
        <w:spacing w:line="276" w:lineRule="auto"/>
        <w:rPr>
          <w:rFonts w:cs="Times New Roman"/>
          <w:b/>
          <w:bCs/>
          <w:sz w:val="24"/>
          <w:szCs w:val="24"/>
          <w:lang w:val="en-GB"/>
        </w:rPr>
      </w:pPr>
      <w:r w:rsidRPr="00336C4D">
        <w:rPr>
          <w:rFonts w:cs="Times New Roman"/>
          <w:b/>
          <w:bCs/>
          <w:sz w:val="24"/>
          <w:szCs w:val="24"/>
          <w:lang w:val="en-GB"/>
        </w:rPr>
        <w:t>A.</w:t>
      </w:r>
      <w:r w:rsidRPr="00336C4D">
        <w:rPr>
          <w:rFonts w:cs="Times New Roman"/>
          <w:sz w:val="24"/>
          <w:szCs w:val="24"/>
          <w:lang w:val="en-GB"/>
        </w:rPr>
        <w:tab/>
      </w:r>
      <w:r w:rsidRPr="00936E49">
        <w:rPr>
          <w:rFonts w:cs="Times New Roman"/>
          <w:b/>
          <w:bCs/>
          <w:i/>
          <w:iCs/>
          <w:sz w:val="24"/>
          <w:szCs w:val="24"/>
          <w:lang w:val="en-GB"/>
        </w:rPr>
        <w:t>Attribution or implied consent?</w:t>
      </w:r>
    </w:p>
    <w:p w14:paraId="53355CB3" w14:textId="77777777" w:rsidR="00B10BDB" w:rsidRPr="00336C4D" w:rsidRDefault="00B10BDB" w:rsidP="000476F9">
      <w:pPr>
        <w:widowControl w:val="0"/>
        <w:spacing w:line="276" w:lineRule="auto"/>
        <w:ind w:firstLine="720"/>
        <w:jc w:val="both"/>
        <w:rPr>
          <w:lang w:val="en-GB"/>
        </w:rPr>
      </w:pPr>
    </w:p>
    <w:p w14:paraId="3796EB91" w14:textId="6E37336F" w:rsidR="00B10BDB" w:rsidRDefault="00B10BDB" w:rsidP="000476F9">
      <w:pPr>
        <w:widowControl w:val="0"/>
        <w:spacing w:line="276" w:lineRule="auto"/>
        <w:jc w:val="both"/>
        <w:rPr>
          <w:lang w:val="en-GB"/>
        </w:rPr>
      </w:pPr>
      <w:r w:rsidRPr="00336C4D">
        <w:rPr>
          <w:lang w:val="en-GB"/>
        </w:rPr>
        <w:t xml:space="preserve">In </w:t>
      </w:r>
      <w:proofErr w:type="spellStart"/>
      <w:r w:rsidRPr="00336C4D">
        <w:rPr>
          <w:i/>
          <w:iCs/>
          <w:lang w:val="en-GB"/>
        </w:rPr>
        <w:t>Sogea</w:t>
      </w:r>
      <w:proofErr w:type="spellEnd"/>
      <w:r w:rsidRPr="00336C4D">
        <w:rPr>
          <w:i/>
          <w:iCs/>
          <w:lang w:val="en-GB"/>
        </w:rPr>
        <w:t xml:space="preserve"> v the Ethiopian Road Authority and the State of Ethiopia</w:t>
      </w:r>
      <w:r w:rsidRPr="00336C4D">
        <w:rPr>
          <w:lang w:val="en-GB"/>
        </w:rPr>
        <w:t xml:space="preserve">, the arbitration agreement </w:t>
      </w:r>
      <w:r w:rsidRPr="00336C4D">
        <w:rPr>
          <w:lang w:val="en-GB"/>
        </w:rPr>
        <w:lastRenderedPageBreak/>
        <w:t>was extended to the State</w:t>
      </w:r>
      <w:r>
        <w:rPr>
          <w:lang w:val="en-GB"/>
        </w:rPr>
        <w:t xml:space="preserve">, </w:t>
      </w:r>
      <w:r w:rsidRPr="00336C4D">
        <w:rPr>
          <w:lang w:val="en-GB"/>
        </w:rPr>
        <w:t xml:space="preserve">a </w:t>
      </w:r>
      <w:r>
        <w:rPr>
          <w:lang w:val="en-GB"/>
        </w:rPr>
        <w:t>non-</w:t>
      </w:r>
      <w:r w:rsidRPr="00336C4D">
        <w:rPr>
          <w:lang w:val="en-GB"/>
        </w:rPr>
        <w:t>signatory</w:t>
      </w:r>
      <w:r>
        <w:rPr>
          <w:lang w:val="en-GB"/>
        </w:rPr>
        <w:t xml:space="preserve">, </w:t>
      </w:r>
      <w:r w:rsidRPr="00336C4D">
        <w:rPr>
          <w:lang w:val="en-GB"/>
        </w:rPr>
        <w:t>on the basis of international law and the rules applicable to attribution of conduct.</w:t>
      </w:r>
      <w:r w:rsidRPr="00336C4D">
        <w:rPr>
          <w:rStyle w:val="FootnoteReference"/>
          <w:lang w:val="en-GB"/>
        </w:rPr>
        <w:footnoteReference w:id="105"/>
      </w:r>
      <w:r w:rsidRPr="00336C4D">
        <w:rPr>
          <w:szCs w:val="36"/>
          <w:lang w:val="en-GB"/>
        </w:rPr>
        <w:t xml:space="preserve"> In </w:t>
      </w:r>
      <w:r w:rsidRPr="00336C4D">
        <w:rPr>
          <w:i/>
          <w:iCs/>
          <w:szCs w:val="36"/>
          <w:lang w:val="en-GB"/>
        </w:rPr>
        <w:t>Chevron v Bangladesh</w:t>
      </w:r>
      <w:r w:rsidRPr="00336C4D">
        <w:rPr>
          <w:szCs w:val="36"/>
          <w:lang w:val="en-GB"/>
        </w:rPr>
        <w:t xml:space="preserve"> the tribunal accepted that, in addition to </w:t>
      </w:r>
      <w:proofErr w:type="spellStart"/>
      <w:r w:rsidRPr="00336C4D">
        <w:rPr>
          <w:szCs w:val="36"/>
          <w:lang w:val="en-GB"/>
        </w:rPr>
        <w:t>Petrobangla</w:t>
      </w:r>
      <w:proofErr w:type="spellEnd"/>
      <w:r w:rsidRPr="00336C4D">
        <w:rPr>
          <w:szCs w:val="36"/>
          <w:lang w:val="en-GB"/>
        </w:rPr>
        <w:t xml:space="preserve"> (a State entity and signatory to the relevant contracts), Bangladesh had also consented to ICSID arbitration, despite the fact that Bangladesh has not signed the relevant contracts</w:t>
      </w:r>
      <w:r>
        <w:rPr>
          <w:szCs w:val="36"/>
          <w:lang w:val="en-GB"/>
        </w:rPr>
        <w:t>. What was crucial for the tribunal was that by applying the public in</w:t>
      </w:r>
      <w:r w:rsidRPr="00336C4D">
        <w:rPr>
          <w:szCs w:val="36"/>
          <w:lang w:val="en-GB"/>
        </w:rPr>
        <w:t>ternational rules on attribution</w:t>
      </w:r>
      <w:r>
        <w:rPr>
          <w:szCs w:val="36"/>
          <w:lang w:val="en-GB"/>
        </w:rPr>
        <w:t xml:space="preserve"> </w:t>
      </w:r>
      <w:proofErr w:type="spellStart"/>
      <w:r w:rsidRPr="00336C4D">
        <w:rPr>
          <w:szCs w:val="36"/>
          <w:lang w:val="en-GB"/>
        </w:rPr>
        <w:t>Betrobangla</w:t>
      </w:r>
      <w:proofErr w:type="spellEnd"/>
      <w:r w:rsidRPr="00336C4D">
        <w:rPr>
          <w:szCs w:val="36"/>
          <w:lang w:val="en-GB"/>
        </w:rPr>
        <w:t xml:space="preserve"> was </w:t>
      </w:r>
      <w:r>
        <w:rPr>
          <w:szCs w:val="36"/>
          <w:lang w:val="en-GB"/>
        </w:rPr>
        <w:t xml:space="preserve">found to be </w:t>
      </w:r>
      <w:r w:rsidRPr="00336C4D">
        <w:rPr>
          <w:szCs w:val="36"/>
          <w:lang w:val="en-GB"/>
        </w:rPr>
        <w:t>a state organ.</w:t>
      </w:r>
      <w:r w:rsidRPr="00336C4D">
        <w:rPr>
          <w:rStyle w:val="FootnoteReference"/>
          <w:szCs w:val="36"/>
          <w:lang w:val="en-GB"/>
        </w:rPr>
        <w:footnoteReference w:id="106"/>
      </w:r>
      <w:r w:rsidRPr="00336C4D">
        <w:rPr>
          <w:szCs w:val="36"/>
          <w:lang w:val="en-GB"/>
        </w:rPr>
        <w:t xml:space="preserve"> </w:t>
      </w:r>
      <w:r w:rsidRPr="00336C4D">
        <w:rPr>
          <w:lang w:val="en-GB"/>
        </w:rPr>
        <w:t xml:space="preserve">In </w:t>
      </w:r>
      <w:r w:rsidRPr="00C25B0A">
        <w:rPr>
          <w:i/>
          <w:iCs/>
          <w:lang w:val="en-GB"/>
        </w:rPr>
        <w:t xml:space="preserve">Niko Resources v </w:t>
      </w:r>
      <w:proofErr w:type="spellStart"/>
      <w:r w:rsidRPr="00C25B0A">
        <w:rPr>
          <w:i/>
          <w:iCs/>
          <w:lang w:val="en-GB"/>
        </w:rPr>
        <w:t>Bapex</w:t>
      </w:r>
      <w:proofErr w:type="spellEnd"/>
      <w:r w:rsidRPr="00C25B0A">
        <w:rPr>
          <w:i/>
          <w:iCs/>
          <w:lang w:val="en-GB"/>
        </w:rPr>
        <w:t xml:space="preserve"> and </w:t>
      </w:r>
      <w:proofErr w:type="spellStart"/>
      <w:r w:rsidRPr="00C25B0A">
        <w:rPr>
          <w:i/>
          <w:iCs/>
          <w:lang w:val="en-GB"/>
        </w:rPr>
        <w:t>Petrobangla</w:t>
      </w:r>
      <w:proofErr w:type="spellEnd"/>
      <w:r w:rsidRPr="00C25B0A">
        <w:rPr>
          <w:i/>
          <w:iCs/>
          <w:lang w:val="en-GB"/>
        </w:rPr>
        <w:t xml:space="preserve"> </w:t>
      </w:r>
      <w:r w:rsidRPr="00336C4D">
        <w:rPr>
          <w:lang w:val="en-GB"/>
        </w:rPr>
        <w:t xml:space="preserve">another ICSID tribunal took note of the fact that the </w:t>
      </w:r>
      <w:r w:rsidRPr="00336C4D">
        <w:rPr>
          <w:i/>
          <w:iCs/>
          <w:lang w:val="en-GB"/>
        </w:rPr>
        <w:t>Chevron</w:t>
      </w:r>
      <w:r w:rsidRPr="00336C4D">
        <w:rPr>
          <w:lang w:val="en-GB"/>
        </w:rPr>
        <w:t xml:space="preserve"> tribunal, ‘applied rules on attribution in the context of its analysis on jurisdiction’,</w:t>
      </w:r>
      <w:r w:rsidRPr="00336C4D">
        <w:rPr>
          <w:rStyle w:val="FootnoteReference"/>
          <w:lang w:val="en-GB"/>
        </w:rPr>
        <w:footnoteReference w:id="107"/>
      </w:r>
      <w:r w:rsidRPr="00336C4D">
        <w:rPr>
          <w:lang w:val="en-GB"/>
        </w:rPr>
        <w:t xml:space="preserve"> but </w:t>
      </w:r>
      <w:r>
        <w:rPr>
          <w:lang w:val="en-GB"/>
        </w:rPr>
        <w:t xml:space="preserve">creatively </w:t>
      </w:r>
      <w:r w:rsidRPr="00336C4D">
        <w:rPr>
          <w:lang w:val="en-GB"/>
        </w:rPr>
        <w:t xml:space="preserve">distinguished it on the basis that Bangladesh ‘had concluded with the investor a contract containing an ICSID clause’ and that contract was ‘related’ to the contract concluded </w:t>
      </w:r>
      <w:proofErr w:type="spellStart"/>
      <w:r w:rsidRPr="00336C4D">
        <w:rPr>
          <w:lang w:val="en-GB"/>
        </w:rPr>
        <w:t>Petrobangla</w:t>
      </w:r>
      <w:proofErr w:type="spellEnd"/>
      <w:r w:rsidRPr="00336C4D">
        <w:rPr>
          <w:lang w:val="en-GB"/>
        </w:rPr>
        <w:t>.</w:t>
      </w:r>
      <w:r w:rsidRPr="00336C4D">
        <w:rPr>
          <w:rStyle w:val="FootnoteReference"/>
          <w:lang w:val="en-GB"/>
        </w:rPr>
        <w:footnoteReference w:id="108"/>
      </w:r>
      <w:r>
        <w:rPr>
          <w:lang w:val="en-GB"/>
        </w:rPr>
        <w:t xml:space="preserve"> </w:t>
      </w:r>
    </w:p>
    <w:p w14:paraId="28253132" w14:textId="2BBF6E8C" w:rsidR="00B10BDB" w:rsidRDefault="00B10BDB" w:rsidP="006B0606">
      <w:pPr>
        <w:widowControl w:val="0"/>
        <w:spacing w:line="276" w:lineRule="auto"/>
        <w:ind w:firstLine="720"/>
        <w:jc w:val="both"/>
        <w:rPr>
          <w:lang w:val="en-GB"/>
        </w:rPr>
      </w:pPr>
      <w:r w:rsidRPr="00336C4D">
        <w:rPr>
          <w:lang w:val="en-GB"/>
        </w:rPr>
        <w:t xml:space="preserve">The international law on attribution </w:t>
      </w:r>
      <w:r>
        <w:rPr>
          <w:lang w:val="en-US"/>
        </w:rPr>
        <w:t>should not be used</w:t>
      </w:r>
      <w:r w:rsidRPr="00336C4D">
        <w:rPr>
          <w:lang w:val="en-GB"/>
        </w:rPr>
        <w:t xml:space="preserve"> for determining whether the arbitration agreement can be extended to non-signatories in arbitrations involving States or State entities. The relevant international rules on attribution are limited to the attribution of ‘international wrongful acts’, i.e. breaches of public international law rather than any act in general. The International Law Commission (ILC) made clear that its Articles on State Responsibility ‘concerning attribution … are formulated for this particular purpose, and not for other purposes for which it may be necessary to define the State or its Government’.</w:t>
      </w:r>
      <w:r w:rsidRPr="00336C4D">
        <w:rPr>
          <w:rStyle w:val="FootnoteReference"/>
          <w:lang w:val="en-GB"/>
        </w:rPr>
        <w:footnoteReference w:id="109"/>
      </w:r>
      <w:r w:rsidRPr="00336C4D">
        <w:rPr>
          <w:lang w:val="en-GB"/>
        </w:rPr>
        <w:t xml:space="preserve"> Therefore, public international rules regarding </w:t>
      </w:r>
      <w:r w:rsidRPr="00336C4D">
        <w:rPr>
          <w:szCs w:val="36"/>
          <w:lang w:val="en-GB"/>
        </w:rPr>
        <w:t>international responsibility</w:t>
      </w:r>
      <w:r w:rsidRPr="00336C4D">
        <w:rPr>
          <w:lang w:val="en-GB"/>
        </w:rPr>
        <w:t xml:space="preserve"> </w:t>
      </w:r>
      <w:r w:rsidRPr="00336C4D">
        <w:rPr>
          <w:szCs w:val="36"/>
          <w:lang w:val="en-GB"/>
        </w:rPr>
        <w:t>cannot be used to delineate the scope of a State’s contractual commitments.</w:t>
      </w:r>
      <w:r w:rsidRPr="00336C4D">
        <w:rPr>
          <w:rStyle w:val="FootnoteReference"/>
          <w:lang w:val="en-GB"/>
        </w:rPr>
        <w:footnoteReference w:id="110"/>
      </w:r>
      <w:r>
        <w:rPr>
          <w:szCs w:val="36"/>
          <w:lang w:val="en-GB"/>
        </w:rPr>
        <w:t xml:space="preserve"> </w:t>
      </w:r>
      <w:r>
        <w:rPr>
          <w:lang w:val="en-GB"/>
        </w:rPr>
        <w:t xml:space="preserve">In the second </w:t>
      </w:r>
      <w:proofErr w:type="spellStart"/>
      <w:r w:rsidRPr="00EC1983">
        <w:rPr>
          <w:i/>
          <w:iCs/>
          <w:lang w:val="en-GB"/>
        </w:rPr>
        <w:t>Bridas</w:t>
      </w:r>
      <w:proofErr w:type="spellEnd"/>
      <w:r>
        <w:rPr>
          <w:lang w:val="en-GB"/>
        </w:rPr>
        <w:t xml:space="preserve"> arbitration, the tribunal held that</w:t>
      </w:r>
    </w:p>
    <w:p w14:paraId="0C3440DA" w14:textId="77777777" w:rsidR="00B10BDB" w:rsidRPr="006B0606" w:rsidRDefault="00B10BDB" w:rsidP="006B0606">
      <w:pPr>
        <w:widowControl w:val="0"/>
        <w:spacing w:line="276" w:lineRule="auto"/>
        <w:ind w:firstLine="720"/>
        <w:jc w:val="both"/>
        <w:rPr>
          <w:lang w:val="en-GB"/>
        </w:rPr>
      </w:pPr>
    </w:p>
    <w:p w14:paraId="7E1E1D56" w14:textId="04FC6E9F" w:rsidR="00B10BDB" w:rsidRDefault="00B10BDB" w:rsidP="006B0606">
      <w:pPr>
        <w:widowControl w:val="0"/>
        <w:spacing w:line="276" w:lineRule="auto"/>
        <w:ind w:left="720" w:right="419"/>
        <w:jc w:val="both"/>
        <w:rPr>
          <w:lang w:val="en-GB"/>
        </w:rPr>
      </w:pPr>
      <w:r w:rsidRPr="006B0606">
        <w:rPr>
          <w:lang w:val="en-GB"/>
        </w:rPr>
        <w:t xml:space="preserve">even if </w:t>
      </w:r>
      <w:proofErr w:type="spellStart"/>
      <w:r w:rsidRPr="006B0606">
        <w:rPr>
          <w:lang w:val="en-GB"/>
        </w:rPr>
        <w:t>Turkmengeologia</w:t>
      </w:r>
      <w:proofErr w:type="spellEnd"/>
      <w:r w:rsidRPr="006B0606">
        <w:rPr>
          <w:lang w:val="en-GB"/>
        </w:rPr>
        <w:t xml:space="preserve"> and the successor Ministry can properly be regarded as aims or organs of the Government, </w:t>
      </w:r>
      <w:proofErr w:type="spellStart"/>
      <w:r w:rsidRPr="006B0606">
        <w:rPr>
          <w:lang w:val="en-GB"/>
        </w:rPr>
        <w:t>Bridas</w:t>
      </w:r>
      <w:proofErr w:type="spellEnd"/>
      <w:r w:rsidRPr="006B0606">
        <w:rPr>
          <w:lang w:val="en-GB"/>
        </w:rPr>
        <w:t xml:space="preserve"> has not discharged and could not discharge the burden of proving that the Government itself was a party to the JV Agreement. If it has not been shown to be a party to the JV Agreement, it follows that it cannot be a party in this arbitration.</w:t>
      </w:r>
      <w:r>
        <w:rPr>
          <w:rStyle w:val="FootnoteReference"/>
          <w:lang w:val="en-GB"/>
        </w:rPr>
        <w:footnoteReference w:id="111"/>
      </w:r>
    </w:p>
    <w:p w14:paraId="2E6D8CC9" w14:textId="77777777" w:rsidR="00B10BDB" w:rsidRPr="000C3F62" w:rsidRDefault="00B10BDB" w:rsidP="000C3F62">
      <w:pPr>
        <w:widowControl w:val="0"/>
        <w:spacing w:line="276" w:lineRule="auto"/>
        <w:ind w:firstLine="720"/>
        <w:jc w:val="both"/>
      </w:pPr>
    </w:p>
    <w:p w14:paraId="6A3B4746" w14:textId="6EF6F0D4" w:rsidR="00B10BDB" w:rsidRPr="00336C4D" w:rsidRDefault="00B10BDB" w:rsidP="00EC1983">
      <w:pPr>
        <w:widowControl w:val="0"/>
        <w:spacing w:line="276" w:lineRule="auto"/>
        <w:jc w:val="both"/>
        <w:rPr>
          <w:lang w:val="en-GB"/>
        </w:rPr>
      </w:pPr>
      <w:r>
        <w:rPr>
          <w:szCs w:val="36"/>
          <w:lang w:val="en-GB"/>
        </w:rPr>
        <w:t xml:space="preserve">The famous </w:t>
      </w:r>
      <w:r>
        <w:rPr>
          <w:i/>
          <w:iCs/>
          <w:szCs w:val="36"/>
          <w:lang w:val="en-GB"/>
        </w:rPr>
        <w:t>Southern Pacific Properties (</w:t>
      </w:r>
      <w:r w:rsidRPr="00711FB5">
        <w:rPr>
          <w:i/>
          <w:iCs/>
          <w:szCs w:val="36"/>
          <w:lang w:val="en-GB"/>
        </w:rPr>
        <w:t>SPP</w:t>
      </w:r>
      <w:r>
        <w:rPr>
          <w:i/>
          <w:iCs/>
          <w:szCs w:val="36"/>
          <w:lang w:val="en-GB"/>
        </w:rPr>
        <w:t>)</w:t>
      </w:r>
      <w:r w:rsidRPr="00711FB5">
        <w:rPr>
          <w:i/>
          <w:iCs/>
          <w:szCs w:val="36"/>
          <w:lang w:val="en-GB"/>
        </w:rPr>
        <w:t xml:space="preserve"> v Egypt</w:t>
      </w:r>
      <w:r>
        <w:rPr>
          <w:szCs w:val="36"/>
          <w:lang w:val="en-GB"/>
        </w:rPr>
        <w:t xml:space="preserve"> case aptly highlights the distinction between attribution rules on the hand, and implied consent on the other.</w:t>
      </w:r>
      <w:r>
        <w:rPr>
          <w:rStyle w:val="FootnoteReference"/>
          <w:szCs w:val="36"/>
          <w:lang w:val="en-GB"/>
        </w:rPr>
        <w:footnoteReference w:id="112"/>
      </w:r>
      <w:r>
        <w:rPr>
          <w:szCs w:val="36"/>
          <w:lang w:val="en-GB"/>
        </w:rPr>
        <w:t xml:space="preserve"> The basis of the tribunal’s jurisdiction was an investment contract between SPP and the </w:t>
      </w:r>
      <w:r w:rsidRPr="00C03027">
        <w:rPr>
          <w:szCs w:val="36"/>
          <w:lang w:val="en-GB"/>
        </w:rPr>
        <w:t xml:space="preserve">Egyptian General Company for Tourism and Hotels </w:t>
      </w:r>
      <w:r>
        <w:rPr>
          <w:szCs w:val="36"/>
          <w:lang w:val="en-GB"/>
        </w:rPr>
        <w:t>(EGOTH), an Egyptian State entity. The Egyptian Minister of Tourism had also signed the contract indicating that it was ‘</w:t>
      </w:r>
      <w:r w:rsidRPr="00B70BEE">
        <w:rPr>
          <w:szCs w:val="36"/>
          <w:lang w:val="en-GB"/>
        </w:rPr>
        <w:t>agreed,</w:t>
      </w:r>
      <w:r>
        <w:rPr>
          <w:szCs w:val="36"/>
          <w:lang w:val="en-GB"/>
        </w:rPr>
        <w:t xml:space="preserve"> </w:t>
      </w:r>
      <w:r w:rsidRPr="00B70BEE">
        <w:rPr>
          <w:szCs w:val="36"/>
          <w:lang w:val="en-GB"/>
        </w:rPr>
        <w:t>approved, ratified</w:t>
      </w:r>
      <w:r>
        <w:rPr>
          <w:szCs w:val="36"/>
          <w:lang w:val="en-GB"/>
        </w:rPr>
        <w:t>’, although Egypt was not a party to the contract. The arbitral tribunal extended the arbitration agreement to Egypt on the basis of the latter’s implied consent as evidenced inter alia by the Minister’s signature.</w:t>
      </w:r>
      <w:r>
        <w:rPr>
          <w:rStyle w:val="FootnoteReference"/>
          <w:szCs w:val="36"/>
          <w:lang w:val="en-GB"/>
        </w:rPr>
        <w:footnoteReference w:id="113"/>
      </w:r>
      <w:r>
        <w:rPr>
          <w:szCs w:val="36"/>
          <w:lang w:val="en-GB"/>
        </w:rPr>
        <w:t xml:space="preserve"> The award was annulled by the Paris Court of Appeal holding that the Ministry’s involvement was essentially supervisory </w:t>
      </w:r>
      <w:r w:rsidR="007F463E">
        <w:rPr>
          <w:szCs w:val="36"/>
          <w:lang w:val="en-GB"/>
        </w:rPr>
        <w:t>and did not</w:t>
      </w:r>
      <w:r>
        <w:rPr>
          <w:szCs w:val="36"/>
          <w:lang w:val="en-GB"/>
        </w:rPr>
        <w:t xml:space="preserve"> express consent to be bound by the contract and arbitrate.</w:t>
      </w:r>
      <w:r>
        <w:rPr>
          <w:rStyle w:val="FootnoteReference"/>
          <w:szCs w:val="36"/>
          <w:lang w:val="en-GB"/>
        </w:rPr>
        <w:footnoteReference w:id="114"/>
      </w:r>
      <w:r>
        <w:rPr>
          <w:szCs w:val="36"/>
          <w:lang w:val="en-GB"/>
        </w:rPr>
        <w:t xml:space="preserve"> Although the Minister was undoubtedly a State organ and therefore his actions were clearly attributable to Egypt, this was irrelevant for the Paris Court of Appeal. The crucial factor was whether Egypt has given its implied consent to arbitrate. </w:t>
      </w:r>
      <w:r w:rsidR="008A6C3C">
        <w:rPr>
          <w:lang w:val="en-GB"/>
        </w:rPr>
        <w:t>T</w:t>
      </w:r>
      <w:r w:rsidRPr="00336C4D">
        <w:rPr>
          <w:lang w:val="en-GB"/>
        </w:rPr>
        <w:t xml:space="preserve">he US Court of Appeals for the Fifth Circuit did not accept that the arbitration agreement between </w:t>
      </w:r>
      <w:proofErr w:type="spellStart"/>
      <w:r w:rsidRPr="00336C4D">
        <w:rPr>
          <w:lang w:val="en-GB"/>
        </w:rPr>
        <w:t>Bridas</w:t>
      </w:r>
      <w:proofErr w:type="spellEnd"/>
      <w:r w:rsidRPr="00336C4D">
        <w:rPr>
          <w:lang w:val="en-GB"/>
        </w:rPr>
        <w:t xml:space="preserve"> and </w:t>
      </w:r>
      <w:proofErr w:type="spellStart"/>
      <w:r w:rsidRPr="00336C4D">
        <w:rPr>
          <w:lang w:val="en-GB"/>
        </w:rPr>
        <w:t>Turkmenneft</w:t>
      </w:r>
      <w:proofErr w:type="spellEnd"/>
      <w:r w:rsidRPr="00336C4D">
        <w:rPr>
          <w:lang w:val="en-GB"/>
        </w:rPr>
        <w:t xml:space="preserve"> (a Turkmen State-owned entity) could be extended to Turkmenistan (a non-signatory) because it was ‘simply unable to conclude that the parties … </w:t>
      </w:r>
      <w:r w:rsidRPr="00CE5934">
        <w:rPr>
          <w:i/>
          <w:iCs/>
          <w:lang w:val="en-GB"/>
        </w:rPr>
        <w:t>intended</w:t>
      </w:r>
      <w:r w:rsidRPr="00336C4D">
        <w:rPr>
          <w:lang w:val="en-GB"/>
        </w:rPr>
        <w:t xml:space="preserve"> </w:t>
      </w:r>
      <w:proofErr w:type="spellStart"/>
      <w:r w:rsidRPr="00336C4D">
        <w:rPr>
          <w:lang w:val="en-GB"/>
        </w:rPr>
        <w:t>Turkmenneft</w:t>
      </w:r>
      <w:proofErr w:type="spellEnd"/>
      <w:r w:rsidRPr="00336C4D">
        <w:rPr>
          <w:lang w:val="en-GB"/>
        </w:rPr>
        <w:t xml:space="preserve"> to sign the JVA </w:t>
      </w:r>
      <w:r w:rsidRPr="004F55F7">
        <w:rPr>
          <w:lang w:val="en-GB"/>
        </w:rPr>
        <w:t xml:space="preserve">as an agent of the Government </w:t>
      </w:r>
      <w:r w:rsidRPr="00336C4D">
        <w:rPr>
          <w:lang w:val="en-GB"/>
        </w:rPr>
        <w:t>in the absence of clearer language to that effect’.</w:t>
      </w:r>
      <w:r w:rsidRPr="00336C4D">
        <w:rPr>
          <w:rStyle w:val="FootnoteReference"/>
          <w:lang w:val="en-GB"/>
        </w:rPr>
        <w:footnoteReference w:id="115"/>
      </w:r>
      <w:r w:rsidRPr="00336C4D">
        <w:rPr>
          <w:lang w:val="en-GB"/>
        </w:rPr>
        <w:t xml:space="preserve"> </w:t>
      </w:r>
      <w:r>
        <w:rPr>
          <w:lang w:val="en-GB"/>
        </w:rPr>
        <w:t>Although,</w:t>
      </w:r>
    </w:p>
    <w:p w14:paraId="7F2A3958" w14:textId="77777777" w:rsidR="00B10BDB" w:rsidRPr="00336C4D" w:rsidRDefault="00B10BDB" w:rsidP="004F55F7">
      <w:pPr>
        <w:widowControl w:val="0"/>
        <w:spacing w:line="276" w:lineRule="auto"/>
        <w:jc w:val="both"/>
        <w:rPr>
          <w:lang w:val="en-GB"/>
        </w:rPr>
      </w:pPr>
    </w:p>
    <w:p w14:paraId="11E6DAE9" w14:textId="77777777" w:rsidR="00B10BDB" w:rsidRPr="00336C4D" w:rsidRDefault="00B10BDB" w:rsidP="004F55F7">
      <w:pPr>
        <w:widowControl w:val="0"/>
        <w:spacing w:line="276" w:lineRule="auto"/>
        <w:ind w:left="720" w:right="419"/>
        <w:jc w:val="both"/>
        <w:rPr>
          <w:lang w:val="en-GB"/>
        </w:rPr>
      </w:pPr>
      <w:proofErr w:type="spellStart"/>
      <w:r w:rsidRPr="00336C4D">
        <w:rPr>
          <w:lang w:val="en-GB"/>
        </w:rPr>
        <w:t>Bridas</w:t>
      </w:r>
      <w:proofErr w:type="spellEnd"/>
      <w:r w:rsidRPr="00336C4D">
        <w:rPr>
          <w:lang w:val="en-GB"/>
        </w:rPr>
        <w:t xml:space="preserve"> has set forth ample evidence regarding the extent to which </w:t>
      </w:r>
      <w:proofErr w:type="spellStart"/>
      <w:r w:rsidRPr="00336C4D">
        <w:rPr>
          <w:lang w:val="en-GB"/>
        </w:rPr>
        <w:t>Turkmenneft</w:t>
      </w:r>
      <w:proofErr w:type="spellEnd"/>
      <w:r w:rsidRPr="00336C4D">
        <w:rPr>
          <w:lang w:val="en-GB"/>
        </w:rPr>
        <w:t xml:space="preserve"> was controlled by the Government subsequent to the signing of the JVA. Such evidence, however, does not establish that </w:t>
      </w:r>
      <w:proofErr w:type="spellStart"/>
      <w:r w:rsidRPr="00336C4D">
        <w:rPr>
          <w:lang w:val="en-GB"/>
        </w:rPr>
        <w:t>Turkmenneft</w:t>
      </w:r>
      <w:proofErr w:type="spellEnd"/>
      <w:r w:rsidRPr="00336C4D">
        <w:rPr>
          <w:lang w:val="en-GB"/>
        </w:rPr>
        <w:t xml:space="preserve"> had the apparent authority to bind the Government in 1993.</w:t>
      </w:r>
      <w:r w:rsidRPr="00336C4D">
        <w:rPr>
          <w:rStyle w:val="FootnoteReference"/>
          <w:lang w:val="en-GB"/>
        </w:rPr>
        <w:footnoteReference w:id="116"/>
      </w:r>
    </w:p>
    <w:p w14:paraId="3EDA4F4C" w14:textId="77777777" w:rsidR="00B10BDB" w:rsidRDefault="00B10BDB" w:rsidP="004F55F7">
      <w:pPr>
        <w:widowControl w:val="0"/>
        <w:spacing w:line="276" w:lineRule="auto"/>
        <w:jc w:val="both"/>
        <w:rPr>
          <w:szCs w:val="36"/>
          <w:lang w:val="en-GB"/>
        </w:rPr>
      </w:pPr>
    </w:p>
    <w:p w14:paraId="4EE3CC92" w14:textId="1F184B6C" w:rsidR="00B10BDB" w:rsidRDefault="00B10BDB" w:rsidP="004F55F7">
      <w:pPr>
        <w:widowControl w:val="0"/>
        <w:spacing w:line="276" w:lineRule="auto"/>
        <w:jc w:val="both"/>
        <w:rPr>
          <w:lang w:val="en-GB"/>
        </w:rPr>
      </w:pPr>
      <w:r w:rsidRPr="00336C4D">
        <w:rPr>
          <w:lang w:val="en-GB"/>
        </w:rPr>
        <w:t xml:space="preserve">In </w:t>
      </w:r>
      <w:proofErr w:type="spellStart"/>
      <w:r w:rsidRPr="00336C4D">
        <w:rPr>
          <w:i/>
          <w:iCs/>
          <w:lang w:val="en-GB"/>
        </w:rPr>
        <w:t>Dallah</w:t>
      </w:r>
      <w:proofErr w:type="spellEnd"/>
      <w:r w:rsidRPr="00336C4D">
        <w:rPr>
          <w:lang w:val="en-GB"/>
        </w:rPr>
        <w:t xml:space="preserve">, a Saudi Arabian construction </w:t>
      </w:r>
      <w:proofErr w:type="gramStart"/>
      <w:r w:rsidRPr="00336C4D">
        <w:rPr>
          <w:lang w:val="en-GB"/>
        </w:rPr>
        <w:t>company initiated</w:t>
      </w:r>
      <w:proofErr w:type="gramEnd"/>
      <w:r w:rsidRPr="00336C4D">
        <w:rPr>
          <w:lang w:val="en-GB"/>
        </w:rPr>
        <w:t xml:space="preserve"> arbitration proceedings against the Government of Pakistan, despite the fact that Pakistan was not a signatory to the relevant contract (and </w:t>
      </w:r>
      <w:r>
        <w:rPr>
          <w:lang w:val="en-GB"/>
        </w:rPr>
        <w:t xml:space="preserve">the </w:t>
      </w:r>
      <w:r w:rsidRPr="00336C4D">
        <w:rPr>
          <w:lang w:val="en-GB"/>
        </w:rPr>
        <w:t xml:space="preserve">arbitration agreement contained therein) which had been concluded between </w:t>
      </w:r>
      <w:proofErr w:type="spellStart"/>
      <w:r w:rsidRPr="00336C4D">
        <w:rPr>
          <w:lang w:val="en-GB"/>
        </w:rPr>
        <w:t>Dallah</w:t>
      </w:r>
      <w:proofErr w:type="spellEnd"/>
      <w:r w:rsidRPr="00336C4D">
        <w:rPr>
          <w:lang w:val="en-GB"/>
        </w:rPr>
        <w:t xml:space="preserve"> and a Trust established by Pakistan. The arbitral tribunal and the Paris Court of Appeal accepted that the arbitration agreement could be extended to the Government of Pakistan, but the UK Supreme Court did not.</w:t>
      </w:r>
      <w:r w:rsidRPr="00336C4D">
        <w:rPr>
          <w:rStyle w:val="FootnoteReference"/>
          <w:lang w:val="en-GB"/>
        </w:rPr>
        <w:footnoteReference w:id="117"/>
      </w:r>
      <w:r w:rsidRPr="00336C4D">
        <w:rPr>
          <w:lang w:val="en-GB"/>
        </w:rPr>
        <w:t xml:space="preserve"> </w:t>
      </w:r>
      <w:r>
        <w:rPr>
          <w:lang w:val="en-GB"/>
        </w:rPr>
        <w:t>T</w:t>
      </w:r>
      <w:r w:rsidRPr="00336C4D">
        <w:rPr>
          <w:lang w:val="en-GB"/>
        </w:rPr>
        <w:t xml:space="preserve">he UK and </w:t>
      </w:r>
      <w:r>
        <w:rPr>
          <w:lang w:val="en-GB"/>
        </w:rPr>
        <w:t>French</w:t>
      </w:r>
      <w:r w:rsidRPr="00336C4D">
        <w:rPr>
          <w:lang w:val="en-GB"/>
        </w:rPr>
        <w:t xml:space="preserve"> Court essentially disagreed about </w:t>
      </w:r>
      <w:r>
        <w:rPr>
          <w:lang w:val="en-GB"/>
        </w:rPr>
        <w:lastRenderedPageBreak/>
        <w:t>whether Pakistan intended to be part of the arbitration agreement or not</w:t>
      </w:r>
      <w:r w:rsidRPr="00336C4D">
        <w:rPr>
          <w:lang w:val="en-GB"/>
        </w:rPr>
        <w:t>.</w:t>
      </w:r>
      <w:r>
        <w:rPr>
          <w:lang w:val="en-GB"/>
        </w:rPr>
        <w:t xml:space="preserve"> Lord Collins held that ‘</w:t>
      </w:r>
      <w:r w:rsidRPr="009D7E80">
        <w:rPr>
          <w:lang w:val="en-GB"/>
        </w:rPr>
        <w:t>there was no material sufficient to justify the tribunal’s conclusion that the Government’s behaviour showed and proved that the Government had always been, and considered itself to be, a true party to the Agreement and therefore to the arbitration agreement</w:t>
      </w:r>
      <w:r>
        <w:rPr>
          <w:lang w:val="en-GB"/>
        </w:rPr>
        <w:t>’.</w:t>
      </w:r>
      <w:r w:rsidRPr="00336C4D">
        <w:rPr>
          <w:rStyle w:val="FootnoteReference"/>
          <w:lang w:val="en-GB"/>
        </w:rPr>
        <w:footnoteReference w:id="118"/>
      </w:r>
      <w:r>
        <w:rPr>
          <w:lang w:val="en-GB"/>
        </w:rPr>
        <w:t xml:space="preserve"> By contract the Paris Court of Appeal reached the opposite conclusion:</w:t>
      </w:r>
    </w:p>
    <w:p w14:paraId="702FEF4C" w14:textId="77777777" w:rsidR="00B10BDB" w:rsidRDefault="00B10BDB" w:rsidP="004F55F7">
      <w:pPr>
        <w:widowControl w:val="0"/>
        <w:spacing w:line="276" w:lineRule="auto"/>
        <w:jc w:val="both"/>
        <w:rPr>
          <w:lang w:val="en-GB"/>
        </w:rPr>
      </w:pPr>
    </w:p>
    <w:p w14:paraId="29520DE3" w14:textId="77777777" w:rsidR="00B10BDB" w:rsidRDefault="00B10BDB" w:rsidP="009D7E80">
      <w:pPr>
        <w:widowControl w:val="0"/>
        <w:spacing w:line="276" w:lineRule="auto"/>
        <w:ind w:left="720" w:right="419"/>
        <w:jc w:val="both"/>
        <w:rPr>
          <w:lang w:val="en-GB"/>
        </w:rPr>
      </w:pPr>
      <w:r w:rsidRPr="009D7E80">
        <w:rPr>
          <w:lang w:val="en-GB"/>
        </w:rPr>
        <w:t xml:space="preserve">[T]he Government [of Pakistan] acted as if the Agreement was its </w:t>
      </w:r>
      <w:proofErr w:type="gramStart"/>
      <w:r w:rsidRPr="009D7E80">
        <w:rPr>
          <w:lang w:val="en-GB"/>
        </w:rPr>
        <w:t>own;…</w:t>
      </w:r>
      <w:proofErr w:type="gramEnd"/>
      <w:r w:rsidRPr="009D7E80">
        <w:rPr>
          <w:lang w:val="en-GB"/>
        </w:rPr>
        <w:t xml:space="preserve">  this involvement of the Government [of Pakistan], in the absence of evidence that the Trust took any actions, as well as the [Government’s] </w:t>
      </w:r>
      <w:proofErr w:type="spellStart"/>
      <w:r w:rsidRPr="009D7E80">
        <w:rPr>
          <w:lang w:val="en-GB"/>
        </w:rPr>
        <w:t>behavior</w:t>
      </w:r>
      <w:proofErr w:type="spellEnd"/>
      <w:r w:rsidRPr="009D7E80">
        <w:rPr>
          <w:lang w:val="en-GB"/>
        </w:rPr>
        <w:t xml:space="preserve"> during the pre-contractual negotiations, confirm that the creation of the Trust was purely formal and that the Government of Pakistan…  – as </w:t>
      </w:r>
      <w:proofErr w:type="spellStart"/>
      <w:r w:rsidRPr="009D7E80">
        <w:rPr>
          <w:lang w:val="en-GB"/>
        </w:rPr>
        <w:t>Dallah</w:t>
      </w:r>
      <w:proofErr w:type="spellEnd"/>
      <w:r w:rsidRPr="009D7E80">
        <w:rPr>
          <w:lang w:val="en-GB"/>
        </w:rPr>
        <w:t xml:space="preserve"> had acknowledged behaved as if it were the true Pakistani party during the economic transaction’</w:t>
      </w:r>
      <w:r>
        <w:rPr>
          <w:lang w:val="en-GB"/>
        </w:rPr>
        <w:t>.</w:t>
      </w:r>
      <w:r>
        <w:rPr>
          <w:rStyle w:val="FootnoteReference"/>
          <w:lang w:val="en-GB"/>
        </w:rPr>
        <w:footnoteReference w:id="119"/>
      </w:r>
      <w:r>
        <w:rPr>
          <w:lang w:val="en-GB"/>
        </w:rPr>
        <w:t xml:space="preserve"> </w:t>
      </w:r>
    </w:p>
    <w:p w14:paraId="22E858C2" w14:textId="77777777" w:rsidR="00B10BDB" w:rsidRDefault="00B10BDB" w:rsidP="004F55F7">
      <w:pPr>
        <w:widowControl w:val="0"/>
        <w:spacing w:line="276" w:lineRule="auto"/>
        <w:jc w:val="both"/>
        <w:rPr>
          <w:lang w:val="en-GB"/>
        </w:rPr>
      </w:pPr>
    </w:p>
    <w:p w14:paraId="69FB765A" w14:textId="6DC6F88A" w:rsidR="00B10BDB" w:rsidRPr="00363860" w:rsidRDefault="00B10BDB" w:rsidP="004F55F7">
      <w:pPr>
        <w:widowControl w:val="0"/>
        <w:spacing w:line="276" w:lineRule="auto"/>
        <w:jc w:val="both"/>
        <w:rPr>
          <w:lang w:val="en-GB"/>
        </w:rPr>
      </w:pPr>
      <w:r w:rsidRPr="00336C4D">
        <w:rPr>
          <w:lang w:val="en-GB"/>
        </w:rPr>
        <w:t xml:space="preserve">In another </w:t>
      </w:r>
      <w:r>
        <w:rPr>
          <w:lang w:val="en-GB"/>
        </w:rPr>
        <w:t>case</w:t>
      </w:r>
      <w:r w:rsidRPr="00336C4D">
        <w:rPr>
          <w:lang w:val="en-GB"/>
        </w:rPr>
        <w:t xml:space="preserve"> the arbitration agreement contained in contracts between two companies belonging to the same group (</w:t>
      </w:r>
      <w:proofErr w:type="spellStart"/>
      <w:r w:rsidRPr="00336C4D">
        <w:rPr>
          <w:lang w:val="en-GB"/>
        </w:rPr>
        <w:t>Ax</w:t>
      </w:r>
      <w:proofErr w:type="spellEnd"/>
      <w:r w:rsidRPr="00336C4D">
        <w:rPr>
          <w:lang w:val="en-GB"/>
        </w:rPr>
        <w:t xml:space="preserve"> and Ay) on the one hand, and the Ministry of Agriculture of State Z (which had separate legal personality) on the other, </w:t>
      </w:r>
      <w:r w:rsidR="00B93754">
        <w:rPr>
          <w:lang w:val="en-GB"/>
        </w:rPr>
        <w:t>was</w:t>
      </w:r>
      <w:r w:rsidRPr="00336C4D">
        <w:rPr>
          <w:lang w:val="en-GB"/>
        </w:rPr>
        <w:t xml:space="preserve"> extended to the non-signatory State.</w:t>
      </w:r>
      <w:r w:rsidRPr="00336C4D">
        <w:rPr>
          <w:rStyle w:val="FootnoteReference"/>
          <w:lang w:val="en-GB"/>
        </w:rPr>
        <w:footnoteReference w:id="120"/>
      </w:r>
      <w:r w:rsidRPr="00336C4D">
        <w:rPr>
          <w:lang w:val="en-GB"/>
        </w:rPr>
        <w:t xml:space="preserve"> </w:t>
      </w:r>
      <w:r>
        <w:rPr>
          <w:lang w:val="en-GB"/>
        </w:rPr>
        <w:t>T</w:t>
      </w:r>
      <w:r w:rsidRPr="00336C4D">
        <w:rPr>
          <w:lang w:val="en-GB"/>
        </w:rPr>
        <w:t xml:space="preserve">he basis for such extension was </w:t>
      </w:r>
      <w:r>
        <w:rPr>
          <w:szCs w:val="36"/>
          <w:lang w:val="en-GB"/>
        </w:rPr>
        <w:t>‘[t]</w:t>
      </w:r>
      <w:r w:rsidRPr="00401EE3">
        <w:rPr>
          <w:szCs w:val="36"/>
          <w:lang w:val="en-GB"/>
        </w:rPr>
        <w:t>he</w:t>
      </w:r>
      <w:r>
        <w:rPr>
          <w:szCs w:val="36"/>
          <w:lang w:val="en-GB"/>
        </w:rPr>
        <w:t xml:space="preserve"> </w:t>
      </w:r>
      <w:r w:rsidRPr="00401EE3">
        <w:rPr>
          <w:szCs w:val="36"/>
          <w:lang w:val="en-GB"/>
        </w:rPr>
        <w:t>direct</w:t>
      </w:r>
      <w:r>
        <w:rPr>
          <w:szCs w:val="36"/>
          <w:lang w:val="en-GB"/>
        </w:rPr>
        <w:t xml:space="preserve"> </w:t>
      </w:r>
      <w:r w:rsidRPr="00401EE3">
        <w:rPr>
          <w:szCs w:val="36"/>
          <w:lang w:val="en-GB"/>
        </w:rPr>
        <w:t>involvement</w:t>
      </w:r>
      <w:r>
        <w:rPr>
          <w:szCs w:val="36"/>
          <w:lang w:val="en-GB"/>
        </w:rPr>
        <w:t xml:space="preserve"> </w:t>
      </w:r>
      <w:r w:rsidRPr="00401EE3">
        <w:rPr>
          <w:szCs w:val="36"/>
          <w:lang w:val="en-GB"/>
        </w:rPr>
        <w:t>of</w:t>
      </w:r>
      <w:r>
        <w:rPr>
          <w:szCs w:val="36"/>
          <w:lang w:val="en-GB"/>
        </w:rPr>
        <w:t xml:space="preserve"> </w:t>
      </w:r>
      <w:r w:rsidRPr="00401EE3">
        <w:rPr>
          <w:szCs w:val="36"/>
          <w:lang w:val="en-GB"/>
        </w:rPr>
        <w:t>the</w:t>
      </w:r>
      <w:r>
        <w:rPr>
          <w:szCs w:val="36"/>
          <w:lang w:val="en-GB"/>
        </w:rPr>
        <w:t xml:space="preserve"> </w:t>
      </w:r>
      <w:r w:rsidRPr="00401EE3">
        <w:rPr>
          <w:szCs w:val="36"/>
          <w:lang w:val="en-GB"/>
        </w:rPr>
        <w:t>highest</w:t>
      </w:r>
      <w:r>
        <w:rPr>
          <w:szCs w:val="36"/>
          <w:lang w:val="en-GB"/>
        </w:rPr>
        <w:t xml:space="preserve"> </w:t>
      </w:r>
      <w:r w:rsidRPr="00401EE3">
        <w:rPr>
          <w:szCs w:val="36"/>
          <w:lang w:val="en-GB"/>
        </w:rPr>
        <w:t>authority</w:t>
      </w:r>
      <w:r>
        <w:rPr>
          <w:szCs w:val="36"/>
          <w:lang w:val="en-GB"/>
        </w:rPr>
        <w:t xml:space="preserve"> </w:t>
      </w:r>
      <w:r w:rsidRPr="00401EE3">
        <w:rPr>
          <w:szCs w:val="36"/>
          <w:lang w:val="en-GB"/>
        </w:rPr>
        <w:t>of</w:t>
      </w:r>
      <w:r>
        <w:rPr>
          <w:szCs w:val="36"/>
          <w:lang w:val="en-GB"/>
        </w:rPr>
        <w:t xml:space="preserve"> </w:t>
      </w:r>
      <w:r w:rsidRPr="00401EE3">
        <w:rPr>
          <w:szCs w:val="36"/>
          <w:lang w:val="en-GB"/>
        </w:rPr>
        <w:t>the Government of Z in the fulfilment of the Ministry</w:t>
      </w:r>
      <w:r>
        <w:rPr>
          <w:szCs w:val="36"/>
          <w:lang w:val="en-GB"/>
        </w:rPr>
        <w:t>’</w:t>
      </w:r>
      <w:r w:rsidRPr="00401EE3">
        <w:rPr>
          <w:szCs w:val="36"/>
          <w:lang w:val="en-GB"/>
        </w:rPr>
        <w:t>s obligations under the contracts</w:t>
      </w:r>
      <w:r>
        <w:rPr>
          <w:szCs w:val="36"/>
          <w:lang w:val="en-GB"/>
        </w:rPr>
        <w:t>’.</w:t>
      </w:r>
      <w:r>
        <w:rPr>
          <w:rStyle w:val="FootnoteReference"/>
          <w:szCs w:val="36"/>
          <w:lang w:val="en-GB"/>
        </w:rPr>
        <w:footnoteReference w:id="121"/>
      </w:r>
      <w:r>
        <w:rPr>
          <w:szCs w:val="36"/>
          <w:lang w:val="en-GB"/>
        </w:rPr>
        <w:t xml:space="preserve"> Therefore, wh</w:t>
      </w:r>
      <w:r w:rsidRPr="00336C4D">
        <w:rPr>
          <w:szCs w:val="36"/>
          <w:lang w:val="en-GB"/>
        </w:rPr>
        <w:t>ile international rules on attribution of conduct cannot serve as a basis for extending the arbitration agreement to non-signatory States or State entities, the concept of ‘implied consent’ can.</w:t>
      </w:r>
      <w:r w:rsidRPr="00336C4D">
        <w:rPr>
          <w:rStyle w:val="FootnoteReference"/>
          <w:lang w:val="en-GB"/>
        </w:rPr>
        <w:footnoteReference w:id="122"/>
      </w:r>
    </w:p>
    <w:p w14:paraId="530E5B6E" w14:textId="55B142D5" w:rsidR="00B10BDB" w:rsidRPr="003E18D0" w:rsidRDefault="00B10BDB" w:rsidP="003E18D0">
      <w:pPr>
        <w:widowControl w:val="0"/>
        <w:spacing w:line="276" w:lineRule="auto"/>
        <w:ind w:firstLine="720"/>
        <w:jc w:val="both"/>
        <w:rPr>
          <w:lang w:val="en-GB"/>
        </w:rPr>
      </w:pPr>
      <w:r>
        <w:rPr>
          <w:lang w:val="en-GB"/>
        </w:rPr>
        <w:t xml:space="preserve">International law recognises the concept of </w:t>
      </w:r>
      <w:r w:rsidRPr="0062521C">
        <w:rPr>
          <w:i/>
          <w:iCs/>
          <w:lang w:val="en-GB"/>
        </w:rPr>
        <w:t>implied</w:t>
      </w:r>
      <w:r>
        <w:rPr>
          <w:lang w:val="en-GB"/>
        </w:rPr>
        <w:t xml:space="preserve"> </w:t>
      </w:r>
      <w:r>
        <w:rPr>
          <w:szCs w:val="36"/>
          <w:lang w:val="en-GB"/>
        </w:rPr>
        <w:t>consent</w:t>
      </w:r>
      <w:r>
        <w:rPr>
          <w:lang w:val="en-GB"/>
        </w:rPr>
        <w:t xml:space="preserve">. </w:t>
      </w:r>
      <w:r w:rsidRPr="00336C4D">
        <w:rPr>
          <w:lang w:val="en-GB"/>
        </w:rPr>
        <w:t xml:space="preserve">As with arbitration, the rule under public international law is that State cannot be brought before an international court or tribunal without its consent. This </w:t>
      </w:r>
      <w:r w:rsidRPr="00336C4D">
        <w:rPr>
          <w:i/>
          <w:iCs/>
          <w:lang w:val="en-GB"/>
        </w:rPr>
        <w:t>sine qua non</w:t>
      </w:r>
      <w:r w:rsidRPr="00336C4D">
        <w:rPr>
          <w:lang w:val="en-GB"/>
        </w:rPr>
        <w:t xml:space="preserve"> character of consent constitutes one of the main differences between (</w:t>
      </w:r>
      <w:proofErr w:type="spellStart"/>
      <w:r w:rsidRPr="00336C4D">
        <w:rPr>
          <w:lang w:val="en-GB"/>
        </w:rPr>
        <w:t>i</w:t>
      </w:r>
      <w:proofErr w:type="spellEnd"/>
      <w:r w:rsidRPr="00336C4D">
        <w:rPr>
          <w:lang w:val="en-GB"/>
        </w:rPr>
        <w:t>) litigation and arbitration before international courts or tribunals and (ii) litigation before domestic courts</w:t>
      </w:r>
      <w:r w:rsidRPr="00336C4D">
        <w:rPr>
          <w:szCs w:val="36"/>
          <w:lang w:val="en-GB"/>
        </w:rPr>
        <w:t>.</w:t>
      </w:r>
      <w:r w:rsidRPr="00336C4D">
        <w:rPr>
          <w:rStyle w:val="FootnoteReference"/>
          <w:szCs w:val="36"/>
          <w:lang w:val="en-GB"/>
        </w:rPr>
        <w:footnoteReference w:id="123"/>
      </w:r>
      <w:r w:rsidRPr="00336C4D">
        <w:rPr>
          <w:szCs w:val="36"/>
          <w:lang w:val="en-GB"/>
        </w:rPr>
        <w:t xml:space="preserve"> </w:t>
      </w:r>
      <w:r w:rsidRPr="00336C4D">
        <w:rPr>
          <w:lang w:val="en-GB"/>
        </w:rPr>
        <w:t xml:space="preserve">The ICJ has time and again emphasized that ‘a State may </w:t>
      </w:r>
      <w:r w:rsidRPr="00336C4D">
        <w:rPr>
          <w:lang w:val="en-GB"/>
        </w:rPr>
        <w:lastRenderedPageBreak/>
        <w:t>not be compelled to submit its disputes to arbitration without its consent’.</w:t>
      </w:r>
      <w:r w:rsidRPr="00336C4D">
        <w:rPr>
          <w:rStyle w:val="FootnoteReference"/>
          <w:lang w:val="en-GB"/>
        </w:rPr>
        <w:footnoteReference w:id="124"/>
      </w:r>
      <w:r w:rsidRPr="00336C4D">
        <w:rPr>
          <w:lang w:val="en-GB"/>
        </w:rPr>
        <w:t xml:space="preserve"> The </w:t>
      </w:r>
      <w:r>
        <w:rPr>
          <w:lang w:val="en-GB"/>
        </w:rPr>
        <w:t>ICJ</w:t>
      </w:r>
      <w:r w:rsidRPr="00336C4D">
        <w:rPr>
          <w:lang w:val="en-GB"/>
        </w:rPr>
        <w:t>’s ‘jurisdiction is based on the consent of the parties and is confined to the extent accepted by them’</w:t>
      </w:r>
      <w:r>
        <w:rPr>
          <w:lang w:val="en-GB"/>
        </w:rPr>
        <w:t>,</w:t>
      </w:r>
      <w:r w:rsidRPr="00336C4D">
        <w:rPr>
          <w:rStyle w:val="FootnoteReference"/>
          <w:lang w:val="en-GB"/>
        </w:rPr>
        <w:footnoteReference w:id="125"/>
      </w:r>
      <w:r w:rsidRPr="00336C4D">
        <w:rPr>
          <w:lang w:val="en-GB"/>
        </w:rPr>
        <w:t xml:space="preserve"> </w:t>
      </w:r>
      <w:r>
        <w:rPr>
          <w:lang w:val="en-GB"/>
        </w:rPr>
        <w:t>and ‘[w]</w:t>
      </w:r>
      <w:r w:rsidRPr="003E18D0">
        <w:rPr>
          <w:lang w:val="en-GB"/>
        </w:rPr>
        <w:t>hen considering whether it has jurisdiction or not, the Court</w:t>
      </w:r>
      <w:r>
        <w:rPr>
          <w:lang w:val="en-GB"/>
        </w:rPr>
        <w:t>’</w:t>
      </w:r>
      <w:r w:rsidRPr="003E18D0">
        <w:rPr>
          <w:lang w:val="en-GB"/>
        </w:rPr>
        <w:t>s aim is always to</w:t>
      </w:r>
      <w:r>
        <w:rPr>
          <w:lang w:val="en-GB"/>
        </w:rPr>
        <w:t xml:space="preserve"> </w:t>
      </w:r>
      <w:r w:rsidRPr="003E18D0">
        <w:rPr>
          <w:lang w:val="en-GB"/>
        </w:rPr>
        <w:t>ascertain whether an intention on the part of the Parties exists to</w:t>
      </w:r>
      <w:r>
        <w:rPr>
          <w:lang w:val="en-GB"/>
        </w:rPr>
        <w:t xml:space="preserve"> </w:t>
      </w:r>
      <w:r w:rsidRPr="003E18D0">
        <w:rPr>
          <w:lang w:val="en-GB"/>
        </w:rPr>
        <w:t>confer jurisdiction upon it</w:t>
      </w:r>
      <w:r>
        <w:rPr>
          <w:lang w:val="en-GB"/>
        </w:rPr>
        <w:t>’</w:t>
      </w:r>
      <w:r>
        <w:rPr>
          <w:rStyle w:val="FootnoteReference"/>
          <w:lang w:val="en-GB"/>
        </w:rPr>
        <w:footnoteReference w:id="126"/>
      </w:r>
      <w:r>
        <w:rPr>
          <w:lang w:val="en-GB"/>
        </w:rPr>
        <w:t>. At the same time,</w:t>
      </w:r>
      <w:r w:rsidRPr="00336C4D">
        <w:rPr>
          <w:lang w:val="en-GB"/>
        </w:rPr>
        <w:t xml:space="preserve"> there is no requirement that such consent ‘should be expressed in any particular form’</w:t>
      </w:r>
      <w:r>
        <w:rPr>
          <w:lang w:val="en-GB"/>
        </w:rPr>
        <w:t>.</w:t>
      </w:r>
      <w:r w:rsidRPr="00336C4D">
        <w:rPr>
          <w:rStyle w:val="FootnoteReference"/>
          <w:lang w:val="en-GB"/>
        </w:rPr>
        <w:footnoteReference w:id="127"/>
      </w:r>
      <w:r w:rsidRPr="00336C4D">
        <w:rPr>
          <w:lang w:val="en-GB"/>
        </w:rPr>
        <w:t xml:space="preserve"> </w:t>
      </w:r>
      <w:r>
        <w:rPr>
          <w:lang w:val="en-GB"/>
        </w:rPr>
        <w:t>T</w:t>
      </w:r>
      <w:r w:rsidRPr="00336C4D">
        <w:rPr>
          <w:lang w:val="en-GB"/>
        </w:rPr>
        <w:t xml:space="preserve">he Court’s jurisdiction can be accepted implicitly, </w:t>
      </w:r>
      <w:r>
        <w:rPr>
          <w:lang w:val="en-GB"/>
        </w:rPr>
        <w:t xml:space="preserve">provided that </w:t>
      </w:r>
      <w:r w:rsidRPr="00336C4D">
        <w:rPr>
          <w:lang w:val="en-GB"/>
        </w:rPr>
        <w:t>‘[t]he attitude of the respondent State must, however, be capable of being regarded as “an unequivocal indication” of the desire of that State to accept the Court’s jurisdiction in a “voluntary and indisputable” manner’.</w:t>
      </w:r>
      <w:r w:rsidRPr="00336C4D">
        <w:rPr>
          <w:rStyle w:val="FootnoteReference"/>
          <w:lang w:val="en-GB"/>
        </w:rPr>
        <w:footnoteReference w:id="128"/>
      </w:r>
    </w:p>
    <w:p w14:paraId="49D7E586" w14:textId="77777777" w:rsidR="00B10BDB" w:rsidRPr="00336C4D" w:rsidRDefault="00B10BDB" w:rsidP="000476F9">
      <w:pPr>
        <w:widowControl w:val="0"/>
        <w:spacing w:line="276" w:lineRule="auto"/>
        <w:jc w:val="both"/>
        <w:rPr>
          <w:lang w:val="en-GB"/>
        </w:rPr>
      </w:pPr>
    </w:p>
    <w:p w14:paraId="4C14D6BF" w14:textId="47ACEDD8" w:rsidR="00B10BDB" w:rsidRPr="00936E49" w:rsidRDefault="00B10BDB" w:rsidP="000476F9">
      <w:pPr>
        <w:pStyle w:val="Heading2"/>
        <w:spacing w:line="276" w:lineRule="auto"/>
        <w:rPr>
          <w:rFonts w:cs="Times New Roman"/>
          <w:b/>
          <w:bCs/>
          <w:i/>
          <w:iCs/>
          <w:sz w:val="24"/>
          <w:szCs w:val="24"/>
          <w:lang w:val="en-GB"/>
        </w:rPr>
      </w:pPr>
      <w:r w:rsidRPr="00336C4D">
        <w:rPr>
          <w:rFonts w:cs="Times New Roman"/>
          <w:b/>
          <w:bCs/>
          <w:sz w:val="24"/>
          <w:szCs w:val="24"/>
          <w:lang w:val="en-GB"/>
        </w:rPr>
        <w:t>B.</w:t>
      </w:r>
      <w:r w:rsidRPr="00336C4D">
        <w:rPr>
          <w:rFonts w:cs="Times New Roman"/>
          <w:b/>
          <w:bCs/>
          <w:sz w:val="24"/>
          <w:szCs w:val="24"/>
          <w:lang w:val="en-GB"/>
        </w:rPr>
        <w:tab/>
      </w:r>
      <w:r w:rsidRPr="00936E49">
        <w:rPr>
          <w:rFonts w:cs="Times New Roman"/>
          <w:b/>
          <w:bCs/>
          <w:i/>
          <w:iCs/>
          <w:sz w:val="24"/>
          <w:szCs w:val="24"/>
          <w:lang w:val="en-GB"/>
        </w:rPr>
        <w:t>Abuse of separate legal personality and Estoppel</w:t>
      </w:r>
    </w:p>
    <w:p w14:paraId="79FA1B8D" w14:textId="77777777" w:rsidR="00B10BDB" w:rsidRPr="00336C4D" w:rsidRDefault="00B10BDB" w:rsidP="000476F9">
      <w:pPr>
        <w:widowControl w:val="0"/>
        <w:spacing w:line="276" w:lineRule="auto"/>
        <w:ind w:right="-6"/>
        <w:jc w:val="both"/>
        <w:rPr>
          <w:lang w:val="en-GB"/>
        </w:rPr>
      </w:pPr>
    </w:p>
    <w:p w14:paraId="5D9C9816" w14:textId="2F3A39F8" w:rsidR="00B10BDB" w:rsidRPr="00336C4D" w:rsidRDefault="00B10BDB" w:rsidP="000476F9">
      <w:pPr>
        <w:widowControl w:val="0"/>
        <w:spacing w:line="276" w:lineRule="auto"/>
        <w:ind w:right="-6"/>
        <w:jc w:val="both"/>
        <w:rPr>
          <w:lang w:val="en-GB"/>
        </w:rPr>
      </w:pPr>
      <w:r>
        <w:rPr>
          <w:lang w:val="en-GB"/>
        </w:rPr>
        <w:t>It is well established that a</w:t>
      </w:r>
      <w:r w:rsidRPr="00336C4D">
        <w:rPr>
          <w:lang w:val="en-GB"/>
        </w:rPr>
        <w:t xml:space="preserve"> State cannot invoke its domestic law to circumvent its contractual undertaking to submit a dispute to arbitration.</w:t>
      </w:r>
      <w:r w:rsidRPr="00336C4D">
        <w:rPr>
          <w:rStyle w:val="FootnoteReference"/>
          <w:lang w:val="en-GB"/>
        </w:rPr>
        <w:footnoteReference w:id="129"/>
      </w:r>
      <w:r w:rsidRPr="00336C4D">
        <w:rPr>
          <w:lang w:val="en-GB"/>
        </w:rPr>
        <w:t xml:space="preserve"> In </w:t>
      </w:r>
      <w:proofErr w:type="spellStart"/>
      <w:r w:rsidRPr="00336C4D">
        <w:rPr>
          <w:i/>
          <w:iCs/>
          <w:lang w:val="en-GB"/>
        </w:rPr>
        <w:t>Benteler</w:t>
      </w:r>
      <w:proofErr w:type="spellEnd"/>
      <w:r w:rsidRPr="00336C4D">
        <w:rPr>
          <w:i/>
          <w:iCs/>
          <w:lang w:val="en-GB"/>
        </w:rPr>
        <w:t xml:space="preserve"> v Belgium</w:t>
      </w:r>
      <w:r w:rsidRPr="00336C4D">
        <w:rPr>
          <w:lang w:val="en-GB"/>
        </w:rPr>
        <w:t xml:space="preserve"> the ad-hoc arbitral tribunal emphasised that ‘the State which has subscribed to an arbitration clause or an arbitration agreement would act contrary to international public order in later invoking the incompatibility of such an obligation with its domestic legal order’.</w:t>
      </w:r>
      <w:r w:rsidRPr="00336C4D">
        <w:rPr>
          <w:rStyle w:val="FootnoteReference"/>
          <w:lang w:val="en-GB"/>
        </w:rPr>
        <w:footnoteReference w:id="130"/>
      </w:r>
      <w:r w:rsidRPr="00336C4D">
        <w:rPr>
          <w:lang w:val="en-GB"/>
        </w:rPr>
        <w:t xml:space="preserve"> Its enduring influence is also seen in the following extract from a 200</w:t>
      </w:r>
      <w:r w:rsidR="00EE6700">
        <w:rPr>
          <w:lang w:val="en-GB"/>
        </w:rPr>
        <w:t>2</w:t>
      </w:r>
      <w:r w:rsidRPr="00336C4D">
        <w:rPr>
          <w:lang w:val="en-GB"/>
        </w:rPr>
        <w:t xml:space="preserve"> award:</w:t>
      </w:r>
    </w:p>
    <w:p w14:paraId="5B836446" w14:textId="77777777" w:rsidR="00B10BDB" w:rsidRPr="00336C4D" w:rsidRDefault="00B10BDB" w:rsidP="000476F9">
      <w:pPr>
        <w:widowControl w:val="0"/>
        <w:spacing w:line="276" w:lineRule="auto"/>
        <w:ind w:right="-6"/>
        <w:jc w:val="both"/>
        <w:rPr>
          <w:lang w:val="en-GB"/>
        </w:rPr>
      </w:pPr>
    </w:p>
    <w:p w14:paraId="5AAABAED" w14:textId="5A23C61B" w:rsidR="00B10BDB" w:rsidRPr="00336C4D" w:rsidRDefault="00B10BDB" w:rsidP="000476F9">
      <w:pPr>
        <w:widowControl w:val="0"/>
        <w:spacing w:line="276" w:lineRule="auto"/>
        <w:ind w:left="720" w:right="561"/>
        <w:jc w:val="both"/>
        <w:rPr>
          <w:lang w:val="en-GB"/>
        </w:rPr>
      </w:pPr>
      <w:r>
        <w:rPr>
          <w:lang w:val="en-GB"/>
        </w:rPr>
        <w:t>[</w:t>
      </w:r>
      <w:proofErr w:type="spellStart"/>
      <w:r>
        <w:rPr>
          <w:lang w:val="en-GB"/>
        </w:rPr>
        <w:t>i</w:t>
      </w:r>
      <w:proofErr w:type="spellEnd"/>
      <w:r>
        <w:rPr>
          <w:lang w:val="en-GB"/>
        </w:rPr>
        <w:t>]</w:t>
      </w:r>
      <w:r w:rsidRPr="00336C4D">
        <w:rPr>
          <w:lang w:val="en-GB"/>
        </w:rPr>
        <w:t xml:space="preserve">n light of the </w:t>
      </w:r>
      <w:proofErr w:type="spellStart"/>
      <w:r w:rsidRPr="00336C4D">
        <w:rPr>
          <w:i/>
          <w:iCs/>
          <w:lang w:val="en-GB"/>
        </w:rPr>
        <w:t>Benteler</w:t>
      </w:r>
      <w:proofErr w:type="spellEnd"/>
      <w:r w:rsidRPr="00336C4D">
        <w:rPr>
          <w:i/>
          <w:iCs/>
          <w:lang w:val="en-GB"/>
        </w:rPr>
        <w:t xml:space="preserve"> et al. v. Belgian State</w:t>
      </w:r>
      <w:r w:rsidRPr="00336C4D">
        <w:rPr>
          <w:lang w:val="en-GB"/>
        </w:rPr>
        <w:t xml:space="preserve"> award, international arbitral tribunals have been very reluctant to decline jurisdiction when a State or a State entity relies upon its own national law to deny arbitrability.</w:t>
      </w:r>
      <w:r w:rsidRPr="00336C4D">
        <w:rPr>
          <w:rStyle w:val="FootnoteReference"/>
          <w:lang w:val="en-GB"/>
        </w:rPr>
        <w:footnoteReference w:id="131"/>
      </w:r>
    </w:p>
    <w:p w14:paraId="62D20CB5" w14:textId="77777777" w:rsidR="00B10BDB" w:rsidRPr="00336C4D" w:rsidRDefault="00B10BDB" w:rsidP="000476F9">
      <w:pPr>
        <w:widowControl w:val="0"/>
        <w:spacing w:line="276" w:lineRule="auto"/>
        <w:jc w:val="both"/>
        <w:rPr>
          <w:lang w:val="en-GB"/>
        </w:rPr>
      </w:pPr>
    </w:p>
    <w:p w14:paraId="34EFB50C" w14:textId="0B83F0E5" w:rsidR="00B10BDB" w:rsidRPr="00336C4D" w:rsidRDefault="00B10BDB" w:rsidP="00401EE3">
      <w:pPr>
        <w:widowControl w:val="0"/>
        <w:spacing w:line="276" w:lineRule="auto"/>
        <w:jc w:val="both"/>
        <w:rPr>
          <w:lang w:val="en-GB"/>
        </w:rPr>
      </w:pPr>
      <w:r w:rsidRPr="00336C4D">
        <w:rPr>
          <w:lang w:val="en-GB"/>
        </w:rPr>
        <w:t xml:space="preserve">According to </w:t>
      </w:r>
      <w:r>
        <w:rPr>
          <w:lang w:val="en-GB"/>
        </w:rPr>
        <w:t xml:space="preserve">Jan </w:t>
      </w:r>
      <w:proofErr w:type="spellStart"/>
      <w:r w:rsidRPr="00336C4D">
        <w:rPr>
          <w:lang w:val="en-GB"/>
        </w:rPr>
        <w:t>Paulsson</w:t>
      </w:r>
      <w:proofErr w:type="spellEnd"/>
      <w:r w:rsidRPr="00336C4D">
        <w:rPr>
          <w:lang w:val="en-GB"/>
        </w:rPr>
        <w:t xml:space="preserve">, </w:t>
      </w:r>
      <w:proofErr w:type="spellStart"/>
      <w:r w:rsidRPr="00336C4D">
        <w:rPr>
          <w:i/>
          <w:iCs/>
          <w:lang w:val="en-GB"/>
        </w:rPr>
        <w:t>Benteler</w:t>
      </w:r>
      <w:proofErr w:type="spellEnd"/>
      <w:r w:rsidRPr="00336C4D">
        <w:rPr>
          <w:i/>
          <w:iCs/>
          <w:lang w:val="en-GB"/>
        </w:rPr>
        <w:t xml:space="preserve"> v Belgium </w:t>
      </w:r>
      <w:r w:rsidRPr="00336C4D">
        <w:rPr>
          <w:lang w:val="en-GB"/>
        </w:rPr>
        <w:t>‘clearly approves the rule against recognition of such national bars to international arbitration’.</w:t>
      </w:r>
      <w:r w:rsidRPr="00336C4D">
        <w:rPr>
          <w:rStyle w:val="FootnoteReference"/>
          <w:lang w:val="en-GB"/>
        </w:rPr>
        <w:footnoteReference w:id="132"/>
      </w:r>
      <w:r w:rsidRPr="00336C4D">
        <w:rPr>
          <w:lang w:val="en-GB"/>
        </w:rPr>
        <w:t xml:space="preserve"> In </w:t>
      </w:r>
      <w:proofErr w:type="spellStart"/>
      <w:r w:rsidRPr="00336C4D">
        <w:rPr>
          <w:i/>
          <w:iCs/>
          <w:lang w:val="en-GB"/>
        </w:rPr>
        <w:t>Framatome</w:t>
      </w:r>
      <w:proofErr w:type="spellEnd"/>
      <w:r w:rsidRPr="00336C4D">
        <w:rPr>
          <w:i/>
          <w:iCs/>
          <w:lang w:val="en-GB"/>
        </w:rPr>
        <w:t xml:space="preserve"> v the Atomic Energy </w:t>
      </w:r>
      <w:r w:rsidRPr="00336C4D">
        <w:rPr>
          <w:i/>
          <w:iCs/>
          <w:lang w:val="en-GB"/>
        </w:rPr>
        <w:lastRenderedPageBreak/>
        <w:t>Organization of Iran</w:t>
      </w:r>
      <w:r w:rsidRPr="00336C4D">
        <w:rPr>
          <w:lang w:val="en-GB"/>
        </w:rPr>
        <w:t xml:space="preserve"> the tribunal </w:t>
      </w:r>
      <w:r>
        <w:rPr>
          <w:lang w:val="en-GB"/>
        </w:rPr>
        <w:t xml:space="preserve">referred to the </w:t>
      </w:r>
      <w:r w:rsidRPr="00336C4D">
        <w:rPr>
          <w:lang w:val="en-GB"/>
        </w:rPr>
        <w:t>same principle:</w:t>
      </w:r>
    </w:p>
    <w:p w14:paraId="6B015C1B" w14:textId="77777777" w:rsidR="00B10BDB" w:rsidRPr="00336C4D" w:rsidRDefault="00B10BDB" w:rsidP="00401EE3">
      <w:pPr>
        <w:spacing w:line="276" w:lineRule="auto"/>
        <w:ind w:right="561"/>
        <w:jc w:val="both"/>
        <w:rPr>
          <w:lang w:val="en-GB"/>
        </w:rPr>
      </w:pPr>
    </w:p>
    <w:p w14:paraId="2E377457" w14:textId="4998F3F0" w:rsidR="00B10BDB" w:rsidRPr="00336C4D" w:rsidRDefault="00B10BDB" w:rsidP="00401EE3">
      <w:pPr>
        <w:spacing w:line="276" w:lineRule="auto"/>
        <w:ind w:left="720" w:right="561"/>
        <w:jc w:val="both"/>
        <w:rPr>
          <w:lang w:val="en-GB"/>
        </w:rPr>
      </w:pPr>
      <w:r>
        <w:rPr>
          <w:lang w:val="en-GB"/>
        </w:rPr>
        <w:t>[</w:t>
      </w:r>
      <w:proofErr w:type="spellStart"/>
      <w:r>
        <w:rPr>
          <w:lang w:val="en-GB"/>
        </w:rPr>
        <w:t>i</w:t>
      </w:r>
      <w:proofErr w:type="spellEnd"/>
      <w:r>
        <w:rPr>
          <w:lang w:val="en-GB"/>
        </w:rPr>
        <w:t>]</w:t>
      </w:r>
      <w:r w:rsidRPr="00336C4D">
        <w:rPr>
          <w:lang w:val="en-GB"/>
        </w:rPr>
        <w:t xml:space="preserve">t is superfluous to add that a general principle, universally recognized nowadays in both inter-State relations and international private relations (whether this principle is considered as international public policy, as appertaining to international commercial usages or to </w:t>
      </w:r>
      <w:r w:rsidRPr="00336C4D">
        <w:rPr>
          <w:i/>
          <w:iCs/>
          <w:lang w:val="en-GB"/>
        </w:rPr>
        <w:t>recognized principles of public international law</w:t>
      </w:r>
      <w:r w:rsidRPr="00336C4D">
        <w:rPr>
          <w:lang w:val="en-GB"/>
        </w:rPr>
        <w:t xml:space="preserve"> and the law of international arbitration or </w:t>
      </w:r>
      <w:proofErr w:type="spellStart"/>
      <w:r w:rsidRPr="00336C4D">
        <w:rPr>
          <w:i/>
          <w:iCs/>
          <w:lang w:val="en-GB"/>
        </w:rPr>
        <w:t>lex</w:t>
      </w:r>
      <w:proofErr w:type="spellEnd"/>
      <w:r w:rsidRPr="00336C4D">
        <w:rPr>
          <w:i/>
          <w:iCs/>
          <w:lang w:val="en-GB"/>
        </w:rPr>
        <w:t xml:space="preserve"> </w:t>
      </w:r>
      <w:proofErr w:type="spellStart"/>
      <w:r w:rsidRPr="00336C4D">
        <w:rPr>
          <w:i/>
          <w:iCs/>
          <w:lang w:val="en-GB"/>
        </w:rPr>
        <w:t>mercatoria</w:t>
      </w:r>
      <w:proofErr w:type="spellEnd"/>
      <w:r w:rsidRPr="00336C4D">
        <w:rPr>
          <w:lang w:val="en-GB"/>
        </w:rPr>
        <w:t xml:space="preserve">) would in any case prohibit the Utopian State </w:t>
      </w:r>
      <w:r>
        <w:rPr>
          <w:lang w:val="en-GB"/>
        </w:rPr>
        <w:t xml:space="preserve">[Iran] </w:t>
      </w:r>
      <w:r w:rsidRPr="00336C4D">
        <w:rPr>
          <w:lang w:val="en-GB"/>
        </w:rPr>
        <w:t xml:space="preserve">- even if it had the intention, which is not the case to repudiate the undertaking to arbitrate which it made itself or which a public organization such as ABC </w:t>
      </w:r>
      <w:r>
        <w:rPr>
          <w:lang w:val="en-GB"/>
        </w:rPr>
        <w:t>[</w:t>
      </w:r>
      <w:r w:rsidRPr="003701C6">
        <w:rPr>
          <w:lang w:val="en-GB"/>
        </w:rPr>
        <w:t>Atomic Energy Organization of Iran</w:t>
      </w:r>
      <w:r>
        <w:rPr>
          <w:lang w:val="en-GB"/>
        </w:rPr>
        <w:t xml:space="preserve">] </w:t>
      </w:r>
      <w:r w:rsidRPr="00336C4D">
        <w:rPr>
          <w:lang w:val="en-GB"/>
        </w:rPr>
        <w:t>would have made previously.</w:t>
      </w:r>
      <w:r w:rsidRPr="00336C4D">
        <w:rPr>
          <w:rStyle w:val="FootnoteReference"/>
          <w:lang w:val="en-GB"/>
        </w:rPr>
        <w:footnoteReference w:id="133"/>
      </w:r>
    </w:p>
    <w:p w14:paraId="3895E579" w14:textId="77777777" w:rsidR="00B10BDB" w:rsidRDefault="00B10BDB" w:rsidP="00401EE3">
      <w:pPr>
        <w:widowControl w:val="0"/>
        <w:spacing w:line="276" w:lineRule="auto"/>
        <w:jc w:val="both"/>
        <w:rPr>
          <w:lang w:val="en-GB"/>
        </w:rPr>
      </w:pPr>
    </w:p>
    <w:p w14:paraId="7459F361" w14:textId="3A85262F" w:rsidR="00B10BDB" w:rsidRPr="00336C4D" w:rsidRDefault="00B10BDB" w:rsidP="00401EE3">
      <w:pPr>
        <w:widowControl w:val="0"/>
        <w:spacing w:line="276" w:lineRule="auto"/>
        <w:jc w:val="both"/>
        <w:rPr>
          <w:lang w:val="en-GB"/>
        </w:rPr>
      </w:pPr>
      <w:r w:rsidRPr="00336C4D">
        <w:rPr>
          <w:lang w:val="en-GB"/>
        </w:rPr>
        <w:t>After observing that there is a ‘substantial body of law establishing that a state cannot rely on its own law to renege on an arbitration agreement’,</w:t>
      </w:r>
      <w:r w:rsidRPr="00336C4D">
        <w:rPr>
          <w:rStyle w:val="FootnoteReference"/>
          <w:lang w:val="en-GB"/>
        </w:rPr>
        <w:footnoteReference w:id="134"/>
      </w:r>
      <w:r w:rsidRPr="00336C4D">
        <w:rPr>
          <w:lang w:val="en-GB"/>
        </w:rPr>
        <w:t xml:space="preserve"> a</w:t>
      </w:r>
      <w:r>
        <w:rPr>
          <w:lang w:val="en-GB"/>
        </w:rPr>
        <w:t>nother</w:t>
      </w:r>
      <w:r w:rsidRPr="00336C4D">
        <w:rPr>
          <w:lang w:val="en-GB"/>
        </w:rPr>
        <w:t xml:space="preserve"> tribunal held that same applies to recourse by the State to domestic courts.</w:t>
      </w:r>
      <w:r w:rsidRPr="00336C4D">
        <w:rPr>
          <w:rStyle w:val="FootnoteReference"/>
          <w:lang w:val="en-GB"/>
        </w:rPr>
        <w:footnoteReference w:id="135"/>
      </w:r>
      <w:r w:rsidRPr="00336C4D">
        <w:rPr>
          <w:lang w:val="en-GB"/>
        </w:rPr>
        <w:t xml:space="preserve"> These authorities </w:t>
      </w:r>
      <w:r>
        <w:rPr>
          <w:lang w:val="en-GB"/>
        </w:rPr>
        <w:t>highlight</w:t>
      </w:r>
      <w:r w:rsidRPr="00336C4D">
        <w:rPr>
          <w:lang w:val="en-GB"/>
        </w:rPr>
        <w:t xml:space="preserve"> the idea that a State cannot use its domestic law to circumvent its international obligations.</w:t>
      </w:r>
      <w:r w:rsidRPr="00336C4D">
        <w:rPr>
          <w:rStyle w:val="FootnoteReference"/>
          <w:lang w:val="en-GB"/>
        </w:rPr>
        <w:footnoteReference w:id="136"/>
      </w:r>
      <w:r w:rsidRPr="00336C4D">
        <w:rPr>
          <w:lang w:val="en-GB"/>
        </w:rPr>
        <w:t xml:space="preserve"> </w:t>
      </w:r>
    </w:p>
    <w:p w14:paraId="32C4F742" w14:textId="03A59F30" w:rsidR="00B10BDB" w:rsidRPr="00336C4D" w:rsidRDefault="00B10BDB" w:rsidP="008A4988">
      <w:pPr>
        <w:widowControl w:val="0"/>
        <w:spacing w:line="276" w:lineRule="auto"/>
        <w:jc w:val="both"/>
        <w:rPr>
          <w:lang w:val="en-GB"/>
        </w:rPr>
      </w:pPr>
      <w:r w:rsidRPr="00336C4D">
        <w:rPr>
          <w:lang w:val="en-GB"/>
        </w:rPr>
        <w:tab/>
        <w:t xml:space="preserve">This article argues that </w:t>
      </w:r>
      <w:r>
        <w:rPr>
          <w:lang w:val="en-GB"/>
        </w:rPr>
        <w:t xml:space="preserve">the </w:t>
      </w:r>
      <w:r w:rsidRPr="00336C4D">
        <w:rPr>
          <w:lang w:val="en-GB"/>
        </w:rPr>
        <w:t>same principle appl</w:t>
      </w:r>
      <w:r>
        <w:rPr>
          <w:lang w:val="en-GB"/>
        </w:rPr>
        <w:t>ies</w:t>
      </w:r>
      <w:r w:rsidRPr="00336C4D">
        <w:rPr>
          <w:lang w:val="en-GB"/>
        </w:rPr>
        <w:t xml:space="preserve"> to the issue of the extension of the arbitration agreement </w:t>
      </w:r>
      <w:r>
        <w:rPr>
          <w:lang w:val="en-GB"/>
        </w:rPr>
        <w:t>for precisely</w:t>
      </w:r>
      <w:r w:rsidRPr="00336C4D">
        <w:rPr>
          <w:lang w:val="en-GB"/>
        </w:rPr>
        <w:t xml:space="preserve"> the </w:t>
      </w:r>
      <w:r>
        <w:rPr>
          <w:lang w:val="en-GB"/>
        </w:rPr>
        <w:t xml:space="preserve">same </w:t>
      </w:r>
      <w:r w:rsidR="00EE6700">
        <w:rPr>
          <w:lang w:val="en-GB"/>
        </w:rPr>
        <w:t>reasons</w:t>
      </w:r>
      <w:r w:rsidRPr="00336C4D">
        <w:rPr>
          <w:lang w:val="en-GB"/>
        </w:rPr>
        <w:t xml:space="preserve"> (preventing denial of justice). In </w:t>
      </w:r>
      <w:r w:rsidRPr="00C25B0A">
        <w:rPr>
          <w:i/>
          <w:iCs/>
          <w:lang w:val="en-GB"/>
        </w:rPr>
        <w:t xml:space="preserve">Niko Resources v </w:t>
      </w:r>
      <w:proofErr w:type="spellStart"/>
      <w:r w:rsidRPr="00C25B0A">
        <w:rPr>
          <w:i/>
          <w:iCs/>
          <w:lang w:val="en-GB"/>
        </w:rPr>
        <w:t>Bapex</w:t>
      </w:r>
      <w:proofErr w:type="spellEnd"/>
      <w:r w:rsidRPr="00C25B0A">
        <w:rPr>
          <w:i/>
          <w:iCs/>
          <w:lang w:val="en-GB"/>
        </w:rPr>
        <w:t xml:space="preserve"> and </w:t>
      </w:r>
      <w:proofErr w:type="spellStart"/>
      <w:r w:rsidRPr="00C25B0A">
        <w:rPr>
          <w:i/>
          <w:iCs/>
          <w:lang w:val="en-GB"/>
        </w:rPr>
        <w:t>Petrobangla</w:t>
      </w:r>
      <w:proofErr w:type="spellEnd"/>
      <w:r w:rsidRPr="00C25B0A">
        <w:rPr>
          <w:i/>
          <w:iCs/>
          <w:lang w:val="en-GB"/>
        </w:rPr>
        <w:t xml:space="preserve"> </w:t>
      </w:r>
      <w:r w:rsidRPr="0062005D">
        <w:rPr>
          <w:lang w:val="en-GB"/>
        </w:rPr>
        <w:t>the tribunal</w:t>
      </w:r>
      <w:r>
        <w:rPr>
          <w:lang w:val="en-GB"/>
        </w:rPr>
        <w:t xml:space="preserve"> </w:t>
      </w:r>
      <w:r>
        <w:rPr>
          <w:lang w:val="en-US"/>
        </w:rPr>
        <w:t>made clear</w:t>
      </w:r>
      <w:r w:rsidRPr="00336C4D">
        <w:rPr>
          <w:lang w:val="en-GB"/>
        </w:rPr>
        <w:t xml:space="preserve"> that ‘abuse of </w:t>
      </w:r>
      <w:proofErr w:type="spellStart"/>
      <w:r w:rsidRPr="00336C4D">
        <w:rPr>
          <w:lang w:val="en-GB"/>
        </w:rPr>
        <w:t>th</w:t>
      </w:r>
      <w:proofErr w:type="spellEnd"/>
      <w:r w:rsidRPr="00336C4D">
        <w:rPr>
          <w:lang w:val="en-GB"/>
        </w:rPr>
        <w:t>[e] corporate structure</w:t>
      </w:r>
      <w:r>
        <w:rPr>
          <w:lang w:val="en-GB"/>
        </w:rPr>
        <w:t>’ could</w:t>
      </w:r>
      <w:r w:rsidRPr="00336C4D">
        <w:rPr>
          <w:lang w:val="en-GB"/>
        </w:rPr>
        <w:t xml:space="preserve"> </w:t>
      </w:r>
      <w:r>
        <w:rPr>
          <w:lang w:val="en-GB"/>
        </w:rPr>
        <w:t xml:space="preserve">justify </w:t>
      </w:r>
      <w:r>
        <w:rPr>
          <w:lang w:val="en-US"/>
        </w:rPr>
        <w:t>deviation from the principle of privity of contract</w:t>
      </w:r>
      <w:r w:rsidRPr="00336C4D">
        <w:rPr>
          <w:lang w:val="en-GB"/>
        </w:rPr>
        <w:t>.</w:t>
      </w:r>
      <w:r w:rsidRPr="00336C4D">
        <w:rPr>
          <w:rStyle w:val="FootnoteReference"/>
          <w:lang w:val="en-GB"/>
        </w:rPr>
        <w:footnoteReference w:id="137"/>
      </w:r>
      <w:r w:rsidRPr="00336C4D">
        <w:rPr>
          <w:b/>
          <w:bCs/>
          <w:lang w:val="en-GB"/>
        </w:rPr>
        <w:t xml:space="preserve"> </w:t>
      </w:r>
      <w:r w:rsidRPr="00336C4D">
        <w:rPr>
          <w:lang w:val="en-GB"/>
        </w:rPr>
        <w:t>The ICJ also emphasised that ‘the process of lifting the veil, being an exceptional one admitted by municipal law in respect of an institution of its own making, is equally admissible to play a similar role in international law’.</w:t>
      </w:r>
      <w:r w:rsidRPr="00336C4D">
        <w:rPr>
          <w:rStyle w:val="FootnoteReference"/>
          <w:lang w:val="en-GB"/>
        </w:rPr>
        <w:footnoteReference w:id="138"/>
      </w:r>
      <w:r w:rsidRPr="00336C4D">
        <w:rPr>
          <w:lang w:val="en-GB"/>
        </w:rPr>
        <w:t xml:space="preserve"> If the State abuses the separate legal personality of its entities, but the applicable </w:t>
      </w:r>
      <w:r w:rsidRPr="00336C4D">
        <w:rPr>
          <w:i/>
          <w:iCs/>
          <w:lang w:val="en-GB"/>
        </w:rPr>
        <w:t xml:space="preserve">domestic </w:t>
      </w:r>
      <w:r w:rsidRPr="00336C4D">
        <w:rPr>
          <w:lang w:val="en-GB"/>
        </w:rPr>
        <w:t xml:space="preserve">law does not provide for the possibility of extending the arbitration agreement to non-signatories, international law could be used as the basis for such extension. In </w:t>
      </w:r>
      <w:r w:rsidRPr="00336C4D">
        <w:rPr>
          <w:i/>
          <w:iCs/>
          <w:lang w:val="en-GB"/>
        </w:rPr>
        <w:t xml:space="preserve">First National City Bank v </w:t>
      </w:r>
      <w:proofErr w:type="spellStart"/>
      <w:r w:rsidRPr="00336C4D">
        <w:rPr>
          <w:i/>
          <w:iCs/>
          <w:lang w:val="en-GB"/>
        </w:rPr>
        <w:t>Bancec</w:t>
      </w:r>
      <w:proofErr w:type="spellEnd"/>
      <w:r w:rsidRPr="00336C4D">
        <w:rPr>
          <w:lang w:val="en-GB"/>
        </w:rPr>
        <w:t xml:space="preserve"> the US Supreme Court disregarded the separate legal personality of a Cuban State entity applying both international law and common law:</w:t>
      </w:r>
    </w:p>
    <w:p w14:paraId="49201932" w14:textId="77777777" w:rsidR="00B10BDB" w:rsidRPr="00336C4D" w:rsidRDefault="00B10BDB" w:rsidP="006226EE">
      <w:pPr>
        <w:widowControl w:val="0"/>
        <w:spacing w:line="276" w:lineRule="auto"/>
        <w:ind w:right="-6"/>
        <w:jc w:val="both"/>
        <w:rPr>
          <w:lang w:val="en-GB"/>
        </w:rPr>
      </w:pPr>
    </w:p>
    <w:p w14:paraId="2FD08058" w14:textId="1E64F473" w:rsidR="00B10BDB" w:rsidRPr="00336C4D" w:rsidRDefault="00B10BDB" w:rsidP="006226EE">
      <w:pPr>
        <w:widowControl w:val="0"/>
        <w:spacing w:line="276" w:lineRule="auto"/>
        <w:ind w:left="720" w:right="419"/>
        <w:jc w:val="both"/>
        <w:rPr>
          <w:lang w:val="en-GB"/>
        </w:rPr>
      </w:pPr>
      <w:r>
        <w:rPr>
          <w:lang w:val="en-GB"/>
        </w:rPr>
        <w:t>[t]</w:t>
      </w:r>
      <w:r w:rsidRPr="00336C4D">
        <w:rPr>
          <w:lang w:val="en-GB"/>
        </w:rPr>
        <w:t xml:space="preserve">o </w:t>
      </w:r>
      <w:proofErr w:type="gramStart"/>
      <w:r w:rsidRPr="00336C4D">
        <w:rPr>
          <w:lang w:val="en-GB"/>
        </w:rPr>
        <w:t>give</w:t>
      </w:r>
      <w:proofErr w:type="gramEnd"/>
      <w:r w:rsidRPr="00336C4D">
        <w:rPr>
          <w:lang w:val="en-GB"/>
        </w:rPr>
        <w:t xml:space="preserve"> conclusive effect to the law of the chartering state in determining whether the separate juridical status of its instrumentality should be respected would permit the state to violate with impunity the rights of third parties under international law </w:t>
      </w:r>
      <w:r w:rsidRPr="00336C4D">
        <w:rPr>
          <w:lang w:val="en-GB"/>
        </w:rPr>
        <w:lastRenderedPageBreak/>
        <w:t>while effectively insulating itself from liability in foreign courts. We decline to permit such a result.</w:t>
      </w:r>
      <w:r w:rsidRPr="00336C4D">
        <w:rPr>
          <w:rStyle w:val="FootnoteReference"/>
          <w:lang w:val="en-GB"/>
        </w:rPr>
        <w:footnoteReference w:id="139"/>
      </w:r>
      <w:r w:rsidRPr="00336C4D">
        <w:rPr>
          <w:lang w:val="en-GB"/>
        </w:rPr>
        <w:t xml:space="preserve"> </w:t>
      </w:r>
    </w:p>
    <w:p w14:paraId="6A5ECA43" w14:textId="00551423" w:rsidR="00B10BDB" w:rsidRDefault="00B10BDB" w:rsidP="0044333E">
      <w:pPr>
        <w:widowControl w:val="0"/>
        <w:spacing w:line="276" w:lineRule="auto"/>
        <w:jc w:val="both"/>
        <w:rPr>
          <w:lang w:val="en-GB"/>
        </w:rPr>
      </w:pPr>
    </w:p>
    <w:p w14:paraId="5971BF38" w14:textId="41A1F138" w:rsidR="00B10BDB" w:rsidRDefault="00B10BDB" w:rsidP="000F30E0">
      <w:pPr>
        <w:widowControl w:val="0"/>
        <w:spacing w:line="276" w:lineRule="auto"/>
        <w:jc w:val="both"/>
        <w:rPr>
          <w:lang w:val="en-GB"/>
        </w:rPr>
      </w:pPr>
      <w:r>
        <w:rPr>
          <w:lang w:val="en-GB"/>
        </w:rPr>
        <w:t>The Court emphasised that ‘[h]</w:t>
      </w:r>
      <w:proofErr w:type="spellStart"/>
      <w:r w:rsidRPr="0044333E">
        <w:rPr>
          <w:lang w:val="en-GB"/>
        </w:rPr>
        <w:t>aving</w:t>
      </w:r>
      <w:proofErr w:type="spellEnd"/>
      <w:r w:rsidRPr="0044333E">
        <w:rPr>
          <w:lang w:val="en-GB"/>
        </w:rPr>
        <w:t xml:space="preserve"> dissolved </w:t>
      </w:r>
      <w:proofErr w:type="spellStart"/>
      <w:r w:rsidRPr="0044333E">
        <w:rPr>
          <w:lang w:val="en-GB"/>
        </w:rPr>
        <w:t>Bancec</w:t>
      </w:r>
      <w:proofErr w:type="spellEnd"/>
      <w:r w:rsidRPr="0044333E">
        <w:rPr>
          <w:lang w:val="en-GB"/>
        </w:rPr>
        <w:t xml:space="preserve"> and transferred its assets to entities that may be held liable on Citibank’s counterclaim, Cuba cannot escape liability for acts in violation of international law simply by retransferring the assets to separate juridical entities. To hold otherwise would permit governments to avoid the requirements of international law simply by creating juridical entities whenever the need arises</w:t>
      </w:r>
      <w:r>
        <w:rPr>
          <w:lang w:val="en-GB"/>
        </w:rPr>
        <w:t>’.</w:t>
      </w:r>
      <w:r>
        <w:rPr>
          <w:rStyle w:val="FootnoteReference"/>
          <w:lang w:val="en-GB"/>
        </w:rPr>
        <w:footnoteReference w:id="140"/>
      </w:r>
      <w:r>
        <w:rPr>
          <w:lang w:val="en-GB"/>
        </w:rPr>
        <w:t xml:space="preserve"> If the concept of ‘abuse’ of separate legal personality is one way of holding State accountable by submitting them to the jurisdiction of arbitration tribunals, estoppel is another. </w:t>
      </w:r>
      <w:r w:rsidRPr="00CA6062">
        <w:rPr>
          <w:lang w:val="en-GB"/>
        </w:rPr>
        <w:t xml:space="preserve">Professor </w:t>
      </w:r>
      <w:proofErr w:type="spellStart"/>
      <w:r w:rsidRPr="00CA6062">
        <w:rPr>
          <w:lang w:val="en-GB"/>
        </w:rPr>
        <w:t>Hanotiau</w:t>
      </w:r>
      <w:proofErr w:type="spellEnd"/>
      <w:r w:rsidRPr="00CA6062">
        <w:rPr>
          <w:lang w:val="en-GB"/>
        </w:rPr>
        <w:t xml:space="preserve"> </w:t>
      </w:r>
      <w:r>
        <w:rPr>
          <w:lang w:val="en-GB"/>
        </w:rPr>
        <w:t xml:space="preserve">observes that ‘estoppel is regarded today as a general principle of international law’ and his reservations about the principle’s general applicability ‘in continental Europe’ concern ‘international commercial arbitration </w:t>
      </w:r>
      <w:r w:rsidRPr="00CA6062">
        <w:rPr>
          <w:i/>
          <w:iCs/>
          <w:lang w:val="en-GB"/>
        </w:rPr>
        <w:t>between private parties</w:t>
      </w:r>
      <w:r>
        <w:rPr>
          <w:lang w:val="en-GB"/>
        </w:rPr>
        <w:t>’.</w:t>
      </w:r>
      <w:r>
        <w:rPr>
          <w:rStyle w:val="FootnoteReference"/>
          <w:lang w:val="en-GB"/>
        </w:rPr>
        <w:footnoteReference w:id="141"/>
      </w:r>
      <w:r>
        <w:rPr>
          <w:lang w:val="en-GB"/>
        </w:rPr>
        <w:t xml:space="preserve"> For example, in the second </w:t>
      </w:r>
      <w:proofErr w:type="spellStart"/>
      <w:r w:rsidRPr="00FD671E">
        <w:rPr>
          <w:i/>
          <w:iCs/>
          <w:lang w:val="en-GB"/>
        </w:rPr>
        <w:t>Bridas</w:t>
      </w:r>
      <w:proofErr w:type="spellEnd"/>
      <w:r>
        <w:rPr>
          <w:lang w:val="en-GB"/>
        </w:rPr>
        <w:t xml:space="preserve"> case before the US Court of Appeals (which was decided on the basis of US law), the fact that ‘t</w:t>
      </w:r>
      <w:r w:rsidRPr="00FD671E">
        <w:rPr>
          <w:lang w:val="en-GB"/>
        </w:rPr>
        <w:t xml:space="preserve">he Government then exercised its power as a parent entity to deprive </w:t>
      </w:r>
      <w:proofErr w:type="spellStart"/>
      <w:r w:rsidRPr="00FD671E">
        <w:rPr>
          <w:lang w:val="en-GB"/>
        </w:rPr>
        <w:t>Bridas</w:t>
      </w:r>
      <w:proofErr w:type="spellEnd"/>
      <w:r w:rsidRPr="00FD671E">
        <w:rPr>
          <w:lang w:val="en-GB"/>
        </w:rPr>
        <w:t xml:space="preserve"> of a contractual remedy</w:t>
      </w:r>
      <w:r>
        <w:rPr>
          <w:lang w:val="en-GB"/>
        </w:rPr>
        <w:t>’, in other words</w:t>
      </w:r>
      <w:r w:rsidRPr="00FD671E">
        <w:rPr>
          <w:lang w:val="en-GB"/>
        </w:rPr>
        <w:t xml:space="preserve"> </w:t>
      </w:r>
      <w:r>
        <w:rPr>
          <w:lang w:val="en-GB"/>
        </w:rPr>
        <w:t>‘[</w:t>
      </w:r>
      <w:proofErr w:type="spellStart"/>
      <w:r>
        <w:rPr>
          <w:lang w:val="en-GB"/>
        </w:rPr>
        <w:t>i</w:t>
      </w:r>
      <w:proofErr w:type="spellEnd"/>
      <w:r>
        <w:rPr>
          <w:lang w:val="en-GB"/>
        </w:rPr>
        <w:t>]</w:t>
      </w:r>
      <w:proofErr w:type="spellStart"/>
      <w:r w:rsidRPr="00FD671E">
        <w:rPr>
          <w:lang w:val="en-GB"/>
        </w:rPr>
        <w:t>ntentionally</w:t>
      </w:r>
      <w:proofErr w:type="spellEnd"/>
      <w:r w:rsidRPr="00FD671E">
        <w:rPr>
          <w:lang w:val="en-GB"/>
        </w:rPr>
        <w:t xml:space="preserve"> bleeding a subsidiary</w:t>
      </w:r>
      <w:r>
        <w:rPr>
          <w:lang w:val="en-GB"/>
        </w:rPr>
        <w:t>’, was found to constitute a valid ground for piercing the corporate veil and extending the arbitration agreement to Turkmenistan.</w:t>
      </w:r>
      <w:r>
        <w:rPr>
          <w:rStyle w:val="FootnoteReference"/>
          <w:lang w:val="en-GB"/>
        </w:rPr>
        <w:footnoteReference w:id="142"/>
      </w:r>
      <w:r>
        <w:rPr>
          <w:lang w:val="en-GB"/>
        </w:rPr>
        <w:t xml:space="preserve"> Examining the relevant practice of different international courts and tribunals, Wass concludes that</w:t>
      </w:r>
    </w:p>
    <w:p w14:paraId="4E9656A4" w14:textId="6E946B3A" w:rsidR="00B10BDB" w:rsidRPr="007534D0" w:rsidRDefault="00B10BDB" w:rsidP="007534D0">
      <w:pPr>
        <w:widowControl w:val="0"/>
        <w:spacing w:line="276" w:lineRule="auto"/>
        <w:jc w:val="both"/>
        <w:rPr>
          <w:lang w:val="en-GB"/>
        </w:rPr>
      </w:pPr>
      <w:r>
        <w:rPr>
          <w:lang w:val="en-GB"/>
        </w:rPr>
        <w:t xml:space="preserve"> </w:t>
      </w:r>
    </w:p>
    <w:p w14:paraId="0ECD8EB5" w14:textId="3098835A" w:rsidR="00B10BDB" w:rsidRPr="00355625" w:rsidRDefault="00B10BDB" w:rsidP="00F50934">
      <w:pPr>
        <w:widowControl w:val="0"/>
        <w:tabs>
          <w:tab w:val="left" w:pos="2345"/>
        </w:tabs>
        <w:spacing w:line="276" w:lineRule="auto"/>
        <w:ind w:left="720" w:right="419"/>
        <w:jc w:val="both"/>
        <w:rPr>
          <w:lang w:val="el-GR"/>
        </w:rPr>
      </w:pPr>
      <w:r>
        <w:rPr>
          <w:lang w:val="en-GB"/>
        </w:rPr>
        <w:t>[t]</w:t>
      </w:r>
      <w:r w:rsidRPr="000F30E0">
        <w:rPr>
          <w:lang w:val="en-GB"/>
        </w:rPr>
        <w:t>he principles of estoppel and acquiescence are powerful weapons in the hands of an international tribunal. They should not be misused, but I have sought to demonstrate that they have a valuable role to play in the context of jurisdiction: in mediating the relationships between states; in preventing them from abusing their sovereign freedom at the expense of other actors; and in promoting the adjudication of disputes in good faith. Precedent, practice and policy all suggest that the consensual nature of international adjudication does not preclude the application of estoppel or acquiescence to questions of jurisdiction, but the important values at stake require that the court or tribunal take a careful and rigorous approach.</w:t>
      </w:r>
      <w:r>
        <w:rPr>
          <w:rStyle w:val="FootnoteReference"/>
          <w:lang w:val="en-GB"/>
        </w:rPr>
        <w:footnoteReference w:id="143"/>
      </w:r>
    </w:p>
    <w:p w14:paraId="7EDC4ADE" w14:textId="39D5BFCD" w:rsidR="00CD2A0B" w:rsidRPr="00336C4D" w:rsidRDefault="00B25974" w:rsidP="000476F9">
      <w:pPr>
        <w:pStyle w:val="Heading1"/>
        <w:keepNext w:val="0"/>
        <w:keepLines w:val="0"/>
        <w:widowControl w:val="0"/>
        <w:spacing w:line="276" w:lineRule="auto"/>
        <w:rPr>
          <w:rFonts w:ascii="Times New Roman" w:hAnsi="Times New Roman" w:cs="Times New Roman"/>
          <w:szCs w:val="24"/>
          <w:lang w:val="en-GB"/>
        </w:rPr>
      </w:pPr>
      <w:bookmarkStart w:id="5" w:name="_Toc63442256"/>
      <w:r w:rsidRPr="00336C4D">
        <w:rPr>
          <w:rFonts w:ascii="Times New Roman" w:hAnsi="Times New Roman" w:cs="Times New Roman"/>
          <w:szCs w:val="24"/>
          <w:lang w:val="en-GB"/>
        </w:rPr>
        <w:t>V.</w:t>
      </w:r>
      <w:r w:rsidRPr="00336C4D">
        <w:rPr>
          <w:rFonts w:ascii="Times New Roman" w:hAnsi="Times New Roman" w:cs="Times New Roman"/>
          <w:szCs w:val="24"/>
          <w:lang w:val="en-GB"/>
        </w:rPr>
        <w:tab/>
      </w:r>
      <w:r w:rsidR="00CD2A0B" w:rsidRPr="00336C4D">
        <w:rPr>
          <w:rFonts w:ascii="Times New Roman" w:hAnsi="Times New Roman" w:cs="Times New Roman"/>
          <w:szCs w:val="24"/>
          <w:lang w:val="en-GB"/>
        </w:rPr>
        <w:t>CONCLUSION</w:t>
      </w:r>
      <w:bookmarkEnd w:id="5"/>
      <w:r w:rsidR="005206D6">
        <w:rPr>
          <w:rFonts w:ascii="Times New Roman" w:hAnsi="Times New Roman" w:cs="Times New Roman"/>
          <w:szCs w:val="24"/>
          <w:lang w:val="en-GB"/>
        </w:rPr>
        <w:t>S</w:t>
      </w:r>
    </w:p>
    <w:p w14:paraId="64311491" w14:textId="77777777" w:rsidR="00CD2A0B" w:rsidRPr="00336C4D" w:rsidRDefault="00CD2A0B" w:rsidP="000476F9">
      <w:pPr>
        <w:spacing w:line="276" w:lineRule="auto"/>
        <w:rPr>
          <w:lang w:val="en-GB"/>
        </w:rPr>
      </w:pPr>
    </w:p>
    <w:p w14:paraId="05D64F46" w14:textId="01651E04" w:rsidR="00D251BD" w:rsidRPr="00336C4D" w:rsidRDefault="00B55582" w:rsidP="000476F9">
      <w:pPr>
        <w:widowControl w:val="0"/>
        <w:tabs>
          <w:tab w:val="left" w:pos="2345"/>
        </w:tabs>
        <w:spacing w:line="276" w:lineRule="auto"/>
        <w:jc w:val="both"/>
        <w:rPr>
          <w:lang w:val="en-GB"/>
        </w:rPr>
      </w:pPr>
      <w:r>
        <w:rPr>
          <w:lang w:val="en-GB"/>
        </w:rPr>
        <w:t>The analysis of the law</w:t>
      </w:r>
      <w:r w:rsidR="00F06781">
        <w:rPr>
          <w:lang w:val="en-GB"/>
        </w:rPr>
        <w:t>(</w:t>
      </w:r>
      <w:r>
        <w:rPr>
          <w:lang w:val="en-GB"/>
        </w:rPr>
        <w:t>s</w:t>
      </w:r>
      <w:r w:rsidR="00F06781">
        <w:rPr>
          <w:lang w:val="en-GB"/>
        </w:rPr>
        <w:t>)</w:t>
      </w:r>
      <w:r>
        <w:rPr>
          <w:lang w:val="en-GB"/>
        </w:rPr>
        <w:t xml:space="preserve"> applicable</w:t>
      </w:r>
      <w:r w:rsidR="00A73D78">
        <w:rPr>
          <w:lang w:val="en-GB"/>
        </w:rPr>
        <w:t xml:space="preserve"> to the</w:t>
      </w:r>
      <w:r>
        <w:rPr>
          <w:lang w:val="en-GB"/>
        </w:rPr>
        <w:t xml:space="preserve"> </w:t>
      </w:r>
      <w:r w:rsidR="00A73D78">
        <w:rPr>
          <w:lang w:val="en-GB"/>
        </w:rPr>
        <w:t xml:space="preserve">extension arbitration agreements contained in investment contracts with States or State entities to non-signatories </w:t>
      </w:r>
      <w:r>
        <w:rPr>
          <w:lang w:val="en-GB"/>
        </w:rPr>
        <w:t xml:space="preserve">(most likely the law of the contract, law of the seat, or transnational law) demonstrated that public international law </w:t>
      </w:r>
      <w:r w:rsidR="00F06781">
        <w:rPr>
          <w:lang w:val="en-GB"/>
        </w:rPr>
        <w:lastRenderedPageBreak/>
        <w:t>constitutes</w:t>
      </w:r>
      <w:r>
        <w:rPr>
          <w:lang w:val="en-GB"/>
        </w:rPr>
        <w:t xml:space="preserve"> </w:t>
      </w:r>
      <w:r w:rsidR="0062005D">
        <w:rPr>
          <w:lang w:val="en-GB"/>
        </w:rPr>
        <w:t xml:space="preserve">an integral </w:t>
      </w:r>
      <w:r>
        <w:rPr>
          <w:lang w:val="en-GB"/>
        </w:rPr>
        <w:t xml:space="preserve">part of </w:t>
      </w:r>
      <w:r w:rsidR="0062005D">
        <w:rPr>
          <w:lang w:val="en-GB"/>
        </w:rPr>
        <w:t>the applicable legal matrix</w:t>
      </w:r>
      <w:r>
        <w:rPr>
          <w:lang w:val="en-GB"/>
        </w:rPr>
        <w:t xml:space="preserve">. Like many domestic laws, public international law recognises </w:t>
      </w:r>
      <w:r w:rsidR="0062005D">
        <w:rPr>
          <w:lang w:val="en-GB"/>
        </w:rPr>
        <w:t>that</w:t>
      </w:r>
      <w:r>
        <w:rPr>
          <w:lang w:val="en-GB"/>
        </w:rPr>
        <w:t xml:space="preserve"> arbitration agreements </w:t>
      </w:r>
      <w:r w:rsidR="0062005D">
        <w:rPr>
          <w:lang w:val="en-GB"/>
        </w:rPr>
        <w:t xml:space="preserve">can be extended to non-signatories </w:t>
      </w:r>
      <w:r>
        <w:rPr>
          <w:lang w:val="en-GB"/>
        </w:rPr>
        <w:t>on the basis of implied consent or abuse of separate legal personality and estoppel. This is practically significant, as foreign investors can rely on public international law to extend arbitration agreement</w:t>
      </w:r>
      <w:r w:rsidR="00A91B42">
        <w:rPr>
          <w:lang w:val="en-US"/>
        </w:rPr>
        <w:t>s</w:t>
      </w:r>
      <w:r>
        <w:rPr>
          <w:lang w:val="en-GB"/>
        </w:rPr>
        <w:t xml:space="preserve"> to non-signatories in arbitrations under investment contract</w:t>
      </w:r>
      <w:r w:rsidR="00A91B42">
        <w:rPr>
          <w:lang w:val="en-GB"/>
        </w:rPr>
        <w:t>s</w:t>
      </w:r>
      <w:r>
        <w:rPr>
          <w:lang w:val="en-GB"/>
        </w:rPr>
        <w:t xml:space="preserve"> concluded by States or State entities, even if the relevant domestic law is agnostic or hostile to the idea of extension. After all, </w:t>
      </w:r>
      <w:r w:rsidR="00A73D78">
        <w:rPr>
          <w:lang w:val="en-GB"/>
        </w:rPr>
        <w:t>if</w:t>
      </w:r>
      <w:r>
        <w:rPr>
          <w:lang w:val="en-GB"/>
        </w:rPr>
        <w:t xml:space="preserve"> public international law </w:t>
      </w:r>
      <w:r w:rsidR="0062005D">
        <w:rPr>
          <w:lang w:val="en-GB"/>
        </w:rPr>
        <w:t>applies</w:t>
      </w:r>
      <w:r>
        <w:rPr>
          <w:lang w:val="en-GB"/>
        </w:rPr>
        <w:t xml:space="preserve"> </w:t>
      </w:r>
      <w:r w:rsidR="00D12AE4">
        <w:rPr>
          <w:lang w:val="en-US"/>
        </w:rPr>
        <w:t>to</w:t>
      </w:r>
      <w:r>
        <w:rPr>
          <w:lang w:val="en-GB"/>
        </w:rPr>
        <w:t xml:space="preserve"> State contracts to enhance the substantive protection of foreign investors</w:t>
      </w:r>
      <w:r w:rsidR="00A73D78">
        <w:rPr>
          <w:lang w:val="en-GB"/>
        </w:rPr>
        <w:t xml:space="preserve"> as well as </w:t>
      </w:r>
      <w:r>
        <w:rPr>
          <w:lang w:val="en-GB"/>
        </w:rPr>
        <w:t>access to arbitration</w:t>
      </w:r>
      <w:r w:rsidR="00A73D78">
        <w:rPr>
          <w:lang w:val="en-GB"/>
        </w:rPr>
        <w:t>, there is no reason to exclude from its protective scope the issue of the extension of the arbitration agreement to non-signatories</w:t>
      </w:r>
      <w:r>
        <w:rPr>
          <w:lang w:val="en-GB"/>
        </w:rPr>
        <w:t>.</w:t>
      </w:r>
    </w:p>
    <w:p w14:paraId="2F64337B" w14:textId="6BCB3CF0" w:rsidR="00643D22" w:rsidRPr="00336C4D" w:rsidRDefault="00643D22" w:rsidP="000476F9">
      <w:pPr>
        <w:tabs>
          <w:tab w:val="left" w:pos="2345"/>
        </w:tabs>
        <w:spacing w:line="276" w:lineRule="auto"/>
        <w:jc w:val="both"/>
        <w:rPr>
          <w:lang w:val="en-GB"/>
        </w:rPr>
      </w:pPr>
    </w:p>
    <w:sectPr w:rsidR="00643D22" w:rsidRPr="00336C4D" w:rsidSect="00381A39">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61536" w14:textId="77777777" w:rsidR="00602D59" w:rsidRDefault="00602D59" w:rsidP="0011272E">
      <w:r>
        <w:separator/>
      </w:r>
    </w:p>
  </w:endnote>
  <w:endnote w:type="continuationSeparator" w:id="0">
    <w:p w14:paraId="0BD7B973" w14:textId="77777777" w:rsidR="00602D59" w:rsidRDefault="00602D59" w:rsidP="0011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4848752"/>
      <w:docPartObj>
        <w:docPartGallery w:val="Page Numbers (Bottom of Page)"/>
        <w:docPartUnique/>
      </w:docPartObj>
    </w:sdtPr>
    <w:sdtEndPr>
      <w:rPr>
        <w:rStyle w:val="PageNumber"/>
      </w:rPr>
    </w:sdtEndPr>
    <w:sdtContent>
      <w:p w14:paraId="0C824C6E" w14:textId="04C1BAD8" w:rsidR="00AF1F73" w:rsidRDefault="00AF1F73" w:rsidP="007942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ADD99E" w14:textId="77777777" w:rsidR="00AF1F73" w:rsidRDefault="00AF1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0827895"/>
      <w:docPartObj>
        <w:docPartGallery w:val="Page Numbers (Bottom of Page)"/>
        <w:docPartUnique/>
      </w:docPartObj>
    </w:sdtPr>
    <w:sdtEndPr>
      <w:rPr>
        <w:rStyle w:val="PageNumber"/>
      </w:rPr>
    </w:sdtEndPr>
    <w:sdtContent>
      <w:p w14:paraId="29B35792" w14:textId="581BED99" w:rsidR="00AF1F73" w:rsidRDefault="00AF1F73" w:rsidP="007942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4810A5" w14:textId="77777777" w:rsidR="00AF1F73" w:rsidRDefault="00AF1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44457" w14:textId="77777777" w:rsidR="00602D59" w:rsidRDefault="00602D59" w:rsidP="0011272E">
      <w:r>
        <w:separator/>
      </w:r>
    </w:p>
  </w:footnote>
  <w:footnote w:type="continuationSeparator" w:id="0">
    <w:p w14:paraId="6DAA60B8" w14:textId="77777777" w:rsidR="00602D59" w:rsidRDefault="00602D59" w:rsidP="0011272E">
      <w:r>
        <w:continuationSeparator/>
      </w:r>
    </w:p>
  </w:footnote>
  <w:footnote w:id="1">
    <w:p w14:paraId="58427CCC" w14:textId="7BEBF856" w:rsidR="00B10BDB" w:rsidRPr="00F04307" w:rsidRDefault="00B10BDB" w:rsidP="00D12AE4">
      <w:pPr>
        <w:pStyle w:val="FootnoteText"/>
        <w:jc w:val="both"/>
        <w:rPr>
          <w:sz w:val="20"/>
          <w:lang w:val="en-GB"/>
        </w:rPr>
      </w:pPr>
      <w:r w:rsidRPr="00F04307">
        <w:rPr>
          <w:rStyle w:val="FootnoteReference"/>
          <w:sz w:val="20"/>
          <w:lang w:val="en-GB"/>
        </w:rPr>
        <w:footnoteRef/>
      </w:r>
      <w:r w:rsidRPr="00F04307">
        <w:rPr>
          <w:sz w:val="20"/>
          <w:lang w:val="en-GB"/>
        </w:rPr>
        <w:t xml:space="preserve"> See e.g. G </w:t>
      </w:r>
      <w:proofErr w:type="spellStart"/>
      <w:r w:rsidRPr="00F04307">
        <w:rPr>
          <w:sz w:val="20"/>
          <w:lang w:val="en-GB"/>
        </w:rPr>
        <w:t>Petrochilos</w:t>
      </w:r>
      <w:proofErr w:type="spellEnd"/>
      <w:r w:rsidRPr="00F04307">
        <w:rPr>
          <w:sz w:val="20"/>
          <w:lang w:val="en-GB"/>
        </w:rPr>
        <w:t xml:space="preserve">, ‘Extension of the Arbitration Clause to Non-Signatory States or State Entities: Does It Raise a Difference?’ in B </w:t>
      </w:r>
      <w:proofErr w:type="spellStart"/>
      <w:r w:rsidRPr="00F04307">
        <w:rPr>
          <w:sz w:val="20"/>
          <w:lang w:val="en-GB"/>
        </w:rPr>
        <w:t>Hanotiau</w:t>
      </w:r>
      <w:proofErr w:type="spellEnd"/>
      <w:r w:rsidRPr="00F04307">
        <w:rPr>
          <w:sz w:val="20"/>
          <w:lang w:val="en-GB"/>
        </w:rPr>
        <w:t xml:space="preserve"> and E Schwartz (eds), </w:t>
      </w:r>
      <w:r w:rsidRPr="00F04307">
        <w:rPr>
          <w:i/>
          <w:iCs/>
          <w:sz w:val="20"/>
          <w:lang w:val="en-GB"/>
        </w:rPr>
        <w:t>Multiparty Arbitration</w:t>
      </w:r>
      <w:r w:rsidRPr="00F04307">
        <w:rPr>
          <w:sz w:val="20"/>
          <w:lang w:val="en-GB"/>
        </w:rPr>
        <w:t xml:space="preserve"> (Wolters Kluwer, Law and Business, International, ICC, 2010 The Alphen </w:t>
      </w:r>
      <w:proofErr w:type="spellStart"/>
      <w:r w:rsidRPr="00F04307">
        <w:rPr>
          <w:sz w:val="20"/>
          <w:lang w:val="en-GB"/>
        </w:rPr>
        <w:t>aan</w:t>
      </w:r>
      <w:proofErr w:type="spellEnd"/>
      <w:r w:rsidRPr="00F04307">
        <w:rPr>
          <w:sz w:val="20"/>
          <w:lang w:val="en-GB"/>
        </w:rPr>
        <w:t xml:space="preserve"> den Rijn) 119-130.</w:t>
      </w:r>
      <w:r>
        <w:rPr>
          <w:sz w:val="20"/>
          <w:lang w:val="en-GB"/>
        </w:rPr>
        <w:t xml:space="preserve"> </w:t>
      </w:r>
      <w:proofErr w:type="spellStart"/>
      <w:r>
        <w:rPr>
          <w:sz w:val="20"/>
          <w:lang w:val="en-GB"/>
        </w:rPr>
        <w:t>Cf</w:t>
      </w:r>
      <w:proofErr w:type="spellEnd"/>
      <w:r>
        <w:rPr>
          <w:sz w:val="20"/>
          <w:lang w:val="en-GB"/>
        </w:rPr>
        <w:t xml:space="preserve"> J </w:t>
      </w:r>
      <w:proofErr w:type="spellStart"/>
      <w:r>
        <w:rPr>
          <w:sz w:val="20"/>
          <w:lang w:val="en-GB"/>
        </w:rPr>
        <w:t>Stoehr</w:t>
      </w:r>
      <w:proofErr w:type="spellEnd"/>
      <w:r>
        <w:rPr>
          <w:sz w:val="20"/>
          <w:lang w:val="en-GB"/>
        </w:rPr>
        <w:t xml:space="preserve">, ‘A Question of Sovereignty, Development, and Natural Resources: A New Standard for Binding Third Party </w:t>
      </w:r>
      <w:proofErr w:type="spellStart"/>
      <w:r>
        <w:rPr>
          <w:sz w:val="20"/>
          <w:lang w:val="en-GB"/>
        </w:rPr>
        <w:t>Nonsignatory</w:t>
      </w:r>
      <w:proofErr w:type="spellEnd"/>
      <w:r>
        <w:rPr>
          <w:sz w:val="20"/>
          <w:lang w:val="en-GB"/>
        </w:rPr>
        <w:t xml:space="preserve"> Governments to Arbitration’ (2009) 66 Washington and Lee Law Review 1409, 1434.</w:t>
      </w:r>
    </w:p>
  </w:footnote>
  <w:footnote w:id="2">
    <w:p w14:paraId="3FA8E603" w14:textId="0513402B" w:rsidR="00B10BDB" w:rsidRPr="00F04307" w:rsidRDefault="00B10BDB" w:rsidP="00D12AE4">
      <w:pPr>
        <w:pStyle w:val="FootnoteText"/>
        <w:jc w:val="both"/>
        <w:rPr>
          <w:sz w:val="20"/>
          <w:lang w:val="en-GB"/>
        </w:rPr>
      </w:pPr>
      <w:r w:rsidRPr="00F04307">
        <w:rPr>
          <w:rStyle w:val="FootnoteReference"/>
          <w:sz w:val="20"/>
          <w:lang w:val="en-GB"/>
        </w:rPr>
        <w:footnoteRef/>
      </w:r>
      <w:r w:rsidRPr="00F04307">
        <w:rPr>
          <w:sz w:val="20"/>
          <w:lang w:val="en-GB"/>
        </w:rPr>
        <w:t xml:space="preserve"> On the role of State entities see J-F </w:t>
      </w:r>
      <w:proofErr w:type="spellStart"/>
      <w:r w:rsidRPr="00F04307">
        <w:rPr>
          <w:sz w:val="20"/>
          <w:lang w:val="en-GB"/>
        </w:rPr>
        <w:t>Lalive</w:t>
      </w:r>
      <w:proofErr w:type="spellEnd"/>
      <w:r w:rsidRPr="00F04307">
        <w:rPr>
          <w:sz w:val="20"/>
          <w:lang w:val="en-GB"/>
        </w:rPr>
        <w:t xml:space="preserve">, ‘Contracts between a State or a State Agency and a Foreign Company: Theory and Practice: Choice of Law in a New Arbitration Case’ (1964) 13 ICLQ 987, 990; </w:t>
      </w:r>
    </w:p>
  </w:footnote>
  <w:footnote w:id="3">
    <w:p w14:paraId="4F41980D" w14:textId="17E860F5" w:rsidR="00B10BDB" w:rsidRPr="00D81523" w:rsidRDefault="00B10BDB" w:rsidP="00D12AE4">
      <w:pPr>
        <w:pStyle w:val="FootnoteText"/>
        <w:jc w:val="both"/>
        <w:rPr>
          <w:sz w:val="20"/>
          <w:lang w:val="en-GB"/>
        </w:rPr>
      </w:pPr>
      <w:r w:rsidRPr="00F04307">
        <w:rPr>
          <w:rStyle w:val="FootnoteReference"/>
          <w:sz w:val="20"/>
          <w:lang w:val="en-GB"/>
        </w:rPr>
        <w:footnoteRef/>
      </w:r>
      <w:r w:rsidRPr="00F04307">
        <w:rPr>
          <w:sz w:val="20"/>
          <w:lang w:val="en-GB"/>
        </w:rPr>
        <w:t xml:space="preserve"> ICC, </w:t>
      </w:r>
      <w:r w:rsidRPr="00F04307">
        <w:rPr>
          <w:i/>
          <w:iCs/>
          <w:sz w:val="20"/>
          <w:lang w:val="en-GB"/>
        </w:rPr>
        <w:t>ICC Dispute Resolution 2019 Statistics</w:t>
      </w:r>
      <w:r w:rsidRPr="00F04307">
        <w:rPr>
          <w:sz w:val="20"/>
          <w:lang w:val="en-GB"/>
        </w:rPr>
        <w:t xml:space="preserve"> (2020) 10,  available at </w:t>
      </w:r>
      <w:hyperlink r:id="rId1" w:history="1">
        <w:r w:rsidRPr="00F04307">
          <w:rPr>
            <w:rStyle w:val="Hyperlink"/>
            <w:sz w:val="20"/>
            <w:lang w:val="en-GB"/>
          </w:rPr>
          <w:t>https://iccwbo.org/publication/icc-dispute-resolution-statistics/</w:t>
        </w:r>
      </w:hyperlink>
      <w:r w:rsidR="00A9131A">
        <w:rPr>
          <w:sz w:val="20"/>
          <w:lang w:val="en-GB"/>
        </w:rPr>
        <w:t>;</w:t>
      </w:r>
      <w:r w:rsidRPr="00F04307">
        <w:rPr>
          <w:sz w:val="20"/>
          <w:lang w:val="en-GB"/>
        </w:rPr>
        <w:t xml:space="preserve"> </w:t>
      </w:r>
      <w:r w:rsidR="00A9131A">
        <w:rPr>
          <w:sz w:val="20"/>
          <w:lang w:val="en-GB"/>
        </w:rPr>
        <w:t xml:space="preserve">the same figure was </w:t>
      </w:r>
      <w:r w:rsidR="00A9131A" w:rsidRPr="00F04307">
        <w:rPr>
          <w:sz w:val="20"/>
          <w:lang w:val="en-GB"/>
        </w:rPr>
        <w:t xml:space="preserve">8.6% </w:t>
      </w:r>
      <w:r w:rsidR="00A9131A">
        <w:rPr>
          <w:sz w:val="20"/>
          <w:lang w:val="en-GB"/>
        </w:rPr>
        <w:t>i</w:t>
      </w:r>
      <w:r w:rsidRPr="00F04307">
        <w:rPr>
          <w:sz w:val="20"/>
          <w:lang w:val="en-GB"/>
        </w:rPr>
        <w:t>n 2001</w:t>
      </w:r>
      <w:r w:rsidR="00A9131A">
        <w:rPr>
          <w:sz w:val="20"/>
          <w:lang w:val="en-GB"/>
        </w:rPr>
        <w:t>,</w:t>
      </w:r>
      <w:r w:rsidRPr="00F04307">
        <w:rPr>
          <w:sz w:val="20"/>
          <w:lang w:val="en-GB"/>
        </w:rPr>
        <w:t xml:space="preserve"> C Leben, ‘</w:t>
      </w:r>
      <w:r w:rsidRPr="00F04307">
        <w:rPr>
          <w:sz w:val="20"/>
        </w:rPr>
        <w:t>La théorie du contrat d’État et l’évolution du droit international des investissements</w:t>
      </w:r>
      <w:r w:rsidRPr="00F04307">
        <w:rPr>
          <w:sz w:val="20"/>
          <w:lang w:val="en-GB"/>
        </w:rPr>
        <w:t>’</w:t>
      </w:r>
      <w:r w:rsidRPr="00D81523">
        <w:rPr>
          <w:sz w:val="20"/>
          <w:lang w:val="en-GB"/>
        </w:rPr>
        <w:t xml:space="preserve"> (2003) 302 RCADI 197, 297.</w:t>
      </w:r>
      <w:r w:rsidR="007167B2" w:rsidRPr="007167B2">
        <w:rPr>
          <w:sz w:val="20"/>
          <w:lang w:val="en-GB"/>
        </w:rPr>
        <w:t xml:space="preserve"> </w:t>
      </w:r>
      <w:r w:rsidR="007167B2">
        <w:rPr>
          <w:sz w:val="20"/>
          <w:lang w:val="en-US"/>
        </w:rPr>
        <w:t>S</w:t>
      </w:r>
      <w:proofErr w:type="spellStart"/>
      <w:r w:rsidR="007167B2" w:rsidRPr="00F04307">
        <w:rPr>
          <w:sz w:val="20"/>
          <w:lang w:val="en-GB"/>
        </w:rPr>
        <w:t>ee</w:t>
      </w:r>
      <w:proofErr w:type="spellEnd"/>
      <w:r w:rsidR="007167B2" w:rsidRPr="00F04307">
        <w:rPr>
          <w:sz w:val="20"/>
          <w:lang w:val="en-GB"/>
        </w:rPr>
        <w:t xml:space="preserve"> also J-F </w:t>
      </w:r>
      <w:proofErr w:type="spellStart"/>
      <w:r w:rsidR="007167B2" w:rsidRPr="00F04307">
        <w:rPr>
          <w:sz w:val="20"/>
          <w:lang w:val="en-GB"/>
        </w:rPr>
        <w:t>Lalive</w:t>
      </w:r>
      <w:proofErr w:type="spellEnd"/>
      <w:r w:rsidR="007167B2" w:rsidRPr="00F04307">
        <w:rPr>
          <w:sz w:val="20"/>
          <w:lang w:val="en-GB"/>
        </w:rPr>
        <w:t>, ‘</w:t>
      </w:r>
      <w:proofErr w:type="spellStart"/>
      <w:r w:rsidR="007167B2" w:rsidRPr="00F04307">
        <w:rPr>
          <w:sz w:val="20"/>
          <w:lang w:val="en-GB"/>
        </w:rPr>
        <w:t>Contrats</w:t>
      </w:r>
      <w:proofErr w:type="spellEnd"/>
      <w:r w:rsidR="007167B2" w:rsidRPr="00F04307">
        <w:rPr>
          <w:sz w:val="20"/>
          <w:lang w:val="en-GB"/>
        </w:rPr>
        <w:t xml:space="preserve"> entre </w:t>
      </w:r>
      <w:proofErr w:type="spellStart"/>
      <w:r w:rsidR="007167B2" w:rsidRPr="00F04307">
        <w:rPr>
          <w:sz w:val="20"/>
          <w:lang w:val="en-GB"/>
        </w:rPr>
        <w:t>Etats</w:t>
      </w:r>
      <w:proofErr w:type="spellEnd"/>
      <w:r w:rsidR="007167B2" w:rsidRPr="00F04307">
        <w:rPr>
          <w:sz w:val="20"/>
          <w:lang w:val="en-GB"/>
        </w:rPr>
        <w:t xml:space="preserve"> </w:t>
      </w:r>
      <w:proofErr w:type="spellStart"/>
      <w:r w:rsidR="007167B2" w:rsidRPr="00F04307">
        <w:rPr>
          <w:sz w:val="20"/>
          <w:lang w:val="en-GB"/>
        </w:rPr>
        <w:t>ou</w:t>
      </w:r>
      <w:proofErr w:type="spellEnd"/>
      <w:r w:rsidR="007167B2" w:rsidRPr="00F04307">
        <w:rPr>
          <w:sz w:val="20"/>
          <w:lang w:val="en-GB"/>
        </w:rPr>
        <w:t xml:space="preserve"> </w:t>
      </w:r>
      <w:proofErr w:type="spellStart"/>
      <w:r w:rsidR="007167B2" w:rsidRPr="00F04307">
        <w:rPr>
          <w:sz w:val="20"/>
          <w:lang w:val="en-GB"/>
        </w:rPr>
        <w:t>entreprises</w:t>
      </w:r>
      <w:proofErr w:type="spellEnd"/>
      <w:r w:rsidR="007167B2" w:rsidRPr="00F04307">
        <w:rPr>
          <w:sz w:val="20"/>
          <w:lang w:val="en-GB"/>
        </w:rPr>
        <w:t xml:space="preserve"> </w:t>
      </w:r>
      <w:proofErr w:type="spellStart"/>
      <w:r w:rsidR="007167B2" w:rsidRPr="00F04307">
        <w:rPr>
          <w:sz w:val="20"/>
          <w:lang w:val="en-GB"/>
        </w:rPr>
        <w:t>étatiques</w:t>
      </w:r>
      <w:proofErr w:type="spellEnd"/>
      <w:r w:rsidR="007167B2" w:rsidRPr="00F04307">
        <w:rPr>
          <w:sz w:val="20"/>
          <w:lang w:val="en-GB"/>
        </w:rPr>
        <w:t xml:space="preserve"> et </w:t>
      </w:r>
      <w:proofErr w:type="spellStart"/>
      <w:r w:rsidR="007167B2" w:rsidRPr="00F04307">
        <w:rPr>
          <w:sz w:val="20"/>
          <w:lang w:val="en-GB"/>
        </w:rPr>
        <w:t>personees</w:t>
      </w:r>
      <w:proofErr w:type="spellEnd"/>
      <w:r w:rsidR="007167B2" w:rsidRPr="00F04307">
        <w:rPr>
          <w:sz w:val="20"/>
          <w:lang w:val="en-GB"/>
        </w:rPr>
        <w:t xml:space="preserve"> </w:t>
      </w:r>
      <w:proofErr w:type="spellStart"/>
      <w:r w:rsidR="007167B2" w:rsidRPr="00F04307">
        <w:rPr>
          <w:sz w:val="20"/>
          <w:lang w:val="en-GB"/>
        </w:rPr>
        <w:t>privées</w:t>
      </w:r>
      <w:proofErr w:type="spellEnd"/>
      <w:r w:rsidR="007167B2" w:rsidRPr="00F04307">
        <w:rPr>
          <w:sz w:val="20"/>
          <w:lang w:val="en-GB"/>
        </w:rPr>
        <w:t xml:space="preserve">. </w:t>
      </w:r>
      <w:proofErr w:type="spellStart"/>
      <w:r w:rsidR="007167B2" w:rsidRPr="00F04307">
        <w:rPr>
          <w:sz w:val="20"/>
          <w:lang w:val="en-GB"/>
        </w:rPr>
        <w:t>Développements</w:t>
      </w:r>
      <w:proofErr w:type="spellEnd"/>
      <w:r w:rsidR="007167B2" w:rsidRPr="00F04307">
        <w:rPr>
          <w:sz w:val="20"/>
          <w:lang w:val="en-GB"/>
        </w:rPr>
        <w:t xml:space="preserve"> </w:t>
      </w:r>
      <w:proofErr w:type="spellStart"/>
      <w:r w:rsidR="007167B2" w:rsidRPr="00F04307">
        <w:rPr>
          <w:sz w:val="20"/>
          <w:lang w:val="en-GB"/>
        </w:rPr>
        <w:t>récents</w:t>
      </w:r>
      <w:proofErr w:type="spellEnd"/>
      <w:r w:rsidR="007167B2" w:rsidRPr="00F04307">
        <w:rPr>
          <w:sz w:val="20"/>
          <w:lang w:val="en-GB"/>
        </w:rPr>
        <w:t>’ (1983) 181 RCADI 9.</w:t>
      </w:r>
    </w:p>
  </w:footnote>
  <w:footnote w:id="4">
    <w:p w14:paraId="0C46AD0C" w14:textId="1708372B"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Pr>
          <w:sz w:val="20"/>
          <w:lang w:val="en-GB"/>
        </w:rPr>
        <w:t>S</w:t>
      </w:r>
      <w:r w:rsidRPr="00D81523">
        <w:rPr>
          <w:sz w:val="20"/>
          <w:lang w:val="en-GB"/>
        </w:rPr>
        <w:t xml:space="preserve">ee J C Hamilton et al, ‘Latin American Arbitration and Investment Protections’ in Jonathan C Hamilton et al (eds), </w:t>
      </w:r>
      <w:r w:rsidRPr="00D81523">
        <w:rPr>
          <w:i/>
          <w:iCs/>
          <w:sz w:val="20"/>
          <w:lang w:val="en-GB"/>
        </w:rPr>
        <w:t>Latin American Investment Protections</w:t>
      </w:r>
      <w:r w:rsidRPr="00D81523">
        <w:rPr>
          <w:sz w:val="20"/>
          <w:lang w:val="en-GB"/>
        </w:rPr>
        <w:t xml:space="preserve"> (</w:t>
      </w:r>
      <w:proofErr w:type="spellStart"/>
      <w:r w:rsidRPr="00D81523">
        <w:rPr>
          <w:sz w:val="20"/>
          <w:lang w:val="en-GB"/>
        </w:rPr>
        <w:t>Martinus</w:t>
      </w:r>
      <w:proofErr w:type="spellEnd"/>
      <w:r w:rsidRPr="00D81523">
        <w:rPr>
          <w:sz w:val="20"/>
          <w:lang w:val="en-GB"/>
        </w:rPr>
        <w:t xml:space="preserve"> </w:t>
      </w:r>
      <w:proofErr w:type="spellStart"/>
      <w:r w:rsidRPr="00D81523">
        <w:rPr>
          <w:sz w:val="20"/>
          <w:lang w:val="en-GB"/>
        </w:rPr>
        <w:t>Nijhoff</w:t>
      </w:r>
      <w:proofErr w:type="spellEnd"/>
      <w:r w:rsidRPr="00D81523">
        <w:rPr>
          <w:sz w:val="20"/>
          <w:lang w:val="en-GB"/>
        </w:rPr>
        <w:t>, Leiden 2012) 2</w:t>
      </w:r>
      <w:r>
        <w:rPr>
          <w:sz w:val="20"/>
          <w:lang w:val="en-GB"/>
        </w:rPr>
        <w:t xml:space="preserve">; </w:t>
      </w:r>
      <w:r w:rsidRPr="00D81523">
        <w:rPr>
          <w:sz w:val="20"/>
          <w:lang w:val="en-GB"/>
        </w:rPr>
        <w:t xml:space="preserve">E Gaillard, ‘The denunciation of the ICSID Convention’ (2007) 237 New York Law Journal 1; C </w:t>
      </w:r>
      <w:proofErr w:type="spellStart"/>
      <w:r w:rsidRPr="00D81523">
        <w:rPr>
          <w:sz w:val="20"/>
          <w:lang w:val="en-GB"/>
        </w:rPr>
        <w:t>Schreuer</w:t>
      </w:r>
      <w:proofErr w:type="spellEnd"/>
      <w:r w:rsidRPr="00D81523">
        <w:rPr>
          <w:sz w:val="20"/>
          <w:lang w:val="en-GB"/>
        </w:rPr>
        <w:t xml:space="preserve">, ‘Denunciation of the ICSID Convention and Consent to Arbitration’ in M Waibel et al (eds), </w:t>
      </w:r>
      <w:r w:rsidRPr="00D81523">
        <w:rPr>
          <w:i/>
          <w:iCs/>
          <w:sz w:val="20"/>
          <w:lang w:val="en-GB"/>
        </w:rPr>
        <w:t xml:space="preserve">The Backlash against Investment Arbitration: Perceptions and Reality </w:t>
      </w:r>
      <w:r w:rsidRPr="00D81523">
        <w:rPr>
          <w:sz w:val="20"/>
          <w:lang w:val="en-GB"/>
        </w:rPr>
        <w:t xml:space="preserve">(Kluwer Law International, Alphen </w:t>
      </w:r>
      <w:proofErr w:type="spellStart"/>
      <w:r w:rsidRPr="00D81523">
        <w:rPr>
          <w:sz w:val="20"/>
          <w:lang w:val="en-GB"/>
        </w:rPr>
        <w:t>aan</w:t>
      </w:r>
      <w:proofErr w:type="spellEnd"/>
      <w:r w:rsidRPr="00D81523">
        <w:rPr>
          <w:sz w:val="20"/>
          <w:lang w:val="en-GB"/>
        </w:rPr>
        <w:t xml:space="preserve"> den Rijn 2010) 353-368; O M Garibaldi, ‘On the denunciation of the ICSID Convention, Consent to ICSID Jurisdiction, and the limits of contract analogy’ in C Binder et al (eds), </w:t>
      </w:r>
      <w:r w:rsidRPr="00D81523">
        <w:rPr>
          <w:i/>
          <w:iCs/>
          <w:sz w:val="20"/>
          <w:lang w:val="en-GB"/>
        </w:rPr>
        <w:t xml:space="preserve">International Investment Law for the 21st Century: Essays in Honour of Christoph </w:t>
      </w:r>
      <w:proofErr w:type="spellStart"/>
      <w:r w:rsidRPr="00D81523">
        <w:rPr>
          <w:i/>
          <w:iCs/>
          <w:sz w:val="20"/>
          <w:lang w:val="en-GB"/>
        </w:rPr>
        <w:t>Schreuer</w:t>
      </w:r>
      <w:proofErr w:type="spellEnd"/>
      <w:r w:rsidRPr="00D81523">
        <w:rPr>
          <w:sz w:val="20"/>
          <w:lang w:val="en-GB"/>
        </w:rPr>
        <w:t xml:space="preserve"> (OUP, Oxford 2009) 251-277.</w:t>
      </w:r>
      <w:r w:rsidR="00B87124" w:rsidRPr="00B87124">
        <w:rPr>
          <w:sz w:val="20"/>
          <w:lang w:val="en-GB"/>
        </w:rPr>
        <w:t xml:space="preserve"> </w:t>
      </w:r>
      <w:r w:rsidR="00B87124">
        <w:rPr>
          <w:sz w:val="20"/>
          <w:lang w:val="en-GB"/>
        </w:rPr>
        <w:t xml:space="preserve">Having denounced the ICSID Convention in 2009, Ecuador signed it again in June 2021, </w:t>
      </w:r>
      <w:hyperlink r:id="rId2" w:history="1">
        <w:r w:rsidR="00B87124" w:rsidRPr="00404F3A">
          <w:rPr>
            <w:rStyle w:val="Hyperlink"/>
            <w:sz w:val="20"/>
            <w:lang w:val="en-GB"/>
          </w:rPr>
          <w:t>https://icsid.worldbank.org/news-and-events/news-releases/ecuador-signs-icsid-convention</w:t>
        </w:r>
      </w:hyperlink>
      <w:r w:rsidR="00B87124">
        <w:rPr>
          <w:sz w:val="20"/>
          <w:lang w:val="en-GB"/>
        </w:rPr>
        <w:t>.</w:t>
      </w:r>
    </w:p>
  </w:footnote>
  <w:footnote w:id="5">
    <w:p w14:paraId="0E6959E3" w14:textId="14E57B89"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Examples include Ecuador and Indonesia, see N </w:t>
      </w:r>
      <w:proofErr w:type="spellStart"/>
      <w:r w:rsidRPr="00D81523">
        <w:rPr>
          <w:sz w:val="20"/>
          <w:lang w:val="en-GB"/>
        </w:rPr>
        <w:t>Bernasconi</w:t>
      </w:r>
      <w:proofErr w:type="spellEnd"/>
      <w:r w:rsidRPr="00D81523">
        <w:rPr>
          <w:sz w:val="20"/>
          <w:lang w:val="en-GB"/>
        </w:rPr>
        <w:t xml:space="preserve">-Osterwalder et al, ‘Terminating a Bilateral Investment Treaty’, International Institute for Sustainable Development (March 2020), available </w:t>
      </w:r>
      <w:proofErr w:type="spellStart"/>
      <w:r w:rsidRPr="00D81523">
        <w:rPr>
          <w:sz w:val="20"/>
          <w:lang w:val="en-GB"/>
        </w:rPr>
        <w:t xml:space="preserve">at </w:t>
      </w:r>
      <w:hyperlink r:id="rId3" w:history="1">
        <w:r w:rsidRPr="00D81523">
          <w:rPr>
            <w:rStyle w:val="Hyperlink"/>
            <w:sz w:val="20"/>
            <w:lang w:val="en-GB"/>
          </w:rPr>
          <w:t>https://www.iisd.org/system/files/publications/terminating-treaty-best-practices-en.pdf</w:t>
        </w:r>
      </w:hyperlink>
      <w:r w:rsidRPr="00D81523">
        <w:rPr>
          <w:sz w:val="20"/>
          <w:lang w:val="en-GB"/>
        </w:rPr>
        <w:t>; see</w:t>
      </w:r>
      <w:proofErr w:type="spellEnd"/>
      <w:r w:rsidRPr="00D81523">
        <w:rPr>
          <w:sz w:val="20"/>
          <w:lang w:val="en-GB"/>
        </w:rPr>
        <w:t xml:space="preserve"> also T </w:t>
      </w:r>
      <w:proofErr w:type="spellStart"/>
      <w:r w:rsidRPr="00D81523">
        <w:rPr>
          <w:sz w:val="20"/>
          <w:lang w:val="en-GB"/>
        </w:rPr>
        <w:t>Voon</w:t>
      </w:r>
      <w:proofErr w:type="spellEnd"/>
      <w:r w:rsidRPr="00D81523">
        <w:rPr>
          <w:sz w:val="20"/>
          <w:lang w:val="en-GB"/>
        </w:rPr>
        <w:t xml:space="preserve"> and A Mitchell, ‘Denunciation, termination and survival: the interplay of treaty law and international investment law (2016) 31 ICSID Review 413.</w:t>
      </w:r>
      <w:r w:rsidR="00A9131A">
        <w:rPr>
          <w:sz w:val="20"/>
          <w:lang w:val="en-GB"/>
        </w:rPr>
        <w:t xml:space="preserve"> </w:t>
      </w:r>
    </w:p>
  </w:footnote>
  <w:footnote w:id="6">
    <w:p w14:paraId="7AAA199A" w14:textId="5BF54E6B"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Case C-284/16, </w:t>
      </w:r>
      <w:r w:rsidRPr="00D81523">
        <w:rPr>
          <w:i/>
          <w:iCs/>
          <w:sz w:val="20"/>
          <w:lang w:val="en-GB"/>
        </w:rPr>
        <w:t xml:space="preserve">Slovak Republic v </w:t>
      </w:r>
      <w:proofErr w:type="spellStart"/>
      <w:r w:rsidRPr="00D81523">
        <w:rPr>
          <w:i/>
          <w:iCs/>
          <w:sz w:val="20"/>
          <w:lang w:val="en-GB"/>
        </w:rPr>
        <w:t>Achmea</w:t>
      </w:r>
      <w:proofErr w:type="spellEnd"/>
      <w:r w:rsidRPr="00D81523">
        <w:rPr>
          <w:i/>
          <w:iCs/>
          <w:sz w:val="20"/>
          <w:lang w:val="en-GB"/>
        </w:rPr>
        <w:t xml:space="preserve"> </w:t>
      </w:r>
      <w:r w:rsidRPr="00D81523">
        <w:rPr>
          <w:sz w:val="20"/>
          <w:lang w:val="en-GB"/>
        </w:rPr>
        <w:t xml:space="preserve">BV, 6 March 2018. The CJEU held that Investor-State Dispute Settlement (ISDS) contained intra-EU BITs are incompatible with the EU. Following the </w:t>
      </w:r>
      <w:proofErr w:type="spellStart"/>
      <w:r w:rsidRPr="00D81523">
        <w:rPr>
          <w:i/>
          <w:iCs/>
          <w:sz w:val="20"/>
          <w:lang w:val="en-GB"/>
        </w:rPr>
        <w:t>Achmea</w:t>
      </w:r>
      <w:proofErr w:type="spellEnd"/>
      <w:r w:rsidRPr="00D81523">
        <w:rPr>
          <w:sz w:val="20"/>
          <w:lang w:val="en-GB"/>
        </w:rPr>
        <w:t xml:space="preserve"> decision, 23 EU Member States signed the Agreement for the Termination of Bilateral Investment Treaties between the Member States of the European Union, 5 May 2020.</w:t>
      </w:r>
    </w:p>
  </w:footnote>
  <w:footnote w:id="7">
    <w:p w14:paraId="6AA5155D" w14:textId="0F3FEA00" w:rsidR="00B10BDB" w:rsidRPr="00D81523" w:rsidRDefault="00B10BDB" w:rsidP="00D12AE4">
      <w:pPr>
        <w:jc w:val="both"/>
        <w:rPr>
          <w:sz w:val="20"/>
          <w:szCs w:val="20"/>
          <w:lang w:val="en-GB"/>
        </w:rPr>
      </w:pPr>
      <w:r w:rsidRPr="00D81523">
        <w:rPr>
          <w:rStyle w:val="FootnoteReference"/>
          <w:sz w:val="20"/>
          <w:szCs w:val="20"/>
          <w:lang w:val="en-GB"/>
        </w:rPr>
        <w:footnoteRef/>
      </w:r>
      <w:r w:rsidRPr="00D81523">
        <w:rPr>
          <w:sz w:val="20"/>
          <w:szCs w:val="20"/>
          <w:lang w:val="en-GB"/>
        </w:rPr>
        <w:t xml:space="preserve"> E Gaillard, ‘Effectiveness of Arbitral Awards, State Immunity from Execution and Autonomy of State Entities: Three Incompatible Principles’ in E Gaillard and J </w:t>
      </w:r>
      <w:proofErr w:type="spellStart"/>
      <w:r w:rsidRPr="00D81523">
        <w:rPr>
          <w:sz w:val="20"/>
          <w:szCs w:val="20"/>
          <w:lang w:val="en-GB"/>
        </w:rPr>
        <w:t>Younan</w:t>
      </w:r>
      <w:proofErr w:type="spellEnd"/>
      <w:r w:rsidRPr="00D81523">
        <w:rPr>
          <w:sz w:val="20"/>
          <w:szCs w:val="20"/>
          <w:lang w:val="en-GB"/>
        </w:rPr>
        <w:t xml:space="preserve"> (eds), </w:t>
      </w:r>
      <w:r w:rsidRPr="00D81523">
        <w:rPr>
          <w:i/>
          <w:iCs/>
          <w:sz w:val="20"/>
          <w:szCs w:val="20"/>
          <w:lang w:val="en-GB"/>
        </w:rPr>
        <w:t>State Entities in International Arbitration</w:t>
      </w:r>
      <w:r w:rsidRPr="00D81523">
        <w:rPr>
          <w:sz w:val="20"/>
          <w:szCs w:val="20"/>
          <w:lang w:val="en-GB"/>
        </w:rPr>
        <w:t xml:space="preserve"> (Juris Publishing, Huntington NY 2008) 179-193, 189; see also ibid, for further references. See also E </w:t>
      </w:r>
      <w:proofErr w:type="spellStart"/>
      <w:r w:rsidRPr="00D81523">
        <w:rPr>
          <w:sz w:val="20"/>
          <w:szCs w:val="20"/>
          <w:lang w:val="en-GB"/>
        </w:rPr>
        <w:t>Teynier</w:t>
      </w:r>
      <w:proofErr w:type="spellEnd"/>
      <w:r w:rsidRPr="00D81523">
        <w:rPr>
          <w:sz w:val="20"/>
          <w:szCs w:val="20"/>
          <w:lang w:val="en-GB"/>
        </w:rPr>
        <w:t xml:space="preserve">, ‘Can A Party Benefiting from an award rendered against a State enforce the award against an instrumentality of such State? French Law’, in E Gaillard and J </w:t>
      </w:r>
      <w:proofErr w:type="spellStart"/>
      <w:r w:rsidRPr="00D81523">
        <w:rPr>
          <w:sz w:val="20"/>
          <w:szCs w:val="20"/>
          <w:lang w:val="en-GB"/>
        </w:rPr>
        <w:t>Younan</w:t>
      </w:r>
      <w:proofErr w:type="spellEnd"/>
      <w:r w:rsidRPr="00D81523">
        <w:rPr>
          <w:sz w:val="20"/>
          <w:szCs w:val="20"/>
          <w:lang w:val="en-GB"/>
        </w:rPr>
        <w:t xml:space="preserve"> (eds), </w:t>
      </w:r>
      <w:r w:rsidRPr="00D81523">
        <w:rPr>
          <w:i/>
          <w:iCs/>
          <w:sz w:val="20"/>
          <w:szCs w:val="20"/>
          <w:lang w:val="en-GB"/>
        </w:rPr>
        <w:t>State Entities in International Arbitration</w:t>
      </w:r>
      <w:r w:rsidRPr="00D81523">
        <w:rPr>
          <w:sz w:val="20"/>
          <w:szCs w:val="20"/>
          <w:lang w:val="en-GB"/>
        </w:rPr>
        <w:t xml:space="preserve"> (Juris Publishing, Huntington NY 2008) 103-130;  J Gill, ‘Can A Party Benefiting from an award rendered against a State enforce the award against an instrumentality of such State?: English Law’ in E Gaillard and J </w:t>
      </w:r>
      <w:proofErr w:type="spellStart"/>
      <w:r w:rsidRPr="00D81523">
        <w:rPr>
          <w:sz w:val="20"/>
          <w:szCs w:val="20"/>
          <w:lang w:val="en-GB"/>
        </w:rPr>
        <w:t>Younan</w:t>
      </w:r>
      <w:proofErr w:type="spellEnd"/>
      <w:r w:rsidRPr="00D81523">
        <w:rPr>
          <w:sz w:val="20"/>
          <w:szCs w:val="20"/>
          <w:lang w:val="en-GB"/>
        </w:rPr>
        <w:t xml:space="preserve"> (eds), </w:t>
      </w:r>
      <w:r w:rsidRPr="00D81523">
        <w:rPr>
          <w:i/>
          <w:iCs/>
          <w:sz w:val="20"/>
          <w:szCs w:val="20"/>
          <w:lang w:val="en-GB"/>
        </w:rPr>
        <w:t>State Entities in International Arbitration</w:t>
      </w:r>
      <w:r w:rsidRPr="00D81523">
        <w:rPr>
          <w:sz w:val="20"/>
          <w:szCs w:val="20"/>
          <w:lang w:val="en-GB"/>
        </w:rPr>
        <w:t xml:space="preserve"> (Juris Publishing, Huntington NY 2008) 131-148; E G</w:t>
      </w:r>
      <w:r>
        <w:rPr>
          <w:sz w:val="20"/>
          <w:szCs w:val="20"/>
          <w:lang w:val="en-GB"/>
        </w:rPr>
        <w:t>ai</w:t>
      </w:r>
      <w:r w:rsidRPr="00D81523">
        <w:rPr>
          <w:sz w:val="20"/>
          <w:szCs w:val="20"/>
          <w:lang w:val="en-GB"/>
        </w:rPr>
        <w:t>lla</w:t>
      </w:r>
      <w:r>
        <w:rPr>
          <w:sz w:val="20"/>
          <w:szCs w:val="20"/>
          <w:lang w:val="en-GB"/>
        </w:rPr>
        <w:t>r</w:t>
      </w:r>
      <w:r w:rsidRPr="00D81523">
        <w:rPr>
          <w:sz w:val="20"/>
          <w:szCs w:val="20"/>
          <w:lang w:val="en-GB"/>
        </w:rPr>
        <w:t xml:space="preserve">d, ‘Can A Party Benefiting from an award rendered against a State enforce the award against an instrumentality of such State?: U.S. Law’ E Gaillard and J </w:t>
      </w:r>
      <w:proofErr w:type="spellStart"/>
      <w:r w:rsidRPr="00D81523">
        <w:rPr>
          <w:sz w:val="20"/>
          <w:szCs w:val="20"/>
          <w:lang w:val="en-GB"/>
        </w:rPr>
        <w:t>Younan</w:t>
      </w:r>
      <w:proofErr w:type="spellEnd"/>
      <w:r w:rsidRPr="00D81523">
        <w:rPr>
          <w:sz w:val="20"/>
          <w:szCs w:val="20"/>
          <w:lang w:val="en-GB"/>
        </w:rPr>
        <w:t xml:space="preserve"> (eds), </w:t>
      </w:r>
      <w:r w:rsidRPr="00D81523">
        <w:rPr>
          <w:i/>
          <w:iCs/>
          <w:sz w:val="20"/>
          <w:szCs w:val="20"/>
          <w:lang w:val="en-GB"/>
        </w:rPr>
        <w:t>State Entities in International Arbitration</w:t>
      </w:r>
      <w:r w:rsidRPr="00D81523">
        <w:rPr>
          <w:sz w:val="20"/>
          <w:szCs w:val="20"/>
          <w:lang w:val="en-GB"/>
        </w:rPr>
        <w:t xml:space="preserve"> (Juris Publishing, Huntington NY 2008) 149-164.</w:t>
      </w:r>
    </w:p>
  </w:footnote>
  <w:footnote w:id="8">
    <w:p w14:paraId="5A318AB1"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 e.g. </w:t>
      </w:r>
      <w:r w:rsidRPr="00D81523">
        <w:rPr>
          <w:i/>
          <w:iCs/>
          <w:sz w:val="20"/>
          <w:lang w:val="en-GB"/>
        </w:rPr>
        <w:t xml:space="preserve">La Générale des </w:t>
      </w:r>
      <w:proofErr w:type="spellStart"/>
      <w:r w:rsidRPr="00D81523">
        <w:rPr>
          <w:i/>
          <w:iCs/>
          <w:sz w:val="20"/>
          <w:lang w:val="en-GB"/>
        </w:rPr>
        <w:t>Carrières</w:t>
      </w:r>
      <w:proofErr w:type="spellEnd"/>
      <w:r w:rsidRPr="00D81523">
        <w:rPr>
          <w:i/>
          <w:iCs/>
          <w:sz w:val="20"/>
          <w:lang w:val="en-GB"/>
        </w:rPr>
        <w:t xml:space="preserve"> et des </w:t>
      </w:r>
      <w:proofErr w:type="spellStart"/>
      <w:r w:rsidRPr="00D81523">
        <w:rPr>
          <w:i/>
          <w:iCs/>
          <w:sz w:val="20"/>
          <w:lang w:val="en-GB"/>
        </w:rPr>
        <w:t>Mines</w:t>
      </w:r>
      <w:proofErr w:type="spellEnd"/>
      <w:r w:rsidRPr="00D81523">
        <w:rPr>
          <w:i/>
          <w:iCs/>
          <w:sz w:val="20"/>
          <w:lang w:val="en-GB"/>
        </w:rPr>
        <w:t xml:space="preserve"> v FG Hemisphere Associates LLC</w:t>
      </w:r>
      <w:r w:rsidRPr="00D81523">
        <w:rPr>
          <w:sz w:val="20"/>
          <w:lang w:val="en-GB"/>
        </w:rPr>
        <w:t xml:space="preserve"> [2012] UKPC 27.</w:t>
      </w:r>
    </w:p>
  </w:footnote>
  <w:footnote w:id="9">
    <w:p w14:paraId="39A29672" w14:textId="1646C96A" w:rsidR="00B10BDB" w:rsidRPr="00D8662E" w:rsidRDefault="00B10BDB" w:rsidP="00D12AE4">
      <w:pPr>
        <w:pStyle w:val="FootnoteText"/>
        <w:jc w:val="both"/>
        <w:rPr>
          <w:sz w:val="20"/>
          <w:lang w:val="el-GR"/>
        </w:rPr>
      </w:pPr>
      <w:r w:rsidRPr="00D81523">
        <w:rPr>
          <w:rStyle w:val="FootnoteReference"/>
          <w:sz w:val="20"/>
          <w:lang w:val="en-GB"/>
        </w:rPr>
        <w:footnoteRef/>
      </w:r>
      <w:r w:rsidRPr="00D81523">
        <w:rPr>
          <w:sz w:val="20"/>
          <w:lang w:val="en-GB"/>
        </w:rPr>
        <w:t xml:space="preserve"> </w:t>
      </w:r>
      <w:proofErr w:type="spellStart"/>
      <w:r w:rsidRPr="00D81523">
        <w:rPr>
          <w:sz w:val="20"/>
          <w:lang w:val="en-GB"/>
        </w:rPr>
        <w:t>Arbitrazh</w:t>
      </w:r>
      <w:proofErr w:type="spellEnd"/>
      <w:r w:rsidRPr="00D81523">
        <w:rPr>
          <w:sz w:val="20"/>
          <w:lang w:val="en-GB"/>
        </w:rPr>
        <w:t xml:space="preserve"> Court of the City of Moscow, Case No А40-230382/2018, 27 February 2019.</w:t>
      </w:r>
      <w:r>
        <w:rPr>
          <w:sz w:val="20"/>
          <w:lang w:val="el-GR"/>
        </w:rPr>
        <w:t xml:space="preserve"> </w:t>
      </w:r>
    </w:p>
  </w:footnote>
  <w:footnote w:id="10">
    <w:p w14:paraId="13AC5F6F"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Swiss Federal Tribunal, 4A 128/2008, 19 August 2008, para 3.2.; E Gaillard and J Savage, </w:t>
      </w:r>
      <w:proofErr w:type="spellStart"/>
      <w:r w:rsidRPr="00D81523">
        <w:rPr>
          <w:i/>
          <w:iCs/>
          <w:sz w:val="20"/>
          <w:lang w:val="en-GB"/>
        </w:rPr>
        <w:t>Fouchard</w:t>
      </w:r>
      <w:proofErr w:type="spellEnd"/>
      <w:r w:rsidRPr="00D81523">
        <w:rPr>
          <w:i/>
          <w:iCs/>
          <w:sz w:val="20"/>
          <w:lang w:val="en-GB"/>
        </w:rPr>
        <w:t xml:space="preserve"> Gaillard Goldman on International Commercial Arbitration</w:t>
      </w:r>
      <w:r w:rsidRPr="00D81523">
        <w:rPr>
          <w:sz w:val="20"/>
          <w:lang w:val="en-GB"/>
        </w:rPr>
        <w:t xml:space="preserve"> (Kluwer Law International, The Hauge 1999) 280; see Convention on the Recognition and Enforcement of Foreign Arbitral Awards (adopted 10 June 1958, entered into force 7 June 1959), 330 UNTS 3 (‘New York Convention’), Art II.1; UNCITRAL Model Law on International Commercial Arbitration 1985 with amendments as adopted in 2006 (‘UNCITRAL Model Law’), Art 7(1); </w:t>
      </w:r>
      <w:r w:rsidRPr="00D81523">
        <w:rPr>
          <w:i/>
          <w:iCs/>
          <w:sz w:val="20"/>
          <w:lang w:val="en-GB"/>
        </w:rPr>
        <w:t xml:space="preserve">Banque </w:t>
      </w:r>
      <w:proofErr w:type="spellStart"/>
      <w:r w:rsidRPr="00D81523">
        <w:rPr>
          <w:i/>
          <w:iCs/>
          <w:sz w:val="20"/>
          <w:lang w:val="en-GB"/>
        </w:rPr>
        <w:t>Arabe</w:t>
      </w:r>
      <w:proofErr w:type="spellEnd"/>
      <w:r w:rsidRPr="00D81523">
        <w:rPr>
          <w:i/>
          <w:iCs/>
          <w:sz w:val="20"/>
          <w:lang w:val="en-GB"/>
        </w:rPr>
        <w:t xml:space="preserve"> et Internationale </w:t>
      </w:r>
      <w:proofErr w:type="spellStart"/>
      <w:r w:rsidRPr="00D81523">
        <w:rPr>
          <w:i/>
          <w:iCs/>
          <w:sz w:val="20"/>
          <w:lang w:val="en-GB"/>
        </w:rPr>
        <w:t>d’Investissement</w:t>
      </w:r>
      <w:proofErr w:type="spellEnd"/>
      <w:r w:rsidRPr="00D81523">
        <w:rPr>
          <w:i/>
          <w:iCs/>
          <w:sz w:val="20"/>
          <w:lang w:val="en-GB"/>
        </w:rPr>
        <w:t xml:space="preserve"> v Inter-Arab Investment Guarantee Corp</w:t>
      </w:r>
      <w:r w:rsidRPr="00D81523">
        <w:rPr>
          <w:sz w:val="20"/>
          <w:lang w:val="en-GB"/>
        </w:rPr>
        <w:t xml:space="preserve">, Award, 17 November 1994, (1996) 21 Yearbook of Commercial Arbitration 13, 18. G Born, </w:t>
      </w:r>
      <w:r w:rsidRPr="00D81523">
        <w:rPr>
          <w:i/>
          <w:iCs/>
          <w:sz w:val="20"/>
          <w:lang w:val="en-GB"/>
        </w:rPr>
        <w:t>International Commercial Arbitration</w:t>
      </w:r>
      <w:r w:rsidRPr="00D81523">
        <w:rPr>
          <w:sz w:val="20"/>
          <w:lang w:val="en-GB"/>
        </w:rPr>
        <w:t>, (3</w:t>
      </w:r>
      <w:r w:rsidRPr="00D81523">
        <w:rPr>
          <w:sz w:val="20"/>
          <w:vertAlign w:val="superscript"/>
          <w:lang w:val="en-GB"/>
        </w:rPr>
        <w:t>rd</w:t>
      </w:r>
      <w:r w:rsidRPr="00D81523">
        <w:rPr>
          <w:sz w:val="20"/>
          <w:lang w:val="en-GB"/>
        </w:rPr>
        <w:t>, Kluwer Law International, The Hague 2009) 1406-1407.</w:t>
      </w:r>
    </w:p>
  </w:footnote>
  <w:footnote w:id="11">
    <w:p w14:paraId="56D5EB02" w14:textId="77777777" w:rsidR="00B10BDB" w:rsidRPr="00D8662E" w:rsidRDefault="00B10BDB" w:rsidP="00D12AE4">
      <w:pPr>
        <w:pStyle w:val="FootnoteText"/>
        <w:jc w:val="both"/>
        <w:rPr>
          <w:sz w:val="20"/>
          <w:lang w:val="en-US"/>
        </w:rPr>
      </w:pPr>
      <w:r w:rsidRPr="00D8662E">
        <w:rPr>
          <w:rStyle w:val="FootnoteReference"/>
          <w:sz w:val="20"/>
        </w:rPr>
        <w:footnoteRef/>
      </w:r>
      <w:r w:rsidRPr="00D8662E">
        <w:rPr>
          <w:sz w:val="20"/>
        </w:rPr>
        <w:t xml:space="preserve"> </w:t>
      </w:r>
      <w:proofErr w:type="spellStart"/>
      <w:r w:rsidRPr="006F5F49">
        <w:rPr>
          <w:sz w:val="20"/>
        </w:rPr>
        <w:t>Cf</w:t>
      </w:r>
      <w:proofErr w:type="spellEnd"/>
      <w:r w:rsidRPr="006F5F49">
        <w:rPr>
          <w:sz w:val="20"/>
        </w:rPr>
        <w:t xml:space="preserve"> </w:t>
      </w:r>
      <w:proofErr w:type="spellStart"/>
      <w:r w:rsidRPr="006F5F49">
        <w:rPr>
          <w:i/>
          <w:iCs/>
          <w:sz w:val="20"/>
        </w:rPr>
        <w:t>Kabab</w:t>
      </w:r>
      <w:proofErr w:type="spellEnd"/>
      <w:r w:rsidRPr="006F5F49">
        <w:rPr>
          <w:i/>
          <w:iCs/>
          <w:sz w:val="20"/>
        </w:rPr>
        <w:t xml:space="preserve">-Ji SAL (Lebanon) v </w:t>
      </w:r>
      <w:proofErr w:type="spellStart"/>
      <w:r w:rsidRPr="006F5F49">
        <w:rPr>
          <w:i/>
          <w:iCs/>
          <w:sz w:val="20"/>
        </w:rPr>
        <w:t>Kout</w:t>
      </w:r>
      <w:proofErr w:type="spellEnd"/>
      <w:r w:rsidRPr="006F5F49">
        <w:rPr>
          <w:i/>
          <w:iCs/>
          <w:sz w:val="20"/>
        </w:rPr>
        <w:t xml:space="preserve"> Food Group (Kuwait)</w:t>
      </w:r>
      <w:r w:rsidRPr="006F5F49">
        <w:rPr>
          <w:sz w:val="20"/>
        </w:rPr>
        <w:t xml:space="preserve"> [2020] EWCA </w:t>
      </w:r>
      <w:proofErr w:type="spellStart"/>
      <w:r w:rsidRPr="006F5F49">
        <w:rPr>
          <w:sz w:val="20"/>
        </w:rPr>
        <w:t>Civ</w:t>
      </w:r>
      <w:proofErr w:type="spellEnd"/>
      <w:r w:rsidRPr="006F5F49">
        <w:rPr>
          <w:sz w:val="20"/>
        </w:rPr>
        <w:t xml:space="preserve"> 6 and CA Paris</w:t>
      </w:r>
      <w:r w:rsidRPr="006F5F49">
        <w:rPr>
          <w:sz w:val="20"/>
          <w:lang w:val="en-GB"/>
        </w:rPr>
        <w:t>,</w:t>
      </w:r>
      <w:r>
        <w:rPr>
          <w:i/>
          <w:iCs/>
          <w:sz w:val="20"/>
          <w:lang w:val="en-GB"/>
        </w:rPr>
        <w:t xml:space="preserve"> </w:t>
      </w:r>
      <w:r w:rsidRPr="00D81523">
        <w:rPr>
          <w:i/>
          <w:iCs/>
          <w:sz w:val="20"/>
          <w:lang w:val="en-GB"/>
        </w:rPr>
        <w:t xml:space="preserve">Kabab-Ji SAL Company v </w:t>
      </w:r>
      <w:proofErr w:type="spellStart"/>
      <w:r w:rsidRPr="00D81523">
        <w:rPr>
          <w:i/>
          <w:iCs/>
          <w:sz w:val="20"/>
          <w:lang w:val="en-GB"/>
        </w:rPr>
        <w:t>Kout</w:t>
      </w:r>
      <w:proofErr w:type="spellEnd"/>
      <w:r w:rsidRPr="00D81523">
        <w:rPr>
          <w:i/>
          <w:iCs/>
          <w:sz w:val="20"/>
          <w:lang w:val="en-GB"/>
        </w:rPr>
        <w:t xml:space="preserve"> Food Group Company</w:t>
      </w:r>
      <w:r w:rsidRPr="00D81523">
        <w:rPr>
          <w:sz w:val="20"/>
          <w:lang w:val="en-GB"/>
        </w:rPr>
        <w:t xml:space="preserve">, Judgment, 23 June 2020, English transnational available at </w:t>
      </w:r>
      <w:hyperlink r:id="rId4" w:anchor="decision_11637" w:history="1">
        <w:r w:rsidRPr="00D81523">
          <w:rPr>
            <w:rStyle w:val="Hyperlink"/>
            <w:sz w:val="20"/>
            <w:lang w:val="en-GB"/>
          </w:rPr>
          <w:t>https://jusmundi.com/en/document/decision/en-kabab-ji-s-a-l-company-v-kout-food-group-company-judgment-of-the-paris-court-of-appeal-tuesday-23rd-june-2020#decision_11637</w:t>
        </w:r>
      </w:hyperlink>
      <w:r w:rsidRPr="006F5F49">
        <w:rPr>
          <w:sz w:val="20"/>
        </w:rPr>
        <w:t>.</w:t>
      </w:r>
    </w:p>
  </w:footnote>
  <w:footnote w:id="12">
    <w:p w14:paraId="16E25056" w14:textId="4F9F59BC" w:rsidR="00B10BDB" w:rsidRPr="00D81523" w:rsidRDefault="00B10BDB" w:rsidP="00D12AE4">
      <w:pPr>
        <w:pStyle w:val="FootnoteText"/>
        <w:jc w:val="both"/>
        <w:rPr>
          <w:sz w:val="20"/>
          <w:lang w:val="en-GB"/>
        </w:rPr>
      </w:pPr>
      <w:r w:rsidRPr="00D8662E">
        <w:rPr>
          <w:rStyle w:val="FootnoteReference"/>
          <w:sz w:val="20"/>
          <w:lang w:val="en-GB"/>
        </w:rPr>
        <w:footnoteRef/>
      </w:r>
      <w:r w:rsidRPr="00D8662E">
        <w:rPr>
          <w:sz w:val="20"/>
          <w:lang w:val="en-GB"/>
        </w:rPr>
        <w:t xml:space="preserve"> </w:t>
      </w:r>
      <w:proofErr w:type="spellStart"/>
      <w:r w:rsidRPr="00D8662E">
        <w:rPr>
          <w:sz w:val="20"/>
          <w:lang w:val="en-GB"/>
        </w:rPr>
        <w:t>Cf</w:t>
      </w:r>
      <w:proofErr w:type="spellEnd"/>
      <w:r w:rsidRPr="00D8662E">
        <w:rPr>
          <w:sz w:val="20"/>
          <w:lang w:val="en-GB"/>
        </w:rPr>
        <w:t xml:space="preserve"> </w:t>
      </w:r>
      <w:r w:rsidRPr="00D8662E">
        <w:rPr>
          <w:i/>
          <w:iCs/>
          <w:sz w:val="20"/>
          <w:lang w:val="en-GB"/>
        </w:rPr>
        <w:t>Chevron</w:t>
      </w:r>
      <w:r w:rsidRPr="00D81523">
        <w:rPr>
          <w:i/>
          <w:iCs/>
          <w:sz w:val="20"/>
          <w:lang w:val="en-GB"/>
        </w:rPr>
        <w:t xml:space="preserve"> Bangladesh Block Twelve, Ltd and Chevron Bangladesh Blocks Thirteen and Fourteen, Ltd v People’s Republic of Bangladesh</w:t>
      </w:r>
      <w:r w:rsidRPr="00D81523">
        <w:rPr>
          <w:sz w:val="20"/>
          <w:lang w:val="en-GB"/>
        </w:rPr>
        <w:t>, ICSID Case No ARB/06/10, Award, 30 June 2006</w:t>
      </w:r>
      <w:r>
        <w:rPr>
          <w:sz w:val="20"/>
          <w:lang w:val="en-GB"/>
        </w:rPr>
        <w:t xml:space="preserve"> (‘</w:t>
      </w:r>
      <w:r w:rsidRPr="00C25B0A">
        <w:rPr>
          <w:i/>
          <w:iCs/>
          <w:sz w:val="20"/>
          <w:lang w:val="en-GB"/>
        </w:rPr>
        <w:t>Chevron v Bangladesh</w:t>
      </w:r>
      <w:r>
        <w:rPr>
          <w:sz w:val="20"/>
          <w:lang w:val="en-GB"/>
        </w:rPr>
        <w:t>’)</w:t>
      </w:r>
      <w:r w:rsidRPr="00D81523">
        <w:rPr>
          <w:sz w:val="20"/>
          <w:lang w:val="en-GB"/>
        </w:rPr>
        <w:t xml:space="preserve">; </w:t>
      </w:r>
      <w:r w:rsidRPr="00D81523">
        <w:rPr>
          <w:i/>
          <w:iCs/>
          <w:sz w:val="20"/>
          <w:lang w:val="en-GB"/>
        </w:rPr>
        <w:t>Niko Resources (Bangladesh) Ltd v Bangladesh Petroleum Exploration &amp; Production Company Limited (</w:t>
      </w:r>
      <w:proofErr w:type="spellStart"/>
      <w:r w:rsidRPr="00D81523">
        <w:rPr>
          <w:i/>
          <w:iCs/>
          <w:sz w:val="20"/>
          <w:lang w:val="en-GB"/>
        </w:rPr>
        <w:t>Bapex</w:t>
      </w:r>
      <w:proofErr w:type="spellEnd"/>
      <w:r w:rsidRPr="00D81523">
        <w:rPr>
          <w:i/>
          <w:iCs/>
          <w:sz w:val="20"/>
          <w:lang w:val="en-GB"/>
        </w:rPr>
        <w:t>) and Bangladesh Oil Gas and Mineral Corporation (</w:t>
      </w:r>
      <w:proofErr w:type="spellStart"/>
      <w:r w:rsidRPr="00D81523">
        <w:rPr>
          <w:i/>
          <w:iCs/>
          <w:sz w:val="20"/>
          <w:lang w:val="en-GB"/>
        </w:rPr>
        <w:t>Petrobangla</w:t>
      </w:r>
      <w:proofErr w:type="spellEnd"/>
      <w:r w:rsidRPr="00D81523">
        <w:rPr>
          <w:i/>
          <w:iCs/>
          <w:sz w:val="20"/>
          <w:lang w:val="en-GB"/>
        </w:rPr>
        <w:t>)</w:t>
      </w:r>
      <w:r w:rsidRPr="00D81523">
        <w:rPr>
          <w:sz w:val="20"/>
          <w:lang w:val="en-GB"/>
        </w:rPr>
        <w:t>, ICSID Case No ARB/10/18 Decision on Jurisdiction, 19 August 2013</w:t>
      </w:r>
      <w:r>
        <w:rPr>
          <w:sz w:val="20"/>
          <w:lang w:val="en-GB"/>
        </w:rPr>
        <w:t xml:space="preserve"> (‘</w:t>
      </w:r>
      <w:r w:rsidRPr="003617E0">
        <w:rPr>
          <w:i/>
          <w:iCs/>
          <w:sz w:val="20"/>
          <w:lang w:val="en-GB"/>
        </w:rPr>
        <w:t xml:space="preserve">Niko Resources v </w:t>
      </w:r>
      <w:proofErr w:type="spellStart"/>
      <w:r w:rsidRPr="003617E0">
        <w:rPr>
          <w:i/>
          <w:iCs/>
          <w:sz w:val="20"/>
          <w:lang w:val="en-GB"/>
        </w:rPr>
        <w:t>Bapex</w:t>
      </w:r>
      <w:proofErr w:type="spellEnd"/>
      <w:r w:rsidRPr="003617E0">
        <w:rPr>
          <w:i/>
          <w:iCs/>
          <w:sz w:val="20"/>
          <w:lang w:val="en-GB"/>
        </w:rPr>
        <w:t xml:space="preserve"> and </w:t>
      </w:r>
      <w:proofErr w:type="spellStart"/>
      <w:r w:rsidRPr="003617E0">
        <w:rPr>
          <w:i/>
          <w:iCs/>
          <w:sz w:val="20"/>
          <w:lang w:val="en-GB"/>
        </w:rPr>
        <w:t>Petrobangla</w:t>
      </w:r>
      <w:proofErr w:type="spellEnd"/>
      <w:r>
        <w:rPr>
          <w:sz w:val="20"/>
          <w:lang w:val="en-GB"/>
        </w:rPr>
        <w:t>’)</w:t>
      </w:r>
      <w:r w:rsidRPr="00D81523">
        <w:rPr>
          <w:sz w:val="20"/>
          <w:lang w:val="en-GB"/>
        </w:rPr>
        <w:t xml:space="preserve">. See below </w:t>
      </w:r>
      <w:r w:rsidRPr="00D81523">
        <w:rPr>
          <w:b/>
          <w:bCs/>
          <w:sz w:val="20"/>
          <w:lang w:val="en-GB"/>
        </w:rPr>
        <w:t xml:space="preserve">Section </w:t>
      </w:r>
      <w:r>
        <w:rPr>
          <w:b/>
          <w:bCs/>
          <w:sz w:val="20"/>
          <w:lang w:val="en-GB"/>
        </w:rPr>
        <w:t>I</w:t>
      </w:r>
      <w:r w:rsidRPr="00D81523">
        <w:rPr>
          <w:b/>
          <w:bCs/>
          <w:sz w:val="20"/>
          <w:lang w:val="en-GB"/>
        </w:rPr>
        <w:t>V</w:t>
      </w:r>
      <w:r w:rsidRPr="00D81523">
        <w:rPr>
          <w:sz w:val="20"/>
          <w:lang w:val="en-GB"/>
        </w:rPr>
        <w:t>.</w:t>
      </w:r>
    </w:p>
  </w:footnote>
  <w:footnote w:id="13">
    <w:p w14:paraId="0330A513"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Swiss Federal Tribunal, 29 July 1988 (1991) 16 Yearbook of Commercial Arbitration 180.</w:t>
      </w:r>
    </w:p>
  </w:footnote>
  <w:footnote w:id="14">
    <w:p w14:paraId="0A0F3CE0" w14:textId="0140A46B" w:rsidR="00B10BDB" w:rsidRPr="0052768F" w:rsidRDefault="00B10BDB" w:rsidP="00D12AE4">
      <w:pPr>
        <w:pStyle w:val="FootnoteText"/>
        <w:jc w:val="both"/>
        <w:rPr>
          <w:sz w:val="20"/>
          <w:lang w:val="en-US"/>
        </w:rPr>
      </w:pPr>
      <w:r w:rsidRPr="00D81523">
        <w:rPr>
          <w:rStyle w:val="FootnoteReference"/>
          <w:sz w:val="20"/>
          <w:lang w:val="en-GB"/>
        </w:rPr>
        <w:footnoteRef/>
      </w:r>
      <w:r w:rsidRPr="00D81523">
        <w:rPr>
          <w:sz w:val="20"/>
          <w:lang w:val="en-GB"/>
        </w:rPr>
        <w:t xml:space="preserve"> S </w:t>
      </w:r>
      <w:proofErr w:type="spellStart"/>
      <w:r w:rsidRPr="00D81523">
        <w:rPr>
          <w:sz w:val="20"/>
          <w:lang w:val="en-GB"/>
        </w:rPr>
        <w:t>Brekoulakis</w:t>
      </w:r>
      <w:proofErr w:type="spellEnd"/>
      <w:r w:rsidRPr="00D81523">
        <w:rPr>
          <w:sz w:val="20"/>
          <w:lang w:val="en-GB"/>
        </w:rPr>
        <w:t xml:space="preserve">, ‘Rethinking Consent in International Commercial Arbitration: A General Theory for Non-signatories’ (2017) 8 Journal of International Dispute Settlement 610, 616; P </w:t>
      </w:r>
      <w:proofErr w:type="spellStart"/>
      <w:r w:rsidRPr="00D81523">
        <w:rPr>
          <w:sz w:val="20"/>
          <w:lang w:val="en-GB"/>
        </w:rPr>
        <w:t>Martines</w:t>
      </w:r>
      <w:proofErr w:type="spellEnd"/>
      <w:r w:rsidRPr="00D81523">
        <w:rPr>
          <w:sz w:val="20"/>
          <w:lang w:val="en-GB"/>
        </w:rPr>
        <w:t xml:space="preserve">-Fraga ‘The Dilemma of Extending International Commercial Arbitration Clauses to Third Parties: Is Protecting Federal Policy While Accommodating Economic Globalization a Bridge to Nowhere?’ (2013) 46 Cornell International Law Journal 291, 294; see also </w:t>
      </w:r>
      <w:proofErr w:type="spellStart"/>
      <w:r w:rsidRPr="00D81523">
        <w:rPr>
          <w:sz w:val="20"/>
          <w:lang w:val="en-GB"/>
        </w:rPr>
        <w:t>Petrochilos</w:t>
      </w:r>
      <w:proofErr w:type="spellEnd"/>
      <w:r w:rsidRPr="00D81523">
        <w:rPr>
          <w:sz w:val="20"/>
          <w:lang w:val="en-GB"/>
        </w:rPr>
        <w:t xml:space="preserve"> </w:t>
      </w:r>
      <w:r>
        <w:rPr>
          <w:sz w:val="20"/>
          <w:lang w:val="en-GB"/>
        </w:rPr>
        <w:t xml:space="preserve">(n </w:t>
      </w:r>
      <w:r w:rsidR="008A6C3C">
        <w:rPr>
          <w:sz w:val="20"/>
          <w:lang w:val="en-GB"/>
        </w:rPr>
        <w:t>1</w:t>
      </w:r>
      <w:r w:rsidRPr="00D81523">
        <w:rPr>
          <w:sz w:val="20"/>
          <w:lang w:val="en-GB"/>
        </w:rPr>
        <w:t>) 119-130</w:t>
      </w:r>
      <w:r>
        <w:rPr>
          <w:sz w:val="20"/>
          <w:lang w:val="en-GB"/>
        </w:rPr>
        <w:t xml:space="preserve">; </w:t>
      </w:r>
      <w:r w:rsidRPr="003576BC">
        <w:rPr>
          <w:sz w:val="20"/>
          <w:lang w:val="en-GB"/>
        </w:rPr>
        <w:t xml:space="preserve">A </w:t>
      </w:r>
      <w:proofErr w:type="spellStart"/>
      <w:r w:rsidRPr="003576BC">
        <w:rPr>
          <w:sz w:val="20"/>
          <w:lang w:val="en-GB"/>
        </w:rPr>
        <w:t>Mišović</w:t>
      </w:r>
      <w:proofErr w:type="spellEnd"/>
      <w:r>
        <w:rPr>
          <w:sz w:val="20"/>
          <w:lang w:val="en-GB"/>
        </w:rPr>
        <w:t xml:space="preserve"> ‘</w:t>
      </w:r>
      <w:r w:rsidRPr="003576BC">
        <w:rPr>
          <w:sz w:val="20"/>
          <w:lang w:val="en-GB"/>
        </w:rPr>
        <w:t>Binding non-signatories to arbitrate—the United States approach</w:t>
      </w:r>
      <w:r>
        <w:rPr>
          <w:sz w:val="20"/>
          <w:lang w:val="en-GB"/>
        </w:rPr>
        <w:t>’ (2021) Arbitration International (forthcoming).</w:t>
      </w:r>
    </w:p>
  </w:footnote>
  <w:footnote w:id="15">
    <w:p w14:paraId="6DF3B90D"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M Magnarelli and A R Ziegler, ‘Irreconcilable perspectives like in an Escher’s drawing? ‘Extension of an arbitration agreement to a non-signatory state and attribution of state entities’ conduct: privity of contract in Swiss and investment arbitral tribunals’ case law’ (2020) 36 Arbitration International 509, 519.</w:t>
      </w:r>
    </w:p>
  </w:footnote>
  <w:footnote w:id="16">
    <w:p w14:paraId="3A0F29CD" w14:textId="0DB86C3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B </w:t>
      </w:r>
      <w:proofErr w:type="spellStart"/>
      <w:r w:rsidRPr="00D81523">
        <w:rPr>
          <w:sz w:val="20"/>
          <w:lang w:val="en-GB"/>
        </w:rPr>
        <w:t>Hanotiau</w:t>
      </w:r>
      <w:proofErr w:type="spellEnd"/>
      <w:r w:rsidRPr="00D81523">
        <w:rPr>
          <w:sz w:val="20"/>
          <w:lang w:val="en-GB"/>
        </w:rPr>
        <w:t xml:space="preserve">, ‘The issue of non-signatory States’ (2012) 23 The American Review of International Arbitration 379, 405. </w:t>
      </w:r>
      <w:proofErr w:type="spellStart"/>
      <w:r w:rsidRPr="00D81523">
        <w:rPr>
          <w:sz w:val="20"/>
          <w:lang w:val="en-GB"/>
        </w:rPr>
        <w:t>Cf</w:t>
      </w:r>
      <w:proofErr w:type="spellEnd"/>
      <w:r w:rsidRPr="00D81523">
        <w:rPr>
          <w:sz w:val="20"/>
          <w:lang w:val="en-GB"/>
        </w:rPr>
        <w:t xml:space="preserve"> the approach of the arbitral tribunal and the Paris Court of Appeal in the </w:t>
      </w:r>
      <w:proofErr w:type="spellStart"/>
      <w:r w:rsidRPr="00D81523">
        <w:rPr>
          <w:i/>
          <w:iCs/>
          <w:sz w:val="20"/>
          <w:lang w:val="en-GB"/>
        </w:rPr>
        <w:t>Pyramides</w:t>
      </w:r>
      <w:proofErr w:type="spellEnd"/>
      <w:r w:rsidRPr="00D81523">
        <w:rPr>
          <w:i/>
          <w:iCs/>
          <w:sz w:val="20"/>
          <w:lang w:val="en-GB"/>
        </w:rPr>
        <w:t xml:space="preserve"> </w:t>
      </w:r>
      <w:r w:rsidRPr="00D81523">
        <w:rPr>
          <w:sz w:val="20"/>
          <w:lang w:val="en-GB"/>
        </w:rPr>
        <w:t xml:space="preserve">case, discussed below in </w:t>
      </w:r>
      <w:r w:rsidRPr="00D81523">
        <w:rPr>
          <w:b/>
          <w:bCs/>
          <w:sz w:val="20"/>
          <w:lang w:val="en-GB"/>
        </w:rPr>
        <w:t xml:space="preserve">Section </w:t>
      </w:r>
      <w:r>
        <w:rPr>
          <w:b/>
          <w:bCs/>
          <w:sz w:val="20"/>
          <w:lang w:val="en-GB"/>
        </w:rPr>
        <w:t>I</w:t>
      </w:r>
      <w:r w:rsidRPr="00D81523">
        <w:rPr>
          <w:b/>
          <w:bCs/>
          <w:sz w:val="20"/>
          <w:lang w:val="en-GB"/>
        </w:rPr>
        <w:t>V.A.</w:t>
      </w:r>
    </w:p>
  </w:footnote>
  <w:footnote w:id="17">
    <w:p w14:paraId="72C35D89" w14:textId="01A2C60A"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 G Born, </w:t>
      </w:r>
      <w:r w:rsidRPr="00D81523">
        <w:rPr>
          <w:i/>
          <w:iCs/>
          <w:sz w:val="20"/>
          <w:lang w:val="en-GB"/>
        </w:rPr>
        <w:t>International Commercial Arbitration</w:t>
      </w:r>
      <w:r w:rsidRPr="00D81523">
        <w:rPr>
          <w:sz w:val="20"/>
          <w:lang w:val="en-GB"/>
        </w:rPr>
        <w:t xml:space="preserve"> (3</w:t>
      </w:r>
      <w:r w:rsidRPr="00D81523">
        <w:rPr>
          <w:sz w:val="20"/>
          <w:vertAlign w:val="superscript"/>
          <w:lang w:val="en-GB"/>
        </w:rPr>
        <w:t>rd</w:t>
      </w:r>
      <w:r w:rsidRPr="00D81523">
        <w:rPr>
          <w:sz w:val="20"/>
          <w:lang w:val="en-GB"/>
        </w:rPr>
        <w:t>, Kluwer Law International, The Hague 2009) 1137-1138</w:t>
      </w:r>
      <w:r>
        <w:rPr>
          <w:sz w:val="20"/>
          <w:lang w:val="en-US"/>
        </w:rPr>
        <w:t xml:space="preserve">; </w:t>
      </w:r>
      <w:r w:rsidRPr="00D81523">
        <w:rPr>
          <w:sz w:val="20"/>
          <w:lang w:val="en-GB"/>
        </w:rPr>
        <w:t xml:space="preserve">B </w:t>
      </w:r>
      <w:proofErr w:type="spellStart"/>
      <w:r w:rsidRPr="00D81523">
        <w:rPr>
          <w:sz w:val="20"/>
          <w:lang w:val="en-GB"/>
        </w:rPr>
        <w:t>Hanotiau</w:t>
      </w:r>
      <w:proofErr w:type="spellEnd"/>
      <w:r w:rsidRPr="00D81523">
        <w:rPr>
          <w:sz w:val="20"/>
          <w:lang w:val="en-GB"/>
        </w:rPr>
        <w:t xml:space="preserve">, ‘Problems Raised by Complex Arbitrations Involving Multiple Contracts – Parties - Issue’ (2001) 18 Journal of International Arbitration 251, 263; W </w:t>
      </w:r>
      <w:proofErr w:type="spellStart"/>
      <w:r w:rsidRPr="00D81523">
        <w:rPr>
          <w:sz w:val="20"/>
          <w:lang w:val="en-GB"/>
        </w:rPr>
        <w:t>W</w:t>
      </w:r>
      <w:proofErr w:type="spellEnd"/>
      <w:r w:rsidRPr="00D81523">
        <w:rPr>
          <w:sz w:val="20"/>
          <w:lang w:val="en-GB"/>
        </w:rPr>
        <w:t xml:space="preserve"> Park, ‘Non-signatories and International Contracts: An Arbitrator’s Dilemma’ in Permanent Court of Arbitration (ed), </w:t>
      </w:r>
      <w:r w:rsidRPr="00D81523">
        <w:rPr>
          <w:i/>
          <w:iCs/>
          <w:sz w:val="20"/>
          <w:lang w:val="en-GB"/>
        </w:rPr>
        <w:t>Multiple Party Actions in International Arbitration</w:t>
      </w:r>
      <w:r w:rsidRPr="00D81523">
        <w:rPr>
          <w:sz w:val="20"/>
          <w:lang w:val="en-GB"/>
        </w:rPr>
        <w:t xml:space="preserve"> (OUP, Oxford 2009) 3-33; G </w:t>
      </w:r>
      <w:proofErr w:type="spellStart"/>
      <w:r w:rsidRPr="00D81523">
        <w:rPr>
          <w:sz w:val="20"/>
          <w:lang w:val="en-GB"/>
        </w:rPr>
        <w:t>Petrochilos</w:t>
      </w:r>
      <w:proofErr w:type="spellEnd"/>
      <w:r w:rsidRPr="00D81523">
        <w:rPr>
          <w:sz w:val="20"/>
          <w:lang w:val="en-GB"/>
        </w:rPr>
        <w:t xml:space="preserve">, ‘Extension of the Arbitration Clause to Non-Signatory States or State Entities: Does It Raise a Difference?’ in B </w:t>
      </w:r>
      <w:proofErr w:type="spellStart"/>
      <w:r w:rsidRPr="00D81523">
        <w:rPr>
          <w:sz w:val="20"/>
          <w:lang w:val="en-GB"/>
        </w:rPr>
        <w:t>Hanotiau</w:t>
      </w:r>
      <w:proofErr w:type="spellEnd"/>
      <w:r w:rsidRPr="00D81523">
        <w:rPr>
          <w:sz w:val="20"/>
          <w:lang w:val="en-GB"/>
        </w:rPr>
        <w:t xml:space="preserve"> and E Schwartz (eds), </w:t>
      </w:r>
      <w:r w:rsidRPr="00D81523">
        <w:rPr>
          <w:i/>
          <w:iCs/>
          <w:sz w:val="20"/>
          <w:lang w:val="en-GB"/>
        </w:rPr>
        <w:t>Multiparty Arbitration</w:t>
      </w:r>
      <w:r w:rsidRPr="00D81523">
        <w:rPr>
          <w:sz w:val="20"/>
          <w:lang w:val="en-GB"/>
        </w:rPr>
        <w:t xml:space="preserve"> (Kluwer Law International, ICC, The Hague 2010) 119-128. </w:t>
      </w:r>
      <w:proofErr w:type="spellStart"/>
      <w:r w:rsidRPr="00D81523">
        <w:rPr>
          <w:sz w:val="20"/>
          <w:lang w:val="en-GB"/>
        </w:rPr>
        <w:t>Hanotiau</w:t>
      </w:r>
      <w:proofErr w:type="spellEnd"/>
      <w:r>
        <w:rPr>
          <w:sz w:val="20"/>
          <w:lang w:val="en-GB"/>
        </w:rPr>
        <w:t xml:space="preserve"> (n </w:t>
      </w:r>
      <w:r w:rsidRPr="008A6C3C">
        <w:rPr>
          <w:sz w:val="20"/>
          <w:lang w:val="en-GB"/>
        </w:rPr>
        <w:t>16).</w:t>
      </w:r>
    </w:p>
  </w:footnote>
  <w:footnote w:id="18">
    <w:p w14:paraId="4BE83639" w14:textId="614C78F3"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J M Hosking, ‘Non-Signatories and International Arbitration in the United States: </w:t>
      </w:r>
      <w:proofErr w:type="gramStart"/>
      <w:r w:rsidRPr="00D81523">
        <w:rPr>
          <w:sz w:val="20"/>
          <w:lang w:val="en-GB"/>
        </w:rPr>
        <w:t>the</w:t>
      </w:r>
      <w:proofErr w:type="gramEnd"/>
      <w:r w:rsidRPr="00D81523">
        <w:rPr>
          <w:sz w:val="20"/>
          <w:lang w:val="en-GB"/>
        </w:rPr>
        <w:t xml:space="preserve"> Quest for Consent’ (2004) 20 Arbitration International 289, 302; D </w:t>
      </w:r>
      <w:proofErr w:type="spellStart"/>
      <w:r w:rsidRPr="00D81523">
        <w:rPr>
          <w:sz w:val="20"/>
          <w:lang w:val="en-GB"/>
        </w:rPr>
        <w:t>Girsberger</w:t>
      </w:r>
      <w:proofErr w:type="spellEnd"/>
      <w:r w:rsidRPr="00D81523">
        <w:rPr>
          <w:sz w:val="20"/>
          <w:lang w:val="en-GB"/>
        </w:rPr>
        <w:t xml:space="preserve"> and C </w:t>
      </w:r>
      <w:proofErr w:type="spellStart"/>
      <w:r w:rsidRPr="00D81523">
        <w:rPr>
          <w:sz w:val="20"/>
          <w:lang w:val="en-GB"/>
        </w:rPr>
        <w:t>Hausmaninger</w:t>
      </w:r>
      <w:proofErr w:type="spellEnd"/>
      <w:r w:rsidRPr="00D81523">
        <w:rPr>
          <w:sz w:val="20"/>
          <w:lang w:val="en-GB"/>
        </w:rPr>
        <w:t xml:space="preserve">, Assignment of Rights and Agreement to Arbitration (1992) 8 Arbitration International 121, 149-150. See also Hosking, </w:t>
      </w:r>
      <w:r>
        <w:rPr>
          <w:sz w:val="20"/>
          <w:lang w:val="en-GB"/>
        </w:rPr>
        <w:t>ibid</w:t>
      </w:r>
      <w:r w:rsidRPr="00D81523">
        <w:rPr>
          <w:sz w:val="20"/>
          <w:lang w:val="en-GB"/>
        </w:rPr>
        <w:t>.</w:t>
      </w:r>
    </w:p>
  </w:footnote>
  <w:footnote w:id="19">
    <w:p w14:paraId="26750073"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 BGH, III ZR 371/12, 8 May 2014; see also J </w:t>
      </w:r>
      <w:proofErr w:type="spellStart"/>
      <w:r w:rsidRPr="00D81523">
        <w:rPr>
          <w:sz w:val="20"/>
          <w:lang w:val="en-GB"/>
        </w:rPr>
        <w:t>Landbrecht</w:t>
      </w:r>
      <w:proofErr w:type="spellEnd"/>
      <w:r w:rsidRPr="00D81523">
        <w:rPr>
          <w:sz w:val="20"/>
          <w:lang w:val="en-GB"/>
        </w:rPr>
        <w:t xml:space="preserve"> and A </w:t>
      </w:r>
      <w:proofErr w:type="spellStart"/>
      <w:r w:rsidRPr="00D81523">
        <w:rPr>
          <w:sz w:val="20"/>
          <w:lang w:val="en-GB"/>
        </w:rPr>
        <w:t>Wehowsky</w:t>
      </w:r>
      <w:proofErr w:type="spellEnd"/>
      <w:r w:rsidRPr="00D81523">
        <w:rPr>
          <w:sz w:val="20"/>
          <w:lang w:val="en-GB"/>
        </w:rPr>
        <w:t>, ‘Determining the Law Applicable to the Personal Scope of Arbitration Agreements and its “Extension” (2017) 35 ASA Bulletin 837, 851 and K Schwedt, ‘When Does an Arbitration Agreement Have a Binding Effect on Non-Signatories? The Group of Companies Doctrine vs. Conflict of Laws Rules and Public Policy’, Kluwer Arbitration Blog, 30 July 2014, available at http://arbitrationblog.kluwerarbitration.com/2014/07/30/when-does-an-arbitration-agreement-have-a-binding-effect-on-non-signatories-the-group-of-companies-doctrine-vs-conflict-of-laws-rules-and-public-policy/.</w:t>
      </w:r>
    </w:p>
  </w:footnote>
  <w:footnote w:id="20">
    <w:p w14:paraId="7D5553DB" w14:textId="3B163E0D"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P C </w:t>
      </w:r>
      <w:proofErr w:type="spellStart"/>
      <w:r w:rsidRPr="00D81523">
        <w:rPr>
          <w:sz w:val="20"/>
          <w:lang w:val="en-GB"/>
        </w:rPr>
        <w:t>Mavroidis</w:t>
      </w:r>
      <w:proofErr w:type="spellEnd"/>
      <w:r w:rsidRPr="00D81523">
        <w:rPr>
          <w:sz w:val="20"/>
          <w:lang w:val="en-GB"/>
        </w:rPr>
        <w:t xml:space="preserve">, ‘Legal Eagles? The WTO Appellate Body’s First Ten Years’ in M </w:t>
      </w:r>
      <w:proofErr w:type="spellStart"/>
      <w:r w:rsidRPr="00D81523">
        <w:rPr>
          <w:sz w:val="20"/>
          <w:lang w:val="en-GB"/>
        </w:rPr>
        <w:t>Janow</w:t>
      </w:r>
      <w:proofErr w:type="spellEnd"/>
      <w:r w:rsidRPr="00D81523">
        <w:rPr>
          <w:sz w:val="20"/>
          <w:lang w:val="en-GB"/>
        </w:rPr>
        <w:t xml:space="preserve"> et al (eds), </w:t>
      </w:r>
      <w:r w:rsidRPr="00D81523">
        <w:rPr>
          <w:i/>
          <w:iCs/>
          <w:sz w:val="20"/>
          <w:lang w:val="en-GB"/>
        </w:rPr>
        <w:t>The WTO: Governance, Dispute Settlement, and Developing Countries</w:t>
      </w:r>
      <w:r w:rsidRPr="00D81523">
        <w:rPr>
          <w:sz w:val="20"/>
          <w:lang w:val="en-GB"/>
        </w:rPr>
        <w:t xml:space="preserve"> (Juris Publishing, Huntington NY 2008) 345-367, 360.</w:t>
      </w:r>
    </w:p>
  </w:footnote>
  <w:footnote w:id="21">
    <w:p w14:paraId="26BBB211" w14:textId="2FFE820F" w:rsidR="00B10BDB" w:rsidRPr="00F02E10" w:rsidRDefault="00B10BDB" w:rsidP="00D12AE4">
      <w:pPr>
        <w:jc w:val="both"/>
        <w:rPr>
          <w:sz w:val="20"/>
          <w:szCs w:val="20"/>
          <w:lang w:val="en-GB"/>
        </w:rPr>
      </w:pPr>
      <w:r w:rsidRPr="00D81523">
        <w:rPr>
          <w:rStyle w:val="FootnoteReference"/>
          <w:sz w:val="20"/>
          <w:lang w:val="en-GB"/>
        </w:rPr>
        <w:footnoteRef/>
      </w:r>
      <w:r w:rsidRPr="00D81523">
        <w:rPr>
          <w:sz w:val="20"/>
          <w:lang w:val="en-GB"/>
        </w:rPr>
        <w:t xml:space="preserve"> S </w:t>
      </w:r>
      <w:proofErr w:type="spellStart"/>
      <w:r w:rsidRPr="00D81523">
        <w:rPr>
          <w:sz w:val="20"/>
          <w:lang w:val="en-GB"/>
        </w:rPr>
        <w:t>Brekoulakis</w:t>
      </w:r>
      <w:proofErr w:type="spellEnd"/>
      <w:r w:rsidRPr="00D81523">
        <w:rPr>
          <w:sz w:val="20"/>
          <w:lang w:val="en-GB"/>
        </w:rPr>
        <w:t>, ‘Rethinking Consent in International Commercial Arbitration: A General Theory for Non-signatories’ (2017) 8 Journal of International Dispute Settlement 610, 629 (‘Under this approach, what matters is not whether a non-signatory has presumably consented to arbitration but whether and to what extent a non-signatory is actually implicated in the dispute before an arbitration tribunal’).</w:t>
      </w:r>
      <w:r>
        <w:rPr>
          <w:sz w:val="20"/>
          <w:lang w:val="en-GB"/>
        </w:rPr>
        <w:t xml:space="preserve"> However, i</w:t>
      </w:r>
      <w:r w:rsidRPr="00F02E10">
        <w:rPr>
          <w:sz w:val="20"/>
          <w:lang w:val="en-GB"/>
        </w:rPr>
        <w:t xml:space="preserve">n public international law, the fact that, without being subject to the jurisdiction of an international court or tribunal, a State is intrinsically implicated in a dispute between two States which is subject to that court’s or tribunal’s jurisdiction, speaks against – and not in favour of – the expansion of their jurisdiction </w:t>
      </w:r>
      <w:proofErr w:type="spellStart"/>
      <w:r w:rsidRPr="00F02E10">
        <w:rPr>
          <w:sz w:val="20"/>
          <w:lang w:val="en-GB"/>
        </w:rPr>
        <w:t>ratione</w:t>
      </w:r>
      <w:proofErr w:type="spellEnd"/>
      <w:r w:rsidRPr="00F02E10">
        <w:rPr>
          <w:sz w:val="20"/>
          <w:lang w:val="en-GB"/>
        </w:rPr>
        <w:t xml:space="preserve"> personae (personal jurisdiction)</w:t>
      </w:r>
      <w:r>
        <w:rPr>
          <w:sz w:val="20"/>
          <w:lang w:val="en-GB"/>
        </w:rPr>
        <w:t xml:space="preserve">. See </w:t>
      </w:r>
      <w:r w:rsidRPr="00D81523">
        <w:rPr>
          <w:i/>
          <w:iCs/>
          <w:sz w:val="20"/>
          <w:lang w:val="en-GB"/>
        </w:rPr>
        <w:t xml:space="preserve">Case of the monetary gold removed from Rome in 1943 </w:t>
      </w:r>
      <w:r w:rsidRPr="00D81523">
        <w:rPr>
          <w:sz w:val="20"/>
          <w:lang w:val="en-GB"/>
        </w:rPr>
        <w:t>(Preliminary Question), (1954) ICJ Rep 19, 32</w:t>
      </w:r>
      <w:r>
        <w:rPr>
          <w:sz w:val="20"/>
          <w:lang w:val="en-GB"/>
        </w:rPr>
        <w:t xml:space="preserve">; </w:t>
      </w:r>
      <w:r w:rsidRPr="00D81523">
        <w:rPr>
          <w:i/>
          <w:iCs/>
          <w:sz w:val="20"/>
          <w:lang w:val="en-GB"/>
        </w:rPr>
        <w:t>Military and Paramilitary Activities in and against Nicaragua</w:t>
      </w:r>
      <w:r w:rsidRPr="00D81523">
        <w:rPr>
          <w:sz w:val="20"/>
          <w:lang w:val="en-GB"/>
        </w:rPr>
        <w:t xml:space="preserve">, Jurisdiction and Admissibility (1984) ICJ Reports 392, 431, para 88; </w:t>
      </w:r>
      <w:r w:rsidRPr="00D81523">
        <w:rPr>
          <w:i/>
          <w:iCs/>
          <w:sz w:val="20"/>
          <w:lang w:val="en-GB"/>
        </w:rPr>
        <w:t>Land, Island and Maritime Frontier Dispute (El Salvador/Honduras)</w:t>
      </w:r>
      <w:r w:rsidRPr="00D81523">
        <w:rPr>
          <w:sz w:val="20"/>
          <w:lang w:val="en-GB"/>
        </w:rPr>
        <w:t xml:space="preserve">, (1990) ICJ Rep 92, 114-116, paras 54-56;  </w:t>
      </w:r>
      <w:r w:rsidRPr="00D81523">
        <w:rPr>
          <w:i/>
          <w:iCs/>
          <w:sz w:val="20"/>
          <w:lang w:val="en-GB"/>
        </w:rPr>
        <w:t>Certain Phosphate Lands in Nauru</w:t>
      </w:r>
      <w:r w:rsidRPr="00D81523">
        <w:rPr>
          <w:sz w:val="20"/>
          <w:lang w:val="en-GB"/>
        </w:rPr>
        <w:t xml:space="preserve">, Preliminary Objections, Judgment (1992) ICJ Rep 240, 258-262, paras 48-55; </w:t>
      </w:r>
      <w:r w:rsidRPr="00D81523">
        <w:rPr>
          <w:i/>
          <w:iCs/>
          <w:sz w:val="20"/>
          <w:lang w:val="en-GB"/>
        </w:rPr>
        <w:t>East Timor</w:t>
      </w:r>
      <w:r w:rsidRPr="00D81523">
        <w:rPr>
          <w:sz w:val="20"/>
          <w:lang w:val="en-GB"/>
        </w:rPr>
        <w:t xml:space="preserve"> (1995) ICJ Rep 90,</w:t>
      </w:r>
      <w:r>
        <w:rPr>
          <w:sz w:val="20"/>
          <w:lang w:val="en-GB"/>
        </w:rPr>
        <w:t xml:space="preserve"> </w:t>
      </w:r>
      <w:r w:rsidRPr="00D81523">
        <w:rPr>
          <w:sz w:val="20"/>
          <w:lang w:val="en-GB"/>
        </w:rPr>
        <w:t>102-105, paras 28-35</w:t>
      </w:r>
      <w:r>
        <w:rPr>
          <w:sz w:val="20"/>
          <w:lang w:val="en-GB"/>
        </w:rPr>
        <w:t xml:space="preserve">; </w:t>
      </w:r>
      <w:r w:rsidRPr="00D81523">
        <w:rPr>
          <w:i/>
          <w:iCs/>
          <w:sz w:val="20"/>
          <w:szCs w:val="20"/>
          <w:lang w:val="en-GB"/>
        </w:rPr>
        <w:t>The M/V “Norstar” Case (Panama v Italy)</w:t>
      </w:r>
      <w:r w:rsidRPr="00D81523">
        <w:rPr>
          <w:sz w:val="20"/>
          <w:szCs w:val="20"/>
          <w:lang w:val="en-GB"/>
        </w:rPr>
        <w:t>, Case No 25, Preliminary Objections Judgment, 4 November 2016, para 172</w:t>
      </w:r>
      <w:r>
        <w:rPr>
          <w:sz w:val="20"/>
          <w:szCs w:val="20"/>
          <w:lang w:val="en-GB"/>
        </w:rPr>
        <w:t xml:space="preserve">; </w:t>
      </w:r>
      <w:r w:rsidRPr="00D81523">
        <w:rPr>
          <w:i/>
          <w:iCs/>
          <w:sz w:val="20"/>
          <w:lang w:val="en-GB"/>
        </w:rPr>
        <w:t>Larsen v Hawaiian Kingdom</w:t>
      </w:r>
      <w:r w:rsidRPr="00D81523">
        <w:rPr>
          <w:sz w:val="20"/>
          <w:lang w:val="en-GB"/>
        </w:rPr>
        <w:t>, PCA Case No 1999-01, Award 5 February 2001, para 11.17</w:t>
      </w:r>
      <w:r>
        <w:rPr>
          <w:sz w:val="20"/>
          <w:lang w:val="en-GB"/>
        </w:rPr>
        <w:t>;</w:t>
      </w:r>
      <w:r w:rsidRPr="00D81523">
        <w:rPr>
          <w:sz w:val="20"/>
          <w:lang w:val="en-GB"/>
        </w:rPr>
        <w:t xml:space="preserve"> </w:t>
      </w:r>
      <w:r w:rsidRPr="00D81523">
        <w:rPr>
          <w:i/>
          <w:iCs/>
          <w:sz w:val="20"/>
          <w:lang w:val="en-GB"/>
        </w:rPr>
        <w:t>Chevron Corporation and Texaco Petroleum Corporation v Ecuador</w:t>
      </w:r>
      <w:r w:rsidRPr="00D81523">
        <w:rPr>
          <w:sz w:val="20"/>
          <w:lang w:val="en-GB"/>
        </w:rPr>
        <w:t>, PCA Case No. 2009-23, Third Interim Award on Jurisdiction and Admissibility, 27 February 2021, para 4.60.</w:t>
      </w:r>
      <w:r>
        <w:rPr>
          <w:sz w:val="20"/>
          <w:szCs w:val="20"/>
          <w:lang w:val="en-GB"/>
        </w:rPr>
        <w:t xml:space="preserve"> </w:t>
      </w:r>
      <w:proofErr w:type="spellStart"/>
      <w:r>
        <w:rPr>
          <w:sz w:val="20"/>
          <w:szCs w:val="20"/>
          <w:lang w:val="en-GB"/>
        </w:rPr>
        <w:t>Cf</w:t>
      </w:r>
      <w:proofErr w:type="spellEnd"/>
      <w:r>
        <w:rPr>
          <w:sz w:val="20"/>
          <w:szCs w:val="20"/>
          <w:lang w:val="en-GB"/>
        </w:rPr>
        <w:t xml:space="preserve"> </w:t>
      </w:r>
      <w:r w:rsidRPr="00D81523">
        <w:rPr>
          <w:sz w:val="20"/>
          <w:lang w:val="en-GB"/>
        </w:rPr>
        <w:t>N Zamir, ‘The applicability of the Monetary Gold principle in international arbitration’ (2017) 33 Arbitration International 523</w:t>
      </w:r>
      <w:r>
        <w:rPr>
          <w:sz w:val="20"/>
          <w:lang w:val="en-GB"/>
        </w:rPr>
        <w:t>;</w:t>
      </w:r>
      <w:r w:rsidRPr="00D81523">
        <w:rPr>
          <w:sz w:val="20"/>
          <w:szCs w:val="20"/>
          <w:lang w:val="en-GB"/>
        </w:rPr>
        <w:t xml:space="preserve"> O </w:t>
      </w:r>
      <w:proofErr w:type="spellStart"/>
      <w:r w:rsidRPr="00D81523">
        <w:rPr>
          <w:sz w:val="20"/>
          <w:szCs w:val="20"/>
          <w:lang w:val="en-GB"/>
        </w:rPr>
        <w:t>Pomson</w:t>
      </w:r>
      <w:proofErr w:type="spellEnd"/>
      <w:r w:rsidRPr="00D81523">
        <w:rPr>
          <w:sz w:val="20"/>
          <w:szCs w:val="20"/>
          <w:lang w:val="en-GB"/>
        </w:rPr>
        <w:t xml:space="preserve">, ‘Does the </w:t>
      </w:r>
      <w:r w:rsidRPr="00D81523">
        <w:rPr>
          <w:i/>
          <w:iCs/>
          <w:sz w:val="20"/>
          <w:szCs w:val="20"/>
          <w:lang w:val="en-GB"/>
        </w:rPr>
        <w:t xml:space="preserve">Monetary Gold </w:t>
      </w:r>
      <w:r w:rsidRPr="00D81523">
        <w:rPr>
          <w:sz w:val="20"/>
          <w:szCs w:val="20"/>
          <w:lang w:val="en-GB"/>
        </w:rPr>
        <w:t xml:space="preserve">Principle Apply to International Courts and Tribunals </w:t>
      </w:r>
      <w:proofErr w:type="gramStart"/>
      <w:r w:rsidRPr="00D81523">
        <w:rPr>
          <w:sz w:val="20"/>
          <w:szCs w:val="20"/>
          <w:lang w:val="en-GB"/>
        </w:rPr>
        <w:t>Generally ?</w:t>
      </w:r>
      <w:proofErr w:type="gramEnd"/>
      <w:r w:rsidRPr="00D81523">
        <w:rPr>
          <w:sz w:val="20"/>
          <w:szCs w:val="20"/>
          <w:lang w:val="en-GB"/>
        </w:rPr>
        <w:t>’ (2019) 10 Journal of International Dispute Settlement 88</w:t>
      </w:r>
      <w:r>
        <w:rPr>
          <w:sz w:val="20"/>
          <w:szCs w:val="20"/>
          <w:lang w:val="en-GB"/>
        </w:rPr>
        <w:t xml:space="preserve">; </w:t>
      </w:r>
      <w:r w:rsidRPr="00D81523">
        <w:rPr>
          <w:sz w:val="20"/>
          <w:lang w:val="en-GB"/>
        </w:rPr>
        <w:t xml:space="preserve">M </w:t>
      </w:r>
      <w:proofErr w:type="spellStart"/>
      <w:r w:rsidRPr="00D81523">
        <w:rPr>
          <w:sz w:val="20"/>
          <w:lang w:val="en-GB"/>
        </w:rPr>
        <w:t>Paparinskis</w:t>
      </w:r>
      <w:proofErr w:type="spellEnd"/>
      <w:r w:rsidRPr="00D81523">
        <w:rPr>
          <w:sz w:val="20"/>
          <w:lang w:val="en-GB"/>
        </w:rPr>
        <w:t xml:space="preserve">, ‘Revisiting the Indispensable Third Party Principle’ (2020) 103 </w:t>
      </w:r>
      <w:proofErr w:type="spellStart"/>
      <w:r w:rsidRPr="00D81523">
        <w:rPr>
          <w:sz w:val="20"/>
          <w:lang w:val="en-GB"/>
        </w:rPr>
        <w:t>Rivista</w:t>
      </w:r>
      <w:proofErr w:type="spellEnd"/>
      <w:r w:rsidRPr="00D81523">
        <w:rPr>
          <w:sz w:val="20"/>
          <w:lang w:val="en-GB"/>
        </w:rPr>
        <w:t xml:space="preserve"> di </w:t>
      </w:r>
      <w:proofErr w:type="spellStart"/>
      <w:r w:rsidRPr="00D81523">
        <w:rPr>
          <w:sz w:val="20"/>
          <w:lang w:val="en-GB"/>
        </w:rPr>
        <w:t>diritto</w:t>
      </w:r>
      <w:proofErr w:type="spellEnd"/>
      <w:r w:rsidRPr="00D81523">
        <w:rPr>
          <w:sz w:val="20"/>
          <w:lang w:val="en-GB"/>
        </w:rPr>
        <w:t xml:space="preserve"> </w:t>
      </w:r>
      <w:proofErr w:type="spellStart"/>
      <w:r w:rsidRPr="00D81523">
        <w:rPr>
          <w:sz w:val="20"/>
          <w:lang w:val="en-GB"/>
        </w:rPr>
        <w:t>internazionale</w:t>
      </w:r>
      <w:proofErr w:type="spellEnd"/>
      <w:r w:rsidRPr="00D81523">
        <w:rPr>
          <w:sz w:val="20"/>
          <w:lang w:val="en-GB"/>
        </w:rPr>
        <w:t xml:space="preserve"> 49; A </w:t>
      </w:r>
      <w:proofErr w:type="spellStart"/>
      <w:r w:rsidRPr="00D81523">
        <w:rPr>
          <w:sz w:val="20"/>
          <w:lang w:val="en-GB"/>
        </w:rPr>
        <w:t>Orakhelashvili</w:t>
      </w:r>
      <w:proofErr w:type="spellEnd"/>
      <w:r w:rsidRPr="00D81523">
        <w:rPr>
          <w:sz w:val="20"/>
          <w:lang w:val="en-GB"/>
        </w:rPr>
        <w:t>, ‘The Competence of the International Court of Justice and the Doctrine of the Indispensable party: from Monetary Gold to East Timor and beyond’ (2011) 2 Journal of International Dispute Settlement 373.</w:t>
      </w:r>
    </w:p>
  </w:footnote>
  <w:footnote w:id="22">
    <w:p w14:paraId="5D5382EB"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 e.g. G Born, </w:t>
      </w:r>
      <w:r w:rsidRPr="00D81523">
        <w:rPr>
          <w:i/>
          <w:iCs/>
          <w:sz w:val="20"/>
          <w:lang w:val="en-GB"/>
        </w:rPr>
        <w:t>International Commercial Arbitration</w:t>
      </w:r>
      <w:r w:rsidRPr="00D81523">
        <w:rPr>
          <w:sz w:val="20"/>
          <w:lang w:val="en-GB"/>
        </w:rPr>
        <w:t xml:space="preserve"> (3</w:t>
      </w:r>
      <w:r w:rsidRPr="00D81523">
        <w:rPr>
          <w:sz w:val="20"/>
          <w:vertAlign w:val="superscript"/>
          <w:lang w:val="en-GB"/>
        </w:rPr>
        <w:t>rd</w:t>
      </w:r>
      <w:r w:rsidRPr="00D81523">
        <w:rPr>
          <w:sz w:val="20"/>
          <w:lang w:val="en-GB"/>
        </w:rPr>
        <w:t>, Kluwer Law International, The Hague 2009) 1142.</w:t>
      </w:r>
    </w:p>
  </w:footnote>
  <w:footnote w:id="23">
    <w:p w14:paraId="2871AB52" w14:textId="3075A080" w:rsidR="00B10BDB" w:rsidRPr="00D81523" w:rsidRDefault="00B10BDB" w:rsidP="00D12AE4">
      <w:pPr>
        <w:pStyle w:val="FootnoteText"/>
        <w:jc w:val="both"/>
        <w:rPr>
          <w:sz w:val="20"/>
          <w:lang w:val="en-US"/>
        </w:rPr>
      </w:pPr>
      <w:r w:rsidRPr="00D81523">
        <w:rPr>
          <w:rStyle w:val="FootnoteReference"/>
          <w:sz w:val="20"/>
        </w:rPr>
        <w:footnoteRef/>
      </w:r>
      <w:r w:rsidRPr="00D81523">
        <w:rPr>
          <w:sz w:val="20"/>
        </w:rPr>
        <w:t xml:space="preserve"> </w:t>
      </w:r>
      <w:proofErr w:type="spellStart"/>
      <w:r w:rsidRPr="00D81523">
        <w:rPr>
          <w:sz w:val="20"/>
        </w:rPr>
        <w:t>Cf</w:t>
      </w:r>
      <w:proofErr w:type="spellEnd"/>
      <w:r w:rsidRPr="00D81523">
        <w:rPr>
          <w:sz w:val="20"/>
        </w:rPr>
        <w:t xml:space="preserve"> R </w:t>
      </w:r>
      <w:proofErr w:type="spellStart"/>
      <w:r w:rsidRPr="00D81523">
        <w:rPr>
          <w:sz w:val="20"/>
        </w:rPr>
        <w:t>Jennings</w:t>
      </w:r>
      <w:proofErr w:type="spellEnd"/>
      <w:r w:rsidRPr="00D81523">
        <w:rPr>
          <w:sz w:val="20"/>
        </w:rPr>
        <w:t xml:space="preserve">, ‘State </w:t>
      </w:r>
      <w:proofErr w:type="spellStart"/>
      <w:r w:rsidRPr="00D81523">
        <w:rPr>
          <w:sz w:val="20"/>
        </w:rPr>
        <w:t>Contracts</w:t>
      </w:r>
      <w:proofErr w:type="spellEnd"/>
      <w:r w:rsidRPr="00D81523">
        <w:rPr>
          <w:sz w:val="20"/>
        </w:rPr>
        <w:t xml:space="preserve"> in International Law’ (1961) 37 </w:t>
      </w:r>
      <w:r w:rsidR="001831DB">
        <w:rPr>
          <w:sz w:val="20"/>
        </w:rPr>
        <w:t>BYIL</w:t>
      </w:r>
      <w:r w:rsidRPr="00D81523">
        <w:rPr>
          <w:sz w:val="20"/>
        </w:rPr>
        <w:t xml:space="preserve"> 156; A </w:t>
      </w:r>
      <w:proofErr w:type="spellStart"/>
      <w:r w:rsidRPr="00D81523">
        <w:rPr>
          <w:sz w:val="20"/>
        </w:rPr>
        <w:t>McNair</w:t>
      </w:r>
      <w:proofErr w:type="spellEnd"/>
      <w:r w:rsidRPr="00D81523">
        <w:rPr>
          <w:sz w:val="20"/>
        </w:rPr>
        <w:t xml:space="preserve">, The General </w:t>
      </w:r>
      <w:proofErr w:type="spellStart"/>
      <w:r w:rsidRPr="00D81523">
        <w:rPr>
          <w:sz w:val="20"/>
        </w:rPr>
        <w:t>Principles</w:t>
      </w:r>
      <w:proofErr w:type="spellEnd"/>
      <w:r w:rsidRPr="00D81523">
        <w:rPr>
          <w:sz w:val="20"/>
        </w:rPr>
        <w:t xml:space="preserve"> of Law </w:t>
      </w:r>
      <w:proofErr w:type="spellStart"/>
      <w:r w:rsidRPr="00D81523">
        <w:rPr>
          <w:sz w:val="20"/>
        </w:rPr>
        <w:t>Recognized</w:t>
      </w:r>
      <w:proofErr w:type="spellEnd"/>
      <w:r w:rsidRPr="00D81523">
        <w:rPr>
          <w:sz w:val="20"/>
        </w:rPr>
        <w:t xml:space="preserve"> by </w:t>
      </w:r>
      <w:proofErr w:type="spellStart"/>
      <w:r w:rsidRPr="00D81523">
        <w:rPr>
          <w:sz w:val="20"/>
        </w:rPr>
        <w:t>Civilized</w:t>
      </w:r>
      <w:proofErr w:type="spellEnd"/>
      <w:r w:rsidRPr="00D81523">
        <w:rPr>
          <w:sz w:val="20"/>
        </w:rPr>
        <w:t xml:space="preserve"> Nations’ (1957) 23 </w:t>
      </w:r>
      <w:r w:rsidR="001831DB">
        <w:rPr>
          <w:sz w:val="20"/>
        </w:rPr>
        <w:t>BYIL</w:t>
      </w:r>
      <w:r w:rsidRPr="00D81523">
        <w:rPr>
          <w:sz w:val="20"/>
        </w:rPr>
        <w:t xml:space="preserve"> 1; F A Mann, ‘State </w:t>
      </w:r>
      <w:proofErr w:type="spellStart"/>
      <w:r w:rsidRPr="00D81523">
        <w:rPr>
          <w:sz w:val="20"/>
        </w:rPr>
        <w:t>Contracts</w:t>
      </w:r>
      <w:proofErr w:type="spellEnd"/>
      <w:r w:rsidRPr="00D81523">
        <w:rPr>
          <w:sz w:val="20"/>
        </w:rPr>
        <w:t xml:space="preserve"> and State </w:t>
      </w:r>
      <w:proofErr w:type="spellStart"/>
      <w:r w:rsidRPr="00D81523">
        <w:rPr>
          <w:sz w:val="20"/>
        </w:rPr>
        <w:t>Responsibility</w:t>
      </w:r>
      <w:proofErr w:type="spellEnd"/>
      <w:r w:rsidRPr="00D81523">
        <w:rPr>
          <w:sz w:val="20"/>
        </w:rPr>
        <w:t>’ (1960) 54 AJIL 572; P Weil, ‘</w:t>
      </w:r>
      <w:proofErr w:type="spellStart"/>
      <w:r w:rsidRPr="00D81523">
        <w:rPr>
          <w:sz w:val="20"/>
        </w:rPr>
        <w:t>Problèmes</w:t>
      </w:r>
      <w:proofErr w:type="spellEnd"/>
      <w:r w:rsidRPr="00D81523">
        <w:rPr>
          <w:sz w:val="20"/>
        </w:rPr>
        <w:t xml:space="preserve"> relatifs aux contrats </w:t>
      </w:r>
      <w:proofErr w:type="spellStart"/>
      <w:r w:rsidRPr="00D81523">
        <w:rPr>
          <w:sz w:val="20"/>
        </w:rPr>
        <w:t>passés</w:t>
      </w:r>
      <w:proofErr w:type="spellEnd"/>
      <w:r w:rsidRPr="00D81523">
        <w:rPr>
          <w:sz w:val="20"/>
        </w:rPr>
        <w:t xml:space="preserve"> entre un </w:t>
      </w:r>
      <w:proofErr w:type="spellStart"/>
      <w:r w:rsidRPr="00D81523">
        <w:rPr>
          <w:sz w:val="20"/>
        </w:rPr>
        <w:t>État</w:t>
      </w:r>
      <w:proofErr w:type="spellEnd"/>
      <w:r w:rsidRPr="00D81523">
        <w:rPr>
          <w:sz w:val="20"/>
        </w:rPr>
        <w:t xml:space="preserve"> et un particulier’ (1969) 105 RCADI 95; W </w:t>
      </w:r>
      <w:proofErr w:type="spellStart"/>
      <w:r w:rsidRPr="00D81523">
        <w:rPr>
          <w:sz w:val="20"/>
        </w:rPr>
        <w:t>Wengler</w:t>
      </w:r>
      <w:proofErr w:type="spellEnd"/>
      <w:r w:rsidRPr="00D81523">
        <w:rPr>
          <w:sz w:val="20"/>
        </w:rPr>
        <w:t xml:space="preserve">, ‘Les accords entre </w:t>
      </w:r>
      <w:proofErr w:type="spellStart"/>
      <w:r w:rsidRPr="00D81523">
        <w:rPr>
          <w:sz w:val="20"/>
        </w:rPr>
        <w:t>Etats</w:t>
      </w:r>
      <w:proofErr w:type="spellEnd"/>
      <w:r w:rsidRPr="00D81523">
        <w:rPr>
          <w:sz w:val="20"/>
        </w:rPr>
        <w:t xml:space="preserve"> et entreprises étrangères sont-ils des traités de droit international’ (1972) Revue générale de droit international public 313; G </w:t>
      </w:r>
      <w:proofErr w:type="spellStart"/>
      <w:r w:rsidRPr="00D81523">
        <w:rPr>
          <w:sz w:val="20"/>
        </w:rPr>
        <w:t>Sacerdoti</w:t>
      </w:r>
      <w:proofErr w:type="spellEnd"/>
      <w:r w:rsidRPr="00D81523">
        <w:rPr>
          <w:sz w:val="20"/>
        </w:rPr>
        <w:t xml:space="preserve">, </w:t>
      </w:r>
      <w:r w:rsidRPr="00E0479F">
        <w:rPr>
          <w:i/>
          <w:iCs/>
          <w:sz w:val="20"/>
        </w:rPr>
        <w:t xml:space="preserve">I </w:t>
      </w:r>
      <w:proofErr w:type="spellStart"/>
      <w:r w:rsidRPr="00E0479F">
        <w:rPr>
          <w:i/>
          <w:iCs/>
          <w:sz w:val="20"/>
        </w:rPr>
        <w:t>Contratti</w:t>
      </w:r>
      <w:proofErr w:type="spellEnd"/>
      <w:r w:rsidRPr="00E0479F">
        <w:rPr>
          <w:i/>
          <w:iCs/>
          <w:sz w:val="20"/>
        </w:rPr>
        <w:t xml:space="preserve"> </w:t>
      </w:r>
      <w:proofErr w:type="spellStart"/>
      <w:r w:rsidRPr="00E0479F">
        <w:rPr>
          <w:i/>
          <w:iCs/>
          <w:sz w:val="20"/>
        </w:rPr>
        <w:t>tra</w:t>
      </w:r>
      <w:proofErr w:type="spellEnd"/>
      <w:r w:rsidRPr="00E0479F">
        <w:rPr>
          <w:i/>
          <w:iCs/>
          <w:sz w:val="20"/>
        </w:rPr>
        <w:t xml:space="preserve"> </w:t>
      </w:r>
      <w:proofErr w:type="spellStart"/>
      <w:r w:rsidRPr="00E0479F">
        <w:rPr>
          <w:i/>
          <w:iCs/>
          <w:sz w:val="20"/>
        </w:rPr>
        <w:t>Stati</w:t>
      </w:r>
      <w:proofErr w:type="spellEnd"/>
      <w:r w:rsidRPr="00E0479F">
        <w:rPr>
          <w:i/>
          <w:iCs/>
          <w:sz w:val="20"/>
        </w:rPr>
        <w:t xml:space="preserve"> e </w:t>
      </w:r>
      <w:proofErr w:type="spellStart"/>
      <w:r w:rsidRPr="00E0479F">
        <w:rPr>
          <w:i/>
          <w:iCs/>
          <w:sz w:val="20"/>
        </w:rPr>
        <w:t>Stranieri</w:t>
      </w:r>
      <w:proofErr w:type="spellEnd"/>
      <w:r w:rsidRPr="00E0479F">
        <w:rPr>
          <w:i/>
          <w:iCs/>
          <w:sz w:val="20"/>
        </w:rPr>
        <w:t xml:space="preserve"> </w:t>
      </w:r>
      <w:proofErr w:type="spellStart"/>
      <w:r w:rsidRPr="00E0479F">
        <w:rPr>
          <w:i/>
          <w:iCs/>
          <w:sz w:val="20"/>
        </w:rPr>
        <w:t>nel</w:t>
      </w:r>
      <w:proofErr w:type="spellEnd"/>
      <w:r w:rsidRPr="00E0479F">
        <w:rPr>
          <w:i/>
          <w:iCs/>
          <w:sz w:val="20"/>
        </w:rPr>
        <w:t xml:space="preserve"> </w:t>
      </w:r>
      <w:proofErr w:type="spellStart"/>
      <w:r w:rsidRPr="00E0479F">
        <w:rPr>
          <w:i/>
          <w:iCs/>
          <w:sz w:val="20"/>
        </w:rPr>
        <w:t>Diritto</w:t>
      </w:r>
      <w:proofErr w:type="spellEnd"/>
      <w:r w:rsidRPr="00E0479F">
        <w:rPr>
          <w:i/>
          <w:iCs/>
          <w:sz w:val="20"/>
        </w:rPr>
        <w:t xml:space="preserve"> </w:t>
      </w:r>
      <w:proofErr w:type="spellStart"/>
      <w:r w:rsidRPr="00E0479F">
        <w:rPr>
          <w:i/>
          <w:iCs/>
          <w:sz w:val="20"/>
        </w:rPr>
        <w:t>Internazionale</w:t>
      </w:r>
      <w:proofErr w:type="spellEnd"/>
      <w:r w:rsidRPr="00D81523">
        <w:rPr>
          <w:sz w:val="20"/>
        </w:rPr>
        <w:t xml:space="preserve"> (</w:t>
      </w:r>
      <w:proofErr w:type="spellStart"/>
      <w:r w:rsidRPr="00D81523">
        <w:rPr>
          <w:sz w:val="20"/>
        </w:rPr>
        <w:t>Giuffrè</w:t>
      </w:r>
      <w:proofErr w:type="spellEnd"/>
      <w:r w:rsidRPr="00D81523">
        <w:rPr>
          <w:sz w:val="20"/>
        </w:rPr>
        <w:t xml:space="preserve">, Milan, 1972); J </w:t>
      </w:r>
      <w:proofErr w:type="spellStart"/>
      <w:r w:rsidRPr="00D81523">
        <w:rPr>
          <w:sz w:val="20"/>
        </w:rPr>
        <w:t>Verhoeven</w:t>
      </w:r>
      <w:proofErr w:type="spellEnd"/>
      <w:r w:rsidRPr="00D81523">
        <w:rPr>
          <w:sz w:val="20"/>
        </w:rPr>
        <w:t xml:space="preserve">, ‘Droit international des contrats et droit des gens’ (1978-1979) Revue belge de droit international 209; A </w:t>
      </w:r>
      <w:proofErr w:type="spellStart"/>
      <w:r w:rsidRPr="00D81523">
        <w:rPr>
          <w:sz w:val="20"/>
        </w:rPr>
        <w:t>A</w:t>
      </w:r>
      <w:proofErr w:type="spellEnd"/>
      <w:r w:rsidRPr="00D81523">
        <w:rPr>
          <w:sz w:val="20"/>
        </w:rPr>
        <w:t xml:space="preserve"> </w:t>
      </w:r>
      <w:proofErr w:type="spellStart"/>
      <w:r w:rsidRPr="00D81523">
        <w:rPr>
          <w:sz w:val="20"/>
        </w:rPr>
        <w:t>Fatouros</w:t>
      </w:r>
      <w:proofErr w:type="spellEnd"/>
      <w:r w:rsidRPr="00D81523">
        <w:rPr>
          <w:sz w:val="20"/>
        </w:rPr>
        <w:t xml:space="preserve">, ‘International Law and the </w:t>
      </w:r>
      <w:proofErr w:type="spellStart"/>
      <w:r w:rsidRPr="00D81523">
        <w:rPr>
          <w:sz w:val="20"/>
        </w:rPr>
        <w:t>Internationalized</w:t>
      </w:r>
      <w:proofErr w:type="spellEnd"/>
      <w:r w:rsidRPr="00D81523">
        <w:rPr>
          <w:sz w:val="20"/>
        </w:rPr>
        <w:t xml:space="preserve"> </w:t>
      </w:r>
      <w:proofErr w:type="spellStart"/>
      <w:r w:rsidRPr="00D81523">
        <w:rPr>
          <w:sz w:val="20"/>
        </w:rPr>
        <w:t>Contract</w:t>
      </w:r>
      <w:proofErr w:type="spellEnd"/>
      <w:r w:rsidRPr="00D81523">
        <w:rPr>
          <w:sz w:val="20"/>
        </w:rPr>
        <w:t xml:space="preserve">’ (1980) 74 AJIL 134; G R </w:t>
      </w:r>
      <w:proofErr w:type="spellStart"/>
      <w:r w:rsidRPr="00D81523">
        <w:rPr>
          <w:sz w:val="20"/>
        </w:rPr>
        <w:t>Delaume</w:t>
      </w:r>
      <w:proofErr w:type="spellEnd"/>
      <w:r w:rsidRPr="00D81523">
        <w:rPr>
          <w:sz w:val="20"/>
        </w:rPr>
        <w:t xml:space="preserve">, ‘State </w:t>
      </w:r>
      <w:proofErr w:type="spellStart"/>
      <w:r w:rsidRPr="00D81523">
        <w:rPr>
          <w:sz w:val="20"/>
        </w:rPr>
        <w:t>Contracts</w:t>
      </w:r>
      <w:proofErr w:type="spellEnd"/>
      <w:r w:rsidRPr="00D81523">
        <w:rPr>
          <w:sz w:val="20"/>
        </w:rPr>
        <w:t xml:space="preserve"> and Transnational Arbitration’ (1981) 75 AJIL 784; P </w:t>
      </w:r>
      <w:proofErr w:type="spellStart"/>
      <w:r w:rsidRPr="00D81523">
        <w:rPr>
          <w:sz w:val="20"/>
        </w:rPr>
        <w:t>Leboulanger</w:t>
      </w:r>
      <w:proofErr w:type="spellEnd"/>
      <w:r w:rsidRPr="00D81523">
        <w:rPr>
          <w:sz w:val="20"/>
        </w:rPr>
        <w:t xml:space="preserve">, Les Contrats entre </w:t>
      </w:r>
      <w:proofErr w:type="spellStart"/>
      <w:r w:rsidRPr="00D81523">
        <w:rPr>
          <w:sz w:val="20"/>
        </w:rPr>
        <w:t>etats</w:t>
      </w:r>
      <w:proofErr w:type="spellEnd"/>
      <w:r w:rsidRPr="00D81523">
        <w:rPr>
          <w:sz w:val="20"/>
        </w:rPr>
        <w:t xml:space="preserve"> et entreprises étrangères (</w:t>
      </w:r>
      <w:proofErr w:type="spellStart"/>
      <w:r w:rsidRPr="00D81523">
        <w:rPr>
          <w:sz w:val="20"/>
        </w:rPr>
        <w:t>Economica</w:t>
      </w:r>
      <w:proofErr w:type="spellEnd"/>
      <w:r w:rsidRPr="00D81523">
        <w:rPr>
          <w:sz w:val="20"/>
        </w:rPr>
        <w:t xml:space="preserve">, Paris 1985); F </w:t>
      </w:r>
      <w:proofErr w:type="spellStart"/>
      <w:r w:rsidRPr="00D81523">
        <w:rPr>
          <w:sz w:val="20"/>
        </w:rPr>
        <w:t>Rigaux</w:t>
      </w:r>
      <w:proofErr w:type="spellEnd"/>
      <w:r w:rsidRPr="00D81523">
        <w:rPr>
          <w:sz w:val="20"/>
        </w:rPr>
        <w:t xml:space="preserve">, ‘Les situations </w:t>
      </w:r>
      <w:proofErr w:type="spellStart"/>
      <w:r w:rsidRPr="00D81523">
        <w:rPr>
          <w:sz w:val="20"/>
        </w:rPr>
        <w:t>jurisdiques</w:t>
      </w:r>
      <w:proofErr w:type="spellEnd"/>
      <w:r w:rsidRPr="00D81523">
        <w:rPr>
          <w:sz w:val="20"/>
        </w:rPr>
        <w:t xml:space="preserve"> individuelles dans un système de relativité générale’ (1989) 213 RCADI 9, 154-169; A F M </w:t>
      </w:r>
      <w:proofErr w:type="spellStart"/>
      <w:r w:rsidRPr="00D81523">
        <w:rPr>
          <w:sz w:val="20"/>
        </w:rPr>
        <w:t>Maniruzzaman</w:t>
      </w:r>
      <w:proofErr w:type="spellEnd"/>
      <w:r w:rsidRPr="00D81523">
        <w:rPr>
          <w:sz w:val="20"/>
        </w:rPr>
        <w:t xml:space="preserve">, ‘State </w:t>
      </w:r>
      <w:proofErr w:type="spellStart"/>
      <w:r w:rsidRPr="00D81523">
        <w:rPr>
          <w:sz w:val="20"/>
        </w:rPr>
        <w:t>Contracts</w:t>
      </w:r>
      <w:proofErr w:type="spellEnd"/>
      <w:r w:rsidRPr="00D81523">
        <w:rPr>
          <w:sz w:val="20"/>
        </w:rPr>
        <w:t xml:space="preserve"> in </w:t>
      </w:r>
      <w:proofErr w:type="spellStart"/>
      <w:r w:rsidRPr="00D81523">
        <w:rPr>
          <w:sz w:val="20"/>
        </w:rPr>
        <w:t>Contemporary</w:t>
      </w:r>
      <w:proofErr w:type="spellEnd"/>
      <w:r w:rsidRPr="00D81523">
        <w:rPr>
          <w:sz w:val="20"/>
        </w:rPr>
        <w:t xml:space="preserve"> International Law: </w:t>
      </w:r>
      <w:proofErr w:type="spellStart"/>
      <w:r w:rsidRPr="00D81523">
        <w:rPr>
          <w:sz w:val="20"/>
        </w:rPr>
        <w:t>Monist</w:t>
      </w:r>
      <w:proofErr w:type="spellEnd"/>
      <w:r w:rsidRPr="00D81523">
        <w:rPr>
          <w:sz w:val="20"/>
        </w:rPr>
        <w:t xml:space="preserve"> versus </w:t>
      </w:r>
      <w:proofErr w:type="spellStart"/>
      <w:r w:rsidRPr="00D81523">
        <w:rPr>
          <w:sz w:val="20"/>
        </w:rPr>
        <w:t>Dualist</w:t>
      </w:r>
      <w:proofErr w:type="spellEnd"/>
      <w:r w:rsidRPr="00D81523">
        <w:rPr>
          <w:sz w:val="20"/>
        </w:rPr>
        <w:t xml:space="preserve"> </w:t>
      </w:r>
      <w:proofErr w:type="spellStart"/>
      <w:r w:rsidRPr="00D81523">
        <w:rPr>
          <w:sz w:val="20"/>
        </w:rPr>
        <w:t>Controversies</w:t>
      </w:r>
      <w:proofErr w:type="spellEnd"/>
      <w:r w:rsidRPr="00D81523">
        <w:rPr>
          <w:sz w:val="20"/>
        </w:rPr>
        <w:t>’ (2001) 12 EJIL 309; L El-</w:t>
      </w:r>
      <w:proofErr w:type="spellStart"/>
      <w:r w:rsidRPr="00D81523">
        <w:rPr>
          <w:sz w:val="20"/>
        </w:rPr>
        <w:t>Zein</w:t>
      </w:r>
      <w:proofErr w:type="spellEnd"/>
      <w:r w:rsidRPr="00D81523">
        <w:rPr>
          <w:sz w:val="20"/>
        </w:rPr>
        <w:t xml:space="preserve"> </w:t>
      </w:r>
      <w:proofErr w:type="spellStart"/>
      <w:r w:rsidRPr="00D81523">
        <w:rPr>
          <w:sz w:val="20"/>
        </w:rPr>
        <w:t>Lankarani</w:t>
      </w:r>
      <w:proofErr w:type="spellEnd"/>
      <w:r w:rsidRPr="00D81523">
        <w:rPr>
          <w:sz w:val="20"/>
        </w:rPr>
        <w:t xml:space="preserve">, </w:t>
      </w:r>
      <w:r w:rsidRPr="00E0479F">
        <w:rPr>
          <w:i/>
          <w:iCs/>
          <w:sz w:val="20"/>
        </w:rPr>
        <w:t>Les contrats d’État à l’épreuve du droit international</w:t>
      </w:r>
      <w:r w:rsidRPr="00D81523">
        <w:rPr>
          <w:sz w:val="20"/>
        </w:rPr>
        <w:t xml:space="preserve"> (</w:t>
      </w:r>
      <w:proofErr w:type="spellStart"/>
      <w:r w:rsidRPr="00D81523">
        <w:rPr>
          <w:sz w:val="20"/>
        </w:rPr>
        <w:t>Bruylant</w:t>
      </w:r>
      <w:proofErr w:type="spellEnd"/>
      <w:r w:rsidRPr="00D81523">
        <w:rPr>
          <w:sz w:val="20"/>
        </w:rPr>
        <w:t>, Brussels 2001); Leben</w:t>
      </w:r>
      <w:r>
        <w:rPr>
          <w:sz w:val="20"/>
        </w:rPr>
        <w:t xml:space="preserve"> (n </w:t>
      </w:r>
      <w:r w:rsidR="007167B2">
        <w:rPr>
          <w:sz w:val="20"/>
        </w:rPr>
        <w:t>3</w:t>
      </w:r>
      <w:r>
        <w:rPr>
          <w:sz w:val="20"/>
        </w:rPr>
        <w:t>)</w:t>
      </w:r>
      <w:r w:rsidRPr="00D81523">
        <w:rPr>
          <w:sz w:val="20"/>
        </w:rPr>
        <w:t xml:space="preserve">; I </w:t>
      </w:r>
      <w:proofErr w:type="spellStart"/>
      <w:r w:rsidRPr="00D81523">
        <w:rPr>
          <w:sz w:val="20"/>
        </w:rPr>
        <w:t>Alvik</w:t>
      </w:r>
      <w:proofErr w:type="spellEnd"/>
      <w:r w:rsidRPr="00D81523">
        <w:rPr>
          <w:sz w:val="20"/>
        </w:rPr>
        <w:t xml:space="preserve">, </w:t>
      </w:r>
      <w:proofErr w:type="spellStart"/>
      <w:r w:rsidRPr="00D81523">
        <w:rPr>
          <w:i/>
          <w:iCs/>
          <w:sz w:val="20"/>
        </w:rPr>
        <w:t>Contracting</w:t>
      </w:r>
      <w:proofErr w:type="spellEnd"/>
      <w:r w:rsidRPr="00D81523">
        <w:rPr>
          <w:i/>
          <w:iCs/>
          <w:sz w:val="20"/>
        </w:rPr>
        <w:t xml:space="preserve"> </w:t>
      </w:r>
      <w:proofErr w:type="spellStart"/>
      <w:r w:rsidRPr="00D81523">
        <w:rPr>
          <w:i/>
          <w:iCs/>
          <w:sz w:val="20"/>
        </w:rPr>
        <w:t>with</w:t>
      </w:r>
      <w:proofErr w:type="spellEnd"/>
      <w:r w:rsidRPr="00D81523">
        <w:rPr>
          <w:i/>
          <w:iCs/>
          <w:sz w:val="20"/>
        </w:rPr>
        <w:t xml:space="preserve"> </w:t>
      </w:r>
      <w:proofErr w:type="spellStart"/>
      <w:r w:rsidRPr="00D81523">
        <w:rPr>
          <w:i/>
          <w:iCs/>
          <w:sz w:val="20"/>
        </w:rPr>
        <w:t>Sovereignty</w:t>
      </w:r>
      <w:proofErr w:type="spellEnd"/>
      <w:r w:rsidRPr="00D81523">
        <w:rPr>
          <w:i/>
          <w:iCs/>
          <w:sz w:val="20"/>
        </w:rPr>
        <w:t xml:space="preserve">: State </w:t>
      </w:r>
      <w:proofErr w:type="spellStart"/>
      <w:r w:rsidRPr="00D81523">
        <w:rPr>
          <w:i/>
          <w:iCs/>
          <w:sz w:val="20"/>
        </w:rPr>
        <w:t>Contracts</w:t>
      </w:r>
      <w:proofErr w:type="spellEnd"/>
      <w:r w:rsidRPr="00D81523">
        <w:rPr>
          <w:i/>
          <w:iCs/>
          <w:sz w:val="20"/>
        </w:rPr>
        <w:t xml:space="preserve"> and International Arbitration</w:t>
      </w:r>
      <w:r w:rsidRPr="00D81523">
        <w:rPr>
          <w:sz w:val="20"/>
        </w:rPr>
        <w:t xml:space="preserve"> (Hart, Oxford 2011) 45-96; J Ho, ‘</w:t>
      </w:r>
      <w:proofErr w:type="spellStart"/>
      <w:r w:rsidRPr="00D81523">
        <w:rPr>
          <w:sz w:val="20"/>
        </w:rPr>
        <w:t>Unraveling</w:t>
      </w:r>
      <w:proofErr w:type="spellEnd"/>
      <w:r w:rsidRPr="00D81523">
        <w:rPr>
          <w:sz w:val="20"/>
        </w:rPr>
        <w:t xml:space="preserve"> the </w:t>
      </w:r>
      <w:proofErr w:type="spellStart"/>
      <w:r w:rsidRPr="00D81523">
        <w:rPr>
          <w:sz w:val="20"/>
        </w:rPr>
        <w:t>Lex</w:t>
      </w:r>
      <w:proofErr w:type="spellEnd"/>
      <w:r w:rsidRPr="00D81523">
        <w:rPr>
          <w:sz w:val="20"/>
        </w:rPr>
        <w:t xml:space="preserve"> </w:t>
      </w:r>
      <w:proofErr w:type="spellStart"/>
      <w:r w:rsidRPr="00D81523">
        <w:rPr>
          <w:sz w:val="20"/>
        </w:rPr>
        <w:t>Causae</w:t>
      </w:r>
      <w:proofErr w:type="spellEnd"/>
      <w:r w:rsidRPr="00D81523">
        <w:rPr>
          <w:sz w:val="20"/>
        </w:rPr>
        <w:t xml:space="preserve"> in Investment Claims’ (2014) 15 The Journal of World Investment and Trade 757; C L Lim, J Ho, and M </w:t>
      </w:r>
      <w:proofErr w:type="spellStart"/>
      <w:r w:rsidRPr="00D81523">
        <w:rPr>
          <w:sz w:val="20"/>
        </w:rPr>
        <w:t>Paparinskis</w:t>
      </w:r>
      <w:proofErr w:type="spellEnd"/>
      <w:r w:rsidRPr="00D81523">
        <w:rPr>
          <w:sz w:val="20"/>
        </w:rPr>
        <w:t xml:space="preserve">, </w:t>
      </w:r>
      <w:r w:rsidRPr="00D81523">
        <w:rPr>
          <w:i/>
          <w:iCs/>
          <w:sz w:val="20"/>
        </w:rPr>
        <w:t xml:space="preserve">International Investment Law and Arbitration: </w:t>
      </w:r>
      <w:proofErr w:type="spellStart"/>
      <w:r w:rsidRPr="00D81523">
        <w:rPr>
          <w:i/>
          <w:iCs/>
          <w:sz w:val="20"/>
        </w:rPr>
        <w:t>Commentary</w:t>
      </w:r>
      <w:proofErr w:type="spellEnd"/>
      <w:r w:rsidRPr="00D81523">
        <w:rPr>
          <w:i/>
          <w:iCs/>
          <w:sz w:val="20"/>
        </w:rPr>
        <w:t xml:space="preserve">, Awards and </w:t>
      </w:r>
      <w:proofErr w:type="spellStart"/>
      <w:r w:rsidRPr="00D81523">
        <w:rPr>
          <w:i/>
          <w:iCs/>
          <w:sz w:val="20"/>
        </w:rPr>
        <w:t>other</w:t>
      </w:r>
      <w:proofErr w:type="spellEnd"/>
      <w:r w:rsidRPr="00D81523">
        <w:rPr>
          <w:i/>
          <w:iCs/>
          <w:sz w:val="20"/>
        </w:rPr>
        <w:t xml:space="preserve"> </w:t>
      </w:r>
      <w:proofErr w:type="spellStart"/>
      <w:r w:rsidRPr="00D81523">
        <w:rPr>
          <w:i/>
          <w:iCs/>
          <w:sz w:val="20"/>
        </w:rPr>
        <w:t>Materials</w:t>
      </w:r>
      <w:proofErr w:type="spellEnd"/>
      <w:r w:rsidRPr="00D81523">
        <w:rPr>
          <w:sz w:val="20"/>
        </w:rPr>
        <w:t xml:space="preserve"> (2nd </w:t>
      </w:r>
      <w:proofErr w:type="spellStart"/>
      <w:r w:rsidRPr="00D81523">
        <w:rPr>
          <w:sz w:val="20"/>
        </w:rPr>
        <w:t>ed</w:t>
      </w:r>
      <w:proofErr w:type="spellEnd"/>
      <w:r w:rsidRPr="00D81523">
        <w:rPr>
          <w:sz w:val="20"/>
        </w:rPr>
        <w:t>, CUP, Cambridge 2021) 37-56.</w:t>
      </w:r>
    </w:p>
  </w:footnote>
  <w:footnote w:id="24">
    <w:p w14:paraId="3C92A3E2" w14:textId="2884B220" w:rsidR="00B10BDB" w:rsidRPr="00D81523" w:rsidRDefault="00B10BDB" w:rsidP="00D12AE4">
      <w:pPr>
        <w:pStyle w:val="FootnoteText"/>
        <w:jc w:val="both"/>
        <w:rPr>
          <w:sz w:val="20"/>
          <w:lang w:val="en-US"/>
        </w:rPr>
      </w:pPr>
      <w:r w:rsidRPr="00D81523">
        <w:rPr>
          <w:rStyle w:val="FootnoteReference"/>
          <w:sz w:val="20"/>
        </w:rPr>
        <w:footnoteRef/>
      </w:r>
      <w:r w:rsidRPr="00D81523">
        <w:rPr>
          <w:sz w:val="20"/>
        </w:rPr>
        <w:t xml:space="preserve"> </w:t>
      </w:r>
      <w:r w:rsidRPr="00D81523">
        <w:rPr>
          <w:sz w:val="20"/>
          <w:lang w:val="en-US"/>
        </w:rPr>
        <w:t xml:space="preserve">See </w:t>
      </w:r>
      <w:r w:rsidRPr="00D81523">
        <w:rPr>
          <w:sz w:val="20"/>
        </w:rPr>
        <w:t>Leben</w:t>
      </w:r>
      <w:r>
        <w:rPr>
          <w:sz w:val="20"/>
        </w:rPr>
        <w:t xml:space="preserve"> (n </w:t>
      </w:r>
      <w:r w:rsidR="007167B2">
        <w:rPr>
          <w:sz w:val="20"/>
        </w:rPr>
        <w:t>3</w:t>
      </w:r>
      <w:r>
        <w:rPr>
          <w:sz w:val="20"/>
        </w:rPr>
        <w:t>)</w:t>
      </w:r>
      <w:r w:rsidRPr="00D81523">
        <w:rPr>
          <w:sz w:val="20"/>
          <w:lang w:val="en-US"/>
        </w:rPr>
        <w:t xml:space="preserve"> 212.</w:t>
      </w:r>
    </w:p>
  </w:footnote>
  <w:footnote w:id="25">
    <w:p w14:paraId="252CA36F"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 also the difficulties in determining what constitutes ‘state entity’ for the purposes of applying Article 13(4) of the ICC Rules; ICC, Arbitration Involving States and State Entities under the ICC Rules of Arbitration, Report of the ICC Commission on Arbitration and ADR Task Force on Arbitration Involving States or State Entities (2012), para 40.</w:t>
      </w:r>
    </w:p>
  </w:footnote>
  <w:footnote w:id="26">
    <w:p w14:paraId="2A2F6EBB" w14:textId="6289F826"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w:t>
      </w:r>
      <w:r w:rsidRPr="00D81523">
        <w:rPr>
          <w:i/>
          <w:iCs/>
          <w:sz w:val="20"/>
          <w:lang w:val="en-GB"/>
        </w:rPr>
        <w:t xml:space="preserve"> Kabab-Ji SAL (Lebanon) v </w:t>
      </w:r>
      <w:proofErr w:type="spellStart"/>
      <w:r w:rsidRPr="00D81523">
        <w:rPr>
          <w:i/>
          <w:iCs/>
          <w:sz w:val="20"/>
          <w:lang w:val="en-GB"/>
        </w:rPr>
        <w:t>Kout</w:t>
      </w:r>
      <w:proofErr w:type="spellEnd"/>
      <w:r w:rsidRPr="00D81523">
        <w:rPr>
          <w:i/>
          <w:iCs/>
          <w:sz w:val="20"/>
          <w:lang w:val="en-GB"/>
        </w:rPr>
        <w:t xml:space="preserve"> Food Group (Kuwait)</w:t>
      </w:r>
      <w:r w:rsidRPr="00D81523">
        <w:rPr>
          <w:sz w:val="20"/>
          <w:lang w:val="en-GB"/>
        </w:rPr>
        <w:t xml:space="preserve"> [2020] EWCA </w:t>
      </w:r>
      <w:proofErr w:type="spellStart"/>
      <w:r w:rsidRPr="00D81523">
        <w:rPr>
          <w:sz w:val="20"/>
          <w:lang w:val="en-GB"/>
        </w:rPr>
        <w:t>Civ</w:t>
      </w:r>
      <w:proofErr w:type="spellEnd"/>
      <w:r w:rsidRPr="00D81523">
        <w:rPr>
          <w:sz w:val="20"/>
          <w:lang w:val="en-GB"/>
        </w:rPr>
        <w:t xml:space="preserve"> 6, para 10. See also E S Romero and L M </w:t>
      </w:r>
      <w:proofErr w:type="spellStart"/>
      <w:r w:rsidRPr="00D81523">
        <w:rPr>
          <w:sz w:val="20"/>
          <w:lang w:val="en-GB"/>
        </w:rPr>
        <w:t>Velarder</w:t>
      </w:r>
      <w:proofErr w:type="spellEnd"/>
      <w:r w:rsidRPr="00D81523">
        <w:rPr>
          <w:sz w:val="20"/>
          <w:lang w:val="en-GB"/>
        </w:rPr>
        <w:t xml:space="preserve"> </w:t>
      </w:r>
      <w:proofErr w:type="spellStart"/>
      <w:r w:rsidRPr="00D81523">
        <w:rPr>
          <w:sz w:val="20"/>
          <w:lang w:val="en-GB"/>
        </w:rPr>
        <w:t>Saffer</w:t>
      </w:r>
      <w:proofErr w:type="spellEnd"/>
      <w:r w:rsidRPr="00D81523">
        <w:rPr>
          <w:sz w:val="20"/>
          <w:lang w:val="en-GB"/>
        </w:rPr>
        <w:t xml:space="preserve">, ‘The Extension </w:t>
      </w:r>
      <w:proofErr w:type="gramStart"/>
      <w:r w:rsidRPr="00D81523">
        <w:rPr>
          <w:sz w:val="20"/>
          <w:lang w:val="en-GB"/>
        </w:rPr>
        <w:t>Of</w:t>
      </w:r>
      <w:proofErr w:type="gramEnd"/>
      <w:r w:rsidRPr="00D81523">
        <w:rPr>
          <w:sz w:val="20"/>
          <w:lang w:val="en-GB"/>
        </w:rPr>
        <w:t xml:space="preserve"> The Arbitral Agreement To Non-Signatories In Europe: A Uniform Approach?’ (2018) 5American University Business Law Review 371, 373 (‘The analysis of the extension of the arbitral agreement to </w:t>
      </w:r>
      <w:proofErr w:type="spellStart"/>
      <w:r w:rsidRPr="00D81523">
        <w:rPr>
          <w:sz w:val="20"/>
          <w:lang w:val="en-GB"/>
        </w:rPr>
        <w:t>nonsignatories</w:t>
      </w:r>
      <w:proofErr w:type="spellEnd"/>
      <w:r w:rsidRPr="00D81523">
        <w:rPr>
          <w:sz w:val="20"/>
          <w:lang w:val="en-GB"/>
        </w:rPr>
        <w:t xml:space="preserve"> should begin by identifying the law applicable to said agreement’).</w:t>
      </w:r>
    </w:p>
  </w:footnote>
  <w:footnote w:id="27">
    <w:p w14:paraId="292536E0" w14:textId="34C3F5B5"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B </w:t>
      </w:r>
      <w:proofErr w:type="spellStart"/>
      <w:r w:rsidRPr="00D81523">
        <w:rPr>
          <w:sz w:val="20"/>
          <w:lang w:val="en-GB"/>
        </w:rPr>
        <w:t>Hanotiau</w:t>
      </w:r>
      <w:proofErr w:type="spellEnd"/>
      <w:r w:rsidRPr="00D81523">
        <w:rPr>
          <w:sz w:val="20"/>
          <w:lang w:val="en-GB"/>
        </w:rPr>
        <w:t xml:space="preserve">, ‘Problems Raised by Complex Arbitrations Involving Multiple Contracts – Parties - Issue’ (2001) 18 Journal of International Arbitration 251; 255; W </w:t>
      </w:r>
      <w:proofErr w:type="spellStart"/>
      <w:r w:rsidRPr="00D81523">
        <w:rPr>
          <w:sz w:val="20"/>
          <w:lang w:val="en-GB"/>
        </w:rPr>
        <w:t>W</w:t>
      </w:r>
      <w:proofErr w:type="spellEnd"/>
      <w:r w:rsidRPr="00D81523">
        <w:rPr>
          <w:sz w:val="20"/>
          <w:lang w:val="en-GB"/>
        </w:rPr>
        <w:t xml:space="preserve"> Park, ‘Non-signatories and International Contracts: An Arbitrator’s Dilemma’ in Permanent Court of Arbitration (ed), </w:t>
      </w:r>
      <w:r w:rsidRPr="00D81523">
        <w:rPr>
          <w:i/>
          <w:iCs/>
          <w:sz w:val="20"/>
          <w:lang w:val="en-GB"/>
        </w:rPr>
        <w:t>Multiple Party Actions in International Arbitration</w:t>
      </w:r>
      <w:r w:rsidRPr="00D81523">
        <w:rPr>
          <w:sz w:val="20"/>
          <w:lang w:val="en-GB"/>
        </w:rPr>
        <w:t xml:space="preserve"> (OUP, Oxford 2009) 3-33, para 1.03.</w:t>
      </w:r>
      <w:r w:rsidRPr="006F567F">
        <w:rPr>
          <w:sz w:val="20"/>
          <w:lang w:val="en-GB"/>
        </w:rPr>
        <w:t xml:space="preserve"> Disputes regarding the law applicable to arbitration agreements usually arise because the arbitration agreement is valid under one law, but void or enforceable under another legal system. </w:t>
      </w:r>
      <w:r w:rsidRPr="00D81523">
        <w:rPr>
          <w:sz w:val="20"/>
          <w:lang w:val="en-GB"/>
        </w:rPr>
        <w:t>See also New York Convention, Art V(1)(a); see also UNCITRAL Model Law, Art 34(2)(a)(</w:t>
      </w:r>
      <w:proofErr w:type="spellStart"/>
      <w:r w:rsidRPr="00D81523">
        <w:rPr>
          <w:sz w:val="20"/>
          <w:lang w:val="en-GB"/>
        </w:rPr>
        <w:t>i</w:t>
      </w:r>
      <w:proofErr w:type="spellEnd"/>
      <w:r w:rsidRPr="00D81523">
        <w:rPr>
          <w:sz w:val="20"/>
          <w:lang w:val="en-GB"/>
        </w:rPr>
        <w:t>).</w:t>
      </w:r>
      <w:r>
        <w:rPr>
          <w:sz w:val="20"/>
          <w:lang w:val="en-GB"/>
        </w:rPr>
        <w:t xml:space="preserve"> </w:t>
      </w:r>
      <w:r w:rsidRPr="006F567F">
        <w:rPr>
          <w:sz w:val="20"/>
          <w:lang w:val="en-GB"/>
        </w:rPr>
        <w:t>For that reason, certain legal systems opt for greater flexibility, and by implication, higher chances of upholding the validity of the arbitration clause</w:t>
      </w:r>
      <w:r>
        <w:rPr>
          <w:sz w:val="20"/>
          <w:lang w:val="en-GB"/>
        </w:rPr>
        <w:t>. See</w:t>
      </w:r>
      <w:r w:rsidRPr="006F567F">
        <w:rPr>
          <w:sz w:val="20"/>
          <w:lang w:val="en-GB"/>
        </w:rPr>
        <w:t xml:space="preserve"> </w:t>
      </w:r>
      <w:r w:rsidRPr="00D81523">
        <w:rPr>
          <w:sz w:val="20"/>
          <w:lang w:val="en-GB"/>
        </w:rPr>
        <w:t>PILA, Article 178(2)</w:t>
      </w:r>
      <w:r>
        <w:rPr>
          <w:sz w:val="20"/>
          <w:lang w:val="en-GB"/>
        </w:rPr>
        <w:t xml:space="preserve"> and </w:t>
      </w:r>
      <w:r w:rsidRPr="00D81523">
        <w:rPr>
          <w:sz w:val="20"/>
          <w:lang w:val="en-GB"/>
        </w:rPr>
        <w:t>Article 9(6) of the Spanish Arbitration Act 60 / 2003 of 23 December 2003.</w:t>
      </w:r>
    </w:p>
  </w:footnote>
  <w:footnote w:id="28">
    <w:p w14:paraId="15293D8B" w14:textId="3282092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 xml:space="preserve">Enka </w:t>
      </w:r>
      <w:proofErr w:type="spellStart"/>
      <w:r w:rsidRPr="00D81523">
        <w:rPr>
          <w:i/>
          <w:iCs/>
          <w:sz w:val="20"/>
          <w:lang w:val="en-GB"/>
        </w:rPr>
        <w:t>Insaat</w:t>
      </w:r>
      <w:proofErr w:type="spellEnd"/>
      <w:r w:rsidRPr="00D81523">
        <w:rPr>
          <w:i/>
          <w:iCs/>
          <w:sz w:val="20"/>
          <w:lang w:val="en-GB"/>
        </w:rPr>
        <w:t xml:space="preserve"> </w:t>
      </w:r>
      <w:proofErr w:type="spellStart"/>
      <w:r w:rsidRPr="00D81523">
        <w:rPr>
          <w:i/>
          <w:iCs/>
          <w:sz w:val="20"/>
          <w:lang w:val="en-GB"/>
        </w:rPr>
        <w:t>Ve</w:t>
      </w:r>
      <w:proofErr w:type="spellEnd"/>
      <w:r w:rsidRPr="00D81523">
        <w:rPr>
          <w:i/>
          <w:iCs/>
          <w:sz w:val="20"/>
          <w:lang w:val="en-GB"/>
        </w:rPr>
        <w:t xml:space="preserve"> Sanayi AS v OOO Insurance Company Chubb</w:t>
      </w:r>
      <w:r w:rsidRPr="00D81523">
        <w:rPr>
          <w:sz w:val="20"/>
          <w:lang w:val="en-GB"/>
        </w:rPr>
        <w:t xml:space="preserve"> [2020] UKSC 38</w:t>
      </w:r>
      <w:r>
        <w:rPr>
          <w:sz w:val="20"/>
          <w:lang w:val="en-GB"/>
        </w:rPr>
        <w:t xml:space="preserve"> (‘</w:t>
      </w:r>
      <w:r w:rsidRPr="00C25B0A">
        <w:rPr>
          <w:i/>
          <w:iCs/>
          <w:sz w:val="20"/>
          <w:lang w:val="en-GB"/>
        </w:rPr>
        <w:t>Enka v Chubb</w:t>
      </w:r>
      <w:r>
        <w:rPr>
          <w:sz w:val="20"/>
          <w:lang w:val="en-GB"/>
        </w:rPr>
        <w:t>’)</w:t>
      </w:r>
      <w:r w:rsidRPr="00D81523">
        <w:rPr>
          <w:sz w:val="20"/>
          <w:lang w:val="en-GB"/>
        </w:rPr>
        <w:t xml:space="preserve">, para </w:t>
      </w:r>
      <w:r>
        <w:rPr>
          <w:sz w:val="20"/>
          <w:lang w:val="en-GB"/>
        </w:rPr>
        <w:t>29</w:t>
      </w:r>
      <w:r w:rsidRPr="00D81523">
        <w:rPr>
          <w:sz w:val="20"/>
          <w:lang w:val="en-GB"/>
        </w:rPr>
        <w:t xml:space="preserve">; </w:t>
      </w:r>
      <w:proofErr w:type="spellStart"/>
      <w:r w:rsidRPr="00D81523">
        <w:rPr>
          <w:i/>
          <w:iCs/>
          <w:sz w:val="20"/>
          <w:lang w:val="en-GB"/>
        </w:rPr>
        <w:t>Sulamérica</w:t>
      </w:r>
      <w:proofErr w:type="spellEnd"/>
      <w:r w:rsidRPr="00D81523">
        <w:rPr>
          <w:i/>
          <w:iCs/>
          <w:sz w:val="20"/>
          <w:lang w:val="en-GB"/>
        </w:rPr>
        <w:t xml:space="preserve"> Cia Nacional de </w:t>
      </w:r>
      <w:proofErr w:type="spellStart"/>
      <w:r w:rsidRPr="00D81523">
        <w:rPr>
          <w:i/>
          <w:iCs/>
          <w:sz w:val="20"/>
          <w:lang w:val="en-GB"/>
        </w:rPr>
        <w:t>Seguros</w:t>
      </w:r>
      <w:proofErr w:type="spellEnd"/>
      <w:r w:rsidRPr="00D81523">
        <w:rPr>
          <w:i/>
          <w:iCs/>
          <w:sz w:val="20"/>
          <w:lang w:val="en-GB"/>
        </w:rPr>
        <w:t xml:space="preserve"> SA v </w:t>
      </w:r>
      <w:proofErr w:type="spellStart"/>
      <w:r w:rsidRPr="00D81523">
        <w:rPr>
          <w:i/>
          <w:iCs/>
          <w:sz w:val="20"/>
          <w:lang w:val="en-GB"/>
        </w:rPr>
        <w:t>Enesa</w:t>
      </w:r>
      <w:proofErr w:type="spellEnd"/>
      <w:r w:rsidRPr="00D81523">
        <w:rPr>
          <w:i/>
          <w:iCs/>
          <w:sz w:val="20"/>
          <w:lang w:val="en-GB"/>
        </w:rPr>
        <w:t xml:space="preserve"> </w:t>
      </w:r>
      <w:proofErr w:type="spellStart"/>
      <w:r w:rsidRPr="00D81523">
        <w:rPr>
          <w:i/>
          <w:iCs/>
          <w:sz w:val="20"/>
          <w:lang w:val="en-GB"/>
        </w:rPr>
        <w:t>Engenharia</w:t>
      </w:r>
      <w:proofErr w:type="spellEnd"/>
      <w:r w:rsidRPr="00D81523">
        <w:rPr>
          <w:i/>
          <w:iCs/>
          <w:sz w:val="20"/>
          <w:lang w:val="en-GB"/>
        </w:rPr>
        <w:t xml:space="preserve"> SA</w:t>
      </w:r>
      <w:r w:rsidRPr="00D81523">
        <w:rPr>
          <w:sz w:val="20"/>
          <w:lang w:val="en-GB"/>
        </w:rPr>
        <w:t xml:space="preserve"> [2012] EWCA </w:t>
      </w:r>
      <w:proofErr w:type="spellStart"/>
      <w:r w:rsidRPr="00D81523">
        <w:rPr>
          <w:sz w:val="20"/>
          <w:lang w:val="en-GB"/>
        </w:rPr>
        <w:t>Civ</w:t>
      </w:r>
      <w:proofErr w:type="spellEnd"/>
      <w:r w:rsidRPr="00D81523">
        <w:rPr>
          <w:sz w:val="20"/>
          <w:lang w:val="en-GB"/>
        </w:rPr>
        <w:t xml:space="preserve"> 638, para 25. The parties can also agree on what the applicable law is after a dispute erupts</w:t>
      </w:r>
      <w:r>
        <w:rPr>
          <w:sz w:val="20"/>
          <w:lang w:val="en-GB"/>
        </w:rPr>
        <w:t>;</w:t>
      </w:r>
      <w:r w:rsidRPr="00D81523">
        <w:rPr>
          <w:sz w:val="20"/>
          <w:lang w:val="en-GB"/>
        </w:rPr>
        <w:t xml:space="preserve"> </w:t>
      </w:r>
      <w:r>
        <w:rPr>
          <w:sz w:val="20"/>
          <w:lang w:val="en-GB"/>
        </w:rPr>
        <w:t>s</w:t>
      </w:r>
      <w:r w:rsidRPr="00D81523">
        <w:rPr>
          <w:sz w:val="20"/>
          <w:lang w:val="en-GB"/>
        </w:rPr>
        <w:t xml:space="preserve">ee e.g. </w:t>
      </w:r>
      <w:r w:rsidRPr="00D81523">
        <w:rPr>
          <w:i/>
          <w:iCs/>
          <w:sz w:val="20"/>
          <w:lang w:val="en-GB"/>
        </w:rPr>
        <w:t>Ust-Kamenogorsk Hydropower Plant JSC v AES Ust-Kamenogorsk Hydropower Plant LLP</w:t>
      </w:r>
      <w:r w:rsidRPr="00D81523">
        <w:rPr>
          <w:sz w:val="20"/>
          <w:lang w:val="en-GB"/>
        </w:rPr>
        <w:t xml:space="preserve"> [2013] UKSC 35, para 6.</w:t>
      </w:r>
    </w:p>
  </w:footnote>
  <w:footnote w:id="29">
    <w:p w14:paraId="6A2AB085" w14:textId="4D79D5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C25B0A">
        <w:rPr>
          <w:i/>
          <w:iCs/>
          <w:sz w:val="20"/>
          <w:lang w:val="en-GB"/>
        </w:rPr>
        <w:t>Enka v Chubb</w:t>
      </w:r>
      <w:r w:rsidRPr="00D81523">
        <w:rPr>
          <w:sz w:val="20"/>
          <w:lang w:val="en-GB"/>
        </w:rPr>
        <w:t>, para 43;</w:t>
      </w:r>
      <w:r>
        <w:rPr>
          <w:sz w:val="20"/>
          <w:lang w:val="en-GB"/>
        </w:rPr>
        <w:t xml:space="preserve"> </w:t>
      </w:r>
      <w:proofErr w:type="spellStart"/>
      <w:r w:rsidRPr="00D81523">
        <w:rPr>
          <w:i/>
          <w:iCs/>
          <w:sz w:val="20"/>
          <w:lang w:val="en-GB"/>
        </w:rPr>
        <w:t>Sulamérica</w:t>
      </w:r>
      <w:proofErr w:type="spellEnd"/>
      <w:r w:rsidRPr="00D81523">
        <w:rPr>
          <w:i/>
          <w:iCs/>
          <w:sz w:val="20"/>
          <w:lang w:val="en-GB"/>
        </w:rPr>
        <w:t xml:space="preserve"> Cia Nacional de </w:t>
      </w:r>
      <w:proofErr w:type="spellStart"/>
      <w:r w:rsidRPr="00D81523">
        <w:rPr>
          <w:i/>
          <w:iCs/>
          <w:sz w:val="20"/>
          <w:lang w:val="en-GB"/>
        </w:rPr>
        <w:t>Seguros</w:t>
      </w:r>
      <w:proofErr w:type="spellEnd"/>
      <w:r w:rsidRPr="00D81523">
        <w:rPr>
          <w:i/>
          <w:iCs/>
          <w:sz w:val="20"/>
          <w:lang w:val="en-GB"/>
        </w:rPr>
        <w:t xml:space="preserve"> SA v </w:t>
      </w:r>
      <w:proofErr w:type="spellStart"/>
      <w:r w:rsidRPr="00D81523">
        <w:rPr>
          <w:i/>
          <w:iCs/>
          <w:sz w:val="20"/>
          <w:lang w:val="en-GB"/>
        </w:rPr>
        <w:t>Enesa</w:t>
      </w:r>
      <w:proofErr w:type="spellEnd"/>
      <w:r w:rsidRPr="00D81523">
        <w:rPr>
          <w:i/>
          <w:iCs/>
          <w:sz w:val="20"/>
          <w:lang w:val="en-GB"/>
        </w:rPr>
        <w:t xml:space="preserve"> </w:t>
      </w:r>
      <w:proofErr w:type="spellStart"/>
      <w:r w:rsidRPr="00D81523">
        <w:rPr>
          <w:i/>
          <w:iCs/>
          <w:sz w:val="20"/>
          <w:lang w:val="en-GB"/>
        </w:rPr>
        <w:t>Engenharia</w:t>
      </w:r>
      <w:proofErr w:type="spellEnd"/>
      <w:r w:rsidRPr="00D81523">
        <w:rPr>
          <w:i/>
          <w:iCs/>
          <w:sz w:val="20"/>
          <w:lang w:val="en-GB"/>
        </w:rPr>
        <w:t xml:space="preserve"> SA</w:t>
      </w:r>
      <w:r w:rsidRPr="00D81523">
        <w:rPr>
          <w:sz w:val="20"/>
          <w:lang w:val="en-GB"/>
        </w:rPr>
        <w:t xml:space="preserve"> [2012] EWCA </w:t>
      </w:r>
      <w:proofErr w:type="spellStart"/>
      <w:r w:rsidRPr="00D81523">
        <w:rPr>
          <w:sz w:val="20"/>
          <w:lang w:val="en-GB"/>
        </w:rPr>
        <w:t>Civ</w:t>
      </w:r>
      <w:proofErr w:type="spellEnd"/>
      <w:r w:rsidRPr="00D81523">
        <w:rPr>
          <w:sz w:val="20"/>
          <w:lang w:val="en-GB"/>
        </w:rPr>
        <w:t xml:space="preserve"> 638, para 11; S Pearson, ‘</w:t>
      </w:r>
      <w:proofErr w:type="spellStart"/>
      <w:r w:rsidRPr="00D81523">
        <w:rPr>
          <w:i/>
          <w:iCs/>
          <w:sz w:val="20"/>
          <w:lang w:val="en-GB"/>
        </w:rPr>
        <w:t>Sulamérica</w:t>
      </w:r>
      <w:proofErr w:type="spellEnd"/>
      <w:r w:rsidRPr="00D81523">
        <w:rPr>
          <w:i/>
          <w:iCs/>
          <w:sz w:val="20"/>
          <w:lang w:val="en-GB"/>
        </w:rPr>
        <w:t xml:space="preserve"> v. </w:t>
      </w:r>
      <w:proofErr w:type="spellStart"/>
      <w:r w:rsidRPr="00D81523">
        <w:rPr>
          <w:i/>
          <w:iCs/>
          <w:sz w:val="20"/>
          <w:lang w:val="en-GB"/>
        </w:rPr>
        <w:t>Enesa</w:t>
      </w:r>
      <w:proofErr w:type="spellEnd"/>
      <w:r w:rsidRPr="00D81523">
        <w:rPr>
          <w:sz w:val="20"/>
          <w:lang w:val="en-GB"/>
        </w:rPr>
        <w:t xml:space="preserve">: The Hidden Pro-validation Approach Adopted by the English Courts with Respect to the Proper Law of the Arbitration Agreement’ (2013) 29 Arbitration International 115, 117; K P Berger, ‘Re-Examining the Arbitration Agreement, Applicable Law Consensus or Confusion?’ in A van den Berg (ed), </w:t>
      </w:r>
      <w:r w:rsidRPr="00D81523">
        <w:rPr>
          <w:i/>
          <w:iCs/>
          <w:sz w:val="20"/>
          <w:lang w:val="en-GB"/>
        </w:rPr>
        <w:t>ICCA, International Arbitration 2006: Back to Basics?</w:t>
      </w:r>
      <w:r w:rsidRPr="00D81523">
        <w:rPr>
          <w:sz w:val="20"/>
          <w:lang w:val="en-GB"/>
        </w:rPr>
        <w:t xml:space="preserve"> (Kluwer Law International, The Hague 2007) 301-334, 302. </w:t>
      </w:r>
    </w:p>
  </w:footnote>
  <w:footnote w:id="30">
    <w:p w14:paraId="080A08FF" w14:textId="0A969669" w:rsidR="00B10BDB" w:rsidRPr="00D81523" w:rsidRDefault="00B10BDB" w:rsidP="00D12AE4">
      <w:pPr>
        <w:pStyle w:val="FootnoteText"/>
        <w:jc w:val="both"/>
        <w:rPr>
          <w:sz w:val="20"/>
          <w:lang w:val="en-GB"/>
        </w:rPr>
      </w:pPr>
      <w:r w:rsidRPr="00D81523">
        <w:rPr>
          <w:rStyle w:val="FootnoteReference"/>
          <w:sz w:val="20"/>
          <w:lang w:val="en-GB"/>
        </w:rPr>
        <w:footnoteRef/>
      </w:r>
      <w:r>
        <w:rPr>
          <w:sz w:val="20"/>
          <w:lang w:val="en-GB"/>
        </w:rPr>
        <w:t xml:space="preserve"> </w:t>
      </w:r>
      <w:r w:rsidRPr="00D81523">
        <w:rPr>
          <w:sz w:val="20"/>
          <w:lang w:val="en-GB"/>
        </w:rPr>
        <w:t>The distinction between the law of the seat (governing procedural matters (</w:t>
      </w:r>
      <w:proofErr w:type="spellStart"/>
      <w:r w:rsidRPr="00D81523">
        <w:rPr>
          <w:i/>
          <w:iCs/>
          <w:sz w:val="20"/>
          <w:lang w:val="en-GB"/>
        </w:rPr>
        <w:t>lex</w:t>
      </w:r>
      <w:proofErr w:type="spellEnd"/>
      <w:r w:rsidRPr="00D81523">
        <w:rPr>
          <w:i/>
          <w:iCs/>
          <w:sz w:val="20"/>
          <w:lang w:val="en-GB"/>
        </w:rPr>
        <w:t xml:space="preserve"> loci </w:t>
      </w:r>
      <w:proofErr w:type="spellStart"/>
      <w:r w:rsidRPr="00D81523">
        <w:rPr>
          <w:i/>
          <w:iCs/>
          <w:sz w:val="20"/>
          <w:lang w:val="en-GB"/>
        </w:rPr>
        <w:t>arbitri</w:t>
      </w:r>
      <w:proofErr w:type="spellEnd"/>
      <w:r w:rsidRPr="00D81523">
        <w:rPr>
          <w:sz w:val="20"/>
          <w:lang w:val="en-GB"/>
        </w:rPr>
        <w:t>)) and the law applicable to the dispute (</w:t>
      </w:r>
      <w:proofErr w:type="spellStart"/>
      <w:r w:rsidRPr="00D81523">
        <w:rPr>
          <w:i/>
          <w:iCs/>
          <w:sz w:val="20"/>
          <w:lang w:val="en-GB"/>
        </w:rPr>
        <w:t>lex</w:t>
      </w:r>
      <w:proofErr w:type="spellEnd"/>
      <w:r w:rsidRPr="00D81523">
        <w:rPr>
          <w:i/>
          <w:iCs/>
          <w:sz w:val="20"/>
          <w:lang w:val="en-GB"/>
        </w:rPr>
        <w:t xml:space="preserve"> cause</w:t>
      </w:r>
      <w:r w:rsidRPr="00D81523">
        <w:rPr>
          <w:sz w:val="20"/>
          <w:lang w:val="en-GB"/>
        </w:rPr>
        <w:t xml:space="preserve">) is fundamental in international arbitration, see W </w:t>
      </w:r>
      <w:proofErr w:type="spellStart"/>
      <w:r w:rsidRPr="00D81523">
        <w:rPr>
          <w:sz w:val="20"/>
          <w:lang w:val="en-GB"/>
        </w:rPr>
        <w:t>W</w:t>
      </w:r>
      <w:proofErr w:type="spellEnd"/>
      <w:r w:rsidRPr="00D81523">
        <w:rPr>
          <w:sz w:val="20"/>
          <w:lang w:val="en-GB"/>
        </w:rPr>
        <w:t xml:space="preserve"> Park, The Lex Loci </w:t>
      </w:r>
      <w:proofErr w:type="spellStart"/>
      <w:r w:rsidRPr="00D81523">
        <w:rPr>
          <w:sz w:val="20"/>
          <w:lang w:val="en-GB"/>
        </w:rPr>
        <w:t>Arbitri</w:t>
      </w:r>
      <w:proofErr w:type="spellEnd"/>
      <w:r w:rsidRPr="00D81523">
        <w:rPr>
          <w:sz w:val="20"/>
          <w:lang w:val="en-GB"/>
        </w:rPr>
        <w:t xml:space="preserve"> and International Commercial Arbitration (1983) 32 ICLQ 21; R Goode, The Role of the Lex Loci </w:t>
      </w:r>
      <w:proofErr w:type="spellStart"/>
      <w:r w:rsidRPr="00D81523">
        <w:rPr>
          <w:sz w:val="20"/>
          <w:lang w:val="en-GB"/>
        </w:rPr>
        <w:t>Arbitri</w:t>
      </w:r>
      <w:proofErr w:type="spellEnd"/>
      <w:r w:rsidRPr="00D81523">
        <w:rPr>
          <w:sz w:val="20"/>
          <w:lang w:val="en-GB"/>
        </w:rPr>
        <w:t xml:space="preserve"> in International Commercial Arbitration, (2001) 17 Arbitration International 19, 19. See also N Blackaby and C </w:t>
      </w:r>
      <w:proofErr w:type="spellStart"/>
      <w:r w:rsidRPr="00D81523">
        <w:rPr>
          <w:sz w:val="20"/>
          <w:lang w:val="en-GB"/>
        </w:rPr>
        <w:t>Partasides</w:t>
      </w:r>
      <w:proofErr w:type="spellEnd"/>
      <w:r w:rsidRPr="00D81523">
        <w:rPr>
          <w:sz w:val="20"/>
          <w:lang w:val="en-GB"/>
        </w:rPr>
        <w:t xml:space="preserve">, </w:t>
      </w:r>
      <w:r w:rsidRPr="00D81523">
        <w:rPr>
          <w:i/>
          <w:iCs/>
          <w:sz w:val="20"/>
          <w:lang w:val="en-GB"/>
        </w:rPr>
        <w:t>Redfern and Hunter on International Arbitration</w:t>
      </w:r>
      <w:r w:rsidRPr="00D81523">
        <w:rPr>
          <w:sz w:val="20"/>
          <w:lang w:val="en-GB"/>
        </w:rPr>
        <w:t xml:space="preserve"> (6</w:t>
      </w:r>
      <w:r w:rsidRPr="00D81523">
        <w:rPr>
          <w:sz w:val="20"/>
          <w:vertAlign w:val="superscript"/>
          <w:lang w:val="en-GB"/>
        </w:rPr>
        <w:t>th</w:t>
      </w:r>
      <w:r w:rsidRPr="00D81523">
        <w:rPr>
          <w:sz w:val="20"/>
          <w:lang w:val="en-GB"/>
        </w:rPr>
        <w:t xml:space="preserve"> ed, OUP, Oxford 2015) para 1.10</w:t>
      </w:r>
      <w:r>
        <w:rPr>
          <w:sz w:val="20"/>
          <w:lang w:val="en-GB"/>
        </w:rPr>
        <w:t>;</w:t>
      </w:r>
      <w:r w:rsidRPr="00D81523">
        <w:rPr>
          <w:sz w:val="20"/>
          <w:lang w:val="en-GB"/>
        </w:rPr>
        <w:t xml:space="preserve"> </w:t>
      </w:r>
      <w:r w:rsidRPr="00D81523">
        <w:rPr>
          <w:i/>
          <w:iCs/>
          <w:sz w:val="20"/>
          <w:lang w:val="en-GB"/>
        </w:rPr>
        <w:t>State Joint Stock Company (Uzbekistan) v State agency (India)</w:t>
      </w:r>
      <w:r w:rsidRPr="00D81523">
        <w:rPr>
          <w:sz w:val="20"/>
          <w:lang w:val="en-GB"/>
        </w:rPr>
        <w:t>, ICC Case No 14667, Final Award, 2011 in A Jan van den Berg (ed), Yearbook Commercial Arbitration 2015, Volume 40 (Kluwer Law International, The Hague 2015) 51, 60-61.</w:t>
      </w:r>
    </w:p>
  </w:footnote>
  <w:footnote w:id="31">
    <w:p w14:paraId="7FBE8C9A" w14:textId="636FB64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Channel Tunnel Group Ltd v Balfour Beatty Construction Ltd</w:t>
      </w:r>
      <w:r w:rsidRPr="00D81523">
        <w:rPr>
          <w:sz w:val="20"/>
          <w:lang w:val="en-GB"/>
        </w:rPr>
        <w:t xml:space="preserve"> [1993] 1 All ER 664, 682, [1993] AC 334, 357–358. See also </w:t>
      </w:r>
      <w:r w:rsidRPr="00D81523">
        <w:rPr>
          <w:i/>
          <w:iCs/>
          <w:sz w:val="20"/>
          <w:lang w:val="en-GB"/>
        </w:rPr>
        <w:t xml:space="preserve">Black Clawson International Ltd v </w:t>
      </w:r>
      <w:proofErr w:type="spellStart"/>
      <w:r w:rsidRPr="00D81523">
        <w:rPr>
          <w:i/>
          <w:iCs/>
          <w:sz w:val="20"/>
          <w:lang w:val="en-GB"/>
        </w:rPr>
        <w:t>Papierwerke</w:t>
      </w:r>
      <w:proofErr w:type="spellEnd"/>
      <w:r w:rsidRPr="00D81523">
        <w:rPr>
          <w:i/>
          <w:iCs/>
          <w:sz w:val="20"/>
          <w:lang w:val="en-GB"/>
        </w:rPr>
        <w:t xml:space="preserve"> </w:t>
      </w:r>
      <w:proofErr w:type="spellStart"/>
      <w:r w:rsidRPr="00D81523">
        <w:rPr>
          <w:i/>
          <w:iCs/>
          <w:sz w:val="20"/>
          <w:lang w:val="en-GB"/>
        </w:rPr>
        <w:t>Waldhof-Aschaffenberg</w:t>
      </w:r>
      <w:proofErr w:type="spellEnd"/>
      <w:r w:rsidRPr="00D81523">
        <w:rPr>
          <w:i/>
          <w:iCs/>
          <w:sz w:val="20"/>
          <w:lang w:val="en-GB"/>
        </w:rPr>
        <w:t xml:space="preserve"> AG</w:t>
      </w:r>
      <w:r w:rsidRPr="00D81523">
        <w:rPr>
          <w:sz w:val="20"/>
          <w:lang w:val="en-GB"/>
        </w:rPr>
        <w:t xml:space="preserve"> [1982] 2 Lloyd’s Rep 446, 455, 456.</w:t>
      </w:r>
    </w:p>
  </w:footnote>
  <w:footnote w:id="32">
    <w:p w14:paraId="62E13F4C" w14:textId="520026F6" w:rsidR="00B10BDB" w:rsidRPr="00D81523" w:rsidRDefault="00B10BDB" w:rsidP="00D12AE4">
      <w:pPr>
        <w:pStyle w:val="FootnoteText"/>
        <w:jc w:val="both"/>
        <w:rPr>
          <w:sz w:val="20"/>
          <w:lang w:val="en-GB"/>
        </w:rPr>
      </w:pPr>
      <w:r w:rsidRPr="00D81523">
        <w:rPr>
          <w:rStyle w:val="FootnoteReference"/>
          <w:sz w:val="20"/>
          <w:lang w:val="en-GB"/>
        </w:rPr>
        <w:footnoteRef/>
      </w:r>
      <w:r>
        <w:rPr>
          <w:sz w:val="20"/>
          <w:lang w:val="en-GB"/>
        </w:rPr>
        <w:t xml:space="preserve"> </w:t>
      </w:r>
      <w:r w:rsidRPr="00C25B0A">
        <w:rPr>
          <w:i/>
          <w:iCs/>
          <w:sz w:val="20"/>
          <w:lang w:val="en-GB"/>
        </w:rPr>
        <w:t>Enka v Chubb</w:t>
      </w:r>
      <w:r w:rsidRPr="00D81523">
        <w:rPr>
          <w:sz w:val="20"/>
          <w:lang w:val="en-GB"/>
        </w:rPr>
        <w:t xml:space="preserve">, para 54. This was the conclusion reached in 2020 by the English Court of Appeal, </w:t>
      </w:r>
      <w:r w:rsidRPr="00D81523">
        <w:rPr>
          <w:i/>
          <w:iCs/>
          <w:sz w:val="20"/>
          <w:lang w:val="en-GB"/>
        </w:rPr>
        <w:t xml:space="preserve">Kabab-Ji SAL (Lebanon) v </w:t>
      </w:r>
      <w:proofErr w:type="spellStart"/>
      <w:r w:rsidRPr="00D81523">
        <w:rPr>
          <w:i/>
          <w:iCs/>
          <w:sz w:val="20"/>
          <w:lang w:val="en-GB"/>
        </w:rPr>
        <w:t>Kout</w:t>
      </w:r>
      <w:proofErr w:type="spellEnd"/>
      <w:r w:rsidRPr="00D81523">
        <w:rPr>
          <w:i/>
          <w:iCs/>
          <w:sz w:val="20"/>
          <w:lang w:val="en-GB"/>
        </w:rPr>
        <w:t xml:space="preserve"> Food Group (Kuwait)</w:t>
      </w:r>
      <w:r w:rsidRPr="00D81523">
        <w:rPr>
          <w:sz w:val="20"/>
          <w:lang w:val="en-GB"/>
        </w:rPr>
        <w:t xml:space="preserve"> [2020] EWCA </w:t>
      </w:r>
      <w:proofErr w:type="spellStart"/>
      <w:r w:rsidRPr="00D81523">
        <w:rPr>
          <w:sz w:val="20"/>
          <w:lang w:val="en-GB"/>
        </w:rPr>
        <w:t>Civ</w:t>
      </w:r>
      <w:proofErr w:type="spellEnd"/>
      <w:r w:rsidRPr="00D81523">
        <w:rPr>
          <w:sz w:val="20"/>
          <w:lang w:val="en-GB"/>
        </w:rPr>
        <w:t xml:space="preserve"> 6, para 62. See also </w:t>
      </w:r>
      <w:proofErr w:type="spellStart"/>
      <w:r w:rsidRPr="00D81523">
        <w:rPr>
          <w:i/>
          <w:iCs/>
          <w:sz w:val="20"/>
          <w:lang w:val="en-GB"/>
        </w:rPr>
        <w:t>Sulamérica</w:t>
      </w:r>
      <w:proofErr w:type="spellEnd"/>
      <w:r w:rsidRPr="00D81523">
        <w:rPr>
          <w:i/>
          <w:iCs/>
          <w:sz w:val="20"/>
          <w:lang w:val="en-GB"/>
        </w:rPr>
        <w:t xml:space="preserve"> Cia Nacional de </w:t>
      </w:r>
      <w:proofErr w:type="spellStart"/>
      <w:r w:rsidRPr="00D81523">
        <w:rPr>
          <w:i/>
          <w:iCs/>
          <w:sz w:val="20"/>
          <w:lang w:val="en-GB"/>
        </w:rPr>
        <w:t>Seguros</w:t>
      </w:r>
      <w:proofErr w:type="spellEnd"/>
      <w:r w:rsidRPr="00D81523">
        <w:rPr>
          <w:i/>
          <w:iCs/>
          <w:sz w:val="20"/>
          <w:lang w:val="en-GB"/>
        </w:rPr>
        <w:t xml:space="preserve"> SA &amp; Others v </w:t>
      </w:r>
      <w:proofErr w:type="spellStart"/>
      <w:r w:rsidRPr="00D81523">
        <w:rPr>
          <w:i/>
          <w:iCs/>
          <w:sz w:val="20"/>
          <w:lang w:val="en-GB"/>
        </w:rPr>
        <w:t>Enesa</w:t>
      </w:r>
      <w:proofErr w:type="spellEnd"/>
      <w:r w:rsidRPr="00D81523">
        <w:rPr>
          <w:i/>
          <w:iCs/>
          <w:sz w:val="20"/>
          <w:lang w:val="en-GB"/>
        </w:rPr>
        <w:t xml:space="preserve"> </w:t>
      </w:r>
      <w:proofErr w:type="spellStart"/>
      <w:r w:rsidRPr="00D81523">
        <w:rPr>
          <w:i/>
          <w:iCs/>
          <w:sz w:val="20"/>
          <w:lang w:val="en-GB"/>
        </w:rPr>
        <w:t>Engenharia</w:t>
      </w:r>
      <w:proofErr w:type="spellEnd"/>
      <w:r w:rsidRPr="00D81523">
        <w:rPr>
          <w:i/>
          <w:iCs/>
          <w:sz w:val="20"/>
          <w:lang w:val="en-GB"/>
        </w:rPr>
        <w:t xml:space="preserve"> SA</w:t>
      </w:r>
      <w:r w:rsidRPr="00D81523">
        <w:rPr>
          <w:sz w:val="20"/>
          <w:lang w:val="en-GB"/>
        </w:rPr>
        <w:t xml:space="preserve"> [2012] EWCA </w:t>
      </w:r>
      <w:proofErr w:type="spellStart"/>
      <w:r w:rsidRPr="00D81523">
        <w:rPr>
          <w:sz w:val="20"/>
          <w:lang w:val="en-GB"/>
        </w:rPr>
        <w:t>Civ</w:t>
      </w:r>
      <w:proofErr w:type="spellEnd"/>
      <w:r w:rsidRPr="00D81523">
        <w:rPr>
          <w:sz w:val="20"/>
          <w:lang w:val="en-GB"/>
        </w:rPr>
        <w:t xml:space="preserve"> 638, para 26; </w:t>
      </w:r>
      <w:proofErr w:type="spellStart"/>
      <w:r w:rsidRPr="00D81523">
        <w:rPr>
          <w:i/>
          <w:iCs/>
          <w:sz w:val="20"/>
          <w:lang w:val="en-GB"/>
        </w:rPr>
        <w:t>Arsanovia</w:t>
      </w:r>
      <w:proofErr w:type="spellEnd"/>
      <w:r w:rsidRPr="00D81523">
        <w:rPr>
          <w:i/>
          <w:iCs/>
          <w:sz w:val="20"/>
          <w:lang w:val="en-GB"/>
        </w:rPr>
        <w:t xml:space="preserve"> v Cruz City 1 Mauritius Holdings</w:t>
      </w:r>
      <w:r w:rsidRPr="00D81523">
        <w:rPr>
          <w:sz w:val="20"/>
          <w:lang w:val="en-GB"/>
        </w:rPr>
        <w:t xml:space="preserve"> [2012] EWHC 3702 (Comm), para 21; </w:t>
      </w:r>
      <w:r w:rsidRPr="00D81523">
        <w:rPr>
          <w:i/>
          <w:iCs/>
          <w:sz w:val="20"/>
          <w:lang w:val="en-GB"/>
        </w:rPr>
        <w:t>Channel Tunnel Group Ltd v Balfour Beatty Ltd</w:t>
      </w:r>
      <w:r w:rsidRPr="00D81523">
        <w:rPr>
          <w:sz w:val="20"/>
          <w:lang w:val="en-GB"/>
        </w:rPr>
        <w:t xml:space="preserve"> [1993] AC 334, 357-8 (per Lord </w:t>
      </w:r>
      <w:proofErr w:type="spellStart"/>
      <w:r w:rsidRPr="00D81523">
        <w:rPr>
          <w:sz w:val="20"/>
          <w:lang w:val="en-GB"/>
        </w:rPr>
        <w:t>Mustill</w:t>
      </w:r>
      <w:proofErr w:type="spellEnd"/>
      <w:r w:rsidRPr="00D81523">
        <w:rPr>
          <w:sz w:val="20"/>
          <w:lang w:val="en-GB"/>
        </w:rPr>
        <w:t xml:space="preserve">); </w:t>
      </w:r>
      <w:proofErr w:type="spellStart"/>
      <w:r w:rsidRPr="00D81523">
        <w:rPr>
          <w:sz w:val="20"/>
          <w:lang w:val="en-GB"/>
        </w:rPr>
        <w:t>cf</w:t>
      </w:r>
      <w:proofErr w:type="spellEnd"/>
      <w:r w:rsidRPr="00D81523">
        <w:rPr>
          <w:sz w:val="20"/>
          <w:lang w:val="en-GB"/>
        </w:rPr>
        <w:t xml:space="preserve"> </w:t>
      </w:r>
      <w:r w:rsidRPr="00D81523">
        <w:rPr>
          <w:i/>
          <w:iCs/>
          <w:sz w:val="20"/>
          <w:lang w:val="en-GB"/>
        </w:rPr>
        <w:t>C v D</w:t>
      </w:r>
      <w:r w:rsidRPr="00D81523">
        <w:rPr>
          <w:sz w:val="20"/>
          <w:lang w:val="en-GB"/>
        </w:rPr>
        <w:t xml:space="preserve"> [2007] EWCA </w:t>
      </w:r>
      <w:proofErr w:type="spellStart"/>
      <w:r w:rsidRPr="00D81523">
        <w:rPr>
          <w:sz w:val="20"/>
          <w:lang w:val="en-GB"/>
        </w:rPr>
        <w:t>Civ</w:t>
      </w:r>
      <w:proofErr w:type="spellEnd"/>
      <w:r w:rsidRPr="00D81523">
        <w:rPr>
          <w:sz w:val="20"/>
          <w:lang w:val="en-GB"/>
        </w:rPr>
        <w:t xml:space="preserve"> 1282, para 22; </w:t>
      </w:r>
      <w:r w:rsidRPr="00D81523">
        <w:rPr>
          <w:i/>
          <w:iCs/>
          <w:sz w:val="20"/>
          <w:lang w:val="en-GB"/>
        </w:rPr>
        <w:t>Abuja International Hotels Ltd v Meridien SAS</w:t>
      </w:r>
      <w:r w:rsidRPr="00D81523">
        <w:rPr>
          <w:sz w:val="20"/>
          <w:lang w:val="en-GB"/>
        </w:rPr>
        <w:t xml:space="preserve"> [2012] EWHC 87 (Comm), paras 21 and 22. The approach of the Courts in Singapore is more ambiguous: </w:t>
      </w:r>
      <w:proofErr w:type="spellStart"/>
      <w:r w:rsidRPr="00D81523">
        <w:rPr>
          <w:sz w:val="20"/>
          <w:lang w:val="en-GB"/>
        </w:rPr>
        <w:t>cf</w:t>
      </w:r>
      <w:proofErr w:type="spellEnd"/>
      <w:r w:rsidRPr="00D81523">
        <w:rPr>
          <w:sz w:val="20"/>
          <w:lang w:val="en-GB"/>
        </w:rPr>
        <w:t xml:space="preserve"> </w:t>
      </w:r>
      <w:r w:rsidRPr="00D81523">
        <w:rPr>
          <w:i/>
          <w:iCs/>
          <w:sz w:val="20"/>
          <w:lang w:val="en-GB"/>
        </w:rPr>
        <w:t>BCY v BCZ</w:t>
      </w:r>
      <w:r w:rsidRPr="00D81523">
        <w:rPr>
          <w:sz w:val="20"/>
          <w:lang w:val="en-GB"/>
        </w:rPr>
        <w:t xml:space="preserve"> [2016] SGHC 249 para 65; </w:t>
      </w:r>
      <w:r w:rsidRPr="00D81523">
        <w:rPr>
          <w:i/>
          <w:iCs/>
          <w:sz w:val="20"/>
          <w:lang w:val="en-GB"/>
        </w:rPr>
        <w:t xml:space="preserve">BNA v BNB and BNC </w:t>
      </w:r>
      <w:r w:rsidRPr="00D81523">
        <w:rPr>
          <w:sz w:val="20"/>
          <w:lang w:val="en-GB"/>
        </w:rPr>
        <w:t xml:space="preserve">[2019] SGCA 84, para 94; </w:t>
      </w:r>
      <w:proofErr w:type="spellStart"/>
      <w:r w:rsidRPr="00D81523">
        <w:rPr>
          <w:i/>
          <w:iCs/>
          <w:sz w:val="20"/>
          <w:lang w:val="en-GB"/>
        </w:rPr>
        <w:t>FirstLink</w:t>
      </w:r>
      <w:proofErr w:type="spellEnd"/>
      <w:r w:rsidRPr="00D81523">
        <w:rPr>
          <w:i/>
          <w:iCs/>
          <w:sz w:val="20"/>
          <w:lang w:val="en-GB"/>
        </w:rPr>
        <w:t xml:space="preserve"> Investments Corp Ltd v GT Payment Pte Ltd and others</w:t>
      </w:r>
      <w:r w:rsidRPr="00D81523">
        <w:rPr>
          <w:sz w:val="20"/>
          <w:lang w:val="en-GB"/>
        </w:rPr>
        <w:t xml:space="preserve"> [2014] SGHCR 12, para 12. See also A </w:t>
      </w:r>
      <w:proofErr w:type="spellStart"/>
      <w:r w:rsidRPr="00D81523">
        <w:rPr>
          <w:sz w:val="20"/>
          <w:lang w:val="en-GB"/>
        </w:rPr>
        <w:t>Yoong</w:t>
      </w:r>
      <w:proofErr w:type="spellEnd"/>
      <w:r w:rsidRPr="00D81523">
        <w:rPr>
          <w:sz w:val="20"/>
          <w:lang w:val="en-GB"/>
        </w:rPr>
        <w:t>, ‘Of principle, practicality, and precedents: the presumption of the arbitration agreement’s governing law’ (202</w:t>
      </w:r>
      <w:r>
        <w:rPr>
          <w:sz w:val="20"/>
          <w:lang w:val="en-GB"/>
        </w:rPr>
        <w:t>1</w:t>
      </w:r>
      <w:r w:rsidRPr="00D81523">
        <w:rPr>
          <w:sz w:val="20"/>
          <w:lang w:val="en-GB"/>
        </w:rPr>
        <w:t>) Arbitration International (forthcoming).</w:t>
      </w:r>
    </w:p>
  </w:footnote>
  <w:footnote w:id="33">
    <w:p w14:paraId="4CB3B8C3" w14:textId="6EE91806"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C25B0A">
        <w:rPr>
          <w:i/>
          <w:iCs/>
          <w:sz w:val="20"/>
          <w:lang w:val="en-GB"/>
        </w:rPr>
        <w:t>Enka v Chubb</w:t>
      </w:r>
      <w:r w:rsidRPr="00D81523">
        <w:rPr>
          <w:sz w:val="20"/>
          <w:lang w:val="en-GB"/>
        </w:rPr>
        <w:t>, para 118.</w:t>
      </w:r>
    </w:p>
  </w:footnote>
  <w:footnote w:id="34">
    <w:p w14:paraId="0E702B64" w14:textId="29236ED3"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Ibid, para 120.</w:t>
      </w:r>
      <w:r w:rsidRPr="006F567F">
        <w:rPr>
          <w:i/>
          <w:iCs/>
          <w:sz w:val="20"/>
          <w:lang w:val="en-GB"/>
        </w:rPr>
        <w:t xml:space="preserve"> </w:t>
      </w:r>
      <w:r>
        <w:rPr>
          <w:sz w:val="20"/>
          <w:lang w:val="en-GB"/>
        </w:rPr>
        <w:t xml:space="preserve">See also </w:t>
      </w:r>
      <w:proofErr w:type="spellStart"/>
      <w:r w:rsidRPr="00D81523">
        <w:rPr>
          <w:i/>
          <w:iCs/>
          <w:sz w:val="20"/>
          <w:lang w:val="en-GB"/>
        </w:rPr>
        <w:t>Habas</w:t>
      </w:r>
      <w:proofErr w:type="spellEnd"/>
      <w:r w:rsidRPr="00D81523">
        <w:rPr>
          <w:i/>
          <w:iCs/>
          <w:sz w:val="20"/>
          <w:lang w:val="en-GB"/>
        </w:rPr>
        <w:t xml:space="preserve"> Sinai </w:t>
      </w:r>
      <w:proofErr w:type="spellStart"/>
      <w:r w:rsidRPr="00D81523">
        <w:rPr>
          <w:i/>
          <w:iCs/>
          <w:sz w:val="20"/>
          <w:lang w:val="en-GB"/>
        </w:rPr>
        <w:t>Ve</w:t>
      </w:r>
      <w:proofErr w:type="spellEnd"/>
      <w:r w:rsidRPr="00D81523">
        <w:rPr>
          <w:i/>
          <w:iCs/>
          <w:sz w:val="20"/>
          <w:lang w:val="en-GB"/>
        </w:rPr>
        <w:t xml:space="preserve"> </w:t>
      </w:r>
      <w:proofErr w:type="spellStart"/>
      <w:r w:rsidRPr="00D81523">
        <w:rPr>
          <w:i/>
          <w:iCs/>
          <w:sz w:val="20"/>
          <w:lang w:val="en-GB"/>
        </w:rPr>
        <w:t>Tibbi</w:t>
      </w:r>
      <w:proofErr w:type="spellEnd"/>
      <w:r w:rsidRPr="00D81523">
        <w:rPr>
          <w:i/>
          <w:iCs/>
          <w:sz w:val="20"/>
          <w:lang w:val="en-GB"/>
        </w:rPr>
        <w:t xml:space="preserve"> </w:t>
      </w:r>
      <w:proofErr w:type="spellStart"/>
      <w:r w:rsidRPr="00D81523">
        <w:rPr>
          <w:i/>
          <w:iCs/>
          <w:sz w:val="20"/>
          <w:lang w:val="en-GB"/>
        </w:rPr>
        <w:t>Gazlar</w:t>
      </w:r>
      <w:proofErr w:type="spellEnd"/>
      <w:r w:rsidRPr="00D81523">
        <w:rPr>
          <w:i/>
          <w:iCs/>
          <w:sz w:val="20"/>
          <w:lang w:val="en-GB"/>
        </w:rPr>
        <w:t xml:space="preserve"> </w:t>
      </w:r>
      <w:proofErr w:type="spellStart"/>
      <w:r w:rsidRPr="00D81523">
        <w:rPr>
          <w:i/>
          <w:iCs/>
          <w:sz w:val="20"/>
          <w:lang w:val="en-GB"/>
        </w:rPr>
        <w:t>Istihsal</w:t>
      </w:r>
      <w:proofErr w:type="spellEnd"/>
      <w:r w:rsidRPr="00D81523">
        <w:rPr>
          <w:i/>
          <w:iCs/>
          <w:sz w:val="20"/>
          <w:lang w:val="en-GB"/>
        </w:rPr>
        <w:t xml:space="preserve"> </w:t>
      </w:r>
      <w:proofErr w:type="spellStart"/>
      <w:r w:rsidRPr="00D81523">
        <w:rPr>
          <w:i/>
          <w:iCs/>
          <w:sz w:val="20"/>
          <w:lang w:val="en-GB"/>
        </w:rPr>
        <w:t>Endustrisi</w:t>
      </w:r>
      <w:proofErr w:type="spellEnd"/>
      <w:r w:rsidRPr="00D81523">
        <w:rPr>
          <w:i/>
          <w:iCs/>
          <w:sz w:val="20"/>
          <w:lang w:val="en-GB"/>
        </w:rPr>
        <w:t xml:space="preserve"> AS v VSC Steel Company Ltd</w:t>
      </w:r>
      <w:r w:rsidRPr="00D81523">
        <w:rPr>
          <w:sz w:val="20"/>
          <w:lang w:val="en-GB"/>
        </w:rPr>
        <w:t xml:space="preserve"> [2013] EWHC 4071 (Comm), paras 101</w:t>
      </w:r>
      <w:r>
        <w:rPr>
          <w:sz w:val="20"/>
          <w:lang w:val="en-GB"/>
        </w:rPr>
        <w:t xml:space="preserve"> and </w:t>
      </w:r>
      <w:r w:rsidRPr="00D81523">
        <w:rPr>
          <w:i/>
          <w:iCs/>
          <w:sz w:val="20"/>
          <w:lang w:val="en-GB"/>
        </w:rPr>
        <w:t>Balkan Energy (Ghana) Limited v Republic of Ghana</w:t>
      </w:r>
      <w:r w:rsidRPr="00D81523">
        <w:rPr>
          <w:sz w:val="20"/>
          <w:lang w:val="en-GB"/>
        </w:rPr>
        <w:t>, PCA Case No 2010-7, Interim Award, 22 December 2010, para 151</w:t>
      </w:r>
      <w:r>
        <w:rPr>
          <w:sz w:val="20"/>
          <w:lang w:val="en-GB"/>
        </w:rPr>
        <w:t>.</w:t>
      </w:r>
    </w:p>
  </w:footnote>
  <w:footnote w:id="35">
    <w:p w14:paraId="0C1E8912" w14:textId="25D66F3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 xml:space="preserve">Peterson Farms Inc v C &amp; M Farming Ltd </w:t>
      </w:r>
      <w:r w:rsidRPr="00D81523">
        <w:rPr>
          <w:sz w:val="20"/>
          <w:lang w:val="en-GB"/>
        </w:rPr>
        <w:t>[2004] EWHC 121 (Comm), para 45.</w:t>
      </w:r>
    </w:p>
  </w:footnote>
  <w:footnote w:id="36">
    <w:p w14:paraId="63BA01D9" w14:textId="5928474A" w:rsidR="00B10BDB" w:rsidRPr="00D81523" w:rsidRDefault="00B10BDB" w:rsidP="00D12AE4">
      <w:pPr>
        <w:jc w:val="both"/>
        <w:rPr>
          <w:sz w:val="20"/>
          <w:szCs w:val="20"/>
          <w:lang w:val="en-GB"/>
        </w:rPr>
      </w:pPr>
      <w:r w:rsidRPr="00D81523">
        <w:rPr>
          <w:rStyle w:val="FootnoteReference"/>
          <w:sz w:val="20"/>
          <w:szCs w:val="20"/>
          <w:lang w:val="en-GB"/>
        </w:rPr>
        <w:footnoteRef/>
      </w:r>
      <w:r w:rsidRPr="00D81523">
        <w:rPr>
          <w:sz w:val="20"/>
          <w:szCs w:val="20"/>
          <w:lang w:val="en-GB"/>
        </w:rPr>
        <w:t xml:space="preserve"> </w:t>
      </w:r>
      <w:proofErr w:type="spellStart"/>
      <w:r>
        <w:rPr>
          <w:sz w:val="20"/>
          <w:szCs w:val="20"/>
          <w:lang w:val="en-GB"/>
        </w:rPr>
        <w:t>Cf</w:t>
      </w:r>
      <w:proofErr w:type="spellEnd"/>
      <w:r w:rsidRPr="00D81523">
        <w:rPr>
          <w:sz w:val="20"/>
          <w:szCs w:val="20"/>
          <w:lang w:val="en-GB"/>
        </w:rPr>
        <w:t xml:space="preserve"> 2020 and 2014 LCIA Rules, Art 16(4); 1998 LCIA Rules, Art 16(3).</w:t>
      </w:r>
    </w:p>
  </w:footnote>
  <w:footnote w:id="37">
    <w:p w14:paraId="4D7E21AE" w14:textId="77777777" w:rsidR="00B10BDB" w:rsidRPr="00D81523" w:rsidRDefault="00B10BDB" w:rsidP="00B10BDB">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Ashot</w:t>
      </w:r>
      <w:proofErr w:type="spellEnd"/>
      <w:r w:rsidRPr="00D81523">
        <w:rPr>
          <w:i/>
          <w:iCs/>
          <w:sz w:val="20"/>
          <w:lang w:val="en-GB"/>
        </w:rPr>
        <w:t xml:space="preserve"> </w:t>
      </w:r>
      <w:proofErr w:type="spellStart"/>
      <w:r w:rsidRPr="00D81523">
        <w:rPr>
          <w:i/>
          <w:iCs/>
          <w:sz w:val="20"/>
          <w:lang w:val="en-GB"/>
        </w:rPr>
        <w:t>Egiazaryan</w:t>
      </w:r>
      <w:proofErr w:type="spellEnd"/>
      <w:r w:rsidRPr="00D81523">
        <w:rPr>
          <w:i/>
          <w:iCs/>
          <w:sz w:val="20"/>
          <w:lang w:val="en-GB"/>
        </w:rPr>
        <w:t xml:space="preserve"> and Vitaly </w:t>
      </w:r>
      <w:proofErr w:type="spellStart"/>
      <w:r w:rsidRPr="00D81523">
        <w:rPr>
          <w:i/>
          <w:iCs/>
          <w:sz w:val="20"/>
          <w:lang w:val="en-GB"/>
        </w:rPr>
        <w:t>Gogokhiya</w:t>
      </w:r>
      <w:proofErr w:type="spellEnd"/>
      <w:r w:rsidRPr="00D81523">
        <w:rPr>
          <w:i/>
          <w:iCs/>
          <w:sz w:val="20"/>
          <w:lang w:val="en-GB"/>
        </w:rPr>
        <w:t xml:space="preserve"> v OJSC OEK Finance and The City of Moscow </w:t>
      </w:r>
      <w:r w:rsidRPr="00D81523">
        <w:rPr>
          <w:sz w:val="20"/>
          <w:lang w:val="en-GB"/>
        </w:rPr>
        <w:t>[2015] EWHC 3532 (Comm), para 21.</w:t>
      </w:r>
    </w:p>
  </w:footnote>
  <w:footnote w:id="38">
    <w:p w14:paraId="2DF9950D" w14:textId="015958C3" w:rsidR="00B10BDB" w:rsidRPr="00D81523" w:rsidRDefault="00B10BDB" w:rsidP="00D12AE4">
      <w:pPr>
        <w:jc w:val="both"/>
        <w:rPr>
          <w:sz w:val="20"/>
          <w:szCs w:val="20"/>
          <w:lang w:val="en-GB"/>
        </w:rPr>
      </w:pPr>
      <w:r w:rsidRPr="00D81523">
        <w:rPr>
          <w:rStyle w:val="FootnoteReference"/>
          <w:sz w:val="20"/>
          <w:szCs w:val="20"/>
          <w:lang w:val="en-GB"/>
        </w:rPr>
        <w:footnoteRef/>
      </w:r>
      <w:r w:rsidRPr="00D81523">
        <w:rPr>
          <w:sz w:val="20"/>
          <w:szCs w:val="20"/>
          <w:lang w:val="en-GB"/>
        </w:rPr>
        <w:t xml:space="preserve"> See R </w:t>
      </w:r>
      <w:proofErr w:type="spellStart"/>
      <w:r w:rsidRPr="00D81523">
        <w:rPr>
          <w:sz w:val="20"/>
          <w:szCs w:val="20"/>
          <w:lang w:val="en-GB"/>
        </w:rPr>
        <w:t>Nazzini</w:t>
      </w:r>
      <w:proofErr w:type="spellEnd"/>
      <w:r w:rsidRPr="00D81523">
        <w:rPr>
          <w:sz w:val="20"/>
          <w:szCs w:val="20"/>
          <w:lang w:val="en-GB"/>
        </w:rPr>
        <w:t xml:space="preserve">, ‘The Law Applicable to the Arbitration Agreement: towards Transnational Principles’ (2016) 65 ICLQ 681. The term ‘transnational’ is relatively new (coined </w:t>
      </w:r>
      <w:r>
        <w:rPr>
          <w:sz w:val="20"/>
          <w:szCs w:val="20"/>
          <w:lang w:val="en-GB"/>
        </w:rPr>
        <w:t xml:space="preserve">by </w:t>
      </w:r>
      <w:r w:rsidRPr="00D81523">
        <w:rPr>
          <w:sz w:val="20"/>
          <w:szCs w:val="20"/>
          <w:lang w:val="en-GB"/>
        </w:rPr>
        <w:t xml:space="preserve">Philipp Jessup in the 1950s) compared to the term ‘international’, which was introduced by Jeremy Bentham in 1789 to describe what was known until then as the ‘law of nations’, P Jessup, </w:t>
      </w:r>
      <w:r w:rsidRPr="00D81523">
        <w:rPr>
          <w:i/>
          <w:iCs/>
          <w:sz w:val="20"/>
          <w:szCs w:val="20"/>
          <w:lang w:val="en-GB"/>
        </w:rPr>
        <w:t>Transnational Law</w:t>
      </w:r>
      <w:r w:rsidRPr="00D81523">
        <w:rPr>
          <w:sz w:val="20"/>
          <w:szCs w:val="20"/>
          <w:lang w:val="en-GB"/>
        </w:rPr>
        <w:t xml:space="preserve"> (Yale University Press, New Haven 1956) 2.</w:t>
      </w:r>
    </w:p>
  </w:footnote>
  <w:footnote w:id="39">
    <w:p w14:paraId="46C0897B" w14:textId="74C8D70C" w:rsidR="00B10BDB" w:rsidRPr="00D81523" w:rsidRDefault="00B10BDB" w:rsidP="00D12AE4">
      <w:pPr>
        <w:pStyle w:val="FootnoteText"/>
        <w:jc w:val="both"/>
        <w:rPr>
          <w:rFonts w:cstheme="minorHAnsi"/>
          <w:iCs/>
          <w:sz w:val="20"/>
          <w:lang w:val="en-GB"/>
        </w:rPr>
      </w:pPr>
      <w:r w:rsidRPr="00D81523">
        <w:rPr>
          <w:rStyle w:val="FootnoteReference"/>
          <w:sz w:val="20"/>
          <w:lang w:val="en-GB"/>
        </w:rPr>
        <w:footnoteRef/>
      </w:r>
      <w:r w:rsidRPr="00D81523">
        <w:rPr>
          <w:sz w:val="20"/>
          <w:lang w:val="en-GB"/>
        </w:rPr>
        <w:t xml:space="preserve"> E Gaillard, ‘The Representation of International Arbitration’ (2010) 1</w:t>
      </w:r>
      <w:r>
        <w:rPr>
          <w:sz w:val="20"/>
          <w:lang w:val="el-GR"/>
        </w:rPr>
        <w:t xml:space="preserve"> </w:t>
      </w:r>
      <w:r w:rsidRPr="00D81523">
        <w:rPr>
          <w:sz w:val="20"/>
          <w:lang w:val="en-GB"/>
        </w:rPr>
        <w:t xml:space="preserve">Journal of International Dispute Settlement 271, 278. </w:t>
      </w:r>
      <w:r>
        <w:rPr>
          <w:sz w:val="20"/>
          <w:lang w:val="en-GB"/>
        </w:rPr>
        <w:t xml:space="preserve">See also </w:t>
      </w:r>
      <w:r w:rsidRPr="00D81523">
        <w:rPr>
          <w:rFonts w:cstheme="minorHAnsi"/>
          <w:i/>
          <w:sz w:val="20"/>
          <w:lang w:val="en-GB"/>
        </w:rPr>
        <w:t>Government of Kuwait v American Independent Oil Company (</w:t>
      </w:r>
      <w:proofErr w:type="spellStart"/>
      <w:r w:rsidRPr="00D81523">
        <w:rPr>
          <w:rFonts w:cstheme="minorHAnsi"/>
          <w:i/>
          <w:sz w:val="20"/>
          <w:lang w:val="en-GB"/>
        </w:rPr>
        <w:t>Aminoil</w:t>
      </w:r>
      <w:proofErr w:type="spellEnd"/>
      <w:r w:rsidRPr="00D81523">
        <w:rPr>
          <w:rFonts w:cstheme="minorHAnsi"/>
          <w:i/>
          <w:sz w:val="20"/>
          <w:lang w:val="en-GB"/>
        </w:rPr>
        <w:t>)</w:t>
      </w:r>
      <w:r w:rsidRPr="00D81523">
        <w:rPr>
          <w:rFonts w:cstheme="minorHAnsi"/>
          <w:iCs/>
          <w:sz w:val="20"/>
          <w:lang w:val="en-GB"/>
        </w:rPr>
        <w:t>, Award, 24 March 1982, 66 ILR 518</w:t>
      </w:r>
      <w:r>
        <w:rPr>
          <w:rFonts w:cstheme="minorHAnsi"/>
          <w:iCs/>
          <w:sz w:val="20"/>
          <w:lang w:val="en-GB"/>
        </w:rPr>
        <w:t xml:space="preserve"> (‘</w:t>
      </w:r>
      <w:proofErr w:type="spellStart"/>
      <w:r w:rsidRPr="00935E4D">
        <w:rPr>
          <w:rFonts w:cstheme="minorHAnsi"/>
          <w:i/>
          <w:sz w:val="20"/>
          <w:lang w:val="en-GB"/>
        </w:rPr>
        <w:t>Aminoil</w:t>
      </w:r>
      <w:proofErr w:type="spellEnd"/>
      <w:r>
        <w:rPr>
          <w:rFonts w:cstheme="minorHAnsi"/>
          <w:iCs/>
          <w:sz w:val="20"/>
          <w:lang w:val="en-GB"/>
        </w:rPr>
        <w:t>’)</w:t>
      </w:r>
      <w:r w:rsidRPr="00D81523">
        <w:rPr>
          <w:rFonts w:cstheme="minorHAnsi"/>
          <w:iCs/>
          <w:sz w:val="20"/>
          <w:lang w:val="en-GB"/>
        </w:rPr>
        <w:t>, 560.</w:t>
      </w:r>
      <w:r w:rsidRPr="00325937">
        <w:rPr>
          <w:sz w:val="20"/>
          <w:lang w:val="en-GB"/>
        </w:rPr>
        <w:t xml:space="preserve"> </w:t>
      </w:r>
      <w:proofErr w:type="spellStart"/>
      <w:r w:rsidRPr="00D81523">
        <w:rPr>
          <w:sz w:val="20"/>
          <w:lang w:val="en-GB"/>
        </w:rPr>
        <w:t>Cf</w:t>
      </w:r>
      <w:proofErr w:type="spellEnd"/>
      <w:r w:rsidRPr="00D81523">
        <w:rPr>
          <w:sz w:val="20"/>
          <w:lang w:val="en-GB"/>
        </w:rPr>
        <w:t xml:space="preserve"> F A Mann, ‘</w:t>
      </w:r>
      <w:r w:rsidRPr="00D81523">
        <w:rPr>
          <w:i/>
          <w:iCs/>
          <w:sz w:val="20"/>
          <w:lang w:val="en-GB"/>
        </w:rPr>
        <w:t xml:space="preserve">Lex </w:t>
      </w:r>
      <w:proofErr w:type="spellStart"/>
      <w:r w:rsidRPr="00D81523">
        <w:rPr>
          <w:i/>
          <w:iCs/>
          <w:sz w:val="20"/>
          <w:lang w:val="en-GB"/>
        </w:rPr>
        <w:t>Facit</w:t>
      </w:r>
      <w:proofErr w:type="spellEnd"/>
      <w:r w:rsidRPr="00D81523">
        <w:rPr>
          <w:i/>
          <w:iCs/>
          <w:sz w:val="20"/>
          <w:lang w:val="en-GB"/>
        </w:rPr>
        <w:t xml:space="preserve"> </w:t>
      </w:r>
      <w:proofErr w:type="spellStart"/>
      <w:r w:rsidRPr="00D81523">
        <w:rPr>
          <w:i/>
          <w:iCs/>
          <w:sz w:val="20"/>
          <w:lang w:val="en-GB"/>
        </w:rPr>
        <w:t>Arbitrum</w:t>
      </w:r>
      <w:proofErr w:type="spellEnd"/>
      <w:r w:rsidRPr="00D81523">
        <w:rPr>
          <w:sz w:val="20"/>
          <w:lang w:val="en-GB"/>
        </w:rPr>
        <w:t xml:space="preserve">’ in P Sanders (ed), </w:t>
      </w:r>
      <w:r w:rsidRPr="00D81523">
        <w:rPr>
          <w:i/>
          <w:iCs/>
          <w:sz w:val="20"/>
          <w:lang w:val="en-GB"/>
        </w:rPr>
        <w:t xml:space="preserve">International Arbitration: Liber </w:t>
      </w:r>
      <w:proofErr w:type="spellStart"/>
      <w:r w:rsidRPr="00D81523">
        <w:rPr>
          <w:i/>
          <w:iCs/>
          <w:sz w:val="20"/>
          <w:lang w:val="en-GB"/>
        </w:rPr>
        <w:t>Amicorum</w:t>
      </w:r>
      <w:proofErr w:type="spellEnd"/>
      <w:r w:rsidRPr="00D81523">
        <w:rPr>
          <w:i/>
          <w:iCs/>
          <w:sz w:val="20"/>
          <w:lang w:val="en-GB"/>
        </w:rPr>
        <w:t xml:space="preserve"> for Martin </w:t>
      </w:r>
      <w:proofErr w:type="spellStart"/>
      <w:r w:rsidRPr="00D81523">
        <w:rPr>
          <w:i/>
          <w:iCs/>
          <w:sz w:val="20"/>
          <w:lang w:val="en-GB"/>
        </w:rPr>
        <w:t>Domke</w:t>
      </w:r>
      <w:proofErr w:type="spellEnd"/>
      <w:r w:rsidRPr="00D81523">
        <w:rPr>
          <w:sz w:val="20"/>
          <w:lang w:val="en-GB"/>
        </w:rPr>
        <w:t xml:space="preserve"> (</w:t>
      </w:r>
      <w:proofErr w:type="spellStart"/>
      <w:r w:rsidRPr="00D81523">
        <w:rPr>
          <w:sz w:val="20"/>
          <w:lang w:val="en-GB"/>
        </w:rPr>
        <w:t>Martinus</w:t>
      </w:r>
      <w:proofErr w:type="spellEnd"/>
      <w:r w:rsidRPr="00D81523">
        <w:rPr>
          <w:sz w:val="20"/>
          <w:lang w:val="en-GB"/>
        </w:rPr>
        <w:t xml:space="preserve"> </w:t>
      </w:r>
      <w:proofErr w:type="spellStart"/>
      <w:r w:rsidRPr="00D81523">
        <w:rPr>
          <w:sz w:val="20"/>
          <w:lang w:val="en-GB"/>
        </w:rPr>
        <w:t>Nijhoff</w:t>
      </w:r>
      <w:proofErr w:type="spellEnd"/>
      <w:r w:rsidRPr="00D81523">
        <w:rPr>
          <w:sz w:val="20"/>
          <w:lang w:val="en-GB"/>
        </w:rPr>
        <w:t xml:space="preserve">, The Hague, 1967) 157-183, 161 and E Gaillard, ‘International Arbitration as a Transnational System of Justice’ in A J Van Den Berg (ed), </w:t>
      </w:r>
      <w:r w:rsidRPr="00D81523">
        <w:rPr>
          <w:i/>
          <w:iCs/>
          <w:sz w:val="20"/>
          <w:lang w:val="en-GB"/>
        </w:rPr>
        <w:t>Arbitration - The Next Fifty Years, ICCA Congress Series No 16</w:t>
      </w:r>
      <w:r w:rsidRPr="00D81523">
        <w:rPr>
          <w:sz w:val="20"/>
          <w:lang w:val="en-GB"/>
        </w:rPr>
        <w:t xml:space="preserve"> (Kluwer Law International, Alphen </w:t>
      </w:r>
      <w:proofErr w:type="spellStart"/>
      <w:r w:rsidRPr="00D81523">
        <w:rPr>
          <w:sz w:val="20"/>
          <w:lang w:val="en-GB"/>
        </w:rPr>
        <w:t>aan</w:t>
      </w:r>
      <w:proofErr w:type="spellEnd"/>
      <w:r w:rsidRPr="00D81523">
        <w:rPr>
          <w:sz w:val="20"/>
          <w:lang w:val="en-GB"/>
        </w:rPr>
        <w:t xml:space="preserve"> den Rijn 2012) 66-73 (and more generally E Gaillard, </w:t>
      </w:r>
      <w:r w:rsidRPr="00D81523">
        <w:rPr>
          <w:i/>
          <w:iCs/>
          <w:sz w:val="20"/>
          <w:lang w:val="en-GB"/>
        </w:rPr>
        <w:t>Legal Theory of International Arbitration</w:t>
      </w:r>
      <w:r w:rsidRPr="00D81523">
        <w:rPr>
          <w:sz w:val="20"/>
          <w:lang w:val="en-GB"/>
        </w:rPr>
        <w:t xml:space="preserve"> (</w:t>
      </w:r>
      <w:proofErr w:type="spellStart"/>
      <w:r w:rsidRPr="00D81523">
        <w:rPr>
          <w:sz w:val="20"/>
          <w:lang w:val="en-GB"/>
        </w:rPr>
        <w:t>Martinus</w:t>
      </w:r>
      <w:proofErr w:type="spellEnd"/>
      <w:r w:rsidRPr="00D81523">
        <w:rPr>
          <w:sz w:val="20"/>
          <w:lang w:val="en-GB"/>
        </w:rPr>
        <w:t xml:space="preserve"> </w:t>
      </w:r>
      <w:proofErr w:type="spellStart"/>
      <w:r w:rsidRPr="00D81523">
        <w:rPr>
          <w:sz w:val="20"/>
          <w:lang w:val="en-GB"/>
        </w:rPr>
        <w:t>Nijhoff</w:t>
      </w:r>
      <w:proofErr w:type="spellEnd"/>
      <w:r w:rsidRPr="00D81523">
        <w:rPr>
          <w:sz w:val="20"/>
          <w:lang w:val="en-GB"/>
        </w:rPr>
        <w:t xml:space="preserve">, The Hague 2010)); for a good overview of the debate see J </w:t>
      </w:r>
      <w:proofErr w:type="spellStart"/>
      <w:r w:rsidRPr="00D81523">
        <w:rPr>
          <w:sz w:val="20"/>
          <w:lang w:val="en-GB"/>
        </w:rPr>
        <w:t>Paulsson</w:t>
      </w:r>
      <w:proofErr w:type="spellEnd"/>
      <w:r w:rsidRPr="00D81523">
        <w:rPr>
          <w:sz w:val="20"/>
          <w:lang w:val="en-GB"/>
        </w:rPr>
        <w:t xml:space="preserve">, ‘Arbitration in three dimensions’ (2011) ICLQ 291 and R Goode, ‘The Role of the </w:t>
      </w:r>
      <w:r w:rsidRPr="00D81523">
        <w:rPr>
          <w:i/>
          <w:iCs/>
          <w:sz w:val="20"/>
          <w:lang w:val="en-GB"/>
        </w:rPr>
        <w:t xml:space="preserve">Lex Loci </w:t>
      </w:r>
      <w:proofErr w:type="spellStart"/>
      <w:r w:rsidRPr="00D81523">
        <w:rPr>
          <w:i/>
          <w:iCs/>
          <w:sz w:val="20"/>
          <w:lang w:val="en-GB"/>
        </w:rPr>
        <w:t>Arbitri</w:t>
      </w:r>
      <w:proofErr w:type="spellEnd"/>
      <w:r w:rsidRPr="00D81523">
        <w:rPr>
          <w:sz w:val="20"/>
          <w:lang w:val="en-GB"/>
        </w:rPr>
        <w:t xml:space="preserve"> in International Commercial Arbitration’ (2001) 17 Arbitration International 19. See also</w:t>
      </w:r>
      <w:r>
        <w:rPr>
          <w:sz w:val="20"/>
          <w:lang w:val="en-GB"/>
        </w:rPr>
        <w:t xml:space="preserve"> </w:t>
      </w:r>
      <w:r w:rsidRPr="00D81523">
        <w:rPr>
          <w:sz w:val="20"/>
          <w:lang w:val="en-GB"/>
        </w:rPr>
        <w:t xml:space="preserve">F M Mann, (1986) Arbitration International 241, 242; C </w:t>
      </w:r>
      <w:proofErr w:type="spellStart"/>
      <w:r w:rsidRPr="00D81523">
        <w:rPr>
          <w:sz w:val="20"/>
          <w:lang w:val="en-GB"/>
        </w:rPr>
        <w:t>Fragistas</w:t>
      </w:r>
      <w:proofErr w:type="spellEnd"/>
      <w:r w:rsidRPr="00D81523">
        <w:rPr>
          <w:sz w:val="20"/>
          <w:lang w:val="en-GB"/>
        </w:rPr>
        <w:t xml:space="preserve">, ‘Arbitrage </w:t>
      </w:r>
      <w:proofErr w:type="spellStart"/>
      <w:r w:rsidRPr="00D81523">
        <w:rPr>
          <w:sz w:val="20"/>
          <w:lang w:val="en-GB"/>
        </w:rPr>
        <w:t>étranger</w:t>
      </w:r>
      <w:proofErr w:type="spellEnd"/>
      <w:r w:rsidRPr="00D81523">
        <w:rPr>
          <w:sz w:val="20"/>
          <w:lang w:val="en-GB"/>
        </w:rPr>
        <w:t xml:space="preserve"> et arbitrage international </w:t>
      </w:r>
      <w:proofErr w:type="spellStart"/>
      <w:r w:rsidRPr="00D81523">
        <w:rPr>
          <w:sz w:val="20"/>
          <w:lang w:val="en-GB"/>
        </w:rPr>
        <w:t>en</w:t>
      </w:r>
      <w:proofErr w:type="spellEnd"/>
      <w:r w:rsidRPr="00D81523">
        <w:rPr>
          <w:sz w:val="20"/>
          <w:lang w:val="en-GB"/>
        </w:rPr>
        <w:t xml:space="preserve"> droit </w:t>
      </w:r>
      <w:proofErr w:type="spellStart"/>
      <w:r w:rsidRPr="00D81523">
        <w:rPr>
          <w:sz w:val="20"/>
          <w:lang w:val="en-GB"/>
        </w:rPr>
        <w:t>privé</w:t>
      </w:r>
      <w:proofErr w:type="spellEnd"/>
      <w:r w:rsidRPr="00D81523">
        <w:rPr>
          <w:sz w:val="20"/>
          <w:lang w:val="en-GB"/>
        </w:rPr>
        <w:t>’ (1960) Revue critique de droi</w:t>
      </w:r>
      <w:r>
        <w:rPr>
          <w:sz w:val="20"/>
          <w:lang w:val="en-GB"/>
        </w:rPr>
        <w:t>t</w:t>
      </w:r>
      <w:r w:rsidRPr="00D81523">
        <w:rPr>
          <w:sz w:val="20"/>
          <w:lang w:val="en-GB"/>
        </w:rPr>
        <w:t xml:space="preserve"> international </w:t>
      </w:r>
      <w:proofErr w:type="spellStart"/>
      <w:r w:rsidRPr="00D81523">
        <w:rPr>
          <w:sz w:val="20"/>
          <w:lang w:val="en-GB"/>
        </w:rPr>
        <w:t>privé</w:t>
      </w:r>
      <w:proofErr w:type="spellEnd"/>
      <w:r w:rsidRPr="00D81523">
        <w:rPr>
          <w:sz w:val="20"/>
          <w:lang w:val="en-GB"/>
        </w:rPr>
        <w:t xml:space="preserve"> 1, 14</w:t>
      </w:r>
      <w:r>
        <w:rPr>
          <w:sz w:val="20"/>
          <w:lang w:val="en-GB"/>
        </w:rPr>
        <w:t>;</w:t>
      </w:r>
      <w:r w:rsidRPr="00D81523">
        <w:rPr>
          <w:sz w:val="20"/>
          <w:lang w:val="en-GB"/>
        </w:rPr>
        <w:t xml:space="preserve"> J-F </w:t>
      </w:r>
      <w:proofErr w:type="spellStart"/>
      <w:r w:rsidRPr="00D81523">
        <w:rPr>
          <w:sz w:val="20"/>
          <w:lang w:val="en-GB"/>
        </w:rPr>
        <w:t>Poudret</w:t>
      </w:r>
      <w:proofErr w:type="spellEnd"/>
      <w:r w:rsidRPr="00D81523">
        <w:rPr>
          <w:sz w:val="20"/>
          <w:lang w:val="en-GB"/>
        </w:rPr>
        <w:t xml:space="preserve"> and S Besson, </w:t>
      </w:r>
      <w:r w:rsidRPr="00D81523">
        <w:rPr>
          <w:i/>
          <w:iCs/>
          <w:sz w:val="20"/>
          <w:lang w:val="en-GB"/>
        </w:rPr>
        <w:t>Comparative Law on International Arbitration</w:t>
      </w:r>
      <w:r w:rsidRPr="00D81523">
        <w:rPr>
          <w:sz w:val="20"/>
          <w:lang w:val="en-GB"/>
        </w:rPr>
        <w:t xml:space="preserve"> (2</w:t>
      </w:r>
      <w:r w:rsidRPr="00D81523">
        <w:rPr>
          <w:sz w:val="20"/>
          <w:vertAlign w:val="superscript"/>
          <w:lang w:val="en-GB"/>
        </w:rPr>
        <w:t>nd</w:t>
      </w:r>
      <w:r w:rsidRPr="00D81523">
        <w:rPr>
          <w:sz w:val="20"/>
          <w:lang w:val="en-GB"/>
        </w:rPr>
        <w:t xml:space="preserve"> ed, Sweet and Maxwell Ltd, London 2007) 114-118</w:t>
      </w:r>
      <w:r>
        <w:rPr>
          <w:sz w:val="20"/>
          <w:lang w:val="en-GB"/>
        </w:rPr>
        <w:t xml:space="preserve">; </w:t>
      </w:r>
      <w:r w:rsidRPr="00D81523">
        <w:rPr>
          <w:sz w:val="20"/>
          <w:lang w:val="en-GB"/>
        </w:rPr>
        <w:t xml:space="preserve">J Lew, L </w:t>
      </w:r>
      <w:proofErr w:type="spellStart"/>
      <w:r w:rsidRPr="00D81523">
        <w:rPr>
          <w:sz w:val="20"/>
          <w:lang w:val="en-GB"/>
        </w:rPr>
        <w:t>Mistelis</w:t>
      </w:r>
      <w:proofErr w:type="spellEnd"/>
      <w:r w:rsidRPr="00D81523">
        <w:rPr>
          <w:sz w:val="20"/>
          <w:lang w:val="en-GB"/>
        </w:rPr>
        <w:t xml:space="preserve"> and S </w:t>
      </w:r>
      <w:proofErr w:type="spellStart"/>
      <w:r w:rsidRPr="00D81523">
        <w:rPr>
          <w:sz w:val="20"/>
          <w:lang w:val="en-GB"/>
        </w:rPr>
        <w:t>Kröll</w:t>
      </w:r>
      <w:proofErr w:type="spellEnd"/>
      <w:r w:rsidRPr="00D81523">
        <w:rPr>
          <w:sz w:val="20"/>
          <w:lang w:val="en-GB"/>
        </w:rPr>
        <w:t xml:space="preserve">, </w:t>
      </w:r>
      <w:r w:rsidRPr="00D81523">
        <w:rPr>
          <w:i/>
          <w:iCs/>
          <w:sz w:val="20"/>
          <w:lang w:val="en-GB"/>
        </w:rPr>
        <w:t xml:space="preserve">Comparative International Commercial Arbitration </w:t>
      </w:r>
      <w:r w:rsidRPr="00D81523">
        <w:rPr>
          <w:sz w:val="20"/>
          <w:lang w:val="en-GB"/>
        </w:rPr>
        <w:t>(Kluwer Law International, The Hague 2003)</w:t>
      </w:r>
      <w:r>
        <w:rPr>
          <w:sz w:val="20"/>
          <w:lang w:val="en-GB"/>
        </w:rPr>
        <w:t xml:space="preserve"> and G </w:t>
      </w:r>
      <w:proofErr w:type="spellStart"/>
      <w:r>
        <w:rPr>
          <w:sz w:val="20"/>
          <w:lang w:val="en-GB"/>
        </w:rPr>
        <w:t>Petrochilos</w:t>
      </w:r>
      <w:proofErr w:type="spellEnd"/>
      <w:r>
        <w:rPr>
          <w:sz w:val="20"/>
          <w:lang w:val="en-GB"/>
        </w:rPr>
        <w:t xml:space="preserve">, </w:t>
      </w:r>
      <w:r w:rsidRPr="00C45DE6">
        <w:rPr>
          <w:i/>
          <w:iCs/>
          <w:sz w:val="20"/>
          <w:lang w:val="en-GB"/>
        </w:rPr>
        <w:t xml:space="preserve">Procedural Law in International Arbitration </w:t>
      </w:r>
      <w:r>
        <w:rPr>
          <w:sz w:val="20"/>
          <w:lang w:val="en-GB"/>
        </w:rPr>
        <w:t>(OUP, Oxford 2004), chapter 2.</w:t>
      </w:r>
      <w:r w:rsidR="0030260C">
        <w:rPr>
          <w:sz w:val="20"/>
          <w:lang w:val="en-GB"/>
        </w:rPr>
        <w:t xml:space="preserve"> </w:t>
      </w:r>
      <w:r w:rsidRPr="00D81523">
        <w:rPr>
          <w:sz w:val="20"/>
          <w:lang w:val="en-GB"/>
        </w:rPr>
        <w:t>See also</w:t>
      </w:r>
      <w:r>
        <w:rPr>
          <w:sz w:val="20"/>
          <w:lang w:val="en-GB"/>
        </w:rPr>
        <w:t xml:space="preserve"> </w:t>
      </w:r>
      <w:proofErr w:type="spellStart"/>
      <w:r w:rsidRPr="00671E1F">
        <w:rPr>
          <w:sz w:val="20"/>
          <w:lang w:val="en-GB"/>
        </w:rPr>
        <w:t>Cour</w:t>
      </w:r>
      <w:proofErr w:type="spellEnd"/>
      <w:r w:rsidRPr="00671E1F">
        <w:rPr>
          <w:sz w:val="20"/>
          <w:lang w:val="en-GB"/>
        </w:rPr>
        <w:t xml:space="preserve"> de Cassation</w:t>
      </w:r>
      <w:r w:rsidRPr="00D81523">
        <w:rPr>
          <w:i/>
          <w:iCs/>
          <w:sz w:val="20"/>
          <w:lang w:val="en-GB"/>
        </w:rPr>
        <w:t xml:space="preserve"> </w:t>
      </w:r>
      <w:r>
        <w:rPr>
          <w:sz w:val="20"/>
          <w:lang w:val="en-GB"/>
        </w:rPr>
        <w:t>(CC),</w:t>
      </w:r>
      <w:r w:rsidRPr="00D81523">
        <w:rPr>
          <w:sz w:val="20"/>
          <w:lang w:val="en-GB"/>
        </w:rPr>
        <w:t xml:space="preserve"> </w:t>
      </w:r>
      <w:r w:rsidRPr="00D81523">
        <w:rPr>
          <w:i/>
          <w:iCs/>
          <w:sz w:val="20"/>
          <w:lang w:val="en-GB"/>
        </w:rPr>
        <w:t xml:space="preserve">Société PT </w:t>
      </w:r>
      <w:proofErr w:type="spellStart"/>
      <w:r w:rsidRPr="00D81523">
        <w:rPr>
          <w:i/>
          <w:iCs/>
          <w:sz w:val="20"/>
          <w:lang w:val="en-GB"/>
        </w:rPr>
        <w:t>Putrabali</w:t>
      </w:r>
      <w:proofErr w:type="spellEnd"/>
      <w:r w:rsidRPr="00D81523">
        <w:rPr>
          <w:i/>
          <w:iCs/>
          <w:sz w:val="20"/>
          <w:lang w:val="en-GB"/>
        </w:rPr>
        <w:t xml:space="preserve"> </w:t>
      </w:r>
      <w:proofErr w:type="spellStart"/>
      <w:r w:rsidRPr="00D81523">
        <w:rPr>
          <w:i/>
          <w:iCs/>
          <w:sz w:val="20"/>
          <w:lang w:val="en-GB"/>
        </w:rPr>
        <w:t>Adyamulia</w:t>
      </w:r>
      <w:proofErr w:type="spellEnd"/>
      <w:r w:rsidRPr="00D81523">
        <w:rPr>
          <w:i/>
          <w:iCs/>
          <w:sz w:val="20"/>
          <w:lang w:val="en-GB"/>
        </w:rPr>
        <w:t xml:space="preserve"> v Société Rena Holding et Société </w:t>
      </w:r>
      <w:proofErr w:type="spellStart"/>
      <w:r w:rsidRPr="00D81523">
        <w:rPr>
          <w:i/>
          <w:iCs/>
          <w:sz w:val="20"/>
          <w:lang w:val="en-GB"/>
        </w:rPr>
        <w:t>Moguntia</w:t>
      </w:r>
      <w:proofErr w:type="spellEnd"/>
      <w:r w:rsidRPr="00D81523">
        <w:rPr>
          <w:i/>
          <w:iCs/>
          <w:sz w:val="20"/>
          <w:lang w:val="en-GB"/>
        </w:rPr>
        <w:t xml:space="preserve"> Est </w:t>
      </w:r>
      <w:proofErr w:type="spellStart"/>
      <w:r w:rsidRPr="00D81523">
        <w:rPr>
          <w:i/>
          <w:iCs/>
          <w:sz w:val="20"/>
          <w:lang w:val="en-GB"/>
        </w:rPr>
        <w:t>Epices</w:t>
      </w:r>
      <w:proofErr w:type="spellEnd"/>
      <w:r w:rsidRPr="00D81523">
        <w:rPr>
          <w:sz w:val="20"/>
          <w:lang w:val="en-GB"/>
        </w:rPr>
        <w:t>, 05-18.053, 29 June 2007</w:t>
      </w:r>
      <w:r>
        <w:rPr>
          <w:sz w:val="20"/>
          <w:lang w:val="en-GB"/>
        </w:rPr>
        <w:t>;</w:t>
      </w:r>
      <w:r w:rsidRPr="00D81523">
        <w:rPr>
          <w:sz w:val="20"/>
          <w:lang w:val="en-GB"/>
        </w:rPr>
        <w:t xml:space="preserve"> </w:t>
      </w:r>
      <w:r w:rsidRPr="00D81523">
        <w:rPr>
          <w:i/>
          <w:iCs/>
          <w:sz w:val="20"/>
          <w:lang w:val="en-GB"/>
        </w:rPr>
        <w:t>S v State X</w:t>
      </w:r>
      <w:r w:rsidRPr="00D81523">
        <w:rPr>
          <w:sz w:val="20"/>
          <w:lang w:val="en-GB"/>
        </w:rPr>
        <w:t>, ICC Case No 10623, Award, 7 December 2001, (2003) 21(1) ASA Bulletin 82-11, 83</w:t>
      </w:r>
      <w:r>
        <w:rPr>
          <w:sz w:val="20"/>
          <w:lang w:val="en-GB"/>
        </w:rPr>
        <w:t>; s</w:t>
      </w:r>
      <w:r w:rsidRPr="00D81523">
        <w:rPr>
          <w:sz w:val="20"/>
          <w:lang w:val="en-GB"/>
        </w:rPr>
        <w:t xml:space="preserve">ee also </w:t>
      </w:r>
    </w:p>
  </w:footnote>
  <w:footnote w:id="40">
    <w:p w14:paraId="16C5F8E2" w14:textId="3AAE3136" w:rsidR="00B10BDB" w:rsidRPr="004371B1"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Pr>
          <w:sz w:val="20"/>
          <w:lang w:val="en-GB"/>
        </w:rPr>
        <w:t xml:space="preserve">CC, </w:t>
      </w:r>
      <w:proofErr w:type="spellStart"/>
      <w:r w:rsidRPr="00D81523">
        <w:rPr>
          <w:i/>
          <w:iCs/>
          <w:sz w:val="20"/>
          <w:lang w:val="en-GB"/>
        </w:rPr>
        <w:t>Municipalite</w:t>
      </w:r>
      <w:proofErr w:type="spellEnd"/>
      <w:r w:rsidRPr="00D81523">
        <w:rPr>
          <w:i/>
          <w:iCs/>
          <w:sz w:val="20"/>
          <w:lang w:val="en-GB"/>
        </w:rPr>
        <w:t xml:space="preserve">́ de </w:t>
      </w:r>
      <w:proofErr w:type="spellStart"/>
      <w:r w:rsidRPr="00D81523">
        <w:rPr>
          <w:i/>
          <w:iCs/>
          <w:sz w:val="20"/>
          <w:lang w:val="en-GB"/>
        </w:rPr>
        <w:t>Khoms</w:t>
      </w:r>
      <w:proofErr w:type="spellEnd"/>
      <w:r w:rsidRPr="00D81523">
        <w:rPr>
          <w:i/>
          <w:iCs/>
          <w:sz w:val="20"/>
          <w:lang w:val="en-GB"/>
        </w:rPr>
        <w:t xml:space="preserve"> El </w:t>
      </w:r>
      <w:proofErr w:type="spellStart"/>
      <w:r w:rsidRPr="00D81523">
        <w:rPr>
          <w:i/>
          <w:iCs/>
          <w:sz w:val="20"/>
          <w:lang w:val="en-GB"/>
        </w:rPr>
        <w:t>Mergeb</w:t>
      </w:r>
      <w:proofErr w:type="spellEnd"/>
      <w:r w:rsidRPr="00D81523">
        <w:rPr>
          <w:i/>
          <w:iCs/>
          <w:sz w:val="20"/>
          <w:lang w:val="en-GB"/>
        </w:rPr>
        <w:t xml:space="preserve"> v </w:t>
      </w:r>
      <w:proofErr w:type="spellStart"/>
      <w:r w:rsidRPr="00D81523">
        <w:rPr>
          <w:i/>
          <w:iCs/>
          <w:sz w:val="20"/>
          <w:lang w:val="en-GB"/>
        </w:rPr>
        <w:t>Dalico</w:t>
      </w:r>
      <w:proofErr w:type="spellEnd"/>
      <w:r w:rsidRPr="00D81523">
        <w:rPr>
          <w:sz w:val="20"/>
          <w:lang w:val="en-GB"/>
        </w:rPr>
        <w:t xml:space="preserve">, Judgment, 20 December 1993, 1994 Revue de </w:t>
      </w:r>
      <w:proofErr w:type="spellStart"/>
      <w:r w:rsidRPr="00D81523">
        <w:rPr>
          <w:sz w:val="20"/>
          <w:lang w:val="en-GB"/>
        </w:rPr>
        <w:t>l’arbitrage</w:t>
      </w:r>
      <w:proofErr w:type="spellEnd"/>
      <w:r w:rsidRPr="00D81523">
        <w:rPr>
          <w:sz w:val="20"/>
          <w:lang w:val="en-GB"/>
        </w:rPr>
        <w:t xml:space="preserve"> 116, 117.</w:t>
      </w:r>
      <w:r w:rsidRPr="00325937">
        <w:rPr>
          <w:sz w:val="20"/>
          <w:lang w:val="en-GB"/>
        </w:rPr>
        <w:t xml:space="preserve"> </w:t>
      </w:r>
      <w:r w:rsidRPr="00D81523">
        <w:rPr>
          <w:sz w:val="20"/>
          <w:lang w:val="en-GB"/>
        </w:rPr>
        <w:t xml:space="preserve">See G Born, </w:t>
      </w:r>
      <w:r w:rsidRPr="00D81523">
        <w:rPr>
          <w:i/>
          <w:iCs/>
          <w:sz w:val="20"/>
          <w:lang w:val="en-GB"/>
        </w:rPr>
        <w:t>International Commercial Arbitration</w:t>
      </w:r>
      <w:r w:rsidRPr="00D81523">
        <w:rPr>
          <w:sz w:val="20"/>
          <w:lang w:val="en-GB"/>
        </w:rPr>
        <w:t xml:space="preserve"> (3</w:t>
      </w:r>
      <w:r w:rsidRPr="00D81523">
        <w:rPr>
          <w:sz w:val="20"/>
          <w:vertAlign w:val="superscript"/>
          <w:lang w:val="en-GB"/>
        </w:rPr>
        <w:t>rd</w:t>
      </w:r>
      <w:r w:rsidRPr="00D81523">
        <w:rPr>
          <w:sz w:val="20"/>
          <w:lang w:val="en-GB"/>
        </w:rPr>
        <w:t xml:space="preserve">, Kluwer Law International Law, Alphen </w:t>
      </w:r>
      <w:proofErr w:type="spellStart"/>
      <w:r w:rsidRPr="00D81523">
        <w:rPr>
          <w:sz w:val="20"/>
          <w:lang w:val="en-GB"/>
        </w:rPr>
        <w:t>aan</w:t>
      </w:r>
      <w:proofErr w:type="spellEnd"/>
      <w:r w:rsidRPr="00D81523">
        <w:rPr>
          <w:sz w:val="20"/>
          <w:lang w:val="en-GB"/>
        </w:rPr>
        <w:t xml:space="preserve"> den Rijn 2021) Chapter 4, </w:t>
      </w:r>
      <w:proofErr w:type="spellStart"/>
      <w:r w:rsidRPr="00D81523">
        <w:rPr>
          <w:sz w:val="20"/>
          <w:lang w:val="en-GB"/>
        </w:rPr>
        <w:t>fn</w:t>
      </w:r>
      <w:proofErr w:type="spellEnd"/>
      <w:r w:rsidRPr="00D81523">
        <w:rPr>
          <w:sz w:val="20"/>
          <w:lang w:val="en-GB"/>
        </w:rPr>
        <w:t xml:space="preserve"> 45 for further references.</w:t>
      </w:r>
    </w:p>
  </w:footnote>
  <w:footnote w:id="41">
    <w:p w14:paraId="4D51FD7E" w14:textId="69CCF1A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sz w:val="20"/>
          <w:lang w:val="en-GB"/>
        </w:rPr>
        <w:t>Nazzini</w:t>
      </w:r>
      <w:proofErr w:type="spellEnd"/>
      <w:r>
        <w:rPr>
          <w:sz w:val="20"/>
          <w:lang w:val="en-GB"/>
        </w:rPr>
        <w:t xml:space="preserve"> (n </w:t>
      </w:r>
      <w:r w:rsidR="008A6C3C">
        <w:rPr>
          <w:sz w:val="20"/>
          <w:lang w:val="en-GB"/>
        </w:rPr>
        <w:t>38</w:t>
      </w:r>
      <w:r>
        <w:rPr>
          <w:sz w:val="20"/>
          <w:lang w:val="en-GB"/>
        </w:rPr>
        <w:t>)</w:t>
      </w:r>
      <w:r w:rsidRPr="00D81523">
        <w:rPr>
          <w:sz w:val="20"/>
          <w:lang w:val="en-GB"/>
        </w:rPr>
        <w:t xml:space="preserve"> 607.</w:t>
      </w:r>
    </w:p>
  </w:footnote>
  <w:footnote w:id="42">
    <w:p w14:paraId="78D64048" w14:textId="5D373671"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 xml:space="preserve">Dow Chemical v </w:t>
      </w:r>
      <w:proofErr w:type="spellStart"/>
      <w:r w:rsidRPr="00D81523">
        <w:rPr>
          <w:i/>
          <w:iCs/>
          <w:sz w:val="20"/>
          <w:lang w:val="en-GB"/>
        </w:rPr>
        <w:t>Isover</w:t>
      </w:r>
      <w:proofErr w:type="spellEnd"/>
      <w:r w:rsidRPr="00D81523">
        <w:rPr>
          <w:i/>
          <w:iCs/>
          <w:sz w:val="20"/>
          <w:lang w:val="en-GB"/>
        </w:rPr>
        <w:t>-Saint-Gobain</w:t>
      </w:r>
      <w:r w:rsidRPr="00D81523">
        <w:rPr>
          <w:sz w:val="20"/>
          <w:lang w:val="en-GB"/>
        </w:rPr>
        <w:t xml:space="preserve">, ICC Case No 4131, Interim Award, 23 September 1982 (1984) 9 Yearbook Commercial Arbitration 131, 137. See also K Youssef, ‘The limits of consent: the right or obligation to arbitrate of non-signatories in groups of companies’ in B </w:t>
      </w:r>
      <w:proofErr w:type="spellStart"/>
      <w:r w:rsidRPr="00D81523">
        <w:rPr>
          <w:sz w:val="20"/>
          <w:lang w:val="en-GB"/>
        </w:rPr>
        <w:t>Hanotiau</w:t>
      </w:r>
      <w:proofErr w:type="spellEnd"/>
      <w:r w:rsidRPr="00D81523">
        <w:rPr>
          <w:sz w:val="20"/>
          <w:lang w:val="en-GB"/>
        </w:rPr>
        <w:t xml:space="preserve"> and E Schwartz (eds), </w:t>
      </w:r>
      <w:r w:rsidRPr="00D81523">
        <w:rPr>
          <w:i/>
          <w:iCs/>
          <w:sz w:val="20"/>
          <w:lang w:val="en-GB"/>
        </w:rPr>
        <w:t>Multiparty Arbitration</w:t>
      </w:r>
      <w:r w:rsidRPr="00D81523">
        <w:rPr>
          <w:sz w:val="20"/>
          <w:lang w:val="en-GB"/>
        </w:rPr>
        <w:t xml:space="preserve"> (Wolters Kluwer, Law and Business, International, ICC, 2010 The Alphen </w:t>
      </w:r>
      <w:proofErr w:type="spellStart"/>
      <w:r w:rsidRPr="00D81523">
        <w:rPr>
          <w:sz w:val="20"/>
          <w:lang w:val="en-GB"/>
        </w:rPr>
        <w:t>aan</w:t>
      </w:r>
      <w:proofErr w:type="spellEnd"/>
      <w:r w:rsidRPr="00D81523">
        <w:rPr>
          <w:sz w:val="20"/>
          <w:lang w:val="en-GB"/>
        </w:rPr>
        <w:t xml:space="preserve"> den Rijn) 71-110; Y </w:t>
      </w:r>
      <w:proofErr w:type="spellStart"/>
      <w:r w:rsidRPr="00D81523">
        <w:rPr>
          <w:sz w:val="20"/>
          <w:lang w:val="en-GB"/>
        </w:rPr>
        <w:t>Derains</w:t>
      </w:r>
      <w:proofErr w:type="spellEnd"/>
      <w:r w:rsidRPr="00D81523">
        <w:rPr>
          <w:sz w:val="20"/>
          <w:lang w:val="en-GB"/>
        </w:rPr>
        <w:t xml:space="preserve">, ‘Is there a Group of Companies Doctrine?’ in B </w:t>
      </w:r>
      <w:proofErr w:type="spellStart"/>
      <w:r w:rsidRPr="00D81523">
        <w:rPr>
          <w:sz w:val="20"/>
          <w:lang w:val="en-GB"/>
        </w:rPr>
        <w:t>Hanotiau</w:t>
      </w:r>
      <w:proofErr w:type="spellEnd"/>
      <w:r w:rsidRPr="00D81523">
        <w:rPr>
          <w:sz w:val="20"/>
          <w:lang w:val="en-GB"/>
        </w:rPr>
        <w:t xml:space="preserve"> and E Schwartz (eds), </w:t>
      </w:r>
      <w:r w:rsidRPr="00D81523">
        <w:rPr>
          <w:i/>
          <w:iCs/>
          <w:sz w:val="20"/>
          <w:lang w:val="en-GB"/>
        </w:rPr>
        <w:t>Multiparty Arbitration</w:t>
      </w:r>
      <w:r w:rsidRPr="00D81523">
        <w:rPr>
          <w:sz w:val="20"/>
          <w:lang w:val="en-GB"/>
        </w:rPr>
        <w:t xml:space="preserve"> (Wolters Kluwer, Law and Business, International, ICC, 2010 The Alphen </w:t>
      </w:r>
      <w:proofErr w:type="spellStart"/>
      <w:r w:rsidRPr="00D81523">
        <w:rPr>
          <w:sz w:val="20"/>
          <w:lang w:val="en-GB"/>
        </w:rPr>
        <w:t>aan</w:t>
      </w:r>
      <w:proofErr w:type="spellEnd"/>
      <w:r w:rsidRPr="00D81523">
        <w:rPr>
          <w:sz w:val="20"/>
          <w:lang w:val="en-GB"/>
        </w:rPr>
        <w:t xml:space="preserve"> den Rijn) 131-145; A </w:t>
      </w:r>
      <w:proofErr w:type="spellStart"/>
      <w:r w:rsidRPr="00D81523">
        <w:rPr>
          <w:sz w:val="20"/>
          <w:lang w:val="en-GB"/>
        </w:rPr>
        <w:t>Meyniel</w:t>
      </w:r>
      <w:proofErr w:type="spellEnd"/>
      <w:r w:rsidRPr="00D81523">
        <w:rPr>
          <w:sz w:val="20"/>
          <w:lang w:val="en-GB"/>
        </w:rPr>
        <w:t>, ‘That Which Must Not Be Named: Rationalizing the Denial of U.S. Courts With Respect to the Group of Companies Doctrine’ (2013) 3 The Arbitration Brief 18-55.</w:t>
      </w:r>
      <w:r>
        <w:rPr>
          <w:sz w:val="20"/>
          <w:lang w:val="en-GB"/>
        </w:rPr>
        <w:t xml:space="preserve"> On the application of the ‘Group of Companies’ doctrine to arbitrations involving States see </w:t>
      </w:r>
      <w:r w:rsidRPr="00D81523">
        <w:rPr>
          <w:sz w:val="20"/>
          <w:lang w:val="en-GB"/>
        </w:rPr>
        <w:t xml:space="preserve">M Henry, </w:t>
      </w:r>
      <w:r>
        <w:rPr>
          <w:sz w:val="20"/>
          <w:lang w:val="en-GB"/>
        </w:rPr>
        <w:t xml:space="preserve">‘La </w:t>
      </w:r>
      <w:proofErr w:type="spellStart"/>
      <w:r w:rsidRPr="00D81523">
        <w:rPr>
          <w:sz w:val="20"/>
          <w:lang w:val="en-GB"/>
        </w:rPr>
        <w:t>Th</w:t>
      </w:r>
      <w:r>
        <w:rPr>
          <w:sz w:val="20"/>
          <w:lang w:val="en-GB"/>
        </w:rPr>
        <w:t>é</w:t>
      </w:r>
      <w:r w:rsidRPr="00D81523">
        <w:rPr>
          <w:sz w:val="20"/>
          <w:lang w:val="en-GB"/>
        </w:rPr>
        <w:t>orie</w:t>
      </w:r>
      <w:proofErr w:type="spellEnd"/>
      <w:r w:rsidRPr="00D81523">
        <w:rPr>
          <w:sz w:val="20"/>
          <w:lang w:val="en-GB"/>
        </w:rPr>
        <w:t xml:space="preserve"> du Groupe de </w:t>
      </w:r>
      <w:proofErr w:type="spellStart"/>
      <w:r w:rsidRPr="00D81523">
        <w:rPr>
          <w:sz w:val="20"/>
          <w:lang w:val="en-GB"/>
        </w:rPr>
        <w:t>Soci</w:t>
      </w:r>
      <w:r>
        <w:rPr>
          <w:sz w:val="20"/>
          <w:lang w:val="en-GB"/>
        </w:rPr>
        <w:t>é</w:t>
      </w:r>
      <w:r w:rsidRPr="00D81523">
        <w:rPr>
          <w:sz w:val="20"/>
          <w:lang w:val="en-GB"/>
        </w:rPr>
        <w:t>t</w:t>
      </w:r>
      <w:r>
        <w:rPr>
          <w:sz w:val="20"/>
          <w:lang w:val="en-GB"/>
        </w:rPr>
        <w:t>é</w:t>
      </w:r>
      <w:r w:rsidRPr="00D81523">
        <w:rPr>
          <w:sz w:val="20"/>
          <w:lang w:val="en-GB"/>
        </w:rPr>
        <w:t>s</w:t>
      </w:r>
      <w:proofErr w:type="spellEnd"/>
      <w:r w:rsidRPr="00D81523">
        <w:rPr>
          <w:sz w:val="20"/>
          <w:lang w:val="en-GB"/>
        </w:rPr>
        <w:t xml:space="preserve"> </w:t>
      </w:r>
      <w:proofErr w:type="spellStart"/>
      <w:r w:rsidRPr="00D81523">
        <w:rPr>
          <w:sz w:val="20"/>
          <w:lang w:val="en-GB"/>
        </w:rPr>
        <w:t>Appliqué</w:t>
      </w:r>
      <w:r>
        <w:rPr>
          <w:sz w:val="20"/>
          <w:lang w:val="en-GB"/>
        </w:rPr>
        <w:t>e</w:t>
      </w:r>
      <w:proofErr w:type="spellEnd"/>
      <w:r w:rsidRPr="00D81523">
        <w:rPr>
          <w:sz w:val="20"/>
          <w:lang w:val="en-GB"/>
        </w:rPr>
        <w:t xml:space="preserve"> aux Arbitrages </w:t>
      </w:r>
      <w:proofErr w:type="spellStart"/>
      <w:r w:rsidRPr="00D81523">
        <w:rPr>
          <w:sz w:val="20"/>
          <w:lang w:val="en-GB"/>
        </w:rPr>
        <w:t>Impliquant</w:t>
      </w:r>
      <w:proofErr w:type="spellEnd"/>
      <w:r w:rsidRPr="00D81523">
        <w:rPr>
          <w:sz w:val="20"/>
          <w:lang w:val="en-GB"/>
        </w:rPr>
        <w:t xml:space="preserve"> un </w:t>
      </w:r>
      <w:proofErr w:type="spellStart"/>
      <w:r w:rsidRPr="00D81523">
        <w:rPr>
          <w:sz w:val="20"/>
          <w:lang w:val="en-GB"/>
        </w:rPr>
        <w:t>Etat</w:t>
      </w:r>
      <w:proofErr w:type="spellEnd"/>
      <w:r w:rsidRPr="00D81523">
        <w:rPr>
          <w:sz w:val="20"/>
          <w:lang w:val="en-GB"/>
        </w:rPr>
        <w:t xml:space="preserve"> - The Group of Companies Doctrine Applied to Arbitrations Involving a State</w:t>
      </w:r>
      <w:r>
        <w:rPr>
          <w:sz w:val="20"/>
          <w:lang w:val="en-GB"/>
        </w:rPr>
        <w:t>’</w:t>
      </w:r>
      <w:r w:rsidRPr="00D81523">
        <w:rPr>
          <w:sz w:val="20"/>
          <w:lang w:val="en-GB"/>
        </w:rPr>
        <w:t xml:space="preserve"> (2006) Int</w:t>
      </w:r>
      <w:r>
        <w:rPr>
          <w:sz w:val="20"/>
          <w:lang w:val="en-GB"/>
        </w:rPr>
        <w:t>ernationa</w:t>
      </w:r>
      <w:r w:rsidRPr="00D81523">
        <w:rPr>
          <w:sz w:val="20"/>
          <w:lang w:val="en-GB"/>
        </w:rPr>
        <w:t>l Bus</w:t>
      </w:r>
      <w:r>
        <w:rPr>
          <w:sz w:val="20"/>
          <w:lang w:val="en-GB"/>
        </w:rPr>
        <w:t>iness</w:t>
      </w:r>
      <w:r w:rsidRPr="00D81523">
        <w:rPr>
          <w:sz w:val="20"/>
          <w:lang w:val="en-GB"/>
        </w:rPr>
        <w:t xml:space="preserve"> L</w:t>
      </w:r>
      <w:r>
        <w:rPr>
          <w:sz w:val="20"/>
          <w:lang w:val="en-GB"/>
        </w:rPr>
        <w:t xml:space="preserve">aw </w:t>
      </w:r>
      <w:r w:rsidRPr="00D81523">
        <w:rPr>
          <w:sz w:val="20"/>
          <w:lang w:val="en-GB"/>
        </w:rPr>
        <w:t>J</w:t>
      </w:r>
      <w:r>
        <w:rPr>
          <w:sz w:val="20"/>
          <w:lang w:val="en-GB"/>
        </w:rPr>
        <w:t>ournal</w:t>
      </w:r>
      <w:r w:rsidRPr="00D81523">
        <w:rPr>
          <w:sz w:val="20"/>
          <w:lang w:val="en-GB"/>
        </w:rPr>
        <w:t xml:space="preserve"> 297</w:t>
      </w:r>
      <w:r>
        <w:rPr>
          <w:sz w:val="20"/>
          <w:lang w:val="en-GB"/>
        </w:rPr>
        <w:t>.</w:t>
      </w:r>
    </w:p>
  </w:footnote>
  <w:footnote w:id="43">
    <w:p w14:paraId="2E3E97B9" w14:textId="6A2B3BA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Pr>
          <w:sz w:val="20"/>
          <w:lang w:val="en-GB"/>
        </w:rPr>
        <w:t xml:space="preserve">CA </w:t>
      </w:r>
      <w:r w:rsidRPr="00D81523">
        <w:rPr>
          <w:sz w:val="20"/>
          <w:lang w:val="en-GB"/>
        </w:rPr>
        <w:t>Paris, 21 October 1983, (1984) Rev Arb 98.</w:t>
      </w:r>
    </w:p>
  </w:footnote>
  <w:footnote w:id="44">
    <w:p w14:paraId="77070051" w14:textId="64698D55" w:rsidR="00B10BDB" w:rsidRPr="00D32574" w:rsidRDefault="00B10BDB" w:rsidP="00D12AE4">
      <w:pPr>
        <w:pStyle w:val="FootnoteText"/>
        <w:jc w:val="both"/>
        <w:rPr>
          <w:sz w:val="20"/>
          <w:lang w:val="en-US"/>
        </w:rPr>
      </w:pPr>
      <w:r w:rsidRPr="00D81523">
        <w:rPr>
          <w:rStyle w:val="FootnoteReference"/>
          <w:sz w:val="20"/>
          <w:lang w:val="en-GB"/>
        </w:rPr>
        <w:footnoteRef/>
      </w:r>
      <w:r w:rsidRPr="00D81523">
        <w:rPr>
          <w:sz w:val="20"/>
          <w:lang w:val="en-GB"/>
        </w:rPr>
        <w:t xml:space="preserve"> </w:t>
      </w:r>
      <w:r>
        <w:rPr>
          <w:sz w:val="20"/>
          <w:lang w:val="en-GB"/>
        </w:rPr>
        <w:t xml:space="preserve">CA </w:t>
      </w:r>
      <w:r w:rsidRPr="006F5F49">
        <w:rPr>
          <w:sz w:val="20"/>
          <w:lang w:val="en-GB"/>
        </w:rPr>
        <w:t>Paris,</w:t>
      </w:r>
      <w:r>
        <w:rPr>
          <w:i/>
          <w:iCs/>
          <w:sz w:val="20"/>
          <w:lang w:val="en-GB"/>
        </w:rPr>
        <w:t xml:space="preserve"> </w:t>
      </w:r>
      <w:r w:rsidRPr="00D81523">
        <w:rPr>
          <w:i/>
          <w:iCs/>
          <w:sz w:val="20"/>
          <w:lang w:val="en-GB"/>
        </w:rPr>
        <w:t xml:space="preserve">Kabab-Ji SAL Company v </w:t>
      </w:r>
      <w:proofErr w:type="spellStart"/>
      <w:r w:rsidRPr="00D81523">
        <w:rPr>
          <w:i/>
          <w:iCs/>
          <w:sz w:val="20"/>
          <w:lang w:val="en-GB"/>
        </w:rPr>
        <w:t>Kout</w:t>
      </w:r>
      <w:proofErr w:type="spellEnd"/>
      <w:r w:rsidRPr="00D81523">
        <w:rPr>
          <w:i/>
          <w:iCs/>
          <w:sz w:val="20"/>
          <w:lang w:val="en-GB"/>
        </w:rPr>
        <w:t xml:space="preserve"> Food Group Company</w:t>
      </w:r>
      <w:r w:rsidRPr="00D81523">
        <w:rPr>
          <w:sz w:val="20"/>
          <w:lang w:val="en-GB"/>
        </w:rPr>
        <w:t xml:space="preserve">, Judgment, 23 June 2020, English transnational available at </w:t>
      </w:r>
      <w:hyperlink r:id="rId5" w:anchor="decision_11637" w:history="1">
        <w:r w:rsidRPr="00D81523">
          <w:rPr>
            <w:rStyle w:val="Hyperlink"/>
            <w:sz w:val="20"/>
            <w:lang w:val="en-GB"/>
          </w:rPr>
          <w:t>https://jusmundi.com/en/document/decision/en-kabab-ji-s-a-l-company-v-kout-food-group-company-judgment-of-the-paris-court-of-appeal-tuesday-23rd-june-2020#decision_11637</w:t>
        </w:r>
      </w:hyperlink>
      <w:r w:rsidRPr="00D81523">
        <w:rPr>
          <w:sz w:val="20"/>
          <w:lang w:val="en-GB"/>
        </w:rPr>
        <w:t>, para 25</w:t>
      </w:r>
      <w:r>
        <w:rPr>
          <w:sz w:val="20"/>
          <w:lang w:val="el-GR"/>
        </w:rPr>
        <w:t>.</w:t>
      </w:r>
      <w:r w:rsidRPr="00DA605B">
        <w:rPr>
          <w:sz w:val="20"/>
          <w:lang w:val="en-GB"/>
        </w:rPr>
        <w:t xml:space="preserve"> </w:t>
      </w:r>
      <w:r>
        <w:rPr>
          <w:sz w:val="20"/>
          <w:lang w:val="en-GB"/>
        </w:rPr>
        <w:t xml:space="preserve">For a criticism of transnational approaches see </w:t>
      </w:r>
      <w:r w:rsidRPr="00D81523">
        <w:rPr>
          <w:sz w:val="20"/>
          <w:lang w:val="en-GB"/>
        </w:rPr>
        <w:t xml:space="preserve">B Wortmann, ‘Choice of Law by Arbitrators: The Applicable Conflict of Laws System’ (1998) 14 Arbitration </w:t>
      </w:r>
      <w:r w:rsidRPr="002D4355">
        <w:rPr>
          <w:sz w:val="20"/>
          <w:lang w:val="en-GB"/>
        </w:rPr>
        <w:t xml:space="preserve">International 97; J </w:t>
      </w:r>
      <w:proofErr w:type="spellStart"/>
      <w:r w:rsidRPr="002D4355">
        <w:rPr>
          <w:sz w:val="20"/>
          <w:lang w:val="en-GB"/>
        </w:rPr>
        <w:t>Paulsson</w:t>
      </w:r>
      <w:proofErr w:type="spellEnd"/>
      <w:r w:rsidRPr="002D4355">
        <w:rPr>
          <w:sz w:val="20"/>
          <w:lang w:val="en-GB"/>
        </w:rPr>
        <w:t>, ‘Arbitration in three dimensions’ (2011) ICLQ 291, 305-306.</w:t>
      </w:r>
      <w:r>
        <w:rPr>
          <w:sz w:val="20"/>
          <w:lang w:val="en-GB"/>
        </w:rPr>
        <w:t xml:space="preserve"> </w:t>
      </w:r>
      <w:proofErr w:type="spellStart"/>
      <w:r>
        <w:rPr>
          <w:sz w:val="20"/>
          <w:lang w:val="en-GB"/>
        </w:rPr>
        <w:t>Cf</w:t>
      </w:r>
      <w:proofErr w:type="spellEnd"/>
      <w:r w:rsidRPr="00DA605B">
        <w:rPr>
          <w:i/>
          <w:iCs/>
          <w:sz w:val="20"/>
          <w:lang w:val="en-GB"/>
        </w:rPr>
        <w:t xml:space="preserve"> </w:t>
      </w:r>
      <w:r w:rsidRPr="00D81523">
        <w:rPr>
          <w:i/>
          <w:iCs/>
          <w:sz w:val="20"/>
          <w:lang w:val="en-GB"/>
        </w:rPr>
        <w:t xml:space="preserve">Kabab-Ji SAL Company v </w:t>
      </w:r>
      <w:proofErr w:type="spellStart"/>
      <w:r w:rsidRPr="00D81523">
        <w:rPr>
          <w:i/>
          <w:iCs/>
          <w:sz w:val="20"/>
          <w:lang w:val="en-GB"/>
        </w:rPr>
        <w:t>Kout</w:t>
      </w:r>
      <w:proofErr w:type="spellEnd"/>
      <w:r w:rsidRPr="00D81523">
        <w:rPr>
          <w:i/>
          <w:iCs/>
          <w:sz w:val="20"/>
          <w:lang w:val="en-GB"/>
        </w:rPr>
        <w:t xml:space="preserve"> Food Group </w:t>
      </w:r>
      <w:r w:rsidRPr="00D81523">
        <w:rPr>
          <w:sz w:val="20"/>
          <w:lang w:val="en-GB"/>
        </w:rPr>
        <w:t xml:space="preserve">Company, ICC, Award, 11 September 2017, para 127, quoted in </w:t>
      </w:r>
      <w:r w:rsidRPr="006F5F49">
        <w:rPr>
          <w:sz w:val="20"/>
          <w:lang w:val="en-GB"/>
        </w:rPr>
        <w:t xml:space="preserve">Paris </w:t>
      </w:r>
      <w:proofErr w:type="spellStart"/>
      <w:r w:rsidRPr="006F5F49">
        <w:rPr>
          <w:sz w:val="20"/>
          <w:lang w:val="en-GB"/>
        </w:rPr>
        <w:t>Cour</w:t>
      </w:r>
      <w:proofErr w:type="spellEnd"/>
      <w:r w:rsidRPr="006F5F49">
        <w:rPr>
          <w:sz w:val="20"/>
          <w:lang w:val="en-GB"/>
        </w:rPr>
        <w:t xml:space="preserve"> </w:t>
      </w:r>
      <w:proofErr w:type="spellStart"/>
      <w:r w:rsidRPr="006F5F49">
        <w:rPr>
          <w:sz w:val="20"/>
          <w:lang w:val="en-GB"/>
        </w:rPr>
        <w:t>d’appel</w:t>
      </w:r>
      <w:proofErr w:type="spellEnd"/>
      <w:r w:rsidRPr="006F5F49">
        <w:rPr>
          <w:sz w:val="20"/>
          <w:lang w:val="en-GB"/>
        </w:rPr>
        <w:t>,</w:t>
      </w:r>
      <w:r w:rsidRPr="00D81523">
        <w:rPr>
          <w:i/>
          <w:iCs/>
          <w:sz w:val="20"/>
          <w:lang w:val="en-GB"/>
        </w:rPr>
        <w:t xml:space="preserve"> Kabab-Ji SAL Company v </w:t>
      </w:r>
      <w:proofErr w:type="spellStart"/>
      <w:r w:rsidRPr="00D81523">
        <w:rPr>
          <w:i/>
          <w:iCs/>
          <w:sz w:val="20"/>
          <w:lang w:val="en-GB"/>
        </w:rPr>
        <w:t>Kout</w:t>
      </w:r>
      <w:proofErr w:type="spellEnd"/>
      <w:r w:rsidRPr="00D81523">
        <w:rPr>
          <w:i/>
          <w:iCs/>
          <w:sz w:val="20"/>
          <w:lang w:val="en-GB"/>
        </w:rPr>
        <w:t xml:space="preserve"> Food Group Company</w:t>
      </w:r>
      <w:r w:rsidRPr="00D81523">
        <w:rPr>
          <w:sz w:val="20"/>
          <w:lang w:val="en-GB"/>
        </w:rPr>
        <w:t>, Judgment, 23 June 2020, para 26.</w:t>
      </w:r>
    </w:p>
  </w:footnote>
  <w:footnote w:id="45">
    <w:p w14:paraId="0FE48A87" w14:textId="34AF7285" w:rsidR="00B10BDB" w:rsidRPr="002D4355" w:rsidRDefault="00B10BDB" w:rsidP="00D12AE4">
      <w:pPr>
        <w:pStyle w:val="FootnoteText"/>
        <w:jc w:val="both"/>
        <w:rPr>
          <w:sz w:val="20"/>
          <w:lang w:val="en-US"/>
        </w:rPr>
      </w:pPr>
      <w:r w:rsidRPr="002D4355">
        <w:rPr>
          <w:rStyle w:val="FootnoteReference"/>
          <w:sz w:val="20"/>
        </w:rPr>
        <w:footnoteRef/>
      </w:r>
      <w:r w:rsidRPr="002D4355">
        <w:rPr>
          <w:sz w:val="20"/>
        </w:rPr>
        <w:t xml:space="preserve"> </w:t>
      </w:r>
      <w:r w:rsidRPr="002D4355">
        <w:rPr>
          <w:sz w:val="20"/>
          <w:lang w:val="en-US"/>
        </w:rPr>
        <w:t>See</w:t>
      </w:r>
      <w:r>
        <w:rPr>
          <w:sz w:val="20"/>
          <w:lang w:val="en-US"/>
        </w:rPr>
        <w:t xml:space="preserve"> e.g. ICC Case No 8385, 1995, (1997) 124 JDI (</w:t>
      </w:r>
      <w:proofErr w:type="spellStart"/>
      <w:r>
        <w:rPr>
          <w:sz w:val="20"/>
          <w:lang w:val="en-US"/>
        </w:rPr>
        <w:t>Clunet</w:t>
      </w:r>
      <w:proofErr w:type="spellEnd"/>
      <w:r>
        <w:rPr>
          <w:sz w:val="20"/>
          <w:lang w:val="en-US"/>
        </w:rPr>
        <w:t>) 1061.</w:t>
      </w:r>
    </w:p>
  </w:footnote>
  <w:footnote w:id="46">
    <w:p w14:paraId="5EBBFFFB" w14:textId="77777777" w:rsidR="00B10BDB" w:rsidRPr="002D4355" w:rsidRDefault="00B10BDB" w:rsidP="00D12AE4">
      <w:pPr>
        <w:pStyle w:val="FootnoteText"/>
        <w:jc w:val="both"/>
        <w:rPr>
          <w:sz w:val="20"/>
          <w:lang w:val="en-GB"/>
        </w:rPr>
      </w:pPr>
      <w:r w:rsidRPr="002D4355">
        <w:rPr>
          <w:rStyle w:val="FootnoteReference"/>
          <w:sz w:val="20"/>
          <w:lang w:val="en-GB"/>
        </w:rPr>
        <w:footnoteRef/>
      </w:r>
      <w:r w:rsidRPr="002D4355">
        <w:rPr>
          <w:sz w:val="20"/>
          <w:lang w:val="en-GB"/>
        </w:rPr>
        <w:t xml:space="preserve"> ICC Case No 14208/14236, Partial Award, 2008, (2013) 24(2) ICC Court Bulletin, para 391.</w:t>
      </w:r>
    </w:p>
  </w:footnote>
  <w:footnote w:id="47">
    <w:p w14:paraId="339C9FCF" w14:textId="695E795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Case concerning the payment of various Serbian loans issued in France</w:t>
      </w:r>
      <w:r w:rsidRPr="00D81523">
        <w:rPr>
          <w:sz w:val="20"/>
          <w:lang w:val="en-GB"/>
        </w:rPr>
        <w:t xml:space="preserve">, Judgment, 12 July 1929, Series A, </w:t>
      </w:r>
      <w:proofErr w:type="gramStart"/>
      <w:r w:rsidRPr="00D81523">
        <w:rPr>
          <w:sz w:val="20"/>
          <w:lang w:val="en-GB"/>
        </w:rPr>
        <w:t>No</w:t>
      </w:r>
      <w:proofErr w:type="gramEnd"/>
      <w:r w:rsidRPr="00D81523">
        <w:rPr>
          <w:sz w:val="20"/>
          <w:lang w:val="en-GB"/>
        </w:rPr>
        <w:t xml:space="preserve"> 14, 41</w:t>
      </w:r>
      <w:r>
        <w:rPr>
          <w:sz w:val="20"/>
          <w:lang w:val="en-GB"/>
        </w:rPr>
        <w:t xml:space="preserve"> (‘</w:t>
      </w:r>
      <w:r w:rsidRPr="00BE3BA2">
        <w:rPr>
          <w:sz w:val="20"/>
          <w:lang w:val="en-GB"/>
        </w:rPr>
        <w:t>[a]</w:t>
      </w:r>
      <w:proofErr w:type="spellStart"/>
      <w:r w:rsidRPr="00BE3BA2">
        <w:rPr>
          <w:sz w:val="20"/>
          <w:lang w:val="en-GB"/>
        </w:rPr>
        <w:t>ny</w:t>
      </w:r>
      <w:proofErr w:type="spellEnd"/>
      <w:r w:rsidRPr="00BE3BA2">
        <w:rPr>
          <w:sz w:val="20"/>
          <w:lang w:val="en-GB"/>
        </w:rPr>
        <w:t xml:space="preserve"> contract which is not a contract between States in their capacity as subjects of international law is based on the municipal law of some country. The question as to which this law is forms the subject of that branch of law which is at the present day usually described as private international law or the ‘doctrine of the conflict of laws’</w:t>
      </w:r>
      <w:r>
        <w:rPr>
          <w:sz w:val="20"/>
          <w:lang w:val="en-GB"/>
        </w:rPr>
        <w:t>’)</w:t>
      </w:r>
      <w:r w:rsidRPr="00D81523">
        <w:rPr>
          <w:sz w:val="20"/>
          <w:lang w:val="en-GB"/>
        </w:rPr>
        <w:t xml:space="preserve">. See also </w:t>
      </w:r>
      <w:proofErr w:type="spellStart"/>
      <w:r w:rsidRPr="00D81523">
        <w:rPr>
          <w:i/>
          <w:iCs/>
          <w:sz w:val="20"/>
          <w:lang w:val="en-GB"/>
        </w:rPr>
        <w:t>Ceskoslovenska</w:t>
      </w:r>
      <w:proofErr w:type="spellEnd"/>
      <w:r w:rsidRPr="00D81523">
        <w:rPr>
          <w:i/>
          <w:iCs/>
          <w:sz w:val="20"/>
          <w:lang w:val="en-GB"/>
        </w:rPr>
        <w:t xml:space="preserve"> </w:t>
      </w:r>
      <w:proofErr w:type="spellStart"/>
      <w:r w:rsidRPr="00D81523">
        <w:rPr>
          <w:i/>
          <w:iCs/>
          <w:sz w:val="20"/>
          <w:lang w:val="en-GB"/>
        </w:rPr>
        <w:t>Obchodni</w:t>
      </w:r>
      <w:proofErr w:type="spellEnd"/>
      <w:r w:rsidRPr="00D81523">
        <w:rPr>
          <w:i/>
          <w:iCs/>
          <w:sz w:val="20"/>
          <w:lang w:val="en-GB"/>
        </w:rPr>
        <w:t xml:space="preserve"> Banka, AS v The Slovak Republic</w:t>
      </w:r>
      <w:r w:rsidRPr="00D81523">
        <w:rPr>
          <w:sz w:val="20"/>
          <w:lang w:val="en-GB"/>
        </w:rPr>
        <w:t>, ICSID Case No ARB/97/4, Award, 29 December 2004, para 59.</w:t>
      </w:r>
    </w:p>
  </w:footnote>
  <w:footnote w:id="48">
    <w:p w14:paraId="0C736DD9" w14:textId="4FC657F5"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Vienna Convention on the Law of Treaties (adopted 22 May 1969, entered into force 27 January 1980) 1155 UNTS 331, Art 2(1)(a).</w:t>
      </w:r>
      <w:r w:rsidRPr="004710A3">
        <w:rPr>
          <w:sz w:val="20"/>
          <w:lang w:val="en-GB"/>
        </w:rPr>
        <w:t xml:space="preserve"> </w:t>
      </w:r>
      <w:r>
        <w:rPr>
          <w:sz w:val="20"/>
          <w:lang w:val="en-GB"/>
        </w:rPr>
        <w:t xml:space="preserve">See also </w:t>
      </w:r>
      <w:r w:rsidRPr="00D81523">
        <w:rPr>
          <w:i/>
          <w:iCs/>
          <w:sz w:val="20"/>
          <w:lang w:val="en-GB"/>
        </w:rPr>
        <w:t>RSM Production Corporation v Central African Republic</w:t>
      </w:r>
      <w:r w:rsidRPr="00D81523">
        <w:rPr>
          <w:sz w:val="20"/>
          <w:lang w:val="en-GB"/>
        </w:rPr>
        <w:t>, ICSID Case No ARB/07/2, Decision on Jurisdiction and Liability (excerpts), 7 December 2010, para 79</w:t>
      </w:r>
      <w:r>
        <w:rPr>
          <w:sz w:val="20"/>
          <w:lang w:val="en-GB"/>
        </w:rPr>
        <w:t>.</w:t>
      </w:r>
    </w:p>
  </w:footnote>
  <w:footnote w:id="49">
    <w:p w14:paraId="224A2B6D" w14:textId="590CBF12" w:rsidR="00B10BDB" w:rsidRPr="009025E8"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9025E8">
        <w:rPr>
          <w:sz w:val="20"/>
          <w:lang w:val="en-GB"/>
        </w:rPr>
        <w:t>Maniruzzaman</w:t>
      </w:r>
      <w:proofErr w:type="spellEnd"/>
      <w:r>
        <w:rPr>
          <w:sz w:val="20"/>
          <w:lang w:val="en-GB"/>
        </w:rPr>
        <w:t xml:space="preserve"> (n </w:t>
      </w:r>
      <w:r w:rsidR="00D67426">
        <w:rPr>
          <w:sz w:val="20"/>
          <w:lang w:val="en-GB"/>
        </w:rPr>
        <w:t>23</w:t>
      </w:r>
      <w:r>
        <w:rPr>
          <w:sz w:val="20"/>
          <w:lang w:val="en-GB"/>
        </w:rPr>
        <w:t>)</w:t>
      </w:r>
      <w:r w:rsidRPr="009025E8">
        <w:rPr>
          <w:sz w:val="20"/>
          <w:lang w:val="en-GB"/>
        </w:rPr>
        <w:t>.</w:t>
      </w:r>
    </w:p>
  </w:footnote>
  <w:footnote w:id="50">
    <w:p w14:paraId="2766418C" w14:textId="77777777" w:rsidR="00B10BDB" w:rsidRPr="0003423F" w:rsidRDefault="00B10BDB" w:rsidP="00773164">
      <w:pPr>
        <w:pStyle w:val="FootnoteText"/>
        <w:jc w:val="both"/>
        <w:rPr>
          <w:sz w:val="20"/>
          <w:lang w:val="en-GB"/>
        </w:rPr>
      </w:pPr>
      <w:r w:rsidRPr="009025E8">
        <w:rPr>
          <w:rStyle w:val="FootnoteReference"/>
          <w:sz w:val="20"/>
        </w:rPr>
        <w:footnoteRef/>
      </w:r>
      <w:r w:rsidRPr="009025E8">
        <w:rPr>
          <w:sz w:val="20"/>
        </w:rPr>
        <w:t xml:space="preserve"> </w:t>
      </w:r>
      <w:r w:rsidRPr="00D81523">
        <w:rPr>
          <w:i/>
          <w:iCs/>
          <w:sz w:val="20"/>
          <w:lang w:val="en-GB"/>
        </w:rPr>
        <w:t>Texaco Overseas Petroleum Co / California Asiatic Oil Co v Government of the Libyan Arab Republic</w:t>
      </w:r>
      <w:r>
        <w:rPr>
          <w:sz w:val="20"/>
          <w:lang w:val="en-GB"/>
        </w:rPr>
        <w:t>, Award on the Merits,</w:t>
      </w:r>
      <w:r w:rsidRPr="00D81523">
        <w:rPr>
          <w:sz w:val="20"/>
          <w:lang w:val="en-GB"/>
        </w:rPr>
        <w:t xml:space="preserve"> 19 January 1977, 53 ILR 389</w:t>
      </w:r>
      <w:r>
        <w:rPr>
          <w:sz w:val="20"/>
          <w:lang w:val="en-GB"/>
        </w:rPr>
        <w:t xml:space="preserve"> (‘</w:t>
      </w:r>
      <w:r w:rsidRPr="00895B22">
        <w:rPr>
          <w:i/>
          <w:iCs/>
          <w:sz w:val="20"/>
          <w:lang w:val="en-GB"/>
        </w:rPr>
        <w:t xml:space="preserve">Texaco and </w:t>
      </w:r>
      <w:proofErr w:type="spellStart"/>
      <w:r w:rsidRPr="00895B22">
        <w:rPr>
          <w:i/>
          <w:iCs/>
          <w:sz w:val="20"/>
          <w:lang w:val="en-GB"/>
        </w:rPr>
        <w:t>Calasiatic</w:t>
      </w:r>
      <w:proofErr w:type="spellEnd"/>
      <w:r w:rsidRPr="00895B22">
        <w:rPr>
          <w:i/>
          <w:iCs/>
          <w:sz w:val="20"/>
          <w:lang w:val="en-GB"/>
        </w:rPr>
        <w:t xml:space="preserve"> v Libya</w:t>
      </w:r>
      <w:r>
        <w:rPr>
          <w:sz w:val="20"/>
          <w:lang w:val="en-GB"/>
        </w:rPr>
        <w:t>’)</w:t>
      </w:r>
      <w:r w:rsidRPr="00D81523">
        <w:rPr>
          <w:sz w:val="20"/>
          <w:lang w:val="en-GB"/>
        </w:rPr>
        <w:t xml:space="preserve">, </w:t>
      </w:r>
      <w:r>
        <w:rPr>
          <w:sz w:val="20"/>
          <w:lang w:val="en-GB"/>
        </w:rPr>
        <w:t xml:space="preserve">447, para </w:t>
      </w:r>
      <w:r w:rsidRPr="00D81523">
        <w:rPr>
          <w:sz w:val="20"/>
          <w:lang w:val="en-GB"/>
        </w:rPr>
        <w:t>32</w:t>
      </w:r>
      <w:r>
        <w:rPr>
          <w:sz w:val="20"/>
          <w:lang w:val="en-GB"/>
        </w:rPr>
        <w:t xml:space="preserve">; </w:t>
      </w:r>
      <w:r>
        <w:rPr>
          <w:rFonts w:cstheme="minorHAnsi"/>
          <w:iCs/>
          <w:sz w:val="20"/>
          <w:lang w:val="el-GR"/>
        </w:rPr>
        <w:t xml:space="preserve"> </w:t>
      </w:r>
      <w:r>
        <w:rPr>
          <w:rFonts w:cstheme="minorHAnsi"/>
          <w:iCs/>
          <w:sz w:val="20"/>
          <w:lang w:val="en-US"/>
        </w:rPr>
        <w:t>as</w:t>
      </w:r>
      <w:r>
        <w:rPr>
          <w:rFonts w:cstheme="minorHAnsi"/>
          <w:iCs/>
          <w:sz w:val="20"/>
          <w:lang w:val="en-GB"/>
        </w:rPr>
        <w:t xml:space="preserve"> the sole arbitrator </w:t>
      </w:r>
      <w:r w:rsidRPr="00830D68">
        <w:rPr>
          <w:rFonts w:cstheme="minorHAnsi"/>
          <w:iCs/>
          <w:sz w:val="20"/>
          <w:lang w:val="en-GB"/>
        </w:rPr>
        <w:t xml:space="preserve">in </w:t>
      </w:r>
      <w:r w:rsidRPr="00830D68">
        <w:rPr>
          <w:rFonts w:cstheme="minorHAnsi"/>
          <w:i/>
          <w:sz w:val="20"/>
          <w:lang w:val="en-GB"/>
        </w:rPr>
        <w:t xml:space="preserve">Texaco and </w:t>
      </w:r>
      <w:proofErr w:type="spellStart"/>
      <w:r w:rsidRPr="00830D68">
        <w:rPr>
          <w:rFonts w:cstheme="minorHAnsi"/>
          <w:i/>
          <w:sz w:val="20"/>
          <w:lang w:val="en-GB"/>
        </w:rPr>
        <w:t>Calasiatic</w:t>
      </w:r>
      <w:proofErr w:type="spellEnd"/>
      <w:r w:rsidRPr="00830D68">
        <w:rPr>
          <w:rFonts w:cstheme="minorHAnsi"/>
          <w:i/>
          <w:sz w:val="20"/>
          <w:lang w:val="en-GB"/>
        </w:rPr>
        <w:t xml:space="preserve"> v Libya</w:t>
      </w:r>
      <w:r>
        <w:rPr>
          <w:rFonts w:cstheme="minorHAnsi"/>
          <w:iCs/>
          <w:sz w:val="20"/>
          <w:lang w:val="en-GB"/>
        </w:rPr>
        <w:t xml:space="preserve"> held</w:t>
      </w:r>
      <w:r w:rsidRPr="00830D68">
        <w:rPr>
          <w:rFonts w:cstheme="minorHAnsi"/>
          <w:iCs/>
          <w:sz w:val="20"/>
          <w:lang w:val="en-GB"/>
        </w:rPr>
        <w:t>, ‘the application of the principles of Libyan law does not have the effect of ruling out the application of the principles of international law, but quite the contrary: it simply requires us to combine the two in verifying the conformity of the first with the second’</w:t>
      </w:r>
      <w:r>
        <w:rPr>
          <w:rFonts w:cstheme="minorHAnsi"/>
          <w:iCs/>
          <w:sz w:val="20"/>
          <w:lang w:val="en-GB"/>
        </w:rPr>
        <w:t xml:space="preserve">, </w:t>
      </w:r>
      <w:r>
        <w:rPr>
          <w:sz w:val="20"/>
          <w:lang w:val="en-US"/>
        </w:rPr>
        <w:t>ibid</w:t>
      </w:r>
      <w:r w:rsidRPr="00D81523">
        <w:rPr>
          <w:sz w:val="20"/>
          <w:lang w:val="en-GB"/>
        </w:rPr>
        <w:t>, para 49</w:t>
      </w:r>
      <w:r>
        <w:rPr>
          <w:sz w:val="20"/>
          <w:lang w:val="en-GB"/>
        </w:rPr>
        <w:t xml:space="preserve">; </w:t>
      </w:r>
      <w:r w:rsidRPr="00D81523">
        <w:rPr>
          <w:sz w:val="20"/>
          <w:lang w:val="en-GB"/>
        </w:rPr>
        <w:t xml:space="preserve">J </w:t>
      </w:r>
      <w:proofErr w:type="spellStart"/>
      <w:r w:rsidRPr="00D81523">
        <w:rPr>
          <w:sz w:val="20"/>
          <w:lang w:val="en-GB"/>
        </w:rPr>
        <w:t>Cantegreil</w:t>
      </w:r>
      <w:proofErr w:type="spellEnd"/>
      <w:r w:rsidRPr="00D81523">
        <w:rPr>
          <w:sz w:val="20"/>
          <w:lang w:val="en-GB"/>
        </w:rPr>
        <w:t xml:space="preserve">, ‘The Audacity of the </w:t>
      </w:r>
      <w:r w:rsidRPr="00D81523">
        <w:rPr>
          <w:i/>
          <w:iCs/>
          <w:sz w:val="20"/>
          <w:lang w:val="en-GB"/>
        </w:rPr>
        <w:t>Texaco/</w:t>
      </w:r>
      <w:proofErr w:type="spellStart"/>
      <w:r w:rsidRPr="00D81523">
        <w:rPr>
          <w:i/>
          <w:iCs/>
          <w:sz w:val="20"/>
          <w:lang w:val="en-GB"/>
        </w:rPr>
        <w:t>Calasiatic</w:t>
      </w:r>
      <w:proofErr w:type="spellEnd"/>
      <w:r w:rsidRPr="00D81523">
        <w:rPr>
          <w:sz w:val="20"/>
          <w:lang w:val="en-GB"/>
        </w:rPr>
        <w:t xml:space="preserve"> Award: René-Jean Dupuy and the Internationalization of Foreign Investment Law’ (2011) 22 EJIL 441; A </w:t>
      </w:r>
      <w:proofErr w:type="spellStart"/>
      <w:r w:rsidRPr="00D81523">
        <w:rPr>
          <w:sz w:val="20"/>
          <w:lang w:val="en-GB"/>
        </w:rPr>
        <w:t>A</w:t>
      </w:r>
      <w:proofErr w:type="spellEnd"/>
      <w:r w:rsidRPr="00D81523">
        <w:rPr>
          <w:sz w:val="20"/>
          <w:lang w:val="en-GB"/>
        </w:rPr>
        <w:t xml:space="preserve"> </w:t>
      </w:r>
      <w:proofErr w:type="spellStart"/>
      <w:r w:rsidRPr="00D81523">
        <w:rPr>
          <w:sz w:val="20"/>
          <w:lang w:val="en-GB"/>
        </w:rPr>
        <w:t>Fatouros</w:t>
      </w:r>
      <w:proofErr w:type="spellEnd"/>
      <w:r w:rsidRPr="00D81523">
        <w:rPr>
          <w:sz w:val="20"/>
          <w:lang w:val="en-GB"/>
        </w:rPr>
        <w:t>, ‘International Law and the Internationalized Contract’ (1980) 74 AJIL 134; G Cohen-Jonathan, ‘</w:t>
      </w:r>
      <w:proofErr w:type="spellStart"/>
      <w:r w:rsidRPr="00D81523">
        <w:rPr>
          <w:sz w:val="20"/>
          <w:lang w:val="en-GB"/>
        </w:rPr>
        <w:t>L’arbitrage</w:t>
      </w:r>
      <w:proofErr w:type="spellEnd"/>
      <w:r w:rsidRPr="00D81523">
        <w:rPr>
          <w:sz w:val="20"/>
          <w:lang w:val="en-GB"/>
        </w:rPr>
        <w:t xml:space="preserve"> Texaco-</w:t>
      </w:r>
      <w:proofErr w:type="spellStart"/>
      <w:r w:rsidRPr="00D81523">
        <w:rPr>
          <w:sz w:val="20"/>
          <w:lang w:val="en-GB"/>
        </w:rPr>
        <w:t>Calasiatic</w:t>
      </w:r>
      <w:proofErr w:type="spellEnd"/>
      <w:r w:rsidRPr="00D81523">
        <w:rPr>
          <w:sz w:val="20"/>
          <w:lang w:val="en-GB"/>
        </w:rPr>
        <w:t xml:space="preserve"> </w:t>
      </w:r>
      <w:proofErr w:type="spellStart"/>
      <w:r w:rsidRPr="00D81523">
        <w:rPr>
          <w:sz w:val="20"/>
          <w:lang w:val="en-GB"/>
        </w:rPr>
        <w:t>contre</w:t>
      </w:r>
      <w:proofErr w:type="spellEnd"/>
      <w:r w:rsidRPr="00D81523">
        <w:rPr>
          <w:sz w:val="20"/>
          <w:lang w:val="en-GB"/>
        </w:rPr>
        <w:t xml:space="preserve"> </w:t>
      </w:r>
      <w:proofErr w:type="spellStart"/>
      <w:r w:rsidRPr="00D81523">
        <w:rPr>
          <w:sz w:val="20"/>
          <w:lang w:val="en-GB"/>
        </w:rPr>
        <w:t>Gouvernement</w:t>
      </w:r>
      <w:proofErr w:type="spellEnd"/>
      <w:r w:rsidRPr="00D81523">
        <w:rPr>
          <w:sz w:val="20"/>
          <w:lang w:val="en-GB"/>
        </w:rPr>
        <w:t xml:space="preserve"> </w:t>
      </w:r>
      <w:proofErr w:type="spellStart"/>
      <w:r w:rsidRPr="00D81523">
        <w:rPr>
          <w:sz w:val="20"/>
          <w:lang w:val="en-GB"/>
        </w:rPr>
        <w:t>Libyen</w:t>
      </w:r>
      <w:proofErr w:type="spellEnd"/>
      <w:r w:rsidRPr="00D81523">
        <w:rPr>
          <w:sz w:val="20"/>
          <w:lang w:val="en-GB"/>
        </w:rPr>
        <w:t xml:space="preserve">: </w:t>
      </w:r>
      <w:proofErr w:type="spellStart"/>
      <w:r w:rsidRPr="00D81523">
        <w:rPr>
          <w:sz w:val="20"/>
          <w:lang w:val="en-GB"/>
        </w:rPr>
        <w:t>décision</w:t>
      </w:r>
      <w:proofErr w:type="spellEnd"/>
      <w:r w:rsidRPr="00D81523">
        <w:rPr>
          <w:sz w:val="20"/>
          <w:lang w:val="en-GB"/>
        </w:rPr>
        <w:t xml:space="preserve"> au fond du 19 </w:t>
      </w:r>
      <w:proofErr w:type="spellStart"/>
      <w:r w:rsidRPr="00D81523">
        <w:rPr>
          <w:sz w:val="20"/>
          <w:lang w:val="en-GB"/>
        </w:rPr>
        <w:t>janvier</w:t>
      </w:r>
      <w:proofErr w:type="spellEnd"/>
      <w:r w:rsidRPr="00D81523">
        <w:rPr>
          <w:sz w:val="20"/>
          <w:lang w:val="en-GB"/>
        </w:rPr>
        <w:t xml:space="preserve"> 1977’ (1977) 23 AFDI 452; J-F </w:t>
      </w:r>
      <w:proofErr w:type="spellStart"/>
      <w:r w:rsidRPr="00D81523">
        <w:rPr>
          <w:sz w:val="20"/>
          <w:lang w:val="en-GB"/>
        </w:rPr>
        <w:t>Lalive</w:t>
      </w:r>
      <w:proofErr w:type="spellEnd"/>
      <w:r w:rsidRPr="00D81523">
        <w:rPr>
          <w:sz w:val="20"/>
          <w:lang w:val="en-GB"/>
        </w:rPr>
        <w:t xml:space="preserve">, ‘Un grand arbitrage </w:t>
      </w:r>
      <w:proofErr w:type="spellStart"/>
      <w:r w:rsidRPr="00D81523">
        <w:rPr>
          <w:sz w:val="20"/>
          <w:lang w:val="en-GB"/>
        </w:rPr>
        <w:t>pétrolier</w:t>
      </w:r>
      <w:proofErr w:type="spellEnd"/>
      <w:r w:rsidRPr="00D81523">
        <w:rPr>
          <w:sz w:val="20"/>
          <w:lang w:val="en-GB"/>
        </w:rPr>
        <w:t xml:space="preserve"> entre un </w:t>
      </w:r>
      <w:proofErr w:type="spellStart"/>
      <w:r w:rsidRPr="00D81523">
        <w:rPr>
          <w:sz w:val="20"/>
          <w:lang w:val="en-GB"/>
        </w:rPr>
        <w:t>Gouvernement</w:t>
      </w:r>
      <w:proofErr w:type="spellEnd"/>
      <w:r w:rsidRPr="00D81523">
        <w:rPr>
          <w:sz w:val="20"/>
          <w:lang w:val="en-GB"/>
        </w:rPr>
        <w:t xml:space="preserve"> et deux </w:t>
      </w:r>
      <w:proofErr w:type="spellStart"/>
      <w:r w:rsidRPr="00D81523">
        <w:rPr>
          <w:sz w:val="20"/>
          <w:lang w:val="en-GB"/>
        </w:rPr>
        <w:t>société</w:t>
      </w:r>
      <w:proofErr w:type="spellEnd"/>
      <w:r w:rsidRPr="00D81523">
        <w:rPr>
          <w:sz w:val="20"/>
          <w:lang w:val="en-GB"/>
        </w:rPr>
        <w:t xml:space="preserve"> </w:t>
      </w:r>
      <w:proofErr w:type="spellStart"/>
      <w:r w:rsidRPr="00D81523">
        <w:rPr>
          <w:sz w:val="20"/>
          <w:lang w:val="en-GB"/>
        </w:rPr>
        <w:t>privées</w:t>
      </w:r>
      <w:proofErr w:type="spellEnd"/>
      <w:r w:rsidRPr="00D81523">
        <w:rPr>
          <w:sz w:val="20"/>
          <w:lang w:val="en-GB"/>
        </w:rPr>
        <w:t xml:space="preserve"> </w:t>
      </w:r>
      <w:proofErr w:type="spellStart"/>
      <w:r w:rsidRPr="00D81523">
        <w:rPr>
          <w:sz w:val="20"/>
          <w:lang w:val="en-GB"/>
        </w:rPr>
        <w:t>étrangères</w:t>
      </w:r>
      <w:proofErr w:type="spellEnd"/>
      <w:r w:rsidRPr="00D81523">
        <w:rPr>
          <w:sz w:val="20"/>
          <w:lang w:val="en-GB"/>
        </w:rPr>
        <w:t xml:space="preserve"> (Arbitrage Texaco/</w:t>
      </w:r>
      <w:proofErr w:type="spellStart"/>
      <w:r w:rsidRPr="00D81523">
        <w:rPr>
          <w:sz w:val="20"/>
          <w:lang w:val="en-GB"/>
        </w:rPr>
        <w:t>Calasiatic</w:t>
      </w:r>
      <w:proofErr w:type="spellEnd"/>
      <w:r w:rsidRPr="00D81523">
        <w:rPr>
          <w:sz w:val="20"/>
          <w:lang w:val="en-GB"/>
        </w:rPr>
        <w:t xml:space="preserve"> c. </w:t>
      </w:r>
      <w:proofErr w:type="spellStart"/>
      <w:r w:rsidRPr="00D81523">
        <w:rPr>
          <w:sz w:val="20"/>
          <w:lang w:val="en-GB"/>
        </w:rPr>
        <w:t>Gouvernement</w:t>
      </w:r>
      <w:proofErr w:type="spellEnd"/>
      <w:r w:rsidRPr="00D81523">
        <w:rPr>
          <w:sz w:val="20"/>
          <w:lang w:val="en-GB"/>
        </w:rPr>
        <w:t xml:space="preserve"> </w:t>
      </w:r>
      <w:proofErr w:type="spellStart"/>
      <w:r w:rsidRPr="00D81523">
        <w:rPr>
          <w:sz w:val="20"/>
          <w:lang w:val="en-GB"/>
        </w:rPr>
        <w:t>Libyen</w:t>
      </w:r>
      <w:proofErr w:type="spellEnd"/>
      <w:r w:rsidRPr="00D81523">
        <w:rPr>
          <w:sz w:val="20"/>
          <w:lang w:val="en-GB"/>
        </w:rPr>
        <w:t xml:space="preserve">)’ (1977) 104 JDI </w:t>
      </w:r>
      <w:r>
        <w:rPr>
          <w:sz w:val="20"/>
          <w:lang w:val="en-GB"/>
        </w:rPr>
        <w:t>(</w:t>
      </w:r>
      <w:proofErr w:type="spellStart"/>
      <w:r>
        <w:rPr>
          <w:sz w:val="20"/>
          <w:lang w:val="en-GB"/>
        </w:rPr>
        <w:t>Clunet</w:t>
      </w:r>
      <w:proofErr w:type="spellEnd"/>
      <w:r>
        <w:rPr>
          <w:sz w:val="20"/>
          <w:lang w:val="en-GB"/>
        </w:rPr>
        <w:t xml:space="preserve">) </w:t>
      </w:r>
      <w:r w:rsidRPr="00D81523">
        <w:rPr>
          <w:sz w:val="20"/>
          <w:lang w:val="en-GB"/>
        </w:rPr>
        <w:t>319.</w:t>
      </w:r>
    </w:p>
  </w:footnote>
  <w:footnote w:id="51">
    <w:p w14:paraId="2BC3F798" w14:textId="6410FE15" w:rsidR="00B10BDB" w:rsidRPr="00FB1A70" w:rsidRDefault="00B10BDB" w:rsidP="00D12AE4">
      <w:pPr>
        <w:pStyle w:val="FootnoteText"/>
        <w:jc w:val="both"/>
        <w:rPr>
          <w:sz w:val="20"/>
          <w:lang w:val="en-US"/>
        </w:rPr>
      </w:pPr>
      <w:r w:rsidRPr="00D81523">
        <w:rPr>
          <w:rStyle w:val="FootnoteReference"/>
          <w:sz w:val="20"/>
          <w:lang w:val="en-GB"/>
        </w:rPr>
        <w:footnoteRef/>
      </w:r>
      <w:r w:rsidRPr="00D81523">
        <w:rPr>
          <w:sz w:val="20"/>
          <w:lang w:val="en-GB"/>
        </w:rPr>
        <w:t xml:space="preserve"> </w:t>
      </w:r>
      <w:r w:rsidR="00D67426" w:rsidRPr="00D81523">
        <w:rPr>
          <w:sz w:val="20"/>
          <w:lang w:val="en-GB"/>
        </w:rPr>
        <w:t xml:space="preserve">K-H </w:t>
      </w:r>
      <w:proofErr w:type="spellStart"/>
      <w:r w:rsidR="00D67426" w:rsidRPr="00D81523">
        <w:rPr>
          <w:sz w:val="20"/>
          <w:lang w:val="en-GB"/>
        </w:rPr>
        <w:t>Böckstiegel</w:t>
      </w:r>
      <w:proofErr w:type="spellEnd"/>
      <w:r w:rsidR="00D67426" w:rsidRPr="00D81523">
        <w:rPr>
          <w:sz w:val="20"/>
          <w:lang w:val="en-GB"/>
        </w:rPr>
        <w:t xml:space="preserve">, ‘States in the international arbitral process’ in J D M Lew (ed), </w:t>
      </w:r>
      <w:r w:rsidR="00D67426" w:rsidRPr="00D81523">
        <w:rPr>
          <w:i/>
          <w:iCs/>
          <w:sz w:val="20"/>
          <w:lang w:val="en-GB"/>
        </w:rPr>
        <w:t>Contemporary Problems in International Arbitration</w:t>
      </w:r>
      <w:r w:rsidR="00D67426" w:rsidRPr="00D81523">
        <w:rPr>
          <w:sz w:val="20"/>
          <w:lang w:val="en-GB"/>
        </w:rPr>
        <w:t xml:space="preserve"> (Springer, London 1986) 40-49</w:t>
      </w:r>
      <w:r w:rsidR="00D67426">
        <w:rPr>
          <w:sz w:val="20"/>
          <w:lang w:val="en-GB"/>
        </w:rPr>
        <w:t>,</w:t>
      </w:r>
      <w:r w:rsidRPr="00D81523">
        <w:rPr>
          <w:sz w:val="20"/>
          <w:lang w:val="en-GB"/>
        </w:rPr>
        <w:t xml:space="preserve"> 45-46.</w:t>
      </w:r>
      <w:r w:rsidRPr="00FB1A70">
        <w:rPr>
          <w:sz w:val="20"/>
          <w:lang w:val="en-GB"/>
        </w:rPr>
        <w:t xml:space="preserve"> </w:t>
      </w:r>
      <w:r w:rsidRPr="00D81523">
        <w:rPr>
          <w:sz w:val="20"/>
          <w:lang w:val="en-GB"/>
        </w:rPr>
        <w:t xml:space="preserve">See e.g. Article </w:t>
      </w:r>
      <w:r>
        <w:rPr>
          <w:sz w:val="20"/>
          <w:lang w:val="en-GB"/>
        </w:rPr>
        <w:t>22</w:t>
      </w:r>
      <w:r w:rsidRPr="00D81523">
        <w:rPr>
          <w:sz w:val="20"/>
          <w:lang w:val="en-GB"/>
        </w:rPr>
        <w:t xml:space="preserve"> of the Agreement between the Imperial Government of Persia and the Anglo-Persian Oil Company Ltd (Teheran, 29 April 1933), reproduced in the </w:t>
      </w:r>
      <w:r w:rsidRPr="00D81523">
        <w:rPr>
          <w:i/>
          <w:iCs/>
          <w:sz w:val="20"/>
          <w:lang w:val="en-GB"/>
        </w:rPr>
        <w:t>Anglo-Iranian Oil Co case</w:t>
      </w:r>
      <w:r w:rsidRPr="00D81523">
        <w:rPr>
          <w:sz w:val="20"/>
          <w:lang w:val="en-GB"/>
        </w:rPr>
        <w:t xml:space="preserve"> (1952) ICJ Pleadings </w:t>
      </w:r>
      <w:r>
        <w:rPr>
          <w:sz w:val="20"/>
          <w:lang w:val="el-GR"/>
        </w:rPr>
        <w:t>2</w:t>
      </w:r>
      <w:r w:rsidRPr="00D81523">
        <w:rPr>
          <w:sz w:val="20"/>
          <w:lang w:val="en-GB"/>
        </w:rPr>
        <w:t>1</w:t>
      </w:r>
      <w:r>
        <w:rPr>
          <w:sz w:val="20"/>
          <w:lang w:val="el-GR"/>
        </w:rPr>
        <w:t>.</w:t>
      </w:r>
    </w:p>
  </w:footnote>
  <w:footnote w:id="52">
    <w:p w14:paraId="17FE3CE4" w14:textId="7AA1C543"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Article 41 of the Agreement between the National Iranian Oil Company (NIOC) and Enterprise de </w:t>
      </w:r>
      <w:proofErr w:type="spellStart"/>
      <w:r w:rsidRPr="00D81523">
        <w:rPr>
          <w:sz w:val="20"/>
          <w:lang w:val="en-GB"/>
        </w:rPr>
        <w:t>Recherches</w:t>
      </w:r>
      <w:proofErr w:type="spellEnd"/>
      <w:r w:rsidRPr="00D81523">
        <w:rPr>
          <w:sz w:val="20"/>
          <w:lang w:val="en-GB"/>
        </w:rPr>
        <w:t xml:space="preserve"> et </w:t>
      </w:r>
      <w:proofErr w:type="spellStart"/>
      <w:r w:rsidRPr="00D81523">
        <w:rPr>
          <w:sz w:val="20"/>
          <w:lang w:val="en-GB"/>
        </w:rPr>
        <w:t>d’Activités</w:t>
      </w:r>
      <w:proofErr w:type="spellEnd"/>
      <w:r w:rsidRPr="00D81523">
        <w:rPr>
          <w:sz w:val="20"/>
          <w:lang w:val="en-GB"/>
        </w:rPr>
        <w:t xml:space="preserve"> </w:t>
      </w:r>
      <w:proofErr w:type="spellStart"/>
      <w:r w:rsidRPr="00D81523">
        <w:rPr>
          <w:sz w:val="20"/>
          <w:lang w:val="en-GB"/>
        </w:rPr>
        <w:t>Petroliers</w:t>
      </w:r>
      <w:proofErr w:type="spellEnd"/>
      <w:r w:rsidRPr="00D81523">
        <w:rPr>
          <w:sz w:val="20"/>
          <w:lang w:val="en-GB"/>
        </w:rPr>
        <w:t xml:space="preserve"> (ERAP) and </w:t>
      </w:r>
      <w:proofErr w:type="spellStart"/>
      <w:r w:rsidRPr="00D81523">
        <w:rPr>
          <w:sz w:val="20"/>
          <w:lang w:val="en-GB"/>
        </w:rPr>
        <w:t>Sociéte</w:t>
      </w:r>
      <w:proofErr w:type="spellEnd"/>
      <w:r w:rsidRPr="00D81523">
        <w:rPr>
          <w:sz w:val="20"/>
          <w:lang w:val="en-GB"/>
        </w:rPr>
        <w:t xml:space="preserve">́ </w:t>
      </w:r>
      <w:proofErr w:type="spellStart"/>
      <w:r w:rsidRPr="00D81523">
        <w:rPr>
          <w:sz w:val="20"/>
          <w:lang w:val="en-GB"/>
        </w:rPr>
        <w:t>Française</w:t>
      </w:r>
      <w:proofErr w:type="spellEnd"/>
      <w:r w:rsidRPr="00D81523">
        <w:rPr>
          <w:sz w:val="20"/>
          <w:lang w:val="en-GB"/>
        </w:rPr>
        <w:t xml:space="preserve"> des </w:t>
      </w:r>
      <w:proofErr w:type="spellStart"/>
      <w:r w:rsidRPr="00D81523">
        <w:rPr>
          <w:sz w:val="20"/>
          <w:lang w:val="en-GB"/>
        </w:rPr>
        <w:t>Petroles</w:t>
      </w:r>
      <w:proofErr w:type="spellEnd"/>
      <w:r w:rsidRPr="00D81523">
        <w:rPr>
          <w:sz w:val="20"/>
          <w:lang w:val="en-GB"/>
        </w:rPr>
        <w:t xml:space="preserve"> </w:t>
      </w:r>
      <w:proofErr w:type="spellStart"/>
      <w:r w:rsidRPr="00D81523">
        <w:rPr>
          <w:sz w:val="20"/>
          <w:lang w:val="en-GB"/>
        </w:rPr>
        <w:t>d’Iran</w:t>
      </w:r>
      <w:proofErr w:type="spellEnd"/>
      <w:r w:rsidRPr="00D81523">
        <w:rPr>
          <w:sz w:val="20"/>
          <w:lang w:val="en-GB"/>
        </w:rPr>
        <w:t xml:space="preserve"> (SOFIRAN) quoted in </w:t>
      </w:r>
      <w:r w:rsidRPr="00D81523">
        <w:rPr>
          <w:rFonts w:cstheme="minorHAnsi"/>
          <w:i/>
          <w:sz w:val="20"/>
          <w:lang w:val="en-GB"/>
        </w:rPr>
        <w:t>Elf Aquitaine Iran v National Iranian Oil Company</w:t>
      </w:r>
      <w:r w:rsidRPr="00D81523">
        <w:rPr>
          <w:rFonts w:cstheme="minorHAnsi"/>
          <w:iCs/>
          <w:sz w:val="20"/>
          <w:lang w:val="en-GB"/>
        </w:rPr>
        <w:t xml:space="preserve">, </w:t>
      </w:r>
      <w:r w:rsidRPr="00D81523">
        <w:rPr>
          <w:sz w:val="20"/>
          <w:lang w:val="en-GB"/>
        </w:rPr>
        <w:t>Preliminary Award, 14 January 1982, 96 ILR 251, 252.</w:t>
      </w:r>
    </w:p>
  </w:footnote>
  <w:footnote w:id="53">
    <w:p w14:paraId="0F72B2ED" w14:textId="5B4ACD3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Clause 28 of the Deeds of Concession between Texaco and Libya, quoted in </w:t>
      </w:r>
      <w:r w:rsidRPr="00D81523">
        <w:rPr>
          <w:i/>
          <w:iCs/>
          <w:sz w:val="20"/>
          <w:lang w:val="en-GB"/>
        </w:rPr>
        <w:t>Texaco Overseas Petroleum Co / California Asiatic Oil Co v Government of the Libyan Arab Republic</w:t>
      </w:r>
      <w:r>
        <w:rPr>
          <w:sz w:val="20"/>
          <w:lang w:val="en-GB"/>
        </w:rPr>
        <w:t>, Preliminary Award,</w:t>
      </w:r>
      <w:r w:rsidRPr="00D81523">
        <w:rPr>
          <w:sz w:val="20"/>
          <w:lang w:val="en-GB"/>
        </w:rPr>
        <w:t xml:space="preserve"> </w:t>
      </w:r>
      <w:r>
        <w:rPr>
          <w:sz w:val="20"/>
          <w:lang w:val="en-GB"/>
        </w:rPr>
        <w:t>27 November 1975</w:t>
      </w:r>
      <w:r w:rsidRPr="00D81523">
        <w:rPr>
          <w:sz w:val="20"/>
          <w:lang w:val="en-GB"/>
        </w:rPr>
        <w:t xml:space="preserve">, 53 ILR 389, 404; Clause 28, Deeds of Concession between LIAMCO and Libya, quoted in </w:t>
      </w:r>
      <w:r w:rsidRPr="00D81523">
        <w:rPr>
          <w:i/>
          <w:iCs/>
          <w:sz w:val="20"/>
          <w:lang w:val="en-GB"/>
        </w:rPr>
        <w:t>LIAMCO v Libya</w:t>
      </w:r>
      <w:r w:rsidRPr="00D81523">
        <w:rPr>
          <w:sz w:val="20"/>
          <w:lang w:val="en-GB"/>
        </w:rPr>
        <w:t xml:space="preserve">, Award, 12 April 1977, (1981) 20 ILM 1, 33; Agreement between AGIP and the People’s Republic of Congo (now the Republic of the Congo), quoted in </w:t>
      </w:r>
      <w:r w:rsidRPr="00D81523">
        <w:rPr>
          <w:i/>
          <w:iCs/>
          <w:sz w:val="20"/>
          <w:lang w:val="en-GB"/>
        </w:rPr>
        <w:t xml:space="preserve">AGIP </w:t>
      </w:r>
      <w:proofErr w:type="spellStart"/>
      <w:r w:rsidRPr="00D81523">
        <w:rPr>
          <w:i/>
          <w:iCs/>
          <w:sz w:val="20"/>
          <w:lang w:val="en-GB"/>
        </w:rPr>
        <w:t>SpA</w:t>
      </w:r>
      <w:proofErr w:type="spellEnd"/>
      <w:r w:rsidRPr="00D81523">
        <w:rPr>
          <w:i/>
          <w:iCs/>
          <w:sz w:val="20"/>
          <w:lang w:val="en-GB"/>
        </w:rPr>
        <w:t xml:space="preserve"> v People’s Republic of the Congo</w:t>
      </w:r>
      <w:r w:rsidRPr="00D81523">
        <w:rPr>
          <w:sz w:val="20"/>
          <w:lang w:val="en-GB"/>
        </w:rPr>
        <w:t xml:space="preserve">, ICSID Case No ARB/77/1, Award, 30 November 1979, 67 ILR 318, </w:t>
      </w:r>
      <w:r>
        <w:rPr>
          <w:sz w:val="20"/>
          <w:lang w:val="en-GB"/>
        </w:rPr>
        <w:t xml:space="preserve">330-331, </w:t>
      </w:r>
      <w:r w:rsidRPr="00D81523">
        <w:rPr>
          <w:sz w:val="20"/>
          <w:lang w:val="en-GB"/>
        </w:rPr>
        <w:t>para 43</w:t>
      </w:r>
      <w:r>
        <w:rPr>
          <w:sz w:val="20"/>
          <w:lang w:val="en-GB"/>
        </w:rPr>
        <w:t xml:space="preserve">; </w:t>
      </w:r>
      <w:r w:rsidRPr="00D81523">
        <w:rPr>
          <w:sz w:val="20"/>
          <w:lang w:val="en-GB"/>
        </w:rPr>
        <w:t xml:space="preserve">Agreement between Kaiser and Jamaica, quoted in </w:t>
      </w:r>
      <w:r w:rsidRPr="00D81523">
        <w:rPr>
          <w:i/>
          <w:iCs/>
          <w:sz w:val="20"/>
          <w:lang w:val="en-GB"/>
        </w:rPr>
        <w:t>Kaiser Bauxite Company v Jamaica</w:t>
      </w:r>
      <w:r w:rsidRPr="00D81523">
        <w:rPr>
          <w:sz w:val="20"/>
          <w:lang w:val="en-GB"/>
        </w:rPr>
        <w:t xml:space="preserve">, ICSID Case No ARB/74/3, Decision on Jurisdiction and Competence, 6 July 1975, para 12. See also Article </w:t>
      </w:r>
      <w:proofErr w:type="gramStart"/>
      <w:r w:rsidRPr="00D81523">
        <w:rPr>
          <w:sz w:val="20"/>
          <w:lang w:val="en-GB"/>
        </w:rPr>
        <w:t>III(</w:t>
      </w:r>
      <w:proofErr w:type="gramEnd"/>
      <w:r w:rsidRPr="00D81523">
        <w:rPr>
          <w:sz w:val="20"/>
          <w:lang w:val="en-GB"/>
        </w:rPr>
        <w:t xml:space="preserve">2) of the 1979 Arbitration Agreement between </w:t>
      </w:r>
      <w:proofErr w:type="spellStart"/>
      <w:r w:rsidRPr="00D81523">
        <w:rPr>
          <w:sz w:val="20"/>
          <w:lang w:val="en-GB"/>
        </w:rPr>
        <w:t>Aminoil</w:t>
      </w:r>
      <w:proofErr w:type="spellEnd"/>
      <w:r w:rsidRPr="00D81523">
        <w:rPr>
          <w:sz w:val="20"/>
          <w:lang w:val="en-GB"/>
        </w:rPr>
        <w:t xml:space="preserve"> and Kuwait quoted in</w:t>
      </w:r>
      <w:r>
        <w:rPr>
          <w:rFonts w:cstheme="minorHAnsi"/>
          <w:iCs/>
          <w:sz w:val="20"/>
          <w:lang w:val="en-GB"/>
        </w:rPr>
        <w:t xml:space="preserve"> </w:t>
      </w:r>
      <w:proofErr w:type="spellStart"/>
      <w:r w:rsidRPr="00935E4D">
        <w:rPr>
          <w:rFonts w:cstheme="minorHAnsi"/>
          <w:i/>
          <w:sz w:val="20"/>
          <w:lang w:val="en-GB"/>
        </w:rPr>
        <w:t>Aminoil</w:t>
      </w:r>
      <w:proofErr w:type="spellEnd"/>
      <w:r w:rsidRPr="00D81523">
        <w:rPr>
          <w:rFonts w:cstheme="minorHAnsi"/>
          <w:iCs/>
          <w:sz w:val="20"/>
          <w:lang w:val="en-GB"/>
        </w:rPr>
        <w:t xml:space="preserve"> 561</w:t>
      </w:r>
      <w:r>
        <w:rPr>
          <w:sz w:val="20"/>
          <w:lang w:val="en-GB"/>
        </w:rPr>
        <w:t>.</w:t>
      </w:r>
    </w:p>
  </w:footnote>
  <w:footnote w:id="54">
    <w:p w14:paraId="3E46D523" w14:textId="6D06252E"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 e.g. Section 4 of the Venezuelan State oil company PDVSA Guaranty regarding the </w:t>
      </w:r>
      <w:proofErr w:type="spellStart"/>
      <w:r w:rsidRPr="00D81523">
        <w:rPr>
          <w:sz w:val="20"/>
          <w:lang w:val="en-GB"/>
        </w:rPr>
        <w:t>Petrozuata</w:t>
      </w:r>
      <w:proofErr w:type="spellEnd"/>
      <w:r w:rsidRPr="00D81523">
        <w:rPr>
          <w:sz w:val="20"/>
          <w:lang w:val="en-GB"/>
        </w:rPr>
        <w:t xml:space="preserve"> project quoted in </w:t>
      </w:r>
      <w:r w:rsidRPr="00D81523">
        <w:rPr>
          <w:i/>
          <w:iCs/>
          <w:sz w:val="20"/>
          <w:lang w:val="en-GB"/>
        </w:rPr>
        <w:t xml:space="preserve">Phillips Petroleum Company Venezuela Limited (Bermuda) and ConocoPhillips </w:t>
      </w:r>
      <w:proofErr w:type="spellStart"/>
      <w:r w:rsidRPr="00D81523">
        <w:rPr>
          <w:i/>
          <w:iCs/>
          <w:sz w:val="20"/>
          <w:lang w:val="en-GB"/>
        </w:rPr>
        <w:t>Petrozuata</w:t>
      </w:r>
      <w:proofErr w:type="spellEnd"/>
      <w:r w:rsidRPr="00D81523">
        <w:rPr>
          <w:i/>
          <w:iCs/>
          <w:sz w:val="20"/>
          <w:lang w:val="en-GB"/>
        </w:rPr>
        <w:t xml:space="preserve"> BV (The Netherlands) v </w:t>
      </w:r>
      <w:proofErr w:type="spellStart"/>
      <w:r w:rsidRPr="00D81523">
        <w:rPr>
          <w:i/>
          <w:iCs/>
          <w:sz w:val="20"/>
          <w:lang w:val="en-GB"/>
        </w:rPr>
        <w:t>Petroleos</w:t>
      </w:r>
      <w:proofErr w:type="spellEnd"/>
      <w:r w:rsidRPr="00D81523">
        <w:rPr>
          <w:i/>
          <w:iCs/>
          <w:sz w:val="20"/>
          <w:lang w:val="en-GB"/>
        </w:rPr>
        <w:t xml:space="preserve"> de Venezuela, SA (Venezuela)</w:t>
      </w:r>
      <w:r w:rsidRPr="00D81523">
        <w:rPr>
          <w:sz w:val="20"/>
          <w:lang w:val="en-GB"/>
        </w:rPr>
        <w:t>, ICC Case No 16848, Award, 17 September 2012, para 131.</w:t>
      </w:r>
    </w:p>
  </w:footnote>
  <w:footnote w:id="55">
    <w:p w14:paraId="346B45D6" w14:textId="665D2EB6"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Pr>
          <w:sz w:val="20"/>
          <w:lang w:val="en-GB"/>
        </w:rPr>
        <w:t xml:space="preserve">See </w:t>
      </w:r>
      <w:r w:rsidRPr="00D81523">
        <w:rPr>
          <w:sz w:val="20"/>
          <w:lang w:val="en-GB"/>
        </w:rPr>
        <w:t xml:space="preserve">C Greenwood, ‘State Contracts in International Law--The Libyan Oil Arbitrations’ (1983) 53 </w:t>
      </w:r>
      <w:r w:rsidR="00D67426">
        <w:rPr>
          <w:sz w:val="20"/>
          <w:lang w:val="en-GB"/>
        </w:rPr>
        <w:t>BYIL</w:t>
      </w:r>
      <w:r w:rsidRPr="00D81523">
        <w:rPr>
          <w:sz w:val="20"/>
          <w:lang w:val="en-GB"/>
        </w:rPr>
        <w:t xml:space="preserve"> 27; J </w:t>
      </w:r>
      <w:proofErr w:type="spellStart"/>
      <w:r w:rsidRPr="00D81523">
        <w:rPr>
          <w:sz w:val="20"/>
          <w:lang w:val="en-GB"/>
        </w:rPr>
        <w:t>J</w:t>
      </w:r>
      <w:proofErr w:type="spellEnd"/>
      <w:r w:rsidRPr="00D81523">
        <w:rPr>
          <w:sz w:val="20"/>
          <w:lang w:val="en-GB"/>
        </w:rPr>
        <w:t xml:space="preserve"> van </w:t>
      </w:r>
      <w:proofErr w:type="spellStart"/>
      <w:r w:rsidRPr="00D81523">
        <w:rPr>
          <w:sz w:val="20"/>
          <w:lang w:val="en-GB"/>
        </w:rPr>
        <w:t>Haersolte</w:t>
      </w:r>
      <w:proofErr w:type="spellEnd"/>
      <w:r w:rsidRPr="00D81523">
        <w:rPr>
          <w:sz w:val="20"/>
          <w:lang w:val="en-GB"/>
        </w:rPr>
        <w:t xml:space="preserve">-van Hof and E V </w:t>
      </w:r>
      <w:proofErr w:type="spellStart"/>
      <w:r w:rsidRPr="00D81523">
        <w:rPr>
          <w:sz w:val="20"/>
          <w:lang w:val="en-GB"/>
        </w:rPr>
        <w:t>Koppe</w:t>
      </w:r>
      <w:proofErr w:type="spellEnd"/>
      <w:r w:rsidRPr="00D81523">
        <w:rPr>
          <w:sz w:val="20"/>
          <w:lang w:val="en-GB"/>
        </w:rPr>
        <w:t xml:space="preserve">, ‘International arbitration and the </w:t>
      </w:r>
      <w:proofErr w:type="spellStart"/>
      <w:r w:rsidRPr="00D81523">
        <w:rPr>
          <w:i/>
          <w:iCs/>
          <w:sz w:val="20"/>
          <w:lang w:val="en-GB"/>
        </w:rPr>
        <w:t>lex</w:t>
      </w:r>
      <w:proofErr w:type="spellEnd"/>
      <w:r w:rsidRPr="00D81523">
        <w:rPr>
          <w:i/>
          <w:iCs/>
          <w:sz w:val="20"/>
          <w:lang w:val="en-GB"/>
        </w:rPr>
        <w:t xml:space="preserve"> </w:t>
      </w:r>
      <w:proofErr w:type="spellStart"/>
      <w:r w:rsidRPr="00D81523">
        <w:rPr>
          <w:i/>
          <w:iCs/>
          <w:sz w:val="20"/>
          <w:lang w:val="en-GB"/>
        </w:rPr>
        <w:t>arbitri</w:t>
      </w:r>
      <w:proofErr w:type="spellEnd"/>
      <w:r w:rsidRPr="00D81523">
        <w:rPr>
          <w:sz w:val="20"/>
          <w:lang w:val="en-GB"/>
        </w:rPr>
        <w:t>’ (2015) 31 Arbitration International 27, 47-48.</w:t>
      </w:r>
    </w:p>
  </w:footnote>
  <w:footnote w:id="56">
    <w:p w14:paraId="7CB9C173" w14:textId="03DCCCDE" w:rsidR="00B10BDB" w:rsidRPr="00EC49F6" w:rsidRDefault="00B10BDB" w:rsidP="00D12AE4">
      <w:pPr>
        <w:pStyle w:val="FootnoteText"/>
        <w:jc w:val="both"/>
        <w:rPr>
          <w:sz w:val="20"/>
          <w:lang w:val="en-US"/>
        </w:rPr>
      </w:pPr>
      <w:r w:rsidRPr="00EC49F6">
        <w:rPr>
          <w:rStyle w:val="FootnoteReference"/>
          <w:sz w:val="20"/>
        </w:rPr>
        <w:footnoteRef/>
      </w:r>
      <w:r w:rsidRPr="00EC49F6">
        <w:rPr>
          <w:sz w:val="20"/>
        </w:rPr>
        <w:t xml:space="preserve"> </w:t>
      </w:r>
      <w:r w:rsidRPr="00EC49F6">
        <w:rPr>
          <w:sz w:val="20"/>
          <w:lang w:val="en-US"/>
        </w:rPr>
        <w:t xml:space="preserve">Greenwood (n </w:t>
      </w:r>
      <w:r w:rsidR="00D67426">
        <w:rPr>
          <w:sz w:val="20"/>
          <w:lang w:val="en-US"/>
        </w:rPr>
        <w:t>55</w:t>
      </w:r>
      <w:r w:rsidRPr="00EC49F6">
        <w:rPr>
          <w:sz w:val="20"/>
          <w:lang w:val="en-US"/>
        </w:rPr>
        <w:t xml:space="preserve">) </w:t>
      </w:r>
      <w:r w:rsidR="000727ED">
        <w:rPr>
          <w:sz w:val="20"/>
          <w:lang w:val="en-US"/>
        </w:rPr>
        <w:t>79-</w:t>
      </w:r>
      <w:r w:rsidRPr="00EC49F6">
        <w:rPr>
          <w:sz w:val="20"/>
          <w:lang w:val="en-US"/>
        </w:rPr>
        <w:t>80</w:t>
      </w:r>
      <w:r>
        <w:rPr>
          <w:sz w:val="21"/>
          <w:szCs w:val="16"/>
        </w:rPr>
        <w:t>.</w:t>
      </w:r>
    </w:p>
  </w:footnote>
  <w:footnote w:id="57">
    <w:p w14:paraId="54D1013C" w14:textId="513634D9" w:rsidR="00B10BDB" w:rsidRPr="0087535F" w:rsidRDefault="00B10BDB" w:rsidP="0087535F">
      <w:pPr>
        <w:ind w:right="-6"/>
        <w:jc w:val="both"/>
        <w:rPr>
          <w:sz w:val="20"/>
          <w:szCs w:val="20"/>
          <w:lang w:val="en-GB"/>
        </w:rPr>
      </w:pPr>
      <w:r w:rsidRPr="00D81523">
        <w:rPr>
          <w:rStyle w:val="FootnoteReference"/>
          <w:sz w:val="20"/>
          <w:szCs w:val="20"/>
          <w:lang w:val="en-GB"/>
        </w:rPr>
        <w:footnoteRef/>
      </w:r>
      <w:r w:rsidRPr="00D81523">
        <w:rPr>
          <w:sz w:val="20"/>
          <w:szCs w:val="20"/>
          <w:lang w:val="en-GB"/>
        </w:rPr>
        <w:t xml:space="preserve"> </w:t>
      </w:r>
      <w:proofErr w:type="spellStart"/>
      <w:r w:rsidRPr="00D81523">
        <w:rPr>
          <w:sz w:val="20"/>
          <w:szCs w:val="20"/>
          <w:lang w:val="en-GB"/>
        </w:rPr>
        <w:t>Böckstiegel</w:t>
      </w:r>
      <w:proofErr w:type="spellEnd"/>
      <w:r w:rsidR="00D67426">
        <w:rPr>
          <w:sz w:val="20"/>
          <w:szCs w:val="20"/>
          <w:lang w:val="en-GB"/>
        </w:rPr>
        <w:t xml:space="preserve"> (n 51</w:t>
      </w:r>
      <w:r w:rsidRPr="00D81523">
        <w:rPr>
          <w:sz w:val="20"/>
          <w:szCs w:val="20"/>
          <w:lang w:val="en-GB"/>
        </w:rPr>
        <w:t>) 45-46.</w:t>
      </w:r>
      <w:r w:rsidRPr="009C2FB7">
        <w:t xml:space="preserve"> </w:t>
      </w:r>
      <w:r w:rsidRPr="009C2FB7">
        <w:rPr>
          <w:sz w:val="20"/>
          <w:szCs w:val="20"/>
          <w:lang w:val="en-GB"/>
        </w:rPr>
        <w:t xml:space="preserve">Respect for party autonomy in relation to the </w:t>
      </w:r>
      <w:r w:rsidRPr="0087535F">
        <w:rPr>
          <w:sz w:val="20"/>
          <w:szCs w:val="20"/>
          <w:lang w:val="en-GB"/>
        </w:rPr>
        <w:t xml:space="preserve">choice of law is naturally part of public international law, </w:t>
      </w:r>
      <w:r w:rsidRPr="0087535F">
        <w:rPr>
          <w:i/>
          <w:iCs/>
          <w:sz w:val="20"/>
          <w:szCs w:val="20"/>
          <w:lang w:val="en-GB"/>
        </w:rPr>
        <w:t>Grenada Private Power Limited and WRB Enterprises, Inc v Grenada</w:t>
      </w:r>
      <w:r w:rsidRPr="0087535F">
        <w:rPr>
          <w:sz w:val="20"/>
          <w:szCs w:val="20"/>
          <w:lang w:val="en-GB"/>
        </w:rPr>
        <w:t>, ICSID Case No ARB/17/13, Award, 19 March 2020, para 215.</w:t>
      </w:r>
    </w:p>
  </w:footnote>
  <w:footnote w:id="58">
    <w:p w14:paraId="5DEC0E09" w14:textId="580F17A1" w:rsidR="0087535F" w:rsidRPr="0087535F" w:rsidRDefault="0087535F" w:rsidP="0087535F">
      <w:pPr>
        <w:pStyle w:val="FootnoteText"/>
        <w:jc w:val="both"/>
        <w:rPr>
          <w:lang w:val="el-GR"/>
        </w:rPr>
      </w:pPr>
      <w:r w:rsidRPr="0087535F">
        <w:rPr>
          <w:rStyle w:val="FootnoteReference"/>
          <w:sz w:val="20"/>
        </w:rPr>
        <w:footnoteRef/>
      </w:r>
      <w:r w:rsidRPr="0087535F">
        <w:rPr>
          <w:sz w:val="20"/>
        </w:rPr>
        <w:t xml:space="preserve"> </w:t>
      </w:r>
      <w:r w:rsidRPr="0087535F">
        <w:rPr>
          <w:sz w:val="20"/>
          <w:lang w:val="en-US"/>
        </w:rPr>
        <w:t xml:space="preserve">For a </w:t>
      </w:r>
      <w:proofErr w:type="gramStart"/>
      <w:r w:rsidRPr="0087535F">
        <w:rPr>
          <w:sz w:val="20"/>
          <w:lang w:val="en-US"/>
        </w:rPr>
        <w:t>counter-example</w:t>
      </w:r>
      <w:proofErr w:type="gramEnd"/>
      <w:r w:rsidRPr="0087535F">
        <w:rPr>
          <w:sz w:val="20"/>
          <w:lang w:val="en-US"/>
        </w:rPr>
        <w:t xml:space="preserve"> see </w:t>
      </w:r>
      <w:proofErr w:type="spellStart"/>
      <w:r w:rsidRPr="0087535F">
        <w:rPr>
          <w:i/>
          <w:iCs/>
          <w:sz w:val="20"/>
          <w:lang w:val="en-GB"/>
        </w:rPr>
        <w:t>Dunkwa</w:t>
      </w:r>
      <w:proofErr w:type="spellEnd"/>
      <w:r w:rsidRPr="0087535F">
        <w:rPr>
          <w:i/>
          <w:iCs/>
          <w:sz w:val="20"/>
          <w:lang w:val="en-GB"/>
        </w:rPr>
        <w:t xml:space="preserve"> Continental Goldfields Limited and Continental Construction and</w:t>
      </w:r>
      <w:r w:rsidRPr="00D81523">
        <w:rPr>
          <w:i/>
          <w:iCs/>
          <w:sz w:val="20"/>
          <w:lang w:val="en-GB"/>
        </w:rPr>
        <w:t xml:space="preserve"> Mining Company Limited v The Government of the Republic of Ghana</w:t>
      </w:r>
      <w:r w:rsidRPr="00D81523">
        <w:rPr>
          <w:sz w:val="20"/>
          <w:lang w:val="en-GB"/>
        </w:rPr>
        <w:t>, ICC Case No 18294, Award, 9 July 2015, paras 339-34</w:t>
      </w:r>
      <w:r>
        <w:rPr>
          <w:sz w:val="20"/>
          <w:lang w:val="en-GB"/>
        </w:rPr>
        <w:t>7.</w:t>
      </w:r>
    </w:p>
  </w:footnote>
  <w:footnote w:id="59">
    <w:p w14:paraId="7E1B7686" w14:textId="2308141D" w:rsidR="00B10BDB" w:rsidRPr="00A61432"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Lena Goldfields Ltd v Soviet Government</w:t>
      </w:r>
      <w:r w:rsidRPr="00D81523">
        <w:rPr>
          <w:sz w:val="20"/>
          <w:lang w:val="en-GB"/>
        </w:rPr>
        <w:t xml:space="preserve">, Award, 3 September 1930, reproduced in (1950) 36 Cornell Law </w:t>
      </w:r>
      <w:r w:rsidRPr="00A61432">
        <w:rPr>
          <w:sz w:val="20"/>
          <w:lang w:val="en-GB"/>
        </w:rPr>
        <w:t>Review 31.</w:t>
      </w:r>
      <w:r w:rsidR="005075FB" w:rsidRPr="005075FB">
        <w:rPr>
          <w:sz w:val="20"/>
          <w:lang w:val="en-GB"/>
        </w:rPr>
        <w:t xml:space="preserve"> </w:t>
      </w:r>
      <w:r w:rsidR="005075FB">
        <w:rPr>
          <w:sz w:val="20"/>
          <w:lang w:val="en-GB"/>
        </w:rPr>
        <w:t xml:space="preserve">See also </w:t>
      </w:r>
      <w:proofErr w:type="spellStart"/>
      <w:r w:rsidR="005075FB" w:rsidRPr="00D81523">
        <w:rPr>
          <w:i/>
          <w:iCs/>
          <w:sz w:val="20"/>
          <w:lang w:val="en-GB"/>
        </w:rPr>
        <w:t>Himpurna</w:t>
      </w:r>
      <w:proofErr w:type="spellEnd"/>
      <w:r w:rsidR="005075FB" w:rsidRPr="00D81523">
        <w:rPr>
          <w:i/>
          <w:iCs/>
          <w:sz w:val="20"/>
          <w:lang w:val="en-GB"/>
        </w:rPr>
        <w:t xml:space="preserve"> California Energy Ltd v PT PLN (Persero)</w:t>
      </w:r>
      <w:r w:rsidR="005075FB" w:rsidRPr="00D81523">
        <w:rPr>
          <w:sz w:val="20"/>
          <w:lang w:val="en-GB"/>
        </w:rPr>
        <w:t>, UNCITRAL, Final award, 4 May 1999</w:t>
      </w:r>
      <w:r w:rsidR="005075FB" w:rsidRPr="00D82A0D">
        <w:rPr>
          <w:sz w:val="20"/>
          <w:lang w:val="en-US"/>
        </w:rPr>
        <w:t>, para</w:t>
      </w:r>
      <w:r w:rsidR="005075FB">
        <w:rPr>
          <w:sz w:val="20"/>
          <w:lang w:val="en-US"/>
        </w:rPr>
        <w:t>s 41-43 and 337</w:t>
      </w:r>
      <w:r w:rsidR="005075FB" w:rsidRPr="00D82A0D">
        <w:rPr>
          <w:sz w:val="20"/>
          <w:lang w:val="en-US"/>
        </w:rPr>
        <w:t>.</w:t>
      </w:r>
    </w:p>
  </w:footnote>
  <w:footnote w:id="60">
    <w:p w14:paraId="6CE4CFA7" w14:textId="5545282C" w:rsidR="00B10BDB" w:rsidRPr="00511DB2" w:rsidRDefault="00B10BDB" w:rsidP="00D12AE4">
      <w:pPr>
        <w:pStyle w:val="FootnoteText"/>
        <w:jc w:val="both"/>
        <w:rPr>
          <w:sz w:val="20"/>
          <w:lang w:val="en-US"/>
        </w:rPr>
      </w:pPr>
      <w:r w:rsidRPr="00511DB2">
        <w:rPr>
          <w:rStyle w:val="FootnoteReference"/>
          <w:sz w:val="20"/>
        </w:rPr>
        <w:footnoteRef/>
      </w:r>
      <w:r w:rsidRPr="00511DB2">
        <w:rPr>
          <w:sz w:val="20"/>
        </w:rPr>
        <w:t xml:space="preserve"> </w:t>
      </w:r>
      <w:r w:rsidRPr="00A61432">
        <w:rPr>
          <w:sz w:val="20"/>
          <w:lang w:val="en-GB"/>
        </w:rPr>
        <w:t xml:space="preserve">V </w:t>
      </w:r>
      <w:proofErr w:type="spellStart"/>
      <w:r w:rsidRPr="00A61432">
        <w:rPr>
          <w:sz w:val="20"/>
          <w:lang w:val="en-GB"/>
        </w:rPr>
        <w:t>V</w:t>
      </w:r>
      <w:proofErr w:type="spellEnd"/>
      <w:r w:rsidRPr="00A61432">
        <w:rPr>
          <w:sz w:val="20"/>
          <w:lang w:val="en-GB"/>
        </w:rPr>
        <w:t xml:space="preserve"> Veeder, ‘The Lena Goldfields Arbitration: The Historical Roots of Three Ideas’ (1998) 47 ICLQ 747, 750</w:t>
      </w:r>
      <w:r w:rsidRPr="00511DB2">
        <w:rPr>
          <w:sz w:val="20"/>
          <w:lang w:val="en-US"/>
        </w:rPr>
        <w:t>.</w:t>
      </w:r>
    </w:p>
  </w:footnote>
  <w:footnote w:id="61">
    <w:p w14:paraId="2BC2CAC0" w14:textId="20056752" w:rsidR="00B10BDB" w:rsidRPr="00CF00A8" w:rsidRDefault="00B10BDB" w:rsidP="00D12AE4">
      <w:pPr>
        <w:pStyle w:val="FootnoteText"/>
        <w:jc w:val="both"/>
        <w:rPr>
          <w:sz w:val="20"/>
          <w:lang w:val="en-US"/>
        </w:rPr>
      </w:pPr>
      <w:r w:rsidRPr="001B3B7D">
        <w:rPr>
          <w:rStyle w:val="FootnoteReference"/>
          <w:sz w:val="20"/>
        </w:rPr>
        <w:footnoteRef/>
      </w:r>
      <w:r w:rsidRPr="001B3B7D">
        <w:rPr>
          <w:sz w:val="20"/>
        </w:rPr>
        <w:t xml:space="preserve"> </w:t>
      </w:r>
      <w:r w:rsidRPr="001B3B7D">
        <w:rPr>
          <w:rFonts w:cstheme="minorHAnsi"/>
          <w:i/>
          <w:sz w:val="20"/>
          <w:lang w:val="en-GB"/>
        </w:rPr>
        <w:t>Saudi Arabia v Arabian American Oil Company (ARAMCO)</w:t>
      </w:r>
      <w:r w:rsidRPr="001B3B7D">
        <w:rPr>
          <w:rFonts w:cstheme="minorHAnsi"/>
          <w:iCs/>
          <w:sz w:val="20"/>
          <w:lang w:val="en-GB"/>
        </w:rPr>
        <w:t>, Award, 23 August 1958, (1963) 27 ILR 117</w:t>
      </w:r>
      <w:r>
        <w:rPr>
          <w:rFonts w:cstheme="minorHAnsi"/>
          <w:iCs/>
          <w:sz w:val="20"/>
          <w:lang w:val="en-GB"/>
        </w:rPr>
        <w:t xml:space="preserve"> </w:t>
      </w:r>
      <w:r>
        <w:rPr>
          <w:sz w:val="20"/>
          <w:lang w:val="en-GB"/>
        </w:rPr>
        <w:t>(‘</w:t>
      </w:r>
      <w:r w:rsidRPr="00511DB2">
        <w:rPr>
          <w:i/>
          <w:iCs/>
          <w:sz w:val="20"/>
          <w:lang w:val="en-GB"/>
        </w:rPr>
        <w:t>Aramco v Saudi Arabia</w:t>
      </w:r>
      <w:r>
        <w:rPr>
          <w:sz w:val="20"/>
          <w:lang w:val="en-GB"/>
        </w:rPr>
        <w:t>’)</w:t>
      </w:r>
      <w:r w:rsidRPr="001B3B7D">
        <w:rPr>
          <w:sz w:val="20"/>
          <w:lang w:val="en-GB"/>
        </w:rPr>
        <w:t xml:space="preserve">; </w:t>
      </w:r>
      <w:r w:rsidRPr="001B3B7D">
        <w:rPr>
          <w:i/>
          <w:iCs/>
          <w:sz w:val="20"/>
          <w:lang w:val="en-GB"/>
        </w:rPr>
        <w:t>In the matter of an arbitration between Petroleum Development (Trucial Coast) Ltd and the Sheikh of Abu Dhabi</w:t>
      </w:r>
      <w:r w:rsidRPr="001B3B7D">
        <w:rPr>
          <w:sz w:val="20"/>
          <w:lang w:val="en-GB"/>
        </w:rPr>
        <w:t>,</w:t>
      </w:r>
      <w:r w:rsidRPr="00A10846">
        <w:rPr>
          <w:i/>
          <w:iCs/>
          <w:sz w:val="20"/>
          <w:lang w:val="en-GB"/>
        </w:rPr>
        <w:t xml:space="preserve"> </w:t>
      </w:r>
      <w:r w:rsidRPr="00A10846">
        <w:rPr>
          <w:sz w:val="20"/>
          <w:lang w:val="en-GB"/>
        </w:rPr>
        <w:t>Award, 28 August 1951</w:t>
      </w:r>
      <w:r w:rsidRPr="00A10846">
        <w:rPr>
          <w:i/>
          <w:iCs/>
          <w:sz w:val="20"/>
          <w:lang w:val="en-GB"/>
        </w:rPr>
        <w:t xml:space="preserve"> </w:t>
      </w:r>
      <w:r w:rsidRPr="00A10846">
        <w:rPr>
          <w:sz w:val="20"/>
          <w:lang w:val="en-GB"/>
        </w:rPr>
        <w:t xml:space="preserve">reproduced (1952) 1 ICLQ 247; </w:t>
      </w:r>
      <w:r w:rsidRPr="00A10846">
        <w:rPr>
          <w:i/>
          <w:iCs/>
          <w:sz w:val="20"/>
          <w:lang w:val="en-GB"/>
        </w:rPr>
        <w:t>Ruler of Qatar v International Marine Oil Company Ltd</w:t>
      </w:r>
      <w:r w:rsidRPr="00A10846">
        <w:rPr>
          <w:sz w:val="20"/>
          <w:lang w:val="en-GB"/>
        </w:rPr>
        <w:t xml:space="preserve">, Award, June 1953 (1957) 20 ILR 534. See also N </w:t>
      </w:r>
      <w:proofErr w:type="spellStart"/>
      <w:r w:rsidRPr="00A10846">
        <w:rPr>
          <w:sz w:val="20"/>
          <w:lang w:val="en-GB"/>
        </w:rPr>
        <w:t>Mersadi</w:t>
      </w:r>
      <w:proofErr w:type="spellEnd"/>
      <w:r w:rsidRPr="00A10846">
        <w:rPr>
          <w:sz w:val="20"/>
          <w:lang w:val="en-GB"/>
        </w:rPr>
        <w:t xml:space="preserve"> Tabari, </w:t>
      </w:r>
      <w:r w:rsidRPr="00A10846">
        <w:rPr>
          <w:i/>
          <w:iCs/>
          <w:sz w:val="20"/>
          <w:lang w:val="en-GB"/>
        </w:rPr>
        <w:t xml:space="preserve">Lex </w:t>
      </w:r>
      <w:proofErr w:type="spellStart"/>
      <w:r w:rsidRPr="00A10846">
        <w:rPr>
          <w:i/>
          <w:iCs/>
          <w:sz w:val="20"/>
          <w:lang w:val="en-GB"/>
        </w:rPr>
        <w:t>Petrolea</w:t>
      </w:r>
      <w:proofErr w:type="spellEnd"/>
      <w:r w:rsidRPr="00A10846">
        <w:rPr>
          <w:i/>
          <w:iCs/>
          <w:sz w:val="20"/>
          <w:lang w:val="en-GB"/>
        </w:rPr>
        <w:t xml:space="preserve"> and International Investment Law: Law and Practice in the Persian Gulf</w:t>
      </w:r>
      <w:r w:rsidRPr="00A10846">
        <w:rPr>
          <w:sz w:val="20"/>
          <w:lang w:val="en-GB"/>
        </w:rPr>
        <w:t xml:space="preserve"> (Informa Law from Routledge, Abingdon 2017); I </w:t>
      </w:r>
      <w:proofErr w:type="spellStart"/>
      <w:r w:rsidRPr="00A10846">
        <w:rPr>
          <w:sz w:val="20"/>
          <w:lang w:val="en-GB"/>
        </w:rPr>
        <w:t>Alvik</w:t>
      </w:r>
      <w:proofErr w:type="spellEnd"/>
      <w:r w:rsidRPr="00A10846">
        <w:rPr>
          <w:sz w:val="20"/>
          <w:lang w:val="en-GB"/>
        </w:rPr>
        <w:t xml:space="preserve">, ‘Arbitration in long-term international petroleum contracts: the “internationalization” of the applicable law’ in K P </w:t>
      </w:r>
      <w:proofErr w:type="spellStart"/>
      <w:r w:rsidRPr="00A10846">
        <w:rPr>
          <w:sz w:val="20"/>
          <w:lang w:val="en-GB"/>
        </w:rPr>
        <w:t>Sauvant</w:t>
      </w:r>
      <w:proofErr w:type="spellEnd"/>
      <w:r w:rsidRPr="00A10846">
        <w:rPr>
          <w:sz w:val="20"/>
          <w:lang w:val="en-GB"/>
        </w:rPr>
        <w:t xml:space="preserve"> (ed),  </w:t>
      </w:r>
      <w:r w:rsidRPr="00A10846">
        <w:rPr>
          <w:i/>
          <w:iCs/>
          <w:sz w:val="20"/>
          <w:lang w:val="en-GB"/>
        </w:rPr>
        <w:t>Yearbook on international investment law and policy 2011-2012</w:t>
      </w:r>
      <w:r w:rsidRPr="00A10846">
        <w:rPr>
          <w:sz w:val="20"/>
          <w:lang w:val="en-GB"/>
        </w:rPr>
        <w:t xml:space="preserve"> (OUP, Oxford 2013) 387-417; A Z El-</w:t>
      </w:r>
      <w:proofErr w:type="spellStart"/>
      <w:r w:rsidRPr="00A10846">
        <w:rPr>
          <w:sz w:val="20"/>
          <w:lang w:val="en-GB"/>
        </w:rPr>
        <w:t>Chiati</w:t>
      </w:r>
      <w:proofErr w:type="spellEnd"/>
      <w:r w:rsidRPr="00A10846">
        <w:rPr>
          <w:sz w:val="20"/>
          <w:lang w:val="en-GB"/>
        </w:rPr>
        <w:t>, ‘Protection of investment in the context of petroleum agreements’ (1987) 204 RCADI 9; K Mohammed Al-</w:t>
      </w:r>
      <w:proofErr w:type="spellStart"/>
      <w:r w:rsidRPr="00A10846">
        <w:rPr>
          <w:sz w:val="20"/>
          <w:lang w:val="en-GB"/>
        </w:rPr>
        <w:t>Jumah</w:t>
      </w:r>
      <w:proofErr w:type="spellEnd"/>
      <w:r w:rsidRPr="00A10846">
        <w:rPr>
          <w:sz w:val="20"/>
          <w:lang w:val="en-GB"/>
        </w:rPr>
        <w:t xml:space="preserve">, ‘Arab State Contract Disputes: Lessons from the Past’ (2002) 17 Arab Law Quarterly 215. </w:t>
      </w:r>
      <w:proofErr w:type="spellStart"/>
      <w:r w:rsidRPr="00A10846">
        <w:rPr>
          <w:sz w:val="20"/>
          <w:lang w:val="en-GB"/>
        </w:rPr>
        <w:t>Cf</w:t>
      </w:r>
      <w:proofErr w:type="spellEnd"/>
      <w:r w:rsidRPr="00A10846">
        <w:rPr>
          <w:sz w:val="20"/>
          <w:lang w:val="en-GB"/>
        </w:rPr>
        <w:t xml:space="preserve"> T </w:t>
      </w:r>
      <w:proofErr w:type="spellStart"/>
      <w:r w:rsidRPr="00A10846">
        <w:rPr>
          <w:sz w:val="20"/>
          <w:lang w:val="en-GB"/>
        </w:rPr>
        <w:t>Daintith</w:t>
      </w:r>
      <w:proofErr w:type="spellEnd"/>
      <w:r w:rsidRPr="00A10846">
        <w:rPr>
          <w:sz w:val="20"/>
          <w:lang w:val="en-GB"/>
        </w:rPr>
        <w:t xml:space="preserve">, ‘Against </w:t>
      </w:r>
      <w:r w:rsidRPr="008B75EF">
        <w:rPr>
          <w:sz w:val="20"/>
          <w:lang w:val="en-GB"/>
        </w:rPr>
        <w:t>“</w:t>
      </w:r>
      <w:proofErr w:type="spellStart"/>
      <w:r w:rsidRPr="008B75EF">
        <w:rPr>
          <w:sz w:val="20"/>
          <w:lang w:val="en-GB"/>
        </w:rPr>
        <w:t>lex</w:t>
      </w:r>
      <w:proofErr w:type="spellEnd"/>
      <w:r w:rsidRPr="008B75EF">
        <w:rPr>
          <w:sz w:val="20"/>
          <w:lang w:val="en-GB"/>
        </w:rPr>
        <w:t xml:space="preserve"> </w:t>
      </w:r>
      <w:proofErr w:type="spellStart"/>
      <w:r w:rsidRPr="008B75EF">
        <w:rPr>
          <w:sz w:val="20"/>
          <w:lang w:val="en-GB"/>
        </w:rPr>
        <w:t>petrolea</w:t>
      </w:r>
      <w:proofErr w:type="spellEnd"/>
      <w:r w:rsidRPr="008B75EF">
        <w:rPr>
          <w:sz w:val="20"/>
          <w:lang w:val="en-GB"/>
        </w:rPr>
        <w:t>”’ (2017) 10 The Journal of World Energy Law &amp; Business 1.</w:t>
      </w:r>
      <w:r w:rsidRPr="0032482A">
        <w:rPr>
          <w:sz w:val="20"/>
        </w:rPr>
        <w:t xml:space="preserve"> </w:t>
      </w:r>
      <w:proofErr w:type="spellStart"/>
      <w:r>
        <w:rPr>
          <w:sz w:val="20"/>
        </w:rPr>
        <w:t>Outside</w:t>
      </w:r>
      <w:proofErr w:type="spellEnd"/>
      <w:r>
        <w:rPr>
          <w:sz w:val="20"/>
        </w:rPr>
        <w:t xml:space="preserve"> the </w:t>
      </w:r>
      <w:proofErr w:type="spellStart"/>
      <w:r>
        <w:rPr>
          <w:sz w:val="20"/>
        </w:rPr>
        <w:t>oil</w:t>
      </w:r>
      <w:proofErr w:type="spellEnd"/>
      <w:r>
        <w:rPr>
          <w:sz w:val="20"/>
        </w:rPr>
        <w:t xml:space="preserve"> concessions </w:t>
      </w:r>
      <w:proofErr w:type="spellStart"/>
      <w:r>
        <w:rPr>
          <w:sz w:val="20"/>
        </w:rPr>
        <w:t>context</w:t>
      </w:r>
      <w:proofErr w:type="spellEnd"/>
      <w:r>
        <w:rPr>
          <w:sz w:val="20"/>
        </w:rPr>
        <w:t xml:space="preserve">, </w:t>
      </w:r>
      <w:proofErr w:type="spellStart"/>
      <w:r>
        <w:rPr>
          <w:sz w:val="20"/>
        </w:rPr>
        <w:t>see</w:t>
      </w:r>
      <w:proofErr w:type="spellEnd"/>
      <w:r>
        <w:rPr>
          <w:sz w:val="20"/>
        </w:rPr>
        <w:t xml:space="preserve"> </w:t>
      </w:r>
      <w:proofErr w:type="spellStart"/>
      <w:r w:rsidRPr="0032482A">
        <w:rPr>
          <w:i/>
          <w:iCs/>
          <w:sz w:val="20"/>
        </w:rPr>
        <w:t>Societe</w:t>
      </w:r>
      <w:proofErr w:type="spellEnd"/>
      <w:r w:rsidRPr="0032482A">
        <w:rPr>
          <w:i/>
          <w:iCs/>
          <w:sz w:val="20"/>
        </w:rPr>
        <w:t xml:space="preserve"> </w:t>
      </w:r>
      <w:proofErr w:type="spellStart"/>
      <w:r w:rsidRPr="0032482A">
        <w:rPr>
          <w:i/>
          <w:iCs/>
          <w:sz w:val="20"/>
        </w:rPr>
        <w:t>Rialet</w:t>
      </w:r>
      <w:proofErr w:type="spellEnd"/>
      <w:r w:rsidRPr="0032482A">
        <w:rPr>
          <w:i/>
          <w:iCs/>
          <w:sz w:val="20"/>
        </w:rPr>
        <w:t xml:space="preserve"> v </w:t>
      </w:r>
      <w:proofErr w:type="spellStart"/>
      <w:r w:rsidRPr="0032482A">
        <w:rPr>
          <w:i/>
          <w:iCs/>
          <w:sz w:val="20"/>
        </w:rPr>
        <w:t>Government</w:t>
      </w:r>
      <w:proofErr w:type="spellEnd"/>
      <w:r w:rsidRPr="0032482A">
        <w:rPr>
          <w:i/>
          <w:iCs/>
          <w:sz w:val="20"/>
        </w:rPr>
        <w:t xml:space="preserve"> of </w:t>
      </w:r>
      <w:proofErr w:type="spellStart"/>
      <w:r w:rsidRPr="0032482A">
        <w:rPr>
          <w:i/>
          <w:iCs/>
          <w:sz w:val="20"/>
        </w:rPr>
        <w:t>Ethiopia</w:t>
      </w:r>
      <w:proofErr w:type="spellEnd"/>
      <w:r w:rsidRPr="0032482A">
        <w:rPr>
          <w:sz w:val="20"/>
        </w:rPr>
        <w:t xml:space="preserve"> </w:t>
      </w:r>
      <w:r>
        <w:rPr>
          <w:sz w:val="20"/>
        </w:rPr>
        <w:t>(</w:t>
      </w:r>
      <w:r w:rsidRPr="008B75EF">
        <w:rPr>
          <w:sz w:val="20"/>
        </w:rPr>
        <w:t xml:space="preserve">1928-9) </w:t>
      </w:r>
      <w:r>
        <w:rPr>
          <w:sz w:val="20"/>
        </w:rPr>
        <w:t xml:space="preserve">8 </w:t>
      </w:r>
      <w:r w:rsidRPr="0032482A">
        <w:rPr>
          <w:sz w:val="20"/>
        </w:rPr>
        <w:t>Recueil</w:t>
      </w:r>
      <w:r w:rsidRPr="008B75EF">
        <w:rPr>
          <w:sz w:val="20"/>
        </w:rPr>
        <w:t xml:space="preserve"> des </w:t>
      </w:r>
      <w:proofErr w:type="spellStart"/>
      <w:r w:rsidRPr="008B75EF">
        <w:rPr>
          <w:sz w:val="20"/>
        </w:rPr>
        <w:t>decisions</w:t>
      </w:r>
      <w:proofErr w:type="spellEnd"/>
      <w:r>
        <w:rPr>
          <w:sz w:val="20"/>
        </w:rPr>
        <w:t xml:space="preserve"> </w:t>
      </w:r>
      <w:r w:rsidRPr="008B75EF">
        <w:rPr>
          <w:sz w:val="20"/>
        </w:rPr>
        <w:t>des tribunaux arbitraux mixtes</w:t>
      </w:r>
      <w:r>
        <w:rPr>
          <w:sz w:val="20"/>
        </w:rPr>
        <w:t xml:space="preserve"> </w:t>
      </w:r>
      <w:r w:rsidRPr="008B75EF">
        <w:rPr>
          <w:sz w:val="20"/>
        </w:rPr>
        <w:t>742</w:t>
      </w:r>
      <w:r>
        <w:rPr>
          <w:sz w:val="20"/>
          <w:lang w:val="el-GR"/>
        </w:rPr>
        <w:t xml:space="preserve"> (</w:t>
      </w:r>
      <w:r>
        <w:rPr>
          <w:sz w:val="20"/>
          <w:lang w:val="en-US"/>
        </w:rPr>
        <w:t>applying European Public Law in the absence of sufficiently developed Ethiopian law).</w:t>
      </w:r>
      <w:r w:rsidR="00B90978">
        <w:rPr>
          <w:sz w:val="20"/>
          <w:lang w:val="en-US"/>
        </w:rPr>
        <w:t xml:space="preserve"> See also </w:t>
      </w:r>
      <w:r w:rsidR="00B90978" w:rsidRPr="00B90978">
        <w:rPr>
          <w:sz w:val="20"/>
          <w:lang w:val="en-US"/>
        </w:rPr>
        <w:t xml:space="preserve">J Gillis Wetter and Stephen M </w:t>
      </w:r>
      <w:proofErr w:type="spellStart"/>
      <w:r w:rsidR="00B90978" w:rsidRPr="00B90978">
        <w:rPr>
          <w:sz w:val="20"/>
          <w:lang w:val="en-US"/>
        </w:rPr>
        <w:t>Schwebel</w:t>
      </w:r>
      <w:proofErr w:type="spellEnd"/>
      <w:r w:rsidR="00B90978" w:rsidRPr="00B90978">
        <w:rPr>
          <w:sz w:val="20"/>
          <w:lang w:val="en-US"/>
        </w:rPr>
        <w:t xml:space="preserve">, </w:t>
      </w:r>
      <w:r w:rsidR="00B90978">
        <w:rPr>
          <w:sz w:val="20"/>
          <w:lang w:val="en-US"/>
        </w:rPr>
        <w:t>‘</w:t>
      </w:r>
      <w:r w:rsidR="00B90978" w:rsidRPr="00B90978">
        <w:rPr>
          <w:sz w:val="20"/>
          <w:lang w:val="en-US"/>
        </w:rPr>
        <w:t>Some Little-Known Cases on Concessions</w:t>
      </w:r>
      <w:r w:rsidR="00B90978">
        <w:rPr>
          <w:sz w:val="20"/>
          <w:lang w:val="en-US"/>
        </w:rPr>
        <w:t>’</w:t>
      </w:r>
      <w:r w:rsidR="00B90978" w:rsidRPr="00B90978">
        <w:rPr>
          <w:sz w:val="20"/>
          <w:lang w:val="en-US"/>
        </w:rPr>
        <w:t xml:space="preserve"> (1964) 40 </w:t>
      </w:r>
      <w:r w:rsidR="00B90978">
        <w:rPr>
          <w:sz w:val="20"/>
          <w:lang w:val="en-US"/>
        </w:rPr>
        <w:t xml:space="preserve">BYIL </w:t>
      </w:r>
      <w:r w:rsidR="00B90978" w:rsidRPr="00B90978">
        <w:rPr>
          <w:sz w:val="20"/>
          <w:lang w:val="en-US"/>
        </w:rPr>
        <w:t>183</w:t>
      </w:r>
      <w:r w:rsidR="00B90978">
        <w:rPr>
          <w:sz w:val="20"/>
          <w:lang w:val="en-US"/>
        </w:rPr>
        <w:t>.</w:t>
      </w:r>
    </w:p>
  </w:footnote>
  <w:footnote w:id="62">
    <w:p w14:paraId="2F020477" w14:textId="7B47ED01" w:rsidR="00CF00A8" w:rsidRPr="00CF00A8" w:rsidRDefault="00CF00A8" w:rsidP="00CF00A8">
      <w:pPr>
        <w:pStyle w:val="FootnoteText"/>
        <w:jc w:val="both"/>
        <w:rPr>
          <w:sz w:val="20"/>
          <w:lang w:val="en-US"/>
        </w:rPr>
      </w:pPr>
      <w:r w:rsidRPr="00CF00A8">
        <w:rPr>
          <w:rStyle w:val="FootnoteReference"/>
          <w:sz w:val="20"/>
        </w:rPr>
        <w:footnoteRef/>
      </w:r>
      <w:r w:rsidRPr="00CF00A8">
        <w:rPr>
          <w:sz w:val="20"/>
        </w:rPr>
        <w:t xml:space="preserve"> </w:t>
      </w:r>
      <w:r w:rsidRPr="00CF00A8">
        <w:rPr>
          <w:i/>
          <w:iCs/>
          <w:sz w:val="20"/>
          <w:lang w:val="en-GB"/>
        </w:rPr>
        <w:t>Aramco v Saudi Arabia</w:t>
      </w:r>
      <w:r w:rsidRPr="00CF00A8">
        <w:rPr>
          <w:sz w:val="20"/>
          <w:lang w:val="en-GB"/>
        </w:rPr>
        <w:t>,</w:t>
      </w:r>
      <w:r>
        <w:rPr>
          <w:sz w:val="20"/>
          <w:lang w:val="en-GB"/>
        </w:rPr>
        <w:t xml:space="preserve"> 165.</w:t>
      </w:r>
    </w:p>
  </w:footnote>
  <w:footnote w:id="63">
    <w:p w14:paraId="534CA339" w14:textId="56015CAC" w:rsidR="00B10BDB" w:rsidRPr="00CF00A8" w:rsidRDefault="00B10BDB" w:rsidP="00D12AE4">
      <w:pPr>
        <w:pStyle w:val="FootnoteText"/>
        <w:jc w:val="both"/>
        <w:rPr>
          <w:sz w:val="20"/>
          <w:lang w:val="en-US"/>
        </w:rPr>
      </w:pPr>
      <w:r w:rsidRPr="008B75EF">
        <w:rPr>
          <w:rStyle w:val="FootnoteReference"/>
          <w:sz w:val="20"/>
        </w:rPr>
        <w:footnoteRef/>
      </w:r>
      <w:r w:rsidRPr="008B75EF">
        <w:rPr>
          <w:sz w:val="20"/>
        </w:rPr>
        <w:t xml:space="preserve"> </w:t>
      </w:r>
      <w:proofErr w:type="spellStart"/>
      <w:r w:rsidR="00CF00A8">
        <w:rPr>
          <w:sz w:val="20"/>
        </w:rPr>
        <w:t>Ibid</w:t>
      </w:r>
      <w:proofErr w:type="spellEnd"/>
      <w:r w:rsidR="00CF00A8">
        <w:rPr>
          <w:sz w:val="20"/>
        </w:rPr>
        <w:t xml:space="preserve">, </w:t>
      </w:r>
      <w:r w:rsidRPr="008B75EF">
        <w:rPr>
          <w:sz w:val="20"/>
          <w:lang w:val="en-US"/>
        </w:rPr>
        <w:t>172.</w:t>
      </w:r>
    </w:p>
  </w:footnote>
  <w:footnote w:id="64">
    <w:p w14:paraId="11A5C279" w14:textId="545E155F" w:rsidR="00B10BDB" w:rsidRPr="0032482A" w:rsidRDefault="00B10BDB" w:rsidP="00D12AE4">
      <w:pPr>
        <w:pStyle w:val="FootnoteText"/>
        <w:jc w:val="both"/>
        <w:rPr>
          <w:sz w:val="20"/>
          <w:lang w:val="en-US"/>
        </w:rPr>
      </w:pPr>
      <w:r w:rsidRPr="008B75EF">
        <w:rPr>
          <w:rStyle w:val="FootnoteReference"/>
          <w:sz w:val="20"/>
        </w:rPr>
        <w:footnoteRef/>
      </w:r>
      <w:r w:rsidRPr="008B75EF">
        <w:rPr>
          <w:sz w:val="20"/>
        </w:rPr>
        <w:t xml:space="preserve"> </w:t>
      </w:r>
      <w:proofErr w:type="spellStart"/>
      <w:r w:rsidRPr="004230E7">
        <w:rPr>
          <w:i/>
          <w:iCs/>
          <w:sz w:val="20"/>
        </w:rPr>
        <w:t>Sapphire</w:t>
      </w:r>
      <w:proofErr w:type="spellEnd"/>
      <w:r w:rsidRPr="004230E7">
        <w:rPr>
          <w:i/>
          <w:iCs/>
          <w:sz w:val="20"/>
        </w:rPr>
        <w:t xml:space="preserve"> International </w:t>
      </w:r>
      <w:proofErr w:type="spellStart"/>
      <w:r w:rsidRPr="004230E7">
        <w:rPr>
          <w:i/>
          <w:iCs/>
          <w:sz w:val="20"/>
        </w:rPr>
        <w:t>Petroleums</w:t>
      </w:r>
      <w:proofErr w:type="spellEnd"/>
      <w:r w:rsidRPr="004230E7">
        <w:rPr>
          <w:i/>
          <w:iCs/>
          <w:sz w:val="20"/>
        </w:rPr>
        <w:t xml:space="preserve"> Ltd v National </w:t>
      </w:r>
      <w:proofErr w:type="spellStart"/>
      <w:r w:rsidRPr="004230E7">
        <w:rPr>
          <w:i/>
          <w:iCs/>
          <w:sz w:val="20"/>
        </w:rPr>
        <w:t>Iranian</w:t>
      </w:r>
      <w:proofErr w:type="spellEnd"/>
      <w:r w:rsidRPr="004230E7">
        <w:rPr>
          <w:i/>
          <w:iCs/>
          <w:sz w:val="20"/>
        </w:rPr>
        <w:t xml:space="preserve"> </w:t>
      </w:r>
      <w:proofErr w:type="spellStart"/>
      <w:r w:rsidRPr="004230E7">
        <w:rPr>
          <w:i/>
          <w:iCs/>
          <w:sz w:val="20"/>
        </w:rPr>
        <w:t>Oil</w:t>
      </w:r>
      <w:proofErr w:type="spellEnd"/>
      <w:r w:rsidRPr="004230E7">
        <w:rPr>
          <w:i/>
          <w:iCs/>
          <w:sz w:val="20"/>
        </w:rPr>
        <w:t xml:space="preserve"> </w:t>
      </w:r>
      <w:proofErr w:type="spellStart"/>
      <w:r w:rsidRPr="004230E7">
        <w:rPr>
          <w:i/>
          <w:iCs/>
          <w:sz w:val="20"/>
        </w:rPr>
        <w:t>Company</w:t>
      </w:r>
      <w:proofErr w:type="spellEnd"/>
      <w:r w:rsidRPr="004230E7">
        <w:rPr>
          <w:i/>
          <w:iCs/>
          <w:sz w:val="20"/>
        </w:rPr>
        <w:t xml:space="preserve"> (NIOC)</w:t>
      </w:r>
      <w:r>
        <w:rPr>
          <w:sz w:val="20"/>
        </w:rPr>
        <w:t>,</w:t>
      </w:r>
      <w:r w:rsidRPr="004230E7">
        <w:rPr>
          <w:sz w:val="20"/>
        </w:rPr>
        <w:t xml:space="preserve"> </w:t>
      </w:r>
      <w:proofErr w:type="spellStart"/>
      <w:r w:rsidRPr="004230E7">
        <w:rPr>
          <w:sz w:val="20"/>
        </w:rPr>
        <w:t>Award</w:t>
      </w:r>
      <w:proofErr w:type="spellEnd"/>
      <w:r w:rsidRPr="004230E7">
        <w:rPr>
          <w:sz w:val="20"/>
        </w:rPr>
        <w:t xml:space="preserve">, </w:t>
      </w:r>
      <w:r>
        <w:rPr>
          <w:sz w:val="20"/>
        </w:rPr>
        <w:t xml:space="preserve">15 March </w:t>
      </w:r>
      <w:r w:rsidRPr="004230E7">
        <w:rPr>
          <w:sz w:val="20"/>
        </w:rPr>
        <w:t>1963</w:t>
      </w:r>
      <w:r>
        <w:rPr>
          <w:sz w:val="20"/>
        </w:rPr>
        <w:t>,</w:t>
      </w:r>
      <w:r w:rsidRPr="004230E7">
        <w:rPr>
          <w:sz w:val="20"/>
        </w:rPr>
        <w:t xml:space="preserve"> 35 ILR 136</w:t>
      </w:r>
      <w:r>
        <w:rPr>
          <w:sz w:val="20"/>
        </w:rPr>
        <w:t xml:space="preserve"> (‘</w:t>
      </w:r>
      <w:proofErr w:type="spellStart"/>
      <w:r w:rsidRPr="003B7137">
        <w:rPr>
          <w:i/>
          <w:iCs/>
          <w:sz w:val="20"/>
        </w:rPr>
        <w:t>Sapphire</w:t>
      </w:r>
      <w:proofErr w:type="spellEnd"/>
      <w:r w:rsidRPr="003B7137">
        <w:rPr>
          <w:i/>
          <w:iCs/>
          <w:sz w:val="20"/>
        </w:rPr>
        <w:t xml:space="preserve"> v NIOC</w:t>
      </w:r>
      <w:r>
        <w:rPr>
          <w:sz w:val="20"/>
        </w:rPr>
        <w:t>’), 172</w:t>
      </w:r>
      <w:r>
        <w:rPr>
          <w:sz w:val="20"/>
          <w:lang w:val="en-US"/>
        </w:rPr>
        <w:t>.</w:t>
      </w:r>
    </w:p>
  </w:footnote>
  <w:footnote w:id="65">
    <w:p w14:paraId="771751C4" w14:textId="6B3C7050" w:rsidR="00B10BDB" w:rsidRPr="0038302F" w:rsidRDefault="00B10BDB" w:rsidP="00D12AE4">
      <w:pPr>
        <w:pStyle w:val="FootnoteText"/>
        <w:jc w:val="both"/>
        <w:rPr>
          <w:sz w:val="20"/>
          <w:lang w:val="en-US"/>
        </w:rPr>
      </w:pPr>
      <w:r w:rsidRPr="0038302F">
        <w:rPr>
          <w:rStyle w:val="FootnoteReference"/>
          <w:sz w:val="20"/>
        </w:rPr>
        <w:footnoteRef/>
      </w:r>
      <w:r w:rsidRPr="0038302F">
        <w:rPr>
          <w:sz w:val="20"/>
        </w:rPr>
        <w:t xml:space="preserve"> </w:t>
      </w:r>
      <w:proofErr w:type="spellStart"/>
      <w:r>
        <w:rPr>
          <w:sz w:val="20"/>
        </w:rPr>
        <w:t>Ibid</w:t>
      </w:r>
      <w:proofErr w:type="spellEnd"/>
      <w:r>
        <w:rPr>
          <w:sz w:val="20"/>
        </w:rPr>
        <w:t xml:space="preserve">, </w:t>
      </w:r>
      <w:proofErr w:type="gramStart"/>
      <w:r>
        <w:rPr>
          <w:sz w:val="20"/>
        </w:rPr>
        <w:t>173;</w:t>
      </w:r>
      <w:proofErr w:type="gramEnd"/>
      <w:r>
        <w:rPr>
          <w:sz w:val="20"/>
        </w:rPr>
        <w:t xml:space="preserve"> </w:t>
      </w:r>
    </w:p>
  </w:footnote>
  <w:footnote w:id="66">
    <w:p w14:paraId="467D19CA" w14:textId="0110A83B" w:rsidR="00B10BDB" w:rsidRPr="0038302F" w:rsidRDefault="00B10BDB" w:rsidP="00D12AE4">
      <w:pPr>
        <w:pStyle w:val="FootnoteText"/>
        <w:jc w:val="both"/>
        <w:rPr>
          <w:sz w:val="20"/>
          <w:lang w:val="en-US"/>
        </w:rPr>
      </w:pPr>
      <w:r w:rsidRPr="0038302F">
        <w:rPr>
          <w:rStyle w:val="FootnoteReference"/>
          <w:sz w:val="20"/>
        </w:rPr>
        <w:footnoteRef/>
      </w:r>
      <w:r>
        <w:rPr>
          <w:sz w:val="20"/>
        </w:rPr>
        <w:t> </w:t>
      </w:r>
      <w:proofErr w:type="spellStart"/>
      <w:r>
        <w:rPr>
          <w:sz w:val="20"/>
        </w:rPr>
        <w:t>Ibid</w:t>
      </w:r>
      <w:proofErr w:type="spellEnd"/>
      <w:r>
        <w:rPr>
          <w:sz w:val="20"/>
        </w:rPr>
        <w:t xml:space="preserve">, </w:t>
      </w:r>
      <w:proofErr w:type="gramStart"/>
      <w:r>
        <w:rPr>
          <w:sz w:val="20"/>
        </w:rPr>
        <w:t>175;</w:t>
      </w:r>
      <w:proofErr w:type="gramEnd"/>
      <w:r>
        <w:rPr>
          <w:sz w:val="20"/>
        </w:rPr>
        <w:t xml:space="preserve"> </w:t>
      </w:r>
      <w:proofErr w:type="spellStart"/>
      <w:r w:rsidRPr="0038302F">
        <w:rPr>
          <w:sz w:val="20"/>
        </w:rPr>
        <w:t>see</w:t>
      </w:r>
      <w:proofErr w:type="spellEnd"/>
      <w:r w:rsidRPr="0038302F">
        <w:rPr>
          <w:sz w:val="20"/>
        </w:rPr>
        <w:t xml:space="preserve"> </w:t>
      </w:r>
      <w:proofErr w:type="spellStart"/>
      <w:r w:rsidRPr="0038302F">
        <w:rPr>
          <w:sz w:val="20"/>
        </w:rPr>
        <w:t>also</w:t>
      </w:r>
      <w:proofErr w:type="spellEnd"/>
      <w:r w:rsidRPr="0038302F">
        <w:rPr>
          <w:sz w:val="20"/>
        </w:rPr>
        <w:t xml:space="preserve"> M </w:t>
      </w:r>
      <w:proofErr w:type="spellStart"/>
      <w:r w:rsidRPr="0038302F">
        <w:rPr>
          <w:sz w:val="20"/>
        </w:rPr>
        <w:t>Paparinskis</w:t>
      </w:r>
      <w:proofErr w:type="spellEnd"/>
      <w:r w:rsidRPr="0038302F">
        <w:rPr>
          <w:sz w:val="20"/>
        </w:rPr>
        <w:t>, ‘</w:t>
      </w:r>
      <w:proofErr w:type="spellStart"/>
      <w:r w:rsidRPr="0038302F">
        <w:rPr>
          <w:sz w:val="20"/>
        </w:rPr>
        <w:t>Sapphire</w:t>
      </w:r>
      <w:proofErr w:type="spellEnd"/>
      <w:r w:rsidRPr="0038302F">
        <w:rPr>
          <w:sz w:val="20"/>
        </w:rPr>
        <w:t xml:space="preserve"> Arbitration’ Max Planck </w:t>
      </w:r>
      <w:proofErr w:type="spellStart"/>
      <w:r w:rsidRPr="0038302F">
        <w:rPr>
          <w:sz w:val="20"/>
        </w:rPr>
        <w:t>Encyclopaedia</w:t>
      </w:r>
      <w:proofErr w:type="spellEnd"/>
      <w:r w:rsidRPr="0038302F">
        <w:rPr>
          <w:sz w:val="20"/>
        </w:rPr>
        <w:t xml:space="preserve"> of Public International Law (2010).</w:t>
      </w:r>
    </w:p>
  </w:footnote>
  <w:footnote w:id="67">
    <w:p w14:paraId="61956300" w14:textId="29C0EDE5" w:rsidR="00B10BDB" w:rsidRPr="0038302F" w:rsidRDefault="00B10BDB" w:rsidP="00D12AE4">
      <w:pPr>
        <w:pStyle w:val="FootnoteText"/>
        <w:jc w:val="both"/>
        <w:rPr>
          <w:sz w:val="20"/>
          <w:lang w:val="en-US"/>
        </w:rPr>
      </w:pPr>
      <w:r w:rsidRPr="0038302F">
        <w:rPr>
          <w:rStyle w:val="FootnoteReference"/>
          <w:sz w:val="20"/>
        </w:rPr>
        <w:footnoteRef/>
      </w:r>
      <w:r w:rsidRPr="0038302F">
        <w:rPr>
          <w:sz w:val="20"/>
        </w:rPr>
        <w:t xml:space="preserve"> </w:t>
      </w:r>
      <w:proofErr w:type="spellStart"/>
      <w:r>
        <w:rPr>
          <w:sz w:val="20"/>
        </w:rPr>
        <w:t>Alvik</w:t>
      </w:r>
      <w:proofErr w:type="spellEnd"/>
      <w:r>
        <w:rPr>
          <w:sz w:val="20"/>
        </w:rPr>
        <w:t xml:space="preserve"> (n </w:t>
      </w:r>
      <w:r w:rsidR="007167B2">
        <w:rPr>
          <w:sz w:val="20"/>
        </w:rPr>
        <w:t>23</w:t>
      </w:r>
      <w:r>
        <w:rPr>
          <w:sz w:val="20"/>
        </w:rPr>
        <w:t>) 35.</w:t>
      </w:r>
    </w:p>
  </w:footnote>
  <w:footnote w:id="68">
    <w:p w14:paraId="280C5BFB" w14:textId="18DF4C90" w:rsidR="00B10BDB" w:rsidRPr="00D82A0D" w:rsidRDefault="00B10BDB" w:rsidP="00D12AE4">
      <w:pPr>
        <w:pStyle w:val="FootnoteText"/>
        <w:jc w:val="both"/>
        <w:rPr>
          <w:sz w:val="20"/>
          <w:lang w:val="en-US"/>
        </w:rPr>
      </w:pPr>
      <w:r w:rsidRPr="00A61432">
        <w:rPr>
          <w:rStyle w:val="FootnoteReference"/>
          <w:sz w:val="20"/>
        </w:rPr>
        <w:footnoteRef/>
      </w:r>
      <w:r w:rsidRPr="00A61432">
        <w:rPr>
          <w:sz w:val="20"/>
        </w:rPr>
        <w:t> </w:t>
      </w:r>
      <w:r w:rsidRPr="00895B22">
        <w:rPr>
          <w:i/>
          <w:iCs/>
          <w:sz w:val="20"/>
          <w:lang w:val="en-GB"/>
        </w:rPr>
        <w:t xml:space="preserve">Texaco and </w:t>
      </w:r>
      <w:proofErr w:type="spellStart"/>
      <w:r w:rsidRPr="00895B22">
        <w:rPr>
          <w:i/>
          <w:iCs/>
          <w:sz w:val="20"/>
          <w:lang w:val="en-GB"/>
        </w:rPr>
        <w:t>Calasiatic</w:t>
      </w:r>
      <w:proofErr w:type="spellEnd"/>
      <w:r w:rsidRPr="00895B22">
        <w:rPr>
          <w:i/>
          <w:iCs/>
          <w:sz w:val="20"/>
          <w:lang w:val="en-GB"/>
        </w:rPr>
        <w:t xml:space="preserve"> v Libya</w:t>
      </w:r>
      <w:r w:rsidRPr="00D81523">
        <w:rPr>
          <w:sz w:val="20"/>
          <w:lang w:val="en-GB"/>
        </w:rPr>
        <w:t xml:space="preserve">, </w:t>
      </w:r>
      <w:r>
        <w:rPr>
          <w:sz w:val="20"/>
          <w:lang w:val="en-GB"/>
        </w:rPr>
        <w:t xml:space="preserve">455, </w:t>
      </w:r>
      <w:r w:rsidRPr="00D81523">
        <w:rPr>
          <w:sz w:val="20"/>
          <w:lang w:val="en-GB"/>
        </w:rPr>
        <w:t>para</w:t>
      </w:r>
      <w:r>
        <w:rPr>
          <w:sz w:val="20"/>
          <w:lang w:val="en-GB"/>
        </w:rPr>
        <w:t xml:space="preserve"> 44</w:t>
      </w:r>
      <w:r w:rsidRPr="00A61432">
        <w:rPr>
          <w:sz w:val="20"/>
        </w:rPr>
        <w:t xml:space="preserve">; </w:t>
      </w:r>
      <w:r w:rsidRPr="00A61432">
        <w:rPr>
          <w:sz w:val="20"/>
          <w:lang w:val="en-GB"/>
        </w:rPr>
        <w:t>Greenwood</w:t>
      </w:r>
      <w:r>
        <w:rPr>
          <w:sz w:val="20"/>
          <w:lang w:val="en-GB"/>
        </w:rPr>
        <w:t xml:space="preserve"> (n </w:t>
      </w:r>
      <w:r w:rsidR="007167B2">
        <w:rPr>
          <w:sz w:val="20"/>
          <w:lang w:val="en-GB"/>
        </w:rPr>
        <w:t>51</w:t>
      </w:r>
      <w:r>
        <w:rPr>
          <w:sz w:val="20"/>
          <w:lang w:val="en-GB"/>
        </w:rPr>
        <w:t xml:space="preserve">) 51; </w:t>
      </w:r>
      <w:r w:rsidRPr="008B75EF">
        <w:rPr>
          <w:sz w:val="20"/>
          <w:lang w:val="en-GB"/>
        </w:rPr>
        <w:t>R</w:t>
      </w:r>
      <w:r>
        <w:rPr>
          <w:sz w:val="20"/>
          <w:lang w:val="en-GB"/>
        </w:rPr>
        <w:t xml:space="preserve"> </w:t>
      </w:r>
      <w:r w:rsidRPr="008B75EF">
        <w:rPr>
          <w:sz w:val="20"/>
          <w:lang w:val="en-GB"/>
        </w:rPr>
        <w:t xml:space="preserve">B v </w:t>
      </w:r>
      <w:proofErr w:type="spellStart"/>
      <w:r w:rsidRPr="008B75EF">
        <w:rPr>
          <w:sz w:val="20"/>
          <w:lang w:val="en-GB"/>
        </w:rPr>
        <w:t>Mehren</w:t>
      </w:r>
      <w:proofErr w:type="spellEnd"/>
      <w:r w:rsidRPr="008B75EF">
        <w:rPr>
          <w:sz w:val="20"/>
          <w:lang w:val="en-GB"/>
        </w:rPr>
        <w:t xml:space="preserve"> and P</w:t>
      </w:r>
      <w:r>
        <w:rPr>
          <w:sz w:val="20"/>
          <w:lang w:val="en-GB"/>
        </w:rPr>
        <w:t xml:space="preserve"> </w:t>
      </w:r>
      <w:r w:rsidRPr="008B75EF">
        <w:rPr>
          <w:sz w:val="20"/>
          <w:lang w:val="en-GB"/>
        </w:rPr>
        <w:t xml:space="preserve">N </w:t>
      </w:r>
      <w:proofErr w:type="spellStart"/>
      <w:r w:rsidRPr="008B75EF">
        <w:rPr>
          <w:sz w:val="20"/>
          <w:lang w:val="en-GB"/>
        </w:rPr>
        <w:t>Kourides</w:t>
      </w:r>
      <w:proofErr w:type="spellEnd"/>
      <w:r w:rsidRPr="008B75EF">
        <w:rPr>
          <w:sz w:val="20"/>
          <w:lang w:val="en-GB"/>
        </w:rPr>
        <w:t xml:space="preserve">, ‘International Arbitrations between States and Foreign Private Parties: </w:t>
      </w:r>
      <w:r>
        <w:rPr>
          <w:sz w:val="20"/>
          <w:lang w:val="en-GB"/>
        </w:rPr>
        <w:t>Th</w:t>
      </w:r>
      <w:r w:rsidRPr="008B75EF">
        <w:rPr>
          <w:sz w:val="20"/>
          <w:lang w:val="en-GB"/>
        </w:rPr>
        <w:t>e Libyan Nationalization Cases’ (1981) 75 AJIL 476</w:t>
      </w:r>
      <w:r>
        <w:rPr>
          <w:sz w:val="20"/>
          <w:lang w:val="en-GB"/>
        </w:rPr>
        <w:t>.</w:t>
      </w:r>
      <w:r>
        <w:rPr>
          <w:sz w:val="20"/>
          <w:lang w:val="el-GR"/>
        </w:rPr>
        <w:t xml:space="preserve"> </w:t>
      </w:r>
      <w:r>
        <w:rPr>
          <w:sz w:val="20"/>
          <w:lang w:val="en-US"/>
        </w:rPr>
        <w:t xml:space="preserve">See also See also </w:t>
      </w:r>
      <w:r w:rsidRPr="00DA2261">
        <w:rPr>
          <w:i/>
          <w:iCs/>
          <w:sz w:val="21"/>
          <w:szCs w:val="16"/>
        </w:rPr>
        <w:t xml:space="preserve">Mobil </w:t>
      </w:r>
      <w:proofErr w:type="spellStart"/>
      <w:r w:rsidRPr="00DA2261">
        <w:rPr>
          <w:i/>
          <w:iCs/>
          <w:sz w:val="21"/>
          <w:szCs w:val="16"/>
        </w:rPr>
        <w:t>Oil</w:t>
      </w:r>
      <w:proofErr w:type="spellEnd"/>
      <w:r w:rsidRPr="00DA2261">
        <w:rPr>
          <w:i/>
          <w:iCs/>
          <w:sz w:val="21"/>
          <w:szCs w:val="16"/>
        </w:rPr>
        <w:t xml:space="preserve"> Iran, </w:t>
      </w:r>
      <w:proofErr w:type="spellStart"/>
      <w:r w:rsidRPr="00DA2261">
        <w:rPr>
          <w:i/>
          <w:iCs/>
          <w:sz w:val="21"/>
          <w:szCs w:val="16"/>
        </w:rPr>
        <w:t>Inc</w:t>
      </w:r>
      <w:proofErr w:type="spellEnd"/>
      <w:r w:rsidRPr="00DA2261">
        <w:rPr>
          <w:i/>
          <w:iCs/>
          <w:sz w:val="21"/>
          <w:szCs w:val="16"/>
        </w:rPr>
        <w:t xml:space="preserve"> v The </w:t>
      </w:r>
      <w:proofErr w:type="spellStart"/>
      <w:r w:rsidRPr="00DA2261">
        <w:rPr>
          <w:i/>
          <w:iCs/>
          <w:sz w:val="21"/>
          <w:szCs w:val="16"/>
        </w:rPr>
        <w:t>Government</w:t>
      </w:r>
      <w:proofErr w:type="spellEnd"/>
      <w:r w:rsidRPr="00DA2261">
        <w:rPr>
          <w:i/>
          <w:iCs/>
          <w:sz w:val="21"/>
          <w:szCs w:val="16"/>
        </w:rPr>
        <w:t xml:space="preserve"> of the </w:t>
      </w:r>
      <w:proofErr w:type="spellStart"/>
      <w:r w:rsidRPr="00DA2261">
        <w:rPr>
          <w:i/>
          <w:iCs/>
          <w:sz w:val="21"/>
          <w:szCs w:val="16"/>
        </w:rPr>
        <w:t>Islamic</w:t>
      </w:r>
      <w:proofErr w:type="spellEnd"/>
      <w:r w:rsidRPr="00DA2261">
        <w:rPr>
          <w:i/>
          <w:iCs/>
          <w:sz w:val="21"/>
          <w:szCs w:val="16"/>
        </w:rPr>
        <w:t xml:space="preserve"> </w:t>
      </w:r>
      <w:proofErr w:type="spellStart"/>
      <w:r w:rsidRPr="00DA2261">
        <w:rPr>
          <w:i/>
          <w:iCs/>
          <w:sz w:val="21"/>
          <w:szCs w:val="16"/>
        </w:rPr>
        <w:t>Republic</w:t>
      </w:r>
      <w:proofErr w:type="spellEnd"/>
      <w:r w:rsidRPr="00DA2261">
        <w:rPr>
          <w:i/>
          <w:iCs/>
          <w:sz w:val="21"/>
          <w:szCs w:val="16"/>
        </w:rPr>
        <w:t xml:space="preserve"> of Iran</w:t>
      </w:r>
      <w:r w:rsidRPr="00DA2261">
        <w:rPr>
          <w:sz w:val="21"/>
          <w:szCs w:val="16"/>
        </w:rPr>
        <w:t xml:space="preserve">, Partial </w:t>
      </w:r>
      <w:proofErr w:type="spellStart"/>
      <w:r w:rsidRPr="00DA2261">
        <w:rPr>
          <w:sz w:val="21"/>
          <w:szCs w:val="16"/>
        </w:rPr>
        <w:t>Award</w:t>
      </w:r>
      <w:proofErr w:type="spellEnd"/>
      <w:r w:rsidRPr="00DA2261">
        <w:rPr>
          <w:sz w:val="21"/>
          <w:szCs w:val="16"/>
        </w:rPr>
        <w:t xml:space="preserve">, 14 July 1987, 16 Iran–USCTR </w:t>
      </w:r>
      <w:r>
        <w:rPr>
          <w:sz w:val="21"/>
          <w:szCs w:val="16"/>
        </w:rPr>
        <w:t>1, 37, para 81.</w:t>
      </w:r>
    </w:p>
  </w:footnote>
  <w:footnote w:id="69">
    <w:p w14:paraId="37664F1E" w14:textId="161D5676" w:rsidR="00B10BDB" w:rsidRPr="001B3B7D" w:rsidRDefault="00B10BDB" w:rsidP="00D12AE4">
      <w:pPr>
        <w:pStyle w:val="FootnoteText"/>
        <w:jc w:val="both"/>
        <w:rPr>
          <w:sz w:val="20"/>
          <w:lang w:val="en-US"/>
        </w:rPr>
      </w:pPr>
      <w:r w:rsidRPr="001B3B7D">
        <w:rPr>
          <w:rStyle w:val="FootnoteReference"/>
          <w:sz w:val="20"/>
        </w:rPr>
        <w:footnoteRef/>
      </w:r>
      <w:r w:rsidRPr="001B3B7D">
        <w:rPr>
          <w:sz w:val="20"/>
        </w:rPr>
        <w:t xml:space="preserve"> </w:t>
      </w:r>
      <w:proofErr w:type="spellStart"/>
      <w:r w:rsidRPr="001B3B7D">
        <w:rPr>
          <w:sz w:val="20"/>
        </w:rPr>
        <w:t>Unpublished</w:t>
      </w:r>
      <w:proofErr w:type="spellEnd"/>
      <w:r w:rsidRPr="001B3B7D">
        <w:rPr>
          <w:sz w:val="20"/>
        </w:rPr>
        <w:t xml:space="preserve">, </w:t>
      </w:r>
      <w:proofErr w:type="spellStart"/>
      <w:r w:rsidRPr="001B3B7D">
        <w:rPr>
          <w:sz w:val="20"/>
        </w:rPr>
        <w:t>cited</w:t>
      </w:r>
      <w:proofErr w:type="spellEnd"/>
      <w:r w:rsidRPr="001B3B7D">
        <w:rPr>
          <w:sz w:val="20"/>
        </w:rPr>
        <w:t xml:space="preserve"> in Weil</w:t>
      </w:r>
      <w:r>
        <w:rPr>
          <w:sz w:val="20"/>
        </w:rPr>
        <w:t xml:space="preserve"> (n </w:t>
      </w:r>
      <w:r w:rsidR="007167B2">
        <w:rPr>
          <w:sz w:val="20"/>
        </w:rPr>
        <w:t>23</w:t>
      </w:r>
      <w:r>
        <w:rPr>
          <w:sz w:val="20"/>
        </w:rPr>
        <w:t>)</w:t>
      </w:r>
      <w:r w:rsidRPr="001B3B7D">
        <w:rPr>
          <w:sz w:val="20"/>
        </w:rPr>
        <w:t xml:space="preserve"> 169.</w:t>
      </w:r>
      <w:r w:rsidR="005075FB" w:rsidRPr="005075FB">
        <w:rPr>
          <w:i/>
          <w:iCs/>
          <w:sz w:val="20"/>
          <w:lang w:val="en-GB"/>
        </w:rPr>
        <w:t xml:space="preserve"> </w:t>
      </w:r>
    </w:p>
  </w:footnote>
  <w:footnote w:id="70">
    <w:p w14:paraId="28FFCE1D" w14:textId="17DBA27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Bankswitch</w:t>
      </w:r>
      <w:proofErr w:type="spellEnd"/>
      <w:r w:rsidRPr="00D81523">
        <w:rPr>
          <w:i/>
          <w:iCs/>
          <w:sz w:val="20"/>
          <w:lang w:val="en-GB"/>
        </w:rPr>
        <w:t xml:space="preserve"> Ghana Ltd v The Republic of Ghana</w:t>
      </w:r>
      <w:r w:rsidRPr="00D81523">
        <w:rPr>
          <w:sz w:val="20"/>
          <w:lang w:val="en-GB"/>
        </w:rPr>
        <w:t>, UNCITRAL, Award Save as to Costs, 11 April 2014</w:t>
      </w:r>
      <w:r>
        <w:rPr>
          <w:sz w:val="20"/>
          <w:lang w:val="en-GB"/>
        </w:rPr>
        <w:t xml:space="preserve"> (‘</w:t>
      </w:r>
      <w:proofErr w:type="spellStart"/>
      <w:r w:rsidRPr="00895B22">
        <w:rPr>
          <w:i/>
          <w:iCs/>
          <w:sz w:val="20"/>
          <w:lang w:val="en-GB"/>
        </w:rPr>
        <w:t>Bankswitch</w:t>
      </w:r>
      <w:proofErr w:type="spellEnd"/>
      <w:r w:rsidRPr="00895B22">
        <w:rPr>
          <w:i/>
          <w:iCs/>
          <w:sz w:val="20"/>
          <w:lang w:val="en-GB"/>
        </w:rPr>
        <w:t xml:space="preserve"> v Ghana</w:t>
      </w:r>
      <w:r>
        <w:rPr>
          <w:sz w:val="20"/>
          <w:lang w:val="en-GB"/>
        </w:rPr>
        <w:t>’)</w:t>
      </w:r>
      <w:r w:rsidRPr="00D81523">
        <w:rPr>
          <w:sz w:val="20"/>
          <w:lang w:val="en-GB"/>
        </w:rPr>
        <w:t xml:space="preserve">, para 11.68. See also </w:t>
      </w:r>
      <w:proofErr w:type="spellStart"/>
      <w:r w:rsidRPr="00D81523">
        <w:rPr>
          <w:i/>
          <w:iCs/>
          <w:sz w:val="20"/>
          <w:lang w:val="en-GB"/>
        </w:rPr>
        <w:t>CPconstruction</w:t>
      </w:r>
      <w:proofErr w:type="spellEnd"/>
      <w:r w:rsidRPr="00D81523">
        <w:rPr>
          <w:i/>
          <w:iCs/>
          <w:sz w:val="20"/>
          <w:lang w:val="en-GB"/>
        </w:rPr>
        <w:t xml:space="preserve"> Pioneers </w:t>
      </w:r>
      <w:proofErr w:type="spellStart"/>
      <w:r w:rsidRPr="00D81523">
        <w:rPr>
          <w:i/>
          <w:iCs/>
          <w:sz w:val="20"/>
          <w:lang w:val="en-GB"/>
        </w:rPr>
        <w:t>Baugesellschaft</w:t>
      </w:r>
      <w:proofErr w:type="spellEnd"/>
      <w:r w:rsidRPr="00D81523">
        <w:rPr>
          <w:i/>
          <w:iCs/>
          <w:sz w:val="20"/>
          <w:lang w:val="en-GB"/>
        </w:rPr>
        <w:t xml:space="preserve"> </w:t>
      </w:r>
      <w:proofErr w:type="spellStart"/>
      <w:r w:rsidRPr="00D81523">
        <w:rPr>
          <w:i/>
          <w:iCs/>
          <w:sz w:val="20"/>
          <w:lang w:val="en-GB"/>
        </w:rPr>
        <w:t>Anstalt</w:t>
      </w:r>
      <w:proofErr w:type="spellEnd"/>
      <w:r w:rsidRPr="00D81523">
        <w:rPr>
          <w:i/>
          <w:iCs/>
          <w:sz w:val="20"/>
          <w:lang w:val="en-GB"/>
        </w:rPr>
        <w:t xml:space="preserve"> v Government of the Republic of Ghana, Ministry of Roads and Transport,</w:t>
      </w:r>
      <w:r w:rsidRPr="00D81523">
        <w:rPr>
          <w:sz w:val="20"/>
          <w:lang w:val="en-GB"/>
        </w:rPr>
        <w:t xml:space="preserve"> ICC Case No 12048/DB/EC, Partial Award, 22 December 2003, para 131. </w:t>
      </w:r>
      <w:r>
        <w:rPr>
          <w:sz w:val="20"/>
          <w:lang w:val="en-GB"/>
        </w:rPr>
        <w:t xml:space="preserve">See also </w:t>
      </w:r>
      <w:proofErr w:type="spellStart"/>
      <w:r w:rsidRPr="00D81523">
        <w:rPr>
          <w:i/>
          <w:iCs/>
          <w:sz w:val="20"/>
          <w:lang w:val="en-GB"/>
        </w:rPr>
        <w:t>Bankswitch</w:t>
      </w:r>
      <w:proofErr w:type="spellEnd"/>
      <w:r>
        <w:rPr>
          <w:i/>
          <w:iCs/>
          <w:sz w:val="20"/>
          <w:lang w:val="en-GB"/>
        </w:rPr>
        <w:t xml:space="preserve"> v Ghana</w:t>
      </w:r>
      <w:r w:rsidRPr="00D81523">
        <w:rPr>
          <w:sz w:val="20"/>
          <w:lang w:val="en-GB"/>
        </w:rPr>
        <w:t>, para 11.64</w:t>
      </w:r>
      <w:r>
        <w:rPr>
          <w:sz w:val="20"/>
          <w:lang w:val="en-GB"/>
        </w:rPr>
        <w:t>;</w:t>
      </w:r>
      <w:r w:rsidRPr="00D81523">
        <w:rPr>
          <w:sz w:val="20"/>
          <w:lang w:val="en-GB"/>
        </w:rPr>
        <w:t xml:space="preserve"> ICC Case 5030, Award, 1992, Y </w:t>
      </w:r>
      <w:proofErr w:type="spellStart"/>
      <w:r w:rsidRPr="00D81523">
        <w:rPr>
          <w:sz w:val="20"/>
          <w:lang w:val="en-GB"/>
        </w:rPr>
        <w:t>Derains</w:t>
      </w:r>
      <w:proofErr w:type="spellEnd"/>
      <w:r w:rsidRPr="00D81523">
        <w:rPr>
          <w:sz w:val="20"/>
          <w:lang w:val="en-GB"/>
        </w:rPr>
        <w:t>, ‘</w:t>
      </w:r>
      <w:proofErr w:type="spellStart"/>
      <w:r w:rsidRPr="00D81523">
        <w:rPr>
          <w:sz w:val="20"/>
          <w:lang w:val="en-GB"/>
        </w:rPr>
        <w:t>Chronique</w:t>
      </w:r>
      <w:proofErr w:type="spellEnd"/>
      <w:r w:rsidRPr="00D81523">
        <w:rPr>
          <w:sz w:val="20"/>
          <w:lang w:val="en-GB"/>
        </w:rPr>
        <w:t xml:space="preserve"> des sentences </w:t>
      </w:r>
      <w:proofErr w:type="spellStart"/>
      <w:r w:rsidRPr="00D81523">
        <w:rPr>
          <w:sz w:val="20"/>
          <w:lang w:val="en-GB"/>
        </w:rPr>
        <w:t>arbitrales</w:t>
      </w:r>
      <w:proofErr w:type="spellEnd"/>
      <w:r w:rsidRPr="00D81523">
        <w:rPr>
          <w:sz w:val="20"/>
          <w:lang w:val="en-GB"/>
        </w:rPr>
        <w:t xml:space="preserve"> de la CCI’ (1993) JDI (</w:t>
      </w:r>
      <w:proofErr w:type="spellStart"/>
      <w:r w:rsidRPr="00D81523">
        <w:rPr>
          <w:sz w:val="20"/>
          <w:lang w:val="en-GB"/>
        </w:rPr>
        <w:t>Clunet</w:t>
      </w:r>
      <w:proofErr w:type="spellEnd"/>
      <w:r w:rsidRPr="00D81523">
        <w:rPr>
          <w:sz w:val="20"/>
          <w:lang w:val="en-GB"/>
        </w:rPr>
        <w:t>) 1004-1016</w:t>
      </w:r>
      <w:r>
        <w:rPr>
          <w:sz w:val="20"/>
          <w:lang w:val="en-GB"/>
        </w:rPr>
        <w:t xml:space="preserve"> and</w:t>
      </w:r>
      <w:r w:rsidRPr="00D81523">
        <w:rPr>
          <w:sz w:val="20"/>
          <w:lang w:val="en-GB"/>
        </w:rPr>
        <w:t xml:space="preserve"> </w:t>
      </w:r>
      <w:r w:rsidRPr="00D81523">
        <w:rPr>
          <w:rFonts w:cstheme="minorHAnsi"/>
          <w:i/>
          <w:sz w:val="20"/>
          <w:lang w:val="en-GB"/>
        </w:rPr>
        <w:t xml:space="preserve">Deutsche </w:t>
      </w:r>
      <w:proofErr w:type="spellStart"/>
      <w:r w:rsidRPr="00D81523">
        <w:rPr>
          <w:rFonts w:cstheme="minorHAnsi"/>
          <w:i/>
          <w:sz w:val="20"/>
          <w:lang w:val="en-GB"/>
        </w:rPr>
        <w:t>Schachtbau</w:t>
      </w:r>
      <w:proofErr w:type="spellEnd"/>
      <w:r w:rsidRPr="00D81523">
        <w:rPr>
          <w:rFonts w:cstheme="minorHAnsi"/>
          <w:i/>
          <w:sz w:val="20"/>
          <w:lang w:val="en-GB"/>
        </w:rPr>
        <w:t xml:space="preserve">-und </w:t>
      </w:r>
      <w:proofErr w:type="spellStart"/>
      <w:r w:rsidRPr="00D81523">
        <w:rPr>
          <w:rFonts w:cstheme="minorHAnsi"/>
          <w:i/>
          <w:sz w:val="20"/>
          <w:lang w:val="en-GB"/>
        </w:rPr>
        <w:t>Tiefbohrgesellschaft</w:t>
      </w:r>
      <w:proofErr w:type="spellEnd"/>
      <w:r w:rsidRPr="00D81523">
        <w:rPr>
          <w:rFonts w:cstheme="minorHAnsi"/>
          <w:i/>
          <w:sz w:val="20"/>
          <w:lang w:val="en-GB"/>
        </w:rPr>
        <w:t xml:space="preserve"> </w:t>
      </w:r>
      <w:proofErr w:type="spellStart"/>
      <w:r w:rsidRPr="00D81523">
        <w:rPr>
          <w:rFonts w:cstheme="minorHAnsi"/>
          <w:i/>
          <w:sz w:val="20"/>
          <w:lang w:val="en-GB"/>
        </w:rPr>
        <w:t>mbH</w:t>
      </w:r>
      <w:proofErr w:type="spellEnd"/>
      <w:r w:rsidRPr="00D81523">
        <w:rPr>
          <w:rFonts w:cstheme="minorHAnsi"/>
          <w:i/>
          <w:sz w:val="20"/>
          <w:lang w:val="en-GB"/>
        </w:rPr>
        <w:t xml:space="preserve"> (DST) et al v The Government of the State of </w:t>
      </w:r>
      <w:proofErr w:type="spellStart"/>
      <w:r w:rsidRPr="00D81523">
        <w:rPr>
          <w:rFonts w:cstheme="minorHAnsi"/>
          <w:i/>
          <w:sz w:val="20"/>
          <w:lang w:val="en-GB"/>
        </w:rPr>
        <w:t>R’as</w:t>
      </w:r>
      <w:proofErr w:type="spellEnd"/>
      <w:r w:rsidRPr="00D81523">
        <w:rPr>
          <w:rFonts w:cstheme="minorHAnsi"/>
          <w:i/>
          <w:sz w:val="20"/>
          <w:lang w:val="en-GB"/>
        </w:rPr>
        <w:t xml:space="preserve"> Al Khaimah (UAE), The </w:t>
      </w:r>
      <w:proofErr w:type="spellStart"/>
      <w:r w:rsidRPr="00D81523">
        <w:rPr>
          <w:rFonts w:cstheme="minorHAnsi"/>
          <w:i/>
          <w:sz w:val="20"/>
          <w:lang w:val="en-GB"/>
        </w:rPr>
        <w:t>R’as</w:t>
      </w:r>
      <w:proofErr w:type="spellEnd"/>
      <w:r w:rsidRPr="00D81523">
        <w:rPr>
          <w:rFonts w:cstheme="minorHAnsi"/>
          <w:i/>
          <w:sz w:val="20"/>
          <w:lang w:val="en-GB"/>
        </w:rPr>
        <w:t xml:space="preserve"> Al Khaimah Oil Company (</w:t>
      </w:r>
      <w:proofErr w:type="spellStart"/>
      <w:r w:rsidRPr="00D81523">
        <w:rPr>
          <w:rFonts w:cstheme="minorHAnsi"/>
          <w:i/>
          <w:sz w:val="20"/>
          <w:lang w:val="en-GB"/>
        </w:rPr>
        <w:t>Rakoil</w:t>
      </w:r>
      <w:proofErr w:type="spellEnd"/>
      <w:r w:rsidRPr="00D81523">
        <w:rPr>
          <w:rFonts w:cstheme="minorHAnsi"/>
          <w:i/>
          <w:sz w:val="20"/>
          <w:lang w:val="en-GB"/>
        </w:rPr>
        <w:t>) (UAE)</w:t>
      </w:r>
      <w:r w:rsidRPr="00D81523">
        <w:rPr>
          <w:rFonts w:cstheme="minorHAnsi"/>
          <w:iCs/>
          <w:sz w:val="20"/>
          <w:lang w:val="en-GB"/>
        </w:rPr>
        <w:t xml:space="preserve">, ICC Case No 3572, Final Award, 1982 in A Jan van den Berg (ed), </w:t>
      </w:r>
      <w:r w:rsidRPr="00D81523">
        <w:rPr>
          <w:rFonts w:cstheme="minorHAnsi"/>
          <w:i/>
          <w:sz w:val="20"/>
          <w:lang w:val="en-GB"/>
        </w:rPr>
        <w:t xml:space="preserve">Yearbook Commercial Arbitration 1989, Vol 14 </w:t>
      </w:r>
      <w:r w:rsidRPr="00D81523">
        <w:rPr>
          <w:rFonts w:cstheme="minorHAnsi"/>
          <w:iCs/>
          <w:sz w:val="20"/>
          <w:lang w:val="en-GB"/>
        </w:rPr>
        <w:t xml:space="preserve">(Kluwer Law International, The Hague 1989) 111-121, 117. </w:t>
      </w:r>
      <w:proofErr w:type="spellStart"/>
      <w:r>
        <w:rPr>
          <w:sz w:val="20"/>
          <w:lang w:val="en-GB"/>
        </w:rPr>
        <w:t>Cf</w:t>
      </w:r>
      <w:proofErr w:type="spellEnd"/>
      <w:r w:rsidRPr="00D81523">
        <w:rPr>
          <w:sz w:val="20"/>
          <w:lang w:val="en-GB"/>
        </w:rPr>
        <w:t xml:space="preserve"> H E </w:t>
      </w:r>
      <w:proofErr w:type="spellStart"/>
      <w:r w:rsidRPr="00D81523">
        <w:rPr>
          <w:sz w:val="20"/>
          <w:lang w:val="en-GB"/>
        </w:rPr>
        <w:t>Kjos</w:t>
      </w:r>
      <w:proofErr w:type="spellEnd"/>
      <w:r w:rsidRPr="00D81523">
        <w:rPr>
          <w:sz w:val="20"/>
          <w:lang w:val="en-GB"/>
        </w:rPr>
        <w:t xml:space="preserve">, </w:t>
      </w:r>
      <w:r w:rsidRPr="00D81523">
        <w:rPr>
          <w:i/>
          <w:iCs/>
          <w:sz w:val="20"/>
          <w:lang w:val="en-GB"/>
        </w:rPr>
        <w:t xml:space="preserve">Applicable Law in Investor-State Arbitration: The Interplay Between National and International Law </w:t>
      </w:r>
      <w:r w:rsidRPr="00D81523">
        <w:rPr>
          <w:sz w:val="20"/>
          <w:lang w:val="en-GB"/>
        </w:rPr>
        <w:t>(OUP, Oxford 2013) 196</w:t>
      </w:r>
      <w:r>
        <w:rPr>
          <w:sz w:val="20"/>
          <w:lang w:val="en-GB"/>
        </w:rPr>
        <w:t>-</w:t>
      </w:r>
      <w:r w:rsidRPr="00D81523">
        <w:rPr>
          <w:sz w:val="20"/>
          <w:lang w:val="en-GB"/>
        </w:rPr>
        <w:t>197</w:t>
      </w:r>
      <w:r>
        <w:rPr>
          <w:sz w:val="20"/>
          <w:lang w:val="en-GB"/>
        </w:rPr>
        <w:t xml:space="preserve">; </w:t>
      </w:r>
      <w:r w:rsidRPr="00D81523">
        <w:rPr>
          <w:sz w:val="20"/>
          <w:lang w:val="en-GB"/>
        </w:rPr>
        <w:t xml:space="preserve">S M </w:t>
      </w:r>
      <w:proofErr w:type="spellStart"/>
      <w:r w:rsidRPr="00D81523">
        <w:rPr>
          <w:sz w:val="20"/>
          <w:lang w:val="en-GB"/>
        </w:rPr>
        <w:t>Schwebel</w:t>
      </w:r>
      <w:proofErr w:type="spellEnd"/>
      <w:r w:rsidRPr="00D81523">
        <w:rPr>
          <w:sz w:val="20"/>
          <w:lang w:val="en-GB"/>
        </w:rPr>
        <w:t xml:space="preserve">, L </w:t>
      </w:r>
      <w:proofErr w:type="spellStart"/>
      <w:r w:rsidRPr="00D81523">
        <w:rPr>
          <w:sz w:val="20"/>
          <w:lang w:val="en-GB"/>
        </w:rPr>
        <w:t>Sobota</w:t>
      </w:r>
      <w:proofErr w:type="spellEnd"/>
      <w:r w:rsidRPr="00D81523">
        <w:rPr>
          <w:sz w:val="20"/>
          <w:lang w:val="en-GB"/>
        </w:rPr>
        <w:t xml:space="preserve">, and R Manton, </w:t>
      </w:r>
      <w:r w:rsidRPr="00D81523">
        <w:rPr>
          <w:i/>
          <w:iCs/>
          <w:sz w:val="20"/>
          <w:lang w:val="en-GB"/>
        </w:rPr>
        <w:t>International Arbitration Three Salient Problems</w:t>
      </w:r>
      <w:r w:rsidRPr="00D81523">
        <w:rPr>
          <w:sz w:val="20"/>
          <w:lang w:val="en-GB"/>
        </w:rPr>
        <w:t xml:space="preserve"> (2</w:t>
      </w:r>
      <w:r w:rsidRPr="00D81523">
        <w:rPr>
          <w:sz w:val="20"/>
          <w:vertAlign w:val="superscript"/>
          <w:lang w:val="en-GB"/>
        </w:rPr>
        <w:t>nd</w:t>
      </w:r>
      <w:r w:rsidRPr="00D81523">
        <w:rPr>
          <w:sz w:val="20"/>
          <w:lang w:val="en-GB"/>
        </w:rPr>
        <w:t xml:space="preserve"> ed, CUP, Cambridge 2020) 65-151.</w:t>
      </w:r>
    </w:p>
  </w:footnote>
  <w:footnote w:id="71">
    <w:p w14:paraId="05E20378" w14:textId="5D1F8261" w:rsidR="00B10BDB" w:rsidRPr="0024471F" w:rsidRDefault="00B10BDB" w:rsidP="00D12AE4">
      <w:pPr>
        <w:pStyle w:val="FootnoteText"/>
        <w:jc w:val="both"/>
        <w:rPr>
          <w:sz w:val="20"/>
          <w:lang w:val="en-US"/>
        </w:rPr>
      </w:pPr>
      <w:r w:rsidRPr="0024471F">
        <w:rPr>
          <w:rStyle w:val="FootnoteReference"/>
          <w:sz w:val="20"/>
        </w:rPr>
        <w:footnoteRef/>
      </w:r>
      <w:r w:rsidRPr="0024471F">
        <w:rPr>
          <w:sz w:val="20"/>
        </w:rPr>
        <w:t xml:space="preserve"> </w:t>
      </w:r>
      <w:proofErr w:type="spellStart"/>
      <w:r w:rsidRPr="00895B22">
        <w:rPr>
          <w:i/>
          <w:iCs/>
          <w:sz w:val="20"/>
          <w:lang w:val="en-GB"/>
        </w:rPr>
        <w:t>Bankswitch</w:t>
      </w:r>
      <w:proofErr w:type="spellEnd"/>
      <w:r w:rsidRPr="00895B22">
        <w:rPr>
          <w:i/>
          <w:iCs/>
          <w:sz w:val="20"/>
          <w:lang w:val="en-GB"/>
        </w:rPr>
        <w:t xml:space="preserve"> v Ghana</w:t>
      </w:r>
      <w:r>
        <w:rPr>
          <w:sz w:val="20"/>
          <w:lang w:val="en-GB"/>
        </w:rPr>
        <w:t xml:space="preserve">, </w:t>
      </w:r>
      <w:r>
        <w:rPr>
          <w:sz w:val="20"/>
          <w:lang w:val="en-US"/>
        </w:rPr>
        <w:t>p</w:t>
      </w:r>
      <w:r w:rsidRPr="0024471F">
        <w:rPr>
          <w:sz w:val="20"/>
          <w:lang w:val="en-US"/>
        </w:rPr>
        <w:t>aras 11.71-11.97.</w:t>
      </w:r>
    </w:p>
  </w:footnote>
  <w:footnote w:id="72">
    <w:p w14:paraId="34204025" w14:textId="19379E5B" w:rsidR="00B10BDB" w:rsidRPr="0024471F" w:rsidRDefault="00B10BDB" w:rsidP="00D12AE4">
      <w:pPr>
        <w:pStyle w:val="FootnoteText"/>
        <w:jc w:val="both"/>
        <w:rPr>
          <w:sz w:val="20"/>
          <w:lang w:val="el-GR"/>
        </w:rPr>
      </w:pPr>
      <w:r w:rsidRPr="0024471F">
        <w:rPr>
          <w:rStyle w:val="FootnoteReference"/>
          <w:sz w:val="20"/>
        </w:rPr>
        <w:footnoteRef/>
      </w:r>
      <w:r w:rsidRPr="0024471F">
        <w:rPr>
          <w:sz w:val="20"/>
        </w:rPr>
        <w:t xml:space="preserve"> </w:t>
      </w:r>
      <w:r w:rsidRPr="0024471F">
        <w:rPr>
          <w:sz w:val="20"/>
          <w:lang w:val="en-US"/>
        </w:rPr>
        <w:t>Ibid, para 11.97.</w:t>
      </w:r>
    </w:p>
  </w:footnote>
  <w:footnote w:id="73">
    <w:p w14:paraId="3E6B6B8B" w14:textId="2993C438"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Cambodia Power Company v Kingdom of Cambodia</w:t>
      </w:r>
      <w:r w:rsidRPr="00D81523">
        <w:rPr>
          <w:sz w:val="20"/>
          <w:lang w:val="en-GB"/>
        </w:rPr>
        <w:t>, ICSID Case No ARB/09/18, Decision on Jurisdiction, 22 March 2011</w:t>
      </w:r>
      <w:r>
        <w:rPr>
          <w:sz w:val="20"/>
          <w:lang w:val="en-GB"/>
        </w:rPr>
        <w:t xml:space="preserve"> (‘</w:t>
      </w:r>
      <w:r w:rsidRPr="00516457">
        <w:rPr>
          <w:i/>
          <w:iCs/>
          <w:sz w:val="20"/>
          <w:lang w:val="en-GB"/>
        </w:rPr>
        <w:t>CPC v Cambodia</w:t>
      </w:r>
      <w:r>
        <w:rPr>
          <w:sz w:val="20"/>
          <w:lang w:val="en-GB"/>
        </w:rPr>
        <w:t>’)</w:t>
      </w:r>
      <w:r w:rsidRPr="00D81523">
        <w:rPr>
          <w:sz w:val="20"/>
          <w:lang w:val="en-GB"/>
        </w:rPr>
        <w:t xml:space="preserve">, para 332. See also K </w:t>
      </w:r>
      <w:proofErr w:type="spellStart"/>
      <w:r w:rsidRPr="00D81523">
        <w:rPr>
          <w:sz w:val="20"/>
          <w:lang w:val="en-GB"/>
        </w:rPr>
        <w:t>Parlett</w:t>
      </w:r>
      <w:proofErr w:type="spellEnd"/>
      <w:r w:rsidRPr="00D81523">
        <w:rPr>
          <w:sz w:val="20"/>
          <w:lang w:val="en-GB"/>
        </w:rPr>
        <w:t>, ‘Claims under Customary International Law in ICSID Arbitration’ (2016) 31 ICSID Review 434.</w:t>
      </w:r>
    </w:p>
  </w:footnote>
  <w:footnote w:id="74">
    <w:p w14:paraId="07E4028A" w14:textId="513C7B54" w:rsidR="00B10BDB" w:rsidRPr="00516457" w:rsidRDefault="00B10BDB" w:rsidP="00D12AE4">
      <w:pPr>
        <w:pStyle w:val="FootnoteText"/>
        <w:jc w:val="both"/>
        <w:rPr>
          <w:sz w:val="20"/>
          <w:lang w:val="en-US"/>
        </w:rPr>
      </w:pPr>
      <w:r w:rsidRPr="00516457">
        <w:rPr>
          <w:rStyle w:val="FootnoteReference"/>
          <w:sz w:val="20"/>
        </w:rPr>
        <w:footnoteRef/>
      </w:r>
      <w:r w:rsidRPr="00516457">
        <w:rPr>
          <w:sz w:val="20"/>
        </w:rPr>
        <w:t xml:space="preserve"> </w:t>
      </w:r>
      <w:r>
        <w:rPr>
          <w:i/>
          <w:iCs/>
          <w:sz w:val="20"/>
        </w:rPr>
        <w:t xml:space="preserve">CPC v </w:t>
      </w:r>
      <w:proofErr w:type="spellStart"/>
      <w:r>
        <w:rPr>
          <w:i/>
          <w:iCs/>
          <w:sz w:val="20"/>
        </w:rPr>
        <w:t>Cambodia</w:t>
      </w:r>
      <w:proofErr w:type="spellEnd"/>
      <w:r>
        <w:rPr>
          <w:sz w:val="20"/>
        </w:rPr>
        <w:t>, para 339.</w:t>
      </w:r>
    </w:p>
  </w:footnote>
  <w:footnote w:id="75">
    <w:p w14:paraId="7488F574" w14:textId="2D1DEB63"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Sandline</w:t>
      </w:r>
      <w:proofErr w:type="spellEnd"/>
      <w:r w:rsidRPr="00D81523">
        <w:rPr>
          <w:i/>
          <w:iCs/>
          <w:sz w:val="20"/>
          <w:lang w:val="en-GB"/>
        </w:rPr>
        <w:t xml:space="preserve"> International Inc and the Independent State of Papua New Guinea</w:t>
      </w:r>
      <w:r w:rsidRPr="00D81523">
        <w:rPr>
          <w:sz w:val="20"/>
          <w:lang w:val="en-GB"/>
        </w:rPr>
        <w:t>, Interim Award, 9 October 1998, 117 ILR 552</w:t>
      </w:r>
      <w:r>
        <w:rPr>
          <w:sz w:val="20"/>
          <w:lang w:val="en-GB"/>
        </w:rPr>
        <w:t xml:space="preserve"> (‘</w:t>
      </w:r>
      <w:proofErr w:type="spellStart"/>
      <w:r w:rsidRPr="00935E4D">
        <w:rPr>
          <w:i/>
          <w:iCs/>
          <w:sz w:val="20"/>
          <w:lang w:val="en-GB"/>
        </w:rPr>
        <w:t>Sandline</w:t>
      </w:r>
      <w:proofErr w:type="spellEnd"/>
      <w:r w:rsidRPr="00935E4D">
        <w:rPr>
          <w:i/>
          <w:iCs/>
          <w:sz w:val="20"/>
          <w:lang w:val="en-GB"/>
        </w:rPr>
        <w:t xml:space="preserve"> v Papua New Guinea</w:t>
      </w:r>
      <w:r>
        <w:rPr>
          <w:sz w:val="20"/>
          <w:lang w:val="en-GB"/>
        </w:rPr>
        <w:t>’)</w:t>
      </w:r>
      <w:r w:rsidRPr="00D81523">
        <w:rPr>
          <w:sz w:val="20"/>
          <w:lang w:val="en-GB"/>
        </w:rPr>
        <w:t xml:space="preserve">, 560. See also </w:t>
      </w:r>
      <w:proofErr w:type="spellStart"/>
      <w:r w:rsidRPr="00D81523">
        <w:rPr>
          <w:i/>
          <w:iCs/>
          <w:sz w:val="20"/>
          <w:lang w:val="en-GB"/>
        </w:rPr>
        <w:t>Sociéte</w:t>
      </w:r>
      <w:proofErr w:type="spellEnd"/>
      <w:r w:rsidRPr="00D81523">
        <w:rPr>
          <w:i/>
          <w:iCs/>
          <w:sz w:val="20"/>
          <w:lang w:val="en-GB"/>
        </w:rPr>
        <w:t xml:space="preserve">́ </w:t>
      </w:r>
      <w:proofErr w:type="spellStart"/>
      <w:r w:rsidRPr="00D81523">
        <w:rPr>
          <w:i/>
          <w:iCs/>
          <w:sz w:val="20"/>
          <w:lang w:val="en-GB"/>
        </w:rPr>
        <w:t>d’Investigation</w:t>
      </w:r>
      <w:proofErr w:type="spellEnd"/>
      <w:r w:rsidRPr="00D81523">
        <w:rPr>
          <w:i/>
          <w:iCs/>
          <w:sz w:val="20"/>
          <w:lang w:val="en-GB"/>
        </w:rPr>
        <w:t xml:space="preserve"> de Recherche et </w:t>
      </w:r>
      <w:proofErr w:type="spellStart"/>
      <w:r w:rsidRPr="00D81523">
        <w:rPr>
          <w:i/>
          <w:iCs/>
          <w:sz w:val="20"/>
          <w:lang w:val="en-GB"/>
        </w:rPr>
        <w:t>d'Exploitation</w:t>
      </w:r>
      <w:proofErr w:type="spellEnd"/>
      <w:r w:rsidRPr="00D81523">
        <w:rPr>
          <w:i/>
          <w:iCs/>
          <w:sz w:val="20"/>
          <w:lang w:val="en-GB"/>
        </w:rPr>
        <w:t xml:space="preserve"> </w:t>
      </w:r>
      <w:proofErr w:type="spellStart"/>
      <w:r w:rsidRPr="00D81523">
        <w:rPr>
          <w:i/>
          <w:iCs/>
          <w:sz w:val="20"/>
          <w:lang w:val="en-GB"/>
        </w:rPr>
        <w:t>Minière</w:t>
      </w:r>
      <w:proofErr w:type="spellEnd"/>
      <w:r w:rsidRPr="00D81523">
        <w:rPr>
          <w:i/>
          <w:iCs/>
          <w:sz w:val="20"/>
          <w:lang w:val="en-GB"/>
        </w:rPr>
        <w:t xml:space="preserve"> v Burkina Faso</w:t>
      </w:r>
      <w:r w:rsidRPr="00D81523">
        <w:rPr>
          <w:sz w:val="20"/>
          <w:lang w:val="en-GB"/>
        </w:rPr>
        <w:t>, ICSID Case No ARB 97/1, Award, 19 January 2000, paras 5.39 and 5.44.</w:t>
      </w:r>
      <w:r w:rsidRPr="00D81523">
        <w:rPr>
          <w:i/>
          <w:iCs/>
          <w:sz w:val="20"/>
          <w:lang w:val="en-GB"/>
        </w:rPr>
        <w:t xml:space="preserve"> </w:t>
      </w:r>
      <w:r w:rsidRPr="00D81523">
        <w:rPr>
          <w:sz w:val="20"/>
          <w:lang w:val="en-GB"/>
        </w:rPr>
        <w:t xml:space="preserve">See also </w:t>
      </w:r>
      <w:proofErr w:type="spellStart"/>
      <w:r w:rsidRPr="00D81523">
        <w:rPr>
          <w:i/>
          <w:iCs/>
          <w:sz w:val="20"/>
          <w:lang w:val="en-GB"/>
        </w:rPr>
        <w:t>Petrobart</w:t>
      </w:r>
      <w:proofErr w:type="spellEnd"/>
      <w:r w:rsidRPr="00D81523">
        <w:rPr>
          <w:i/>
          <w:iCs/>
          <w:sz w:val="20"/>
          <w:lang w:val="en-GB"/>
        </w:rPr>
        <w:t xml:space="preserve"> Limited v The Kyrgyz Republic</w:t>
      </w:r>
      <w:r w:rsidRPr="00D81523">
        <w:rPr>
          <w:sz w:val="20"/>
          <w:lang w:val="en-GB"/>
        </w:rPr>
        <w:t xml:space="preserve">, UNCITRAL, Award, 13 February 2003, section 4.1.3.5., para 71; </w:t>
      </w:r>
      <w:proofErr w:type="spellStart"/>
      <w:r w:rsidRPr="00D81523">
        <w:rPr>
          <w:sz w:val="20"/>
          <w:lang w:val="en-GB"/>
        </w:rPr>
        <w:t>cf</w:t>
      </w:r>
      <w:proofErr w:type="spellEnd"/>
      <w:r w:rsidRPr="00D81523">
        <w:rPr>
          <w:sz w:val="20"/>
          <w:lang w:val="en-GB"/>
        </w:rPr>
        <w:t xml:space="preserve"> </w:t>
      </w:r>
      <w:proofErr w:type="spellStart"/>
      <w:r w:rsidRPr="00D81523">
        <w:rPr>
          <w:i/>
          <w:iCs/>
          <w:sz w:val="20"/>
          <w:lang w:val="en-GB"/>
        </w:rPr>
        <w:t>Wintershall</w:t>
      </w:r>
      <w:proofErr w:type="spellEnd"/>
      <w:r w:rsidRPr="00D81523">
        <w:rPr>
          <w:i/>
          <w:iCs/>
          <w:sz w:val="20"/>
          <w:lang w:val="en-GB"/>
        </w:rPr>
        <w:t xml:space="preserve"> AG, International Ocean Resources, Inc (formerly Koch Qatar, Inc) and others v The Government of Qatar</w:t>
      </w:r>
      <w:r w:rsidRPr="00D81523">
        <w:rPr>
          <w:sz w:val="20"/>
          <w:lang w:val="en-GB"/>
        </w:rPr>
        <w:t>, Partial Award on Liability, 5 February 1988, (1989) 28 ILM 795, para 2.</w:t>
      </w:r>
    </w:p>
  </w:footnote>
  <w:footnote w:id="76">
    <w:p w14:paraId="228CC935" w14:textId="78C9ED35" w:rsidR="00B10BDB" w:rsidRPr="00AF1F73" w:rsidRDefault="00B10BDB" w:rsidP="00D12AE4">
      <w:pPr>
        <w:pStyle w:val="FootnoteText"/>
        <w:jc w:val="both"/>
        <w:rPr>
          <w:sz w:val="20"/>
          <w:lang w:val="en-US"/>
        </w:rPr>
      </w:pPr>
      <w:r w:rsidRPr="00AF1F73">
        <w:rPr>
          <w:rStyle w:val="FootnoteReference"/>
          <w:sz w:val="20"/>
        </w:rPr>
        <w:footnoteRef/>
      </w:r>
      <w:r w:rsidRPr="00AF1F73">
        <w:rPr>
          <w:sz w:val="20"/>
        </w:rPr>
        <w:t xml:space="preserve"> </w:t>
      </w:r>
      <w:proofErr w:type="spellStart"/>
      <w:r w:rsidRPr="00AF1F73">
        <w:rPr>
          <w:i/>
          <w:iCs/>
          <w:sz w:val="20"/>
          <w:lang w:val="en-GB"/>
        </w:rPr>
        <w:t>Sandline</w:t>
      </w:r>
      <w:proofErr w:type="spellEnd"/>
      <w:r w:rsidRPr="00AF1F73">
        <w:rPr>
          <w:i/>
          <w:iCs/>
          <w:sz w:val="20"/>
          <w:lang w:val="en-GB"/>
        </w:rPr>
        <w:t xml:space="preserve"> v Papua New Guinea</w:t>
      </w:r>
      <w:r>
        <w:rPr>
          <w:sz w:val="20"/>
          <w:lang w:val="el-GR"/>
        </w:rPr>
        <w:t xml:space="preserve">, </w:t>
      </w:r>
      <w:r>
        <w:rPr>
          <w:sz w:val="20"/>
          <w:lang w:val="en-US"/>
        </w:rPr>
        <w:t>561-63.</w:t>
      </w:r>
    </w:p>
  </w:footnote>
  <w:footnote w:id="77">
    <w:p w14:paraId="7046C4C3" w14:textId="48429899"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Caratube</w:t>
      </w:r>
      <w:proofErr w:type="spellEnd"/>
      <w:r w:rsidRPr="00D81523">
        <w:rPr>
          <w:i/>
          <w:iCs/>
          <w:sz w:val="20"/>
          <w:lang w:val="en-GB"/>
        </w:rPr>
        <w:t xml:space="preserve"> International Oil Company LLP and </w:t>
      </w:r>
      <w:proofErr w:type="spellStart"/>
      <w:r w:rsidRPr="00D81523">
        <w:rPr>
          <w:i/>
          <w:iCs/>
          <w:sz w:val="20"/>
          <w:lang w:val="en-GB"/>
        </w:rPr>
        <w:t>Devincci</w:t>
      </w:r>
      <w:proofErr w:type="spellEnd"/>
      <w:r w:rsidRPr="00D81523">
        <w:rPr>
          <w:i/>
          <w:iCs/>
          <w:sz w:val="20"/>
          <w:lang w:val="en-GB"/>
        </w:rPr>
        <w:t xml:space="preserve"> Salah Hourani v Republic of Kazakhstan</w:t>
      </w:r>
      <w:r w:rsidRPr="00D81523">
        <w:rPr>
          <w:sz w:val="20"/>
          <w:lang w:val="en-GB"/>
        </w:rPr>
        <w:t>, ICSID Case No ARB/13/13, Award, 27 September 2017, para 290.</w:t>
      </w:r>
      <w:r>
        <w:rPr>
          <w:sz w:val="20"/>
          <w:lang w:val="en-GB"/>
        </w:rPr>
        <w:t xml:space="preserve"> In that case international law was relevant both to merits (expropriation) and quantum of damages.</w:t>
      </w:r>
    </w:p>
  </w:footnote>
  <w:footnote w:id="78">
    <w:p w14:paraId="70ABAFBD" w14:textId="77777777" w:rsidR="005075FB" w:rsidRPr="00D81523" w:rsidRDefault="005075FB" w:rsidP="005075FB">
      <w:pPr>
        <w:pStyle w:val="FootnoteText"/>
        <w:jc w:val="both"/>
        <w:rPr>
          <w:sz w:val="20"/>
          <w:lang w:val="en-GB"/>
        </w:rPr>
      </w:pPr>
      <w:r w:rsidRPr="00D81523">
        <w:rPr>
          <w:rStyle w:val="FootnoteReference"/>
          <w:sz w:val="20"/>
          <w:lang w:val="en-GB"/>
        </w:rPr>
        <w:footnoteRef/>
      </w:r>
      <w:r w:rsidRPr="00D81523">
        <w:rPr>
          <w:sz w:val="20"/>
          <w:lang w:val="en-GB"/>
        </w:rPr>
        <w:t xml:space="preserve"> Convention on the settlement of investment disputes between States and nationals of other States (18 March 1965, entered into force 14 October 1966) 575 UNTS 159, Article 42(1).</w:t>
      </w:r>
    </w:p>
  </w:footnote>
  <w:footnote w:id="79">
    <w:p w14:paraId="0E677716" w14:textId="0CD85B81"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Leben</w:t>
      </w:r>
      <w:r>
        <w:rPr>
          <w:sz w:val="20"/>
          <w:lang w:val="en-GB"/>
        </w:rPr>
        <w:t xml:space="preserve"> (n </w:t>
      </w:r>
      <w:r w:rsidR="007167B2">
        <w:rPr>
          <w:sz w:val="20"/>
          <w:lang w:val="en-GB"/>
        </w:rPr>
        <w:t>3</w:t>
      </w:r>
      <w:r>
        <w:rPr>
          <w:sz w:val="20"/>
          <w:lang w:val="en-GB"/>
        </w:rPr>
        <w:t>)</w:t>
      </w:r>
      <w:r w:rsidR="007167B2">
        <w:rPr>
          <w:sz w:val="20"/>
          <w:lang w:val="en-GB"/>
        </w:rPr>
        <w:t>,</w:t>
      </w:r>
      <w:r w:rsidRPr="00D81523">
        <w:rPr>
          <w:sz w:val="20"/>
          <w:lang w:val="en-GB"/>
        </w:rPr>
        <w:t xml:space="preserve"> 344.</w:t>
      </w:r>
    </w:p>
  </w:footnote>
  <w:footnote w:id="80">
    <w:p w14:paraId="460FA167" w14:textId="77777777" w:rsidR="00B10BDB" w:rsidRPr="00895B22" w:rsidRDefault="00B10BDB" w:rsidP="00D12AE4">
      <w:pPr>
        <w:pStyle w:val="FootnoteText"/>
        <w:jc w:val="both"/>
        <w:rPr>
          <w:sz w:val="20"/>
          <w:lang w:val="en-US"/>
        </w:rPr>
      </w:pPr>
      <w:r w:rsidRPr="00895B22">
        <w:rPr>
          <w:rStyle w:val="FootnoteReference"/>
          <w:sz w:val="20"/>
        </w:rPr>
        <w:footnoteRef/>
      </w:r>
      <w:r w:rsidRPr="00895B22">
        <w:rPr>
          <w:sz w:val="20"/>
        </w:rPr>
        <w:t xml:space="preserve"> </w:t>
      </w:r>
      <w:r w:rsidRPr="00895B22">
        <w:rPr>
          <w:i/>
          <w:iCs/>
          <w:sz w:val="20"/>
          <w:lang w:val="en-US"/>
        </w:rPr>
        <w:t>Sapphire v NIOC</w:t>
      </w:r>
      <w:r w:rsidRPr="00895B22">
        <w:rPr>
          <w:sz w:val="20"/>
          <w:lang w:val="en-US"/>
        </w:rPr>
        <w:t>, 171.</w:t>
      </w:r>
    </w:p>
  </w:footnote>
  <w:footnote w:id="81">
    <w:p w14:paraId="61A7D990" w14:textId="0F6C2332"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H </w:t>
      </w:r>
      <w:proofErr w:type="spellStart"/>
      <w:r w:rsidRPr="00D81523">
        <w:rPr>
          <w:sz w:val="20"/>
          <w:lang w:val="en-GB"/>
        </w:rPr>
        <w:t>Flavier</w:t>
      </w:r>
      <w:proofErr w:type="spellEnd"/>
      <w:r w:rsidRPr="00D81523">
        <w:rPr>
          <w:sz w:val="20"/>
          <w:lang w:val="en-GB"/>
        </w:rPr>
        <w:t xml:space="preserve"> and C </w:t>
      </w:r>
      <w:proofErr w:type="spellStart"/>
      <w:r w:rsidRPr="00D81523">
        <w:rPr>
          <w:sz w:val="20"/>
          <w:lang w:val="en-GB"/>
        </w:rPr>
        <w:t>Froge</w:t>
      </w:r>
      <w:proofErr w:type="spellEnd"/>
      <w:r w:rsidRPr="00D81523">
        <w:rPr>
          <w:sz w:val="20"/>
          <w:lang w:val="en-GB"/>
        </w:rPr>
        <w:t xml:space="preserve">, ‘Administrative justice in France: Between singularity and classicism (2016) 2 BRICS Law Journal 80; G </w:t>
      </w:r>
      <w:proofErr w:type="spellStart"/>
      <w:r w:rsidRPr="00D81523">
        <w:rPr>
          <w:sz w:val="20"/>
          <w:lang w:val="en-GB"/>
        </w:rPr>
        <w:t>Langrod</w:t>
      </w:r>
      <w:proofErr w:type="spellEnd"/>
      <w:r w:rsidRPr="00D81523">
        <w:rPr>
          <w:sz w:val="20"/>
          <w:lang w:val="en-GB"/>
        </w:rPr>
        <w:t>, ‘Administrative Contracts: A Comparative Study’ (1955) 4 American Journal of Comparative Law 32.</w:t>
      </w:r>
    </w:p>
  </w:footnote>
  <w:footnote w:id="82">
    <w:p w14:paraId="5E914EFE" w14:textId="75747092"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895B22">
        <w:rPr>
          <w:i/>
          <w:iCs/>
          <w:sz w:val="20"/>
          <w:lang w:val="en-GB"/>
        </w:rPr>
        <w:t xml:space="preserve">Texaco and </w:t>
      </w:r>
      <w:proofErr w:type="spellStart"/>
      <w:r w:rsidRPr="00895B22">
        <w:rPr>
          <w:i/>
          <w:iCs/>
          <w:sz w:val="20"/>
          <w:lang w:val="en-GB"/>
        </w:rPr>
        <w:t>Calasiatic</w:t>
      </w:r>
      <w:proofErr w:type="spellEnd"/>
      <w:r w:rsidRPr="00895B22">
        <w:rPr>
          <w:i/>
          <w:iCs/>
          <w:sz w:val="20"/>
          <w:lang w:val="en-GB"/>
        </w:rPr>
        <w:t xml:space="preserve"> v Libya</w:t>
      </w:r>
      <w:r>
        <w:rPr>
          <w:sz w:val="20"/>
          <w:lang w:val="en-GB"/>
        </w:rPr>
        <w:t xml:space="preserve">, 467-8; </w:t>
      </w:r>
      <w:r w:rsidRPr="00D81523">
        <w:rPr>
          <w:i/>
          <w:iCs/>
          <w:sz w:val="20"/>
          <w:lang w:val="en-GB"/>
        </w:rPr>
        <w:t xml:space="preserve">Mohamed </w:t>
      </w:r>
      <w:proofErr w:type="spellStart"/>
      <w:r w:rsidRPr="00D81523">
        <w:rPr>
          <w:i/>
          <w:iCs/>
          <w:sz w:val="20"/>
          <w:lang w:val="en-GB"/>
        </w:rPr>
        <w:t>Abdulmohsen</w:t>
      </w:r>
      <w:proofErr w:type="spellEnd"/>
      <w:r w:rsidRPr="00D81523">
        <w:rPr>
          <w:i/>
          <w:iCs/>
          <w:sz w:val="20"/>
          <w:lang w:val="en-GB"/>
        </w:rPr>
        <w:t xml:space="preserve"> Al-Kharafi &amp; Sons Co v The Government of the State of Libya, The Ministry of Economy in the State of Libya, The General Authority for Investment Promotion and Privatization Affairs (formerly the General Authority for Investment and Ownership), Ministry of Finance in Libya, The Libyan Investment Authority</w:t>
      </w:r>
      <w:r w:rsidRPr="00D81523">
        <w:rPr>
          <w:sz w:val="20"/>
          <w:lang w:val="en-GB"/>
        </w:rPr>
        <w:t>, Final Award, 22 March 2013, para 14.4.3.</w:t>
      </w:r>
    </w:p>
  </w:footnote>
  <w:footnote w:id="83">
    <w:p w14:paraId="5E8F44F2" w14:textId="4D05222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 </w:t>
      </w:r>
      <w:r>
        <w:rPr>
          <w:sz w:val="20"/>
          <w:lang w:val="en-GB"/>
        </w:rPr>
        <w:t xml:space="preserve">also </w:t>
      </w:r>
      <w:proofErr w:type="spellStart"/>
      <w:r w:rsidRPr="00D81523">
        <w:rPr>
          <w:sz w:val="20"/>
          <w:lang w:val="en-GB"/>
        </w:rPr>
        <w:t>Alvik</w:t>
      </w:r>
      <w:proofErr w:type="spellEnd"/>
      <w:r w:rsidRPr="00D81523">
        <w:rPr>
          <w:sz w:val="20"/>
          <w:lang w:val="en-GB"/>
        </w:rPr>
        <w:t xml:space="preserve"> (</w:t>
      </w:r>
      <w:r>
        <w:rPr>
          <w:sz w:val="20"/>
          <w:lang w:val="en-GB"/>
        </w:rPr>
        <w:t xml:space="preserve">n </w:t>
      </w:r>
      <w:r w:rsidR="007167B2">
        <w:rPr>
          <w:sz w:val="20"/>
          <w:lang w:val="en-GB"/>
        </w:rPr>
        <w:t>23</w:t>
      </w:r>
      <w:r w:rsidRPr="00D81523">
        <w:rPr>
          <w:sz w:val="20"/>
          <w:lang w:val="en-GB"/>
        </w:rPr>
        <w:t>) 288</w:t>
      </w:r>
      <w:r>
        <w:rPr>
          <w:sz w:val="20"/>
          <w:lang w:val="en-GB"/>
        </w:rPr>
        <w:t>.</w:t>
      </w:r>
    </w:p>
  </w:footnote>
  <w:footnote w:id="84">
    <w:p w14:paraId="35E29133"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J </w:t>
      </w:r>
      <w:proofErr w:type="spellStart"/>
      <w:r w:rsidRPr="00D81523">
        <w:rPr>
          <w:sz w:val="20"/>
          <w:lang w:val="en-GB"/>
        </w:rPr>
        <w:t>Linarelli</w:t>
      </w:r>
      <w:proofErr w:type="spellEnd"/>
      <w:r w:rsidRPr="00D81523">
        <w:rPr>
          <w:sz w:val="20"/>
          <w:lang w:val="en-GB"/>
        </w:rPr>
        <w:t xml:space="preserve">, M Salomon and M </w:t>
      </w:r>
      <w:proofErr w:type="spellStart"/>
      <w:r w:rsidRPr="00D81523">
        <w:rPr>
          <w:sz w:val="20"/>
          <w:lang w:val="en-GB"/>
        </w:rPr>
        <w:t>Sornarajah</w:t>
      </w:r>
      <w:proofErr w:type="spellEnd"/>
      <w:r w:rsidRPr="00D81523">
        <w:rPr>
          <w:sz w:val="20"/>
          <w:lang w:val="en-GB"/>
        </w:rPr>
        <w:t xml:space="preserve">, </w:t>
      </w:r>
      <w:r w:rsidRPr="00D81523">
        <w:rPr>
          <w:i/>
          <w:iCs/>
          <w:sz w:val="20"/>
          <w:lang w:val="en-GB"/>
        </w:rPr>
        <w:t>The Misery of International Law: Confrontations of Injustice in the Global Economy</w:t>
      </w:r>
      <w:r w:rsidRPr="00D81523">
        <w:rPr>
          <w:sz w:val="20"/>
          <w:lang w:val="en-GB"/>
        </w:rPr>
        <w:t xml:space="preserve"> (OUP, Oxford 2018) 160; see also M </w:t>
      </w:r>
      <w:proofErr w:type="spellStart"/>
      <w:r w:rsidRPr="00D81523">
        <w:rPr>
          <w:sz w:val="20"/>
          <w:lang w:val="en-GB"/>
        </w:rPr>
        <w:t>Sornarajah</w:t>
      </w:r>
      <w:proofErr w:type="spellEnd"/>
      <w:r w:rsidRPr="00D81523">
        <w:rPr>
          <w:sz w:val="20"/>
          <w:lang w:val="en-GB"/>
        </w:rPr>
        <w:t xml:space="preserve">, </w:t>
      </w:r>
      <w:r w:rsidRPr="00D81523">
        <w:rPr>
          <w:i/>
          <w:iCs/>
          <w:sz w:val="20"/>
          <w:lang w:val="en-GB"/>
        </w:rPr>
        <w:t>Resistance and Change in the International Law on Foreign Investment</w:t>
      </w:r>
      <w:r w:rsidRPr="00D81523">
        <w:rPr>
          <w:sz w:val="20"/>
          <w:lang w:val="en-GB"/>
        </w:rPr>
        <w:t xml:space="preserve"> (CUP, Cambridge 2015).</w:t>
      </w:r>
    </w:p>
  </w:footnote>
  <w:footnote w:id="85">
    <w:p w14:paraId="4FE92BF7"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P Weil, ‘The State, the Foreign Investor, and International Law: The No Longer Stormy Relationship of   Ménage À Trois’ (2000) 15 ICSID Review 401, 407</w:t>
      </w:r>
      <w:r>
        <w:rPr>
          <w:sz w:val="20"/>
          <w:lang w:val="en-GB"/>
        </w:rPr>
        <w:t>.</w:t>
      </w:r>
    </w:p>
  </w:footnote>
  <w:footnote w:id="86">
    <w:p w14:paraId="6BBBE674" w14:textId="32229B1C"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841132">
        <w:rPr>
          <w:sz w:val="20"/>
          <w:lang w:val="en-GB"/>
        </w:rPr>
        <w:t>It is another matter whether the investment treaty system radically enhanced the protection that foreign investors already enjoyed under contracts providing for international arbitration</w:t>
      </w:r>
      <w:r w:rsidR="002622C4">
        <w:rPr>
          <w:sz w:val="20"/>
          <w:lang w:val="en-GB"/>
        </w:rPr>
        <w:t>. See</w:t>
      </w:r>
      <w:r>
        <w:rPr>
          <w:sz w:val="20"/>
          <w:lang w:val="en-GB"/>
        </w:rPr>
        <w:t xml:space="preserve"> </w:t>
      </w:r>
      <w:r w:rsidRPr="00D81523">
        <w:rPr>
          <w:sz w:val="20"/>
          <w:lang w:val="en-GB"/>
        </w:rPr>
        <w:t xml:space="preserve">J Webb </w:t>
      </w:r>
      <w:proofErr w:type="spellStart"/>
      <w:r w:rsidRPr="00D81523">
        <w:rPr>
          <w:sz w:val="20"/>
          <w:lang w:val="en-GB"/>
        </w:rPr>
        <w:t>Yackee</w:t>
      </w:r>
      <w:proofErr w:type="spellEnd"/>
      <w:r w:rsidRPr="00D81523">
        <w:rPr>
          <w:sz w:val="20"/>
          <w:lang w:val="en-GB"/>
        </w:rPr>
        <w:t xml:space="preserve">, ‘Pacta Sunt </w:t>
      </w:r>
      <w:proofErr w:type="spellStart"/>
      <w:r w:rsidRPr="00D81523">
        <w:rPr>
          <w:sz w:val="20"/>
          <w:lang w:val="en-GB"/>
        </w:rPr>
        <w:t>Servanda</w:t>
      </w:r>
      <w:proofErr w:type="spellEnd"/>
      <w:r w:rsidRPr="00D81523">
        <w:rPr>
          <w:sz w:val="20"/>
          <w:lang w:val="en-GB"/>
        </w:rPr>
        <w:t xml:space="preserve"> and State Promises to Foreign Investors Before Bilateral Investment</w:t>
      </w:r>
      <w:r w:rsidR="002622C4">
        <w:rPr>
          <w:sz w:val="20"/>
          <w:lang w:val="en-GB"/>
        </w:rPr>
        <w:t xml:space="preserve"> </w:t>
      </w:r>
      <w:r w:rsidRPr="00D81523">
        <w:rPr>
          <w:sz w:val="20"/>
          <w:lang w:val="en-GB"/>
        </w:rPr>
        <w:t>Treaties: Myth and Reality’ (2008) 32 Fordham International Law 1551-1552.</w:t>
      </w:r>
      <w:r>
        <w:rPr>
          <w:sz w:val="20"/>
          <w:lang w:val="en-GB"/>
        </w:rPr>
        <w:t xml:space="preserve"> On the ‘pre-history’ of international investment law see </w:t>
      </w:r>
      <w:r w:rsidRPr="00854013">
        <w:rPr>
          <w:sz w:val="20"/>
          <w:lang w:val="en-GB"/>
        </w:rPr>
        <w:t xml:space="preserve">J Hepburn, M </w:t>
      </w:r>
      <w:proofErr w:type="spellStart"/>
      <w:r w:rsidRPr="00854013">
        <w:rPr>
          <w:sz w:val="20"/>
          <w:lang w:val="en-GB"/>
        </w:rPr>
        <w:t>Paparinskis</w:t>
      </w:r>
      <w:proofErr w:type="spellEnd"/>
      <w:r w:rsidRPr="00854013">
        <w:rPr>
          <w:sz w:val="20"/>
          <w:lang w:val="en-GB"/>
        </w:rPr>
        <w:t xml:space="preserve">, L N </w:t>
      </w:r>
      <w:proofErr w:type="spellStart"/>
      <w:r w:rsidRPr="00854013">
        <w:rPr>
          <w:sz w:val="20"/>
          <w:lang w:val="en-GB"/>
        </w:rPr>
        <w:t>Skovgaard</w:t>
      </w:r>
      <w:proofErr w:type="spellEnd"/>
      <w:r w:rsidRPr="00854013">
        <w:rPr>
          <w:sz w:val="20"/>
          <w:lang w:val="en-GB"/>
        </w:rPr>
        <w:t xml:space="preserve"> Poulsen,</w:t>
      </w:r>
      <w:r>
        <w:rPr>
          <w:sz w:val="20"/>
          <w:lang w:val="en-GB"/>
        </w:rPr>
        <w:t xml:space="preserve"> </w:t>
      </w:r>
      <w:r w:rsidRPr="00854013">
        <w:rPr>
          <w:sz w:val="20"/>
          <w:lang w:val="en-GB"/>
        </w:rPr>
        <w:t>and M Waibel</w:t>
      </w:r>
      <w:r>
        <w:rPr>
          <w:sz w:val="20"/>
          <w:lang w:val="en-GB"/>
        </w:rPr>
        <w:t>, ‘Investment Law before Arbitration’ (2020) 23 EJIL 929.</w:t>
      </w:r>
    </w:p>
  </w:footnote>
  <w:footnote w:id="87">
    <w:p w14:paraId="4E5F61BC" w14:textId="74A55756" w:rsidR="00B10BDB" w:rsidRPr="00B279E2" w:rsidRDefault="00B10BDB">
      <w:pPr>
        <w:pStyle w:val="FootnoteText"/>
        <w:rPr>
          <w:sz w:val="20"/>
          <w:lang w:val="en-GB"/>
        </w:rPr>
      </w:pPr>
      <w:r w:rsidRPr="00B279E2">
        <w:rPr>
          <w:rStyle w:val="FootnoteReference"/>
          <w:sz w:val="20"/>
          <w:lang w:val="en-GB"/>
        </w:rPr>
        <w:footnoteRef/>
      </w:r>
      <w:r w:rsidRPr="00B279E2">
        <w:rPr>
          <w:sz w:val="20"/>
          <w:lang w:val="en-GB"/>
        </w:rPr>
        <w:t xml:space="preserve"> See also </w:t>
      </w:r>
      <w:r w:rsidRPr="00B279E2">
        <w:rPr>
          <w:b/>
          <w:bCs/>
          <w:sz w:val="20"/>
          <w:lang w:val="en-GB"/>
        </w:rPr>
        <w:t>Section I</w:t>
      </w:r>
      <w:r w:rsidR="002622C4">
        <w:rPr>
          <w:b/>
          <w:bCs/>
          <w:sz w:val="20"/>
          <w:lang w:val="en-GB"/>
        </w:rPr>
        <w:t>.</w:t>
      </w:r>
      <w:r w:rsidRPr="00B279E2">
        <w:rPr>
          <w:b/>
          <w:bCs/>
          <w:sz w:val="20"/>
          <w:lang w:val="en-GB"/>
        </w:rPr>
        <w:t xml:space="preserve"> </w:t>
      </w:r>
      <w:r w:rsidRPr="00B279E2">
        <w:rPr>
          <w:sz w:val="20"/>
          <w:lang w:val="en-GB"/>
        </w:rPr>
        <w:t>above.</w:t>
      </w:r>
    </w:p>
  </w:footnote>
  <w:footnote w:id="88">
    <w:p w14:paraId="7DB2EA3A" w14:textId="0567C00E"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00EE6700">
        <w:rPr>
          <w:sz w:val="20"/>
          <w:lang w:val="en-GB"/>
        </w:rPr>
        <w:t>Cf</w:t>
      </w:r>
      <w:proofErr w:type="spellEnd"/>
      <w:r w:rsidR="007167B2" w:rsidRPr="007167B2">
        <w:rPr>
          <w:sz w:val="20"/>
          <w:lang w:val="en-GB"/>
        </w:rPr>
        <w:t xml:space="preserve"> </w:t>
      </w:r>
      <w:r w:rsidR="007167B2" w:rsidRPr="00D81523">
        <w:rPr>
          <w:sz w:val="20"/>
          <w:lang w:val="en-GB"/>
        </w:rPr>
        <w:t xml:space="preserve">J </w:t>
      </w:r>
      <w:proofErr w:type="spellStart"/>
      <w:r w:rsidR="007167B2" w:rsidRPr="00D81523">
        <w:rPr>
          <w:sz w:val="20"/>
          <w:lang w:val="en-GB"/>
        </w:rPr>
        <w:t>Paulsson</w:t>
      </w:r>
      <w:proofErr w:type="spellEnd"/>
      <w:r w:rsidR="007167B2" w:rsidRPr="00D81523">
        <w:rPr>
          <w:sz w:val="20"/>
          <w:lang w:val="en-GB"/>
        </w:rPr>
        <w:t>, ‘Arbitration Unbound: Award Detached from the Law of Its Country of Origin’ (1981) 30 ILCQ 358</w:t>
      </w:r>
      <w:r w:rsidRPr="00D81523">
        <w:rPr>
          <w:sz w:val="20"/>
          <w:lang w:val="en-GB"/>
        </w:rPr>
        <w:t xml:space="preserve">; W W Park, ‘The </w:t>
      </w:r>
      <w:r w:rsidRPr="00D81523">
        <w:rPr>
          <w:i/>
          <w:iCs/>
          <w:sz w:val="20"/>
          <w:lang w:val="en-GB"/>
        </w:rPr>
        <w:t xml:space="preserve">Lex Loci </w:t>
      </w:r>
      <w:proofErr w:type="spellStart"/>
      <w:r w:rsidRPr="00D81523">
        <w:rPr>
          <w:i/>
          <w:iCs/>
          <w:sz w:val="20"/>
          <w:lang w:val="en-GB"/>
        </w:rPr>
        <w:t>Arbitri</w:t>
      </w:r>
      <w:proofErr w:type="spellEnd"/>
      <w:r w:rsidRPr="00D81523">
        <w:rPr>
          <w:sz w:val="20"/>
          <w:lang w:val="en-GB"/>
        </w:rPr>
        <w:t xml:space="preserve"> and International Commercial Arbitration’ (1983) 32 ICLQ 21.</w:t>
      </w:r>
    </w:p>
  </w:footnote>
  <w:footnote w:id="89">
    <w:p w14:paraId="0C7A7F82" w14:textId="0D5E322D"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Quoted in </w:t>
      </w:r>
      <w:r w:rsidRPr="00D81523">
        <w:rPr>
          <w:i/>
          <w:iCs/>
          <w:sz w:val="20"/>
          <w:lang w:val="en-GB"/>
        </w:rPr>
        <w:t>An industrial and agricultural investments company established by a convention between two Arab states to do business in the territory of one of them v The Minister of Economy and Finance in the host state</w:t>
      </w:r>
      <w:r w:rsidRPr="00D81523">
        <w:rPr>
          <w:sz w:val="20"/>
          <w:lang w:val="en-GB"/>
        </w:rPr>
        <w:t xml:space="preserve">, Award, CRCICA Case No 112/1998, 29 September 1998 in M E I </w:t>
      </w:r>
      <w:proofErr w:type="spellStart"/>
      <w:r w:rsidRPr="00D81523">
        <w:rPr>
          <w:sz w:val="20"/>
          <w:lang w:val="en-GB"/>
        </w:rPr>
        <w:t>Alam</w:t>
      </w:r>
      <w:proofErr w:type="spellEnd"/>
      <w:r w:rsidRPr="00D81523">
        <w:rPr>
          <w:sz w:val="20"/>
          <w:lang w:val="en-GB"/>
        </w:rPr>
        <w:t xml:space="preserve"> </w:t>
      </w:r>
      <w:proofErr w:type="spellStart"/>
      <w:r w:rsidRPr="00D81523">
        <w:rPr>
          <w:sz w:val="20"/>
          <w:lang w:val="en-GB"/>
        </w:rPr>
        <w:t>Eldin</w:t>
      </w:r>
      <w:proofErr w:type="spellEnd"/>
      <w:r w:rsidRPr="00D81523">
        <w:rPr>
          <w:sz w:val="20"/>
          <w:lang w:val="en-GB"/>
        </w:rPr>
        <w:t xml:space="preserve"> (ed), Arbitral Awards of the Cairo Regional Centre for International Commercial Arbitration II, (Kluwer Law International, The Hague 2003) 147-154, 148.</w:t>
      </w:r>
      <w:r w:rsidRPr="00520B2B">
        <w:rPr>
          <w:i/>
          <w:iCs/>
          <w:sz w:val="20"/>
          <w:lang w:val="en-GB"/>
        </w:rPr>
        <w:t xml:space="preserve"> </w:t>
      </w:r>
      <w:r>
        <w:rPr>
          <w:sz w:val="20"/>
          <w:lang w:val="en-GB"/>
        </w:rPr>
        <w:t xml:space="preserve">See also </w:t>
      </w:r>
      <w:r w:rsidRPr="00511DB2">
        <w:rPr>
          <w:i/>
          <w:iCs/>
          <w:sz w:val="20"/>
          <w:lang w:val="en-GB"/>
        </w:rPr>
        <w:t>Aramco v Saudi Arabia</w:t>
      </w:r>
      <w:r w:rsidRPr="00D81523">
        <w:rPr>
          <w:sz w:val="20"/>
          <w:lang w:val="en-GB"/>
        </w:rPr>
        <w:t>, 156.</w:t>
      </w:r>
    </w:p>
  </w:footnote>
  <w:footnote w:id="90">
    <w:p w14:paraId="28B18251" w14:textId="484169EA"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sz w:val="20"/>
          <w:lang w:val="en-GB"/>
        </w:rPr>
        <w:t>Lalive</w:t>
      </w:r>
      <w:proofErr w:type="spellEnd"/>
      <w:r>
        <w:rPr>
          <w:sz w:val="20"/>
          <w:lang w:val="en-GB"/>
        </w:rPr>
        <w:t xml:space="preserve"> (n </w:t>
      </w:r>
      <w:r w:rsidR="007167B2">
        <w:rPr>
          <w:sz w:val="20"/>
          <w:lang w:val="en-GB"/>
        </w:rPr>
        <w:t>2</w:t>
      </w:r>
      <w:r>
        <w:rPr>
          <w:sz w:val="20"/>
          <w:lang w:val="en-GB"/>
        </w:rPr>
        <w:t>)</w:t>
      </w:r>
      <w:r w:rsidRPr="00D81523">
        <w:rPr>
          <w:sz w:val="20"/>
          <w:lang w:val="en-GB"/>
        </w:rPr>
        <w:t xml:space="preserve"> 1000.</w:t>
      </w:r>
    </w:p>
  </w:footnote>
  <w:footnote w:id="91">
    <w:p w14:paraId="61FBF782" w14:textId="3BB24079"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 xml:space="preserve">Government of the Province of East Kalimantan v PT </w:t>
      </w:r>
      <w:proofErr w:type="spellStart"/>
      <w:r w:rsidRPr="00D81523">
        <w:rPr>
          <w:i/>
          <w:iCs/>
          <w:sz w:val="20"/>
          <w:lang w:val="en-GB"/>
        </w:rPr>
        <w:t>Kaltim</w:t>
      </w:r>
      <w:proofErr w:type="spellEnd"/>
      <w:r w:rsidRPr="00D81523">
        <w:rPr>
          <w:i/>
          <w:iCs/>
          <w:sz w:val="20"/>
          <w:lang w:val="en-GB"/>
        </w:rPr>
        <w:t xml:space="preserve"> Prima Coal and others</w:t>
      </w:r>
      <w:r w:rsidRPr="00D81523">
        <w:rPr>
          <w:sz w:val="20"/>
          <w:lang w:val="en-GB"/>
        </w:rPr>
        <w:t>, ICSID Case No ARB/07/3</w:t>
      </w:r>
      <w:r>
        <w:rPr>
          <w:sz w:val="20"/>
          <w:lang w:val="en-GB"/>
        </w:rPr>
        <w:t>,</w:t>
      </w:r>
      <w:r w:rsidRPr="00D81523">
        <w:rPr>
          <w:sz w:val="20"/>
          <w:lang w:val="en-GB"/>
        </w:rPr>
        <w:t xml:space="preserve"> Award on Jurisdiction, 28 December 2009, para 14</w:t>
      </w:r>
      <w:r>
        <w:rPr>
          <w:sz w:val="20"/>
          <w:lang w:val="en-GB"/>
        </w:rPr>
        <w:t>.</w:t>
      </w:r>
    </w:p>
  </w:footnote>
  <w:footnote w:id="92">
    <w:p w14:paraId="17677EC0" w14:textId="5C412B0E"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Ibid.</w:t>
      </w:r>
    </w:p>
  </w:footnote>
  <w:footnote w:id="93">
    <w:p w14:paraId="73E57433" w14:textId="1EA980D4"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Pr>
          <w:sz w:val="20"/>
          <w:lang w:val="en-GB"/>
        </w:rPr>
        <w:t xml:space="preserve">M </w:t>
      </w:r>
      <w:proofErr w:type="spellStart"/>
      <w:r>
        <w:rPr>
          <w:sz w:val="20"/>
          <w:lang w:val="en-GB"/>
        </w:rPr>
        <w:t>Dekastros</w:t>
      </w:r>
      <w:proofErr w:type="spellEnd"/>
      <w:r>
        <w:rPr>
          <w:sz w:val="20"/>
          <w:lang w:val="en-GB"/>
        </w:rPr>
        <w:t xml:space="preserve">, ‘Portfolio Investment: Reconceptualising the Notion of Investment under the ICSID Convention’ (2013) 14 Journal of World Investment and Trade 286, 290-293. </w:t>
      </w:r>
      <w:r w:rsidRPr="00EF1E73">
        <w:rPr>
          <w:sz w:val="20"/>
          <w:lang w:val="en-GB"/>
        </w:rPr>
        <w:t>This is often described as the ‘double-barrelled test’</w:t>
      </w:r>
      <w:r>
        <w:rPr>
          <w:sz w:val="20"/>
          <w:lang w:val="el-GR"/>
        </w:rPr>
        <w:t>.</w:t>
      </w:r>
      <w:r w:rsidRPr="00EF1E73">
        <w:rPr>
          <w:sz w:val="20"/>
          <w:lang w:val="en-GB"/>
        </w:rPr>
        <w:t xml:space="preserve"> </w:t>
      </w:r>
      <w:r>
        <w:rPr>
          <w:sz w:val="20"/>
          <w:lang w:val="el-GR"/>
        </w:rPr>
        <w:t>Τ</w:t>
      </w:r>
      <w:r w:rsidRPr="00EF1E73">
        <w:rPr>
          <w:sz w:val="20"/>
          <w:lang w:val="en-GB"/>
        </w:rPr>
        <w:t xml:space="preserve">he relevant requirements are to be found in Article 25 of the </w:t>
      </w:r>
      <w:r w:rsidRPr="007A5C12">
        <w:rPr>
          <w:sz w:val="20"/>
          <w:lang w:val="en-GB"/>
        </w:rPr>
        <w:t>Convention on the settlement of investment disputes between States and nationals of other States (the ‘ICSID Convention’) (adopted 18 March 1965, entered into force 14 October 1966) 575 UNTS 159</w:t>
      </w:r>
      <w:r>
        <w:rPr>
          <w:sz w:val="20"/>
          <w:lang w:val="en-GB"/>
        </w:rPr>
        <w:t xml:space="preserve">. See generally C H </w:t>
      </w:r>
      <w:proofErr w:type="spellStart"/>
      <w:r>
        <w:rPr>
          <w:sz w:val="20"/>
          <w:lang w:val="en-GB"/>
        </w:rPr>
        <w:t>Shreuer</w:t>
      </w:r>
      <w:proofErr w:type="spellEnd"/>
      <w:r>
        <w:rPr>
          <w:sz w:val="20"/>
          <w:lang w:val="en-GB"/>
        </w:rPr>
        <w:t xml:space="preserve">, L </w:t>
      </w:r>
      <w:proofErr w:type="spellStart"/>
      <w:r>
        <w:rPr>
          <w:sz w:val="20"/>
          <w:lang w:val="en-GB"/>
        </w:rPr>
        <w:t>Malintoppi</w:t>
      </w:r>
      <w:proofErr w:type="spellEnd"/>
      <w:r>
        <w:rPr>
          <w:sz w:val="20"/>
          <w:lang w:val="en-GB"/>
        </w:rPr>
        <w:t xml:space="preserve">, A </w:t>
      </w:r>
      <w:proofErr w:type="spellStart"/>
      <w:r>
        <w:rPr>
          <w:sz w:val="20"/>
          <w:lang w:val="en-GB"/>
        </w:rPr>
        <w:t>Reinisch</w:t>
      </w:r>
      <w:proofErr w:type="spellEnd"/>
      <w:r>
        <w:rPr>
          <w:sz w:val="20"/>
          <w:lang w:val="en-GB"/>
        </w:rPr>
        <w:t xml:space="preserve"> and A Sinclair, </w:t>
      </w:r>
      <w:r w:rsidRPr="008868B2">
        <w:rPr>
          <w:i/>
          <w:iCs/>
          <w:sz w:val="20"/>
          <w:lang w:val="en-GB"/>
        </w:rPr>
        <w:t>The ICSID Convention: A Commentary</w:t>
      </w:r>
      <w:r>
        <w:rPr>
          <w:sz w:val="20"/>
          <w:lang w:val="en-GB"/>
        </w:rPr>
        <w:t xml:space="preserve"> (2</w:t>
      </w:r>
      <w:r w:rsidRPr="008868B2">
        <w:rPr>
          <w:sz w:val="20"/>
          <w:vertAlign w:val="superscript"/>
          <w:lang w:val="en-GB"/>
        </w:rPr>
        <w:t>nd</w:t>
      </w:r>
      <w:r>
        <w:rPr>
          <w:sz w:val="20"/>
          <w:lang w:val="en-GB"/>
        </w:rPr>
        <w:t xml:space="preserve"> ed, CUP, Cambridge 2009) 71-341.</w:t>
      </w:r>
    </w:p>
  </w:footnote>
  <w:footnote w:id="94">
    <w:p w14:paraId="6249B45A" w14:textId="30497A5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 xml:space="preserve">Government of the Province of East Kalimantan v PT </w:t>
      </w:r>
      <w:proofErr w:type="spellStart"/>
      <w:r w:rsidRPr="00D81523">
        <w:rPr>
          <w:i/>
          <w:iCs/>
          <w:sz w:val="20"/>
          <w:lang w:val="en-GB"/>
        </w:rPr>
        <w:t>Kaltim</w:t>
      </w:r>
      <w:proofErr w:type="spellEnd"/>
      <w:r w:rsidRPr="00D81523">
        <w:rPr>
          <w:i/>
          <w:iCs/>
          <w:sz w:val="20"/>
          <w:lang w:val="en-GB"/>
        </w:rPr>
        <w:t xml:space="preserve"> Prima Coal and others</w:t>
      </w:r>
      <w:r w:rsidRPr="00D81523">
        <w:rPr>
          <w:sz w:val="20"/>
          <w:lang w:val="en-GB"/>
        </w:rPr>
        <w:t>, ICSID Case No ARB/07/3</w:t>
      </w:r>
      <w:r>
        <w:rPr>
          <w:sz w:val="20"/>
          <w:lang w:val="en-GB"/>
        </w:rPr>
        <w:t>,</w:t>
      </w:r>
      <w:r w:rsidRPr="00D81523">
        <w:rPr>
          <w:sz w:val="20"/>
          <w:lang w:val="en-GB"/>
        </w:rPr>
        <w:t xml:space="preserve"> Award on Jurisdiction, 28 December 2009, para 162</w:t>
      </w:r>
      <w:r>
        <w:rPr>
          <w:sz w:val="20"/>
          <w:lang w:val="en-GB"/>
        </w:rPr>
        <w:t>.</w:t>
      </w:r>
    </w:p>
  </w:footnote>
  <w:footnote w:id="95">
    <w:p w14:paraId="69EBF16D" w14:textId="4FF52A72"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Ibid, para 163.</w:t>
      </w:r>
    </w:p>
  </w:footnote>
  <w:footnote w:id="96">
    <w:p w14:paraId="66C8FE4F" w14:textId="76B224EC"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Ibid, para 164.</w:t>
      </w:r>
    </w:p>
  </w:footnote>
  <w:footnote w:id="97">
    <w:p w14:paraId="533077DE" w14:textId="75790338" w:rsidR="00B10BDB" w:rsidRPr="00E73B55" w:rsidRDefault="00B10BDB" w:rsidP="00D12AE4">
      <w:pPr>
        <w:pStyle w:val="FootnoteText"/>
        <w:jc w:val="both"/>
        <w:rPr>
          <w:sz w:val="20"/>
          <w:lang w:val="en-GB"/>
        </w:rPr>
      </w:pPr>
      <w:r w:rsidRPr="00E73B55">
        <w:rPr>
          <w:rStyle w:val="FootnoteReference"/>
          <w:sz w:val="20"/>
          <w:lang w:val="en-GB"/>
        </w:rPr>
        <w:footnoteRef/>
      </w:r>
      <w:r w:rsidRPr="00E73B55">
        <w:rPr>
          <w:sz w:val="20"/>
          <w:lang w:val="en-GB"/>
        </w:rPr>
        <w:t xml:space="preserve"> Ibid, para 166 (emphasis added).</w:t>
      </w:r>
    </w:p>
  </w:footnote>
  <w:footnote w:id="98">
    <w:p w14:paraId="153D621E" w14:textId="101022C4" w:rsidR="00B10BDB" w:rsidRPr="00E73B55" w:rsidRDefault="00B10BDB" w:rsidP="00D12AE4">
      <w:pPr>
        <w:pStyle w:val="FootnoteText"/>
        <w:jc w:val="both"/>
        <w:rPr>
          <w:sz w:val="20"/>
          <w:lang w:val="en-GB"/>
        </w:rPr>
      </w:pPr>
      <w:r w:rsidRPr="00E73B55">
        <w:rPr>
          <w:rStyle w:val="FootnoteReference"/>
          <w:sz w:val="20"/>
          <w:lang w:val="en-GB"/>
        </w:rPr>
        <w:footnoteRef/>
      </w:r>
      <w:r w:rsidRPr="00E73B55">
        <w:rPr>
          <w:sz w:val="20"/>
          <w:lang w:val="en-GB"/>
        </w:rPr>
        <w:t xml:space="preserve"> Ibid, paras 167-168.</w:t>
      </w:r>
    </w:p>
  </w:footnote>
  <w:footnote w:id="99">
    <w:p w14:paraId="47467754" w14:textId="43B6755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Ibid, paras 177-185.</w:t>
      </w:r>
    </w:p>
  </w:footnote>
  <w:footnote w:id="100">
    <w:p w14:paraId="411560CD" w14:textId="1654C630"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Ibid, paras 186-202.</w:t>
      </w:r>
    </w:p>
  </w:footnote>
  <w:footnote w:id="101">
    <w:p w14:paraId="170FBE12" w14:textId="1C19160E"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Ibid para 219.</w:t>
      </w:r>
    </w:p>
  </w:footnote>
  <w:footnote w:id="102">
    <w:p w14:paraId="6BEA2AD4" w14:textId="77777777" w:rsidR="00B10BDB" w:rsidRPr="00E73B55" w:rsidRDefault="00B10BDB" w:rsidP="00D12AE4">
      <w:pPr>
        <w:pStyle w:val="FootnoteText"/>
        <w:jc w:val="both"/>
        <w:rPr>
          <w:sz w:val="20"/>
          <w:lang w:val="en-US"/>
        </w:rPr>
      </w:pPr>
      <w:r w:rsidRPr="00E73B55">
        <w:rPr>
          <w:rStyle w:val="FootnoteReference"/>
          <w:sz w:val="20"/>
        </w:rPr>
        <w:footnoteRef/>
      </w:r>
      <w:r w:rsidRPr="00E73B55">
        <w:rPr>
          <w:sz w:val="20"/>
        </w:rPr>
        <w:t xml:space="preserve"> </w:t>
      </w:r>
      <w:r w:rsidRPr="00E73B55">
        <w:rPr>
          <w:sz w:val="20"/>
          <w:lang w:val="en-GB"/>
        </w:rPr>
        <w:t xml:space="preserve">See M </w:t>
      </w:r>
      <w:proofErr w:type="spellStart"/>
      <w:r w:rsidRPr="00E73B55">
        <w:rPr>
          <w:sz w:val="20"/>
          <w:lang w:val="en-GB"/>
        </w:rPr>
        <w:t>Potesta</w:t>
      </w:r>
      <w:proofErr w:type="spellEnd"/>
      <w:r w:rsidRPr="00E73B55">
        <w:rPr>
          <w:sz w:val="20"/>
          <w:lang w:val="en-GB"/>
        </w:rPr>
        <w:t>, ‘The Interpretation of Consent to ICSID Arbitration Contained in Domestic Investment Laws’ (2011) 27 Arbitration International 149</w:t>
      </w:r>
      <w:r>
        <w:rPr>
          <w:sz w:val="20"/>
          <w:lang w:val="en-GB"/>
        </w:rPr>
        <w:t>.</w:t>
      </w:r>
    </w:p>
  </w:footnote>
  <w:footnote w:id="103">
    <w:p w14:paraId="117A0978" w14:textId="1C123A66"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 xml:space="preserve">Mobil Corporation, Venezuela Holdings, BV, Mobil Cerro Negro Holding, Ltd, Mobil </w:t>
      </w:r>
      <w:proofErr w:type="spellStart"/>
      <w:r w:rsidRPr="00D81523">
        <w:rPr>
          <w:i/>
          <w:iCs/>
          <w:sz w:val="20"/>
          <w:lang w:val="en-GB"/>
        </w:rPr>
        <w:t>Venezolana</w:t>
      </w:r>
      <w:proofErr w:type="spellEnd"/>
      <w:r w:rsidRPr="00D81523">
        <w:rPr>
          <w:i/>
          <w:iCs/>
          <w:sz w:val="20"/>
          <w:lang w:val="en-GB"/>
        </w:rPr>
        <w:t xml:space="preserve"> de </w:t>
      </w:r>
      <w:proofErr w:type="spellStart"/>
      <w:r w:rsidRPr="00D81523">
        <w:rPr>
          <w:i/>
          <w:iCs/>
          <w:sz w:val="20"/>
          <w:lang w:val="en-GB"/>
        </w:rPr>
        <w:t>Petróleos</w:t>
      </w:r>
      <w:proofErr w:type="spellEnd"/>
      <w:r w:rsidRPr="00D81523">
        <w:rPr>
          <w:i/>
          <w:iCs/>
          <w:sz w:val="20"/>
          <w:lang w:val="en-GB"/>
        </w:rPr>
        <w:t xml:space="preserve"> Holdings, Inc, Mobil Cerro Negro, Ltd, and Mobil </w:t>
      </w:r>
      <w:proofErr w:type="spellStart"/>
      <w:r w:rsidRPr="00D81523">
        <w:rPr>
          <w:i/>
          <w:iCs/>
          <w:sz w:val="20"/>
          <w:lang w:val="en-GB"/>
        </w:rPr>
        <w:t>Venezolana</w:t>
      </w:r>
      <w:proofErr w:type="spellEnd"/>
      <w:r w:rsidRPr="00D81523">
        <w:rPr>
          <w:i/>
          <w:iCs/>
          <w:sz w:val="20"/>
          <w:lang w:val="en-GB"/>
        </w:rPr>
        <w:t xml:space="preserve"> de </w:t>
      </w:r>
      <w:proofErr w:type="spellStart"/>
      <w:r w:rsidRPr="00D81523">
        <w:rPr>
          <w:i/>
          <w:iCs/>
          <w:sz w:val="20"/>
          <w:lang w:val="en-GB"/>
        </w:rPr>
        <w:t>Petróleos</w:t>
      </w:r>
      <w:proofErr w:type="spellEnd"/>
      <w:r w:rsidRPr="00D81523">
        <w:rPr>
          <w:i/>
          <w:iCs/>
          <w:sz w:val="20"/>
          <w:lang w:val="en-GB"/>
        </w:rPr>
        <w:t>, Inc v Bolivarian Republic of Venezuela</w:t>
      </w:r>
      <w:r w:rsidRPr="00D81523">
        <w:rPr>
          <w:sz w:val="20"/>
          <w:lang w:val="en-GB"/>
        </w:rPr>
        <w:t>, Decision on Jurisdiction, 10 June 2010</w:t>
      </w:r>
      <w:r>
        <w:rPr>
          <w:sz w:val="20"/>
          <w:lang w:val="en-GB"/>
        </w:rPr>
        <w:t xml:space="preserve"> (‘</w:t>
      </w:r>
      <w:r w:rsidRPr="009E0F0C">
        <w:rPr>
          <w:i/>
          <w:iCs/>
          <w:sz w:val="20"/>
          <w:lang w:val="en-GB"/>
        </w:rPr>
        <w:t>Mobil v Venezuela</w:t>
      </w:r>
      <w:r>
        <w:rPr>
          <w:sz w:val="20"/>
          <w:lang w:val="en-GB"/>
        </w:rPr>
        <w:t>’)</w:t>
      </w:r>
      <w:r w:rsidRPr="00D81523">
        <w:rPr>
          <w:sz w:val="20"/>
          <w:lang w:val="en-GB"/>
        </w:rPr>
        <w:t>, para 76.</w:t>
      </w:r>
    </w:p>
  </w:footnote>
  <w:footnote w:id="104">
    <w:p w14:paraId="11C9FD37" w14:textId="4E0F39F4" w:rsidR="00B10BDB" w:rsidRPr="001E7594"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Southern Pacific Properties (Middle East) Limited v Arab Republic of Egypt</w:t>
      </w:r>
      <w:r w:rsidRPr="00D81523">
        <w:rPr>
          <w:sz w:val="20"/>
          <w:lang w:val="en-GB"/>
        </w:rPr>
        <w:t xml:space="preserve">, ICSID Case No ARB/84/3, Decision on Jurisdiction, 14 April 1988, para 61; </w:t>
      </w:r>
      <w:proofErr w:type="spellStart"/>
      <w:r w:rsidR="004F1F0A" w:rsidRPr="00D81523">
        <w:rPr>
          <w:i/>
          <w:iCs/>
          <w:sz w:val="20"/>
          <w:lang w:val="en-GB"/>
        </w:rPr>
        <w:t>Amco</w:t>
      </w:r>
      <w:proofErr w:type="spellEnd"/>
      <w:r w:rsidR="004F1F0A" w:rsidRPr="00D81523">
        <w:rPr>
          <w:i/>
          <w:iCs/>
          <w:sz w:val="20"/>
          <w:lang w:val="en-GB"/>
        </w:rPr>
        <w:t xml:space="preserve"> Asia Corporation and others v Republic of Indonesia</w:t>
      </w:r>
      <w:r w:rsidR="004F1F0A" w:rsidRPr="00D81523">
        <w:rPr>
          <w:sz w:val="20"/>
          <w:lang w:val="en-GB"/>
        </w:rPr>
        <w:t>, ICSID Case No ARB/81/1, Decision on the Application for Annulment, 16 May 1986</w:t>
      </w:r>
      <w:r w:rsidR="004F1F0A">
        <w:rPr>
          <w:sz w:val="20"/>
          <w:lang w:val="en-GB"/>
        </w:rPr>
        <w:t>,</w:t>
      </w:r>
      <w:r w:rsidR="004F1F0A" w:rsidRPr="00D81523">
        <w:rPr>
          <w:sz w:val="20"/>
          <w:lang w:val="en-GB"/>
        </w:rPr>
        <w:t xml:space="preserve"> paras 20</w:t>
      </w:r>
      <w:r w:rsidR="004F1F0A">
        <w:rPr>
          <w:sz w:val="20"/>
          <w:lang w:val="en-GB"/>
        </w:rPr>
        <w:t>-</w:t>
      </w:r>
      <w:r w:rsidR="004F1F0A" w:rsidRPr="00D81523">
        <w:rPr>
          <w:sz w:val="20"/>
          <w:lang w:val="en-GB"/>
        </w:rPr>
        <w:t>2</w:t>
      </w:r>
      <w:r w:rsidR="004F1F0A">
        <w:rPr>
          <w:sz w:val="20"/>
          <w:lang w:val="en-GB"/>
        </w:rPr>
        <w:t>3</w:t>
      </w:r>
      <w:r w:rsidR="004F1F0A" w:rsidRPr="00D81523">
        <w:rPr>
          <w:sz w:val="20"/>
          <w:lang w:val="en-GB"/>
        </w:rPr>
        <w:t>;</w:t>
      </w:r>
      <w:r w:rsidR="004F1F0A" w:rsidRPr="00D81523">
        <w:rPr>
          <w:i/>
          <w:iCs/>
          <w:sz w:val="20"/>
          <w:lang w:val="en-GB"/>
        </w:rPr>
        <w:t xml:space="preserve"> </w:t>
      </w:r>
      <w:proofErr w:type="spellStart"/>
      <w:r w:rsidR="004F1F0A" w:rsidRPr="00D81523">
        <w:rPr>
          <w:i/>
          <w:iCs/>
          <w:sz w:val="20"/>
          <w:lang w:val="en-GB"/>
        </w:rPr>
        <w:t>Klöckner</w:t>
      </w:r>
      <w:proofErr w:type="spellEnd"/>
      <w:r w:rsidR="004F1F0A" w:rsidRPr="00D81523">
        <w:rPr>
          <w:i/>
          <w:iCs/>
          <w:sz w:val="20"/>
          <w:lang w:val="en-GB"/>
        </w:rPr>
        <w:t xml:space="preserve"> </w:t>
      </w:r>
      <w:proofErr w:type="spellStart"/>
      <w:r w:rsidR="004F1F0A" w:rsidRPr="00D81523">
        <w:rPr>
          <w:i/>
          <w:iCs/>
          <w:sz w:val="20"/>
          <w:lang w:val="en-GB"/>
        </w:rPr>
        <w:t>Industrie</w:t>
      </w:r>
      <w:proofErr w:type="spellEnd"/>
      <w:r w:rsidR="004F1F0A" w:rsidRPr="00D81523">
        <w:rPr>
          <w:i/>
          <w:iCs/>
          <w:sz w:val="20"/>
          <w:lang w:val="en-GB"/>
        </w:rPr>
        <w:t xml:space="preserve">-Anlagen GmbH and others v United Republic of Cameroon and Société </w:t>
      </w:r>
      <w:proofErr w:type="spellStart"/>
      <w:r w:rsidR="004F1F0A" w:rsidRPr="00D81523">
        <w:rPr>
          <w:i/>
          <w:iCs/>
          <w:sz w:val="20"/>
          <w:lang w:val="en-GB"/>
        </w:rPr>
        <w:t>Camerounaise</w:t>
      </w:r>
      <w:proofErr w:type="spellEnd"/>
      <w:r w:rsidR="004F1F0A" w:rsidRPr="00D81523">
        <w:rPr>
          <w:i/>
          <w:iCs/>
          <w:sz w:val="20"/>
          <w:lang w:val="en-GB"/>
        </w:rPr>
        <w:t xml:space="preserve"> des </w:t>
      </w:r>
      <w:proofErr w:type="spellStart"/>
      <w:r w:rsidR="004F1F0A" w:rsidRPr="00D81523">
        <w:rPr>
          <w:i/>
          <w:iCs/>
          <w:sz w:val="20"/>
          <w:lang w:val="en-GB"/>
        </w:rPr>
        <w:t>Engrais</w:t>
      </w:r>
      <w:proofErr w:type="spellEnd"/>
      <w:r w:rsidR="004F1F0A" w:rsidRPr="00D81523">
        <w:rPr>
          <w:sz w:val="20"/>
          <w:lang w:val="en-GB"/>
        </w:rPr>
        <w:t>, ICSID Case No ARB/81/2, Ad hoc Committee Decision on Annulment, 3 May 1985, para 69</w:t>
      </w:r>
      <w:r w:rsidR="004F1F0A">
        <w:rPr>
          <w:sz w:val="20"/>
          <w:lang w:val="en-US"/>
        </w:rPr>
        <w:t>;</w:t>
      </w:r>
      <w:r w:rsidR="004F1F0A" w:rsidRPr="00D81523">
        <w:rPr>
          <w:sz w:val="20"/>
          <w:lang w:val="en-GB"/>
        </w:rPr>
        <w:t xml:space="preserve"> </w:t>
      </w:r>
      <w:r w:rsidR="004F1F0A" w:rsidRPr="00D81523">
        <w:rPr>
          <w:i/>
          <w:iCs/>
          <w:sz w:val="20"/>
          <w:lang w:val="en-GB"/>
        </w:rPr>
        <w:t>Liberian Eastern Timber Corporation (LETCO) v Liberia</w:t>
      </w:r>
      <w:r w:rsidR="004F1F0A" w:rsidRPr="00D81523">
        <w:rPr>
          <w:sz w:val="20"/>
          <w:lang w:val="en-GB"/>
        </w:rPr>
        <w:t>, ICSID Case No ARB/83/2, Award, 31 March 1986, (1987) 26 ILM 647, 658</w:t>
      </w:r>
      <w:r w:rsidR="004F1F0A">
        <w:rPr>
          <w:sz w:val="20"/>
          <w:lang w:val="en-GB"/>
        </w:rPr>
        <w:t>;</w:t>
      </w:r>
      <w:r w:rsidR="004F1F0A" w:rsidRPr="00D81523">
        <w:rPr>
          <w:sz w:val="20"/>
          <w:lang w:val="en-GB"/>
        </w:rPr>
        <w:t xml:space="preserve"> </w:t>
      </w:r>
      <w:proofErr w:type="spellStart"/>
      <w:r w:rsidRPr="00D81523">
        <w:rPr>
          <w:i/>
          <w:iCs/>
          <w:sz w:val="20"/>
          <w:lang w:val="en-GB"/>
        </w:rPr>
        <w:t>Zhinvali</w:t>
      </w:r>
      <w:proofErr w:type="spellEnd"/>
      <w:r w:rsidRPr="00D81523">
        <w:rPr>
          <w:i/>
          <w:iCs/>
          <w:sz w:val="20"/>
          <w:lang w:val="en-GB"/>
        </w:rPr>
        <w:t xml:space="preserve"> Development Ltd v Republic of Georgia</w:t>
      </w:r>
      <w:r w:rsidRPr="00D81523">
        <w:rPr>
          <w:sz w:val="20"/>
          <w:lang w:val="en-GB"/>
        </w:rPr>
        <w:t>, ICSID Case No ARB/00/1, Award, 24 January 2003, para 297;</w:t>
      </w:r>
      <w:r w:rsidRPr="00D81523">
        <w:rPr>
          <w:i/>
          <w:iCs/>
          <w:sz w:val="20"/>
          <w:lang w:val="en-GB"/>
        </w:rPr>
        <w:t xml:space="preserve"> </w:t>
      </w:r>
      <w:r w:rsidRPr="009E0F0C">
        <w:rPr>
          <w:i/>
          <w:iCs/>
          <w:sz w:val="20"/>
          <w:lang w:val="en-GB"/>
        </w:rPr>
        <w:t>Mobil v Venezuela</w:t>
      </w:r>
      <w:r>
        <w:rPr>
          <w:sz w:val="20"/>
          <w:lang w:val="en-GB"/>
        </w:rPr>
        <w:t>,</w:t>
      </w:r>
      <w:r w:rsidRPr="00D81523">
        <w:rPr>
          <w:sz w:val="20"/>
          <w:lang w:val="en-GB"/>
        </w:rPr>
        <w:t xml:space="preserve"> para 85; </w:t>
      </w:r>
      <w:proofErr w:type="spellStart"/>
      <w:r w:rsidRPr="00D81523">
        <w:rPr>
          <w:i/>
          <w:iCs/>
          <w:sz w:val="20"/>
          <w:lang w:val="en-GB"/>
        </w:rPr>
        <w:t>Brandes</w:t>
      </w:r>
      <w:proofErr w:type="spellEnd"/>
      <w:r w:rsidRPr="00D81523">
        <w:rPr>
          <w:i/>
          <w:iCs/>
          <w:sz w:val="20"/>
          <w:lang w:val="en-GB"/>
        </w:rPr>
        <w:t xml:space="preserve"> Investment Partners, LP v The Bolivarian Republic of Venezuela</w:t>
      </w:r>
      <w:r w:rsidRPr="00D81523">
        <w:rPr>
          <w:sz w:val="20"/>
          <w:lang w:val="en-GB"/>
        </w:rPr>
        <w:t xml:space="preserve">, ICSID Case No ARB/08/3, Award, 2 August 2011, para 81. </w:t>
      </w:r>
      <w:r w:rsidRPr="00D81523">
        <w:rPr>
          <w:i/>
          <w:iCs/>
          <w:sz w:val="20"/>
          <w:lang w:val="en-GB"/>
        </w:rPr>
        <w:t>Tidewater Inc, Tidewater Investment SRL, Tidewater Caribe, CA, et al v The Bolivarian Republic of Venezuela</w:t>
      </w:r>
      <w:r w:rsidRPr="00D81523">
        <w:rPr>
          <w:sz w:val="20"/>
          <w:lang w:val="en-GB"/>
        </w:rPr>
        <w:t xml:space="preserve">, ICSID Case No ARB/10/5, Decision on Jurisdiction, 8 February 2013, para 81; </w:t>
      </w:r>
      <w:r w:rsidRPr="00D81523">
        <w:rPr>
          <w:i/>
          <w:iCs/>
          <w:sz w:val="20"/>
          <w:lang w:val="en-GB"/>
        </w:rPr>
        <w:t xml:space="preserve">OPIC </w:t>
      </w:r>
      <w:proofErr w:type="spellStart"/>
      <w:r w:rsidRPr="00D81523">
        <w:rPr>
          <w:i/>
          <w:iCs/>
          <w:sz w:val="20"/>
          <w:lang w:val="en-GB"/>
        </w:rPr>
        <w:t>Karimun</w:t>
      </w:r>
      <w:proofErr w:type="spellEnd"/>
      <w:r w:rsidRPr="00D81523">
        <w:rPr>
          <w:i/>
          <w:iCs/>
          <w:sz w:val="20"/>
          <w:lang w:val="en-GB"/>
        </w:rPr>
        <w:t xml:space="preserve"> Corporation v Bolivarian Republic of Venezuela</w:t>
      </w:r>
      <w:r w:rsidRPr="00D81523">
        <w:rPr>
          <w:sz w:val="20"/>
          <w:lang w:val="en-GB"/>
        </w:rPr>
        <w:t>, Award, 28 May 2013, para 76</w:t>
      </w:r>
      <w:r w:rsidR="0087535F">
        <w:rPr>
          <w:sz w:val="20"/>
          <w:lang w:val="en-US"/>
        </w:rPr>
        <w:t>;</w:t>
      </w:r>
      <w:r w:rsidRPr="00D81523">
        <w:rPr>
          <w:sz w:val="20"/>
          <w:lang w:val="en-GB"/>
        </w:rPr>
        <w:t xml:space="preserve"> </w:t>
      </w:r>
      <w:r w:rsidRPr="00D81523">
        <w:rPr>
          <w:i/>
          <w:iCs/>
          <w:sz w:val="20"/>
          <w:lang w:val="en-GB"/>
        </w:rPr>
        <w:t>Lighthouse Corporation Pty Ltd and Lighthouse Corporation Ltd, IBC v Democratic Republic of Timor-Leste</w:t>
      </w:r>
      <w:r w:rsidRPr="00D81523">
        <w:rPr>
          <w:sz w:val="20"/>
          <w:lang w:val="en-GB"/>
        </w:rPr>
        <w:t xml:space="preserve">, ICSID Case No ARB/15/2, Award, 22 December 2017, para 151. See also </w:t>
      </w:r>
      <w:r w:rsidRPr="00D81523">
        <w:rPr>
          <w:i/>
          <w:iCs/>
          <w:sz w:val="20"/>
          <w:lang w:val="en-GB"/>
        </w:rPr>
        <w:t xml:space="preserve">Société Resort Company Invest Abidjan, Stanislas </w:t>
      </w:r>
      <w:proofErr w:type="spellStart"/>
      <w:r w:rsidRPr="00D81523">
        <w:rPr>
          <w:i/>
          <w:iCs/>
          <w:sz w:val="20"/>
          <w:lang w:val="en-GB"/>
        </w:rPr>
        <w:t>Citerici</w:t>
      </w:r>
      <w:proofErr w:type="spellEnd"/>
      <w:r w:rsidRPr="00D81523">
        <w:rPr>
          <w:i/>
          <w:iCs/>
          <w:sz w:val="20"/>
          <w:lang w:val="en-GB"/>
        </w:rPr>
        <w:t xml:space="preserve"> and Gérard Bot v Republic of Côte d’Ivoire</w:t>
      </w:r>
      <w:r w:rsidRPr="00D81523">
        <w:rPr>
          <w:sz w:val="20"/>
          <w:lang w:val="en-GB"/>
        </w:rPr>
        <w:t xml:space="preserve">, ICSID Case No ARB/16/11, Decision on the Respondent Preliminary Objection to Jurisdiction, Dissenting Opinion of </w:t>
      </w:r>
      <w:proofErr w:type="spellStart"/>
      <w:r w:rsidRPr="00D81523">
        <w:rPr>
          <w:sz w:val="20"/>
          <w:lang w:val="en-GB"/>
        </w:rPr>
        <w:t>Kaj</w:t>
      </w:r>
      <w:proofErr w:type="spellEnd"/>
      <w:r w:rsidRPr="00D81523">
        <w:rPr>
          <w:sz w:val="20"/>
          <w:lang w:val="en-GB"/>
        </w:rPr>
        <w:t xml:space="preserve"> </w:t>
      </w:r>
      <w:proofErr w:type="spellStart"/>
      <w:r w:rsidRPr="00D81523">
        <w:rPr>
          <w:sz w:val="20"/>
          <w:lang w:val="en-GB"/>
        </w:rPr>
        <w:t>Hobér</w:t>
      </w:r>
      <w:proofErr w:type="spellEnd"/>
      <w:r w:rsidRPr="00D81523">
        <w:rPr>
          <w:sz w:val="20"/>
          <w:lang w:val="en-GB"/>
        </w:rPr>
        <w:t>, 1 August 2017, para 5</w:t>
      </w:r>
      <w:r w:rsidR="001E7594">
        <w:rPr>
          <w:sz w:val="20"/>
          <w:lang w:val="en-US"/>
        </w:rPr>
        <w:t>;</w:t>
      </w:r>
      <w:r w:rsidR="001E7594" w:rsidRPr="00D81523">
        <w:rPr>
          <w:sz w:val="20"/>
          <w:lang w:val="en-GB"/>
        </w:rPr>
        <w:t xml:space="preserve"> Without taking a position, the ad hoc annulment committee in </w:t>
      </w:r>
      <w:proofErr w:type="spellStart"/>
      <w:r w:rsidR="001E7594" w:rsidRPr="007C3F71">
        <w:rPr>
          <w:i/>
          <w:iCs/>
          <w:sz w:val="20"/>
          <w:lang w:val="en-GB"/>
        </w:rPr>
        <w:t>Wena</w:t>
      </w:r>
      <w:proofErr w:type="spellEnd"/>
      <w:r w:rsidR="001E7594" w:rsidRPr="007C3F71">
        <w:rPr>
          <w:i/>
          <w:iCs/>
          <w:sz w:val="20"/>
          <w:lang w:val="en-GB"/>
        </w:rPr>
        <w:t xml:space="preserve"> Hotels v Egypt</w:t>
      </w:r>
      <w:r w:rsidR="001E7594" w:rsidRPr="00D81523">
        <w:rPr>
          <w:sz w:val="20"/>
          <w:lang w:val="en-GB"/>
        </w:rPr>
        <w:t xml:space="preserve"> (an investment treaty case) summarized the conflicting views on the matter </w:t>
      </w:r>
      <w:proofErr w:type="spellStart"/>
      <w:r w:rsidR="001E7594" w:rsidRPr="00D81523">
        <w:rPr>
          <w:i/>
          <w:iCs/>
          <w:sz w:val="20"/>
          <w:lang w:val="en-GB"/>
        </w:rPr>
        <w:t>Wena</w:t>
      </w:r>
      <w:proofErr w:type="spellEnd"/>
      <w:r w:rsidR="001E7594" w:rsidRPr="00D81523">
        <w:rPr>
          <w:i/>
          <w:iCs/>
          <w:sz w:val="20"/>
          <w:lang w:val="en-GB"/>
        </w:rPr>
        <w:t xml:space="preserve"> Hotels Limited v Arab Republic of Egypt</w:t>
      </w:r>
      <w:r w:rsidR="001E7594" w:rsidRPr="00D81523">
        <w:rPr>
          <w:sz w:val="20"/>
          <w:lang w:val="en-GB"/>
        </w:rPr>
        <w:t xml:space="preserve">, ICSID Case No ARB/98/4, Decision on Application for Annulment, 5 February 2002, paras 38 and 39. See also W M Reisman, ‘The Regime for </w:t>
      </w:r>
      <w:r w:rsidR="001E7594" w:rsidRPr="00D81523">
        <w:rPr>
          <w:i/>
          <w:iCs/>
          <w:sz w:val="20"/>
          <w:lang w:val="en-GB"/>
        </w:rPr>
        <w:t>Lacunae</w:t>
      </w:r>
      <w:r w:rsidR="001E7594" w:rsidRPr="00D81523">
        <w:rPr>
          <w:sz w:val="20"/>
          <w:lang w:val="en-GB"/>
        </w:rPr>
        <w:t xml:space="preserve"> in the ICSID Choice of Law Provision and the Question of Its Threshold’ (2000) 15 ICSID Review 362; E Gaillard and Y </w:t>
      </w:r>
      <w:proofErr w:type="spellStart"/>
      <w:r w:rsidR="001E7594" w:rsidRPr="00D81523">
        <w:rPr>
          <w:sz w:val="20"/>
          <w:lang w:val="en-GB"/>
        </w:rPr>
        <w:t>Banifatemi</w:t>
      </w:r>
      <w:proofErr w:type="spellEnd"/>
      <w:r w:rsidR="001E7594" w:rsidRPr="00D81523">
        <w:rPr>
          <w:sz w:val="20"/>
          <w:lang w:val="en-GB"/>
        </w:rPr>
        <w:t>, ‘The Meaning of “and” in Article 42(1), Second Sentence, of the Washington Convention: The Role of International Law in the ICSID Choice of Law Process’ (2003) 28 ICSID Review 375.</w:t>
      </w:r>
      <w:r w:rsidR="0087535F" w:rsidRPr="0087535F">
        <w:rPr>
          <w:sz w:val="20"/>
          <w:lang w:val="en-GB"/>
        </w:rPr>
        <w:t xml:space="preserve"> </w:t>
      </w:r>
      <w:proofErr w:type="spellStart"/>
      <w:r w:rsidR="004F1F0A">
        <w:rPr>
          <w:sz w:val="20"/>
          <w:lang w:val="en-GB"/>
        </w:rPr>
        <w:t>Cf</w:t>
      </w:r>
      <w:proofErr w:type="spellEnd"/>
      <w:r w:rsidR="0087535F" w:rsidRPr="00D81523">
        <w:rPr>
          <w:sz w:val="20"/>
          <w:lang w:val="en-GB"/>
        </w:rPr>
        <w:t xml:space="preserve"> </w:t>
      </w:r>
      <w:r w:rsidR="0087535F" w:rsidRPr="00D81523">
        <w:rPr>
          <w:rFonts w:cstheme="minorHAnsi"/>
          <w:i/>
          <w:iCs/>
          <w:sz w:val="20"/>
          <w:lang w:val="en-GB"/>
        </w:rPr>
        <w:t xml:space="preserve">Togo </w:t>
      </w:r>
      <w:proofErr w:type="spellStart"/>
      <w:r w:rsidR="0087535F" w:rsidRPr="00D81523">
        <w:rPr>
          <w:rFonts w:cstheme="minorHAnsi"/>
          <w:i/>
          <w:iCs/>
          <w:sz w:val="20"/>
          <w:lang w:val="en-GB"/>
        </w:rPr>
        <w:t>Electricité</w:t>
      </w:r>
      <w:proofErr w:type="spellEnd"/>
      <w:r w:rsidR="0087535F" w:rsidRPr="00D81523">
        <w:rPr>
          <w:rFonts w:cstheme="minorHAnsi"/>
          <w:i/>
          <w:iCs/>
          <w:sz w:val="20"/>
          <w:lang w:val="en-GB"/>
        </w:rPr>
        <w:t xml:space="preserve"> and GDF-Suez </w:t>
      </w:r>
      <w:proofErr w:type="spellStart"/>
      <w:r w:rsidR="0087535F" w:rsidRPr="00D81523">
        <w:rPr>
          <w:rFonts w:cstheme="minorHAnsi"/>
          <w:i/>
          <w:iCs/>
          <w:sz w:val="20"/>
          <w:lang w:val="en-GB"/>
        </w:rPr>
        <w:t>Energie</w:t>
      </w:r>
      <w:proofErr w:type="spellEnd"/>
      <w:r w:rsidR="0087535F" w:rsidRPr="00D81523">
        <w:rPr>
          <w:rFonts w:cstheme="minorHAnsi"/>
          <w:i/>
          <w:iCs/>
          <w:sz w:val="20"/>
          <w:lang w:val="en-GB"/>
        </w:rPr>
        <w:t xml:space="preserve"> Services v Republic of Togo</w:t>
      </w:r>
      <w:r w:rsidR="0087535F" w:rsidRPr="00D81523">
        <w:rPr>
          <w:rFonts w:cstheme="minorHAnsi"/>
          <w:sz w:val="20"/>
          <w:lang w:val="en-GB"/>
        </w:rPr>
        <w:t>, ICSID Case No ARB/06/7, Award, 10 August 2010, paras 135-138</w:t>
      </w:r>
      <w:r w:rsidR="0087535F">
        <w:rPr>
          <w:rFonts w:cstheme="minorHAnsi"/>
          <w:sz w:val="20"/>
          <w:lang w:val="en-GB"/>
        </w:rPr>
        <w:t>.</w:t>
      </w:r>
    </w:p>
  </w:footnote>
  <w:footnote w:id="105">
    <w:p w14:paraId="504E571E"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Unpublished, see M Blessing, ‘Extension of an Arbitration Clause to Non-Signatories (Third Parties)’, Summary / Hand-out by Marc Blessing, prepared for the KIEV Arbitration Days 14 / 15 November 2013, available at </w:t>
      </w:r>
      <w:hyperlink r:id="rId6" w:history="1">
        <w:r w:rsidRPr="00D81523">
          <w:rPr>
            <w:rStyle w:val="Hyperlink"/>
            <w:sz w:val="20"/>
            <w:lang w:val="en-GB"/>
          </w:rPr>
          <w:t>http://www.uba.ua/documents/doc/mark_blessing_1.pdf</w:t>
        </w:r>
      </w:hyperlink>
      <w:r w:rsidRPr="00D81523">
        <w:rPr>
          <w:sz w:val="20"/>
          <w:lang w:val="en-GB"/>
        </w:rPr>
        <w:t>, para 32.</w:t>
      </w:r>
    </w:p>
  </w:footnote>
  <w:footnote w:id="106">
    <w:p w14:paraId="70E40692" w14:textId="59E303C4" w:rsidR="00B10BDB" w:rsidRPr="008A2E65" w:rsidRDefault="00B10BDB" w:rsidP="00D12AE4">
      <w:pPr>
        <w:pStyle w:val="FootnoteText"/>
        <w:jc w:val="both"/>
        <w:rPr>
          <w:sz w:val="20"/>
          <w:lang w:val="el-GR"/>
        </w:rPr>
      </w:pPr>
      <w:r w:rsidRPr="00D81523">
        <w:rPr>
          <w:rStyle w:val="FootnoteReference"/>
          <w:sz w:val="20"/>
          <w:lang w:val="en-GB"/>
        </w:rPr>
        <w:footnoteRef/>
      </w:r>
      <w:r>
        <w:rPr>
          <w:i/>
          <w:iCs/>
          <w:sz w:val="20"/>
          <w:lang w:val="en-GB"/>
        </w:rPr>
        <w:t xml:space="preserve"> </w:t>
      </w:r>
      <w:r w:rsidRPr="00C25B0A">
        <w:rPr>
          <w:i/>
          <w:iCs/>
          <w:sz w:val="20"/>
          <w:lang w:val="en-GB"/>
        </w:rPr>
        <w:t>Chevron v Bangladesh</w:t>
      </w:r>
      <w:r w:rsidRPr="00D81523">
        <w:rPr>
          <w:sz w:val="20"/>
          <w:lang w:val="en-GB"/>
        </w:rPr>
        <w:t>, paras 132-149; ibid, paras 148-149</w:t>
      </w:r>
      <w:r>
        <w:rPr>
          <w:sz w:val="20"/>
          <w:lang w:val="el-GR"/>
        </w:rPr>
        <w:t>.</w:t>
      </w:r>
    </w:p>
  </w:footnote>
  <w:footnote w:id="107">
    <w:p w14:paraId="6E931528" w14:textId="69C1B23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3617E0">
        <w:rPr>
          <w:i/>
          <w:iCs/>
          <w:sz w:val="20"/>
          <w:lang w:val="en-GB"/>
        </w:rPr>
        <w:t xml:space="preserve">Niko Resources v </w:t>
      </w:r>
      <w:proofErr w:type="spellStart"/>
      <w:r w:rsidRPr="003617E0">
        <w:rPr>
          <w:i/>
          <w:iCs/>
          <w:sz w:val="20"/>
          <w:lang w:val="en-GB"/>
        </w:rPr>
        <w:t>Bapex</w:t>
      </w:r>
      <w:proofErr w:type="spellEnd"/>
      <w:r w:rsidRPr="003617E0">
        <w:rPr>
          <w:i/>
          <w:iCs/>
          <w:sz w:val="20"/>
          <w:lang w:val="en-GB"/>
        </w:rPr>
        <w:t xml:space="preserve"> and </w:t>
      </w:r>
      <w:proofErr w:type="spellStart"/>
      <w:r w:rsidRPr="003617E0">
        <w:rPr>
          <w:i/>
          <w:iCs/>
          <w:sz w:val="20"/>
          <w:lang w:val="en-GB"/>
        </w:rPr>
        <w:t>Petrobangla</w:t>
      </w:r>
      <w:proofErr w:type="spellEnd"/>
      <w:r w:rsidRPr="00D81523">
        <w:rPr>
          <w:sz w:val="20"/>
          <w:lang w:val="en-GB"/>
        </w:rPr>
        <w:t>, para 247.</w:t>
      </w:r>
    </w:p>
  </w:footnote>
  <w:footnote w:id="108">
    <w:p w14:paraId="4D74A463" w14:textId="63FC036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Ibid.</w:t>
      </w:r>
    </w:p>
  </w:footnote>
  <w:footnote w:id="109">
    <w:p w14:paraId="6CA2AC9F" w14:textId="795EB445"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See </w:t>
      </w:r>
      <w:r>
        <w:rPr>
          <w:sz w:val="20"/>
          <w:lang w:val="en-US"/>
        </w:rPr>
        <w:t>ILC</w:t>
      </w:r>
      <w:r w:rsidRPr="00D81523">
        <w:rPr>
          <w:sz w:val="20"/>
          <w:lang w:val="en-GB"/>
        </w:rPr>
        <w:t xml:space="preserve">, ‘Draft articles on Responsibility of States for Internationally Wrongful Acts, with commentaries’ (2001) </w:t>
      </w:r>
      <w:proofErr w:type="gramStart"/>
      <w:r w:rsidRPr="00D81523">
        <w:rPr>
          <w:sz w:val="20"/>
          <w:lang w:val="en-GB"/>
        </w:rPr>
        <w:t>II(</w:t>
      </w:r>
      <w:proofErr w:type="gramEnd"/>
      <w:r w:rsidRPr="00D81523">
        <w:rPr>
          <w:sz w:val="20"/>
          <w:lang w:val="en-GB"/>
        </w:rPr>
        <w:t xml:space="preserve">2) Yearbook of the International Law Commission, 2001, at 39. </w:t>
      </w:r>
      <w:r>
        <w:rPr>
          <w:sz w:val="20"/>
          <w:lang w:val="en-GB"/>
        </w:rPr>
        <w:t>T</w:t>
      </w:r>
      <w:r w:rsidRPr="00D81523">
        <w:rPr>
          <w:sz w:val="20"/>
          <w:lang w:val="en-GB"/>
        </w:rPr>
        <w:t xml:space="preserve">hese rules are generally applicable irrespective of the nature of the violation, </w:t>
      </w:r>
      <w:r w:rsidRPr="00D81523">
        <w:rPr>
          <w:i/>
          <w:iCs/>
          <w:sz w:val="20"/>
          <w:lang w:val="en-GB"/>
        </w:rPr>
        <w:t>Application of the Convention on the Prevention and Punishment of the Crime of Genocide (Bosnia and Herzegovina v Serbia and Montenegro)</w:t>
      </w:r>
      <w:r w:rsidRPr="00D81523">
        <w:rPr>
          <w:sz w:val="20"/>
          <w:lang w:val="en-GB"/>
        </w:rPr>
        <w:t>, Judgment, 26 February 2007, (2007) ICJ Rep 43, 201, para 408.</w:t>
      </w:r>
    </w:p>
  </w:footnote>
  <w:footnote w:id="110">
    <w:p w14:paraId="14B6AC5C" w14:textId="5D0F370A"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Boru</w:t>
      </w:r>
      <w:proofErr w:type="spellEnd"/>
      <w:r w:rsidRPr="00D81523">
        <w:rPr>
          <w:i/>
          <w:iCs/>
          <w:sz w:val="20"/>
          <w:lang w:val="en-GB"/>
        </w:rPr>
        <w:t xml:space="preserve"> </w:t>
      </w:r>
      <w:proofErr w:type="spellStart"/>
      <w:r w:rsidRPr="00D81523">
        <w:rPr>
          <w:i/>
          <w:iCs/>
          <w:sz w:val="20"/>
          <w:lang w:val="en-GB"/>
        </w:rPr>
        <w:t>Hatlari</w:t>
      </w:r>
      <w:proofErr w:type="spellEnd"/>
      <w:r w:rsidRPr="00D81523">
        <w:rPr>
          <w:i/>
          <w:iCs/>
          <w:sz w:val="20"/>
          <w:lang w:val="en-GB"/>
        </w:rPr>
        <w:t xml:space="preserve"> Ile Petrol </w:t>
      </w:r>
      <w:proofErr w:type="spellStart"/>
      <w:r w:rsidRPr="00D81523">
        <w:rPr>
          <w:i/>
          <w:iCs/>
          <w:sz w:val="20"/>
          <w:lang w:val="en-GB"/>
        </w:rPr>
        <w:t>Taşima</w:t>
      </w:r>
      <w:proofErr w:type="spellEnd"/>
      <w:r w:rsidRPr="00D81523">
        <w:rPr>
          <w:i/>
          <w:iCs/>
          <w:sz w:val="20"/>
          <w:lang w:val="en-GB"/>
        </w:rPr>
        <w:t xml:space="preserve"> AŞ and others v </w:t>
      </w:r>
      <w:proofErr w:type="spellStart"/>
      <w:r w:rsidRPr="00D81523">
        <w:rPr>
          <w:i/>
          <w:iCs/>
          <w:sz w:val="20"/>
          <w:lang w:val="en-GB"/>
        </w:rPr>
        <w:t>Tepe</w:t>
      </w:r>
      <w:proofErr w:type="spellEnd"/>
      <w:r w:rsidRPr="00D81523">
        <w:rPr>
          <w:i/>
          <w:iCs/>
          <w:sz w:val="20"/>
          <w:lang w:val="en-GB"/>
        </w:rPr>
        <w:t xml:space="preserve"> </w:t>
      </w:r>
      <w:proofErr w:type="spellStart"/>
      <w:r w:rsidRPr="00D81523">
        <w:rPr>
          <w:i/>
          <w:iCs/>
          <w:sz w:val="20"/>
          <w:lang w:val="en-GB"/>
        </w:rPr>
        <w:t>Insaat</w:t>
      </w:r>
      <w:proofErr w:type="spellEnd"/>
      <w:r w:rsidRPr="00D81523">
        <w:rPr>
          <w:i/>
          <w:iCs/>
          <w:sz w:val="20"/>
          <w:lang w:val="en-GB"/>
        </w:rPr>
        <w:t xml:space="preserve"> </w:t>
      </w:r>
      <w:proofErr w:type="spellStart"/>
      <w:r w:rsidRPr="00D81523">
        <w:rPr>
          <w:i/>
          <w:iCs/>
          <w:sz w:val="20"/>
          <w:lang w:val="en-GB"/>
        </w:rPr>
        <w:t>Sanayii</w:t>
      </w:r>
      <w:proofErr w:type="spellEnd"/>
      <w:r w:rsidRPr="00D81523">
        <w:rPr>
          <w:i/>
          <w:iCs/>
          <w:sz w:val="20"/>
          <w:lang w:val="en-GB"/>
        </w:rPr>
        <w:t xml:space="preserve"> AS</w:t>
      </w:r>
      <w:r w:rsidRPr="00D81523">
        <w:rPr>
          <w:sz w:val="20"/>
          <w:lang w:val="en-GB"/>
        </w:rPr>
        <w:t xml:space="preserve"> [2018] UKPC 31, para 19; J Crawford, ‘Treaty and Contract in Investment Arbitration’ (2008) 24 Arbitration International 351, 363.</w:t>
      </w:r>
      <w:r w:rsidRPr="00BD2B6E">
        <w:rPr>
          <w:i/>
          <w:iCs/>
          <w:sz w:val="20"/>
          <w:lang w:val="en-GB"/>
        </w:rPr>
        <w:t xml:space="preserve"> </w:t>
      </w:r>
      <w:r w:rsidRPr="00D81523">
        <w:rPr>
          <w:i/>
          <w:iCs/>
          <w:sz w:val="20"/>
          <w:lang w:val="en-GB"/>
        </w:rPr>
        <w:t>EDF (Services) Limited v Romania</w:t>
      </w:r>
      <w:r w:rsidRPr="00D81523">
        <w:rPr>
          <w:sz w:val="20"/>
          <w:lang w:val="en-GB"/>
        </w:rPr>
        <w:t>, ICSID Case No ARB/05/13, 8 October 2019, para 319. See also</w:t>
      </w:r>
      <w:r w:rsidRPr="00D81523">
        <w:rPr>
          <w:i/>
          <w:iCs/>
          <w:sz w:val="20"/>
          <w:lang w:val="en-GB"/>
        </w:rPr>
        <w:t xml:space="preserve"> Georg Gavrilovic and Gavrilovic doo v Republic of Croatia</w:t>
      </w:r>
      <w:r w:rsidRPr="00D81523">
        <w:rPr>
          <w:sz w:val="20"/>
          <w:lang w:val="en-GB"/>
        </w:rPr>
        <w:t>, ICSID Case No ARB/12/39, 25 July 2018, para 856;</w:t>
      </w:r>
      <w:r w:rsidRPr="00D81523">
        <w:rPr>
          <w:i/>
          <w:iCs/>
          <w:sz w:val="20"/>
          <w:lang w:val="en-GB"/>
        </w:rPr>
        <w:t xml:space="preserve"> The City of London v </w:t>
      </w:r>
      <w:proofErr w:type="spellStart"/>
      <w:r w:rsidRPr="00D81523">
        <w:rPr>
          <w:i/>
          <w:iCs/>
          <w:sz w:val="20"/>
          <w:lang w:val="en-GB"/>
        </w:rPr>
        <w:t>Sancheti</w:t>
      </w:r>
      <w:proofErr w:type="spellEnd"/>
      <w:r w:rsidRPr="00D81523">
        <w:rPr>
          <w:sz w:val="20"/>
          <w:lang w:val="en-GB"/>
        </w:rPr>
        <w:t xml:space="preserve">, (2008) EWCA </w:t>
      </w:r>
      <w:proofErr w:type="spellStart"/>
      <w:r w:rsidRPr="00D81523">
        <w:rPr>
          <w:sz w:val="20"/>
          <w:lang w:val="en-GB"/>
        </w:rPr>
        <w:t>Civ</w:t>
      </w:r>
      <w:proofErr w:type="spellEnd"/>
      <w:r w:rsidRPr="00D81523">
        <w:rPr>
          <w:sz w:val="20"/>
          <w:lang w:val="en-GB"/>
        </w:rPr>
        <w:t xml:space="preserve"> 1283, para 35. On a more nuanced analysis of attribution rules in international investment arbitration see C Kovacs, </w:t>
      </w:r>
      <w:r w:rsidRPr="00D81523">
        <w:rPr>
          <w:i/>
          <w:iCs/>
          <w:sz w:val="20"/>
          <w:lang w:val="en-GB"/>
        </w:rPr>
        <w:t>Attribution in International Investment Law</w:t>
      </w:r>
      <w:r w:rsidRPr="00D81523">
        <w:rPr>
          <w:sz w:val="20"/>
          <w:lang w:val="en-GB"/>
        </w:rPr>
        <w:t xml:space="preserve"> (Kluwer International Law, The Hague 2018).</w:t>
      </w:r>
      <w:r w:rsidR="00B93754" w:rsidRPr="00B93754">
        <w:rPr>
          <w:sz w:val="20"/>
          <w:lang w:val="en-GB"/>
        </w:rPr>
        <w:t xml:space="preserve"> In </w:t>
      </w:r>
      <w:proofErr w:type="spellStart"/>
      <w:r w:rsidR="00B93754" w:rsidRPr="00B93754">
        <w:rPr>
          <w:i/>
          <w:iCs/>
          <w:sz w:val="20"/>
          <w:lang w:val="en-GB"/>
        </w:rPr>
        <w:t>Gécamines</w:t>
      </w:r>
      <w:proofErr w:type="spellEnd"/>
      <w:r w:rsidR="00B93754" w:rsidRPr="00B93754">
        <w:rPr>
          <w:sz w:val="20"/>
          <w:lang w:val="en-GB"/>
        </w:rPr>
        <w:t xml:space="preserve">, references to these rules has been made only to support that ‘[t]he </w:t>
      </w:r>
      <w:proofErr w:type="gramStart"/>
      <w:r w:rsidR="00B93754" w:rsidRPr="00B93754">
        <w:rPr>
          <w:sz w:val="20"/>
          <w:lang w:val="en-GB"/>
        </w:rPr>
        <w:t>express</w:t>
      </w:r>
      <w:proofErr w:type="gramEnd"/>
      <w:r w:rsidR="00B93754" w:rsidRPr="00B93754">
        <w:rPr>
          <w:sz w:val="20"/>
          <w:lang w:val="en-GB"/>
        </w:rPr>
        <w:t xml:space="preserve"> distinction between a state and a separate entity has also achieved more general international legal recognition’</w:t>
      </w:r>
      <w:r w:rsidR="00B93754">
        <w:rPr>
          <w:sz w:val="20"/>
          <w:lang w:val="en-GB"/>
        </w:rPr>
        <w:t xml:space="preserve">, </w:t>
      </w:r>
      <w:r w:rsidR="00B93754" w:rsidRPr="00D81523">
        <w:rPr>
          <w:i/>
          <w:iCs/>
          <w:sz w:val="20"/>
          <w:lang w:val="en-GB"/>
        </w:rPr>
        <w:t xml:space="preserve">La Générale des </w:t>
      </w:r>
      <w:proofErr w:type="spellStart"/>
      <w:r w:rsidR="00B93754" w:rsidRPr="00D81523">
        <w:rPr>
          <w:i/>
          <w:iCs/>
          <w:sz w:val="20"/>
          <w:lang w:val="en-GB"/>
        </w:rPr>
        <w:t>Carrières</w:t>
      </w:r>
      <w:proofErr w:type="spellEnd"/>
      <w:r w:rsidR="00B93754" w:rsidRPr="00D81523">
        <w:rPr>
          <w:i/>
          <w:iCs/>
          <w:sz w:val="20"/>
          <w:lang w:val="en-GB"/>
        </w:rPr>
        <w:t xml:space="preserve"> et des </w:t>
      </w:r>
      <w:proofErr w:type="spellStart"/>
      <w:r w:rsidR="00B93754" w:rsidRPr="00D81523">
        <w:rPr>
          <w:i/>
          <w:iCs/>
          <w:sz w:val="20"/>
          <w:lang w:val="en-GB"/>
        </w:rPr>
        <w:t>Mines</w:t>
      </w:r>
      <w:proofErr w:type="spellEnd"/>
      <w:r w:rsidR="00B93754" w:rsidRPr="00D81523">
        <w:rPr>
          <w:i/>
          <w:iCs/>
          <w:sz w:val="20"/>
          <w:lang w:val="en-GB"/>
        </w:rPr>
        <w:t xml:space="preserve"> v FG Hemisphere Associates LLC</w:t>
      </w:r>
      <w:r w:rsidR="00B93754" w:rsidRPr="00D81523">
        <w:rPr>
          <w:sz w:val="20"/>
          <w:lang w:val="en-GB"/>
        </w:rPr>
        <w:t xml:space="preserve"> [2012] UKPC 27, para </w:t>
      </w:r>
      <w:r w:rsidR="00B93754">
        <w:rPr>
          <w:sz w:val="20"/>
          <w:lang w:val="en-GB"/>
        </w:rPr>
        <w:t>15</w:t>
      </w:r>
      <w:r w:rsidR="00B93754" w:rsidRPr="00D81523">
        <w:rPr>
          <w:sz w:val="20"/>
          <w:lang w:val="en-GB"/>
        </w:rPr>
        <w:t>.</w:t>
      </w:r>
    </w:p>
  </w:footnote>
  <w:footnote w:id="111">
    <w:p w14:paraId="632C6E06" w14:textId="1DD7AA12" w:rsidR="00B10BDB" w:rsidRPr="006B0606" w:rsidRDefault="00B10BDB" w:rsidP="00D12AE4">
      <w:pPr>
        <w:pStyle w:val="FootnoteText"/>
        <w:jc w:val="both"/>
        <w:rPr>
          <w:sz w:val="20"/>
          <w:lang w:val="en-US"/>
        </w:rPr>
      </w:pPr>
      <w:r w:rsidRPr="006B0606">
        <w:rPr>
          <w:rStyle w:val="FootnoteReference"/>
          <w:sz w:val="20"/>
        </w:rPr>
        <w:footnoteRef/>
      </w:r>
      <w:r w:rsidRPr="006B0606">
        <w:rPr>
          <w:sz w:val="20"/>
        </w:rPr>
        <w:t xml:space="preserve"> </w:t>
      </w:r>
      <w:r w:rsidRPr="006B0606">
        <w:rPr>
          <w:i/>
          <w:iCs/>
          <w:sz w:val="20"/>
          <w:lang w:val="en-GB"/>
        </w:rPr>
        <w:t xml:space="preserve">Joint Venture </w:t>
      </w:r>
      <w:proofErr w:type="spellStart"/>
      <w:r w:rsidRPr="006B0606">
        <w:rPr>
          <w:i/>
          <w:iCs/>
          <w:sz w:val="20"/>
          <w:lang w:val="en-GB"/>
        </w:rPr>
        <w:t>Yashlar</w:t>
      </w:r>
      <w:proofErr w:type="spellEnd"/>
      <w:r w:rsidRPr="006B0606">
        <w:rPr>
          <w:i/>
          <w:iCs/>
          <w:sz w:val="20"/>
          <w:lang w:val="en-GB"/>
        </w:rPr>
        <w:t xml:space="preserve"> and </w:t>
      </w:r>
      <w:proofErr w:type="spellStart"/>
      <w:r w:rsidRPr="006B0606">
        <w:rPr>
          <w:i/>
          <w:iCs/>
          <w:sz w:val="20"/>
          <w:lang w:val="en-GB"/>
        </w:rPr>
        <w:t>Bridas</w:t>
      </w:r>
      <w:proofErr w:type="spellEnd"/>
      <w:r w:rsidRPr="006B0606">
        <w:rPr>
          <w:i/>
          <w:iCs/>
          <w:sz w:val="20"/>
          <w:lang w:val="en-GB"/>
        </w:rPr>
        <w:t xml:space="preserve"> SAPIC v Government of Turkmenistan</w:t>
      </w:r>
      <w:r w:rsidRPr="006B0606">
        <w:rPr>
          <w:sz w:val="20"/>
          <w:lang w:val="en-GB"/>
        </w:rPr>
        <w:t>, ICC</w:t>
      </w:r>
      <w:r>
        <w:rPr>
          <w:sz w:val="20"/>
          <w:lang w:val="en-GB"/>
        </w:rPr>
        <w:t xml:space="preserve"> C</w:t>
      </w:r>
      <w:r w:rsidRPr="006B0606">
        <w:rPr>
          <w:sz w:val="20"/>
          <w:lang w:val="en-GB"/>
        </w:rPr>
        <w:t xml:space="preserve">ase No 9151, </w:t>
      </w:r>
      <w:r>
        <w:rPr>
          <w:sz w:val="20"/>
          <w:lang w:val="en-GB"/>
        </w:rPr>
        <w:t xml:space="preserve">Interim Award, 8 June 1999, </w:t>
      </w:r>
      <w:proofErr w:type="spellStart"/>
      <w:r w:rsidRPr="006B0606">
        <w:rPr>
          <w:sz w:val="20"/>
          <w:lang w:val="en-GB"/>
        </w:rPr>
        <w:t>Mealey’s</w:t>
      </w:r>
      <w:proofErr w:type="spellEnd"/>
      <w:r w:rsidRPr="006B0606">
        <w:rPr>
          <w:sz w:val="20"/>
          <w:lang w:val="en-GB"/>
        </w:rPr>
        <w:t xml:space="preserve"> International Arbitration Report, Document 05-011026-020A, </w:t>
      </w:r>
      <w:r>
        <w:rPr>
          <w:sz w:val="20"/>
          <w:lang w:val="en-GB"/>
        </w:rPr>
        <w:t xml:space="preserve">(2001) </w:t>
      </w:r>
      <w:r w:rsidRPr="006B0606">
        <w:rPr>
          <w:sz w:val="20"/>
          <w:lang w:val="en-GB"/>
        </w:rPr>
        <w:t>16(10) I</w:t>
      </w:r>
      <w:r>
        <w:rPr>
          <w:sz w:val="20"/>
          <w:lang w:val="en-GB"/>
        </w:rPr>
        <w:t>nternational</w:t>
      </w:r>
      <w:r w:rsidRPr="006B0606">
        <w:rPr>
          <w:sz w:val="20"/>
          <w:lang w:val="en-GB"/>
        </w:rPr>
        <w:t xml:space="preserve"> A</w:t>
      </w:r>
      <w:r>
        <w:rPr>
          <w:sz w:val="20"/>
          <w:lang w:val="en-GB"/>
        </w:rPr>
        <w:t>rbitration Report</w:t>
      </w:r>
      <w:r w:rsidRPr="006B0606">
        <w:rPr>
          <w:sz w:val="20"/>
          <w:lang w:val="en-GB"/>
        </w:rPr>
        <w:t xml:space="preserve"> 6</w:t>
      </w:r>
      <w:r>
        <w:rPr>
          <w:sz w:val="20"/>
          <w:lang w:val="en-GB"/>
        </w:rPr>
        <w:t xml:space="preserve">, </w:t>
      </w:r>
      <w:r>
        <w:rPr>
          <w:sz w:val="20"/>
          <w:lang w:val="en-US"/>
        </w:rPr>
        <w:t>p</w:t>
      </w:r>
      <w:r w:rsidRPr="006B0606">
        <w:rPr>
          <w:sz w:val="20"/>
          <w:lang w:val="en-US"/>
        </w:rPr>
        <w:t>ara 568.</w:t>
      </w:r>
    </w:p>
  </w:footnote>
  <w:footnote w:id="112">
    <w:p w14:paraId="1507F8BE" w14:textId="092131BC" w:rsidR="00B10BDB" w:rsidRPr="00D81523" w:rsidRDefault="00B10BDB" w:rsidP="00D12AE4">
      <w:pPr>
        <w:pStyle w:val="FootnoteText"/>
        <w:jc w:val="both"/>
        <w:rPr>
          <w:sz w:val="20"/>
        </w:rPr>
      </w:pPr>
      <w:r w:rsidRPr="00D81523">
        <w:rPr>
          <w:rStyle w:val="FootnoteReference"/>
          <w:sz w:val="20"/>
        </w:rPr>
        <w:footnoteRef/>
      </w:r>
      <w:r w:rsidRPr="00D81523">
        <w:rPr>
          <w:sz w:val="20"/>
        </w:rPr>
        <w:t xml:space="preserve"> For an excellent background of the saga, </w:t>
      </w:r>
      <w:proofErr w:type="spellStart"/>
      <w:r w:rsidRPr="00D81523">
        <w:rPr>
          <w:sz w:val="20"/>
        </w:rPr>
        <w:t>see</w:t>
      </w:r>
      <w:proofErr w:type="spellEnd"/>
      <w:r w:rsidRPr="00D81523">
        <w:rPr>
          <w:sz w:val="20"/>
        </w:rPr>
        <w:t xml:space="preserve"> J </w:t>
      </w:r>
      <w:proofErr w:type="spellStart"/>
      <w:r w:rsidRPr="00D81523">
        <w:rPr>
          <w:sz w:val="20"/>
        </w:rPr>
        <w:t>Paulsson</w:t>
      </w:r>
      <w:proofErr w:type="spellEnd"/>
      <w:r w:rsidRPr="00D81523">
        <w:rPr>
          <w:sz w:val="20"/>
        </w:rPr>
        <w:t xml:space="preserve">, ‘The </w:t>
      </w:r>
      <w:proofErr w:type="spellStart"/>
      <w:r w:rsidRPr="00D81523">
        <w:rPr>
          <w:sz w:val="20"/>
        </w:rPr>
        <w:t>Pyramids</w:t>
      </w:r>
      <w:proofErr w:type="spellEnd"/>
      <w:r w:rsidRPr="00D81523">
        <w:rPr>
          <w:sz w:val="20"/>
        </w:rPr>
        <w:t xml:space="preserve"> Case’ in (2014) 1 </w:t>
      </w:r>
      <w:proofErr w:type="spellStart"/>
      <w:r w:rsidRPr="00D81523">
        <w:rPr>
          <w:sz w:val="20"/>
        </w:rPr>
        <w:t>Collected</w:t>
      </w:r>
      <w:proofErr w:type="spellEnd"/>
      <w:r w:rsidRPr="00D81523">
        <w:rPr>
          <w:sz w:val="20"/>
        </w:rPr>
        <w:t xml:space="preserve"> Courses of the International </w:t>
      </w:r>
      <w:proofErr w:type="spellStart"/>
      <w:r w:rsidRPr="00D81523">
        <w:rPr>
          <w:sz w:val="20"/>
        </w:rPr>
        <w:t>Academy</w:t>
      </w:r>
      <w:proofErr w:type="spellEnd"/>
      <w:r w:rsidRPr="00D81523">
        <w:rPr>
          <w:sz w:val="20"/>
        </w:rPr>
        <w:t xml:space="preserve"> for Arbitration Law </w:t>
      </w:r>
      <w:proofErr w:type="spellStart"/>
      <w:r w:rsidRPr="00D81523">
        <w:rPr>
          <w:sz w:val="20"/>
        </w:rPr>
        <w:t>Year</w:t>
      </w:r>
      <w:proofErr w:type="spellEnd"/>
      <w:r w:rsidRPr="00D81523">
        <w:rPr>
          <w:sz w:val="20"/>
        </w:rPr>
        <w:t xml:space="preserve"> 2012</w:t>
      </w:r>
      <w:r w:rsidR="000D6547">
        <w:rPr>
          <w:sz w:val="20"/>
        </w:rPr>
        <w:t>,</w:t>
      </w:r>
      <w:r w:rsidRPr="00D81523">
        <w:rPr>
          <w:sz w:val="20"/>
        </w:rPr>
        <w:t xml:space="preserve"> 1. </w:t>
      </w:r>
    </w:p>
  </w:footnote>
  <w:footnote w:id="113">
    <w:p w14:paraId="1B1C8FB7" w14:textId="2BC82E56" w:rsidR="00B10BDB" w:rsidRPr="00D81523" w:rsidRDefault="00B10BDB" w:rsidP="00D12AE4">
      <w:pPr>
        <w:pStyle w:val="FootnoteText"/>
        <w:jc w:val="both"/>
        <w:rPr>
          <w:sz w:val="20"/>
        </w:rPr>
      </w:pPr>
      <w:r w:rsidRPr="00D81523">
        <w:rPr>
          <w:rStyle w:val="FootnoteReference"/>
          <w:sz w:val="20"/>
        </w:rPr>
        <w:footnoteRef/>
      </w:r>
      <w:r w:rsidRPr="00D81523">
        <w:rPr>
          <w:sz w:val="20"/>
        </w:rPr>
        <w:t xml:space="preserve"> </w:t>
      </w:r>
      <w:r w:rsidRPr="00D81523">
        <w:rPr>
          <w:i/>
          <w:iCs/>
          <w:sz w:val="20"/>
        </w:rPr>
        <w:t xml:space="preserve">SPP (Middle East) Ltd and </w:t>
      </w:r>
      <w:proofErr w:type="spellStart"/>
      <w:r w:rsidRPr="00D81523">
        <w:rPr>
          <w:i/>
          <w:iCs/>
          <w:sz w:val="20"/>
        </w:rPr>
        <w:t>Southern</w:t>
      </w:r>
      <w:proofErr w:type="spellEnd"/>
      <w:r w:rsidRPr="00D81523">
        <w:rPr>
          <w:i/>
          <w:iCs/>
          <w:sz w:val="20"/>
        </w:rPr>
        <w:t xml:space="preserve"> Pacific </w:t>
      </w:r>
      <w:proofErr w:type="spellStart"/>
      <w:r w:rsidRPr="00D81523">
        <w:rPr>
          <w:i/>
          <w:iCs/>
          <w:sz w:val="20"/>
        </w:rPr>
        <w:t>Properties</w:t>
      </w:r>
      <w:proofErr w:type="spellEnd"/>
      <w:r w:rsidRPr="00D81523">
        <w:rPr>
          <w:i/>
          <w:iCs/>
          <w:sz w:val="20"/>
        </w:rPr>
        <w:t xml:space="preserve"> Ltd v </w:t>
      </w:r>
      <w:proofErr w:type="spellStart"/>
      <w:r w:rsidRPr="00D81523">
        <w:rPr>
          <w:i/>
          <w:iCs/>
          <w:sz w:val="20"/>
        </w:rPr>
        <w:t>Arab</w:t>
      </w:r>
      <w:proofErr w:type="spellEnd"/>
      <w:r w:rsidRPr="00D81523">
        <w:rPr>
          <w:i/>
          <w:iCs/>
          <w:sz w:val="20"/>
        </w:rPr>
        <w:t xml:space="preserve"> </w:t>
      </w:r>
      <w:proofErr w:type="spellStart"/>
      <w:r w:rsidRPr="00D81523">
        <w:rPr>
          <w:i/>
          <w:iCs/>
          <w:sz w:val="20"/>
        </w:rPr>
        <w:t>Republic</w:t>
      </w:r>
      <w:proofErr w:type="spellEnd"/>
      <w:r w:rsidRPr="00D81523">
        <w:rPr>
          <w:i/>
          <w:iCs/>
          <w:sz w:val="20"/>
        </w:rPr>
        <w:t xml:space="preserve"> of </w:t>
      </w:r>
      <w:proofErr w:type="spellStart"/>
      <w:r w:rsidRPr="00D81523">
        <w:rPr>
          <w:i/>
          <w:iCs/>
          <w:sz w:val="20"/>
        </w:rPr>
        <w:t>Egypt</w:t>
      </w:r>
      <w:proofErr w:type="spellEnd"/>
      <w:r w:rsidRPr="00D81523">
        <w:rPr>
          <w:i/>
          <w:iCs/>
          <w:sz w:val="20"/>
        </w:rPr>
        <w:t xml:space="preserve"> and </w:t>
      </w:r>
      <w:proofErr w:type="spellStart"/>
      <w:r w:rsidRPr="00D81523">
        <w:rPr>
          <w:i/>
          <w:iCs/>
          <w:sz w:val="20"/>
        </w:rPr>
        <w:t>Egyptian</w:t>
      </w:r>
      <w:proofErr w:type="spellEnd"/>
      <w:r w:rsidRPr="00D81523">
        <w:rPr>
          <w:i/>
          <w:iCs/>
          <w:sz w:val="20"/>
        </w:rPr>
        <w:t xml:space="preserve"> General </w:t>
      </w:r>
      <w:proofErr w:type="spellStart"/>
      <w:r w:rsidRPr="00D81523">
        <w:rPr>
          <w:i/>
          <w:iCs/>
          <w:sz w:val="20"/>
        </w:rPr>
        <w:t>Company</w:t>
      </w:r>
      <w:proofErr w:type="spellEnd"/>
      <w:r w:rsidRPr="00D81523">
        <w:rPr>
          <w:i/>
          <w:iCs/>
          <w:sz w:val="20"/>
        </w:rPr>
        <w:t xml:space="preserve"> for </w:t>
      </w:r>
      <w:proofErr w:type="spellStart"/>
      <w:r w:rsidRPr="00D81523">
        <w:rPr>
          <w:i/>
          <w:iCs/>
          <w:sz w:val="20"/>
        </w:rPr>
        <w:t>Tourism</w:t>
      </w:r>
      <w:proofErr w:type="spellEnd"/>
      <w:r w:rsidRPr="00D81523">
        <w:rPr>
          <w:i/>
          <w:iCs/>
          <w:sz w:val="20"/>
        </w:rPr>
        <w:t xml:space="preserve"> and </w:t>
      </w:r>
      <w:proofErr w:type="spellStart"/>
      <w:r w:rsidRPr="00D81523">
        <w:rPr>
          <w:i/>
          <w:iCs/>
          <w:sz w:val="20"/>
        </w:rPr>
        <w:t>Hotels</w:t>
      </w:r>
      <w:proofErr w:type="spellEnd"/>
      <w:r w:rsidRPr="00D81523">
        <w:rPr>
          <w:sz w:val="20"/>
        </w:rPr>
        <w:t xml:space="preserve">, ICC Case No YD/AS 3493, </w:t>
      </w:r>
      <w:proofErr w:type="spellStart"/>
      <w:r w:rsidRPr="00D81523">
        <w:rPr>
          <w:sz w:val="20"/>
        </w:rPr>
        <w:t>Award</w:t>
      </w:r>
      <w:proofErr w:type="spellEnd"/>
      <w:r w:rsidRPr="00D81523">
        <w:rPr>
          <w:sz w:val="20"/>
        </w:rPr>
        <w:t xml:space="preserve">, 16 </w:t>
      </w:r>
      <w:proofErr w:type="spellStart"/>
      <w:r w:rsidRPr="00D81523">
        <w:rPr>
          <w:sz w:val="20"/>
        </w:rPr>
        <w:t>February</w:t>
      </w:r>
      <w:proofErr w:type="spellEnd"/>
      <w:r w:rsidRPr="00D81523">
        <w:rPr>
          <w:sz w:val="20"/>
        </w:rPr>
        <w:t xml:space="preserve"> 1983, (</w:t>
      </w:r>
      <w:r w:rsidRPr="00D81523">
        <w:rPr>
          <w:sz w:val="20"/>
          <w:lang w:val="en-GB"/>
        </w:rPr>
        <w:t xml:space="preserve">1984) IX Yearbook of Commercial Arbitration 111, (1985) 112 </w:t>
      </w:r>
      <w:r>
        <w:rPr>
          <w:sz w:val="20"/>
          <w:lang w:val="en-GB"/>
        </w:rPr>
        <w:t>JDI</w:t>
      </w:r>
      <w:r w:rsidRPr="00D81523">
        <w:rPr>
          <w:sz w:val="20"/>
          <w:lang w:val="en-GB"/>
        </w:rPr>
        <w:t xml:space="preserve"> (</w:t>
      </w:r>
      <w:proofErr w:type="spellStart"/>
      <w:r w:rsidRPr="00D81523">
        <w:rPr>
          <w:sz w:val="20"/>
          <w:lang w:val="en-GB"/>
        </w:rPr>
        <w:t>Clunet</w:t>
      </w:r>
      <w:proofErr w:type="spellEnd"/>
      <w:r w:rsidRPr="00D81523">
        <w:rPr>
          <w:sz w:val="20"/>
          <w:lang w:val="en-GB"/>
        </w:rPr>
        <w:t xml:space="preserve">) </w:t>
      </w:r>
      <w:proofErr w:type="gramStart"/>
      <w:r w:rsidRPr="00D81523">
        <w:rPr>
          <w:sz w:val="20"/>
          <w:lang w:val="en-GB"/>
        </w:rPr>
        <w:t>130;</w:t>
      </w:r>
      <w:proofErr w:type="gramEnd"/>
      <w:r w:rsidRPr="00D81523">
        <w:rPr>
          <w:sz w:val="20"/>
          <w:lang w:val="en-GB"/>
        </w:rPr>
        <w:t xml:space="preserve"> </w:t>
      </w:r>
      <w:r w:rsidRPr="00D81523">
        <w:rPr>
          <w:sz w:val="20"/>
        </w:rPr>
        <w:t>86 ILR 434.</w:t>
      </w:r>
    </w:p>
  </w:footnote>
  <w:footnote w:id="114">
    <w:p w14:paraId="05BF67BB" w14:textId="14D9D79F" w:rsidR="00B10BDB" w:rsidRPr="00D81523" w:rsidRDefault="00B10BDB" w:rsidP="00D12AE4">
      <w:pPr>
        <w:pStyle w:val="FootnoteText"/>
        <w:jc w:val="both"/>
        <w:rPr>
          <w:sz w:val="20"/>
          <w:lang w:val="en-US"/>
        </w:rPr>
      </w:pPr>
      <w:r w:rsidRPr="00D81523">
        <w:rPr>
          <w:rStyle w:val="FootnoteReference"/>
          <w:sz w:val="20"/>
        </w:rPr>
        <w:footnoteRef/>
      </w:r>
      <w:r w:rsidRPr="00D81523">
        <w:rPr>
          <w:sz w:val="20"/>
        </w:rPr>
        <w:t xml:space="preserve"> </w:t>
      </w:r>
      <w:r w:rsidRPr="00D81523">
        <w:rPr>
          <w:sz w:val="20"/>
          <w:lang w:val="en-GB"/>
        </w:rPr>
        <w:t xml:space="preserve">Paris </w:t>
      </w:r>
      <w:r>
        <w:rPr>
          <w:sz w:val="20"/>
          <w:lang w:val="en-GB"/>
        </w:rPr>
        <w:t>CA</w:t>
      </w:r>
      <w:r w:rsidRPr="00D81523">
        <w:rPr>
          <w:sz w:val="20"/>
          <w:lang w:val="en-GB"/>
        </w:rPr>
        <w:t xml:space="preserve">, (1987) </w:t>
      </w:r>
      <w:r>
        <w:rPr>
          <w:sz w:val="20"/>
          <w:lang w:val="en-GB"/>
        </w:rPr>
        <w:t>JDI</w:t>
      </w:r>
      <w:r w:rsidRPr="00D81523">
        <w:rPr>
          <w:sz w:val="20"/>
          <w:lang w:val="en-GB"/>
        </w:rPr>
        <w:t xml:space="preserve"> (</w:t>
      </w:r>
      <w:proofErr w:type="spellStart"/>
      <w:r w:rsidRPr="00D81523">
        <w:rPr>
          <w:sz w:val="20"/>
          <w:lang w:val="en-GB"/>
        </w:rPr>
        <w:t>Clunet</w:t>
      </w:r>
      <w:proofErr w:type="spellEnd"/>
      <w:r w:rsidRPr="00D81523">
        <w:rPr>
          <w:sz w:val="20"/>
          <w:lang w:val="en-GB"/>
        </w:rPr>
        <w:t xml:space="preserve">) 638, </w:t>
      </w:r>
      <w:r w:rsidRPr="00D81523">
        <w:rPr>
          <w:sz w:val="20"/>
        </w:rPr>
        <w:t xml:space="preserve">86 ILR 474, 477. SPP </w:t>
      </w:r>
      <w:r w:rsidRPr="00D81523">
        <w:rPr>
          <w:sz w:val="20"/>
          <w:lang w:val="en-GB"/>
        </w:rPr>
        <w:t xml:space="preserve">successfully initiated ICSID arbitration against Egypt on the basis of Egypt’s investment promotion legislation marking the beginning of a new era of ‘arbitration without privity’, J </w:t>
      </w:r>
      <w:proofErr w:type="spellStart"/>
      <w:r w:rsidRPr="00D81523">
        <w:rPr>
          <w:sz w:val="20"/>
          <w:lang w:val="en-GB"/>
        </w:rPr>
        <w:t>Paulsson</w:t>
      </w:r>
      <w:proofErr w:type="spellEnd"/>
      <w:r w:rsidRPr="00D81523">
        <w:rPr>
          <w:sz w:val="20"/>
          <w:lang w:val="en-GB"/>
        </w:rPr>
        <w:t xml:space="preserve">, ‘Arbitration Without Privity’ (1995) 10 ICSID Review </w:t>
      </w:r>
      <w:proofErr w:type="gramStart"/>
      <w:r w:rsidRPr="00D81523">
        <w:rPr>
          <w:sz w:val="20"/>
          <w:lang w:val="en-GB"/>
        </w:rPr>
        <w:t>232;</w:t>
      </w:r>
      <w:proofErr w:type="gramEnd"/>
      <w:r w:rsidRPr="00D81523">
        <w:rPr>
          <w:sz w:val="20"/>
          <w:lang w:val="en-GB"/>
        </w:rPr>
        <w:t xml:space="preserve"> </w:t>
      </w:r>
      <w:r w:rsidRPr="00D81523">
        <w:rPr>
          <w:i/>
          <w:iCs/>
          <w:sz w:val="20"/>
          <w:lang w:val="en-GB"/>
        </w:rPr>
        <w:t>Southern Pacific Properties (Middle East) Limited v Arab Republic of Egypt</w:t>
      </w:r>
      <w:r w:rsidRPr="00D81523">
        <w:rPr>
          <w:sz w:val="20"/>
          <w:lang w:val="en-GB"/>
        </w:rPr>
        <w:t>, ICSID Case No ARB/84/3, Decision on Jurisdiction, 14 April 1988</w:t>
      </w:r>
      <w:r w:rsidRPr="00D81523">
        <w:rPr>
          <w:sz w:val="20"/>
        </w:rPr>
        <w:t>.</w:t>
      </w:r>
    </w:p>
  </w:footnote>
  <w:footnote w:id="115">
    <w:p w14:paraId="2F7B0D24" w14:textId="35246BE8" w:rsidR="00B10BDB" w:rsidRPr="00363860"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Bridas</w:t>
      </w:r>
      <w:proofErr w:type="spellEnd"/>
      <w:r w:rsidRPr="00D81523">
        <w:rPr>
          <w:i/>
          <w:iCs/>
          <w:sz w:val="20"/>
          <w:lang w:val="en-GB"/>
        </w:rPr>
        <w:t xml:space="preserve"> SAPIC, </w:t>
      </w:r>
      <w:proofErr w:type="spellStart"/>
      <w:r w:rsidRPr="00D81523">
        <w:rPr>
          <w:i/>
          <w:iCs/>
          <w:sz w:val="20"/>
          <w:lang w:val="en-GB"/>
        </w:rPr>
        <w:t>Bridas</w:t>
      </w:r>
      <w:proofErr w:type="spellEnd"/>
      <w:r w:rsidRPr="00D81523">
        <w:rPr>
          <w:i/>
          <w:iCs/>
          <w:sz w:val="20"/>
          <w:lang w:val="en-GB"/>
        </w:rPr>
        <w:t xml:space="preserve"> Energy International Ltd, Intercontinental Oil and Gas Ventures Ltd and </w:t>
      </w:r>
      <w:proofErr w:type="spellStart"/>
      <w:r w:rsidRPr="00D81523">
        <w:rPr>
          <w:i/>
          <w:iCs/>
          <w:sz w:val="20"/>
          <w:lang w:val="en-GB"/>
        </w:rPr>
        <w:t>Bridas</w:t>
      </w:r>
      <w:proofErr w:type="spellEnd"/>
      <w:r w:rsidRPr="00D81523">
        <w:rPr>
          <w:i/>
          <w:iCs/>
          <w:sz w:val="20"/>
          <w:lang w:val="en-GB"/>
        </w:rPr>
        <w:t xml:space="preserve"> Corporation v Government of Turkmenistan and State Concern </w:t>
      </w:r>
      <w:proofErr w:type="spellStart"/>
      <w:r w:rsidRPr="00D81523">
        <w:rPr>
          <w:i/>
          <w:iCs/>
          <w:sz w:val="20"/>
          <w:lang w:val="en-GB"/>
        </w:rPr>
        <w:t>Tukmenneft</w:t>
      </w:r>
      <w:proofErr w:type="spellEnd"/>
      <w:r w:rsidRPr="00D81523">
        <w:rPr>
          <w:sz w:val="20"/>
          <w:lang w:val="en-GB"/>
        </w:rPr>
        <w:t xml:space="preserve">, 345 F 3d 347 (5th Cir 2003) </w:t>
      </w:r>
      <w:r w:rsidR="008A6C3C">
        <w:rPr>
          <w:sz w:val="20"/>
          <w:lang w:val="en-GB"/>
        </w:rPr>
        <w:t>(‘</w:t>
      </w:r>
      <w:proofErr w:type="spellStart"/>
      <w:r w:rsidR="008A6C3C">
        <w:rPr>
          <w:sz w:val="20"/>
          <w:lang w:val="en-GB"/>
        </w:rPr>
        <w:t>Bridas</w:t>
      </w:r>
      <w:proofErr w:type="spellEnd"/>
      <w:r w:rsidR="008A6C3C">
        <w:rPr>
          <w:sz w:val="20"/>
          <w:lang w:val="en-GB"/>
        </w:rPr>
        <w:t xml:space="preserve"> I’) </w:t>
      </w:r>
      <w:r w:rsidRPr="00D81523">
        <w:rPr>
          <w:sz w:val="20"/>
          <w:lang w:val="en-GB"/>
        </w:rPr>
        <w:t xml:space="preserve">at 17 </w:t>
      </w:r>
      <w:r w:rsidRPr="00363860">
        <w:rPr>
          <w:sz w:val="20"/>
          <w:lang w:val="en-GB"/>
        </w:rPr>
        <w:t>(emphasis added).</w:t>
      </w:r>
      <w:r>
        <w:rPr>
          <w:sz w:val="20"/>
          <w:lang w:val="en-GB"/>
        </w:rPr>
        <w:t xml:space="preserve"> </w:t>
      </w:r>
      <w:proofErr w:type="spellStart"/>
      <w:r w:rsidR="008A6C3C">
        <w:rPr>
          <w:sz w:val="20"/>
          <w:lang w:val="en-GB"/>
        </w:rPr>
        <w:t>Cf</w:t>
      </w:r>
      <w:proofErr w:type="spellEnd"/>
      <w:r>
        <w:rPr>
          <w:sz w:val="20"/>
          <w:lang w:val="en-GB"/>
        </w:rPr>
        <w:t xml:space="preserve"> </w:t>
      </w:r>
      <w:r w:rsidRPr="006B0606">
        <w:rPr>
          <w:i/>
          <w:iCs/>
          <w:sz w:val="20"/>
          <w:lang w:val="en-GB"/>
        </w:rPr>
        <w:t xml:space="preserve">Joint Venture </w:t>
      </w:r>
      <w:proofErr w:type="spellStart"/>
      <w:r w:rsidRPr="006B0606">
        <w:rPr>
          <w:i/>
          <w:iCs/>
          <w:sz w:val="20"/>
          <w:lang w:val="en-GB"/>
        </w:rPr>
        <w:t>Yashlar</w:t>
      </w:r>
      <w:proofErr w:type="spellEnd"/>
      <w:r w:rsidRPr="006B0606">
        <w:rPr>
          <w:i/>
          <w:iCs/>
          <w:sz w:val="20"/>
          <w:lang w:val="en-GB"/>
        </w:rPr>
        <w:t xml:space="preserve"> and </w:t>
      </w:r>
      <w:proofErr w:type="spellStart"/>
      <w:r w:rsidRPr="006B0606">
        <w:rPr>
          <w:i/>
          <w:iCs/>
          <w:sz w:val="20"/>
          <w:lang w:val="en-GB"/>
        </w:rPr>
        <w:t>Bridas</w:t>
      </w:r>
      <w:proofErr w:type="spellEnd"/>
      <w:r w:rsidRPr="006B0606">
        <w:rPr>
          <w:i/>
          <w:iCs/>
          <w:sz w:val="20"/>
          <w:lang w:val="en-GB"/>
        </w:rPr>
        <w:t xml:space="preserve"> SAPIC v Government of Turkmenistan</w:t>
      </w:r>
      <w:r w:rsidRPr="006B0606">
        <w:rPr>
          <w:sz w:val="20"/>
          <w:lang w:val="en-GB"/>
        </w:rPr>
        <w:t>, ICC</w:t>
      </w:r>
      <w:r>
        <w:rPr>
          <w:sz w:val="20"/>
          <w:lang w:val="en-GB"/>
        </w:rPr>
        <w:t xml:space="preserve"> C</w:t>
      </w:r>
      <w:r w:rsidRPr="006B0606">
        <w:rPr>
          <w:sz w:val="20"/>
          <w:lang w:val="en-GB"/>
        </w:rPr>
        <w:t xml:space="preserve">ase No 9151, </w:t>
      </w:r>
      <w:r>
        <w:rPr>
          <w:sz w:val="20"/>
          <w:lang w:val="en-GB"/>
        </w:rPr>
        <w:t xml:space="preserve">Interim Award, 8 June 1999, </w:t>
      </w:r>
      <w:proofErr w:type="spellStart"/>
      <w:r w:rsidRPr="006B0606">
        <w:rPr>
          <w:sz w:val="20"/>
          <w:lang w:val="en-GB"/>
        </w:rPr>
        <w:t>Mealey’s</w:t>
      </w:r>
      <w:proofErr w:type="spellEnd"/>
      <w:r w:rsidRPr="006B0606">
        <w:rPr>
          <w:sz w:val="20"/>
          <w:lang w:val="en-GB"/>
        </w:rPr>
        <w:t xml:space="preserve"> International Arbitration Report, Document 05-011026-020A, </w:t>
      </w:r>
      <w:r>
        <w:rPr>
          <w:sz w:val="20"/>
          <w:lang w:val="en-GB"/>
        </w:rPr>
        <w:t xml:space="preserve">(2001) </w:t>
      </w:r>
      <w:r w:rsidRPr="006B0606">
        <w:rPr>
          <w:sz w:val="20"/>
          <w:lang w:val="en-GB"/>
        </w:rPr>
        <w:t>16(10) I</w:t>
      </w:r>
      <w:r>
        <w:rPr>
          <w:sz w:val="20"/>
          <w:lang w:val="en-GB"/>
        </w:rPr>
        <w:t>nternational</w:t>
      </w:r>
      <w:r w:rsidRPr="006B0606">
        <w:rPr>
          <w:sz w:val="20"/>
          <w:lang w:val="en-GB"/>
        </w:rPr>
        <w:t xml:space="preserve"> A</w:t>
      </w:r>
      <w:r>
        <w:rPr>
          <w:sz w:val="20"/>
          <w:lang w:val="en-GB"/>
        </w:rPr>
        <w:t>rbitration Report</w:t>
      </w:r>
      <w:r w:rsidRPr="006B0606">
        <w:rPr>
          <w:sz w:val="20"/>
          <w:lang w:val="en-GB"/>
        </w:rPr>
        <w:t xml:space="preserve"> 6</w:t>
      </w:r>
      <w:r>
        <w:rPr>
          <w:sz w:val="20"/>
          <w:lang w:val="en-GB"/>
        </w:rPr>
        <w:t>, section 6.</w:t>
      </w:r>
    </w:p>
  </w:footnote>
  <w:footnote w:id="116">
    <w:p w14:paraId="1EB3FD77" w14:textId="71E14899" w:rsidR="00B10BDB" w:rsidRPr="00363860" w:rsidRDefault="00B10BDB" w:rsidP="00D12AE4">
      <w:pPr>
        <w:pStyle w:val="FootnoteText"/>
        <w:jc w:val="both"/>
        <w:rPr>
          <w:sz w:val="20"/>
          <w:lang w:val="en-GB"/>
        </w:rPr>
      </w:pPr>
      <w:r w:rsidRPr="00363860">
        <w:rPr>
          <w:rStyle w:val="FootnoteReference"/>
          <w:sz w:val="20"/>
          <w:lang w:val="en-GB"/>
        </w:rPr>
        <w:footnoteRef/>
      </w:r>
      <w:r w:rsidRPr="00363860">
        <w:rPr>
          <w:sz w:val="20"/>
          <w:lang w:val="en-GB"/>
        </w:rPr>
        <w:t xml:space="preserve"> </w:t>
      </w:r>
      <w:proofErr w:type="spellStart"/>
      <w:r w:rsidR="008A6C3C" w:rsidRPr="008A6C3C">
        <w:rPr>
          <w:i/>
          <w:iCs/>
          <w:sz w:val="20"/>
          <w:lang w:val="en-GB"/>
        </w:rPr>
        <w:t>Bridas</w:t>
      </w:r>
      <w:proofErr w:type="spellEnd"/>
      <w:r w:rsidR="008A6C3C" w:rsidRPr="008A6C3C">
        <w:rPr>
          <w:i/>
          <w:iCs/>
          <w:sz w:val="20"/>
          <w:lang w:val="en-GB"/>
        </w:rPr>
        <w:t xml:space="preserve"> I</w:t>
      </w:r>
      <w:r w:rsidRPr="00363860">
        <w:rPr>
          <w:sz w:val="20"/>
          <w:lang w:val="en-GB"/>
        </w:rPr>
        <w:t>, 18.</w:t>
      </w:r>
      <w:r>
        <w:rPr>
          <w:sz w:val="20"/>
          <w:lang w:val="en-GB"/>
        </w:rPr>
        <w:t xml:space="preserve"> On the second </w:t>
      </w:r>
      <w:proofErr w:type="spellStart"/>
      <w:r>
        <w:rPr>
          <w:sz w:val="20"/>
          <w:lang w:val="en-GB"/>
        </w:rPr>
        <w:t>Bridas</w:t>
      </w:r>
      <w:proofErr w:type="spellEnd"/>
      <w:r>
        <w:rPr>
          <w:sz w:val="20"/>
          <w:lang w:val="en-GB"/>
        </w:rPr>
        <w:t xml:space="preserve"> case before the US Court of Appeal see below </w:t>
      </w:r>
      <w:r w:rsidRPr="00013F9A">
        <w:rPr>
          <w:b/>
          <w:bCs/>
          <w:sz w:val="20"/>
          <w:lang w:val="en-GB"/>
        </w:rPr>
        <w:t xml:space="preserve">Section </w:t>
      </w:r>
      <w:r>
        <w:rPr>
          <w:b/>
          <w:bCs/>
          <w:sz w:val="20"/>
          <w:lang w:val="en-GB"/>
        </w:rPr>
        <w:t>I</w:t>
      </w:r>
      <w:r w:rsidRPr="00013F9A">
        <w:rPr>
          <w:b/>
          <w:bCs/>
          <w:sz w:val="20"/>
          <w:lang w:val="en-GB"/>
        </w:rPr>
        <w:t>V.B</w:t>
      </w:r>
      <w:r>
        <w:rPr>
          <w:sz w:val="20"/>
          <w:lang w:val="en-GB"/>
        </w:rPr>
        <w:t>.</w:t>
      </w:r>
    </w:p>
  </w:footnote>
  <w:footnote w:id="117">
    <w:p w14:paraId="57640844" w14:textId="70807970"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Lord </w:t>
      </w:r>
      <w:proofErr w:type="spellStart"/>
      <w:r w:rsidRPr="00D81523">
        <w:rPr>
          <w:sz w:val="20"/>
          <w:lang w:val="en-GB"/>
        </w:rPr>
        <w:t>Mance</w:t>
      </w:r>
      <w:proofErr w:type="spellEnd"/>
      <w:r w:rsidRPr="00D81523">
        <w:rPr>
          <w:sz w:val="20"/>
          <w:lang w:val="en-GB"/>
        </w:rPr>
        <w:t xml:space="preserve">, ‘Arbitration: a Law unto itself’ (2016) 32 Arbitration International 223; J </w:t>
      </w:r>
      <w:proofErr w:type="spellStart"/>
      <w:r w:rsidRPr="00D81523">
        <w:rPr>
          <w:sz w:val="20"/>
          <w:lang w:val="en-GB"/>
        </w:rPr>
        <w:t>Kleinheisterkamp</w:t>
      </w:r>
      <w:proofErr w:type="spellEnd"/>
      <w:r w:rsidRPr="00D81523">
        <w:rPr>
          <w:sz w:val="20"/>
          <w:lang w:val="en-GB"/>
        </w:rPr>
        <w:t xml:space="preserve">, ‘Lord </w:t>
      </w:r>
      <w:proofErr w:type="spellStart"/>
      <w:r w:rsidRPr="00D81523">
        <w:rPr>
          <w:sz w:val="20"/>
          <w:lang w:val="en-GB"/>
        </w:rPr>
        <w:t>Mustill</w:t>
      </w:r>
      <w:proofErr w:type="spellEnd"/>
      <w:r w:rsidRPr="00D81523">
        <w:rPr>
          <w:sz w:val="20"/>
          <w:lang w:val="en-GB"/>
        </w:rPr>
        <w:t xml:space="preserve"> and the Courts of Tennis - </w:t>
      </w:r>
      <w:proofErr w:type="spellStart"/>
      <w:r w:rsidRPr="00D81523">
        <w:rPr>
          <w:sz w:val="20"/>
          <w:lang w:val="en-GB"/>
        </w:rPr>
        <w:t>Dallah</w:t>
      </w:r>
      <w:proofErr w:type="spellEnd"/>
      <w:r w:rsidRPr="00D81523">
        <w:rPr>
          <w:sz w:val="20"/>
          <w:lang w:val="en-GB"/>
        </w:rPr>
        <w:t xml:space="preserve"> v Pakistan in England, France and Utopia’ (2012) 75 Modern Law Review 639, 653; P Mayer, ‘The extension of the Arbitration Clause to Non-signatories – the irreconcilable positions of French and English Courts’ (2012) 27 American University International Law Review 831;  </w:t>
      </w:r>
      <w:proofErr w:type="spellStart"/>
      <w:r w:rsidRPr="00D81523">
        <w:rPr>
          <w:sz w:val="20"/>
          <w:lang w:val="en-GB"/>
        </w:rPr>
        <w:t>Hanotiau</w:t>
      </w:r>
      <w:proofErr w:type="spellEnd"/>
      <w:r w:rsidRPr="00D81523">
        <w:rPr>
          <w:sz w:val="20"/>
          <w:lang w:val="en-GB"/>
        </w:rPr>
        <w:t xml:space="preserve"> </w:t>
      </w:r>
      <w:r>
        <w:rPr>
          <w:sz w:val="20"/>
          <w:lang w:val="en-GB"/>
        </w:rPr>
        <w:t xml:space="preserve">(n </w:t>
      </w:r>
      <w:r w:rsidRPr="007167B2">
        <w:rPr>
          <w:sz w:val="20"/>
          <w:lang w:val="en-GB"/>
        </w:rPr>
        <w:t>16)</w:t>
      </w:r>
      <w:r>
        <w:rPr>
          <w:sz w:val="20"/>
          <w:lang w:val="en-GB"/>
        </w:rPr>
        <w:t xml:space="preserve"> </w:t>
      </w:r>
      <w:r w:rsidRPr="00D81523">
        <w:rPr>
          <w:sz w:val="20"/>
          <w:lang w:val="en-GB"/>
        </w:rPr>
        <w:t>398-401; D Khanna, ‘</w:t>
      </w:r>
      <w:proofErr w:type="spellStart"/>
      <w:r w:rsidRPr="00D81523">
        <w:rPr>
          <w:sz w:val="20"/>
          <w:lang w:val="en-GB"/>
        </w:rPr>
        <w:t>Dallah</w:t>
      </w:r>
      <w:proofErr w:type="spellEnd"/>
      <w:r w:rsidRPr="00D81523">
        <w:rPr>
          <w:sz w:val="20"/>
          <w:lang w:val="en-GB"/>
        </w:rPr>
        <w:t xml:space="preserve">: The Supreme Court’s Positively Pro-Arbitration “No” to Enforcement’ (2011) 28 Journal of International Arbitration 127; G A </w:t>
      </w:r>
      <w:proofErr w:type="spellStart"/>
      <w:r w:rsidRPr="00D81523">
        <w:rPr>
          <w:sz w:val="20"/>
          <w:lang w:val="en-GB"/>
        </w:rPr>
        <w:t>Bermann</w:t>
      </w:r>
      <w:proofErr w:type="spellEnd"/>
      <w:r w:rsidRPr="00D81523">
        <w:rPr>
          <w:sz w:val="20"/>
          <w:lang w:val="en-GB"/>
        </w:rPr>
        <w:t xml:space="preserve">, ‘The UK Supreme Court Speaks to International Arbitration: Learning from the </w:t>
      </w:r>
      <w:proofErr w:type="spellStart"/>
      <w:r w:rsidRPr="00D81523">
        <w:rPr>
          <w:sz w:val="20"/>
          <w:lang w:val="en-GB"/>
        </w:rPr>
        <w:t>Dallah</w:t>
      </w:r>
      <w:proofErr w:type="spellEnd"/>
      <w:r w:rsidRPr="00D81523">
        <w:rPr>
          <w:sz w:val="20"/>
          <w:lang w:val="en-GB"/>
        </w:rPr>
        <w:t xml:space="preserve"> Case’ (2011) 22 American Review of International Arbitration 1.</w:t>
      </w:r>
      <w:r>
        <w:rPr>
          <w:sz w:val="20"/>
          <w:lang w:val="en-GB"/>
        </w:rPr>
        <w:t xml:space="preserve"> See generally the </w:t>
      </w:r>
      <w:r w:rsidRPr="00407C68">
        <w:rPr>
          <w:sz w:val="20"/>
          <w:lang w:val="en-GB"/>
        </w:rPr>
        <w:t xml:space="preserve">S L </w:t>
      </w:r>
      <w:proofErr w:type="spellStart"/>
      <w:r w:rsidRPr="00407C68">
        <w:rPr>
          <w:sz w:val="20"/>
          <w:lang w:val="en-GB"/>
        </w:rPr>
        <w:t>Brekoulakis</w:t>
      </w:r>
      <w:proofErr w:type="spellEnd"/>
      <w:r>
        <w:rPr>
          <w:sz w:val="20"/>
          <w:lang w:val="en-GB"/>
        </w:rPr>
        <w:t>,</w:t>
      </w:r>
      <w:r w:rsidRPr="00407C68">
        <w:rPr>
          <w:sz w:val="20"/>
          <w:lang w:val="en-GB"/>
        </w:rPr>
        <w:t xml:space="preserve"> </w:t>
      </w:r>
      <w:r w:rsidRPr="00407C68">
        <w:rPr>
          <w:i/>
          <w:iCs/>
          <w:sz w:val="20"/>
          <w:lang w:val="en-GB"/>
        </w:rPr>
        <w:t>Third Parties in International Commercial Arbitration</w:t>
      </w:r>
      <w:r>
        <w:rPr>
          <w:sz w:val="20"/>
          <w:lang w:val="en-GB"/>
        </w:rPr>
        <w:t xml:space="preserve"> (OUP, Oxford 2011).</w:t>
      </w:r>
    </w:p>
  </w:footnote>
  <w:footnote w:id="118">
    <w:p w14:paraId="254EBC2B" w14:textId="6ABD1550" w:rsidR="00B10BDB" w:rsidRPr="006B0606"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Dallah</w:t>
      </w:r>
      <w:proofErr w:type="spellEnd"/>
      <w:r w:rsidRPr="00D81523">
        <w:rPr>
          <w:i/>
          <w:iCs/>
          <w:sz w:val="20"/>
          <w:lang w:val="en-GB"/>
        </w:rPr>
        <w:t xml:space="preserve"> v Government of Pakistan</w:t>
      </w:r>
      <w:r w:rsidRPr="00D81523">
        <w:rPr>
          <w:sz w:val="20"/>
          <w:lang w:val="en-GB"/>
        </w:rPr>
        <w:t xml:space="preserve"> [2010] UKSC 46, para 145, per Lord Collins</w:t>
      </w:r>
      <w:r>
        <w:rPr>
          <w:sz w:val="20"/>
          <w:lang w:val="en-GB"/>
        </w:rPr>
        <w:t>.</w:t>
      </w:r>
      <w:r w:rsidRPr="00D81523">
        <w:rPr>
          <w:sz w:val="20"/>
          <w:lang w:val="en-GB"/>
        </w:rPr>
        <w:t xml:space="preserve"> </w:t>
      </w:r>
    </w:p>
  </w:footnote>
  <w:footnote w:id="119">
    <w:p w14:paraId="7A317800" w14:textId="4BA2A9EF" w:rsidR="00B10BDB" w:rsidRPr="009D7E80" w:rsidRDefault="00B10BDB" w:rsidP="00D12AE4">
      <w:pPr>
        <w:pStyle w:val="FootnoteText"/>
        <w:jc w:val="both"/>
        <w:rPr>
          <w:lang w:val="en-US"/>
        </w:rPr>
      </w:pPr>
      <w:r w:rsidRPr="009D7E80">
        <w:rPr>
          <w:rStyle w:val="FootnoteReference"/>
          <w:sz w:val="20"/>
        </w:rPr>
        <w:footnoteRef/>
      </w:r>
      <w:r w:rsidRPr="009D7E80">
        <w:rPr>
          <w:sz w:val="20"/>
        </w:rPr>
        <w:t xml:space="preserve"> </w:t>
      </w:r>
      <w:proofErr w:type="spellStart"/>
      <w:r w:rsidRPr="009D7E80">
        <w:rPr>
          <w:i/>
          <w:iCs/>
          <w:sz w:val="20"/>
          <w:lang w:val="en-GB"/>
        </w:rPr>
        <w:t>Gouvernement</w:t>
      </w:r>
      <w:proofErr w:type="spellEnd"/>
      <w:r w:rsidRPr="00D81523">
        <w:rPr>
          <w:i/>
          <w:iCs/>
          <w:sz w:val="20"/>
          <w:lang w:val="en-GB"/>
        </w:rPr>
        <w:t xml:space="preserve"> du Pakistan – </w:t>
      </w:r>
      <w:proofErr w:type="spellStart"/>
      <w:r w:rsidRPr="00D81523">
        <w:rPr>
          <w:i/>
          <w:iCs/>
          <w:sz w:val="20"/>
          <w:lang w:val="en-GB"/>
        </w:rPr>
        <w:t>Ministère</w:t>
      </w:r>
      <w:proofErr w:type="spellEnd"/>
      <w:r w:rsidRPr="00D81523">
        <w:rPr>
          <w:i/>
          <w:iCs/>
          <w:sz w:val="20"/>
          <w:lang w:val="en-GB"/>
        </w:rPr>
        <w:t xml:space="preserve"> des Affaires Religieuses c </w:t>
      </w:r>
      <w:proofErr w:type="spellStart"/>
      <w:r w:rsidRPr="00D81523">
        <w:rPr>
          <w:i/>
          <w:iCs/>
          <w:sz w:val="20"/>
          <w:lang w:val="en-GB"/>
        </w:rPr>
        <w:t>Dallah</w:t>
      </w:r>
      <w:proofErr w:type="spellEnd"/>
      <w:r w:rsidRPr="00D81523">
        <w:rPr>
          <w:i/>
          <w:iCs/>
          <w:sz w:val="20"/>
          <w:lang w:val="en-GB"/>
        </w:rPr>
        <w:t xml:space="preserve"> Real Estate and Tourism Holding Company</w:t>
      </w:r>
      <w:r w:rsidRPr="00D81523">
        <w:rPr>
          <w:sz w:val="20"/>
          <w:lang w:val="en-GB"/>
        </w:rPr>
        <w:t>, Case No 09/28533, 17 February 2011, English translation in (2012) 51 ILM 288, 291</w:t>
      </w:r>
      <w:r w:rsidRPr="006B0606">
        <w:rPr>
          <w:sz w:val="20"/>
          <w:lang w:val="en-GB"/>
        </w:rPr>
        <w:t>.</w:t>
      </w:r>
    </w:p>
  </w:footnote>
  <w:footnote w:id="120">
    <w:p w14:paraId="24D0B4BD"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Contractor A (Luxembourg) v Ministry of Agriculture and Water Management of Z (Republic of Z), State Fund for Development of Agriculture of Z, (Republic of Z) and others</w:t>
      </w:r>
      <w:r w:rsidRPr="00D81523">
        <w:rPr>
          <w:sz w:val="20"/>
          <w:lang w:val="en-GB"/>
        </w:rPr>
        <w:t xml:space="preserve">, ICC Case No 9762, Final Award, 2001 in A Jan van den Berg (ed), </w:t>
      </w:r>
      <w:r w:rsidRPr="00D81523">
        <w:rPr>
          <w:i/>
          <w:iCs/>
          <w:sz w:val="20"/>
          <w:lang w:val="en-GB"/>
        </w:rPr>
        <w:t>Yearbook Commercial Arbitration 2004, Vol 29</w:t>
      </w:r>
      <w:r w:rsidRPr="00D81523">
        <w:rPr>
          <w:sz w:val="20"/>
          <w:lang w:val="en-GB"/>
        </w:rPr>
        <w:t xml:space="preserve">  (Kluwer Law International; The Hague 2004) 26-45.</w:t>
      </w:r>
    </w:p>
  </w:footnote>
  <w:footnote w:id="121">
    <w:p w14:paraId="75B28089" w14:textId="597DA355" w:rsidR="00B10BDB" w:rsidRPr="00363860" w:rsidRDefault="00B10BDB" w:rsidP="00D12AE4">
      <w:pPr>
        <w:pStyle w:val="FootnoteText"/>
        <w:jc w:val="both"/>
        <w:rPr>
          <w:sz w:val="20"/>
          <w:lang w:val="en-US"/>
        </w:rPr>
      </w:pPr>
      <w:r w:rsidRPr="00363860">
        <w:rPr>
          <w:rStyle w:val="FootnoteReference"/>
          <w:sz w:val="20"/>
        </w:rPr>
        <w:footnoteRef/>
      </w:r>
      <w:r w:rsidRPr="00363860">
        <w:rPr>
          <w:sz w:val="20"/>
        </w:rPr>
        <w:t xml:space="preserve"> </w:t>
      </w:r>
      <w:proofErr w:type="spellStart"/>
      <w:r>
        <w:rPr>
          <w:sz w:val="20"/>
        </w:rPr>
        <w:t>Ibid</w:t>
      </w:r>
      <w:proofErr w:type="spellEnd"/>
      <w:r>
        <w:rPr>
          <w:sz w:val="20"/>
        </w:rPr>
        <w:t xml:space="preserve"> </w:t>
      </w:r>
      <w:proofErr w:type="gramStart"/>
      <w:r>
        <w:rPr>
          <w:sz w:val="20"/>
        </w:rPr>
        <w:t>53;</w:t>
      </w:r>
      <w:proofErr w:type="gramEnd"/>
      <w:r>
        <w:rPr>
          <w:sz w:val="20"/>
        </w:rPr>
        <w:t xml:space="preserve"> </w:t>
      </w:r>
      <w:proofErr w:type="spellStart"/>
      <w:r>
        <w:rPr>
          <w:sz w:val="20"/>
        </w:rPr>
        <w:t>see</w:t>
      </w:r>
      <w:proofErr w:type="spellEnd"/>
      <w:r>
        <w:rPr>
          <w:sz w:val="20"/>
        </w:rPr>
        <w:t xml:space="preserve"> </w:t>
      </w:r>
      <w:proofErr w:type="spellStart"/>
      <w:r>
        <w:rPr>
          <w:sz w:val="20"/>
        </w:rPr>
        <w:t>also</w:t>
      </w:r>
      <w:proofErr w:type="spellEnd"/>
      <w:r>
        <w:rPr>
          <w:sz w:val="20"/>
        </w:rPr>
        <w:t xml:space="preserve"> </w:t>
      </w:r>
      <w:proofErr w:type="spellStart"/>
      <w:r>
        <w:rPr>
          <w:sz w:val="20"/>
        </w:rPr>
        <w:t>ibid</w:t>
      </w:r>
      <w:proofErr w:type="spellEnd"/>
      <w:r>
        <w:rPr>
          <w:sz w:val="20"/>
        </w:rPr>
        <w:t xml:space="preserve"> 51.</w:t>
      </w:r>
    </w:p>
  </w:footnote>
  <w:footnote w:id="122">
    <w:p w14:paraId="4B8D5DA5" w14:textId="4B4408F8" w:rsidR="00B10BDB" w:rsidRPr="0087241B" w:rsidRDefault="00B10BDB" w:rsidP="00D12AE4">
      <w:pPr>
        <w:pStyle w:val="FootnoteText"/>
        <w:jc w:val="both"/>
        <w:rPr>
          <w:i/>
          <w:iCs/>
          <w:sz w:val="20"/>
          <w:lang w:val="en-US"/>
        </w:rPr>
      </w:pPr>
      <w:r w:rsidRPr="00D81523">
        <w:rPr>
          <w:rStyle w:val="FootnoteReference"/>
          <w:sz w:val="20"/>
          <w:lang w:val="en-GB"/>
        </w:rPr>
        <w:footnoteRef/>
      </w:r>
      <w:r w:rsidRPr="00D81523">
        <w:rPr>
          <w:sz w:val="20"/>
          <w:lang w:val="en-GB"/>
        </w:rPr>
        <w:t xml:space="preserve"> </w:t>
      </w:r>
      <w:proofErr w:type="spellStart"/>
      <w:r>
        <w:rPr>
          <w:sz w:val="20"/>
          <w:lang w:val="en-GB"/>
        </w:rPr>
        <w:t>Cf</w:t>
      </w:r>
      <w:proofErr w:type="spellEnd"/>
      <w:r w:rsidRPr="00D81523">
        <w:rPr>
          <w:sz w:val="20"/>
          <w:lang w:val="en-GB"/>
        </w:rPr>
        <w:t xml:space="preserve"> </w:t>
      </w:r>
      <w:r>
        <w:rPr>
          <w:sz w:val="20"/>
          <w:lang w:val="en-GB"/>
        </w:rPr>
        <w:t xml:space="preserve">the analysis in </w:t>
      </w:r>
      <w:r w:rsidRPr="00D81523">
        <w:rPr>
          <w:i/>
          <w:iCs/>
          <w:sz w:val="20"/>
          <w:lang w:val="en-GB"/>
        </w:rPr>
        <w:t xml:space="preserve">Mohamed </w:t>
      </w:r>
      <w:proofErr w:type="spellStart"/>
      <w:r w:rsidRPr="00D81523">
        <w:rPr>
          <w:i/>
          <w:iCs/>
          <w:sz w:val="20"/>
          <w:lang w:val="en-GB"/>
        </w:rPr>
        <w:t>Abdulmohsen</w:t>
      </w:r>
      <w:proofErr w:type="spellEnd"/>
      <w:r w:rsidRPr="00D81523">
        <w:rPr>
          <w:i/>
          <w:iCs/>
          <w:sz w:val="20"/>
          <w:lang w:val="en-GB"/>
        </w:rPr>
        <w:t xml:space="preserve"> Al-Kharafi &amp; Sons Co v The Government of the State of Libya </w:t>
      </w:r>
      <w:r w:rsidRPr="00D81523">
        <w:rPr>
          <w:sz w:val="20"/>
          <w:lang w:val="en-GB"/>
        </w:rPr>
        <w:t>and others (Ad-hoc arbitration subject to the Unified Agreement for the Investment of Arab Capital in the Arab States), Final Arbitral Award, 22 March 2013, 257-267</w:t>
      </w:r>
      <w:r>
        <w:rPr>
          <w:sz w:val="20"/>
          <w:lang w:val="el-GR"/>
        </w:rPr>
        <w:t xml:space="preserve"> </w:t>
      </w:r>
      <w:r>
        <w:rPr>
          <w:sz w:val="20"/>
          <w:lang w:val="en-US"/>
        </w:rPr>
        <w:t xml:space="preserve">as well as CA Paris, </w:t>
      </w:r>
      <w:r w:rsidRPr="00FA03E4">
        <w:rPr>
          <w:i/>
          <w:iCs/>
          <w:sz w:val="20"/>
          <w:lang w:val="en-US"/>
        </w:rPr>
        <w:t xml:space="preserve">Le </w:t>
      </w:r>
      <w:proofErr w:type="spellStart"/>
      <w:r w:rsidRPr="00FA03E4">
        <w:rPr>
          <w:i/>
          <w:iCs/>
          <w:sz w:val="20"/>
          <w:lang w:val="en-US"/>
        </w:rPr>
        <w:t>Gouvernement</w:t>
      </w:r>
      <w:proofErr w:type="spellEnd"/>
      <w:r w:rsidRPr="00FA03E4">
        <w:rPr>
          <w:i/>
          <w:iCs/>
          <w:sz w:val="20"/>
          <w:lang w:val="en-US"/>
        </w:rPr>
        <w:t xml:space="preserve"> de </w:t>
      </w:r>
      <w:proofErr w:type="spellStart"/>
      <w:r w:rsidRPr="00FA03E4">
        <w:rPr>
          <w:i/>
          <w:iCs/>
          <w:sz w:val="20"/>
          <w:lang w:val="en-US"/>
        </w:rPr>
        <w:t>l’Etat</w:t>
      </w:r>
      <w:proofErr w:type="spellEnd"/>
      <w:r w:rsidRPr="00FA03E4">
        <w:rPr>
          <w:i/>
          <w:iCs/>
          <w:sz w:val="20"/>
          <w:lang w:val="en-US"/>
        </w:rPr>
        <w:t xml:space="preserve"> </w:t>
      </w:r>
      <w:proofErr w:type="spellStart"/>
      <w:r w:rsidRPr="00FA03E4">
        <w:rPr>
          <w:i/>
          <w:iCs/>
          <w:sz w:val="20"/>
          <w:lang w:val="en-US"/>
        </w:rPr>
        <w:t>Libyen</w:t>
      </w:r>
      <w:proofErr w:type="spellEnd"/>
      <w:r w:rsidRPr="00FA03E4">
        <w:rPr>
          <w:i/>
          <w:iCs/>
          <w:sz w:val="20"/>
          <w:lang w:val="en-US"/>
        </w:rPr>
        <w:t xml:space="preserve"> et al c Société Mohamed Abdel </w:t>
      </w:r>
      <w:proofErr w:type="spellStart"/>
      <w:r w:rsidRPr="00FA03E4">
        <w:rPr>
          <w:i/>
          <w:iCs/>
          <w:sz w:val="20"/>
          <w:lang w:val="en-US"/>
        </w:rPr>
        <w:t>Moshen</w:t>
      </w:r>
      <w:proofErr w:type="spellEnd"/>
      <w:r w:rsidRPr="00FA03E4">
        <w:rPr>
          <w:i/>
          <w:iCs/>
          <w:sz w:val="20"/>
          <w:lang w:val="en-US"/>
        </w:rPr>
        <w:t xml:space="preserve"> Al-Kharafi et </w:t>
      </w:r>
      <w:proofErr w:type="spellStart"/>
      <w:r w:rsidRPr="00FA03E4">
        <w:rPr>
          <w:i/>
          <w:iCs/>
          <w:sz w:val="20"/>
          <w:lang w:val="en-US"/>
        </w:rPr>
        <w:t>Fils</w:t>
      </w:r>
      <w:proofErr w:type="spellEnd"/>
      <w:r>
        <w:rPr>
          <w:sz w:val="20"/>
          <w:lang w:val="en-US"/>
        </w:rPr>
        <w:t>,</w:t>
      </w:r>
      <w:r w:rsidRPr="00FA03E4">
        <w:rPr>
          <w:i/>
          <w:iCs/>
          <w:sz w:val="20"/>
          <w:lang w:val="en-US"/>
        </w:rPr>
        <w:t xml:space="preserve"> </w:t>
      </w:r>
      <w:r>
        <w:rPr>
          <w:sz w:val="20"/>
          <w:lang w:val="en-US"/>
        </w:rPr>
        <w:t xml:space="preserve">28 October 2013, 13/18811 and 13/19246. </w:t>
      </w:r>
    </w:p>
  </w:footnote>
  <w:footnote w:id="123">
    <w:p w14:paraId="044D597E" w14:textId="39C3452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 xml:space="preserve">Banque </w:t>
      </w:r>
      <w:proofErr w:type="spellStart"/>
      <w:r w:rsidRPr="00D81523">
        <w:rPr>
          <w:i/>
          <w:iCs/>
          <w:sz w:val="20"/>
          <w:lang w:val="en-GB"/>
        </w:rPr>
        <w:t>Arabe</w:t>
      </w:r>
      <w:proofErr w:type="spellEnd"/>
      <w:r w:rsidRPr="00D81523">
        <w:rPr>
          <w:i/>
          <w:iCs/>
          <w:sz w:val="20"/>
          <w:lang w:val="en-GB"/>
        </w:rPr>
        <w:t xml:space="preserve"> et Internationale </w:t>
      </w:r>
      <w:proofErr w:type="spellStart"/>
      <w:r w:rsidRPr="00D81523">
        <w:rPr>
          <w:i/>
          <w:iCs/>
          <w:sz w:val="20"/>
          <w:lang w:val="en-GB"/>
        </w:rPr>
        <w:t>d’Investissement</w:t>
      </w:r>
      <w:proofErr w:type="spellEnd"/>
      <w:r w:rsidRPr="00D81523">
        <w:rPr>
          <w:i/>
          <w:iCs/>
          <w:sz w:val="20"/>
          <w:lang w:val="en-GB"/>
        </w:rPr>
        <w:t xml:space="preserve"> v Inter-Arab Investment Guarantee Corp</w:t>
      </w:r>
      <w:r w:rsidRPr="00D81523">
        <w:rPr>
          <w:sz w:val="20"/>
          <w:lang w:val="en-GB"/>
        </w:rPr>
        <w:t>, Award, 17 November 1994 (1996) 21 Yearbook of Commercial Arbitration 13. See C Greenwood, ‘Some Challenges of International Litigation’ (201</w:t>
      </w:r>
      <w:r>
        <w:rPr>
          <w:sz w:val="20"/>
          <w:lang w:val="en-GB"/>
        </w:rPr>
        <w:t>2</w:t>
      </w:r>
      <w:r w:rsidRPr="00D81523">
        <w:rPr>
          <w:sz w:val="20"/>
          <w:lang w:val="en-GB"/>
        </w:rPr>
        <w:t xml:space="preserve">) 1 Cambridge Journal of International Law </w:t>
      </w:r>
      <w:r>
        <w:rPr>
          <w:sz w:val="20"/>
          <w:lang w:val="en-GB"/>
        </w:rPr>
        <w:t xml:space="preserve">1, </w:t>
      </w:r>
      <w:r w:rsidRPr="00D81523">
        <w:rPr>
          <w:sz w:val="20"/>
          <w:lang w:val="en-GB"/>
        </w:rPr>
        <w:t>14-16.</w:t>
      </w:r>
    </w:p>
  </w:footnote>
  <w:footnote w:id="124">
    <w:p w14:paraId="266EEEE6" w14:textId="77777777" w:rsidR="00B10BDB" w:rsidRPr="003E18D0"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Ambatielos</w:t>
      </w:r>
      <w:proofErr w:type="spellEnd"/>
      <w:r w:rsidRPr="00D81523">
        <w:rPr>
          <w:i/>
          <w:iCs/>
          <w:sz w:val="20"/>
          <w:lang w:val="en-GB"/>
        </w:rPr>
        <w:t xml:space="preserve"> case</w:t>
      </w:r>
      <w:r w:rsidRPr="00D81523">
        <w:rPr>
          <w:sz w:val="20"/>
          <w:lang w:val="en-GB"/>
        </w:rPr>
        <w:t xml:space="preserve">, Judgement (1953) ICJ Rep 10, 19; see also </w:t>
      </w:r>
      <w:r w:rsidRPr="00D81523">
        <w:rPr>
          <w:i/>
          <w:iCs/>
          <w:sz w:val="20"/>
          <w:lang w:val="en-GB"/>
        </w:rPr>
        <w:t xml:space="preserve">Status of Eastern </w:t>
      </w:r>
      <w:proofErr w:type="spellStart"/>
      <w:r w:rsidRPr="00D81523">
        <w:rPr>
          <w:i/>
          <w:iCs/>
          <w:sz w:val="20"/>
          <w:lang w:val="en-GB"/>
        </w:rPr>
        <w:t>Carelia</w:t>
      </w:r>
      <w:proofErr w:type="spellEnd"/>
      <w:r w:rsidRPr="00D81523">
        <w:rPr>
          <w:sz w:val="20"/>
          <w:lang w:val="en-GB"/>
        </w:rPr>
        <w:t xml:space="preserve">, PCIJ, Series B, No 5, 1923, 27; </w:t>
      </w:r>
      <w:r w:rsidRPr="00D81523">
        <w:rPr>
          <w:i/>
          <w:iCs/>
          <w:sz w:val="20"/>
          <w:lang w:val="en-GB"/>
        </w:rPr>
        <w:t>Military and Paramilitary Activities in and against Nicaragua (Nicaragua v United States of America)</w:t>
      </w:r>
      <w:r w:rsidRPr="00D81523">
        <w:rPr>
          <w:sz w:val="20"/>
          <w:lang w:val="en-GB"/>
        </w:rPr>
        <w:t xml:space="preserve">, Merits, Judgment (1986) ICJ Rep 14, 32, para 44; </w:t>
      </w:r>
      <w:r w:rsidRPr="00D81523">
        <w:rPr>
          <w:i/>
          <w:iCs/>
          <w:sz w:val="20"/>
          <w:lang w:val="en-GB"/>
        </w:rPr>
        <w:t>Application for Revision and Interpretation of the Judgment of 24 February 1982 in the Case concerning the Continental Shelf (Tunisia / Libyan Arab Jamahiriya) (Tunisia v Libyan Arab Jamahiriya)</w:t>
      </w:r>
      <w:r w:rsidRPr="00D81523">
        <w:rPr>
          <w:sz w:val="20"/>
          <w:lang w:val="en-GB"/>
        </w:rPr>
        <w:t xml:space="preserve">, Judgment (1985) ICJ Rep 192, 216, para 43; </w:t>
      </w:r>
      <w:r w:rsidRPr="00D81523">
        <w:rPr>
          <w:i/>
          <w:iCs/>
          <w:sz w:val="20"/>
          <w:lang w:val="en-GB"/>
        </w:rPr>
        <w:t>Interpretation of Peace Treaties, Advisory Opinion</w:t>
      </w:r>
      <w:r w:rsidRPr="00D81523">
        <w:rPr>
          <w:sz w:val="20"/>
          <w:lang w:val="en-GB"/>
        </w:rPr>
        <w:t xml:space="preserve"> (1950) ICJ Rep 65, 71; </w:t>
      </w:r>
      <w:r w:rsidRPr="00D81523">
        <w:rPr>
          <w:i/>
          <w:iCs/>
          <w:sz w:val="20"/>
          <w:lang w:val="en-GB"/>
        </w:rPr>
        <w:t xml:space="preserve">Land and Maritime Boundary between Cameroon and Nigeria (Cameroon v </w:t>
      </w:r>
      <w:r w:rsidRPr="003E18D0">
        <w:rPr>
          <w:i/>
          <w:iCs/>
          <w:sz w:val="20"/>
          <w:lang w:val="en-GB"/>
        </w:rPr>
        <w:t>Nigeria: Equatorial Guinea intervening), Judgment</w:t>
      </w:r>
      <w:r w:rsidRPr="003E18D0">
        <w:rPr>
          <w:sz w:val="20"/>
          <w:lang w:val="en-GB"/>
        </w:rPr>
        <w:t xml:space="preserve"> (2002) ICJ Rep 303, 421, para 238.</w:t>
      </w:r>
    </w:p>
  </w:footnote>
  <w:footnote w:id="125">
    <w:p w14:paraId="08CFA2E8" w14:textId="77777777" w:rsidR="00B10BDB" w:rsidRPr="003E18D0" w:rsidRDefault="00B10BDB" w:rsidP="00D12AE4">
      <w:pPr>
        <w:pStyle w:val="FootnoteText"/>
        <w:jc w:val="both"/>
        <w:rPr>
          <w:sz w:val="20"/>
          <w:lang w:val="en-GB"/>
        </w:rPr>
      </w:pPr>
      <w:r w:rsidRPr="003E18D0">
        <w:rPr>
          <w:rStyle w:val="FootnoteReference"/>
          <w:sz w:val="20"/>
          <w:lang w:val="en-GB"/>
        </w:rPr>
        <w:footnoteRef/>
      </w:r>
      <w:r w:rsidRPr="003E18D0">
        <w:rPr>
          <w:sz w:val="20"/>
          <w:lang w:val="en-GB"/>
        </w:rPr>
        <w:t xml:space="preserve"> </w:t>
      </w:r>
      <w:r w:rsidRPr="003E18D0">
        <w:rPr>
          <w:i/>
          <w:iCs/>
          <w:sz w:val="20"/>
          <w:lang w:val="en-GB"/>
        </w:rPr>
        <w:t>Armed Activities on the Territory of the Congo (New Application: 2002) (Democratic Republic of the Congo v Rwanda)</w:t>
      </w:r>
      <w:r w:rsidRPr="003E18D0">
        <w:rPr>
          <w:sz w:val="20"/>
          <w:lang w:val="en-GB"/>
        </w:rPr>
        <w:t xml:space="preserve">, Jurisdiction and Admissibility, Judgment (2006) ICJ Rep 6, 39, para 88; see also </w:t>
      </w:r>
      <w:r w:rsidRPr="003E18D0">
        <w:rPr>
          <w:i/>
          <w:iCs/>
          <w:sz w:val="20"/>
          <w:lang w:val="en-GB"/>
        </w:rPr>
        <w:t>Certain Questions of Mutual Assistance in Criminal Matters (Djibouti v France)</w:t>
      </w:r>
      <w:r w:rsidRPr="003E18D0">
        <w:rPr>
          <w:sz w:val="20"/>
          <w:lang w:val="en-GB"/>
        </w:rPr>
        <w:t>, Judgment (2008) ICJ Rep 177, 200-201, para 48.</w:t>
      </w:r>
    </w:p>
  </w:footnote>
  <w:footnote w:id="126">
    <w:p w14:paraId="095EAA30" w14:textId="0D5A08F0" w:rsidR="00B10BDB" w:rsidRPr="003E18D0" w:rsidRDefault="00B10BDB" w:rsidP="00D12AE4">
      <w:pPr>
        <w:pStyle w:val="FootnoteText"/>
        <w:jc w:val="both"/>
        <w:rPr>
          <w:sz w:val="20"/>
          <w:lang w:val="en-US"/>
        </w:rPr>
      </w:pPr>
      <w:r w:rsidRPr="003E18D0">
        <w:rPr>
          <w:rStyle w:val="FootnoteReference"/>
          <w:sz w:val="20"/>
        </w:rPr>
        <w:footnoteRef/>
      </w:r>
      <w:r w:rsidRPr="003E18D0">
        <w:rPr>
          <w:sz w:val="20"/>
        </w:rPr>
        <w:t xml:space="preserve"> </w:t>
      </w:r>
      <w:r w:rsidRPr="003E18D0">
        <w:rPr>
          <w:i/>
          <w:iCs/>
          <w:sz w:val="20"/>
        </w:rPr>
        <w:t xml:space="preserve">Case </w:t>
      </w:r>
      <w:proofErr w:type="spellStart"/>
      <w:r w:rsidRPr="003E18D0">
        <w:rPr>
          <w:i/>
          <w:iCs/>
          <w:sz w:val="20"/>
        </w:rPr>
        <w:t>Concerning</w:t>
      </w:r>
      <w:proofErr w:type="spellEnd"/>
      <w:r w:rsidRPr="003E18D0">
        <w:rPr>
          <w:i/>
          <w:iCs/>
          <w:sz w:val="20"/>
        </w:rPr>
        <w:t xml:space="preserve"> the </w:t>
      </w:r>
      <w:proofErr w:type="spellStart"/>
      <w:r w:rsidRPr="003E18D0">
        <w:rPr>
          <w:i/>
          <w:iCs/>
          <w:sz w:val="20"/>
        </w:rPr>
        <w:t>factory</w:t>
      </w:r>
      <w:proofErr w:type="spellEnd"/>
      <w:r w:rsidRPr="003E18D0">
        <w:rPr>
          <w:i/>
          <w:iCs/>
          <w:sz w:val="20"/>
        </w:rPr>
        <w:t xml:space="preserve"> at Chorzów</w:t>
      </w:r>
      <w:r>
        <w:rPr>
          <w:sz w:val="20"/>
        </w:rPr>
        <w:t xml:space="preserve">, PCIJ </w:t>
      </w:r>
      <w:proofErr w:type="spellStart"/>
      <w:r>
        <w:rPr>
          <w:sz w:val="20"/>
        </w:rPr>
        <w:t>Rep</w:t>
      </w:r>
      <w:proofErr w:type="spellEnd"/>
      <w:r>
        <w:rPr>
          <w:sz w:val="20"/>
        </w:rPr>
        <w:t xml:space="preserve"> </w:t>
      </w:r>
      <w:proofErr w:type="spellStart"/>
      <w:r>
        <w:rPr>
          <w:sz w:val="20"/>
        </w:rPr>
        <w:t>Series</w:t>
      </w:r>
      <w:proofErr w:type="spellEnd"/>
      <w:r>
        <w:rPr>
          <w:sz w:val="20"/>
        </w:rPr>
        <w:t xml:space="preserve"> A, No 9, 27 July 1927, 32.</w:t>
      </w:r>
    </w:p>
  </w:footnote>
  <w:footnote w:id="127">
    <w:p w14:paraId="20A95E59" w14:textId="77777777" w:rsidR="00B10BDB" w:rsidRPr="00D81523" w:rsidRDefault="00B10BDB" w:rsidP="00D12AE4">
      <w:pPr>
        <w:pStyle w:val="FootnoteText"/>
        <w:jc w:val="both"/>
        <w:rPr>
          <w:sz w:val="20"/>
          <w:lang w:val="en-GB"/>
        </w:rPr>
      </w:pPr>
      <w:r w:rsidRPr="003E18D0">
        <w:rPr>
          <w:rStyle w:val="FootnoteReference"/>
          <w:sz w:val="20"/>
          <w:lang w:val="en-GB"/>
        </w:rPr>
        <w:footnoteRef/>
      </w:r>
      <w:r w:rsidRPr="003E18D0">
        <w:rPr>
          <w:sz w:val="20"/>
          <w:lang w:val="en-GB"/>
        </w:rPr>
        <w:t xml:space="preserve"> </w:t>
      </w:r>
      <w:r w:rsidRPr="003E18D0">
        <w:rPr>
          <w:i/>
          <w:iCs/>
          <w:sz w:val="20"/>
          <w:lang w:val="en-GB"/>
        </w:rPr>
        <w:t>Corfu Channel case</w:t>
      </w:r>
      <w:r w:rsidRPr="003E18D0">
        <w:rPr>
          <w:sz w:val="20"/>
          <w:lang w:val="en-GB"/>
        </w:rPr>
        <w:t>, Judgment</w:t>
      </w:r>
      <w:r w:rsidRPr="00D81523">
        <w:rPr>
          <w:sz w:val="20"/>
          <w:lang w:val="en-GB"/>
        </w:rPr>
        <w:t xml:space="preserve"> on Preliminary Objection (1948) ICJ Rep 15, 27.</w:t>
      </w:r>
    </w:p>
  </w:footnote>
  <w:footnote w:id="128">
    <w:p w14:paraId="1C953B6D"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Armed Activities on the Territory of the Congo (New Application: 2002) (Democratic Republic of the Congo v Rwanda)</w:t>
      </w:r>
      <w:r w:rsidRPr="00D81523">
        <w:rPr>
          <w:sz w:val="20"/>
          <w:lang w:val="en-GB"/>
        </w:rPr>
        <w:t xml:space="preserve">, Jurisdiction and Admissibility, Judgment (2006) ICJ Rep 6, 18-19, para 21; </w:t>
      </w:r>
      <w:r w:rsidRPr="00D81523">
        <w:rPr>
          <w:i/>
          <w:iCs/>
          <w:sz w:val="20"/>
          <w:lang w:val="en-GB"/>
        </w:rPr>
        <w:t>Application of the Convention on the Prevention and Punishment of the Crime of Genocide</w:t>
      </w:r>
      <w:r w:rsidRPr="00D81523">
        <w:rPr>
          <w:sz w:val="20"/>
          <w:lang w:val="en-GB"/>
        </w:rPr>
        <w:t>, Preliminary Objections, Judgment, (1996) ICJ Rep 595, 621.</w:t>
      </w:r>
    </w:p>
  </w:footnote>
  <w:footnote w:id="129">
    <w:p w14:paraId="48D381FB" w14:textId="3BB4AA4F"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ICC Case No 1939 cited by Y </w:t>
      </w:r>
      <w:proofErr w:type="spellStart"/>
      <w:r w:rsidRPr="00D81523">
        <w:rPr>
          <w:sz w:val="20"/>
          <w:lang w:val="en-GB"/>
        </w:rPr>
        <w:t>Derains</w:t>
      </w:r>
      <w:proofErr w:type="spellEnd"/>
      <w:r w:rsidRPr="00D81523">
        <w:rPr>
          <w:sz w:val="20"/>
          <w:lang w:val="en-GB"/>
        </w:rPr>
        <w:t xml:space="preserve"> in (1973) Rev Arb 145; also quoted in </w:t>
      </w:r>
      <w:r w:rsidRPr="00D81523">
        <w:rPr>
          <w:i/>
          <w:iCs/>
          <w:sz w:val="20"/>
          <w:lang w:val="en-GB"/>
        </w:rPr>
        <w:t>Company Z and Others v State Organization ABC</w:t>
      </w:r>
      <w:r w:rsidRPr="00D81523">
        <w:rPr>
          <w:sz w:val="20"/>
          <w:lang w:val="en-GB"/>
        </w:rPr>
        <w:t xml:space="preserve">, Award, April 1982 in P Sanders (ed), </w:t>
      </w:r>
      <w:r w:rsidRPr="00D81523">
        <w:rPr>
          <w:i/>
          <w:iCs/>
          <w:sz w:val="20"/>
          <w:lang w:val="en-GB"/>
        </w:rPr>
        <w:t>Yearbook Commercial Arbitration 1983, Volume 8</w:t>
      </w:r>
      <w:r w:rsidRPr="00D81523">
        <w:rPr>
          <w:sz w:val="20"/>
          <w:lang w:val="en-GB"/>
        </w:rPr>
        <w:t xml:space="preserve"> (Kluwer Law International, The Hague 1983) 94-117, 115.</w:t>
      </w:r>
    </w:p>
  </w:footnote>
  <w:footnote w:id="130">
    <w:p w14:paraId="3050E11D"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spellStart"/>
      <w:r w:rsidRPr="00D81523">
        <w:rPr>
          <w:i/>
          <w:iCs/>
          <w:sz w:val="20"/>
          <w:lang w:val="en-GB"/>
        </w:rPr>
        <w:t>Benteler</w:t>
      </w:r>
      <w:proofErr w:type="spellEnd"/>
      <w:r w:rsidRPr="00D81523">
        <w:rPr>
          <w:i/>
          <w:iCs/>
          <w:sz w:val="20"/>
          <w:lang w:val="en-GB"/>
        </w:rPr>
        <w:t xml:space="preserve"> v Belgium</w:t>
      </w:r>
      <w:r w:rsidRPr="00D81523">
        <w:rPr>
          <w:sz w:val="20"/>
          <w:lang w:val="en-GB"/>
        </w:rPr>
        <w:t xml:space="preserve">, Award, 18 November 1983, (1984) Journal of International Arbitration 184, 190. </w:t>
      </w:r>
    </w:p>
  </w:footnote>
  <w:footnote w:id="131">
    <w:p w14:paraId="29D8D454"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proofErr w:type="gramStart"/>
      <w:r w:rsidRPr="00D81523">
        <w:rPr>
          <w:i/>
          <w:iCs/>
          <w:sz w:val="20"/>
          <w:lang w:val="en-GB"/>
        </w:rPr>
        <w:t>A</w:t>
      </w:r>
      <w:proofErr w:type="gramEnd"/>
      <w:r w:rsidRPr="00D81523">
        <w:rPr>
          <w:i/>
          <w:iCs/>
          <w:sz w:val="20"/>
          <w:lang w:val="en-GB"/>
        </w:rPr>
        <w:t xml:space="preserve"> Insurance Companies v B and C</w:t>
      </w:r>
      <w:r w:rsidRPr="00D81523">
        <w:rPr>
          <w:sz w:val="20"/>
          <w:lang w:val="en-GB"/>
        </w:rPr>
        <w:t>, Interim Award, ICC Case No 10947/ESR/MS, June 2002, (2004) 22 ASA Bulletin 308-332, 320-321.</w:t>
      </w:r>
    </w:p>
  </w:footnote>
  <w:footnote w:id="132">
    <w:p w14:paraId="7E56563B"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J </w:t>
      </w:r>
      <w:proofErr w:type="spellStart"/>
      <w:r w:rsidRPr="00D81523">
        <w:rPr>
          <w:sz w:val="20"/>
          <w:lang w:val="en-GB"/>
        </w:rPr>
        <w:t>Paulsson</w:t>
      </w:r>
      <w:proofErr w:type="spellEnd"/>
      <w:r w:rsidRPr="00D81523">
        <w:rPr>
          <w:sz w:val="20"/>
          <w:lang w:val="en-GB"/>
        </w:rPr>
        <w:t xml:space="preserve">, ‘May a state invoke its internal law to repudiate consent to international commercial arbitration?’ (1986) 2 Arbitration International 90, 97-98. See also </w:t>
      </w:r>
      <w:proofErr w:type="spellStart"/>
      <w:r w:rsidRPr="00D81523">
        <w:rPr>
          <w:i/>
          <w:iCs/>
          <w:sz w:val="20"/>
          <w:lang w:val="en-GB"/>
        </w:rPr>
        <w:t>Malicorp</w:t>
      </w:r>
      <w:proofErr w:type="spellEnd"/>
      <w:r w:rsidRPr="00D81523">
        <w:rPr>
          <w:i/>
          <w:iCs/>
          <w:sz w:val="20"/>
          <w:lang w:val="en-GB"/>
        </w:rPr>
        <w:t xml:space="preserve"> Ltd (UK) v The Government of the Arab Republic of Egypt and others</w:t>
      </w:r>
      <w:r w:rsidRPr="00D81523">
        <w:rPr>
          <w:sz w:val="20"/>
          <w:lang w:val="en-GB"/>
        </w:rPr>
        <w:t xml:space="preserve">, CRCICA Case No 382/2004, Final Award, 7 March 2006 in M E I </w:t>
      </w:r>
      <w:proofErr w:type="spellStart"/>
      <w:r w:rsidRPr="00D81523">
        <w:rPr>
          <w:sz w:val="20"/>
          <w:lang w:val="en-GB"/>
        </w:rPr>
        <w:t>Alam</w:t>
      </w:r>
      <w:proofErr w:type="spellEnd"/>
      <w:r w:rsidRPr="00D81523">
        <w:rPr>
          <w:sz w:val="20"/>
          <w:lang w:val="en-GB"/>
        </w:rPr>
        <w:t xml:space="preserve"> </w:t>
      </w:r>
      <w:proofErr w:type="spellStart"/>
      <w:r w:rsidRPr="00D81523">
        <w:rPr>
          <w:sz w:val="20"/>
          <w:lang w:val="en-GB"/>
        </w:rPr>
        <w:t>Eldin</w:t>
      </w:r>
      <w:proofErr w:type="spellEnd"/>
      <w:r w:rsidRPr="00D81523">
        <w:rPr>
          <w:sz w:val="20"/>
          <w:lang w:val="en-GB"/>
        </w:rPr>
        <w:t xml:space="preserve"> (ed), </w:t>
      </w:r>
      <w:r w:rsidRPr="00D81523">
        <w:rPr>
          <w:i/>
          <w:iCs/>
          <w:sz w:val="20"/>
          <w:lang w:val="en-GB"/>
        </w:rPr>
        <w:t>Arbitral Awards of the Cairo Regional Centre for International Commercial Arbitration Vol IV</w:t>
      </w:r>
      <w:r w:rsidRPr="00D81523">
        <w:rPr>
          <w:sz w:val="20"/>
          <w:lang w:val="en-GB"/>
        </w:rPr>
        <w:t xml:space="preserve"> (Kluwer Law International, The Hague 2014) 18.</w:t>
      </w:r>
    </w:p>
  </w:footnote>
  <w:footnote w:id="133">
    <w:p w14:paraId="10C47955"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 xml:space="preserve">Company Z and Others v State Organization ABC </w:t>
      </w:r>
      <w:r w:rsidRPr="00D81523">
        <w:rPr>
          <w:sz w:val="20"/>
          <w:lang w:val="en-GB"/>
        </w:rPr>
        <w:t>[</w:t>
      </w:r>
      <w:proofErr w:type="spellStart"/>
      <w:r w:rsidRPr="00D81523">
        <w:rPr>
          <w:sz w:val="20"/>
          <w:lang w:val="en-GB"/>
        </w:rPr>
        <w:t>Framatome</w:t>
      </w:r>
      <w:proofErr w:type="spellEnd"/>
      <w:r w:rsidRPr="00D81523">
        <w:rPr>
          <w:sz w:val="20"/>
          <w:lang w:val="en-GB"/>
        </w:rPr>
        <w:t xml:space="preserve"> v Atomic Energy Organization of Iran], Award, April 1982 in P Sanders (ed), </w:t>
      </w:r>
      <w:r w:rsidRPr="00D81523">
        <w:rPr>
          <w:i/>
          <w:iCs/>
          <w:sz w:val="20"/>
          <w:lang w:val="en-GB"/>
        </w:rPr>
        <w:t>Yearbook Commercial Arbitration 1983, Volume 8</w:t>
      </w:r>
      <w:r w:rsidRPr="00D81523">
        <w:rPr>
          <w:sz w:val="20"/>
          <w:lang w:val="en-GB"/>
        </w:rPr>
        <w:t xml:space="preserve"> (Kluwer Law International, The Hague 1983) 94-117, 108-109 (emphasis added).</w:t>
      </w:r>
    </w:p>
  </w:footnote>
  <w:footnote w:id="134">
    <w:p w14:paraId="6A2B47FD" w14:textId="77777777"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S v State X</w:t>
      </w:r>
      <w:r w:rsidRPr="00D81523">
        <w:rPr>
          <w:sz w:val="20"/>
          <w:lang w:val="en-GB"/>
        </w:rPr>
        <w:t>, ICC Case No 10623, Award, 7 December 2001, (2003) 21(1) ASA Bulletin 82, 92. See also ICC Case No 14470, Final Award, 2008 (2011) JDI 1229, 1233.</w:t>
      </w:r>
    </w:p>
  </w:footnote>
  <w:footnote w:id="135">
    <w:p w14:paraId="1975A561" w14:textId="3F32E3E8"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S v State X</w:t>
      </w:r>
      <w:r w:rsidRPr="00D81523">
        <w:rPr>
          <w:sz w:val="20"/>
          <w:lang w:val="en-GB"/>
        </w:rPr>
        <w:t xml:space="preserve">, ICC Case No 10623, Award, 7 December 2001, (2003) 21(1) ASA Bulletin 82, 96. See also Paris Court of Appeal, </w:t>
      </w:r>
      <w:r w:rsidRPr="00D81523">
        <w:rPr>
          <w:i/>
          <w:iCs/>
          <w:sz w:val="20"/>
          <w:lang w:val="en-GB"/>
        </w:rPr>
        <w:t>Bec Frères v The Ministry of Infrastructure of Tunisia</w:t>
      </w:r>
      <w:r w:rsidRPr="00D81523">
        <w:rPr>
          <w:sz w:val="20"/>
          <w:lang w:val="en-GB"/>
        </w:rPr>
        <w:t>, 24 February 1994.</w:t>
      </w:r>
      <w:r>
        <w:rPr>
          <w:sz w:val="20"/>
          <w:lang w:val="en-GB"/>
        </w:rPr>
        <w:t xml:space="preserve"> See also </w:t>
      </w:r>
      <w:r w:rsidRPr="00D12AE4">
        <w:rPr>
          <w:i/>
          <w:iCs/>
          <w:sz w:val="20"/>
          <w:lang w:val="en-GB"/>
        </w:rPr>
        <w:t>Sapphire v NIOC</w:t>
      </w:r>
      <w:r>
        <w:rPr>
          <w:sz w:val="20"/>
          <w:lang w:val="en-GB"/>
        </w:rPr>
        <w:t xml:space="preserve">, </w:t>
      </w:r>
      <w:proofErr w:type="spellStart"/>
      <w:r w:rsidRPr="00D12AE4">
        <w:rPr>
          <w:i/>
          <w:iCs/>
          <w:sz w:val="20"/>
          <w:lang w:val="en-GB"/>
        </w:rPr>
        <w:t>Sandline</w:t>
      </w:r>
      <w:proofErr w:type="spellEnd"/>
      <w:r w:rsidRPr="00D12AE4">
        <w:rPr>
          <w:i/>
          <w:iCs/>
          <w:sz w:val="20"/>
          <w:lang w:val="en-GB"/>
        </w:rPr>
        <w:t xml:space="preserve"> v Papua New Guinea</w:t>
      </w:r>
      <w:r>
        <w:rPr>
          <w:sz w:val="20"/>
          <w:lang w:val="en-GB"/>
        </w:rPr>
        <w:t xml:space="preserve">, and </w:t>
      </w:r>
      <w:proofErr w:type="spellStart"/>
      <w:r w:rsidRPr="00D12AE4">
        <w:rPr>
          <w:i/>
          <w:iCs/>
          <w:sz w:val="20"/>
          <w:lang w:val="en-GB"/>
        </w:rPr>
        <w:t>Bankswitch</w:t>
      </w:r>
      <w:proofErr w:type="spellEnd"/>
      <w:r w:rsidRPr="00D12AE4">
        <w:rPr>
          <w:i/>
          <w:iCs/>
          <w:sz w:val="20"/>
          <w:lang w:val="en-GB"/>
        </w:rPr>
        <w:t xml:space="preserve"> v Ghana</w:t>
      </w:r>
      <w:r>
        <w:rPr>
          <w:sz w:val="20"/>
          <w:lang w:val="en-GB"/>
        </w:rPr>
        <w:t xml:space="preserve"> discussed above in </w:t>
      </w:r>
      <w:r w:rsidRPr="00D12AE4">
        <w:rPr>
          <w:b/>
          <w:bCs/>
          <w:sz w:val="20"/>
          <w:lang w:val="en-GB"/>
        </w:rPr>
        <w:t>Section III</w:t>
      </w:r>
      <w:r>
        <w:rPr>
          <w:sz w:val="20"/>
          <w:lang w:val="en-GB"/>
        </w:rPr>
        <w:t>.</w:t>
      </w:r>
    </w:p>
  </w:footnote>
  <w:footnote w:id="136">
    <w:p w14:paraId="05214749" w14:textId="3E1C2570" w:rsidR="00B10BDB" w:rsidRPr="00D81523" w:rsidRDefault="00B10BDB" w:rsidP="00D12AE4">
      <w:pPr>
        <w:jc w:val="both"/>
        <w:rPr>
          <w:sz w:val="20"/>
          <w:szCs w:val="20"/>
          <w:lang w:val="en-GB"/>
        </w:rPr>
      </w:pPr>
      <w:r w:rsidRPr="00D81523">
        <w:rPr>
          <w:rStyle w:val="FootnoteReference"/>
          <w:sz w:val="20"/>
          <w:szCs w:val="20"/>
          <w:lang w:val="en-GB"/>
        </w:rPr>
        <w:footnoteRef/>
      </w:r>
      <w:r w:rsidRPr="00D81523">
        <w:rPr>
          <w:sz w:val="20"/>
          <w:szCs w:val="20"/>
          <w:lang w:val="en-GB"/>
        </w:rPr>
        <w:t xml:space="preserve"> D </w:t>
      </w:r>
      <w:proofErr w:type="spellStart"/>
      <w:r w:rsidRPr="00D81523">
        <w:rPr>
          <w:sz w:val="20"/>
          <w:szCs w:val="20"/>
          <w:lang w:val="en-GB"/>
        </w:rPr>
        <w:t>Sarooshi</w:t>
      </w:r>
      <w:proofErr w:type="spellEnd"/>
      <w:r w:rsidRPr="00D81523">
        <w:rPr>
          <w:sz w:val="20"/>
          <w:szCs w:val="20"/>
          <w:lang w:val="en-GB"/>
        </w:rPr>
        <w:t xml:space="preserve">, ‘Investment Treaty Arbitration and the World Trade Organization: What Role for Systemic Values in the Resolution of International Economic Disputes?’  (2014) 445, 456, </w:t>
      </w:r>
      <w:proofErr w:type="spellStart"/>
      <w:r w:rsidRPr="00D81523">
        <w:rPr>
          <w:sz w:val="20"/>
          <w:szCs w:val="20"/>
          <w:lang w:val="en-GB"/>
        </w:rPr>
        <w:t>fn</w:t>
      </w:r>
      <w:proofErr w:type="spellEnd"/>
      <w:r w:rsidRPr="00D81523">
        <w:rPr>
          <w:sz w:val="20"/>
          <w:szCs w:val="20"/>
          <w:lang w:val="en-GB"/>
        </w:rPr>
        <w:t xml:space="preserve"> 54 for further references. </w:t>
      </w:r>
      <w:r>
        <w:rPr>
          <w:sz w:val="20"/>
          <w:szCs w:val="20"/>
          <w:lang w:val="en-US"/>
        </w:rPr>
        <w:t>See also</w:t>
      </w:r>
      <w:r>
        <w:rPr>
          <w:i/>
          <w:iCs/>
          <w:sz w:val="20"/>
          <w:szCs w:val="20"/>
          <w:lang w:val="en-GB"/>
        </w:rPr>
        <w:t xml:space="preserve"> </w:t>
      </w:r>
      <w:proofErr w:type="spellStart"/>
      <w:r w:rsidRPr="00935E4D">
        <w:rPr>
          <w:i/>
          <w:iCs/>
          <w:sz w:val="20"/>
          <w:lang w:val="en-GB"/>
        </w:rPr>
        <w:t>Sandline</w:t>
      </w:r>
      <w:proofErr w:type="spellEnd"/>
      <w:r w:rsidRPr="00935E4D">
        <w:rPr>
          <w:i/>
          <w:iCs/>
          <w:sz w:val="20"/>
          <w:lang w:val="en-GB"/>
        </w:rPr>
        <w:t xml:space="preserve"> v Papua New Guinea</w:t>
      </w:r>
      <w:r w:rsidRPr="00D81523">
        <w:rPr>
          <w:sz w:val="20"/>
          <w:szCs w:val="20"/>
          <w:lang w:val="en-GB"/>
        </w:rPr>
        <w:t>, 561.</w:t>
      </w:r>
    </w:p>
  </w:footnote>
  <w:footnote w:id="137">
    <w:p w14:paraId="7FC26560" w14:textId="1CE6C544"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3617E0">
        <w:rPr>
          <w:i/>
          <w:iCs/>
          <w:sz w:val="20"/>
          <w:lang w:val="en-GB"/>
        </w:rPr>
        <w:t xml:space="preserve">Niko Resources v </w:t>
      </w:r>
      <w:proofErr w:type="spellStart"/>
      <w:r w:rsidRPr="003617E0">
        <w:rPr>
          <w:i/>
          <w:iCs/>
          <w:sz w:val="20"/>
          <w:lang w:val="en-GB"/>
        </w:rPr>
        <w:t>Bapex</w:t>
      </w:r>
      <w:proofErr w:type="spellEnd"/>
      <w:r w:rsidRPr="003617E0">
        <w:rPr>
          <w:i/>
          <w:iCs/>
          <w:sz w:val="20"/>
          <w:lang w:val="en-GB"/>
        </w:rPr>
        <w:t xml:space="preserve"> and </w:t>
      </w:r>
      <w:proofErr w:type="spellStart"/>
      <w:r w:rsidRPr="003617E0">
        <w:rPr>
          <w:i/>
          <w:iCs/>
          <w:sz w:val="20"/>
          <w:lang w:val="en-GB"/>
        </w:rPr>
        <w:t>Petrobangla</w:t>
      </w:r>
      <w:proofErr w:type="spellEnd"/>
      <w:r w:rsidRPr="00D81523">
        <w:rPr>
          <w:sz w:val="20"/>
          <w:lang w:val="en-GB"/>
        </w:rPr>
        <w:t>, para 255.</w:t>
      </w:r>
    </w:p>
  </w:footnote>
  <w:footnote w:id="138">
    <w:p w14:paraId="48E965FF" w14:textId="7362FE53" w:rsidR="00B10BDB" w:rsidRPr="00D81523"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Barcelona Traction, Light and Power Company, Limited</w:t>
      </w:r>
      <w:r w:rsidRPr="00D81523">
        <w:rPr>
          <w:sz w:val="20"/>
          <w:lang w:val="en-GB"/>
        </w:rPr>
        <w:t>, Judgment, (1970) ICJ Rep 3, 39, para 58. See also Leben</w:t>
      </w:r>
      <w:r>
        <w:rPr>
          <w:sz w:val="20"/>
          <w:lang w:val="en-GB"/>
        </w:rPr>
        <w:t xml:space="preserve"> (n </w:t>
      </w:r>
      <w:r w:rsidR="007167B2">
        <w:rPr>
          <w:sz w:val="20"/>
          <w:lang w:val="en-GB"/>
        </w:rPr>
        <w:t>3</w:t>
      </w:r>
      <w:r>
        <w:rPr>
          <w:sz w:val="20"/>
          <w:lang w:val="en-GB"/>
        </w:rPr>
        <w:t xml:space="preserve">) </w:t>
      </w:r>
      <w:r w:rsidRPr="00D81523">
        <w:rPr>
          <w:sz w:val="20"/>
          <w:lang w:val="en-GB"/>
        </w:rPr>
        <w:t>237.</w:t>
      </w:r>
    </w:p>
  </w:footnote>
  <w:footnote w:id="139">
    <w:p w14:paraId="623F2A42" w14:textId="63E2066F" w:rsidR="00B10BDB" w:rsidRPr="006B0606" w:rsidRDefault="00B10BDB" w:rsidP="00D12AE4">
      <w:pPr>
        <w:pStyle w:val="FootnoteText"/>
        <w:jc w:val="both"/>
        <w:rPr>
          <w:sz w:val="20"/>
          <w:lang w:val="en-GB"/>
        </w:rPr>
      </w:pPr>
      <w:r w:rsidRPr="00D81523">
        <w:rPr>
          <w:rStyle w:val="FootnoteReference"/>
          <w:sz w:val="20"/>
          <w:lang w:val="en-GB"/>
        </w:rPr>
        <w:footnoteRef/>
      </w:r>
      <w:r w:rsidRPr="00D81523">
        <w:rPr>
          <w:sz w:val="20"/>
          <w:lang w:val="en-GB"/>
        </w:rPr>
        <w:t xml:space="preserve"> </w:t>
      </w:r>
      <w:r w:rsidRPr="00D81523">
        <w:rPr>
          <w:i/>
          <w:iCs/>
          <w:sz w:val="20"/>
          <w:lang w:val="en-GB"/>
        </w:rPr>
        <w:t>First National City Bank v Banco Para El Comercio Exterior de Cuba</w:t>
      </w:r>
      <w:r w:rsidRPr="00D81523">
        <w:rPr>
          <w:sz w:val="20"/>
          <w:lang w:val="en-GB"/>
        </w:rPr>
        <w:t xml:space="preserve"> 462 US 611 (1983), 621-623; </w:t>
      </w:r>
    </w:p>
  </w:footnote>
  <w:footnote w:id="140">
    <w:p w14:paraId="081A2C91" w14:textId="7511ADDD" w:rsidR="00B10BDB" w:rsidRPr="0044333E" w:rsidRDefault="00B10BDB" w:rsidP="00D12AE4">
      <w:pPr>
        <w:pStyle w:val="FootnoteText"/>
        <w:jc w:val="both"/>
        <w:rPr>
          <w:lang w:val="en-US"/>
        </w:rPr>
      </w:pPr>
      <w:r>
        <w:rPr>
          <w:rStyle w:val="FootnoteReference"/>
        </w:rPr>
        <w:footnoteRef/>
      </w:r>
      <w:r>
        <w:t xml:space="preserve"> </w:t>
      </w:r>
      <w:r>
        <w:rPr>
          <w:sz w:val="20"/>
          <w:lang w:val="en-GB"/>
        </w:rPr>
        <w:t>I</w:t>
      </w:r>
      <w:r w:rsidRPr="00D81523">
        <w:rPr>
          <w:sz w:val="20"/>
          <w:lang w:val="en-GB"/>
        </w:rPr>
        <w:t>bid, 633</w:t>
      </w:r>
      <w:r>
        <w:rPr>
          <w:sz w:val="20"/>
          <w:lang w:val="en-GB"/>
        </w:rPr>
        <w:t>.</w:t>
      </w:r>
      <w:r w:rsidRPr="00D81523">
        <w:rPr>
          <w:sz w:val="20"/>
          <w:lang w:val="en-GB"/>
        </w:rPr>
        <w:t xml:space="preserve"> See also M A </w:t>
      </w:r>
      <w:proofErr w:type="spellStart"/>
      <w:r w:rsidRPr="00D81523">
        <w:rPr>
          <w:sz w:val="20"/>
          <w:lang w:val="en-GB"/>
        </w:rPr>
        <w:t>Finklestein</w:t>
      </w:r>
      <w:proofErr w:type="spellEnd"/>
      <w:r w:rsidRPr="00D81523">
        <w:rPr>
          <w:sz w:val="20"/>
          <w:lang w:val="en-GB"/>
        </w:rPr>
        <w:t xml:space="preserve">, ‘First National City Bank v. Banco Para El Comercio Exterior de Cuba: Act of State and Choice of Law Aspects of Suing Foreign Governmental Corporations’ (1983) 9 North Carolina Journal of International Law 147; M Leigh, ‘The Supreme Court and the </w:t>
      </w:r>
      <w:proofErr w:type="spellStart"/>
      <w:r w:rsidRPr="00D81523">
        <w:rPr>
          <w:sz w:val="20"/>
          <w:lang w:val="en-GB"/>
        </w:rPr>
        <w:t>Sabbatino</w:t>
      </w:r>
      <w:proofErr w:type="spellEnd"/>
      <w:r w:rsidRPr="00D81523">
        <w:rPr>
          <w:sz w:val="20"/>
          <w:lang w:val="en-GB"/>
        </w:rPr>
        <w:t xml:space="preserve"> Watchers: First National City Bank v. Banco Nacional de Cuba’ (1972-1973)13 Virginia Journal of International Law 33; A F </w:t>
      </w:r>
      <w:proofErr w:type="spellStart"/>
      <w:r w:rsidRPr="00D81523">
        <w:rPr>
          <w:sz w:val="20"/>
          <w:lang w:val="en-GB"/>
        </w:rPr>
        <w:t>Lowenfeld</w:t>
      </w:r>
      <w:proofErr w:type="spellEnd"/>
      <w:r w:rsidRPr="00D81523">
        <w:rPr>
          <w:sz w:val="20"/>
          <w:lang w:val="en-GB"/>
        </w:rPr>
        <w:t xml:space="preserve">, ‘Act of State and Department of State: First National City Bank v </w:t>
      </w:r>
      <w:r w:rsidRPr="006B0606">
        <w:rPr>
          <w:sz w:val="20"/>
          <w:lang w:val="en-GB"/>
        </w:rPr>
        <w:t>Banco Nacional de Cuba’ (1972) 66 AJIL 795.</w:t>
      </w:r>
    </w:p>
  </w:footnote>
  <w:footnote w:id="141">
    <w:p w14:paraId="2BC85A36" w14:textId="232C28B2" w:rsidR="00B10BDB" w:rsidRPr="006B0606" w:rsidRDefault="00B10BDB" w:rsidP="00D12AE4">
      <w:pPr>
        <w:pStyle w:val="FootnoteText"/>
        <w:jc w:val="both"/>
        <w:rPr>
          <w:sz w:val="20"/>
          <w:lang w:val="en-US"/>
        </w:rPr>
      </w:pPr>
      <w:r w:rsidRPr="006B0606">
        <w:rPr>
          <w:rStyle w:val="FootnoteReference"/>
          <w:sz w:val="20"/>
        </w:rPr>
        <w:footnoteRef/>
      </w:r>
      <w:r w:rsidRPr="006B0606">
        <w:rPr>
          <w:sz w:val="20"/>
        </w:rPr>
        <w:t xml:space="preserve"> B </w:t>
      </w:r>
      <w:proofErr w:type="spellStart"/>
      <w:r w:rsidRPr="006B0606">
        <w:rPr>
          <w:sz w:val="20"/>
        </w:rPr>
        <w:t>Hanotiau</w:t>
      </w:r>
      <w:proofErr w:type="spellEnd"/>
      <w:r w:rsidRPr="006B0606">
        <w:rPr>
          <w:sz w:val="20"/>
        </w:rPr>
        <w:t xml:space="preserve">, </w:t>
      </w:r>
      <w:proofErr w:type="spellStart"/>
      <w:r w:rsidRPr="006B0606">
        <w:rPr>
          <w:i/>
          <w:iCs/>
          <w:sz w:val="20"/>
        </w:rPr>
        <w:t>Complex</w:t>
      </w:r>
      <w:proofErr w:type="spellEnd"/>
      <w:r w:rsidRPr="006B0606">
        <w:rPr>
          <w:i/>
          <w:iCs/>
          <w:sz w:val="20"/>
        </w:rPr>
        <w:t xml:space="preserve"> Arbitrations, </w:t>
      </w:r>
      <w:proofErr w:type="spellStart"/>
      <w:r w:rsidRPr="006B0606">
        <w:rPr>
          <w:i/>
          <w:iCs/>
          <w:sz w:val="20"/>
        </w:rPr>
        <w:t>Multiparty</w:t>
      </w:r>
      <w:proofErr w:type="spellEnd"/>
      <w:r w:rsidRPr="006B0606">
        <w:rPr>
          <w:i/>
          <w:iCs/>
          <w:sz w:val="20"/>
        </w:rPr>
        <w:t xml:space="preserve">, </w:t>
      </w:r>
      <w:proofErr w:type="spellStart"/>
      <w:r w:rsidRPr="006B0606">
        <w:rPr>
          <w:i/>
          <w:iCs/>
          <w:sz w:val="20"/>
        </w:rPr>
        <w:t>Multicontract</w:t>
      </w:r>
      <w:proofErr w:type="spellEnd"/>
      <w:r w:rsidRPr="006B0606">
        <w:rPr>
          <w:i/>
          <w:iCs/>
          <w:sz w:val="20"/>
        </w:rPr>
        <w:t>, Multi-Issue</w:t>
      </w:r>
      <w:r w:rsidRPr="006B0606">
        <w:rPr>
          <w:sz w:val="20"/>
        </w:rPr>
        <w:t xml:space="preserve"> (2</w:t>
      </w:r>
      <w:r w:rsidRPr="006B0606">
        <w:rPr>
          <w:sz w:val="20"/>
          <w:vertAlign w:val="superscript"/>
        </w:rPr>
        <w:t>nd</w:t>
      </w:r>
      <w:r w:rsidRPr="006B0606">
        <w:rPr>
          <w:sz w:val="20"/>
        </w:rPr>
        <w:t xml:space="preserve"> </w:t>
      </w:r>
      <w:proofErr w:type="spellStart"/>
      <w:proofErr w:type="gramStart"/>
      <w:r w:rsidRPr="006B0606">
        <w:rPr>
          <w:sz w:val="20"/>
        </w:rPr>
        <w:t>ed</w:t>
      </w:r>
      <w:proofErr w:type="spellEnd"/>
      <w:r w:rsidRPr="006B0606">
        <w:rPr>
          <w:sz w:val="20"/>
        </w:rPr>
        <w:t xml:space="preserve"> ,</w:t>
      </w:r>
      <w:proofErr w:type="gramEnd"/>
      <w:r w:rsidRPr="006B0606">
        <w:rPr>
          <w:sz w:val="20"/>
        </w:rPr>
        <w:t xml:space="preserve"> Kluwer Law International, The Hague 2020) </w:t>
      </w:r>
      <w:r w:rsidRPr="006B0606">
        <w:rPr>
          <w:sz w:val="20"/>
          <w:lang w:val="en-US"/>
        </w:rPr>
        <w:t>47 (emphasis added).</w:t>
      </w:r>
    </w:p>
  </w:footnote>
  <w:footnote w:id="142">
    <w:p w14:paraId="043E2B6B" w14:textId="2AC3B84A" w:rsidR="00B10BDB" w:rsidRPr="006B0606" w:rsidRDefault="00B10BDB" w:rsidP="00D12AE4">
      <w:pPr>
        <w:pStyle w:val="FootnoteText"/>
        <w:jc w:val="both"/>
        <w:rPr>
          <w:sz w:val="20"/>
          <w:lang w:val="en-US"/>
        </w:rPr>
      </w:pPr>
      <w:r w:rsidRPr="006B0606">
        <w:rPr>
          <w:rStyle w:val="FootnoteReference"/>
          <w:sz w:val="20"/>
        </w:rPr>
        <w:footnoteRef/>
      </w:r>
      <w:r>
        <w:rPr>
          <w:sz w:val="20"/>
          <w:lang w:val="en-US"/>
        </w:rPr>
        <w:t xml:space="preserve"> </w:t>
      </w:r>
      <w:proofErr w:type="spellStart"/>
      <w:r w:rsidRPr="006B0606">
        <w:rPr>
          <w:i/>
          <w:iCs/>
          <w:sz w:val="20"/>
          <w:lang w:val="en-US"/>
        </w:rPr>
        <w:t>Bridas</w:t>
      </w:r>
      <w:proofErr w:type="spellEnd"/>
      <w:r w:rsidRPr="006B0606">
        <w:rPr>
          <w:i/>
          <w:iCs/>
          <w:sz w:val="20"/>
          <w:lang w:val="en-US"/>
        </w:rPr>
        <w:t xml:space="preserve"> SAPIC v Government of Turkmenistan (</w:t>
      </w:r>
      <w:proofErr w:type="spellStart"/>
      <w:r w:rsidRPr="006B0606">
        <w:rPr>
          <w:i/>
          <w:iCs/>
          <w:sz w:val="20"/>
          <w:lang w:val="en-US"/>
        </w:rPr>
        <w:t>Bridas</w:t>
      </w:r>
      <w:proofErr w:type="spellEnd"/>
      <w:r w:rsidRPr="006B0606">
        <w:rPr>
          <w:i/>
          <w:iCs/>
          <w:sz w:val="20"/>
          <w:lang w:val="en-US"/>
        </w:rPr>
        <w:t xml:space="preserve"> II)</w:t>
      </w:r>
      <w:r w:rsidRPr="006B0606">
        <w:rPr>
          <w:sz w:val="20"/>
          <w:lang w:val="en-US"/>
        </w:rPr>
        <w:t>, 447 F.3d 411, 4</w:t>
      </w:r>
      <w:r>
        <w:rPr>
          <w:sz w:val="20"/>
          <w:lang w:val="en-US"/>
        </w:rPr>
        <w:t>20</w:t>
      </w:r>
      <w:r w:rsidRPr="006B0606">
        <w:rPr>
          <w:sz w:val="20"/>
          <w:lang w:val="en-US"/>
        </w:rPr>
        <w:t xml:space="preserve"> (5th Cir 2006)</w:t>
      </w:r>
      <w:r>
        <w:rPr>
          <w:sz w:val="20"/>
          <w:lang w:val="en-US"/>
        </w:rPr>
        <w:t>.</w:t>
      </w:r>
    </w:p>
  </w:footnote>
  <w:footnote w:id="143">
    <w:p w14:paraId="22D8E330" w14:textId="527DF84A" w:rsidR="00B10BDB" w:rsidRPr="00D81523" w:rsidRDefault="00B10BDB" w:rsidP="00D12AE4">
      <w:pPr>
        <w:pStyle w:val="FootnoteText"/>
        <w:jc w:val="both"/>
        <w:rPr>
          <w:sz w:val="20"/>
          <w:lang w:val="en-US"/>
        </w:rPr>
      </w:pPr>
      <w:r w:rsidRPr="00D81523">
        <w:rPr>
          <w:rStyle w:val="FootnoteReference"/>
          <w:sz w:val="20"/>
        </w:rPr>
        <w:footnoteRef/>
      </w:r>
      <w:r w:rsidRPr="00D81523">
        <w:rPr>
          <w:sz w:val="20"/>
        </w:rPr>
        <w:t xml:space="preserve"> </w:t>
      </w:r>
      <w:r w:rsidRPr="00D81523">
        <w:rPr>
          <w:sz w:val="20"/>
          <w:lang w:val="en-US"/>
        </w:rPr>
        <w:t xml:space="preserve">J Wass, ‘Jurisdiction by Estoppel and Acquiescence in International Courts and Tribunals’ (2015) 86 </w:t>
      </w:r>
      <w:r w:rsidR="001831DB">
        <w:rPr>
          <w:sz w:val="20"/>
          <w:lang w:val="en-US"/>
        </w:rPr>
        <w:t>BYIL</w:t>
      </w:r>
      <w:r w:rsidRPr="00D81523">
        <w:rPr>
          <w:sz w:val="20"/>
          <w:lang w:val="en-US"/>
        </w:rPr>
        <w:t xml:space="preserve"> 155, 194.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4BD0F" w14:textId="78B4DBB2" w:rsidR="00AF1F73" w:rsidRPr="004E0AA6" w:rsidRDefault="00AF1F73">
    <w:pPr>
      <w:pStyle w:val="Header"/>
      <w:rPr>
        <w:b/>
        <w:bCs/>
        <w:color w:val="FF0000"/>
        <w:lang w:val="en-US"/>
      </w:rPr>
    </w:pPr>
    <w:r w:rsidRPr="004E0AA6">
      <w:rPr>
        <w:b/>
        <w:bCs/>
        <w:color w:val="FF0000"/>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61A6"/>
    <w:multiLevelType w:val="multilevel"/>
    <w:tmpl w:val="4AD2E6B8"/>
    <w:lvl w:ilvl="0">
      <w:start w:val="1"/>
      <w:numFmt w:val="upperRoman"/>
      <w:lvlText w:val="%1."/>
      <w:lvlJc w:val="right"/>
      <w:pPr>
        <w:ind w:left="720" w:hanging="360"/>
      </w:pPr>
      <w:rPr>
        <w:rFonts w:hint="default"/>
        <w:b/>
        <w:bCs/>
        <w:color w:val="000000" w:themeColor="text1"/>
        <w:sz w:val="24"/>
        <w:szCs w:val="24"/>
      </w:rPr>
    </w:lvl>
    <w:lvl w:ilvl="1">
      <w:start w:val="1"/>
      <w:numFmt w:val="decimal"/>
      <w:isLgl/>
      <w:lvlText w:val="%1.%2."/>
      <w:lvlJc w:val="left"/>
      <w:pPr>
        <w:ind w:left="3272" w:hanging="72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FF744C"/>
    <w:multiLevelType w:val="hybridMultilevel"/>
    <w:tmpl w:val="A67C959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842C9"/>
    <w:multiLevelType w:val="hybridMultilevel"/>
    <w:tmpl w:val="D518B306"/>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9316C"/>
    <w:multiLevelType w:val="hybridMultilevel"/>
    <w:tmpl w:val="88603B4A"/>
    <w:lvl w:ilvl="0" w:tplc="B70CE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E400CA"/>
    <w:multiLevelType w:val="hybridMultilevel"/>
    <w:tmpl w:val="348C628E"/>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E519E2"/>
    <w:multiLevelType w:val="hybridMultilevel"/>
    <w:tmpl w:val="6C3003C8"/>
    <w:lvl w:ilvl="0" w:tplc="7EA86FD4">
      <w:start w:val="1"/>
      <w:numFmt w:val="upperRoman"/>
      <w:lvlText w:val="%1."/>
      <w:lvlJc w:val="right"/>
      <w:pPr>
        <w:ind w:left="1080" w:hanging="360"/>
      </w:pPr>
      <w:rPr>
        <w:rFonts w:ascii="Times New Roman" w:hAnsi="Times New Roman" w:cs="Times New Roman" w:hint="default"/>
        <w:color w:val="000000" w:themeColor="text1"/>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0B7B4F"/>
    <w:multiLevelType w:val="hybridMultilevel"/>
    <w:tmpl w:val="93AA720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8338AA"/>
    <w:multiLevelType w:val="hybridMultilevel"/>
    <w:tmpl w:val="3A4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DF4944"/>
    <w:multiLevelType w:val="hybridMultilevel"/>
    <w:tmpl w:val="F8DCBC0E"/>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71B79"/>
    <w:multiLevelType w:val="hybridMultilevel"/>
    <w:tmpl w:val="3B5C8E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9C5D07"/>
    <w:multiLevelType w:val="hybridMultilevel"/>
    <w:tmpl w:val="6C3003C8"/>
    <w:lvl w:ilvl="0" w:tplc="7EA86FD4">
      <w:start w:val="1"/>
      <w:numFmt w:val="upperRoman"/>
      <w:lvlText w:val="%1."/>
      <w:lvlJc w:val="right"/>
      <w:pPr>
        <w:ind w:left="1080" w:hanging="360"/>
      </w:pPr>
      <w:rPr>
        <w:rFonts w:ascii="Times New Roman" w:hAnsi="Times New Roman" w:cs="Times New Roman" w:hint="default"/>
        <w:color w:val="000000" w:themeColor="text1"/>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BD0A6D"/>
    <w:multiLevelType w:val="hybridMultilevel"/>
    <w:tmpl w:val="65DE8206"/>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7F4A83"/>
    <w:multiLevelType w:val="multilevel"/>
    <w:tmpl w:val="1AD48A02"/>
    <w:lvl w:ilvl="0">
      <w:start w:val="1"/>
      <w:numFmt w:val="upperRoman"/>
      <w:lvlText w:val="%1."/>
      <w:lvlJc w:val="right"/>
      <w:pPr>
        <w:ind w:left="720" w:hanging="360"/>
      </w:pPr>
      <w:rPr>
        <w:rFonts w:hint="default"/>
        <w:b w:val="0"/>
        <w:bCs w:val="0"/>
        <w:color w:val="000000" w:themeColor="text1"/>
        <w:sz w:val="24"/>
        <w:szCs w:val="24"/>
      </w:rPr>
    </w:lvl>
    <w:lvl w:ilvl="1">
      <w:start w:val="1"/>
      <w:numFmt w:val="decimal"/>
      <w:isLgl/>
      <w:lvlText w:val="%1.%2."/>
      <w:lvlJc w:val="left"/>
      <w:pPr>
        <w:ind w:left="3272" w:hanging="72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462E83"/>
    <w:multiLevelType w:val="hybridMultilevel"/>
    <w:tmpl w:val="992CCB52"/>
    <w:lvl w:ilvl="0" w:tplc="A3A2E880">
      <w:start w:val="1"/>
      <w:numFmt w:val="upperRoman"/>
      <w:lvlText w:val="%1."/>
      <w:lvlJc w:val="right"/>
      <w:pPr>
        <w:ind w:left="720" w:hanging="360"/>
      </w:pPr>
      <w:rPr>
        <w:rFonts w:ascii="Times New Roman" w:hAnsi="Times New Roman" w:cs="Times New Roman"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E6004"/>
    <w:multiLevelType w:val="hybridMultilevel"/>
    <w:tmpl w:val="2CE6C0BC"/>
    <w:lvl w:ilvl="0" w:tplc="04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613F6F3F"/>
    <w:multiLevelType w:val="hybridMultilevel"/>
    <w:tmpl w:val="13F8913A"/>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0F24D3"/>
    <w:multiLevelType w:val="hybridMultilevel"/>
    <w:tmpl w:val="BBBA451E"/>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422857"/>
    <w:multiLevelType w:val="hybridMultilevel"/>
    <w:tmpl w:val="6E8C7E6C"/>
    <w:lvl w:ilvl="0" w:tplc="A3A2E880">
      <w:start w:val="1"/>
      <w:numFmt w:val="upperRoman"/>
      <w:lvlText w:val="%1."/>
      <w:lvlJc w:val="right"/>
      <w:pPr>
        <w:ind w:left="720" w:hanging="360"/>
      </w:pPr>
      <w:rPr>
        <w:rFonts w:ascii="Times New Roman" w:hAnsi="Times New Roman" w:cs="Times New Roman"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42C5C"/>
    <w:multiLevelType w:val="multilevel"/>
    <w:tmpl w:val="1AD48A02"/>
    <w:lvl w:ilvl="0">
      <w:start w:val="1"/>
      <w:numFmt w:val="upperRoman"/>
      <w:lvlText w:val="%1."/>
      <w:lvlJc w:val="right"/>
      <w:pPr>
        <w:ind w:left="720" w:hanging="360"/>
      </w:pPr>
      <w:rPr>
        <w:rFonts w:hint="default"/>
        <w:b w:val="0"/>
        <w:bCs w:val="0"/>
        <w:color w:val="000000" w:themeColor="text1"/>
        <w:sz w:val="24"/>
        <w:szCs w:val="24"/>
      </w:rPr>
    </w:lvl>
    <w:lvl w:ilvl="1">
      <w:start w:val="1"/>
      <w:numFmt w:val="decimal"/>
      <w:isLgl/>
      <w:lvlText w:val="%1.%2."/>
      <w:lvlJc w:val="left"/>
      <w:pPr>
        <w:ind w:left="3272" w:hanging="72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1F4D12"/>
    <w:multiLevelType w:val="hybridMultilevel"/>
    <w:tmpl w:val="E806DA4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13"/>
  </w:num>
  <w:num w:numId="6">
    <w:abstractNumId w:val="10"/>
  </w:num>
  <w:num w:numId="7">
    <w:abstractNumId w:val="12"/>
  </w:num>
  <w:num w:numId="8">
    <w:abstractNumId w:val="18"/>
  </w:num>
  <w:num w:numId="9">
    <w:abstractNumId w:val="17"/>
  </w:num>
  <w:num w:numId="10">
    <w:abstractNumId w:val="4"/>
  </w:num>
  <w:num w:numId="11">
    <w:abstractNumId w:val="14"/>
  </w:num>
  <w:num w:numId="12">
    <w:abstractNumId w:val="8"/>
  </w:num>
  <w:num w:numId="13">
    <w:abstractNumId w:val="1"/>
  </w:num>
  <w:num w:numId="14">
    <w:abstractNumId w:val="19"/>
  </w:num>
  <w:num w:numId="15">
    <w:abstractNumId w:val="9"/>
  </w:num>
  <w:num w:numId="16">
    <w:abstractNumId w:val="11"/>
  </w:num>
  <w:num w:numId="17">
    <w:abstractNumId w:val="2"/>
  </w:num>
  <w:num w:numId="18">
    <w:abstractNumId w:val="6"/>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70"/>
    <w:rsid w:val="00004D4C"/>
    <w:rsid w:val="000071A3"/>
    <w:rsid w:val="000123AC"/>
    <w:rsid w:val="00012A0C"/>
    <w:rsid w:val="00013757"/>
    <w:rsid w:val="00013F9A"/>
    <w:rsid w:val="00023771"/>
    <w:rsid w:val="00023D8D"/>
    <w:rsid w:val="0003125F"/>
    <w:rsid w:val="00032617"/>
    <w:rsid w:val="0003423F"/>
    <w:rsid w:val="0003560D"/>
    <w:rsid w:val="00035E6A"/>
    <w:rsid w:val="00035F72"/>
    <w:rsid w:val="0003606A"/>
    <w:rsid w:val="0004174A"/>
    <w:rsid w:val="00047675"/>
    <w:rsid w:val="000476F9"/>
    <w:rsid w:val="00057891"/>
    <w:rsid w:val="000623B1"/>
    <w:rsid w:val="00063663"/>
    <w:rsid w:val="00072415"/>
    <w:rsid w:val="000727ED"/>
    <w:rsid w:val="00075ACF"/>
    <w:rsid w:val="00082BF1"/>
    <w:rsid w:val="00082FC6"/>
    <w:rsid w:val="0008463B"/>
    <w:rsid w:val="00091D9C"/>
    <w:rsid w:val="00094A50"/>
    <w:rsid w:val="000A2DB7"/>
    <w:rsid w:val="000A6103"/>
    <w:rsid w:val="000A6EAE"/>
    <w:rsid w:val="000A77A5"/>
    <w:rsid w:val="000B2ACA"/>
    <w:rsid w:val="000B7817"/>
    <w:rsid w:val="000C31AB"/>
    <w:rsid w:val="000C3DC6"/>
    <w:rsid w:val="000C3F62"/>
    <w:rsid w:val="000C4700"/>
    <w:rsid w:val="000D2118"/>
    <w:rsid w:val="000D4C0C"/>
    <w:rsid w:val="000D6547"/>
    <w:rsid w:val="000E11C5"/>
    <w:rsid w:val="000E2B64"/>
    <w:rsid w:val="000E4091"/>
    <w:rsid w:val="000F0017"/>
    <w:rsid w:val="000F30E0"/>
    <w:rsid w:val="001055E9"/>
    <w:rsid w:val="0010570A"/>
    <w:rsid w:val="0011196F"/>
    <w:rsid w:val="0011272E"/>
    <w:rsid w:val="0011509F"/>
    <w:rsid w:val="0011784D"/>
    <w:rsid w:val="00142E0A"/>
    <w:rsid w:val="00153115"/>
    <w:rsid w:val="0015796A"/>
    <w:rsid w:val="00161EFC"/>
    <w:rsid w:val="00173803"/>
    <w:rsid w:val="0017525E"/>
    <w:rsid w:val="00180671"/>
    <w:rsid w:val="001831DB"/>
    <w:rsid w:val="00190635"/>
    <w:rsid w:val="0019237B"/>
    <w:rsid w:val="001926DD"/>
    <w:rsid w:val="00193700"/>
    <w:rsid w:val="001B2E69"/>
    <w:rsid w:val="001B3617"/>
    <w:rsid w:val="001B3B7D"/>
    <w:rsid w:val="001B6E4E"/>
    <w:rsid w:val="001C377B"/>
    <w:rsid w:val="001C7A06"/>
    <w:rsid w:val="001D1265"/>
    <w:rsid w:val="001E28C2"/>
    <w:rsid w:val="001E66A1"/>
    <w:rsid w:val="001E7594"/>
    <w:rsid w:val="001F0F96"/>
    <w:rsid w:val="001F1B59"/>
    <w:rsid w:val="001F619B"/>
    <w:rsid w:val="001F70E4"/>
    <w:rsid w:val="001F7EB3"/>
    <w:rsid w:val="002045E8"/>
    <w:rsid w:val="00215308"/>
    <w:rsid w:val="002231ED"/>
    <w:rsid w:val="00234836"/>
    <w:rsid w:val="0023556F"/>
    <w:rsid w:val="0024471F"/>
    <w:rsid w:val="00245992"/>
    <w:rsid w:val="00250C65"/>
    <w:rsid w:val="002519E4"/>
    <w:rsid w:val="00261D92"/>
    <w:rsid w:val="002622C4"/>
    <w:rsid w:val="00264AE1"/>
    <w:rsid w:val="00264E13"/>
    <w:rsid w:val="00264F7A"/>
    <w:rsid w:val="00265CAC"/>
    <w:rsid w:val="002667CD"/>
    <w:rsid w:val="00271F46"/>
    <w:rsid w:val="00273484"/>
    <w:rsid w:val="002777C4"/>
    <w:rsid w:val="00281560"/>
    <w:rsid w:val="00282FC9"/>
    <w:rsid w:val="00284EF8"/>
    <w:rsid w:val="00285F36"/>
    <w:rsid w:val="00290320"/>
    <w:rsid w:val="00297B89"/>
    <w:rsid w:val="002A1EA0"/>
    <w:rsid w:val="002A6354"/>
    <w:rsid w:val="002A7D40"/>
    <w:rsid w:val="002C2000"/>
    <w:rsid w:val="002C26F5"/>
    <w:rsid w:val="002C3ED1"/>
    <w:rsid w:val="002C7E64"/>
    <w:rsid w:val="002D3878"/>
    <w:rsid w:val="002D4355"/>
    <w:rsid w:val="002D5A0F"/>
    <w:rsid w:val="002D6E48"/>
    <w:rsid w:val="002E5120"/>
    <w:rsid w:val="002F0A6F"/>
    <w:rsid w:val="002F6197"/>
    <w:rsid w:val="002F6E42"/>
    <w:rsid w:val="0030260C"/>
    <w:rsid w:val="00305188"/>
    <w:rsid w:val="00305B84"/>
    <w:rsid w:val="00310FCD"/>
    <w:rsid w:val="00313061"/>
    <w:rsid w:val="003141F6"/>
    <w:rsid w:val="0032013B"/>
    <w:rsid w:val="003230FD"/>
    <w:rsid w:val="003241CA"/>
    <w:rsid w:val="0032482A"/>
    <w:rsid w:val="00325937"/>
    <w:rsid w:val="0033362B"/>
    <w:rsid w:val="003346C7"/>
    <w:rsid w:val="003359C8"/>
    <w:rsid w:val="00335E53"/>
    <w:rsid w:val="00336C4D"/>
    <w:rsid w:val="0034257F"/>
    <w:rsid w:val="00344EB2"/>
    <w:rsid w:val="0034501C"/>
    <w:rsid w:val="00355625"/>
    <w:rsid w:val="003576BC"/>
    <w:rsid w:val="003617E0"/>
    <w:rsid w:val="00363860"/>
    <w:rsid w:val="003701C6"/>
    <w:rsid w:val="00376DEA"/>
    <w:rsid w:val="00381A39"/>
    <w:rsid w:val="00382A96"/>
    <w:rsid w:val="0038302F"/>
    <w:rsid w:val="00387AD4"/>
    <w:rsid w:val="0039462D"/>
    <w:rsid w:val="00397A11"/>
    <w:rsid w:val="003A0724"/>
    <w:rsid w:val="003B3BD3"/>
    <w:rsid w:val="003B658E"/>
    <w:rsid w:val="003B65B6"/>
    <w:rsid w:val="003B7137"/>
    <w:rsid w:val="003C5DBF"/>
    <w:rsid w:val="003C6599"/>
    <w:rsid w:val="003C7E01"/>
    <w:rsid w:val="003D0687"/>
    <w:rsid w:val="003D19B6"/>
    <w:rsid w:val="003D3070"/>
    <w:rsid w:val="003D4AA1"/>
    <w:rsid w:val="003D7B0B"/>
    <w:rsid w:val="003D7DF8"/>
    <w:rsid w:val="003E18D0"/>
    <w:rsid w:val="003F13AD"/>
    <w:rsid w:val="003F63D5"/>
    <w:rsid w:val="00401EE3"/>
    <w:rsid w:val="00407C20"/>
    <w:rsid w:val="00407C68"/>
    <w:rsid w:val="00417F89"/>
    <w:rsid w:val="004230E7"/>
    <w:rsid w:val="00425DF5"/>
    <w:rsid w:val="00430991"/>
    <w:rsid w:val="004371B1"/>
    <w:rsid w:val="0044333E"/>
    <w:rsid w:val="00443352"/>
    <w:rsid w:val="00443A1D"/>
    <w:rsid w:val="00445818"/>
    <w:rsid w:val="00457D6A"/>
    <w:rsid w:val="00460111"/>
    <w:rsid w:val="00460120"/>
    <w:rsid w:val="00462BDB"/>
    <w:rsid w:val="0047047A"/>
    <w:rsid w:val="004710A3"/>
    <w:rsid w:val="00473A03"/>
    <w:rsid w:val="00487AD0"/>
    <w:rsid w:val="004927B6"/>
    <w:rsid w:val="00493C76"/>
    <w:rsid w:val="004954BF"/>
    <w:rsid w:val="004965ED"/>
    <w:rsid w:val="004A1D90"/>
    <w:rsid w:val="004A5CA8"/>
    <w:rsid w:val="004A67E0"/>
    <w:rsid w:val="004A7A2D"/>
    <w:rsid w:val="004B1ED5"/>
    <w:rsid w:val="004B212E"/>
    <w:rsid w:val="004B6475"/>
    <w:rsid w:val="004B7BA1"/>
    <w:rsid w:val="004C0B74"/>
    <w:rsid w:val="004C3429"/>
    <w:rsid w:val="004C41D3"/>
    <w:rsid w:val="004E0AA1"/>
    <w:rsid w:val="004E0AA6"/>
    <w:rsid w:val="004E2133"/>
    <w:rsid w:val="004E2BC2"/>
    <w:rsid w:val="004E442E"/>
    <w:rsid w:val="004E67DC"/>
    <w:rsid w:val="004E7A8C"/>
    <w:rsid w:val="004F1F0A"/>
    <w:rsid w:val="004F55F7"/>
    <w:rsid w:val="005014AC"/>
    <w:rsid w:val="005032DD"/>
    <w:rsid w:val="00505282"/>
    <w:rsid w:val="00505F21"/>
    <w:rsid w:val="005075FB"/>
    <w:rsid w:val="00511DB2"/>
    <w:rsid w:val="00516457"/>
    <w:rsid w:val="005206D6"/>
    <w:rsid w:val="00520B2B"/>
    <w:rsid w:val="00520BDB"/>
    <w:rsid w:val="0052359E"/>
    <w:rsid w:val="00525BD2"/>
    <w:rsid w:val="0052768F"/>
    <w:rsid w:val="00531500"/>
    <w:rsid w:val="00532B7F"/>
    <w:rsid w:val="00535CAA"/>
    <w:rsid w:val="0054023A"/>
    <w:rsid w:val="005430C0"/>
    <w:rsid w:val="00547CE4"/>
    <w:rsid w:val="00550F45"/>
    <w:rsid w:val="00550F5A"/>
    <w:rsid w:val="0055191E"/>
    <w:rsid w:val="005544F9"/>
    <w:rsid w:val="0055614D"/>
    <w:rsid w:val="005578A0"/>
    <w:rsid w:val="00561C69"/>
    <w:rsid w:val="00562652"/>
    <w:rsid w:val="0056567E"/>
    <w:rsid w:val="005663AC"/>
    <w:rsid w:val="00577734"/>
    <w:rsid w:val="00577CC2"/>
    <w:rsid w:val="0058281D"/>
    <w:rsid w:val="00582DD1"/>
    <w:rsid w:val="00583265"/>
    <w:rsid w:val="00584F7B"/>
    <w:rsid w:val="00585A3B"/>
    <w:rsid w:val="0058689F"/>
    <w:rsid w:val="00590E08"/>
    <w:rsid w:val="005A7C45"/>
    <w:rsid w:val="005C7061"/>
    <w:rsid w:val="005D1153"/>
    <w:rsid w:val="005D1A7E"/>
    <w:rsid w:val="005D2A1D"/>
    <w:rsid w:val="005E4A50"/>
    <w:rsid w:val="005F4BD7"/>
    <w:rsid w:val="00601D2B"/>
    <w:rsid w:val="00602D59"/>
    <w:rsid w:val="00602DF0"/>
    <w:rsid w:val="006134CD"/>
    <w:rsid w:val="0062005D"/>
    <w:rsid w:val="006226EE"/>
    <w:rsid w:val="0062521C"/>
    <w:rsid w:val="00625D1B"/>
    <w:rsid w:val="00626570"/>
    <w:rsid w:val="006338B3"/>
    <w:rsid w:val="0063611C"/>
    <w:rsid w:val="00643D22"/>
    <w:rsid w:val="00650847"/>
    <w:rsid w:val="00650B9F"/>
    <w:rsid w:val="00654EDF"/>
    <w:rsid w:val="0065692B"/>
    <w:rsid w:val="006650C5"/>
    <w:rsid w:val="00667A2E"/>
    <w:rsid w:val="00671E1F"/>
    <w:rsid w:val="00673080"/>
    <w:rsid w:val="006774D8"/>
    <w:rsid w:val="00681734"/>
    <w:rsid w:val="00684B0E"/>
    <w:rsid w:val="006940B8"/>
    <w:rsid w:val="0069491B"/>
    <w:rsid w:val="00694A9C"/>
    <w:rsid w:val="00695A5F"/>
    <w:rsid w:val="00697010"/>
    <w:rsid w:val="006A4958"/>
    <w:rsid w:val="006A7275"/>
    <w:rsid w:val="006B0606"/>
    <w:rsid w:val="006B0AE4"/>
    <w:rsid w:val="006B1A85"/>
    <w:rsid w:val="006B1AFF"/>
    <w:rsid w:val="006B240F"/>
    <w:rsid w:val="006C0887"/>
    <w:rsid w:val="006C0D6F"/>
    <w:rsid w:val="006C556E"/>
    <w:rsid w:val="006D78EA"/>
    <w:rsid w:val="006E3011"/>
    <w:rsid w:val="006F1F41"/>
    <w:rsid w:val="006F254E"/>
    <w:rsid w:val="006F42E1"/>
    <w:rsid w:val="006F567F"/>
    <w:rsid w:val="006F5F49"/>
    <w:rsid w:val="007002F8"/>
    <w:rsid w:val="00703F49"/>
    <w:rsid w:val="00706650"/>
    <w:rsid w:val="00707F51"/>
    <w:rsid w:val="00711FB5"/>
    <w:rsid w:val="007146DE"/>
    <w:rsid w:val="00714723"/>
    <w:rsid w:val="00715038"/>
    <w:rsid w:val="007167B2"/>
    <w:rsid w:val="007219AA"/>
    <w:rsid w:val="00734940"/>
    <w:rsid w:val="00734FD3"/>
    <w:rsid w:val="00745002"/>
    <w:rsid w:val="007456FD"/>
    <w:rsid w:val="007534D0"/>
    <w:rsid w:val="00755360"/>
    <w:rsid w:val="00757512"/>
    <w:rsid w:val="00757914"/>
    <w:rsid w:val="00760D3C"/>
    <w:rsid w:val="007624B2"/>
    <w:rsid w:val="00771233"/>
    <w:rsid w:val="00771E3F"/>
    <w:rsid w:val="00773164"/>
    <w:rsid w:val="00774C66"/>
    <w:rsid w:val="0078068B"/>
    <w:rsid w:val="007808F9"/>
    <w:rsid w:val="00782E93"/>
    <w:rsid w:val="007917BE"/>
    <w:rsid w:val="00791C11"/>
    <w:rsid w:val="00793BEE"/>
    <w:rsid w:val="0079420E"/>
    <w:rsid w:val="0079460D"/>
    <w:rsid w:val="007948A3"/>
    <w:rsid w:val="0079720B"/>
    <w:rsid w:val="007A47E4"/>
    <w:rsid w:val="007A5C12"/>
    <w:rsid w:val="007A5F9C"/>
    <w:rsid w:val="007A6403"/>
    <w:rsid w:val="007A689E"/>
    <w:rsid w:val="007B2DBD"/>
    <w:rsid w:val="007C1364"/>
    <w:rsid w:val="007C3F71"/>
    <w:rsid w:val="007C4B15"/>
    <w:rsid w:val="007C589F"/>
    <w:rsid w:val="007C6A69"/>
    <w:rsid w:val="007D7A24"/>
    <w:rsid w:val="007E0434"/>
    <w:rsid w:val="007E561C"/>
    <w:rsid w:val="007F463E"/>
    <w:rsid w:val="007F6B08"/>
    <w:rsid w:val="00801340"/>
    <w:rsid w:val="00802C90"/>
    <w:rsid w:val="00806330"/>
    <w:rsid w:val="00806E01"/>
    <w:rsid w:val="00807BAF"/>
    <w:rsid w:val="00807D02"/>
    <w:rsid w:val="00811634"/>
    <w:rsid w:val="00820FF3"/>
    <w:rsid w:val="00821C75"/>
    <w:rsid w:val="008270E2"/>
    <w:rsid w:val="00830D68"/>
    <w:rsid w:val="008328A5"/>
    <w:rsid w:val="00835B56"/>
    <w:rsid w:val="0083600A"/>
    <w:rsid w:val="00837750"/>
    <w:rsid w:val="00841132"/>
    <w:rsid w:val="008414CB"/>
    <w:rsid w:val="00843B1C"/>
    <w:rsid w:val="00847E5D"/>
    <w:rsid w:val="00854013"/>
    <w:rsid w:val="00857BC8"/>
    <w:rsid w:val="008620A9"/>
    <w:rsid w:val="0086344F"/>
    <w:rsid w:val="008651D6"/>
    <w:rsid w:val="008677FE"/>
    <w:rsid w:val="00867A77"/>
    <w:rsid w:val="0087241B"/>
    <w:rsid w:val="0087535F"/>
    <w:rsid w:val="0088408E"/>
    <w:rsid w:val="0088560B"/>
    <w:rsid w:val="008868B2"/>
    <w:rsid w:val="00890CE7"/>
    <w:rsid w:val="008931EC"/>
    <w:rsid w:val="008938B5"/>
    <w:rsid w:val="00895B22"/>
    <w:rsid w:val="008A2E65"/>
    <w:rsid w:val="008A3B09"/>
    <w:rsid w:val="008A4988"/>
    <w:rsid w:val="008A62CA"/>
    <w:rsid w:val="008A6C3C"/>
    <w:rsid w:val="008B2775"/>
    <w:rsid w:val="008B75EF"/>
    <w:rsid w:val="008C0831"/>
    <w:rsid w:val="008C2862"/>
    <w:rsid w:val="008C72F0"/>
    <w:rsid w:val="008D06D1"/>
    <w:rsid w:val="008D637C"/>
    <w:rsid w:val="008D7E8E"/>
    <w:rsid w:val="008E1691"/>
    <w:rsid w:val="008E2D79"/>
    <w:rsid w:val="008E30F1"/>
    <w:rsid w:val="008F2636"/>
    <w:rsid w:val="008F5B75"/>
    <w:rsid w:val="008F67B0"/>
    <w:rsid w:val="00901BBC"/>
    <w:rsid w:val="009025E8"/>
    <w:rsid w:val="009119AC"/>
    <w:rsid w:val="00920708"/>
    <w:rsid w:val="00935E4D"/>
    <w:rsid w:val="00936E49"/>
    <w:rsid w:val="009426EC"/>
    <w:rsid w:val="0094448A"/>
    <w:rsid w:val="009527CF"/>
    <w:rsid w:val="009562EC"/>
    <w:rsid w:val="00962B05"/>
    <w:rsid w:val="00963639"/>
    <w:rsid w:val="009711A2"/>
    <w:rsid w:val="009857CA"/>
    <w:rsid w:val="00990764"/>
    <w:rsid w:val="00992724"/>
    <w:rsid w:val="00993D3D"/>
    <w:rsid w:val="009A00C3"/>
    <w:rsid w:val="009A069C"/>
    <w:rsid w:val="009A0862"/>
    <w:rsid w:val="009A5944"/>
    <w:rsid w:val="009B091F"/>
    <w:rsid w:val="009B7A44"/>
    <w:rsid w:val="009C2FB7"/>
    <w:rsid w:val="009C33F6"/>
    <w:rsid w:val="009C52A5"/>
    <w:rsid w:val="009C7F80"/>
    <w:rsid w:val="009D50C2"/>
    <w:rsid w:val="009D7E80"/>
    <w:rsid w:val="009E0F0C"/>
    <w:rsid w:val="009E5624"/>
    <w:rsid w:val="009F3C28"/>
    <w:rsid w:val="009F5BA2"/>
    <w:rsid w:val="009F702A"/>
    <w:rsid w:val="00A02596"/>
    <w:rsid w:val="00A0510D"/>
    <w:rsid w:val="00A11248"/>
    <w:rsid w:val="00A11D6F"/>
    <w:rsid w:val="00A2404A"/>
    <w:rsid w:val="00A26984"/>
    <w:rsid w:val="00A353E2"/>
    <w:rsid w:val="00A3685F"/>
    <w:rsid w:val="00A37D65"/>
    <w:rsid w:val="00A414B3"/>
    <w:rsid w:val="00A51C99"/>
    <w:rsid w:val="00A5741D"/>
    <w:rsid w:val="00A61432"/>
    <w:rsid w:val="00A63FC8"/>
    <w:rsid w:val="00A73BF1"/>
    <w:rsid w:val="00A73D78"/>
    <w:rsid w:val="00A752DB"/>
    <w:rsid w:val="00A7686C"/>
    <w:rsid w:val="00A81DE2"/>
    <w:rsid w:val="00A840F6"/>
    <w:rsid w:val="00A90F4E"/>
    <w:rsid w:val="00A9131A"/>
    <w:rsid w:val="00A91B42"/>
    <w:rsid w:val="00A922BB"/>
    <w:rsid w:val="00AB2604"/>
    <w:rsid w:val="00AC134D"/>
    <w:rsid w:val="00AD0470"/>
    <w:rsid w:val="00AD1090"/>
    <w:rsid w:val="00AD11A4"/>
    <w:rsid w:val="00AD6A21"/>
    <w:rsid w:val="00AE0029"/>
    <w:rsid w:val="00AE2E14"/>
    <w:rsid w:val="00AE4EAD"/>
    <w:rsid w:val="00AF1F73"/>
    <w:rsid w:val="00AF2321"/>
    <w:rsid w:val="00AF3C39"/>
    <w:rsid w:val="00AF5CA8"/>
    <w:rsid w:val="00B00E76"/>
    <w:rsid w:val="00B05B46"/>
    <w:rsid w:val="00B10BDB"/>
    <w:rsid w:val="00B15260"/>
    <w:rsid w:val="00B225BF"/>
    <w:rsid w:val="00B23EFE"/>
    <w:rsid w:val="00B25974"/>
    <w:rsid w:val="00B279E2"/>
    <w:rsid w:val="00B323EA"/>
    <w:rsid w:val="00B3292C"/>
    <w:rsid w:val="00B32E65"/>
    <w:rsid w:val="00B423FF"/>
    <w:rsid w:val="00B43BB0"/>
    <w:rsid w:val="00B51C2B"/>
    <w:rsid w:val="00B55582"/>
    <w:rsid w:val="00B61CFA"/>
    <w:rsid w:val="00B6454A"/>
    <w:rsid w:val="00B67C47"/>
    <w:rsid w:val="00B70BEE"/>
    <w:rsid w:val="00B76CDC"/>
    <w:rsid w:val="00B77DEE"/>
    <w:rsid w:val="00B8062C"/>
    <w:rsid w:val="00B82F41"/>
    <w:rsid w:val="00B85DC0"/>
    <w:rsid w:val="00B865CA"/>
    <w:rsid w:val="00B87124"/>
    <w:rsid w:val="00B877F2"/>
    <w:rsid w:val="00B90978"/>
    <w:rsid w:val="00B911DE"/>
    <w:rsid w:val="00B918CB"/>
    <w:rsid w:val="00B93754"/>
    <w:rsid w:val="00B95BF8"/>
    <w:rsid w:val="00B96FE4"/>
    <w:rsid w:val="00BB3A4E"/>
    <w:rsid w:val="00BB3B0B"/>
    <w:rsid w:val="00BC032A"/>
    <w:rsid w:val="00BC1F4D"/>
    <w:rsid w:val="00BD2612"/>
    <w:rsid w:val="00BD2749"/>
    <w:rsid w:val="00BD2B6E"/>
    <w:rsid w:val="00BD3492"/>
    <w:rsid w:val="00BD3A49"/>
    <w:rsid w:val="00BD3C53"/>
    <w:rsid w:val="00BE394D"/>
    <w:rsid w:val="00BE3BA2"/>
    <w:rsid w:val="00BE68B3"/>
    <w:rsid w:val="00BE74B4"/>
    <w:rsid w:val="00BF2803"/>
    <w:rsid w:val="00C00C76"/>
    <w:rsid w:val="00C028D6"/>
    <w:rsid w:val="00C03027"/>
    <w:rsid w:val="00C031D4"/>
    <w:rsid w:val="00C03CEA"/>
    <w:rsid w:val="00C115B5"/>
    <w:rsid w:val="00C16AA4"/>
    <w:rsid w:val="00C1742F"/>
    <w:rsid w:val="00C17CD6"/>
    <w:rsid w:val="00C21D95"/>
    <w:rsid w:val="00C24990"/>
    <w:rsid w:val="00C24D82"/>
    <w:rsid w:val="00C25B0A"/>
    <w:rsid w:val="00C326B2"/>
    <w:rsid w:val="00C37D5F"/>
    <w:rsid w:val="00C45DE6"/>
    <w:rsid w:val="00C462CE"/>
    <w:rsid w:val="00C54CC5"/>
    <w:rsid w:val="00C5645A"/>
    <w:rsid w:val="00C61D86"/>
    <w:rsid w:val="00C63DBC"/>
    <w:rsid w:val="00C650B6"/>
    <w:rsid w:val="00C703EA"/>
    <w:rsid w:val="00C72126"/>
    <w:rsid w:val="00C726BA"/>
    <w:rsid w:val="00C763E2"/>
    <w:rsid w:val="00C852B2"/>
    <w:rsid w:val="00C854FA"/>
    <w:rsid w:val="00C87273"/>
    <w:rsid w:val="00C91AC8"/>
    <w:rsid w:val="00CA0A50"/>
    <w:rsid w:val="00CA40F8"/>
    <w:rsid w:val="00CA506D"/>
    <w:rsid w:val="00CA6062"/>
    <w:rsid w:val="00CA64B6"/>
    <w:rsid w:val="00CB1E6F"/>
    <w:rsid w:val="00CB3B4D"/>
    <w:rsid w:val="00CC359D"/>
    <w:rsid w:val="00CC5883"/>
    <w:rsid w:val="00CD2A0B"/>
    <w:rsid w:val="00CE2474"/>
    <w:rsid w:val="00CE2FA0"/>
    <w:rsid w:val="00CE5934"/>
    <w:rsid w:val="00CE7BA2"/>
    <w:rsid w:val="00CF00A8"/>
    <w:rsid w:val="00CF1B88"/>
    <w:rsid w:val="00CF47C1"/>
    <w:rsid w:val="00D12AE4"/>
    <w:rsid w:val="00D1353E"/>
    <w:rsid w:val="00D17552"/>
    <w:rsid w:val="00D21F9B"/>
    <w:rsid w:val="00D251BD"/>
    <w:rsid w:val="00D32574"/>
    <w:rsid w:val="00D40CE3"/>
    <w:rsid w:val="00D43FFB"/>
    <w:rsid w:val="00D44E08"/>
    <w:rsid w:val="00D5250D"/>
    <w:rsid w:val="00D6046D"/>
    <w:rsid w:val="00D61F8E"/>
    <w:rsid w:val="00D65B39"/>
    <w:rsid w:val="00D67426"/>
    <w:rsid w:val="00D67FD0"/>
    <w:rsid w:val="00D72155"/>
    <w:rsid w:val="00D76299"/>
    <w:rsid w:val="00D769EC"/>
    <w:rsid w:val="00D7791A"/>
    <w:rsid w:val="00D81523"/>
    <w:rsid w:val="00D82A0D"/>
    <w:rsid w:val="00D835B1"/>
    <w:rsid w:val="00D8662E"/>
    <w:rsid w:val="00DA17AC"/>
    <w:rsid w:val="00DA2261"/>
    <w:rsid w:val="00DA605B"/>
    <w:rsid w:val="00DB1524"/>
    <w:rsid w:val="00DB1CFD"/>
    <w:rsid w:val="00DB47D9"/>
    <w:rsid w:val="00DC103E"/>
    <w:rsid w:val="00DC61C9"/>
    <w:rsid w:val="00DE4573"/>
    <w:rsid w:val="00DF1061"/>
    <w:rsid w:val="00DF301F"/>
    <w:rsid w:val="00DF71CD"/>
    <w:rsid w:val="00E0479F"/>
    <w:rsid w:val="00E059A0"/>
    <w:rsid w:val="00E27028"/>
    <w:rsid w:val="00E27D5F"/>
    <w:rsid w:val="00E34B8A"/>
    <w:rsid w:val="00E40486"/>
    <w:rsid w:val="00E4661A"/>
    <w:rsid w:val="00E470B9"/>
    <w:rsid w:val="00E531E1"/>
    <w:rsid w:val="00E54248"/>
    <w:rsid w:val="00E57C99"/>
    <w:rsid w:val="00E604EC"/>
    <w:rsid w:val="00E6061B"/>
    <w:rsid w:val="00E63116"/>
    <w:rsid w:val="00E63704"/>
    <w:rsid w:val="00E6690F"/>
    <w:rsid w:val="00E732CB"/>
    <w:rsid w:val="00E7342A"/>
    <w:rsid w:val="00E73535"/>
    <w:rsid w:val="00E73B55"/>
    <w:rsid w:val="00E75C45"/>
    <w:rsid w:val="00E772E1"/>
    <w:rsid w:val="00E81B76"/>
    <w:rsid w:val="00E91872"/>
    <w:rsid w:val="00E91FF4"/>
    <w:rsid w:val="00E92197"/>
    <w:rsid w:val="00E92D9C"/>
    <w:rsid w:val="00E9577D"/>
    <w:rsid w:val="00EA0EA2"/>
    <w:rsid w:val="00EA380C"/>
    <w:rsid w:val="00EA381A"/>
    <w:rsid w:val="00EA38C4"/>
    <w:rsid w:val="00EA6B3A"/>
    <w:rsid w:val="00EB4894"/>
    <w:rsid w:val="00EC0F0E"/>
    <w:rsid w:val="00EC1983"/>
    <w:rsid w:val="00EC1DA7"/>
    <w:rsid w:val="00EC49F6"/>
    <w:rsid w:val="00EC6A9E"/>
    <w:rsid w:val="00EC734C"/>
    <w:rsid w:val="00ED032D"/>
    <w:rsid w:val="00ED37E5"/>
    <w:rsid w:val="00ED5D06"/>
    <w:rsid w:val="00EE6700"/>
    <w:rsid w:val="00EF1E73"/>
    <w:rsid w:val="00EF350F"/>
    <w:rsid w:val="00F0084A"/>
    <w:rsid w:val="00F01191"/>
    <w:rsid w:val="00F02E10"/>
    <w:rsid w:val="00F04307"/>
    <w:rsid w:val="00F06781"/>
    <w:rsid w:val="00F07CCD"/>
    <w:rsid w:val="00F12219"/>
    <w:rsid w:val="00F265F2"/>
    <w:rsid w:val="00F31046"/>
    <w:rsid w:val="00F31627"/>
    <w:rsid w:val="00F31B89"/>
    <w:rsid w:val="00F32D59"/>
    <w:rsid w:val="00F32E0B"/>
    <w:rsid w:val="00F375D8"/>
    <w:rsid w:val="00F40005"/>
    <w:rsid w:val="00F40BC5"/>
    <w:rsid w:val="00F4453F"/>
    <w:rsid w:val="00F47A95"/>
    <w:rsid w:val="00F50934"/>
    <w:rsid w:val="00F51344"/>
    <w:rsid w:val="00F51E3F"/>
    <w:rsid w:val="00F523D5"/>
    <w:rsid w:val="00F544AC"/>
    <w:rsid w:val="00F55457"/>
    <w:rsid w:val="00F645D4"/>
    <w:rsid w:val="00F81BDD"/>
    <w:rsid w:val="00F83120"/>
    <w:rsid w:val="00F8341D"/>
    <w:rsid w:val="00FA03E4"/>
    <w:rsid w:val="00FA369E"/>
    <w:rsid w:val="00FB185A"/>
    <w:rsid w:val="00FB1A70"/>
    <w:rsid w:val="00FB5B3F"/>
    <w:rsid w:val="00FC1204"/>
    <w:rsid w:val="00FC2CB9"/>
    <w:rsid w:val="00FC503E"/>
    <w:rsid w:val="00FD3610"/>
    <w:rsid w:val="00FD364B"/>
    <w:rsid w:val="00FD3EDE"/>
    <w:rsid w:val="00FD6038"/>
    <w:rsid w:val="00FD671E"/>
    <w:rsid w:val="00FE0D44"/>
    <w:rsid w:val="00FE4BF7"/>
    <w:rsid w:val="00FE59C3"/>
    <w:rsid w:val="00FE7002"/>
    <w:rsid w:val="00FF2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8945D2"/>
  <w14:defaultImageDpi w14:val="32767"/>
  <w15:chartTrackingRefBased/>
  <w15:docId w15:val="{7C0FE198-98D1-E14C-9448-950F309B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1D86"/>
    <w:rPr>
      <w:rFonts w:eastAsia="Times New Roman" w:cs="Times New Roman"/>
      <w:sz w:val="24"/>
      <w:lang w:val="fr-FR" w:eastAsia="en-GB"/>
    </w:rPr>
  </w:style>
  <w:style w:type="paragraph" w:styleId="Heading1">
    <w:name w:val="heading 1"/>
    <w:basedOn w:val="Normal"/>
    <w:next w:val="Normal"/>
    <w:link w:val="Heading1Char"/>
    <w:uiPriority w:val="9"/>
    <w:qFormat/>
    <w:rsid w:val="00755360"/>
    <w:pPr>
      <w:keepNext/>
      <w:keepLines/>
      <w:spacing w:before="240"/>
      <w:outlineLvl w:val="0"/>
    </w:pPr>
    <w:rPr>
      <w:rFonts w:asciiTheme="majorHAnsi" w:eastAsiaTheme="majorEastAsia" w:hAnsiTheme="majorHAnsi" w:cstheme="majorBidi"/>
      <w:color w:val="000000" w:themeColor="text1"/>
      <w:szCs w:val="32"/>
    </w:rPr>
  </w:style>
  <w:style w:type="paragraph" w:styleId="Heading2">
    <w:name w:val="heading 2"/>
    <w:basedOn w:val="Normal"/>
    <w:next w:val="Normal"/>
    <w:link w:val="Heading2Char"/>
    <w:uiPriority w:val="9"/>
    <w:unhideWhenUsed/>
    <w:qFormat/>
    <w:rsid w:val="00F81BDD"/>
    <w:pPr>
      <w:keepNext/>
      <w:keepLines/>
      <w:spacing w:before="4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791C11"/>
    <w:pPr>
      <w:keepNext/>
      <w:keepLines/>
      <w:spacing w:before="4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360"/>
    <w:rPr>
      <w:rFonts w:asciiTheme="majorHAnsi" w:eastAsiaTheme="majorEastAsia" w:hAnsiTheme="majorHAnsi" w:cstheme="majorBidi"/>
      <w:color w:val="000000" w:themeColor="text1"/>
      <w:sz w:val="24"/>
      <w:szCs w:val="32"/>
    </w:rPr>
  </w:style>
  <w:style w:type="paragraph" w:styleId="FootnoteText">
    <w:name w:val="footnote text"/>
    <w:basedOn w:val="Normal"/>
    <w:link w:val="FootnoteTextChar"/>
    <w:uiPriority w:val="99"/>
    <w:unhideWhenUsed/>
    <w:rsid w:val="0011272E"/>
    <w:rPr>
      <w:szCs w:val="20"/>
    </w:rPr>
  </w:style>
  <w:style w:type="character" w:customStyle="1" w:styleId="FootnoteTextChar">
    <w:name w:val="Footnote Text Char"/>
    <w:basedOn w:val="DefaultParagraphFont"/>
    <w:link w:val="FootnoteText"/>
    <w:uiPriority w:val="99"/>
    <w:rsid w:val="0011272E"/>
    <w:rPr>
      <w:szCs w:val="20"/>
    </w:rPr>
  </w:style>
  <w:style w:type="character" w:styleId="FootnoteReference">
    <w:name w:val="footnote reference"/>
    <w:basedOn w:val="DefaultParagraphFont"/>
    <w:uiPriority w:val="99"/>
    <w:semiHidden/>
    <w:unhideWhenUsed/>
    <w:rsid w:val="0011272E"/>
    <w:rPr>
      <w:vertAlign w:val="superscript"/>
    </w:rPr>
  </w:style>
  <w:style w:type="paragraph" w:styleId="Header">
    <w:name w:val="header"/>
    <w:basedOn w:val="Normal"/>
    <w:link w:val="HeaderChar"/>
    <w:uiPriority w:val="99"/>
    <w:unhideWhenUsed/>
    <w:rsid w:val="0011272E"/>
    <w:pPr>
      <w:tabs>
        <w:tab w:val="center" w:pos="4703"/>
        <w:tab w:val="right" w:pos="9406"/>
      </w:tabs>
    </w:pPr>
  </w:style>
  <w:style w:type="character" w:customStyle="1" w:styleId="HeaderChar">
    <w:name w:val="Header Char"/>
    <w:basedOn w:val="DefaultParagraphFont"/>
    <w:link w:val="Header"/>
    <w:uiPriority w:val="99"/>
    <w:rsid w:val="0011272E"/>
  </w:style>
  <w:style w:type="paragraph" w:styleId="Footer">
    <w:name w:val="footer"/>
    <w:basedOn w:val="Normal"/>
    <w:link w:val="FooterChar"/>
    <w:uiPriority w:val="99"/>
    <w:unhideWhenUsed/>
    <w:rsid w:val="0011272E"/>
    <w:pPr>
      <w:tabs>
        <w:tab w:val="center" w:pos="4703"/>
        <w:tab w:val="right" w:pos="9406"/>
      </w:tabs>
    </w:pPr>
  </w:style>
  <w:style w:type="character" w:customStyle="1" w:styleId="FooterChar">
    <w:name w:val="Footer Char"/>
    <w:basedOn w:val="DefaultParagraphFont"/>
    <w:link w:val="Footer"/>
    <w:uiPriority w:val="99"/>
    <w:rsid w:val="0011272E"/>
  </w:style>
  <w:style w:type="paragraph" w:styleId="ListParagraph">
    <w:name w:val="List Paragraph"/>
    <w:basedOn w:val="Normal"/>
    <w:uiPriority w:val="34"/>
    <w:qFormat/>
    <w:rsid w:val="007C6A69"/>
    <w:pPr>
      <w:ind w:left="720"/>
      <w:contextualSpacing/>
    </w:pPr>
  </w:style>
  <w:style w:type="character" w:styleId="Hyperlink">
    <w:name w:val="Hyperlink"/>
    <w:basedOn w:val="DefaultParagraphFont"/>
    <w:uiPriority w:val="99"/>
    <w:unhideWhenUsed/>
    <w:rsid w:val="00F31B89"/>
    <w:rPr>
      <w:color w:val="0000FF"/>
      <w:u w:val="single"/>
    </w:rPr>
  </w:style>
  <w:style w:type="character" w:styleId="PageNumber">
    <w:name w:val="page number"/>
    <w:basedOn w:val="DefaultParagraphFont"/>
    <w:uiPriority w:val="99"/>
    <w:semiHidden/>
    <w:unhideWhenUsed/>
    <w:rsid w:val="00714723"/>
  </w:style>
  <w:style w:type="character" w:customStyle="1" w:styleId="Heading2Char">
    <w:name w:val="Heading 2 Char"/>
    <w:basedOn w:val="DefaultParagraphFont"/>
    <w:link w:val="Heading2"/>
    <w:uiPriority w:val="9"/>
    <w:rsid w:val="00F81BDD"/>
    <w:rPr>
      <w:rFonts w:eastAsiaTheme="majorEastAsia" w:cstheme="majorBidi"/>
      <w:color w:val="000000" w:themeColor="text1"/>
      <w:sz w:val="26"/>
      <w:szCs w:val="26"/>
    </w:rPr>
  </w:style>
  <w:style w:type="table" w:styleId="TableGrid">
    <w:name w:val="Table Grid"/>
    <w:basedOn w:val="TableNormal"/>
    <w:uiPriority w:val="39"/>
    <w:rsid w:val="00715038"/>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0B9F"/>
  </w:style>
  <w:style w:type="character" w:styleId="FollowedHyperlink">
    <w:name w:val="FollowedHyperlink"/>
    <w:basedOn w:val="DefaultParagraphFont"/>
    <w:uiPriority w:val="99"/>
    <w:semiHidden/>
    <w:unhideWhenUsed/>
    <w:rsid w:val="00D43FFB"/>
    <w:rPr>
      <w:color w:val="954F72" w:themeColor="followedHyperlink"/>
      <w:u w:val="single"/>
    </w:rPr>
  </w:style>
  <w:style w:type="paragraph" w:styleId="NormalWeb">
    <w:name w:val="Normal (Web)"/>
    <w:basedOn w:val="Normal"/>
    <w:uiPriority w:val="99"/>
    <w:semiHidden/>
    <w:unhideWhenUsed/>
    <w:rsid w:val="00BD2612"/>
    <w:pPr>
      <w:spacing w:before="100" w:beforeAutospacing="1" w:after="100" w:afterAutospacing="1"/>
    </w:pPr>
  </w:style>
  <w:style w:type="character" w:customStyle="1" w:styleId="Heading3Char">
    <w:name w:val="Heading 3 Char"/>
    <w:basedOn w:val="DefaultParagraphFont"/>
    <w:link w:val="Heading3"/>
    <w:uiPriority w:val="9"/>
    <w:rsid w:val="00791C11"/>
    <w:rPr>
      <w:rFonts w:eastAsiaTheme="majorEastAsia" w:cstheme="majorBidi"/>
      <w:color w:val="000000" w:themeColor="text1"/>
      <w:sz w:val="24"/>
    </w:rPr>
  </w:style>
  <w:style w:type="paragraph" w:styleId="TOC1">
    <w:name w:val="toc 1"/>
    <w:basedOn w:val="Normal"/>
    <w:next w:val="Normal"/>
    <w:autoRedefine/>
    <w:uiPriority w:val="39"/>
    <w:unhideWhenUsed/>
    <w:rsid w:val="00F81BDD"/>
    <w:pPr>
      <w:spacing w:after="100"/>
    </w:pPr>
  </w:style>
  <w:style w:type="paragraph" w:styleId="TOC2">
    <w:name w:val="toc 2"/>
    <w:basedOn w:val="Normal"/>
    <w:next w:val="Normal"/>
    <w:autoRedefine/>
    <w:uiPriority w:val="39"/>
    <w:unhideWhenUsed/>
    <w:rsid w:val="00F81BDD"/>
    <w:pPr>
      <w:spacing w:after="100"/>
      <w:ind w:left="200"/>
    </w:pPr>
  </w:style>
  <w:style w:type="character" w:styleId="UnresolvedMention">
    <w:name w:val="Unresolved Mention"/>
    <w:basedOn w:val="DefaultParagraphFont"/>
    <w:uiPriority w:val="99"/>
    <w:rsid w:val="006F42E1"/>
    <w:rPr>
      <w:color w:val="605E5C"/>
      <w:shd w:val="clear" w:color="auto" w:fill="E1DFDD"/>
    </w:rPr>
  </w:style>
  <w:style w:type="paragraph" w:styleId="Revision">
    <w:name w:val="Revision"/>
    <w:hidden/>
    <w:uiPriority w:val="99"/>
    <w:semiHidden/>
    <w:rsid w:val="00AD1090"/>
  </w:style>
  <w:style w:type="character" w:styleId="Emphasis">
    <w:name w:val="Emphasis"/>
    <w:basedOn w:val="DefaultParagraphFont"/>
    <w:uiPriority w:val="20"/>
    <w:qFormat/>
    <w:rsid w:val="007A47E4"/>
    <w:rPr>
      <w:i/>
      <w:iCs/>
    </w:rPr>
  </w:style>
  <w:style w:type="paragraph" w:styleId="BalloonText">
    <w:name w:val="Balloon Text"/>
    <w:basedOn w:val="Normal"/>
    <w:link w:val="BalloonTextChar"/>
    <w:uiPriority w:val="99"/>
    <w:semiHidden/>
    <w:unhideWhenUsed/>
    <w:rsid w:val="00443A1D"/>
    <w:rPr>
      <w:sz w:val="18"/>
      <w:szCs w:val="18"/>
    </w:rPr>
  </w:style>
  <w:style w:type="character" w:customStyle="1" w:styleId="BalloonTextChar">
    <w:name w:val="Balloon Text Char"/>
    <w:basedOn w:val="DefaultParagraphFont"/>
    <w:link w:val="BalloonText"/>
    <w:uiPriority w:val="99"/>
    <w:semiHidden/>
    <w:rsid w:val="00443A1D"/>
    <w:rPr>
      <w:rFonts w:cs="Times New Roman"/>
      <w:sz w:val="18"/>
      <w:szCs w:val="18"/>
    </w:rPr>
  </w:style>
  <w:style w:type="paragraph" w:styleId="EndnoteText">
    <w:name w:val="endnote text"/>
    <w:basedOn w:val="Normal"/>
    <w:link w:val="EndnoteTextChar"/>
    <w:uiPriority w:val="99"/>
    <w:semiHidden/>
    <w:unhideWhenUsed/>
    <w:rsid w:val="00336C4D"/>
    <w:rPr>
      <w:sz w:val="20"/>
      <w:szCs w:val="20"/>
    </w:rPr>
  </w:style>
  <w:style w:type="character" w:customStyle="1" w:styleId="EndnoteTextChar">
    <w:name w:val="Endnote Text Char"/>
    <w:basedOn w:val="DefaultParagraphFont"/>
    <w:link w:val="EndnoteText"/>
    <w:uiPriority w:val="99"/>
    <w:semiHidden/>
    <w:rsid w:val="00336C4D"/>
    <w:rPr>
      <w:rFonts w:eastAsia="Times New Roman" w:cs="Times New Roman"/>
      <w:szCs w:val="20"/>
      <w:lang w:val="fr-FR" w:eastAsia="en-GB"/>
    </w:rPr>
  </w:style>
  <w:style w:type="character" w:styleId="EndnoteReference">
    <w:name w:val="endnote reference"/>
    <w:basedOn w:val="DefaultParagraphFont"/>
    <w:uiPriority w:val="99"/>
    <w:semiHidden/>
    <w:unhideWhenUsed/>
    <w:rsid w:val="00336C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7344">
      <w:bodyDiv w:val="1"/>
      <w:marLeft w:val="0"/>
      <w:marRight w:val="0"/>
      <w:marTop w:val="0"/>
      <w:marBottom w:val="0"/>
      <w:divBdr>
        <w:top w:val="none" w:sz="0" w:space="0" w:color="auto"/>
        <w:left w:val="none" w:sz="0" w:space="0" w:color="auto"/>
        <w:bottom w:val="none" w:sz="0" w:space="0" w:color="auto"/>
        <w:right w:val="none" w:sz="0" w:space="0" w:color="auto"/>
      </w:divBdr>
      <w:divsChild>
        <w:div w:id="2029018792">
          <w:marLeft w:val="0"/>
          <w:marRight w:val="0"/>
          <w:marTop w:val="0"/>
          <w:marBottom w:val="0"/>
          <w:divBdr>
            <w:top w:val="none" w:sz="0" w:space="0" w:color="auto"/>
            <w:left w:val="none" w:sz="0" w:space="0" w:color="auto"/>
            <w:bottom w:val="none" w:sz="0" w:space="0" w:color="auto"/>
            <w:right w:val="none" w:sz="0" w:space="0" w:color="auto"/>
          </w:divBdr>
          <w:divsChild>
            <w:div w:id="1571575263">
              <w:marLeft w:val="0"/>
              <w:marRight w:val="0"/>
              <w:marTop w:val="0"/>
              <w:marBottom w:val="0"/>
              <w:divBdr>
                <w:top w:val="none" w:sz="0" w:space="0" w:color="auto"/>
                <w:left w:val="none" w:sz="0" w:space="0" w:color="auto"/>
                <w:bottom w:val="none" w:sz="0" w:space="0" w:color="auto"/>
                <w:right w:val="none" w:sz="0" w:space="0" w:color="auto"/>
              </w:divBdr>
              <w:divsChild>
                <w:div w:id="3155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759">
      <w:bodyDiv w:val="1"/>
      <w:marLeft w:val="0"/>
      <w:marRight w:val="0"/>
      <w:marTop w:val="0"/>
      <w:marBottom w:val="0"/>
      <w:divBdr>
        <w:top w:val="none" w:sz="0" w:space="0" w:color="auto"/>
        <w:left w:val="none" w:sz="0" w:space="0" w:color="auto"/>
        <w:bottom w:val="none" w:sz="0" w:space="0" w:color="auto"/>
        <w:right w:val="none" w:sz="0" w:space="0" w:color="auto"/>
      </w:divBdr>
    </w:div>
    <w:div w:id="25178944">
      <w:bodyDiv w:val="1"/>
      <w:marLeft w:val="0"/>
      <w:marRight w:val="0"/>
      <w:marTop w:val="0"/>
      <w:marBottom w:val="0"/>
      <w:divBdr>
        <w:top w:val="none" w:sz="0" w:space="0" w:color="auto"/>
        <w:left w:val="none" w:sz="0" w:space="0" w:color="auto"/>
        <w:bottom w:val="none" w:sz="0" w:space="0" w:color="auto"/>
        <w:right w:val="none" w:sz="0" w:space="0" w:color="auto"/>
      </w:divBdr>
      <w:divsChild>
        <w:div w:id="740719147">
          <w:marLeft w:val="0"/>
          <w:marRight w:val="0"/>
          <w:marTop w:val="0"/>
          <w:marBottom w:val="0"/>
          <w:divBdr>
            <w:top w:val="none" w:sz="0" w:space="0" w:color="auto"/>
            <w:left w:val="none" w:sz="0" w:space="0" w:color="auto"/>
            <w:bottom w:val="none" w:sz="0" w:space="0" w:color="auto"/>
            <w:right w:val="none" w:sz="0" w:space="0" w:color="auto"/>
          </w:divBdr>
          <w:divsChild>
            <w:div w:id="1040663868">
              <w:marLeft w:val="0"/>
              <w:marRight w:val="0"/>
              <w:marTop w:val="0"/>
              <w:marBottom w:val="0"/>
              <w:divBdr>
                <w:top w:val="none" w:sz="0" w:space="0" w:color="auto"/>
                <w:left w:val="none" w:sz="0" w:space="0" w:color="auto"/>
                <w:bottom w:val="none" w:sz="0" w:space="0" w:color="auto"/>
                <w:right w:val="none" w:sz="0" w:space="0" w:color="auto"/>
              </w:divBdr>
              <w:divsChild>
                <w:div w:id="1991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8303">
      <w:bodyDiv w:val="1"/>
      <w:marLeft w:val="0"/>
      <w:marRight w:val="0"/>
      <w:marTop w:val="0"/>
      <w:marBottom w:val="0"/>
      <w:divBdr>
        <w:top w:val="none" w:sz="0" w:space="0" w:color="auto"/>
        <w:left w:val="none" w:sz="0" w:space="0" w:color="auto"/>
        <w:bottom w:val="none" w:sz="0" w:space="0" w:color="auto"/>
        <w:right w:val="none" w:sz="0" w:space="0" w:color="auto"/>
      </w:divBdr>
      <w:divsChild>
        <w:div w:id="1018121458">
          <w:marLeft w:val="0"/>
          <w:marRight w:val="0"/>
          <w:marTop w:val="0"/>
          <w:marBottom w:val="0"/>
          <w:divBdr>
            <w:top w:val="none" w:sz="0" w:space="0" w:color="auto"/>
            <w:left w:val="none" w:sz="0" w:space="0" w:color="auto"/>
            <w:bottom w:val="none" w:sz="0" w:space="0" w:color="auto"/>
            <w:right w:val="none" w:sz="0" w:space="0" w:color="auto"/>
          </w:divBdr>
          <w:divsChild>
            <w:div w:id="2119982421">
              <w:marLeft w:val="0"/>
              <w:marRight w:val="0"/>
              <w:marTop w:val="0"/>
              <w:marBottom w:val="0"/>
              <w:divBdr>
                <w:top w:val="none" w:sz="0" w:space="0" w:color="auto"/>
                <w:left w:val="none" w:sz="0" w:space="0" w:color="auto"/>
                <w:bottom w:val="none" w:sz="0" w:space="0" w:color="auto"/>
                <w:right w:val="none" w:sz="0" w:space="0" w:color="auto"/>
              </w:divBdr>
              <w:divsChild>
                <w:div w:id="17685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7288">
      <w:bodyDiv w:val="1"/>
      <w:marLeft w:val="0"/>
      <w:marRight w:val="0"/>
      <w:marTop w:val="0"/>
      <w:marBottom w:val="0"/>
      <w:divBdr>
        <w:top w:val="none" w:sz="0" w:space="0" w:color="auto"/>
        <w:left w:val="none" w:sz="0" w:space="0" w:color="auto"/>
        <w:bottom w:val="none" w:sz="0" w:space="0" w:color="auto"/>
        <w:right w:val="none" w:sz="0" w:space="0" w:color="auto"/>
      </w:divBdr>
      <w:divsChild>
        <w:div w:id="1248660154">
          <w:marLeft w:val="0"/>
          <w:marRight w:val="0"/>
          <w:marTop w:val="0"/>
          <w:marBottom w:val="0"/>
          <w:divBdr>
            <w:top w:val="none" w:sz="0" w:space="0" w:color="auto"/>
            <w:left w:val="none" w:sz="0" w:space="0" w:color="auto"/>
            <w:bottom w:val="none" w:sz="0" w:space="0" w:color="auto"/>
            <w:right w:val="none" w:sz="0" w:space="0" w:color="auto"/>
          </w:divBdr>
          <w:divsChild>
            <w:div w:id="1635670668">
              <w:marLeft w:val="0"/>
              <w:marRight w:val="0"/>
              <w:marTop w:val="0"/>
              <w:marBottom w:val="0"/>
              <w:divBdr>
                <w:top w:val="none" w:sz="0" w:space="0" w:color="auto"/>
                <w:left w:val="none" w:sz="0" w:space="0" w:color="auto"/>
                <w:bottom w:val="none" w:sz="0" w:space="0" w:color="auto"/>
                <w:right w:val="none" w:sz="0" w:space="0" w:color="auto"/>
              </w:divBdr>
              <w:divsChild>
                <w:div w:id="1190335885">
                  <w:marLeft w:val="0"/>
                  <w:marRight w:val="0"/>
                  <w:marTop w:val="0"/>
                  <w:marBottom w:val="0"/>
                  <w:divBdr>
                    <w:top w:val="none" w:sz="0" w:space="0" w:color="auto"/>
                    <w:left w:val="none" w:sz="0" w:space="0" w:color="auto"/>
                    <w:bottom w:val="none" w:sz="0" w:space="0" w:color="auto"/>
                    <w:right w:val="none" w:sz="0" w:space="0" w:color="auto"/>
                  </w:divBdr>
                  <w:divsChild>
                    <w:div w:id="19475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8862">
      <w:bodyDiv w:val="1"/>
      <w:marLeft w:val="0"/>
      <w:marRight w:val="0"/>
      <w:marTop w:val="0"/>
      <w:marBottom w:val="0"/>
      <w:divBdr>
        <w:top w:val="none" w:sz="0" w:space="0" w:color="auto"/>
        <w:left w:val="none" w:sz="0" w:space="0" w:color="auto"/>
        <w:bottom w:val="none" w:sz="0" w:space="0" w:color="auto"/>
        <w:right w:val="none" w:sz="0" w:space="0" w:color="auto"/>
      </w:divBdr>
    </w:div>
    <w:div w:id="39982366">
      <w:bodyDiv w:val="1"/>
      <w:marLeft w:val="0"/>
      <w:marRight w:val="0"/>
      <w:marTop w:val="0"/>
      <w:marBottom w:val="0"/>
      <w:divBdr>
        <w:top w:val="none" w:sz="0" w:space="0" w:color="auto"/>
        <w:left w:val="none" w:sz="0" w:space="0" w:color="auto"/>
        <w:bottom w:val="none" w:sz="0" w:space="0" w:color="auto"/>
        <w:right w:val="none" w:sz="0" w:space="0" w:color="auto"/>
      </w:divBdr>
    </w:div>
    <w:div w:id="49816678">
      <w:bodyDiv w:val="1"/>
      <w:marLeft w:val="0"/>
      <w:marRight w:val="0"/>
      <w:marTop w:val="0"/>
      <w:marBottom w:val="0"/>
      <w:divBdr>
        <w:top w:val="none" w:sz="0" w:space="0" w:color="auto"/>
        <w:left w:val="none" w:sz="0" w:space="0" w:color="auto"/>
        <w:bottom w:val="none" w:sz="0" w:space="0" w:color="auto"/>
        <w:right w:val="none" w:sz="0" w:space="0" w:color="auto"/>
      </w:divBdr>
      <w:divsChild>
        <w:div w:id="1725130536">
          <w:marLeft w:val="0"/>
          <w:marRight w:val="0"/>
          <w:marTop w:val="0"/>
          <w:marBottom w:val="0"/>
          <w:divBdr>
            <w:top w:val="none" w:sz="0" w:space="0" w:color="auto"/>
            <w:left w:val="none" w:sz="0" w:space="0" w:color="auto"/>
            <w:bottom w:val="none" w:sz="0" w:space="0" w:color="auto"/>
            <w:right w:val="none" w:sz="0" w:space="0" w:color="auto"/>
          </w:divBdr>
          <w:divsChild>
            <w:div w:id="1369380021">
              <w:marLeft w:val="0"/>
              <w:marRight w:val="0"/>
              <w:marTop w:val="0"/>
              <w:marBottom w:val="0"/>
              <w:divBdr>
                <w:top w:val="none" w:sz="0" w:space="0" w:color="auto"/>
                <w:left w:val="none" w:sz="0" w:space="0" w:color="auto"/>
                <w:bottom w:val="none" w:sz="0" w:space="0" w:color="auto"/>
                <w:right w:val="none" w:sz="0" w:space="0" w:color="auto"/>
              </w:divBdr>
              <w:divsChild>
                <w:div w:id="13832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901">
      <w:bodyDiv w:val="1"/>
      <w:marLeft w:val="0"/>
      <w:marRight w:val="0"/>
      <w:marTop w:val="0"/>
      <w:marBottom w:val="0"/>
      <w:divBdr>
        <w:top w:val="none" w:sz="0" w:space="0" w:color="auto"/>
        <w:left w:val="none" w:sz="0" w:space="0" w:color="auto"/>
        <w:bottom w:val="none" w:sz="0" w:space="0" w:color="auto"/>
        <w:right w:val="none" w:sz="0" w:space="0" w:color="auto"/>
      </w:divBdr>
    </w:div>
    <w:div w:id="55902605">
      <w:bodyDiv w:val="1"/>
      <w:marLeft w:val="0"/>
      <w:marRight w:val="0"/>
      <w:marTop w:val="0"/>
      <w:marBottom w:val="0"/>
      <w:divBdr>
        <w:top w:val="none" w:sz="0" w:space="0" w:color="auto"/>
        <w:left w:val="none" w:sz="0" w:space="0" w:color="auto"/>
        <w:bottom w:val="none" w:sz="0" w:space="0" w:color="auto"/>
        <w:right w:val="none" w:sz="0" w:space="0" w:color="auto"/>
      </w:divBdr>
      <w:divsChild>
        <w:div w:id="1871871482">
          <w:marLeft w:val="0"/>
          <w:marRight w:val="0"/>
          <w:marTop w:val="0"/>
          <w:marBottom w:val="0"/>
          <w:divBdr>
            <w:top w:val="none" w:sz="0" w:space="0" w:color="auto"/>
            <w:left w:val="none" w:sz="0" w:space="0" w:color="auto"/>
            <w:bottom w:val="none" w:sz="0" w:space="0" w:color="auto"/>
            <w:right w:val="none" w:sz="0" w:space="0" w:color="auto"/>
          </w:divBdr>
          <w:divsChild>
            <w:div w:id="1183663822">
              <w:marLeft w:val="0"/>
              <w:marRight w:val="0"/>
              <w:marTop w:val="0"/>
              <w:marBottom w:val="0"/>
              <w:divBdr>
                <w:top w:val="none" w:sz="0" w:space="0" w:color="auto"/>
                <w:left w:val="none" w:sz="0" w:space="0" w:color="auto"/>
                <w:bottom w:val="none" w:sz="0" w:space="0" w:color="auto"/>
                <w:right w:val="none" w:sz="0" w:space="0" w:color="auto"/>
              </w:divBdr>
              <w:divsChild>
                <w:div w:id="891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3919">
      <w:bodyDiv w:val="1"/>
      <w:marLeft w:val="0"/>
      <w:marRight w:val="0"/>
      <w:marTop w:val="0"/>
      <w:marBottom w:val="0"/>
      <w:divBdr>
        <w:top w:val="none" w:sz="0" w:space="0" w:color="auto"/>
        <w:left w:val="none" w:sz="0" w:space="0" w:color="auto"/>
        <w:bottom w:val="none" w:sz="0" w:space="0" w:color="auto"/>
        <w:right w:val="none" w:sz="0" w:space="0" w:color="auto"/>
      </w:divBdr>
      <w:divsChild>
        <w:div w:id="2067411838">
          <w:marLeft w:val="0"/>
          <w:marRight w:val="0"/>
          <w:marTop w:val="0"/>
          <w:marBottom w:val="0"/>
          <w:divBdr>
            <w:top w:val="none" w:sz="0" w:space="0" w:color="auto"/>
            <w:left w:val="none" w:sz="0" w:space="0" w:color="auto"/>
            <w:bottom w:val="none" w:sz="0" w:space="0" w:color="auto"/>
            <w:right w:val="none" w:sz="0" w:space="0" w:color="auto"/>
          </w:divBdr>
          <w:divsChild>
            <w:div w:id="545223217">
              <w:marLeft w:val="0"/>
              <w:marRight w:val="0"/>
              <w:marTop w:val="0"/>
              <w:marBottom w:val="0"/>
              <w:divBdr>
                <w:top w:val="none" w:sz="0" w:space="0" w:color="auto"/>
                <w:left w:val="none" w:sz="0" w:space="0" w:color="auto"/>
                <w:bottom w:val="none" w:sz="0" w:space="0" w:color="auto"/>
                <w:right w:val="none" w:sz="0" w:space="0" w:color="auto"/>
              </w:divBdr>
              <w:divsChild>
                <w:div w:id="1987662064">
                  <w:marLeft w:val="0"/>
                  <w:marRight w:val="0"/>
                  <w:marTop w:val="0"/>
                  <w:marBottom w:val="0"/>
                  <w:divBdr>
                    <w:top w:val="none" w:sz="0" w:space="0" w:color="auto"/>
                    <w:left w:val="none" w:sz="0" w:space="0" w:color="auto"/>
                    <w:bottom w:val="none" w:sz="0" w:space="0" w:color="auto"/>
                    <w:right w:val="none" w:sz="0" w:space="0" w:color="auto"/>
                  </w:divBdr>
                  <w:divsChild>
                    <w:div w:id="99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0163">
      <w:bodyDiv w:val="1"/>
      <w:marLeft w:val="0"/>
      <w:marRight w:val="0"/>
      <w:marTop w:val="0"/>
      <w:marBottom w:val="0"/>
      <w:divBdr>
        <w:top w:val="none" w:sz="0" w:space="0" w:color="auto"/>
        <w:left w:val="none" w:sz="0" w:space="0" w:color="auto"/>
        <w:bottom w:val="none" w:sz="0" w:space="0" w:color="auto"/>
        <w:right w:val="none" w:sz="0" w:space="0" w:color="auto"/>
      </w:divBdr>
    </w:div>
    <w:div w:id="64501528">
      <w:bodyDiv w:val="1"/>
      <w:marLeft w:val="0"/>
      <w:marRight w:val="0"/>
      <w:marTop w:val="0"/>
      <w:marBottom w:val="0"/>
      <w:divBdr>
        <w:top w:val="none" w:sz="0" w:space="0" w:color="auto"/>
        <w:left w:val="none" w:sz="0" w:space="0" w:color="auto"/>
        <w:bottom w:val="none" w:sz="0" w:space="0" w:color="auto"/>
        <w:right w:val="none" w:sz="0" w:space="0" w:color="auto"/>
      </w:divBdr>
    </w:div>
    <w:div w:id="73479816">
      <w:bodyDiv w:val="1"/>
      <w:marLeft w:val="0"/>
      <w:marRight w:val="0"/>
      <w:marTop w:val="0"/>
      <w:marBottom w:val="0"/>
      <w:divBdr>
        <w:top w:val="none" w:sz="0" w:space="0" w:color="auto"/>
        <w:left w:val="none" w:sz="0" w:space="0" w:color="auto"/>
        <w:bottom w:val="none" w:sz="0" w:space="0" w:color="auto"/>
        <w:right w:val="none" w:sz="0" w:space="0" w:color="auto"/>
      </w:divBdr>
    </w:div>
    <w:div w:id="76482850">
      <w:bodyDiv w:val="1"/>
      <w:marLeft w:val="0"/>
      <w:marRight w:val="0"/>
      <w:marTop w:val="0"/>
      <w:marBottom w:val="0"/>
      <w:divBdr>
        <w:top w:val="none" w:sz="0" w:space="0" w:color="auto"/>
        <w:left w:val="none" w:sz="0" w:space="0" w:color="auto"/>
        <w:bottom w:val="none" w:sz="0" w:space="0" w:color="auto"/>
        <w:right w:val="none" w:sz="0" w:space="0" w:color="auto"/>
      </w:divBdr>
      <w:divsChild>
        <w:div w:id="1231427159">
          <w:marLeft w:val="0"/>
          <w:marRight w:val="0"/>
          <w:marTop w:val="0"/>
          <w:marBottom w:val="0"/>
          <w:divBdr>
            <w:top w:val="none" w:sz="0" w:space="0" w:color="auto"/>
            <w:left w:val="none" w:sz="0" w:space="0" w:color="auto"/>
            <w:bottom w:val="none" w:sz="0" w:space="0" w:color="auto"/>
            <w:right w:val="none" w:sz="0" w:space="0" w:color="auto"/>
          </w:divBdr>
          <w:divsChild>
            <w:div w:id="1932278173">
              <w:marLeft w:val="0"/>
              <w:marRight w:val="0"/>
              <w:marTop w:val="0"/>
              <w:marBottom w:val="0"/>
              <w:divBdr>
                <w:top w:val="none" w:sz="0" w:space="0" w:color="auto"/>
                <w:left w:val="none" w:sz="0" w:space="0" w:color="auto"/>
                <w:bottom w:val="none" w:sz="0" w:space="0" w:color="auto"/>
                <w:right w:val="none" w:sz="0" w:space="0" w:color="auto"/>
              </w:divBdr>
              <w:divsChild>
                <w:div w:id="582224149">
                  <w:marLeft w:val="0"/>
                  <w:marRight w:val="0"/>
                  <w:marTop w:val="0"/>
                  <w:marBottom w:val="0"/>
                  <w:divBdr>
                    <w:top w:val="none" w:sz="0" w:space="0" w:color="auto"/>
                    <w:left w:val="none" w:sz="0" w:space="0" w:color="auto"/>
                    <w:bottom w:val="none" w:sz="0" w:space="0" w:color="auto"/>
                    <w:right w:val="none" w:sz="0" w:space="0" w:color="auto"/>
                  </w:divBdr>
                  <w:divsChild>
                    <w:div w:id="18938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3017">
      <w:bodyDiv w:val="1"/>
      <w:marLeft w:val="0"/>
      <w:marRight w:val="0"/>
      <w:marTop w:val="0"/>
      <w:marBottom w:val="0"/>
      <w:divBdr>
        <w:top w:val="none" w:sz="0" w:space="0" w:color="auto"/>
        <w:left w:val="none" w:sz="0" w:space="0" w:color="auto"/>
        <w:bottom w:val="none" w:sz="0" w:space="0" w:color="auto"/>
        <w:right w:val="none" w:sz="0" w:space="0" w:color="auto"/>
      </w:divBdr>
      <w:divsChild>
        <w:div w:id="1073042558">
          <w:marLeft w:val="0"/>
          <w:marRight w:val="0"/>
          <w:marTop w:val="0"/>
          <w:marBottom w:val="0"/>
          <w:divBdr>
            <w:top w:val="none" w:sz="0" w:space="0" w:color="auto"/>
            <w:left w:val="none" w:sz="0" w:space="0" w:color="auto"/>
            <w:bottom w:val="none" w:sz="0" w:space="0" w:color="auto"/>
            <w:right w:val="none" w:sz="0" w:space="0" w:color="auto"/>
          </w:divBdr>
          <w:divsChild>
            <w:div w:id="920797087">
              <w:marLeft w:val="0"/>
              <w:marRight w:val="0"/>
              <w:marTop w:val="0"/>
              <w:marBottom w:val="0"/>
              <w:divBdr>
                <w:top w:val="none" w:sz="0" w:space="0" w:color="auto"/>
                <w:left w:val="none" w:sz="0" w:space="0" w:color="auto"/>
                <w:bottom w:val="none" w:sz="0" w:space="0" w:color="auto"/>
                <w:right w:val="none" w:sz="0" w:space="0" w:color="auto"/>
              </w:divBdr>
              <w:divsChild>
                <w:div w:id="18812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4072">
      <w:bodyDiv w:val="1"/>
      <w:marLeft w:val="0"/>
      <w:marRight w:val="0"/>
      <w:marTop w:val="0"/>
      <w:marBottom w:val="0"/>
      <w:divBdr>
        <w:top w:val="none" w:sz="0" w:space="0" w:color="auto"/>
        <w:left w:val="none" w:sz="0" w:space="0" w:color="auto"/>
        <w:bottom w:val="none" w:sz="0" w:space="0" w:color="auto"/>
        <w:right w:val="none" w:sz="0" w:space="0" w:color="auto"/>
      </w:divBdr>
      <w:divsChild>
        <w:div w:id="200167877">
          <w:marLeft w:val="0"/>
          <w:marRight w:val="0"/>
          <w:marTop w:val="0"/>
          <w:marBottom w:val="0"/>
          <w:divBdr>
            <w:top w:val="none" w:sz="0" w:space="0" w:color="auto"/>
            <w:left w:val="none" w:sz="0" w:space="0" w:color="auto"/>
            <w:bottom w:val="none" w:sz="0" w:space="0" w:color="auto"/>
            <w:right w:val="none" w:sz="0" w:space="0" w:color="auto"/>
          </w:divBdr>
          <w:divsChild>
            <w:div w:id="395855280">
              <w:marLeft w:val="0"/>
              <w:marRight w:val="0"/>
              <w:marTop w:val="0"/>
              <w:marBottom w:val="0"/>
              <w:divBdr>
                <w:top w:val="none" w:sz="0" w:space="0" w:color="auto"/>
                <w:left w:val="none" w:sz="0" w:space="0" w:color="auto"/>
                <w:bottom w:val="none" w:sz="0" w:space="0" w:color="auto"/>
                <w:right w:val="none" w:sz="0" w:space="0" w:color="auto"/>
              </w:divBdr>
              <w:divsChild>
                <w:div w:id="479924739">
                  <w:marLeft w:val="0"/>
                  <w:marRight w:val="0"/>
                  <w:marTop w:val="0"/>
                  <w:marBottom w:val="0"/>
                  <w:divBdr>
                    <w:top w:val="none" w:sz="0" w:space="0" w:color="auto"/>
                    <w:left w:val="none" w:sz="0" w:space="0" w:color="auto"/>
                    <w:bottom w:val="none" w:sz="0" w:space="0" w:color="auto"/>
                    <w:right w:val="none" w:sz="0" w:space="0" w:color="auto"/>
                  </w:divBdr>
                  <w:divsChild>
                    <w:div w:id="6574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767">
      <w:bodyDiv w:val="1"/>
      <w:marLeft w:val="0"/>
      <w:marRight w:val="0"/>
      <w:marTop w:val="0"/>
      <w:marBottom w:val="0"/>
      <w:divBdr>
        <w:top w:val="none" w:sz="0" w:space="0" w:color="auto"/>
        <w:left w:val="none" w:sz="0" w:space="0" w:color="auto"/>
        <w:bottom w:val="none" w:sz="0" w:space="0" w:color="auto"/>
        <w:right w:val="none" w:sz="0" w:space="0" w:color="auto"/>
      </w:divBdr>
    </w:div>
    <w:div w:id="112214358">
      <w:bodyDiv w:val="1"/>
      <w:marLeft w:val="0"/>
      <w:marRight w:val="0"/>
      <w:marTop w:val="0"/>
      <w:marBottom w:val="0"/>
      <w:divBdr>
        <w:top w:val="none" w:sz="0" w:space="0" w:color="auto"/>
        <w:left w:val="none" w:sz="0" w:space="0" w:color="auto"/>
        <w:bottom w:val="none" w:sz="0" w:space="0" w:color="auto"/>
        <w:right w:val="none" w:sz="0" w:space="0" w:color="auto"/>
      </w:divBdr>
      <w:divsChild>
        <w:div w:id="1025398697">
          <w:marLeft w:val="0"/>
          <w:marRight w:val="0"/>
          <w:marTop w:val="0"/>
          <w:marBottom w:val="0"/>
          <w:divBdr>
            <w:top w:val="none" w:sz="0" w:space="0" w:color="auto"/>
            <w:left w:val="none" w:sz="0" w:space="0" w:color="auto"/>
            <w:bottom w:val="none" w:sz="0" w:space="0" w:color="auto"/>
            <w:right w:val="none" w:sz="0" w:space="0" w:color="auto"/>
          </w:divBdr>
          <w:divsChild>
            <w:div w:id="2110737358">
              <w:marLeft w:val="0"/>
              <w:marRight w:val="0"/>
              <w:marTop w:val="0"/>
              <w:marBottom w:val="0"/>
              <w:divBdr>
                <w:top w:val="none" w:sz="0" w:space="0" w:color="auto"/>
                <w:left w:val="none" w:sz="0" w:space="0" w:color="auto"/>
                <w:bottom w:val="none" w:sz="0" w:space="0" w:color="auto"/>
                <w:right w:val="none" w:sz="0" w:space="0" w:color="auto"/>
              </w:divBdr>
              <w:divsChild>
                <w:div w:id="4123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9601">
      <w:bodyDiv w:val="1"/>
      <w:marLeft w:val="0"/>
      <w:marRight w:val="0"/>
      <w:marTop w:val="0"/>
      <w:marBottom w:val="0"/>
      <w:divBdr>
        <w:top w:val="none" w:sz="0" w:space="0" w:color="auto"/>
        <w:left w:val="none" w:sz="0" w:space="0" w:color="auto"/>
        <w:bottom w:val="none" w:sz="0" w:space="0" w:color="auto"/>
        <w:right w:val="none" w:sz="0" w:space="0" w:color="auto"/>
      </w:divBdr>
    </w:div>
    <w:div w:id="113790553">
      <w:bodyDiv w:val="1"/>
      <w:marLeft w:val="0"/>
      <w:marRight w:val="0"/>
      <w:marTop w:val="0"/>
      <w:marBottom w:val="0"/>
      <w:divBdr>
        <w:top w:val="none" w:sz="0" w:space="0" w:color="auto"/>
        <w:left w:val="none" w:sz="0" w:space="0" w:color="auto"/>
        <w:bottom w:val="none" w:sz="0" w:space="0" w:color="auto"/>
        <w:right w:val="none" w:sz="0" w:space="0" w:color="auto"/>
      </w:divBdr>
      <w:divsChild>
        <w:div w:id="2144039150">
          <w:marLeft w:val="0"/>
          <w:marRight w:val="0"/>
          <w:marTop w:val="0"/>
          <w:marBottom w:val="0"/>
          <w:divBdr>
            <w:top w:val="none" w:sz="0" w:space="0" w:color="auto"/>
            <w:left w:val="none" w:sz="0" w:space="0" w:color="auto"/>
            <w:bottom w:val="none" w:sz="0" w:space="0" w:color="auto"/>
            <w:right w:val="none" w:sz="0" w:space="0" w:color="auto"/>
          </w:divBdr>
        </w:div>
        <w:div w:id="1460144835">
          <w:marLeft w:val="0"/>
          <w:marRight w:val="0"/>
          <w:marTop w:val="0"/>
          <w:marBottom w:val="0"/>
          <w:divBdr>
            <w:top w:val="none" w:sz="0" w:space="0" w:color="auto"/>
            <w:left w:val="none" w:sz="0" w:space="0" w:color="auto"/>
            <w:bottom w:val="none" w:sz="0" w:space="0" w:color="auto"/>
            <w:right w:val="none" w:sz="0" w:space="0" w:color="auto"/>
          </w:divBdr>
          <w:divsChild>
            <w:div w:id="246617725">
              <w:marLeft w:val="0"/>
              <w:marRight w:val="0"/>
              <w:marTop w:val="0"/>
              <w:marBottom w:val="0"/>
              <w:divBdr>
                <w:top w:val="none" w:sz="0" w:space="0" w:color="auto"/>
                <w:left w:val="none" w:sz="0" w:space="0" w:color="auto"/>
                <w:bottom w:val="none" w:sz="0" w:space="0" w:color="auto"/>
                <w:right w:val="none" w:sz="0" w:space="0" w:color="auto"/>
              </w:divBdr>
            </w:div>
          </w:divsChild>
        </w:div>
        <w:div w:id="601038340">
          <w:marLeft w:val="0"/>
          <w:marRight w:val="0"/>
          <w:marTop w:val="0"/>
          <w:marBottom w:val="0"/>
          <w:divBdr>
            <w:top w:val="none" w:sz="0" w:space="0" w:color="auto"/>
            <w:left w:val="none" w:sz="0" w:space="0" w:color="auto"/>
            <w:bottom w:val="none" w:sz="0" w:space="0" w:color="auto"/>
            <w:right w:val="none" w:sz="0" w:space="0" w:color="auto"/>
          </w:divBdr>
        </w:div>
      </w:divsChild>
    </w:div>
    <w:div w:id="119341798">
      <w:bodyDiv w:val="1"/>
      <w:marLeft w:val="0"/>
      <w:marRight w:val="0"/>
      <w:marTop w:val="0"/>
      <w:marBottom w:val="0"/>
      <w:divBdr>
        <w:top w:val="none" w:sz="0" w:space="0" w:color="auto"/>
        <w:left w:val="none" w:sz="0" w:space="0" w:color="auto"/>
        <w:bottom w:val="none" w:sz="0" w:space="0" w:color="auto"/>
        <w:right w:val="none" w:sz="0" w:space="0" w:color="auto"/>
      </w:divBdr>
    </w:div>
    <w:div w:id="148908126">
      <w:bodyDiv w:val="1"/>
      <w:marLeft w:val="0"/>
      <w:marRight w:val="0"/>
      <w:marTop w:val="0"/>
      <w:marBottom w:val="0"/>
      <w:divBdr>
        <w:top w:val="none" w:sz="0" w:space="0" w:color="auto"/>
        <w:left w:val="none" w:sz="0" w:space="0" w:color="auto"/>
        <w:bottom w:val="none" w:sz="0" w:space="0" w:color="auto"/>
        <w:right w:val="none" w:sz="0" w:space="0" w:color="auto"/>
      </w:divBdr>
    </w:div>
    <w:div w:id="149833372">
      <w:bodyDiv w:val="1"/>
      <w:marLeft w:val="0"/>
      <w:marRight w:val="0"/>
      <w:marTop w:val="0"/>
      <w:marBottom w:val="0"/>
      <w:divBdr>
        <w:top w:val="none" w:sz="0" w:space="0" w:color="auto"/>
        <w:left w:val="none" w:sz="0" w:space="0" w:color="auto"/>
        <w:bottom w:val="none" w:sz="0" w:space="0" w:color="auto"/>
        <w:right w:val="none" w:sz="0" w:space="0" w:color="auto"/>
      </w:divBdr>
      <w:divsChild>
        <w:div w:id="258954476">
          <w:marLeft w:val="0"/>
          <w:marRight w:val="0"/>
          <w:marTop w:val="0"/>
          <w:marBottom w:val="0"/>
          <w:divBdr>
            <w:top w:val="none" w:sz="0" w:space="0" w:color="auto"/>
            <w:left w:val="none" w:sz="0" w:space="0" w:color="auto"/>
            <w:bottom w:val="none" w:sz="0" w:space="0" w:color="auto"/>
            <w:right w:val="none" w:sz="0" w:space="0" w:color="auto"/>
          </w:divBdr>
          <w:divsChild>
            <w:div w:id="806971753">
              <w:marLeft w:val="0"/>
              <w:marRight w:val="0"/>
              <w:marTop w:val="0"/>
              <w:marBottom w:val="0"/>
              <w:divBdr>
                <w:top w:val="none" w:sz="0" w:space="0" w:color="auto"/>
                <w:left w:val="none" w:sz="0" w:space="0" w:color="auto"/>
                <w:bottom w:val="none" w:sz="0" w:space="0" w:color="auto"/>
                <w:right w:val="none" w:sz="0" w:space="0" w:color="auto"/>
              </w:divBdr>
              <w:divsChild>
                <w:div w:id="2875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9526">
      <w:bodyDiv w:val="1"/>
      <w:marLeft w:val="0"/>
      <w:marRight w:val="0"/>
      <w:marTop w:val="0"/>
      <w:marBottom w:val="0"/>
      <w:divBdr>
        <w:top w:val="none" w:sz="0" w:space="0" w:color="auto"/>
        <w:left w:val="none" w:sz="0" w:space="0" w:color="auto"/>
        <w:bottom w:val="none" w:sz="0" w:space="0" w:color="auto"/>
        <w:right w:val="none" w:sz="0" w:space="0" w:color="auto"/>
      </w:divBdr>
    </w:div>
    <w:div w:id="167794462">
      <w:bodyDiv w:val="1"/>
      <w:marLeft w:val="0"/>
      <w:marRight w:val="0"/>
      <w:marTop w:val="0"/>
      <w:marBottom w:val="0"/>
      <w:divBdr>
        <w:top w:val="none" w:sz="0" w:space="0" w:color="auto"/>
        <w:left w:val="none" w:sz="0" w:space="0" w:color="auto"/>
        <w:bottom w:val="none" w:sz="0" w:space="0" w:color="auto"/>
        <w:right w:val="none" w:sz="0" w:space="0" w:color="auto"/>
      </w:divBdr>
    </w:div>
    <w:div w:id="174269478">
      <w:bodyDiv w:val="1"/>
      <w:marLeft w:val="0"/>
      <w:marRight w:val="0"/>
      <w:marTop w:val="0"/>
      <w:marBottom w:val="0"/>
      <w:divBdr>
        <w:top w:val="none" w:sz="0" w:space="0" w:color="auto"/>
        <w:left w:val="none" w:sz="0" w:space="0" w:color="auto"/>
        <w:bottom w:val="none" w:sz="0" w:space="0" w:color="auto"/>
        <w:right w:val="none" w:sz="0" w:space="0" w:color="auto"/>
      </w:divBdr>
      <w:divsChild>
        <w:div w:id="1411268906">
          <w:marLeft w:val="0"/>
          <w:marRight w:val="0"/>
          <w:marTop w:val="0"/>
          <w:marBottom w:val="0"/>
          <w:divBdr>
            <w:top w:val="none" w:sz="0" w:space="0" w:color="auto"/>
            <w:left w:val="none" w:sz="0" w:space="0" w:color="auto"/>
            <w:bottom w:val="none" w:sz="0" w:space="0" w:color="auto"/>
            <w:right w:val="none" w:sz="0" w:space="0" w:color="auto"/>
          </w:divBdr>
          <w:divsChild>
            <w:div w:id="1101757190">
              <w:marLeft w:val="0"/>
              <w:marRight w:val="0"/>
              <w:marTop w:val="0"/>
              <w:marBottom w:val="0"/>
              <w:divBdr>
                <w:top w:val="none" w:sz="0" w:space="0" w:color="auto"/>
                <w:left w:val="none" w:sz="0" w:space="0" w:color="auto"/>
                <w:bottom w:val="none" w:sz="0" w:space="0" w:color="auto"/>
                <w:right w:val="none" w:sz="0" w:space="0" w:color="auto"/>
              </w:divBdr>
              <w:divsChild>
                <w:div w:id="9288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1901">
      <w:bodyDiv w:val="1"/>
      <w:marLeft w:val="0"/>
      <w:marRight w:val="0"/>
      <w:marTop w:val="0"/>
      <w:marBottom w:val="0"/>
      <w:divBdr>
        <w:top w:val="none" w:sz="0" w:space="0" w:color="auto"/>
        <w:left w:val="none" w:sz="0" w:space="0" w:color="auto"/>
        <w:bottom w:val="none" w:sz="0" w:space="0" w:color="auto"/>
        <w:right w:val="none" w:sz="0" w:space="0" w:color="auto"/>
      </w:divBdr>
      <w:divsChild>
        <w:div w:id="2113813241">
          <w:marLeft w:val="0"/>
          <w:marRight w:val="0"/>
          <w:marTop w:val="0"/>
          <w:marBottom w:val="0"/>
          <w:divBdr>
            <w:top w:val="none" w:sz="0" w:space="0" w:color="auto"/>
            <w:left w:val="none" w:sz="0" w:space="0" w:color="auto"/>
            <w:bottom w:val="none" w:sz="0" w:space="0" w:color="auto"/>
            <w:right w:val="none" w:sz="0" w:space="0" w:color="auto"/>
          </w:divBdr>
          <w:divsChild>
            <w:div w:id="557859915">
              <w:marLeft w:val="0"/>
              <w:marRight w:val="0"/>
              <w:marTop w:val="0"/>
              <w:marBottom w:val="0"/>
              <w:divBdr>
                <w:top w:val="none" w:sz="0" w:space="0" w:color="auto"/>
                <w:left w:val="none" w:sz="0" w:space="0" w:color="auto"/>
                <w:bottom w:val="none" w:sz="0" w:space="0" w:color="auto"/>
                <w:right w:val="none" w:sz="0" w:space="0" w:color="auto"/>
              </w:divBdr>
              <w:divsChild>
                <w:div w:id="911234285">
                  <w:marLeft w:val="0"/>
                  <w:marRight w:val="0"/>
                  <w:marTop w:val="0"/>
                  <w:marBottom w:val="0"/>
                  <w:divBdr>
                    <w:top w:val="none" w:sz="0" w:space="0" w:color="auto"/>
                    <w:left w:val="none" w:sz="0" w:space="0" w:color="auto"/>
                    <w:bottom w:val="none" w:sz="0" w:space="0" w:color="auto"/>
                    <w:right w:val="none" w:sz="0" w:space="0" w:color="auto"/>
                  </w:divBdr>
                  <w:divsChild>
                    <w:div w:id="12934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2787">
      <w:bodyDiv w:val="1"/>
      <w:marLeft w:val="0"/>
      <w:marRight w:val="0"/>
      <w:marTop w:val="0"/>
      <w:marBottom w:val="0"/>
      <w:divBdr>
        <w:top w:val="none" w:sz="0" w:space="0" w:color="auto"/>
        <w:left w:val="none" w:sz="0" w:space="0" w:color="auto"/>
        <w:bottom w:val="none" w:sz="0" w:space="0" w:color="auto"/>
        <w:right w:val="none" w:sz="0" w:space="0" w:color="auto"/>
      </w:divBdr>
      <w:divsChild>
        <w:div w:id="130179106">
          <w:marLeft w:val="0"/>
          <w:marRight w:val="0"/>
          <w:marTop w:val="0"/>
          <w:marBottom w:val="0"/>
          <w:divBdr>
            <w:top w:val="none" w:sz="0" w:space="0" w:color="auto"/>
            <w:left w:val="none" w:sz="0" w:space="0" w:color="auto"/>
            <w:bottom w:val="none" w:sz="0" w:space="0" w:color="auto"/>
            <w:right w:val="none" w:sz="0" w:space="0" w:color="auto"/>
          </w:divBdr>
          <w:divsChild>
            <w:div w:id="1995255845">
              <w:marLeft w:val="0"/>
              <w:marRight w:val="0"/>
              <w:marTop w:val="0"/>
              <w:marBottom w:val="0"/>
              <w:divBdr>
                <w:top w:val="none" w:sz="0" w:space="0" w:color="auto"/>
                <w:left w:val="none" w:sz="0" w:space="0" w:color="auto"/>
                <w:bottom w:val="none" w:sz="0" w:space="0" w:color="auto"/>
                <w:right w:val="none" w:sz="0" w:space="0" w:color="auto"/>
              </w:divBdr>
              <w:divsChild>
                <w:div w:id="18920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726">
      <w:bodyDiv w:val="1"/>
      <w:marLeft w:val="0"/>
      <w:marRight w:val="0"/>
      <w:marTop w:val="0"/>
      <w:marBottom w:val="0"/>
      <w:divBdr>
        <w:top w:val="none" w:sz="0" w:space="0" w:color="auto"/>
        <w:left w:val="none" w:sz="0" w:space="0" w:color="auto"/>
        <w:bottom w:val="none" w:sz="0" w:space="0" w:color="auto"/>
        <w:right w:val="none" w:sz="0" w:space="0" w:color="auto"/>
      </w:divBdr>
      <w:divsChild>
        <w:div w:id="2095976072">
          <w:marLeft w:val="0"/>
          <w:marRight w:val="0"/>
          <w:marTop w:val="0"/>
          <w:marBottom w:val="0"/>
          <w:divBdr>
            <w:top w:val="none" w:sz="0" w:space="0" w:color="auto"/>
            <w:left w:val="none" w:sz="0" w:space="0" w:color="auto"/>
            <w:bottom w:val="none" w:sz="0" w:space="0" w:color="auto"/>
            <w:right w:val="none" w:sz="0" w:space="0" w:color="auto"/>
          </w:divBdr>
          <w:divsChild>
            <w:div w:id="2049917613">
              <w:marLeft w:val="0"/>
              <w:marRight w:val="0"/>
              <w:marTop w:val="0"/>
              <w:marBottom w:val="0"/>
              <w:divBdr>
                <w:top w:val="none" w:sz="0" w:space="0" w:color="auto"/>
                <w:left w:val="none" w:sz="0" w:space="0" w:color="auto"/>
                <w:bottom w:val="none" w:sz="0" w:space="0" w:color="auto"/>
                <w:right w:val="none" w:sz="0" w:space="0" w:color="auto"/>
              </w:divBdr>
              <w:divsChild>
                <w:div w:id="1040862573">
                  <w:marLeft w:val="0"/>
                  <w:marRight w:val="0"/>
                  <w:marTop w:val="0"/>
                  <w:marBottom w:val="0"/>
                  <w:divBdr>
                    <w:top w:val="none" w:sz="0" w:space="0" w:color="auto"/>
                    <w:left w:val="none" w:sz="0" w:space="0" w:color="auto"/>
                    <w:bottom w:val="none" w:sz="0" w:space="0" w:color="auto"/>
                    <w:right w:val="none" w:sz="0" w:space="0" w:color="auto"/>
                  </w:divBdr>
                  <w:divsChild>
                    <w:div w:id="19381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63173">
      <w:bodyDiv w:val="1"/>
      <w:marLeft w:val="0"/>
      <w:marRight w:val="0"/>
      <w:marTop w:val="0"/>
      <w:marBottom w:val="0"/>
      <w:divBdr>
        <w:top w:val="none" w:sz="0" w:space="0" w:color="auto"/>
        <w:left w:val="none" w:sz="0" w:space="0" w:color="auto"/>
        <w:bottom w:val="none" w:sz="0" w:space="0" w:color="auto"/>
        <w:right w:val="none" w:sz="0" w:space="0" w:color="auto"/>
      </w:divBdr>
      <w:divsChild>
        <w:div w:id="30500431">
          <w:marLeft w:val="0"/>
          <w:marRight w:val="0"/>
          <w:marTop w:val="0"/>
          <w:marBottom w:val="0"/>
          <w:divBdr>
            <w:top w:val="none" w:sz="0" w:space="0" w:color="auto"/>
            <w:left w:val="none" w:sz="0" w:space="0" w:color="auto"/>
            <w:bottom w:val="none" w:sz="0" w:space="0" w:color="auto"/>
            <w:right w:val="none" w:sz="0" w:space="0" w:color="auto"/>
          </w:divBdr>
          <w:divsChild>
            <w:div w:id="827748063">
              <w:marLeft w:val="0"/>
              <w:marRight w:val="0"/>
              <w:marTop w:val="0"/>
              <w:marBottom w:val="0"/>
              <w:divBdr>
                <w:top w:val="none" w:sz="0" w:space="0" w:color="auto"/>
                <w:left w:val="none" w:sz="0" w:space="0" w:color="auto"/>
                <w:bottom w:val="none" w:sz="0" w:space="0" w:color="auto"/>
                <w:right w:val="none" w:sz="0" w:space="0" w:color="auto"/>
              </w:divBdr>
              <w:divsChild>
                <w:div w:id="1588346142">
                  <w:marLeft w:val="0"/>
                  <w:marRight w:val="0"/>
                  <w:marTop w:val="0"/>
                  <w:marBottom w:val="0"/>
                  <w:divBdr>
                    <w:top w:val="none" w:sz="0" w:space="0" w:color="auto"/>
                    <w:left w:val="none" w:sz="0" w:space="0" w:color="auto"/>
                    <w:bottom w:val="none" w:sz="0" w:space="0" w:color="auto"/>
                    <w:right w:val="none" w:sz="0" w:space="0" w:color="auto"/>
                  </w:divBdr>
                  <w:divsChild>
                    <w:div w:id="6856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88179">
      <w:bodyDiv w:val="1"/>
      <w:marLeft w:val="0"/>
      <w:marRight w:val="0"/>
      <w:marTop w:val="0"/>
      <w:marBottom w:val="0"/>
      <w:divBdr>
        <w:top w:val="none" w:sz="0" w:space="0" w:color="auto"/>
        <w:left w:val="none" w:sz="0" w:space="0" w:color="auto"/>
        <w:bottom w:val="none" w:sz="0" w:space="0" w:color="auto"/>
        <w:right w:val="none" w:sz="0" w:space="0" w:color="auto"/>
      </w:divBdr>
      <w:divsChild>
        <w:div w:id="472017577">
          <w:marLeft w:val="0"/>
          <w:marRight w:val="0"/>
          <w:marTop w:val="0"/>
          <w:marBottom w:val="0"/>
          <w:divBdr>
            <w:top w:val="none" w:sz="0" w:space="0" w:color="auto"/>
            <w:left w:val="none" w:sz="0" w:space="0" w:color="auto"/>
            <w:bottom w:val="none" w:sz="0" w:space="0" w:color="auto"/>
            <w:right w:val="none" w:sz="0" w:space="0" w:color="auto"/>
          </w:divBdr>
          <w:divsChild>
            <w:div w:id="588778444">
              <w:marLeft w:val="0"/>
              <w:marRight w:val="0"/>
              <w:marTop w:val="0"/>
              <w:marBottom w:val="0"/>
              <w:divBdr>
                <w:top w:val="none" w:sz="0" w:space="0" w:color="auto"/>
                <w:left w:val="none" w:sz="0" w:space="0" w:color="auto"/>
                <w:bottom w:val="none" w:sz="0" w:space="0" w:color="auto"/>
                <w:right w:val="none" w:sz="0" w:space="0" w:color="auto"/>
              </w:divBdr>
              <w:divsChild>
                <w:div w:id="405491418">
                  <w:marLeft w:val="0"/>
                  <w:marRight w:val="0"/>
                  <w:marTop w:val="0"/>
                  <w:marBottom w:val="0"/>
                  <w:divBdr>
                    <w:top w:val="none" w:sz="0" w:space="0" w:color="auto"/>
                    <w:left w:val="none" w:sz="0" w:space="0" w:color="auto"/>
                    <w:bottom w:val="none" w:sz="0" w:space="0" w:color="auto"/>
                    <w:right w:val="none" w:sz="0" w:space="0" w:color="auto"/>
                  </w:divBdr>
                  <w:divsChild>
                    <w:div w:id="6110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3490">
      <w:bodyDiv w:val="1"/>
      <w:marLeft w:val="0"/>
      <w:marRight w:val="0"/>
      <w:marTop w:val="0"/>
      <w:marBottom w:val="0"/>
      <w:divBdr>
        <w:top w:val="none" w:sz="0" w:space="0" w:color="auto"/>
        <w:left w:val="none" w:sz="0" w:space="0" w:color="auto"/>
        <w:bottom w:val="none" w:sz="0" w:space="0" w:color="auto"/>
        <w:right w:val="none" w:sz="0" w:space="0" w:color="auto"/>
      </w:divBdr>
    </w:div>
    <w:div w:id="223491716">
      <w:bodyDiv w:val="1"/>
      <w:marLeft w:val="0"/>
      <w:marRight w:val="0"/>
      <w:marTop w:val="0"/>
      <w:marBottom w:val="0"/>
      <w:divBdr>
        <w:top w:val="none" w:sz="0" w:space="0" w:color="auto"/>
        <w:left w:val="none" w:sz="0" w:space="0" w:color="auto"/>
        <w:bottom w:val="none" w:sz="0" w:space="0" w:color="auto"/>
        <w:right w:val="none" w:sz="0" w:space="0" w:color="auto"/>
      </w:divBdr>
      <w:divsChild>
        <w:div w:id="1910311206">
          <w:marLeft w:val="0"/>
          <w:marRight w:val="0"/>
          <w:marTop w:val="0"/>
          <w:marBottom w:val="0"/>
          <w:divBdr>
            <w:top w:val="none" w:sz="0" w:space="0" w:color="auto"/>
            <w:left w:val="none" w:sz="0" w:space="0" w:color="auto"/>
            <w:bottom w:val="none" w:sz="0" w:space="0" w:color="auto"/>
            <w:right w:val="none" w:sz="0" w:space="0" w:color="auto"/>
          </w:divBdr>
          <w:divsChild>
            <w:div w:id="1036078188">
              <w:marLeft w:val="0"/>
              <w:marRight w:val="0"/>
              <w:marTop w:val="0"/>
              <w:marBottom w:val="0"/>
              <w:divBdr>
                <w:top w:val="none" w:sz="0" w:space="0" w:color="auto"/>
                <w:left w:val="none" w:sz="0" w:space="0" w:color="auto"/>
                <w:bottom w:val="none" w:sz="0" w:space="0" w:color="auto"/>
                <w:right w:val="none" w:sz="0" w:space="0" w:color="auto"/>
              </w:divBdr>
              <w:divsChild>
                <w:div w:id="1619877135">
                  <w:marLeft w:val="0"/>
                  <w:marRight w:val="0"/>
                  <w:marTop w:val="0"/>
                  <w:marBottom w:val="0"/>
                  <w:divBdr>
                    <w:top w:val="none" w:sz="0" w:space="0" w:color="auto"/>
                    <w:left w:val="none" w:sz="0" w:space="0" w:color="auto"/>
                    <w:bottom w:val="none" w:sz="0" w:space="0" w:color="auto"/>
                    <w:right w:val="none" w:sz="0" w:space="0" w:color="auto"/>
                  </w:divBdr>
                  <w:divsChild>
                    <w:div w:id="610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83644">
      <w:bodyDiv w:val="1"/>
      <w:marLeft w:val="0"/>
      <w:marRight w:val="0"/>
      <w:marTop w:val="0"/>
      <w:marBottom w:val="0"/>
      <w:divBdr>
        <w:top w:val="none" w:sz="0" w:space="0" w:color="auto"/>
        <w:left w:val="none" w:sz="0" w:space="0" w:color="auto"/>
        <w:bottom w:val="none" w:sz="0" w:space="0" w:color="auto"/>
        <w:right w:val="none" w:sz="0" w:space="0" w:color="auto"/>
      </w:divBdr>
      <w:divsChild>
        <w:div w:id="1517385259">
          <w:marLeft w:val="0"/>
          <w:marRight w:val="0"/>
          <w:marTop w:val="0"/>
          <w:marBottom w:val="0"/>
          <w:divBdr>
            <w:top w:val="none" w:sz="0" w:space="0" w:color="auto"/>
            <w:left w:val="none" w:sz="0" w:space="0" w:color="auto"/>
            <w:bottom w:val="none" w:sz="0" w:space="0" w:color="auto"/>
            <w:right w:val="none" w:sz="0" w:space="0" w:color="auto"/>
          </w:divBdr>
          <w:divsChild>
            <w:div w:id="1543058071">
              <w:marLeft w:val="0"/>
              <w:marRight w:val="0"/>
              <w:marTop w:val="0"/>
              <w:marBottom w:val="0"/>
              <w:divBdr>
                <w:top w:val="none" w:sz="0" w:space="0" w:color="auto"/>
                <w:left w:val="none" w:sz="0" w:space="0" w:color="auto"/>
                <w:bottom w:val="none" w:sz="0" w:space="0" w:color="auto"/>
                <w:right w:val="none" w:sz="0" w:space="0" w:color="auto"/>
              </w:divBdr>
              <w:divsChild>
                <w:div w:id="734402420">
                  <w:marLeft w:val="0"/>
                  <w:marRight w:val="0"/>
                  <w:marTop w:val="0"/>
                  <w:marBottom w:val="0"/>
                  <w:divBdr>
                    <w:top w:val="none" w:sz="0" w:space="0" w:color="auto"/>
                    <w:left w:val="none" w:sz="0" w:space="0" w:color="auto"/>
                    <w:bottom w:val="none" w:sz="0" w:space="0" w:color="auto"/>
                    <w:right w:val="none" w:sz="0" w:space="0" w:color="auto"/>
                  </w:divBdr>
                  <w:divsChild>
                    <w:div w:id="1296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83540">
      <w:bodyDiv w:val="1"/>
      <w:marLeft w:val="0"/>
      <w:marRight w:val="0"/>
      <w:marTop w:val="0"/>
      <w:marBottom w:val="0"/>
      <w:divBdr>
        <w:top w:val="none" w:sz="0" w:space="0" w:color="auto"/>
        <w:left w:val="none" w:sz="0" w:space="0" w:color="auto"/>
        <w:bottom w:val="none" w:sz="0" w:space="0" w:color="auto"/>
        <w:right w:val="none" w:sz="0" w:space="0" w:color="auto"/>
      </w:divBdr>
      <w:divsChild>
        <w:div w:id="181552850">
          <w:marLeft w:val="0"/>
          <w:marRight w:val="0"/>
          <w:marTop w:val="0"/>
          <w:marBottom w:val="0"/>
          <w:divBdr>
            <w:top w:val="none" w:sz="0" w:space="0" w:color="auto"/>
            <w:left w:val="none" w:sz="0" w:space="0" w:color="auto"/>
            <w:bottom w:val="none" w:sz="0" w:space="0" w:color="auto"/>
            <w:right w:val="none" w:sz="0" w:space="0" w:color="auto"/>
          </w:divBdr>
          <w:divsChild>
            <w:div w:id="1655991814">
              <w:marLeft w:val="0"/>
              <w:marRight w:val="0"/>
              <w:marTop w:val="0"/>
              <w:marBottom w:val="0"/>
              <w:divBdr>
                <w:top w:val="none" w:sz="0" w:space="0" w:color="auto"/>
                <w:left w:val="none" w:sz="0" w:space="0" w:color="auto"/>
                <w:bottom w:val="none" w:sz="0" w:space="0" w:color="auto"/>
                <w:right w:val="none" w:sz="0" w:space="0" w:color="auto"/>
              </w:divBdr>
              <w:divsChild>
                <w:div w:id="1849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35399">
      <w:bodyDiv w:val="1"/>
      <w:marLeft w:val="0"/>
      <w:marRight w:val="0"/>
      <w:marTop w:val="0"/>
      <w:marBottom w:val="0"/>
      <w:divBdr>
        <w:top w:val="none" w:sz="0" w:space="0" w:color="auto"/>
        <w:left w:val="none" w:sz="0" w:space="0" w:color="auto"/>
        <w:bottom w:val="none" w:sz="0" w:space="0" w:color="auto"/>
        <w:right w:val="none" w:sz="0" w:space="0" w:color="auto"/>
      </w:divBdr>
      <w:divsChild>
        <w:div w:id="860896584">
          <w:marLeft w:val="0"/>
          <w:marRight w:val="0"/>
          <w:marTop w:val="0"/>
          <w:marBottom w:val="0"/>
          <w:divBdr>
            <w:top w:val="none" w:sz="0" w:space="0" w:color="auto"/>
            <w:left w:val="none" w:sz="0" w:space="0" w:color="auto"/>
            <w:bottom w:val="none" w:sz="0" w:space="0" w:color="auto"/>
            <w:right w:val="none" w:sz="0" w:space="0" w:color="auto"/>
          </w:divBdr>
          <w:divsChild>
            <w:div w:id="1474907887">
              <w:marLeft w:val="0"/>
              <w:marRight w:val="0"/>
              <w:marTop w:val="0"/>
              <w:marBottom w:val="0"/>
              <w:divBdr>
                <w:top w:val="none" w:sz="0" w:space="0" w:color="auto"/>
                <w:left w:val="none" w:sz="0" w:space="0" w:color="auto"/>
                <w:bottom w:val="none" w:sz="0" w:space="0" w:color="auto"/>
                <w:right w:val="none" w:sz="0" w:space="0" w:color="auto"/>
              </w:divBdr>
              <w:divsChild>
                <w:div w:id="18995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79470">
      <w:bodyDiv w:val="1"/>
      <w:marLeft w:val="0"/>
      <w:marRight w:val="0"/>
      <w:marTop w:val="0"/>
      <w:marBottom w:val="0"/>
      <w:divBdr>
        <w:top w:val="none" w:sz="0" w:space="0" w:color="auto"/>
        <w:left w:val="none" w:sz="0" w:space="0" w:color="auto"/>
        <w:bottom w:val="none" w:sz="0" w:space="0" w:color="auto"/>
        <w:right w:val="none" w:sz="0" w:space="0" w:color="auto"/>
      </w:divBdr>
    </w:div>
    <w:div w:id="251284668">
      <w:bodyDiv w:val="1"/>
      <w:marLeft w:val="0"/>
      <w:marRight w:val="0"/>
      <w:marTop w:val="0"/>
      <w:marBottom w:val="0"/>
      <w:divBdr>
        <w:top w:val="none" w:sz="0" w:space="0" w:color="auto"/>
        <w:left w:val="none" w:sz="0" w:space="0" w:color="auto"/>
        <w:bottom w:val="none" w:sz="0" w:space="0" w:color="auto"/>
        <w:right w:val="none" w:sz="0" w:space="0" w:color="auto"/>
      </w:divBdr>
      <w:divsChild>
        <w:div w:id="312685612">
          <w:marLeft w:val="0"/>
          <w:marRight w:val="0"/>
          <w:marTop w:val="0"/>
          <w:marBottom w:val="0"/>
          <w:divBdr>
            <w:top w:val="none" w:sz="0" w:space="0" w:color="auto"/>
            <w:left w:val="none" w:sz="0" w:space="0" w:color="auto"/>
            <w:bottom w:val="none" w:sz="0" w:space="0" w:color="auto"/>
            <w:right w:val="none" w:sz="0" w:space="0" w:color="auto"/>
          </w:divBdr>
          <w:divsChild>
            <w:div w:id="2050492687">
              <w:marLeft w:val="0"/>
              <w:marRight w:val="0"/>
              <w:marTop w:val="0"/>
              <w:marBottom w:val="0"/>
              <w:divBdr>
                <w:top w:val="none" w:sz="0" w:space="0" w:color="auto"/>
                <w:left w:val="none" w:sz="0" w:space="0" w:color="auto"/>
                <w:bottom w:val="none" w:sz="0" w:space="0" w:color="auto"/>
                <w:right w:val="none" w:sz="0" w:space="0" w:color="auto"/>
              </w:divBdr>
              <w:divsChild>
                <w:div w:id="2473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0125">
      <w:bodyDiv w:val="1"/>
      <w:marLeft w:val="0"/>
      <w:marRight w:val="0"/>
      <w:marTop w:val="0"/>
      <w:marBottom w:val="0"/>
      <w:divBdr>
        <w:top w:val="none" w:sz="0" w:space="0" w:color="auto"/>
        <w:left w:val="none" w:sz="0" w:space="0" w:color="auto"/>
        <w:bottom w:val="none" w:sz="0" w:space="0" w:color="auto"/>
        <w:right w:val="none" w:sz="0" w:space="0" w:color="auto"/>
      </w:divBdr>
    </w:div>
    <w:div w:id="277227439">
      <w:bodyDiv w:val="1"/>
      <w:marLeft w:val="0"/>
      <w:marRight w:val="0"/>
      <w:marTop w:val="0"/>
      <w:marBottom w:val="0"/>
      <w:divBdr>
        <w:top w:val="none" w:sz="0" w:space="0" w:color="auto"/>
        <w:left w:val="none" w:sz="0" w:space="0" w:color="auto"/>
        <w:bottom w:val="none" w:sz="0" w:space="0" w:color="auto"/>
        <w:right w:val="none" w:sz="0" w:space="0" w:color="auto"/>
      </w:divBdr>
      <w:divsChild>
        <w:div w:id="1481459500">
          <w:marLeft w:val="0"/>
          <w:marRight w:val="0"/>
          <w:marTop w:val="0"/>
          <w:marBottom w:val="0"/>
          <w:divBdr>
            <w:top w:val="none" w:sz="0" w:space="0" w:color="auto"/>
            <w:left w:val="none" w:sz="0" w:space="0" w:color="auto"/>
            <w:bottom w:val="none" w:sz="0" w:space="0" w:color="auto"/>
            <w:right w:val="none" w:sz="0" w:space="0" w:color="auto"/>
          </w:divBdr>
          <w:divsChild>
            <w:div w:id="1209100471">
              <w:marLeft w:val="0"/>
              <w:marRight w:val="0"/>
              <w:marTop w:val="0"/>
              <w:marBottom w:val="0"/>
              <w:divBdr>
                <w:top w:val="none" w:sz="0" w:space="0" w:color="auto"/>
                <w:left w:val="none" w:sz="0" w:space="0" w:color="auto"/>
                <w:bottom w:val="none" w:sz="0" w:space="0" w:color="auto"/>
                <w:right w:val="none" w:sz="0" w:space="0" w:color="auto"/>
              </w:divBdr>
              <w:divsChild>
                <w:div w:id="954486651">
                  <w:marLeft w:val="0"/>
                  <w:marRight w:val="0"/>
                  <w:marTop w:val="0"/>
                  <w:marBottom w:val="0"/>
                  <w:divBdr>
                    <w:top w:val="none" w:sz="0" w:space="0" w:color="auto"/>
                    <w:left w:val="none" w:sz="0" w:space="0" w:color="auto"/>
                    <w:bottom w:val="none" w:sz="0" w:space="0" w:color="auto"/>
                    <w:right w:val="none" w:sz="0" w:space="0" w:color="auto"/>
                  </w:divBdr>
                  <w:divsChild>
                    <w:div w:id="12980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14892">
      <w:bodyDiv w:val="1"/>
      <w:marLeft w:val="0"/>
      <w:marRight w:val="0"/>
      <w:marTop w:val="0"/>
      <w:marBottom w:val="0"/>
      <w:divBdr>
        <w:top w:val="none" w:sz="0" w:space="0" w:color="auto"/>
        <w:left w:val="none" w:sz="0" w:space="0" w:color="auto"/>
        <w:bottom w:val="none" w:sz="0" w:space="0" w:color="auto"/>
        <w:right w:val="none" w:sz="0" w:space="0" w:color="auto"/>
      </w:divBdr>
      <w:divsChild>
        <w:div w:id="1215657973">
          <w:marLeft w:val="0"/>
          <w:marRight w:val="0"/>
          <w:marTop w:val="0"/>
          <w:marBottom w:val="0"/>
          <w:divBdr>
            <w:top w:val="none" w:sz="0" w:space="0" w:color="auto"/>
            <w:left w:val="none" w:sz="0" w:space="0" w:color="auto"/>
            <w:bottom w:val="none" w:sz="0" w:space="0" w:color="auto"/>
            <w:right w:val="none" w:sz="0" w:space="0" w:color="auto"/>
          </w:divBdr>
          <w:divsChild>
            <w:div w:id="151070311">
              <w:marLeft w:val="0"/>
              <w:marRight w:val="0"/>
              <w:marTop w:val="0"/>
              <w:marBottom w:val="0"/>
              <w:divBdr>
                <w:top w:val="none" w:sz="0" w:space="0" w:color="auto"/>
                <w:left w:val="none" w:sz="0" w:space="0" w:color="auto"/>
                <w:bottom w:val="none" w:sz="0" w:space="0" w:color="auto"/>
                <w:right w:val="none" w:sz="0" w:space="0" w:color="auto"/>
              </w:divBdr>
              <w:divsChild>
                <w:div w:id="908883066">
                  <w:marLeft w:val="0"/>
                  <w:marRight w:val="0"/>
                  <w:marTop w:val="0"/>
                  <w:marBottom w:val="0"/>
                  <w:divBdr>
                    <w:top w:val="none" w:sz="0" w:space="0" w:color="auto"/>
                    <w:left w:val="none" w:sz="0" w:space="0" w:color="auto"/>
                    <w:bottom w:val="none" w:sz="0" w:space="0" w:color="auto"/>
                    <w:right w:val="none" w:sz="0" w:space="0" w:color="auto"/>
                  </w:divBdr>
                  <w:divsChild>
                    <w:div w:id="4491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4794">
      <w:bodyDiv w:val="1"/>
      <w:marLeft w:val="0"/>
      <w:marRight w:val="0"/>
      <w:marTop w:val="0"/>
      <w:marBottom w:val="0"/>
      <w:divBdr>
        <w:top w:val="none" w:sz="0" w:space="0" w:color="auto"/>
        <w:left w:val="none" w:sz="0" w:space="0" w:color="auto"/>
        <w:bottom w:val="none" w:sz="0" w:space="0" w:color="auto"/>
        <w:right w:val="none" w:sz="0" w:space="0" w:color="auto"/>
      </w:divBdr>
    </w:div>
    <w:div w:id="297417107">
      <w:bodyDiv w:val="1"/>
      <w:marLeft w:val="0"/>
      <w:marRight w:val="0"/>
      <w:marTop w:val="0"/>
      <w:marBottom w:val="0"/>
      <w:divBdr>
        <w:top w:val="none" w:sz="0" w:space="0" w:color="auto"/>
        <w:left w:val="none" w:sz="0" w:space="0" w:color="auto"/>
        <w:bottom w:val="none" w:sz="0" w:space="0" w:color="auto"/>
        <w:right w:val="none" w:sz="0" w:space="0" w:color="auto"/>
      </w:divBdr>
    </w:div>
    <w:div w:id="308873195">
      <w:bodyDiv w:val="1"/>
      <w:marLeft w:val="0"/>
      <w:marRight w:val="0"/>
      <w:marTop w:val="0"/>
      <w:marBottom w:val="0"/>
      <w:divBdr>
        <w:top w:val="none" w:sz="0" w:space="0" w:color="auto"/>
        <w:left w:val="none" w:sz="0" w:space="0" w:color="auto"/>
        <w:bottom w:val="none" w:sz="0" w:space="0" w:color="auto"/>
        <w:right w:val="none" w:sz="0" w:space="0" w:color="auto"/>
      </w:divBdr>
      <w:divsChild>
        <w:div w:id="1190752394">
          <w:marLeft w:val="0"/>
          <w:marRight w:val="0"/>
          <w:marTop w:val="0"/>
          <w:marBottom w:val="0"/>
          <w:divBdr>
            <w:top w:val="none" w:sz="0" w:space="0" w:color="auto"/>
            <w:left w:val="none" w:sz="0" w:space="0" w:color="auto"/>
            <w:bottom w:val="none" w:sz="0" w:space="0" w:color="auto"/>
            <w:right w:val="none" w:sz="0" w:space="0" w:color="auto"/>
          </w:divBdr>
          <w:divsChild>
            <w:div w:id="218513548">
              <w:marLeft w:val="0"/>
              <w:marRight w:val="0"/>
              <w:marTop w:val="0"/>
              <w:marBottom w:val="0"/>
              <w:divBdr>
                <w:top w:val="none" w:sz="0" w:space="0" w:color="auto"/>
                <w:left w:val="none" w:sz="0" w:space="0" w:color="auto"/>
                <w:bottom w:val="none" w:sz="0" w:space="0" w:color="auto"/>
                <w:right w:val="none" w:sz="0" w:space="0" w:color="auto"/>
              </w:divBdr>
              <w:divsChild>
                <w:div w:id="848065601">
                  <w:marLeft w:val="0"/>
                  <w:marRight w:val="0"/>
                  <w:marTop w:val="0"/>
                  <w:marBottom w:val="0"/>
                  <w:divBdr>
                    <w:top w:val="none" w:sz="0" w:space="0" w:color="auto"/>
                    <w:left w:val="none" w:sz="0" w:space="0" w:color="auto"/>
                    <w:bottom w:val="none" w:sz="0" w:space="0" w:color="auto"/>
                    <w:right w:val="none" w:sz="0" w:space="0" w:color="auto"/>
                  </w:divBdr>
                  <w:divsChild>
                    <w:div w:id="1838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62344">
      <w:bodyDiv w:val="1"/>
      <w:marLeft w:val="0"/>
      <w:marRight w:val="0"/>
      <w:marTop w:val="0"/>
      <w:marBottom w:val="0"/>
      <w:divBdr>
        <w:top w:val="none" w:sz="0" w:space="0" w:color="auto"/>
        <w:left w:val="none" w:sz="0" w:space="0" w:color="auto"/>
        <w:bottom w:val="none" w:sz="0" w:space="0" w:color="auto"/>
        <w:right w:val="none" w:sz="0" w:space="0" w:color="auto"/>
      </w:divBdr>
    </w:div>
    <w:div w:id="316033670">
      <w:bodyDiv w:val="1"/>
      <w:marLeft w:val="0"/>
      <w:marRight w:val="0"/>
      <w:marTop w:val="0"/>
      <w:marBottom w:val="0"/>
      <w:divBdr>
        <w:top w:val="none" w:sz="0" w:space="0" w:color="auto"/>
        <w:left w:val="none" w:sz="0" w:space="0" w:color="auto"/>
        <w:bottom w:val="none" w:sz="0" w:space="0" w:color="auto"/>
        <w:right w:val="none" w:sz="0" w:space="0" w:color="auto"/>
      </w:divBdr>
    </w:div>
    <w:div w:id="317654958">
      <w:bodyDiv w:val="1"/>
      <w:marLeft w:val="0"/>
      <w:marRight w:val="0"/>
      <w:marTop w:val="0"/>
      <w:marBottom w:val="0"/>
      <w:divBdr>
        <w:top w:val="none" w:sz="0" w:space="0" w:color="auto"/>
        <w:left w:val="none" w:sz="0" w:space="0" w:color="auto"/>
        <w:bottom w:val="none" w:sz="0" w:space="0" w:color="auto"/>
        <w:right w:val="none" w:sz="0" w:space="0" w:color="auto"/>
      </w:divBdr>
      <w:divsChild>
        <w:div w:id="853881383">
          <w:marLeft w:val="0"/>
          <w:marRight w:val="0"/>
          <w:marTop w:val="0"/>
          <w:marBottom w:val="0"/>
          <w:divBdr>
            <w:top w:val="none" w:sz="0" w:space="0" w:color="auto"/>
            <w:left w:val="none" w:sz="0" w:space="0" w:color="auto"/>
            <w:bottom w:val="none" w:sz="0" w:space="0" w:color="auto"/>
            <w:right w:val="none" w:sz="0" w:space="0" w:color="auto"/>
          </w:divBdr>
          <w:divsChild>
            <w:div w:id="651253924">
              <w:marLeft w:val="0"/>
              <w:marRight w:val="0"/>
              <w:marTop w:val="0"/>
              <w:marBottom w:val="0"/>
              <w:divBdr>
                <w:top w:val="none" w:sz="0" w:space="0" w:color="auto"/>
                <w:left w:val="none" w:sz="0" w:space="0" w:color="auto"/>
                <w:bottom w:val="none" w:sz="0" w:space="0" w:color="auto"/>
                <w:right w:val="none" w:sz="0" w:space="0" w:color="auto"/>
              </w:divBdr>
              <w:divsChild>
                <w:div w:id="7547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6212">
      <w:bodyDiv w:val="1"/>
      <w:marLeft w:val="0"/>
      <w:marRight w:val="0"/>
      <w:marTop w:val="0"/>
      <w:marBottom w:val="0"/>
      <w:divBdr>
        <w:top w:val="none" w:sz="0" w:space="0" w:color="auto"/>
        <w:left w:val="none" w:sz="0" w:space="0" w:color="auto"/>
        <w:bottom w:val="none" w:sz="0" w:space="0" w:color="auto"/>
        <w:right w:val="none" w:sz="0" w:space="0" w:color="auto"/>
      </w:divBdr>
    </w:div>
    <w:div w:id="323818649">
      <w:bodyDiv w:val="1"/>
      <w:marLeft w:val="0"/>
      <w:marRight w:val="0"/>
      <w:marTop w:val="0"/>
      <w:marBottom w:val="0"/>
      <w:divBdr>
        <w:top w:val="none" w:sz="0" w:space="0" w:color="auto"/>
        <w:left w:val="none" w:sz="0" w:space="0" w:color="auto"/>
        <w:bottom w:val="none" w:sz="0" w:space="0" w:color="auto"/>
        <w:right w:val="none" w:sz="0" w:space="0" w:color="auto"/>
      </w:divBdr>
    </w:div>
    <w:div w:id="339433336">
      <w:bodyDiv w:val="1"/>
      <w:marLeft w:val="0"/>
      <w:marRight w:val="0"/>
      <w:marTop w:val="0"/>
      <w:marBottom w:val="0"/>
      <w:divBdr>
        <w:top w:val="none" w:sz="0" w:space="0" w:color="auto"/>
        <w:left w:val="none" w:sz="0" w:space="0" w:color="auto"/>
        <w:bottom w:val="none" w:sz="0" w:space="0" w:color="auto"/>
        <w:right w:val="none" w:sz="0" w:space="0" w:color="auto"/>
      </w:divBdr>
    </w:div>
    <w:div w:id="350378979">
      <w:bodyDiv w:val="1"/>
      <w:marLeft w:val="0"/>
      <w:marRight w:val="0"/>
      <w:marTop w:val="0"/>
      <w:marBottom w:val="0"/>
      <w:divBdr>
        <w:top w:val="none" w:sz="0" w:space="0" w:color="auto"/>
        <w:left w:val="none" w:sz="0" w:space="0" w:color="auto"/>
        <w:bottom w:val="none" w:sz="0" w:space="0" w:color="auto"/>
        <w:right w:val="none" w:sz="0" w:space="0" w:color="auto"/>
      </w:divBdr>
      <w:divsChild>
        <w:div w:id="469829306">
          <w:marLeft w:val="0"/>
          <w:marRight w:val="0"/>
          <w:marTop w:val="0"/>
          <w:marBottom w:val="0"/>
          <w:divBdr>
            <w:top w:val="none" w:sz="0" w:space="0" w:color="auto"/>
            <w:left w:val="none" w:sz="0" w:space="0" w:color="auto"/>
            <w:bottom w:val="none" w:sz="0" w:space="0" w:color="auto"/>
            <w:right w:val="none" w:sz="0" w:space="0" w:color="auto"/>
          </w:divBdr>
          <w:divsChild>
            <w:div w:id="1423798851">
              <w:marLeft w:val="0"/>
              <w:marRight w:val="0"/>
              <w:marTop w:val="0"/>
              <w:marBottom w:val="0"/>
              <w:divBdr>
                <w:top w:val="none" w:sz="0" w:space="0" w:color="auto"/>
                <w:left w:val="none" w:sz="0" w:space="0" w:color="auto"/>
                <w:bottom w:val="none" w:sz="0" w:space="0" w:color="auto"/>
                <w:right w:val="none" w:sz="0" w:space="0" w:color="auto"/>
              </w:divBdr>
              <w:divsChild>
                <w:div w:id="21352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4843">
      <w:bodyDiv w:val="1"/>
      <w:marLeft w:val="0"/>
      <w:marRight w:val="0"/>
      <w:marTop w:val="0"/>
      <w:marBottom w:val="0"/>
      <w:divBdr>
        <w:top w:val="none" w:sz="0" w:space="0" w:color="auto"/>
        <w:left w:val="none" w:sz="0" w:space="0" w:color="auto"/>
        <w:bottom w:val="none" w:sz="0" w:space="0" w:color="auto"/>
        <w:right w:val="none" w:sz="0" w:space="0" w:color="auto"/>
      </w:divBdr>
      <w:divsChild>
        <w:div w:id="675689456">
          <w:marLeft w:val="0"/>
          <w:marRight w:val="0"/>
          <w:marTop w:val="0"/>
          <w:marBottom w:val="0"/>
          <w:divBdr>
            <w:top w:val="none" w:sz="0" w:space="0" w:color="auto"/>
            <w:left w:val="none" w:sz="0" w:space="0" w:color="auto"/>
            <w:bottom w:val="none" w:sz="0" w:space="0" w:color="auto"/>
            <w:right w:val="none" w:sz="0" w:space="0" w:color="auto"/>
          </w:divBdr>
          <w:divsChild>
            <w:div w:id="1740981420">
              <w:marLeft w:val="0"/>
              <w:marRight w:val="0"/>
              <w:marTop w:val="0"/>
              <w:marBottom w:val="0"/>
              <w:divBdr>
                <w:top w:val="none" w:sz="0" w:space="0" w:color="auto"/>
                <w:left w:val="none" w:sz="0" w:space="0" w:color="auto"/>
                <w:bottom w:val="none" w:sz="0" w:space="0" w:color="auto"/>
                <w:right w:val="none" w:sz="0" w:space="0" w:color="auto"/>
              </w:divBdr>
              <w:divsChild>
                <w:div w:id="4700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2857">
      <w:bodyDiv w:val="1"/>
      <w:marLeft w:val="0"/>
      <w:marRight w:val="0"/>
      <w:marTop w:val="0"/>
      <w:marBottom w:val="0"/>
      <w:divBdr>
        <w:top w:val="none" w:sz="0" w:space="0" w:color="auto"/>
        <w:left w:val="none" w:sz="0" w:space="0" w:color="auto"/>
        <w:bottom w:val="none" w:sz="0" w:space="0" w:color="auto"/>
        <w:right w:val="none" w:sz="0" w:space="0" w:color="auto"/>
      </w:divBdr>
      <w:divsChild>
        <w:div w:id="1383217531">
          <w:marLeft w:val="0"/>
          <w:marRight w:val="0"/>
          <w:marTop w:val="0"/>
          <w:marBottom w:val="0"/>
          <w:divBdr>
            <w:top w:val="none" w:sz="0" w:space="0" w:color="auto"/>
            <w:left w:val="none" w:sz="0" w:space="0" w:color="auto"/>
            <w:bottom w:val="none" w:sz="0" w:space="0" w:color="auto"/>
            <w:right w:val="none" w:sz="0" w:space="0" w:color="auto"/>
          </w:divBdr>
        </w:div>
        <w:div w:id="1015156564">
          <w:marLeft w:val="0"/>
          <w:marRight w:val="0"/>
          <w:marTop w:val="0"/>
          <w:marBottom w:val="0"/>
          <w:divBdr>
            <w:top w:val="none" w:sz="0" w:space="0" w:color="auto"/>
            <w:left w:val="none" w:sz="0" w:space="0" w:color="auto"/>
            <w:bottom w:val="none" w:sz="0" w:space="0" w:color="auto"/>
            <w:right w:val="none" w:sz="0" w:space="0" w:color="auto"/>
          </w:divBdr>
          <w:divsChild>
            <w:div w:id="11096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81177">
      <w:bodyDiv w:val="1"/>
      <w:marLeft w:val="0"/>
      <w:marRight w:val="0"/>
      <w:marTop w:val="0"/>
      <w:marBottom w:val="0"/>
      <w:divBdr>
        <w:top w:val="none" w:sz="0" w:space="0" w:color="auto"/>
        <w:left w:val="none" w:sz="0" w:space="0" w:color="auto"/>
        <w:bottom w:val="none" w:sz="0" w:space="0" w:color="auto"/>
        <w:right w:val="none" w:sz="0" w:space="0" w:color="auto"/>
      </w:divBdr>
      <w:divsChild>
        <w:div w:id="1154763982">
          <w:marLeft w:val="0"/>
          <w:marRight w:val="0"/>
          <w:marTop w:val="0"/>
          <w:marBottom w:val="0"/>
          <w:divBdr>
            <w:top w:val="none" w:sz="0" w:space="0" w:color="auto"/>
            <w:left w:val="none" w:sz="0" w:space="0" w:color="auto"/>
            <w:bottom w:val="none" w:sz="0" w:space="0" w:color="auto"/>
            <w:right w:val="none" w:sz="0" w:space="0" w:color="auto"/>
          </w:divBdr>
          <w:divsChild>
            <w:div w:id="2017003345">
              <w:marLeft w:val="0"/>
              <w:marRight w:val="0"/>
              <w:marTop w:val="0"/>
              <w:marBottom w:val="0"/>
              <w:divBdr>
                <w:top w:val="none" w:sz="0" w:space="0" w:color="auto"/>
                <w:left w:val="none" w:sz="0" w:space="0" w:color="auto"/>
                <w:bottom w:val="none" w:sz="0" w:space="0" w:color="auto"/>
                <w:right w:val="none" w:sz="0" w:space="0" w:color="auto"/>
              </w:divBdr>
              <w:divsChild>
                <w:div w:id="8342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21984">
      <w:bodyDiv w:val="1"/>
      <w:marLeft w:val="0"/>
      <w:marRight w:val="0"/>
      <w:marTop w:val="0"/>
      <w:marBottom w:val="0"/>
      <w:divBdr>
        <w:top w:val="none" w:sz="0" w:space="0" w:color="auto"/>
        <w:left w:val="none" w:sz="0" w:space="0" w:color="auto"/>
        <w:bottom w:val="none" w:sz="0" w:space="0" w:color="auto"/>
        <w:right w:val="none" w:sz="0" w:space="0" w:color="auto"/>
      </w:divBdr>
    </w:div>
    <w:div w:id="408121519">
      <w:bodyDiv w:val="1"/>
      <w:marLeft w:val="0"/>
      <w:marRight w:val="0"/>
      <w:marTop w:val="0"/>
      <w:marBottom w:val="0"/>
      <w:divBdr>
        <w:top w:val="none" w:sz="0" w:space="0" w:color="auto"/>
        <w:left w:val="none" w:sz="0" w:space="0" w:color="auto"/>
        <w:bottom w:val="none" w:sz="0" w:space="0" w:color="auto"/>
        <w:right w:val="none" w:sz="0" w:space="0" w:color="auto"/>
      </w:divBdr>
      <w:divsChild>
        <w:div w:id="1203908125">
          <w:marLeft w:val="0"/>
          <w:marRight w:val="0"/>
          <w:marTop w:val="0"/>
          <w:marBottom w:val="0"/>
          <w:divBdr>
            <w:top w:val="none" w:sz="0" w:space="0" w:color="auto"/>
            <w:left w:val="none" w:sz="0" w:space="0" w:color="auto"/>
            <w:bottom w:val="none" w:sz="0" w:space="0" w:color="auto"/>
            <w:right w:val="none" w:sz="0" w:space="0" w:color="auto"/>
          </w:divBdr>
          <w:divsChild>
            <w:div w:id="421411489">
              <w:marLeft w:val="0"/>
              <w:marRight w:val="0"/>
              <w:marTop w:val="0"/>
              <w:marBottom w:val="0"/>
              <w:divBdr>
                <w:top w:val="none" w:sz="0" w:space="0" w:color="auto"/>
                <w:left w:val="none" w:sz="0" w:space="0" w:color="auto"/>
                <w:bottom w:val="none" w:sz="0" w:space="0" w:color="auto"/>
                <w:right w:val="none" w:sz="0" w:space="0" w:color="auto"/>
              </w:divBdr>
              <w:divsChild>
                <w:div w:id="5949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98463">
      <w:bodyDiv w:val="1"/>
      <w:marLeft w:val="0"/>
      <w:marRight w:val="0"/>
      <w:marTop w:val="0"/>
      <w:marBottom w:val="0"/>
      <w:divBdr>
        <w:top w:val="none" w:sz="0" w:space="0" w:color="auto"/>
        <w:left w:val="none" w:sz="0" w:space="0" w:color="auto"/>
        <w:bottom w:val="none" w:sz="0" w:space="0" w:color="auto"/>
        <w:right w:val="none" w:sz="0" w:space="0" w:color="auto"/>
      </w:divBdr>
    </w:div>
    <w:div w:id="423576469">
      <w:bodyDiv w:val="1"/>
      <w:marLeft w:val="0"/>
      <w:marRight w:val="0"/>
      <w:marTop w:val="0"/>
      <w:marBottom w:val="0"/>
      <w:divBdr>
        <w:top w:val="none" w:sz="0" w:space="0" w:color="auto"/>
        <w:left w:val="none" w:sz="0" w:space="0" w:color="auto"/>
        <w:bottom w:val="none" w:sz="0" w:space="0" w:color="auto"/>
        <w:right w:val="none" w:sz="0" w:space="0" w:color="auto"/>
      </w:divBdr>
    </w:div>
    <w:div w:id="424888971">
      <w:bodyDiv w:val="1"/>
      <w:marLeft w:val="0"/>
      <w:marRight w:val="0"/>
      <w:marTop w:val="0"/>
      <w:marBottom w:val="0"/>
      <w:divBdr>
        <w:top w:val="none" w:sz="0" w:space="0" w:color="auto"/>
        <w:left w:val="none" w:sz="0" w:space="0" w:color="auto"/>
        <w:bottom w:val="none" w:sz="0" w:space="0" w:color="auto"/>
        <w:right w:val="none" w:sz="0" w:space="0" w:color="auto"/>
      </w:divBdr>
      <w:divsChild>
        <w:div w:id="171267606">
          <w:marLeft w:val="0"/>
          <w:marRight w:val="0"/>
          <w:marTop w:val="0"/>
          <w:marBottom w:val="0"/>
          <w:divBdr>
            <w:top w:val="none" w:sz="0" w:space="0" w:color="auto"/>
            <w:left w:val="none" w:sz="0" w:space="0" w:color="auto"/>
            <w:bottom w:val="none" w:sz="0" w:space="0" w:color="auto"/>
            <w:right w:val="none" w:sz="0" w:space="0" w:color="auto"/>
          </w:divBdr>
          <w:divsChild>
            <w:div w:id="83915227">
              <w:marLeft w:val="0"/>
              <w:marRight w:val="0"/>
              <w:marTop w:val="0"/>
              <w:marBottom w:val="0"/>
              <w:divBdr>
                <w:top w:val="none" w:sz="0" w:space="0" w:color="auto"/>
                <w:left w:val="none" w:sz="0" w:space="0" w:color="auto"/>
                <w:bottom w:val="none" w:sz="0" w:space="0" w:color="auto"/>
                <w:right w:val="none" w:sz="0" w:space="0" w:color="auto"/>
              </w:divBdr>
              <w:divsChild>
                <w:div w:id="1475180589">
                  <w:marLeft w:val="0"/>
                  <w:marRight w:val="0"/>
                  <w:marTop w:val="0"/>
                  <w:marBottom w:val="0"/>
                  <w:divBdr>
                    <w:top w:val="none" w:sz="0" w:space="0" w:color="auto"/>
                    <w:left w:val="none" w:sz="0" w:space="0" w:color="auto"/>
                    <w:bottom w:val="none" w:sz="0" w:space="0" w:color="auto"/>
                    <w:right w:val="none" w:sz="0" w:space="0" w:color="auto"/>
                  </w:divBdr>
                  <w:divsChild>
                    <w:div w:id="16192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730331">
      <w:bodyDiv w:val="1"/>
      <w:marLeft w:val="0"/>
      <w:marRight w:val="0"/>
      <w:marTop w:val="0"/>
      <w:marBottom w:val="0"/>
      <w:divBdr>
        <w:top w:val="none" w:sz="0" w:space="0" w:color="auto"/>
        <w:left w:val="none" w:sz="0" w:space="0" w:color="auto"/>
        <w:bottom w:val="none" w:sz="0" w:space="0" w:color="auto"/>
        <w:right w:val="none" w:sz="0" w:space="0" w:color="auto"/>
      </w:divBdr>
      <w:divsChild>
        <w:div w:id="1533688320">
          <w:marLeft w:val="0"/>
          <w:marRight w:val="0"/>
          <w:marTop w:val="0"/>
          <w:marBottom w:val="0"/>
          <w:divBdr>
            <w:top w:val="none" w:sz="0" w:space="0" w:color="auto"/>
            <w:left w:val="none" w:sz="0" w:space="0" w:color="auto"/>
            <w:bottom w:val="none" w:sz="0" w:space="0" w:color="auto"/>
            <w:right w:val="none" w:sz="0" w:space="0" w:color="auto"/>
          </w:divBdr>
          <w:divsChild>
            <w:div w:id="84037193">
              <w:marLeft w:val="0"/>
              <w:marRight w:val="0"/>
              <w:marTop w:val="0"/>
              <w:marBottom w:val="0"/>
              <w:divBdr>
                <w:top w:val="none" w:sz="0" w:space="0" w:color="auto"/>
                <w:left w:val="none" w:sz="0" w:space="0" w:color="auto"/>
                <w:bottom w:val="none" w:sz="0" w:space="0" w:color="auto"/>
                <w:right w:val="none" w:sz="0" w:space="0" w:color="auto"/>
              </w:divBdr>
              <w:divsChild>
                <w:div w:id="15349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99285">
      <w:bodyDiv w:val="1"/>
      <w:marLeft w:val="0"/>
      <w:marRight w:val="0"/>
      <w:marTop w:val="0"/>
      <w:marBottom w:val="0"/>
      <w:divBdr>
        <w:top w:val="none" w:sz="0" w:space="0" w:color="auto"/>
        <w:left w:val="none" w:sz="0" w:space="0" w:color="auto"/>
        <w:bottom w:val="none" w:sz="0" w:space="0" w:color="auto"/>
        <w:right w:val="none" w:sz="0" w:space="0" w:color="auto"/>
      </w:divBdr>
      <w:divsChild>
        <w:div w:id="1581328371">
          <w:marLeft w:val="0"/>
          <w:marRight w:val="0"/>
          <w:marTop w:val="0"/>
          <w:marBottom w:val="0"/>
          <w:divBdr>
            <w:top w:val="none" w:sz="0" w:space="0" w:color="auto"/>
            <w:left w:val="none" w:sz="0" w:space="0" w:color="auto"/>
            <w:bottom w:val="none" w:sz="0" w:space="0" w:color="auto"/>
            <w:right w:val="none" w:sz="0" w:space="0" w:color="auto"/>
          </w:divBdr>
          <w:divsChild>
            <w:div w:id="1519806400">
              <w:marLeft w:val="0"/>
              <w:marRight w:val="0"/>
              <w:marTop w:val="0"/>
              <w:marBottom w:val="0"/>
              <w:divBdr>
                <w:top w:val="none" w:sz="0" w:space="0" w:color="auto"/>
                <w:left w:val="none" w:sz="0" w:space="0" w:color="auto"/>
                <w:bottom w:val="none" w:sz="0" w:space="0" w:color="auto"/>
                <w:right w:val="none" w:sz="0" w:space="0" w:color="auto"/>
              </w:divBdr>
              <w:divsChild>
                <w:div w:id="14588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4615">
      <w:bodyDiv w:val="1"/>
      <w:marLeft w:val="0"/>
      <w:marRight w:val="0"/>
      <w:marTop w:val="0"/>
      <w:marBottom w:val="0"/>
      <w:divBdr>
        <w:top w:val="none" w:sz="0" w:space="0" w:color="auto"/>
        <w:left w:val="none" w:sz="0" w:space="0" w:color="auto"/>
        <w:bottom w:val="none" w:sz="0" w:space="0" w:color="auto"/>
        <w:right w:val="none" w:sz="0" w:space="0" w:color="auto"/>
      </w:divBdr>
      <w:divsChild>
        <w:div w:id="869149429">
          <w:marLeft w:val="0"/>
          <w:marRight w:val="0"/>
          <w:marTop w:val="0"/>
          <w:marBottom w:val="0"/>
          <w:divBdr>
            <w:top w:val="none" w:sz="0" w:space="0" w:color="auto"/>
            <w:left w:val="none" w:sz="0" w:space="0" w:color="auto"/>
            <w:bottom w:val="none" w:sz="0" w:space="0" w:color="auto"/>
            <w:right w:val="none" w:sz="0" w:space="0" w:color="auto"/>
          </w:divBdr>
          <w:divsChild>
            <w:div w:id="786856259">
              <w:marLeft w:val="0"/>
              <w:marRight w:val="0"/>
              <w:marTop w:val="0"/>
              <w:marBottom w:val="0"/>
              <w:divBdr>
                <w:top w:val="none" w:sz="0" w:space="0" w:color="auto"/>
                <w:left w:val="none" w:sz="0" w:space="0" w:color="auto"/>
                <w:bottom w:val="none" w:sz="0" w:space="0" w:color="auto"/>
                <w:right w:val="none" w:sz="0" w:space="0" w:color="auto"/>
              </w:divBdr>
              <w:divsChild>
                <w:div w:id="1369187989">
                  <w:marLeft w:val="0"/>
                  <w:marRight w:val="0"/>
                  <w:marTop w:val="0"/>
                  <w:marBottom w:val="0"/>
                  <w:divBdr>
                    <w:top w:val="none" w:sz="0" w:space="0" w:color="auto"/>
                    <w:left w:val="none" w:sz="0" w:space="0" w:color="auto"/>
                    <w:bottom w:val="none" w:sz="0" w:space="0" w:color="auto"/>
                    <w:right w:val="none" w:sz="0" w:space="0" w:color="auto"/>
                  </w:divBdr>
                  <w:divsChild>
                    <w:div w:id="20985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39856">
      <w:bodyDiv w:val="1"/>
      <w:marLeft w:val="0"/>
      <w:marRight w:val="0"/>
      <w:marTop w:val="0"/>
      <w:marBottom w:val="0"/>
      <w:divBdr>
        <w:top w:val="none" w:sz="0" w:space="0" w:color="auto"/>
        <w:left w:val="none" w:sz="0" w:space="0" w:color="auto"/>
        <w:bottom w:val="none" w:sz="0" w:space="0" w:color="auto"/>
        <w:right w:val="none" w:sz="0" w:space="0" w:color="auto"/>
      </w:divBdr>
    </w:div>
    <w:div w:id="440106876">
      <w:bodyDiv w:val="1"/>
      <w:marLeft w:val="0"/>
      <w:marRight w:val="0"/>
      <w:marTop w:val="0"/>
      <w:marBottom w:val="0"/>
      <w:divBdr>
        <w:top w:val="none" w:sz="0" w:space="0" w:color="auto"/>
        <w:left w:val="none" w:sz="0" w:space="0" w:color="auto"/>
        <w:bottom w:val="none" w:sz="0" w:space="0" w:color="auto"/>
        <w:right w:val="none" w:sz="0" w:space="0" w:color="auto"/>
      </w:divBdr>
      <w:divsChild>
        <w:div w:id="1980721370">
          <w:marLeft w:val="0"/>
          <w:marRight w:val="0"/>
          <w:marTop w:val="0"/>
          <w:marBottom w:val="0"/>
          <w:divBdr>
            <w:top w:val="none" w:sz="0" w:space="0" w:color="auto"/>
            <w:left w:val="none" w:sz="0" w:space="0" w:color="auto"/>
            <w:bottom w:val="none" w:sz="0" w:space="0" w:color="auto"/>
            <w:right w:val="none" w:sz="0" w:space="0" w:color="auto"/>
          </w:divBdr>
          <w:divsChild>
            <w:div w:id="353072206">
              <w:marLeft w:val="0"/>
              <w:marRight w:val="0"/>
              <w:marTop w:val="0"/>
              <w:marBottom w:val="0"/>
              <w:divBdr>
                <w:top w:val="none" w:sz="0" w:space="0" w:color="auto"/>
                <w:left w:val="none" w:sz="0" w:space="0" w:color="auto"/>
                <w:bottom w:val="none" w:sz="0" w:space="0" w:color="auto"/>
                <w:right w:val="none" w:sz="0" w:space="0" w:color="auto"/>
              </w:divBdr>
              <w:divsChild>
                <w:div w:id="19031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98732">
      <w:bodyDiv w:val="1"/>
      <w:marLeft w:val="0"/>
      <w:marRight w:val="0"/>
      <w:marTop w:val="0"/>
      <w:marBottom w:val="0"/>
      <w:divBdr>
        <w:top w:val="none" w:sz="0" w:space="0" w:color="auto"/>
        <w:left w:val="none" w:sz="0" w:space="0" w:color="auto"/>
        <w:bottom w:val="none" w:sz="0" w:space="0" w:color="auto"/>
        <w:right w:val="none" w:sz="0" w:space="0" w:color="auto"/>
      </w:divBdr>
      <w:divsChild>
        <w:div w:id="714625831">
          <w:marLeft w:val="0"/>
          <w:marRight w:val="0"/>
          <w:marTop w:val="0"/>
          <w:marBottom w:val="0"/>
          <w:divBdr>
            <w:top w:val="none" w:sz="0" w:space="0" w:color="auto"/>
            <w:left w:val="none" w:sz="0" w:space="0" w:color="auto"/>
            <w:bottom w:val="none" w:sz="0" w:space="0" w:color="auto"/>
            <w:right w:val="none" w:sz="0" w:space="0" w:color="auto"/>
          </w:divBdr>
          <w:divsChild>
            <w:div w:id="1042826362">
              <w:marLeft w:val="0"/>
              <w:marRight w:val="0"/>
              <w:marTop w:val="0"/>
              <w:marBottom w:val="0"/>
              <w:divBdr>
                <w:top w:val="none" w:sz="0" w:space="0" w:color="auto"/>
                <w:left w:val="none" w:sz="0" w:space="0" w:color="auto"/>
                <w:bottom w:val="none" w:sz="0" w:space="0" w:color="auto"/>
                <w:right w:val="none" w:sz="0" w:space="0" w:color="auto"/>
              </w:divBdr>
              <w:divsChild>
                <w:div w:id="19993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8369">
      <w:bodyDiv w:val="1"/>
      <w:marLeft w:val="0"/>
      <w:marRight w:val="0"/>
      <w:marTop w:val="0"/>
      <w:marBottom w:val="0"/>
      <w:divBdr>
        <w:top w:val="none" w:sz="0" w:space="0" w:color="auto"/>
        <w:left w:val="none" w:sz="0" w:space="0" w:color="auto"/>
        <w:bottom w:val="none" w:sz="0" w:space="0" w:color="auto"/>
        <w:right w:val="none" w:sz="0" w:space="0" w:color="auto"/>
      </w:divBdr>
    </w:div>
    <w:div w:id="453864687">
      <w:bodyDiv w:val="1"/>
      <w:marLeft w:val="0"/>
      <w:marRight w:val="0"/>
      <w:marTop w:val="0"/>
      <w:marBottom w:val="0"/>
      <w:divBdr>
        <w:top w:val="none" w:sz="0" w:space="0" w:color="auto"/>
        <w:left w:val="none" w:sz="0" w:space="0" w:color="auto"/>
        <w:bottom w:val="none" w:sz="0" w:space="0" w:color="auto"/>
        <w:right w:val="none" w:sz="0" w:space="0" w:color="auto"/>
      </w:divBdr>
      <w:divsChild>
        <w:div w:id="558444601">
          <w:marLeft w:val="0"/>
          <w:marRight w:val="0"/>
          <w:marTop w:val="0"/>
          <w:marBottom w:val="0"/>
          <w:divBdr>
            <w:top w:val="none" w:sz="0" w:space="0" w:color="auto"/>
            <w:left w:val="none" w:sz="0" w:space="0" w:color="auto"/>
            <w:bottom w:val="none" w:sz="0" w:space="0" w:color="auto"/>
            <w:right w:val="none" w:sz="0" w:space="0" w:color="auto"/>
          </w:divBdr>
          <w:divsChild>
            <w:div w:id="2117943228">
              <w:marLeft w:val="0"/>
              <w:marRight w:val="0"/>
              <w:marTop w:val="0"/>
              <w:marBottom w:val="0"/>
              <w:divBdr>
                <w:top w:val="none" w:sz="0" w:space="0" w:color="auto"/>
                <w:left w:val="none" w:sz="0" w:space="0" w:color="auto"/>
                <w:bottom w:val="none" w:sz="0" w:space="0" w:color="auto"/>
                <w:right w:val="none" w:sz="0" w:space="0" w:color="auto"/>
              </w:divBdr>
              <w:divsChild>
                <w:div w:id="19596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2301">
      <w:bodyDiv w:val="1"/>
      <w:marLeft w:val="0"/>
      <w:marRight w:val="0"/>
      <w:marTop w:val="0"/>
      <w:marBottom w:val="0"/>
      <w:divBdr>
        <w:top w:val="none" w:sz="0" w:space="0" w:color="auto"/>
        <w:left w:val="none" w:sz="0" w:space="0" w:color="auto"/>
        <w:bottom w:val="none" w:sz="0" w:space="0" w:color="auto"/>
        <w:right w:val="none" w:sz="0" w:space="0" w:color="auto"/>
      </w:divBdr>
      <w:divsChild>
        <w:div w:id="230849846">
          <w:marLeft w:val="0"/>
          <w:marRight w:val="0"/>
          <w:marTop w:val="0"/>
          <w:marBottom w:val="0"/>
          <w:divBdr>
            <w:top w:val="none" w:sz="0" w:space="0" w:color="auto"/>
            <w:left w:val="none" w:sz="0" w:space="0" w:color="auto"/>
            <w:bottom w:val="none" w:sz="0" w:space="0" w:color="auto"/>
            <w:right w:val="none" w:sz="0" w:space="0" w:color="auto"/>
          </w:divBdr>
          <w:divsChild>
            <w:div w:id="752312284">
              <w:marLeft w:val="0"/>
              <w:marRight w:val="0"/>
              <w:marTop w:val="0"/>
              <w:marBottom w:val="0"/>
              <w:divBdr>
                <w:top w:val="none" w:sz="0" w:space="0" w:color="auto"/>
                <w:left w:val="none" w:sz="0" w:space="0" w:color="auto"/>
                <w:bottom w:val="none" w:sz="0" w:space="0" w:color="auto"/>
                <w:right w:val="none" w:sz="0" w:space="0" w:color="auto"/>
              </w:divBdr>
              <w:divsChild>
                <w:div w:id="2139685679">
                  <w:marLeft w:val="0"/>
                  <w:marRight w:val="0"/>
                  <w:marTop w:val="0"/>
                  <w:marBottom w:val="0"/>
                  <w:divBdr>
                    <w:top w:val="none" w:sz="0" w:space="0" w:color="auto"/>
                    <w:left w:val="none" w:sz="0" w:space="0" w:color="auto"/>
                    <w:bottom w:val="none" w:sz="0" w:space="0" w:color="auto"/>
                    <w:right w:val="none" w:sz="0" w:space="0" w:color="auto"/>
                  </w:divBdr>
                  <w:divsChild>
                    <w:div w:id="555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3282">
      <w:bodyDiv w:val="1"/>
      <w:marLeft w:val="0"/>
      <w:marRight w:val="0"/>
      <w:marTop w:val="0"/>
      <w:marBottom w:val="0"/>
      <w:divBdr>
        <w:top w:val="none" w:sz="0" w:space="0" w:color="auto"/>
        <w:left w:val="none" w:sz="0" w:space="0" w:color="auto"/>
        <w:bottom w:val="none" w:sz="0" w:space="0" w:color="auto"/>
        <w:right w:val="none" w:sz="0" w:space="0" w:color="auto"/>
      </w:divBdr>
      <w:divsChild>
        <w:div w:id="714280858">
          <w:marLeft w:val="0"/>
          <w:marRight w:val="0"/>
          <w:marTop w:val="0"/>
          <w:marBottom w:val="0"/>
          <w:divBdr>
            <w:top w:val="none" w:sz="0" w:space="0" w:color="auto"/>
            <w:left w:val="none" w:sz="0" w:space="0" w:color="auto"/>
            <w:bottom w:val="none" w:sz="0" w:space="0" w:color="auto"/>
            <w:right w:val="none" w:sz="0" w:space="0" w:color="auto"/>
          </w:divBdr>
          <w:divsChild>
            <w:div w:id="71391456">
              <w:marLeft w:val="0"/>
              <w:marRight w:val="0"/>
              <w:marTop w:val="0"/>
              <w:marBottom w:val="0"/>
              <w:divBdr>
                <w:top w:val="none" w:sz="0" w:space="0" w:color="auto"/>
                <w:left w:val="none" w:sz="0" w:space="0" w:color="auto"/>
                <w:bottom w:val="none" w:sz="0" w:space="0" w:color="auto"/>
                <w:right w:val="none" w:sz="0" w:space="0" w:color="auto"/>
              </w:divBdr>
              <w:divsChild>
                <w:div w:id="14649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25204">
      <w:bodyDiv w:val="1"/>
      <w:marLeft w:val="0"/>
      <w:marRight w:val="0"/>
      <w:marTop w:val="0"/>
      <w:marBottom w:val="0"/>
      <w:divBdr>
        <w:top w:val="none" w:sz="0" w:space="0" w:color="auto"/>
        <w:left w:val="none" w:sz="0" w:space="0" w:color="auto"/>
        <w:bottom w:val="none" w:sz="0" w:space="0" w:color="auto"/>
        <w:right w:val="none" w:sz="0" w:space="0" w:color="auto"/>
      </w:divBdr>
    </w:div>
    <w:div w:id="496767390">
      <w:bodyDiv w:val="1"/>
      <w:marLeft w:val="0"/>
      <w:marRight w:val="0"/>
      <w:marTop w:val="0"/>
      <w:marBottom w:val="0"/>
      <w:divBdr>
        <w:top w:val="none" w:sz="0" w:space="0" w:color="auto"/>
        <w:left w:val="none" w:sz="0" w:space="0" w:color="auto"/>
        <w:bottom w:val="none" w:sz="0" w:space="0" w:color="auto"/>
        <w:right w:val="none" w:sz="0" w:space="0" w:color="auto"/>
      </w:divBdr>
    </w:div>
    <w:div w:id="498887230">
      <w:bodyDiv w:val="1"/>
      <w:marLeft w:val="0"/>
      <w:marRight w:val="0"/>
      <w:marTop w:val="0"/>
      <w:marBottom w:val="0"/>
      <w:divBdr>
        <w:top w:val="none" w:sz="0" w:space="0" w:color="auto"/>
        <w:left w:val="none" w:sz="0" w:space="0" w:color="auto"/>
        <w:bottom w:val="none" w:sz="0" w:space="0" w:color="auto"/>
        <w:right w:val="none" w:sz="0" w:space="0" w:color="auto"/>
      </w:divBdr>
      <w:divsChild>
        <w:div w:id="1281034712">
          <w:marLeft w:val="0"/>
          <w:marRight w:val="0"/>
          <w:marTop w:val="0"/>
          <w:marBottom w:val="0"/>
          <w:divBdr>
            <w:top w:val="none" w:sz="0" w:space="0" w:color="auto"/>
            <w:left w:val="none" w:sz="0" w:space="0" w:color="auto"/>
            <w:bottom w:val="none" w:sz="0" w:space="0" w:color="auto"/>
            <w:right w:val="none" w:sz="0" w:space="0" w:color="auto"/>
          </w:divBdr>
          <w:divsChild>
            <w:div w:id="322467857">
              <w:marLeft w:val="0"/>
              <w:marRight w:val="0"/>
              <w:marTop w:val="0"/>
              <w:marBottom w:val="0"/>
              <w:divBdr>
                <w:top w:val="none" w:sz="0" w:space="0" w:color="auto"/>
                <w:left w:val="none" w:sz="0" w:space="0" w:color="auto"/>
                <w:bottom w:val="none" w:sz="0" w:space="0" w:color="auto"/>
                <w:right w:val="none" w:sz="0" w:space="0" w:color="auto"/>
              </w:divBdr>
              <w:divsChild>
                <w:div w:id="6063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1332">
      <w:bodyDiv w:val="1"/>
      <w:marLeft w:val="0"/>
      <w:marRight w:val="0"/>
      <w:marTop w:val="0"/>
      <w:marBottom w:val="0"/>
      <w:divBdr>
        <w:top w:val="none" w:sz="0" w:space="0" w:color="auto"/>
        <w:left w:val="none" w:sz="0" w:space="0" w:color="auto"/>
        <w:bottom w:val="none" w:sz="0" w:space="0" w:color="auto"/>
        <w:right w:val="none" w:sz="0" w:space="0" w:color="auto"/>
      </w:divBdr>
    </w:div>
    <w:div w:id="507062389">
      <w:bodyDiv w:val="1"/>
      <w:marLeft w:val="0"/>
      <w:marRight w:val="0"/>
      <w:marTop w:val="0"/>
      <w:marBottom w:val="0"/>
      <w:divBdr>
        <w:top w:val="none" w:sz="0" w:space="0" w:color="auto"/>
        <w:left w:val="none" w:sz="0" w:space="0" w:color="auto"/>
        <w:bottom w:val="none" w:sz="0" w:space="0" w:color="auto"/>
        <w:right w:val="none" w:sz="0" w:space="0" w:color="auto"/>
      </w:divBdr>
      <w:divsChild>
        <w:div w:id="1828278328">
          <w:marLeft w:val="0"/>
          <w:marRight w:val="0"/>
          <w:marTop w:val="0"/>
          <w:marBottom w:val="0"/>
          <w:divBdr>
            <w:top w:val="none" w:sz="0" w:space="0" w:color="auto"/>
            <w:left w:val="none" w:sz="0" w:space="0" w:color="auto"/>
            <w:bottom w:val="none" w:sz="0" w:space="0" w:color="auto"/>
            <w:right w:val="none" w:sz="0" w:space="0" w:color="auto"/>
          </w:divBdr>
          <w:divsChild>
            <w:div w:id="1806502582">
              <w:marLeft w:val="0"/>
              <w:marRight w:val="0"/>
              <w:marTop w:val="0"/>
              <w:marBottom w:val="0"/>
              <w:divBdr>
                <w:top w:val="none" w:sz="0" w:space="0" w:color="auto"/>
                <w:left w:val="none" w:sz="0" w:space="0" w:color="auto"/>
                <w:bottom w:val="none" w:sz="0" w:space="0" w:color="auto"/>
                <w:right w:val="none" w:sz="0" w:space="0" w:color="auto"/>
              </w:divBdr>
              <w:divsChild>
                <w:div w:id="1277904800">
                  <w:marLeft w:val="0"/>
                  <w:marRight w:val="0"/>
                  <w:marTop w:val="0"/>
                  <w:marBottom w:val="0"/>
                  <w:divBdr>
                    <w:top w:val="none" w:sz="0" w:space="0" w:color="auto"/>
                    <w:left w:val="none" w:sz="0" w:space="0" w:color="auto"/>
                    <w:bottom w:val="none" w:sz="0" w:space="0" w:color="auto"/>
                    <w:right w:val="none" w:sz="0" w:space="0" w:color="auto"/>
                  </w:divBdr>
                  <w:divsChild>
                    <w:div w:id="19042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8946">
      <w:bodyDiv w:val="1"/>
      <w:marLeft w:val="0"/>
      <w:marRight w:val="0"/>
      <w:marTop w:val="0"/>
      <w:marBottom w:val="0"/>
      <w:divBdr>
        <w:top w:val="none" w:sz="0" w:space="0" w:color="auto"/>
        <w:left w:val="none" w:sz="0" w:space="0" w:color="auto"/>
        <w:bottom w:val="none" w:sz="0" w:space="0" w:color="auto"/>
        <w:right w:val="none" w:sz="0" w:space="0" w:color="auto"/>
      </w:divBdr>
      <w:divsChild>
        <w:div w:id="910307052">
          <w:marLeft w:val="0"/>
          <w:marRight w:val="0"/>
          <w:marTop w:val="0"/>
          <w:marBottom w:val="195"/>
          <w:divBdr>
            <w:top w:val="none" w:sz="0" w:space="0" w:color="auto"/>
            <w:left w:val="none" w:sz="0" w:space="0" w:color="auto"/>
            <w:bottom w:val="none" w:sz="0" w:space="0" w:color="auto"/>
            <w:right w:val="none" w:sz="0" w:space="0" w:color="auto"/>
          </w:divBdr>
        </w:div>
      </w:divsChild>
    </w:div>
    <w:div w:id="520052410">
      <w:bodyDiv w:val="1"/>
      <w:marLeft w:val="0"/>
      <w:marRight w:val="0"/>
      <w:marTop w:val="0"/>
      <w:marBottom w:val="0"/>
      <w:divBdr>
        <w:top w:val="none" w:sz="0" w:space="0" w:color="auto"/>
        <w:left w:val="none" w:sz="0" w:space="0" w:color="auto"/>
        <w:bottom w:val="none" w:sz="0" w:space="0" w:color="auto"/>
        <w:right w:val="none" w:sz="0" w:space="0" w:color="auto"/>
      </w:divBdr>
    </w:div>
    <w:div w:id="521863551">
      <w:bodyDiv w:val="1"/>
      <w:marLeft w:val="0"/>
      <w:marRight w:val="0"/>
      <w:marTop w:val="0"/>
      <w:marBottom w:val="0"/>
      <w:divBdr>
        <w:top w:val="none" w:sz="0" w:space="0" w:color="auto"/>
        <w:left w:val="none" w:sz="0" w:space="0" w:color="auto"/>
        <w:bottom w:val="none" w:sz="0" w:space="0" w:color="auto"/>
        <w:right w:val="none" w:sz="0" w:space="0" w:color="auto"/>
      </w:divBdr>
    </w:div>
    <w:div w:id="526598386">
      <w:bodyDiv w:val="1"/>
      <w:marLeft w:val="0"/>
      <w:marRight w:val="0"/>
      <w:marTop w:val="0"/>
      <w:marBottom w:val="0"/>
      <w:divBdr>
        <w:top w:val="none" w:sz="0" w:space="0" w:color="auto"/>
        <w:left w:val="none" w:sz="0" w:space="0" w:color="auto"/>
        <w:bottom w:val="none" w:sz="0" w:space="0" w:color="auto"/>
        <w:right w:val="none" w:sz="0" w:space="0" w:color="auto"/>
      </w:divBdr>
    </w:div>
    <w:div w:id="527252930">
      <w:bodyDiv w:val="1"/>
      <w:marLeft w:val="0"/>
      <w:marRight w:val="0"/>
      <w:marTop w:val="0"/>
      <w:marBottom w:val="0"/>
      <w:divBdr>
        <w:top w:val="none" w:sz="0" w:space="0" w:color="auto"/>
        <w:left w:val="none" w:sz="0" w:space="0" w:color="auto"/>
        <w:bottom w:val="none" w:sz="0" w:space="0" w:color="auto"/>
        <w:right w:val="none" w:sz="0" w:space="0" w:color="auto"/>
      </w:divBdr>
      <w:divsChild>
        <w:div w:id="906652510">
          <w:marLeft w:val="0"/>
          <w:marRight w:val="0"/>
          <w:marTop w:val="0"/>
          <w:marBottom w:val="0"/>
          <w:divBdr>
            <w:top w:val="none" w:sz="0" w:space="0" w:color="auto"/>
            <w:left w:val="none" w:sz="0" w:space="0" w:color="auto"/>
            <w:bottom w:val="none" w:sz="0" w:space="0" w:color="auto"/>
            <w:right w:val="none" w:sz="0" w:space="0" w:color="auto"/>
          </w:divBdr>
          <w:divsChild>
            <w:div w:id="2079589855">
              <w:marLeft w:val="0"/>
              <w:marRight w:val="0"/>
              <w:marTop w:val="0"/>
              <w:marBottom w:val="0"/>
              <w:divBdr>
                <w:top w:val="none" w:sz="0" w:space="0" w:color="auto"/>
                <w:left w:val="none" w:sz="0" w:space="0" w:color="auto"/>
                <w:bottom w:val="none" w:sz="0" w:space="0" w:color="auto"/>
                <w:right w:val="none" w:sz="0" w:space="0" w:color="auto"/>
              </w:divBdr>
              <w:divsChild>
                <w:div w:id="243808793">
                  <w:marLeft w:val="0"/>
                  <w:marRight w:val="0"/>
                  <w:marTop w:val="0"/>
                  <w:marBottom w:val="0"/>
                  <w:divBdr>
                    <w:top w:val="none" w:sz="0" w:space="0" w:color="auto"/>
                    <w:left w:val="none" w:sz="0" w:space="0" w:color="auto"/>
                    <w:bottom w:val="none" w:sz="0" w:space="0" w:color="auto"/>
                    <w:right w:val="none" w:sz="0" w:space="0" w:color="auto"/>
                  </w:divBdr>
                  <w:divsChild>
                    <w:div w:id="18224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81796">
      <w:bodyDiv w:val="1"/>
      <w:marLeft w:val="0"/>
      <w:marRight w:val="0"/>
      <w:marTop w:val="0"/>
      <w:marBottom w:val="0"/>
      <w:divBdr>
        <w:top w:val="none" w:sz="0" w:space="0" w:color="auto"/>
        <w:left w:val="none" w:sz="0" w:space="0" w:color="auto"/>
        <w:bottom w:val="none" w:sz="0" w:space="0" w:color="auto"/>
        <w:right w:val="none" w:sz="0" w:space="0" w:color="auto"/>
      </w:divBdr>
    </w:div>
    <w:div w:id="535314579">
      <w:bodyDiv w:val="1"/>
      <w:marLeft w:val="0"/>
      <w:marRight w:val="0"/>
      <w:marTop w:val="0"/>
      <w:marBottom w:val="0"/>
      <w:divBdr>
        <w:top w:val="none" w:sz="0" w:space="0" w:color="auto"/>
        <w:left w:val="none" w:sz="0" w:space="0" w:color="auto"/>
        <w:bottom w:val="none" w:sz="0" w:space="0" w:color="auto"/>
        <w:right w:val="none" w:sz="0" w:space="0" w:color="auto"/>
      </w:divBdr>
      <w:divsChild>
        <w:div w:id="1907761822">
          <w:marLeft w:val="0"/>
          <w:marRight w:val="0"/>
          <w:marTop w:val="0"/>
          <w:marBottom w:val="0"/>
          <w:divBdr>
            <w:top w:val="none" w:sz="0" w:space="0" w:color="auto"/>
            <w:left w:val="none" w:sz="0" w:space="0" w:color="auto"/>
            <w:bottom w:val="none" w:sz="0" w:space="0" w:color="auto"/>
            <w:right w:val="none" w:sz="0" w:space="0" w:color="auto"/>
          </w:divBdr>
          <w:divsChild>
            <w:div w:id="1070812282">
              <w:marLeft w:val="0"/>
              <w:marRight w:val="0"/>
              <w:marTop w:val="0"/>
              <w:marBottom w:val="0"/>
              <w:divBdr>
                <w:top w:val="none" w:sz="0" w:space="0" w:color="auto"/>
                <w:left w:val="none" w:sz="0" w:space="0" w:color="auto"/>
                <w:bottom w:val="none" w:sz="0" w:space="0" w:color="auto"/>
                <w:right w:val="none" w:sz="0" w:space="0" w:color="auto"/>
              </w:divBdr>
              <w:divsChild>
                <w:div w:id="78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71885">
      <w:bodyDiv w:val="1"/>
      <w:marLeft w:val="0"/>
      <w:marRight w:val="0"/>
      <w:marTop w:val="0"/>
      <w:marBottom w:val="0"/>
      <w:divBdr>
        <w:top w:val="none" w:sz="0" w:space="0" w:color="auto"/>
        <w:left w:val="none" w:sz="0" w:space="0" w:color="auto"/>
        <w:bottom w:val="none" w:sz="0" w:space="0" w:color="auto"/>
        <w:right w:val="none" w:sz="0" w:space="0" w:color="auto"/>
      </w:divBdr>
    </w:div>
    <w:div w:id="542517815">
      <w:bodyDiv w:val="1"/>
      <w:marLeft w:val="0"/>
      <w:marRight w:val="0"/>
      <w:marTop w:val="0"/>
      <w:marBottom w:val="0"/>
      <w:divBdr>
        <w:top w:val="none" w:sz="0" w:space="0" w:color="auto"/>
        <w:left w:val="none" w:sz="0" w:space="0" w:color="auto"/>
        <w:bottom w:val="none" w:sz="0" w:space="0" w:color="auto"/>
        <w:right w:val="none" w:sz="0" w:space="0" w:color="auto"/>
      </w:divBdr>
    </w:div>
    <w:div w:id="543834140">
      <w:bodyDiv w:val="1"/>
      <w:marLeft w:val="0"/>
      <w:marRight w:val="0"/>
      <w:marTop w:val="0"/>
      <w:marBottom w:val="0"/>
      <w:divBdr>
        <w:top w:val="none" w:sz="0" w:space="0" w:color="auto"/>
        <w:left w:val="none" w:sz="0" w:space="0" w:color="auto"/>
        <w:bottom w:val="none" w:sz="0" w:space="0" w:color="auto"/>
        <w:right w:val="none" w:sz="0" w:space="0" w:color="auto"/>
      </w:divBdr>
      <w:divsChild>
        <w:div w:id="1738016552">
          <w:marLeft w:val="0"/>
          <w:marRight w:val="0"/>
          <w:marTop w:val="0"/>
          <w:marBottom w:val="0"/>
          <w:divBdr>
            <w:top w:val="none" w:sz="0" w:space="0" w:color="auto"/>
            <w:left w:val="none" w:sz="0" w:space="0" w:color="auto"/>
            <w:bottom w:val="none" w:sz="0" w:space="0" w:color="auto"/>
            <w:right w:val="none" w:sz="0" w:space="0" w:color="auto"/>
          </w:divBdr>
          <w:divsChild>
            <w:div w:id="1768963532">
              <w:marLeft w:val="0"/>
              <w:marRight w:val="0"/>
              <w:marTop w:val="0"/>
              <w:marBottom w:val="0"/>
              <w:divBdr>
                <w:top w:val="none" w:sz="0" w:space="0" w:color="auto"/>
                <w:left w:val="none" w:sz="0" w:space="0" w:color="auto"/>
                <w:bottom w:val="none" w:sz="0" w:space="0" w:color="auto"/>
                <w:right w:val="none" w:sz="0" w:space="0" w:color="auto"/>
              </w:divBdr>
              <w:divsChild>
                <w:div w:id="1339499285">
                  <w:marLeft w:val="0"/>
                  <w:marRight w:val="0"/>
                  <w:marTop w:val="0"/>
                  <w:marBottom w:val="0"/>
                  <w:divBdr>
                    <w:top w:val="none" w:sz="0" w:space="0" w:color="auto"/>
                    <w:left w:val="none" w:sz="0" w:space="0" w:color="auto"/>
                    <w:bottom w:val="none" w:sz="0" w:space="0" w:color="auto"/>
                    <w:right w:val="none" w:sz="0" w:space="0" w:color="auto"/>
                  </w:divBdr>
                  <w:divsChild>
                    <w:div w:id="17821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86860">
      <w:bodyDiv w:val="1"/>
      <w:marLeft w:val="0"/>
      <w:marRight w:val="0"/>
      <w:marTop w:val="0"/>
      <w:marBottom w:val="0"/>
      <w:divBdr>
        <w:top w:val="none" w:sz="0" w:space="0" w:color="auto"/>
        <w:left w:val="none" w:sz="0" w:space="0" w:color="auto"/>
        <w:bottom w:val="none" w:sz="0" w:space="0" w:color="auto"/>
        <w:right w:val="none" w:sz="0" w:space="0" w:color="auto"/>
      </w:divBdr>
    </w:div>
    <w:div w:id="545332167">
      <w:bodyDiv w:val="1"/>
      <w:marLeft w:val="0"/>
      <w:marRight w:val="0"/>
      <w:marTop w:val="0"/>
      <w:marBottom w:val="0"/>
      <w:divBdr>
        <w:top w:val="none" w:sz="0" w:space="0" w:color="auto"/>
        <w:left w:val="none" w:sz="0" w:space="0" w:color="auto"/>
        <w:bottom w:val="none" w:sz="0" w:space="0" w:color="auto"/>
        <w:right w:val="none" w:sz="0" w:space="0" w:color="auto"/>
      </w:divBdr>
      <w:divsChild>
        <w:div w:id="1806317119">
          <w:marLeft w:val="0"/>
          <w:marRight w:val="0"/>
          <w:marTop w:val="0"/>
          <w:marBottom w:val="0"/>
          <w:divBdr>
            <w:top w:val="none" w:sz="0" w:space="0" w:color="auto"/>
            <w:left w:val="none" w:sz="0" w:space="0" w:color="auto"/>
            <w:bottom w:val="none" w:sz="0" w:space="0" w:color="auto"/>
            <w:right w:val="none" w:sz="0" w:space="0" w:color="auto"/>
          </w:divBdr>
          <w:divsChild>
            <w:div w:id="2085255656">
              <w:marLeft w:val="0"/>
              <w:marRight w:val="0"/>
              <w:marTop w:val="0"/>
              <w:marBottom w:val="0"/>
              <w:divBdr>
                <w:top w:val="none" w:sz="0" w:space="0" w:color="auto"/>
                <w:left w:val="none" w:sz="0" w:space="0" w:color="auto"/>
                <w:bottom w:val="none" w:sz="0" w:space="0" w:color="auto"/>
                <w:right w:val="none" w:sz="0" w:space="0" w:color="auto"/>
              </w:divBdr>
              <w:divsChild>
                <w:div w:id="653215802">
                  <w:marLeft w:val="0"/>
                  <w:marRight w:val="0"/>
                  <w:marTop w:val="0"/>
                  <w:marBottom w:val="0"/>
                  <w:divBdr>
                    <w:top w:val="none" w:sz="0" w:space="0" w:color="auto"/>
                    <w:left w:val="none" w:sz="0" w:space="0" w:color="auto"/>
                    <w:bottom w:val="none" w:sz="0" w:space="0" w:color="auto"/>
                    <w:right w:val="none" w:sz="0" w:space="0" w:color="auto"/>
                  </w:divBdr>
                  <w:divsChild>
                    <w:div w:id="20301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38127">
      <w:bodyDiv w:val="1"/>
      <w:marLeft w:val="0"/>
      <w:marRight w:val="0"/>
      <w:marTop w:val="0"/>
      <w:marBottom w:val="0"/>
      <w:divBdr>
        <w:top w:val="none" w:sz="0" w:space="0" w:color="auto"/>
        <w:left w:val="none" w:sz="0" w:space="0" w:color="auto"/>
        <w:bottom w:val="none" w:sz="0" w:space="0" w:color="auto"/>
        <w:right w:val="none" w:sz="0" w:space="0" w:color="auto"/>
      </w:divBdr>
      <w:divsChild>
        <w:div w:id="983512205">
          <w:marLeft w:val="0"/>
          <w:marRight w:val="0"/>
          <w:marTop w:val="0"/>
          <w:marBottom w:val="0"/>
          <w:divBdr>
            <w:top w:val="none" w:sz="0" w:space="0" w:color="auto"/>
            <w:left w:val="none" w:sz="0" w:space="0" w:color="auto"/>
            <w:bottom w:val="none" w:sz="0" w:space="0" w:color="auto"/>
            <w:right w:val="none" w:sz="0" w:space="0" w:color="auto"/>
          </w:divBdr>
          <w:divsChild>
            <w:div w:id="1235431075">
              <w:marLeft w:val="0"/>
              <w:marRight w:val="0"/>
              <w:marTop w:val="0"/>
              <w:marBottom w:val="0"/>
              <w:divBdr>
                <w:top w:val="none" w:sz="0" w:space="0" w:color="auto"/>
                <w:left w:val="none" w:sz="0" w:space="0" w:color="auto"/>
                <w:bottom w:val="none" w:sz="0" w:space="0" w:color="auto"/>
                <w:right w:val="none" w:sz="0" w:space="0" w:color="auto"/>
              </w:divBdr>
              <w:divsChild>
                <w:div w:id="5476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1423">
      <w:bodyDiv w:val="1"/>
      <w:marLeft w:val="0"/>
      <w:marRight w:val="0"/>
      <w:marTop w:val="0"/>
      <w:marBottom w:val="0"/>
      <w:divBdr>
        <w:top w:val="none" w:sz="0" w:space="0" w:color="auto"/>
        <w:left w:val="none" w:sz="0" w:space="0" w:color="auto"/>
        <w:bottom w:val="none" w:sz="0" w:space="0" w:color="auto"/>
        <w:right w:val="none" w:sz="0" w:space="0" w:color="auto"/>
      </w:divBdr>
    </w:div>
    <w:div w:id="555626035">
      <w:bodyDiv w:val="1"/>
      <w:marLeft w:val="0"/>
      <w:marRight w:val="0"/>
      <w:marTop w:val="0"/>
      <w:marBottom w:val="0"/>
      <w:divBdr>
        <w:top w:val="none" w:sz="0" w:space="0" w:color="auto"/>
        <w:left w:val="none" w:sz="0" w:space="0" w:color="auto"/>
        <w:bottom w:val="none" w:sz="0" w:space="0" w:color="auto"/>
        <w:right w:val="none" w:sz="0" w:space="0" w:color="auto"/>
      </w:divBdr>
    </w:div>
    <w:div w:id="555702337">
      <w:bodyDiv w:val="1"/>
      <w:marLeft w:val="0"/>
      <w:marRight w:val="0"/>
      <w:marTop w:val="0"/>
      <w:marBottom w:val="0"/>
      <w:divBdr>
        <w:top w:val="none" w:sz="0" w:space="0" w:color="auto"/>
        <w:left w:val="none" w:sz="0" w:space="0" w:color="auto"/>
        <w:bottom w:val="none" w:sz="0" w:space="0" w:color="auto"/>
        <w:right w:val="none" w:sz="0" w:space="0" w:color="auto"/>
      </w:divBdr>
    </w:div>
    <w:div w:id="558856573">
      <w:bodyDiv w:val="1"/>
      <w:marLeft w:val="0"/>
      <w:marRight w:val="0"/>
      <w:marTop w:val="0"/>
      <w:marBottom w:val="0"/>
      <w:divBdr>
        <w:top w:val="none" w:sz="0" w:space="0" w:color="auto"/>
        <w:left w:val="none" w:sz="0" w:space="0" w:color="auto"/>
        <w:bottom w:val="none" w:sz="0" w:space="0" w:color="auto"/>
        <w:right w:val="none" w:sz="0" w:space="0" w:color="auto"/>
      </w:divBdr>
    </w:div>
    <w:div w:id="565456443">
      <w:bodyDiv w:val="1"/>
      <w:marLeft w:val="0"/>
      <w:marRight w:val="0"/>
      <w:marTop w:val="0"/>
      <w:marBottom w:val="0"/>
      <w:divBdr>
        <w:top w:val="none" w:sz="0" w:space="0" w:color="auto"/>
        <w:left w:val="none" w:sz="0" w:space="0" w:color="auto"/>
        <w:bottom w:val="none" w:sz="0" w:space="0" w:color="auto"/>
        <w:right w:val="none" w:sz="0" w:space="0" w:color="auto"/>
      </w:divBdr>
      <w:divsChild>
        <w:div w:id="1398043370">
          <w:marLeft w:val="0"/>
          <w:marRight w:val="0"/>
          <w:marTop w:val="0"/>
          <w:marBottom w:val="0"/>
          <w:divBdr>
            <w:top w:val="none" w:sz="0" w:space="0" w:color="auto"/>
            <w:left w:val="none" w:sz="0" w:space="0" w:color="auto"/>
            <w:bottom w:val="none" w:sz="0" w:space="0" w:color="auto"/>
            <w:right w:val="none" w:sz="0" w:space="0" w:color="auto"/>
          </w:divBdr>
          <w:divsChild>
            <w:div w:id="1602227366">
              <w:marLeft w:val="0"/>
              <w:marRight w:val="0"/>
              <w:marTop w:val="0"/>
              <w:marBottom w:val="0"/>
              <w:divBdr>
                <w:top w:val="none" w:sz="0" w:space="0" w:color="auto"/>
                <w:left w:val="none" w:sz="0" w:space="0" w:color="auto"/>
                <w:bottom w:val="none" w:sz="0" w:space="0" w:color="auto"/>
                <w:right w:val="none" w:sz="0" w:space="0" w:color="auto"/>
              </w:divBdr>
              <w:divsChild>
                <w:div w:id="9695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0413">
      <w:bodyDiv w:val="1"/>
      <w:marLeft w:val="0"/>
      <w:marRight w:val="0"/>
      <w:marTop w:val="0"/>
      <w:marBottom w:val="0"/>
      <w:divBdr>
        <w:top w:val="none" w:sz="0" w:space="0" w:color="auto"/>
        <w:left w:val="none" w:sz="0" w:space="0" w:color="auto"/>
        <w:bottom w:val="none" w:sz="0" w:space="0" w:color="auto"/>
        <w:right w:val="none" w:sz="0" w:space="0" w:color="auto"/>
      </w:divBdr>
      <w:divsChild>
        <w:div w:id="967468086">
          <w:marLeft w:val="0"/>
          <w:marRight w:val="0"/>
          <w:marTop w:val="0"/>
          <w:marBottom w:val="0"/>
          <w:divBdr>
            <w:top w:val="none" w:sz="0" w:space="0" w:color="auto"/>
            <w:left w:val="none" w:sz="0" w:space="0" w:color="auto"/>
            <w:bottom w:val="none" w:sz="0" w:space="0" w:color="auto"/>
            <w:right w:val="none" w:sz="0" w:space="0" w:color="auto"/>
          </w:divBdr>
          <w:divsChild>
            <w:div w:id="419839379">
              <w:marLeft w:val="0"/>
              <w:marRight w:val="0"/>
              <w:marTop w:val="0"/>
              <w:marBottom w:val="0"/>
              <w:divBdr>
                <w:top w:val="none" w:sz="0" w:space="0" w:color="auto"/>
                <w:left w:val="none" w:sz="0" w:space="0" w:color="auto"/>
                <w:bottom w:val="none" w:sz="0" w:space="0" w:color="auto"/>
                <w:right w:val="none" w:sz="0" w:space="0" w:color="auto"/>
              </w:divBdr>
              <w:divsChild>
                <w:div w:id="122109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23291">
      <w:bodyDiv w:val="1"/>
      <w:marLeft w:val="0"/>
      <w:marRight w:val="0"/>
      <w:marTop w:val="0"/>
      <w:marBottom w:val="0"/>
      <w:divBdr>
        <w:top w:val="none" w:sz="0" w:space="0" w:color="auto"/>
        <w:left w:val="none" w:sz="0" w:space="0" w:color="auto"/>
        <w:bottom w:val="none" w:sz="0" w:space="0" w:color="auto"/>
        <w:right w:val="none" w:sz="0" w:space="0" w:color="auto"/>
      </w:divBdr>
    </w:div>
    <w:div w:id="589585138">
      <w:bodyDiv w:val="1"/>
      <w:marLeft w:val="0"/>
      <w:marRight w:val="0"/>
      <w:marTop w:val="0"/>
      <w:marBottom w:val="0"/>
      <w:divBdr>
        <w:top w:val="none" w:sz="0" w:space="0" w:color="auto"/>
        <w:left w:val="none" w:sz="0" w:space="0" w:color="auto"/>
        <w:bottom w:val="none" w:sz="0" w:space="0" w:color="auto"/>
        <w:right w:val="none" w:sz="0" w:space="0" w:color="auto"/>
      </w:divBdr>
    </w:div>
    <w:div w:id="590626413">
      <w:bodyDiv w:val="1"/>
      <w:marLeft w:val="0"/>
      <w:marRight w:val="0"/>
      <w:marTop w:val="0"/>
      <w:marBottom w:val="0"/>
      <w:divBdr>
        <w:top w:val="none" w:sz="0" w:space="0" w:color="auto"/>
        <w:left w:val="none" w:sz="0" w:space="0" w:color="auto"/>
        <w:bottom w:val="none" w:sz="0" w:space="0" w:color="auto"/>
        <w:right w:val="none" w:sz="0" w:space="0" w:color="auto"/>
      </w:divBdr>
      <w:divsChild>
        <w:div w:id="602226630">
          <w:marLeft w:val="0"/>
          <w:marRight w:val="0"/>
          <w:marTop w:val="0"/>
          <w:marBottom w:val="0"/>
          <w:divBdr>
            <w:top w:val="none" w:sz="0" w:space="0" w:color="auto"/>
            <w:left w:val="none" w:sz="0" w:space="0" w:color="auto"/>
            <w:bottom w:val="none" w:sz="0" w:space="0" w:color="auto"/>
            <w:right w:val="none" w:sz="0" w:space="0" w:color="auto"/>
          </w:divBdr>
          <w:divsChild>
            <w:div w:id="1054349615">
              <w:marLeft w:val="0"/>
              <w:marRight w:val="0"/>
              <w:marTop w:val="0"/>
              <w:marBottom w:val="0"/>
              <w:divBdr>
                <w:top w:val="none" w:sz="0" w:space="0" w:color="auto"/>
                <w:left w:val="none" w:sz="0" w:space="0" w:color="auto"/>
                <w:bottom w:val="none" w:sz="0" w:space="0" w:color="auto"/>
                <w:right w:val="none" w:sz="0" w:space="0" w:color="auto"/>
              </w:divBdr>
              <w:divsChild>
                <w:div w:id="21172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38233">
      <w:bodyDiv w:val="1"/>
      <w:marLeft w:val="0"/>
      <w:marRight w:val="0"/>
      <w:marTop w:val="0"/>
      <w:marBottom w:val="0"/>
      <w:divBdr>
        <w:top w:val="none" w:sz="0" w:space="0" w:color="auto"/>
        <w:left w:val="none" w:sz="0" w:space="0" w:color="auto"/>
        <w:bottom w:val="none" w:sz="0" w:space="0" w:color="auto"/>
        <w:right w:val="none" w:sz="0" w:space="0" w:color="auto"/>
      </w:divBdr>
    </w:div>
    <w:div w:id="598290866">
      <w:bodyDiv w:val="1"/>
      <w:marLeft w:val="0"/>
      <w:marRight w:val="0"/>
      <w:marTop w:val="0"/>
      <w:marBottom w:val="0"/>
      <w:divBdr>
        <w:top w:val="none" w:sz="0" w:space="0" w:color="auto"/>
        <w:left w:val="none" w:sz="0" w:space="0" w:color="auto"/>
        <w:bottom w:val="none" w:sz="0" w:space="0" w:color="auto"/>
        <w:right w:val="none" w:sz="0" w:space="0" w:color="auto"/>
      </w:divBdr>
    </w:div>
    <w:div w:id="615599322">
      <w:bodyDiv w:val="1"/>
      <w:marLeft w:val="0"/>
      <w:marRight w:val="0"/>
      <w:marTop w:val="0"/>
      <w:marBottom w:val="0"/>
      <w:divBdr>
        <w:top w:val="none" w:sz="0" w:space="0" w:color="auto"/>
        <w:left w:val="none" w:sz="0" w:space="0" w:color="auto"/>
        <w:bottom w:val="none" w:sz="0" w:space="0" w:color="auto"/>
        <w:right w:val="none" w:sz="0" w:space="0" w:color="auto"/>
      </w:divBdr>
      <w:divsChild>
        <w:div w:id="1790272116">
          <w:marLeft w:val="0"/>
          <w:marRight w:val="0"/>
          <w:marTop w:val="0"/>
          <w:marBottom w:val="0"/>
          <w:divBdr>
            <w:top w:val="none" w:sz="0" w:space="0" w:color="auto"/>
            <w:left w:val="none" w:sz="0" w:space="0" w:color="auto"/>
            <w:bottom w:val="none" w:sz="0" w:space="0" w:color="auto"/>
            <w:right w:val="none" w:sz="0" w:space="0" w:color="auto"/>
          </w:divBdr>
          <w:divsChild>
            <w:div w:id="1327322324">
              <w:marLeft w:val="0"/>
              <w:marRight w:val="0"/>
              <w:marTop w:val="0"/>
              <w:marBottom w:val="0"/>
              <w:divBdr>
                <w:top w:val="none" w:sz="0" w:space="0" w:color="auto"/>
                <w:left w:val="none" w:sz="0" w:space="0" w:color="auto"/>
                <w:bottom w:val="none" w:sz="0" w:space="0" w:color="auto"/>
                <w:right w:val="none" w:sz="0" w:space="0" w:color="auto"/>
              </w:divBdr>
              <w:divsChild>
                <w:div w:id="1123384694">
                  <w:marLeft w:val="0"/>
                  <w:marRight w:val="0"/>
                  <w:marTop w:val="0"/>
                  <w:marBottom w:val="0"/>
                  <w:divBdr>
                    <w:top w:val="none" w:sz="0" w:space="0" w:color="auto"/>
                    <w:left w:val="none" w:sz="0" w:space="0" w:color="auto"/>
                    <w:bottom w:val="none" w:sz="0" w:space="0" w:color="auto"/>
                    <w:right w:val="none" w:sz="0" w:space="0" w:color="auto"/>
                  </w:divBdr>
                  <w:divsChild>
                    <w:div w:id="602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449879">
      <w:bodyDiv w:val="1"/>
      <w:marLeft w:val="0"/>
      <w:marRight w:val="0"/>
      <w:marTop w:val="0"/>
      <w:marBottom w:val="0"/>
      <w:divBdr>
        <w:top w:val="none" w:sz="0" w:space="0" w:color="auto"/>
        <w:left w:val="none" w:sz="0" w:space="0" w:color="auto"/>
        <w:bottom w:val="none" w:sz="0" w:space="0" w:color="auto"/>
        <w:right w:val="none" w:sz="0" w:space="0" w:color="auto"/>
      </w:divBdr>
      <w:divsChild>
        <w:div w:id="350185063">
          <w:marLeft w:val="0"/>
          <w:marRight w:val="0"/>
          <w:marTop w:val="0"/>
          <w:marBottom w:val="0"/>
          <w:divBdr>
            <w:top w:val="none" w:sz="0" w:space="0" w:color="auto"/>
            <w:left w:val="none" w:sz="0" w:space="0" w:color="auto"/>
            <w:bottom w:val="none" w:sz="0" w:space="0" w:color="auto"/>
            <w:right w:val="none" w:sz="0" w:space="0" w:color="auto"/>
          </w:divBdr>
          <w:divsChild>
            <w:div w:id="146095395">
              <w:marLeft w:val="0"/>
              <w:marRight w:val="0"/>
              <w:marTop w:val="0"/>
              <w:marBottom w:val="0"/>
              <w:divBdr>
                <w:top w:val="none" w:sz="0" w:space="0" w:color="auto"/>
                <w:left w:val="none" w:sz="0" w:space="0" w:color="auto"/>
                <w:bottom w:val="none" w:sz="0" w:space="0" w:color="auto"/>
                <w:right w:val="none" w:sz="0" w:space="0" w:color="auto"/>
              </w:divBdr>
              <w:divsChild>
                <w:div w:id="15361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40463">
      <w:bodyDiv w:val="1"/>
      <w:marLeft w:val="0"/>
      <w:marRight w:val="0"/>
      <w:marTop w:val="0"/>
      <w:marBottom w:val="0"/>
      <w:divBdr>
        <w:top w:val="none" w:sz="0" w:space="0" w:color="auto"/>
        <w:left w:val="none" w:sz="0" w:space="0" w:color="auto"/>
        <w:bottom w:val="none" w:sz="0" w:space="0" w:color="auto"/>
        <w:right w:val="none" w:sz="0" w:space="0" w:color="auto"/>
      </w:divBdr>
    </w:div>
    <w:div w:id="642196579">
      <w:bodyDiv w:val="1"/>
      <w:marLeft w:val="0"/>
      <w:marRight w:val="0"/>
      <w:marTop w:val="0"/>
      <w:marBottom w:val="0"/>
      <w:divBdr>
        <w:top w:val="none" w:sz="0" w:space="0" w:color="auto"/>
        <w:left w:val="none" w:sz="0" w:space="0" w:color="auto"/>
        <w:bottom w:val="none" w:sz="0" w:space="0" w:color="auto"/>
        <w:right w:val="none" w:sz="0" w:space="0" w:color="auto"/>
      </w:divBdr>
    </w:div>
    <w:div w:id="649019575">
      <w:bodyDiv w:val="1"/>
      <w:marLeft w:val="0"/>
      <w:marRight w:val="0"/>
      <w:marTop w:val="0"/>
      <w:marBottom w:val="0"/>
      <w:divBdr>
        <w:top w:val="none" w:sz="0" w:space="0" w:color="auto"/>
        <w:left w:val="none" w:sz="0" w:space="0" w:color="auto"/>
        <w:bottom w:val="none" w:sz="0" w:space="0" w:color="auto"/>
        <w:right w:val="none" w:sz="0" w:space="0" w:color="auto"/>
      </w:divBdr>
    </w:div>
    <w:div w:id="654842864">
      <w:bodyDiv w:val="1"/>
      <w:marLeft w:val="0"/>
      <w:marRight w:val="0"/>
      <w:marTop w:val="0"/>
      <w:marBottom w:val="0"/>
      <w:divBdr>
        <w:top w:val="none" w:sz="0" w:space="0" w:color="auto"/>
        <w:left w:val="none" w:sz="0" w:space="0" w:color="auto"/>
        <w:bottom w:val="none" w:sz="0" w:space="0" w:color="auto"/>
        <w:right w:val="none" w:sz="0" w:space="0" w:color="auto"/>
      </w:divBdr>
      <w:divsChild>
        <w:div w:id="1646079310">
          <w:marLeft w:val="0"/>
          <w:marRight w:val="0"/>
          <w:marTop w:val="0"/>
          <w:marBottom w:val="0"/>
          <w:divBdr>
            <w:top w:val="none" w:sz="0" w:space="0" w:color="auto"/>
            <w:left w:val="none" w:sz="0" w:space="0" w:color="auto"/>
            <w:bottom w:val="none" w:sz="0" w:space="0" w:color="auto"/>
            <w:right w:val="none" w:sz="0" w:space="0" w:color="auto"/>
          </w:divBdr>
          <w:divsChild>
            <w:div w:id="779447726">
              <w:marLeft w:val="0"/>
              <w:marRight w:val="0"/>
              <w:marTop w:val="0"/>
              <w:marBottom w:val="0"/>
              <w:divBdr>
                <w:top w:val="none" w:sz="0" w:space="0" w:color="auto"/>
                <w:left w:val="none" w:sz="0" w:space="0" w:color="auto"/>
                <w:bottom w:val="none" w:sz="0" w:space="0" w:color="auto"/>
                <w:right w:val="none" w:sz="0" w:space="0" w:color="auto"/>
              </w:divBdr>
              <w:divsChild>
                <w:div w:id="14094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95646">
      <w:bodyDiv w:val="1"/>
      <w:marLeft w:val="0"/>
      <w:marRight w:val="0"/>
      <w:marTop w:val="0"/>
      <w:marBottom w:val="0"/>
      <w:divBdr>
        <w:top w:val="none" w:sz="0" w:space="0" w:color="auto"/>
        <w:left w:val="none" w:sz="0" w:space="0" w:color="auto"/>
        <w:bottom w:val="none" w:sz="0" w:space="0" w:color="auto"/>
        <w:right w:val="none" w:sz="0" w:space="0" w:color="auto"/>
      </w:divBdr>
    </w:div>
    <w:div w:id="679815441">
      <w:bodyDiv w:val="1"/>
      <w:marLeft w:val="0"/>
      <w:marRight w:val="0"/>
      <w:marTop w:val="0"/>
      <w:marBottom w:val="0"/>
      <w:divBdr>
        <w:top w:val="none" w:sz="0" w:space="0" w:color="auto"/>
        <w:left w:val="none" w:sz="0" w:space="0" w:color="auto"/>
        <w:bottom w:val="none" w:sz="0" w:space="0" w:color="auto"/>
        <w:right w:val="none" w:sz="0" w:space="0" w:color="auto"/>
      </w:divBdr>
    </w:div>
    <w:div w:id="696586858">
      <w:bodyDiv w:val="1"/>
      <w:marLeft w:val="0"/>
      <w:marRight w:val="0"/>
      <w:marTop w:val="0"/>
      <w:marBottom w:val="0"/>
      <w:divBdr>
        <w:top w:val="none" w:sz="0" w:space="0" w:color="auto"/>
        <w:left w:val="none" w:sz="0" w:space="0" w:color="auto"/>
        <w:bottom w:val="none" w:sz="0" w:space="0" w:color="auto"/>
        <w:right w:val="none" w:sz="0" w:space="0" w:color="auto"/>
      </w:divBdr>
      <w:divsChild>
        <w:div w:id="1038700697">
          <w:marLeft w:val="0"/>
          <w:marRight w:val="0"/>
          <w:marTop w:val="0"/>
          <w:marBottom w:val="0"/>
          <w:divBdr>
            <w:top w:val="none" w:sz="0" w:space="0" w:color="auto"/>
            <w:left w:val="none" w:sz="0" w:space="0" w:color="auto"/>
            <w:bottom w:val="none" w:sz="0" w:space="0" w:color="auto"/>
            <w:right w:val="none" w:sz="0" w:space="0" w:color="auto"/>
          </w:divBdr>
          <w:divsChild>
            <w:div w:id="858158577">
              <w:marLeft w:val="0"/>
              <w:marRight w:val="0"/>
              <w:marTop w:val="0"/>
              <w:marBottom w:val="0"/>
              <w:divBdr>
                <w:top w:val="none" w:sz="0" w:space="0" w:color="auto"/>
                <w:left w:val="none" w:sz="0" w:space="0" w:color="auto"/>
                <w:bottom w:val="none" w:sz="0" w:space="0" w:color="auto"/>
                <w:right w:val="none" w:sz="0" w:space="0" w:color="auto"/>
              </w:divBdr>
              <w:divsChild>
                <w:div w:id="606163301">
                  <w:marLeft w:val="0"/>
                  <w:marRight w:val="0"/>
                  <w:marTop w:val="0"/>
                  <w:marBottom w:val="0"/>
                  <w:divBdr>
                    <w:top w:val="none" w:sz="0" w:space="0" w:color="auto"/>
                    <w:left w:val="none" w:sz="0" w:space="0" w:color="auto"/>
                    <w:bottom w:val="none" w:sz="0" w:space="0" w:color="auto"/>
                    <w:right w:val="none" w:sz="0" w:space="0" w:color="auto"/>
                  </w:divBdr>
                  <w:divsChild>
                    <w:div w:id="4075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6293">
      <w:bodyDiv w:val="1"/>
      <w:marLeft w:val="0"/>
      <w:marRight w:val="0"/>
      <w:marTop w:val="0"/>
      <w:marBottom w:val="0"/>
      <w:divBdr>
        <w:top w:val="none" w:sz="0" w:space="0" w:color="auto"/>
        <w:left w:val="none" w:sz="0" w:space="0" w:color="auto"/>
        <w:bottom w:val="none" w:sz="0" w:space="0" w:color="auto"/>
        <w:right w:val="none" w:sz="0" w:space="0" w:color="auto"/>
      </w:divBdr>
      <w:divsChild>
        <w:div w:id="38601606">
          <w:marLeft w:val="0"/>
          <w:marRight w:val="0"/>
          <w:marTop w:val="0"/>
          <w:marBottom w:val="0"/>
          <w:divBdr>
            <w:top w:val="none" w:sz="0" w:space="0" w:color="auto"/>
            <w:left w:val="none" w:sz="0" w:space="0" w:color="auto"/>
            <w:bottom w:val="none" w:sz="0" w:space="0" w:color="auto"/>
            <w:right w:val="none" w:sz="0" w:space="0" w:color="auto"/>
          </w:divBdr>
          <w:divsChild>
            <w:div w:id="684938813">
              <w:marLeft w:val="0"/>
              <w:marRight w:val="0"/>
              <w:marTop w:val="0"/>
              <w:marBottom w:val="0"/>
              <w:divBdr>
                <w:top w:val="none" w:sz="0" w:space="0" w:color="auto"/>
                <w:left w:val="none" w:sz="0" w:space="0" w:color="auto"/>
                <w:bottom w:val="none" w:sz="0" w:space="0" w:color="auto"/>
                <w:right w:val="none" w:sz="0" w:space="0" w:color="auto"/>
              </w:divBdr>
              <w:divsChild>
                <w:div w:id="12716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97410">
      <w:bodyDiv w:val="1"/>
      <w:marLeft w:val="0"/>
      <w:marRight w:val="0"/>
      <w:marTop w:val="0"/>
      <w:marBottom w:val="0"/>
      <w:divBdr>
        <w:top w:val="none" w:sz="0" w:space="0" w:color="auto"/>
        <w:left w:val="none" w:sz="0" w:space="0" w:color="auto"/>
        <w:bottom w:val="none" w:sz="0" w:space="0" w:color="auto"/>
        <w:right w:val="none" w:sz="0" w:space="0" w:color="auto"/>
      </w:divBdr>
    </w:div>
    <w:div w:id="710227735">
      <w:bodyDiv w:val="1"/>
      <w:marLeft w:val="0"/>
      <w:marRight w:val="0"/>
      <w:marTop w:val="0"/>
      <w:marBottom w:val="0"/>
      <w:divBdr>
        <w:top w:val="none" w:sz="0" w:space="0" w:color="auto"/>
        <w:left w:val="none" w:sz="0" w:space="0" w:color="auto"/>
        <w:bottom w:val="none" w:sz="0" w:space="0" w:color="auto"/>
        <w:right w:val="none" w:sz="0" w:space="0" w:color="auto"/>
      </w:divBdr>
    </w:div>
    <w:div w:id="717435097">
      <w:bodyDiv w:val="1"/>
      <w:marLeft w:val="0"/>
      <w:marRight w:val="0"/>
      <w:marTop w:val="0"/>
      <w:marBottom w:val="0"/>
      <w:divBdr>
        <w:top w:val="none" w:sz="0" w:space="0" w:color="auto"/>
        <w:left w:val="none" w:sz="0" w:space="0" w:color="auto"/>
        <w:bottom w:val="none" w:sz="0" w:space="0" w:color="auto"/>
        <w:right w:val="none" w:sz="0" w:space="0" w:color="auto"/>
      </w:divBdr>
    </w:div>
    <w:div w:id="724453968">
      <w:bodyDiv w:val="1"/>
      <w:marLeft w:val="0"/>
      <w:marRight w:val="0"/>
      <w:marTop w:val="0"/>
      <w:marBottom w:val="0"/>
      <w:divBdr>
        <w:top w:val="none" w:sz="0" w:space="0" w:color="auto"/>
        <w:left w:val="none" w:sz="0" w:space="0" w:color="auto"/>
        <w:bottom w:val="none" w:sz="0" w:space="0" w:color="auto"/>
        <w:right w:val="none" w:sz="0" w:space="0" w:color="auto"/>
      </w:divBdr>
    </w:div>
    <w:div w:id="731270052">
      <w:bodyDiv w:val="1"/>
      <w:marLeft w:val="0"/>
      <w:marRight w:val="0"/>
      <w:marTop w:val="0"/>
      <w:marBottom w:val="0"/>
      <w:divBdr>
        <w:top w:val="none" w:sz="0" w:space="0" w:color="auto"/>
        <w:left w:val="none" w:sz="0" w:space="0" w:color="auto"/>
        <w:bottom w:val="none" w:sz="0" w:space="0" w:color="auto"/>
        <w:right w:val="none" w:sz="0" w:space="0" w:color="auto"/>
      </w:divBdr>
    </w:div>
    <w:div w:id="731924740">
      <w:bodyDiv w:val="1"/>
      <w:marLeft w:val="0"/>
      <w:marRight w:val="0"/>
      <w:marTop w:val="0"/>
      <w:marBottom w:val="0"/>
      <w:divBdr>
        <w:top w:val="none" w:sz="0" w:space="0" w:color="auto"/>
        <w:left w:val="none" w:sz="0" w:space="0" w:color="auto"/>
        <w:bottom w:val="none" w:sz="0" w:space="0" w:color="auto"/>
        <w:right w:val="none" w:sz="0" w:space="0" w:color="auto"/>
      </w:divBdr>
      <w:divsChild>
        <w:div w:id="1086457533">
          <w:marLeft w:val="0"/>
          <w:marRight w:val="0"/>
          <w:marTop w:val="375"/>
          <w:marBottom w:val="0"/>
          <w:divBdr>
            <w:top w:val="none" w:sz="0" w:space="0" w:color="auto"/>
            <w:left w:val="none" w:sz="0" w:space="0" w:color="auto"/>
            <w:bottom w:val="none" w:sz="0" w:space="0" w:color="auto"/>
            <w:right w:val="none" w:sz="0" w:space="0" w:color="auto"/>
          </w:divBdr>
          <w:divsChild>
            <w:div w:id="180823691">
              <w:marLeft w:val="0"/>
              <w:marRight w:val="0"/>
              <w:marTop w:val="0"/>
              <w:marBottom w:val="0"/>
              <w:divBdr>
                <w:top w:val="none" w:sz="0" w:space="0" w:color="auto"/>
                <w:left w:val="none" w:sz="0" w:space="0" w:color="auto"/>
                <w:bottom w:val="none" w:sz="0" w:space="0" w:color="auto"/>
                <w:right w:val="none" w:sz="0" w:space="0" w:color="auto"/>
              </w:divBdr>
              <w:divsChild>
                <w:div w:id="173083065">
                  <w:marLeft w:val="0"/>
                  <w:marRight w:val="0"/>
                  <w:marTop w:val="0"/>
                  <w:marBottom w:val="0"/>
                  <w:divBdr>
                    <w:top w:val="none" w:sz="0" w:space="0" w:color="auto"/>
                    <w:left w:val="none" w:sz="0" w:space="0" w:color="auto"/>
                    <w:bottom w:val="none" w:sz="0" w:space="0" w:color="auto"/>
                    <w:right w:val="none" w:sz="0" w:space="0" w:color="auto"/>
                  </w:divBdr>
                  <w:divsChild>
                    <w:div w:id="983966235">
                      <w:marLeft w:val="0"/>
                      <w:marRight w:val="0"/>
                      <w:marTop w:val="0"/>
                      <w:marBottom w:val="0"/>
                      <w:divBdr>
                        <w:top w:val="none" w:sz="0" w:space="0" w:color="auto"/>
                        <w:left w:val="none" w:sz="0" w:space="0" w:color="auto"/>
                        <w:bottom w:val="none" w:sz="0" w:space="0" w:color="auto"/>
                        <w:right w:val="none" w:sz="0" w:space="0" w:color="auto"/>
                      </w:divBdr>
                      <w:divsChild>
                        <w:div w:id="384256183">
                          <w:marLeft w:val="225"/>
                          <w:marRight w:val="225"/>
                          <w:marTop w:val="0"/>
                          <w:marBottom w:val="0"/>
                          <w:divBdr>
                            <w:top w:val="none" w:sz="0" w:space="0" w:color="auto"/>
                            <w:left w:val="none" w:sz="0" w:space="0" w:color="auto"/>
                            <w:bottom w:val="none" w:sz="0" w:space="0" w:color="auto"/>
                            <w:right w:val="single" w:sz="18" w:space="31" w:color="B9D6E7"/>
                          </w:divBdr>
                          <w:divsChild>
                            <w:div w:id="205021685">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705029">
          <w:marLeft w:val="0"/>
          <w:marRight w:val="0"/>
          <w:marTop w:val="375"/>
          <w:marBottom w:val="0"/>
          <w:divBdr>
            <w:top w:val="none" w:sz="0" w:space="0" w:color="auto"/>
            <w:left w:val="none" w:sz="0" w:space="0" w:color="auto"/>
            <w:bottom w:val="none" w:sz="0" w:space="0" w:color="auto"/>
            <w:right w:val="none" w:sz="0" w:space="0" w:color="auto"/>
          </w:divBdr>
          <w:divsChild>
            <w:div w:id="312879757">
              <w:marLeft w:val="0"/>
              <w:marRight w:val="0"/>
              <w:marTop w:val="0"/>
              <w:marBottom w:val="0"/>
              <w:divBdr>
                <w:top w:val="none" w:sz="0" w:space="0" w:color="auto"/>
                <w:left w:val="none" w:sz="0" w:space="0" w:color="auto"/>
                <w:bottom w:val="none" w:sz="0" w:space="0" w:color="auto"/>
                <w:right w:val="none" w:sz="0" w:space="0" w:color="auto"/>
              </w:divBdr>
              <w:divsChild>
                <w:div w:id="958688114">
                  <w:marLeft w:val="0"/>
                  <w:marRight w:val="0"/>
                  <w:marTop w:val="0"/>
                  <w:marBottom w:val="0"/>
                  <w:divBdr>
                    <w:top w:val="none" w:sz="0" w:space="0" w:color="auto"/>
                    <w:left w:val="none" w:sz="0" w:space="0" w:color="auto"/>
                    <w:bottom w:val="none" w:sz="0" w:space="0" w:color="auto"/>
                    <w:right w:val="none" w:sz="0" w:space="0" w:color="auto"/>
                  </w:divBdr>
                  <w:divsChild>
                    <w:div w:id="1272250896">
                      <w:marLeft w:val="0"/>
                      <w:marRight w:val="0"/>
                      <w:marTop w:val="0"/>
                      <w:marBottom w:val="0"/>
                      <w:divBdr>
                        <w:top w:val="none" w:sz="0" w:space="0" w:color="auto"/>
                        <w:left w:val="none" w:sz="0" w:space="0" w:color="auto"/>
                        <w:bottom w:val="none" w:sz="0" w:space="0" w:color="auto"/>
                        <w:right w:val="none" w:sz="0" w:space="0" w:color="auto"/>
                      </w:divBdr>
                      <w:divsChild>
                        <w:div w:id="733745539">
                          <w:marLeft w:val="225"/>
                          <w:marRight w:val="225"/>
                          <w:marTop w:val="0"/>
                          <w:marBottom w:val="0"/>
                          <w:divBdr>
                            <w:top w:val="none" w:sz="0" w:space="0" w:color="auto"/>
                            <w:left w:val="none" w:sz="0" w:space="0" w:color="auto"/>
                            <w:bottom w:val="none" w:sz="0" w:space="0" w:color="auto"/>
                            <w:right w:val="single" w:sz="18" w:space="31" w:color="E0E0E2"/>
                          </w:divBdr>
                          <w:divsChild>
                            <w:div w:id="278604708">
                              <w:marLeft w:val="0"/>
                              <w:marRight w:val="0"/>
                              <w:marTop w:val="0"/>
                              <w:marBottom w:val="0"/>
                              <w:divBdr>
                                <w:top w:val="none" w:sz="0" w:space="0" w:color="auto"/>
                                <w:left w:val="none" w:sz="0" w:space="0" w:color="auto"/>
                                <w:bottom w:val="none" w:sz="0" w:space="0" w:color="auto"/>
                                <w:right w:val="none" w:sz="0" w:space="0" w:color="auto"/>
                              </w:divBdr>
                            </w:div>
                            <w:div w:id="1357004909">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892252">
      <w:bodyDiv w:val="1"/>
      <w:marLeft w:val="0"/>
      <w:marRight w:val="0"/>
      <w:marTop w:val="0"/>
      <w:marBottom w:val="0"/>
      <w:divBdr>
        <w:top w:val="none" w:sz="0" w:space="0" w:color="auto"/>
        <w:left w:val="none" w:sz="0" w:space="0" w:color="auto"/>
        <w:bottom w:val="none" w:sz="0" w:space="0" w:color="auto"/>
        <w:right w:val="none" w:sz="0" w:space="0" w:color="auto"/>
      </w:divBdr>
      <w:divsChild>
        <w:div w:id="677852215">
          <w:marLeft w:val="0"/>
          <w:marRight w:val="0"/>
          <w:marTop w:val="0"/>
          <w:marBottom w:val="0"/>
          <w:divBdr>
            <w:top w:val="none" w:sz="0" w:space="0" w:color="auto"/>
            <w:left w:val="none" w:sz="0" w:space="0" w:color="auto"/>
            <w:bottom w:val="none" w:sz="0" w:space="0" w:color="auto"/>
            <w:right w:val="none" w:sz="0" w:space="0" w:color="auto"/>
          </w:divBdr>
          <w:divsChild>
            <w:div w:id="1796874320">
              <w:marLeft w:val="0"/>
              <w:marRight w:val="0"/>
              <w:marTop w:val="0"/>
              <w:marBottom w:val="0"/>
              <w:divBdr>
                <w:top w:val="none" w:sz="0" w:space="0" w:color="auto"/>
                <w:left w:val="none" w:sz="0" w:space="0" w:color="auto"/>
                <w:bottom w:val="none" w:sz="0" w:space="0" w:color="auto"/>
                <w:right w:val="none" w:sz="0" w:space="0" w:color="auto"/>
              </w:divBdr>
              <w:divsChild>
                <w:div w:id="1174760465">
                  <w:marLeft w:val="0"/>
                  <w:marRight w:val="0"/>
                  <w:marTop w:val="0"/>
                  <w:marBottom w:val="0"/>
                  <w:divBdr>
                    <w:top w:val="none" w:sz="0" w:space="0" w:color="auto"/>
                    <w:left w:val="none" w:sz="0" w:space="0" w:color="auto"/>
                    <w:bottom w:val="none" w:sz="0" w:space="0" w:color="auto"/>
                    <w:right w:val="none" w:sz="0" w:space="0" w:color="auto"/>
                  </w:divBdr>
                  <w:divsChild>
                    <w:div w:id="15613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7329">
      <w:bodyDiv w:val="1"/>
      <w:marLeft w:val="0"/>
      <w:marRight w:val="0"/>
      <w:marTop w:val="0"/>
      <w:marBottom w:val="0"/>
      <w:divBdr>
        <w:top w:val="none" w:sz="0" w:space="0" w:color="auto"/>
        <w:left w:val="none" w:sz="0" w:space="0" w:color="auto"/>
        <w:bottom w:val="none" w:sz="0" w:space="0" w:color="auto"/>
        <w:right w:val="none" w:sz="0" w:space="0" w:color="auto"/>
      </w:divBdr>
    </w:div>
    <w:div w:id="757169123">
      <w:bodyDiv w:val="1"/>
      <w:marLeft w:val="0"/>
      <w:marRight w:val="0"/>
      <w:marTop w:val="0"/>
      <w:marBottom w:val="0"/>
      <w:divBdr>
        <w:top w:val="none" w:sz="0" w:space="0" w:color="auto"/>
        <w:left w:val="none" w:sz="0" w:space="0" w:color="auto"/>
        <w:bottom w:val="none" w:sz="0" w:space="0" w:color="auto"/>
        <w:right w:val="none" w:sz="0" w:space="0" w:color="auto"/>
      </w:divBdr>
    </w:div>
    <w:div w:id="760953451">
      <w:bodyDiv w:val="1"/>
      <w:marLeft w:val="0"/>
      <w:marRight w:val="0"/>
      <w:marTop w:val="0"/>
      <w:marBottom w:val="0"/>
      <w:divBdr>
        <w:top w:val="none" w:sz="0" w:space="0" w:color="auto"/>
        <w:left w:val="none" w:sz="0" w:space="0" w:color="auto"/>
        <w:bottom w:val="none" w:sz="0" w:space="0" w:color="auto"/>
        <w:right w:val="none" w:sz="0" w:space="0" w:color="auto"/>
      </w:divBdr>
      <w:divsChild>
        <w:div w:id="427847445">
          <w:marLeft w:val="0"/>
          <w:marRight w:val="0"/>
          <w:marTop w:val="0"/>
          <w:marBottom w:val="0"/>
          <w:divBdr>
            <w:top w:val="none" w:sz="0" w:space="0" w:color="auto"/>
            <w:left w:val="none" w:sz="0" w:space="0" w:color="auto"/>
            <w:bottom w:val="none" w:sz="0" w:space="0" w:color="auto"/>
            <w:right w:val="none" w:sz="0" w:space="0" w:color="auto"/>
          </w:divBdr>
          <w:divsChild>
            <w:div w:id="72044393">
              <w:marLeft w:val="0"/>
              <w:marRight w:val="0"/>
              <w:marTop w:val="0"/>
              <w:marBottom w:val="0"/>
              <w:divBdr>
                <w:top w:val="none" w:sz="0" w:space="0" w:color="auto"/>
                <w:left w:val="none" w:sz="0" w:space="0" w:color="auto"/>
                <w:bottom w:val="none" w:sz="0" w:space="0" w:color="auto"/>
                <w:right w:val="none" w:sz="0" w:space="0" w:color="auto"/>
              </w:divBdr>
              <w:divsChild>
                <w:div w:id="1787190852">
                  <w:marLeft w:val="0"/>
                  <w:marRight w:val="0"/>
                  <w:marTop w:val="0"/>
                  <w:marBottom w:val="0"/>
                  <w:divBdr>
                    <w:top w:val="none" w:sz="0" w:space="0" w:color="auto"/>
                    <w:left w:val="none" w:sz="0" w:space="0" w:color="auto"/>
                    <w:bottom w:val="none" w:sz="0" w:space="0" w:color="auto"/>
                    <w:right w:val="none" w:sz="0" w:space="0" w:color="auto"/>
                  </w:divBdr>
                  <w:divsChild>
                    <w:div w:id="1836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30653">
      <w:bodyDiv w:val="1"/>
      <w:marLeft w:val="0"/>
      <w:marRight w:val="0"/>
      <w:marTop w:val="0"/>
      <w:marBottom w:val="0"/>
      <w:divBdr>
        <w:top w:val="none" w:sz="0" w:space="0" w:color="auto"/>
        <w:left w:val="none" w:sz="0" w:space="0" w:color="auto"/>
        <w:bottom w:val="none" w:sz="0" w:space="0" w:color="auto"/>
        <w:right w:val="none" w:sz="0" w:space="0" w:color="auto"/>
      </w:divBdr>
    </w:div>
    <w:div w:id="768237924">
      <w:bodyDiv w:val="1"/>
      <w:marLeft w:val="0"/>
      <w:marRight w:val="0"/>
      <w:marTop w:val="0"/>
      <w:marBottom w:val="0"/>
      <w:divBdr>
        <w:top w:val="none" w:sz="0" w:space="0" w:color="auto"/>
        <w:left w:val="none" w:sz="0" w:space="0" w:color="auto"/>
        <w:bottom w:val="none" w:sz="0" w:space="0" w:color="auto"/>
        <w:right w:val="none" w:sz="0" w:space="0" w:color="auto"/>
      </w:divBdr>
      <w:divsChild>
        <w:div w:id="1299410501">
          <w:marLeft w:val="0"/>
          <w:marRight w:val="0"/>
          <w:marTop w:val="0"/>
          <w:marBottom w:val="0"/>
          <w:divBdr>
            <w:top w:val="none" w:sz="0" w:space="0" w:color="auto"/>
            <w:left w:val="none" w:sz="0" w:space="0" w:color="auto"/>
            <w:bottom w:val="none" w:sz="0" w:space="0" w:color="auto"/>
            <w:right w:val="none" w:sz="0" w:space="0" w:color="auto"/>
          </w:divBdr>
        </w:div>
        <w:div w:id="664674471">
          <w:marLeft w:val="0"/>
          <w:marRight w:val="0"/>
          <w:marTop w:val="0"/>
          <w:marBottom w:val="0"/>
          <w:divBdr>
            <w:top w:val="none" w:sz="0" w:space="0" w:color="auto"/>
            <w:left w:val="none" w:sz="0" w:space="0" w:color="auto"/>
            <w:bottom w:val="none" w:sz="0" w:space="0" w:color="auto"/>
            <w:right w:val="none" w:sz="0" w:space="0" w:color="auto"/>
          </w:divBdr>
          <w:divsChild>
            <w:div w:id="301154970">
              <w:marLeft w:val="0"/>
              <w:marRight w:val="0"/>
              <w:marTop w:val="0"/>
              <w:marBottom w:val="150"/>
              <w:divBdr>
                <w:top w:val="none" w:sz="0" w:space="0" w:color="auto"/>
                <w:left w:val="none" w:sz="0" w:space="0" w:color="auto"/>
                <w:bottom w:val="none" w:sz="0" w:space="0" w:color="auto"/>
                <w:right w:val="none" w:sz="0" w:space="0" w:color="auto"/>
              </w:divBdr>
              <w:divsChild>
                <w:div w:id="321813513">
                  <w:marLeft w:val="0"/>
                  <w:marRight w:val="0"/>
                  <w:marTop w:val="0"/>
                  <w:marBottom w:val="0"/>
                  <w:divBdr>
                    <w:top w:val="none" w:sz="0" w:space="0" w:color="auto"/>
                    <w:left w:val="none" w:sz="0" w:space="0" w:color="auto"/>
                    <w:bottom w:val="none" w:sz="0" w:space="0" w:color="auto"/>
                    <w:right w:val="none" w:sz="0" w:space="0" w:color="auto"/>
                  </w:divBdr>
                  <w:divsChild>
                    <w:div w:id="2088306852">
                      <w:marLeft w:val="0"/>
                      <w:marRight w:val="0"/>
                      <w:marTop w:val="0"/>
                      <w:marBottom w:val="0"/>
                      <w:divBdr>
                        <w:top w:val="none" w:sz="0" w:space="0" w:color="auto"/>
                        <w:left w:val="none" w:sz="0" w:space="0" w:color="auto"/>
                        <w:bottom w:val="none" w:sz="0" w:space="0" w:color="auto"/>
                        <w:right w:val="none" w:sz="0" w:space="0" w:color="auto"/>
                      </w:divBdr>
                      <w:divsChild>
                        <w:div w:id="1757895865">
                          <w:marLeft w:val="0"/>
                          <w:marRight w:val="75"/>
                          <w:marTop w:val="0"/>
                          <w:marBottom w:val="0"/>
                          <w:divBdr>
                            <w:top w:val="none" w:sz="0" w:space="0" w:color="auto"/>
                            <w:left w:val="none" w:sz="0" w:space="0" w:color="auto"/>
                            <w:bottom w:val="none" w:sz="0" w:space="0" w:color="auto"/>
                            <w:right w:val="none" w:sz="0" w:space="0" w:color="auto"/>
                          </w:divBdr>
                        </w:div>
                        <w:div w:id="13343341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504634">
      <w:bodyDiv w:val="1"/>
      <w:marLeft w:val="0"/>
      <w:marRight w:val="0"/>
      <w:marTop w:val="0"/>
      <w:marBottom w:val="0"/>
      <w:divBdr>
        <w:top w:val="none" w:sz="0" w:space="0" w:color="auto"/>
        <w:left w:val="none" w:sz="0" w:space="0" w:color="auto"/>
        <w:bottom w:val="none" w:sz="0" w:space="0" w:color="auto"/>
        <w:right w:val="none" w:sz="0" w:space="0" w:color="auto"/>
      </w:divBdr>
    </w:div>
    <w:div w:id="785588732">
      <w:bodyDiv w:val="1"/>
      <w:marLeft w:val="0"/>
      <w:marRight w:val="0"/>
      <w:marTop w:val="0"/>
      <w:marBottom w:val="0"/>
      <w:divBdr>
        <w:top w:val="none" w:sz="0" w:space="0" w:color="auto"/>
        <w:left w:val="none" w:sz="0" w:space="0" w:color="auto"/>
        <w:bottom w:val="none" w:sz="0" w:space="0" w:color="auto"/>
        <w:right w:val="none" w:sz="0" w:space="0" w:color="auto"/>
      </w:divBdr>
      <w:divsChild>
        <w:div w:id="1838185101">
          <w:marLeft w:val="0"/>
          <w:marRight w:val="0"/>
          <w:marTop w:val="0"/>
          <w:marBottom w:val="0"/>
          <w:divBdr>
            <w:top w:val="none" w:sz="0" w:space="0" w:color="auto"/>
            <w:left w:val="none" w:sz="0" w:space="0" w:color="auto"/>
            <w:bottom w:val="none" w:sz="0" w:space="0" w:color="auto"/>
            <w:right w:val="none" w:sz="0" w:space="0" w:color="auto"/>
          </w:divBdr>
          <w:divsChild>
            <w:div w:id="33165653">
              <w:marLeft w:val="0"/>
              <w:marRight w:val="0"/>
              <w:marTop w:val="0"/>
              <w:marBottom w:val="0"/>
              <w:divBdr>
                <w:top w:val="none" w:sz="0" w:space="0" w:color="auto"/>
                <w:left w:val="none" w:sz="0" w:space="0" w:color="auto"/>
                <w:bottom w:val="none" w:sz="0" w:space="0" w:color="auto"/>
                <w:right w:val="none" w:sz="0" w:space="0" w:color="auto"/>
              </w:divBdr>
              <w:divsChild>
                <w:div w:id="7577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6050">
      <w:bodyDiv w:val="1"/>
      <w:marLeft w:val="0"/>
      <w:marRight w:val="0"/>
      <w:marTop w:val="0"/>
      <w:marBottom w:val="0"/>
      <w:divBdr>
        <w:top w:val="none" w:sz="0" w:space="0" w:color="auto"/>
        <w:left w:val="none" w:sz="0" w:space="0" w:color="auto"/>
        <w:bottom w:val="none" w:sz="0" w:space="0" w:color="auto"/>
        <w:right w:val="none" w:sz="0" w:space="0" w:color="auto"/>
      </w:divBdr>
    </w:div>
    <w:div w:id="805320745">
      <w:bodyDiv w:val="1"/>
      <w:marLeft w:val="0"/>
      <w:marRight w:val="0"/>
      <w:marTop w:val="0"/>
      <w:marBottom w:val="0"/>
      <w:divBdr>
        <w:top w:val="none" w:sz="0" w:space="0" w:color="auto"/>
        <w:left w:val="none" w:sz="0" w:space="0" w:color="auto"/>
        <w:bottom w:val="none" w:sz="0" w:space="0" w:color="auto"/>
        <w:right w:val="none" w:sz="0" w:space="0" w:color="auto"/>
      </w:divBdr>
      <w:divsChild>
        <w:div w:id="870457871">
          <w:marLeft w:val="0"/>
          <w:marRight w:val="0"/>
          <w:marTop w:val="0"/>
          <w:marBottom w:val="0"/>
          <w:divBdr>
            <w:top w:val="none" w:sz="0" w:space="0" w:color="auto"/>
            <w:left w:val="none" w:sz="0" w:space="0" w:color="auto"/>
            <w:bottom w:val="none" w:sz="0" w:space="0" w:color="auto"/>
            <w:right w:val="none" w:sz="0" w:space="0" w:color="auto"/>
          </w:divBdr>
          <w:divsChild>
            <w:div w:id="1050298441">
              <w:marLeft w:val="0"/>
              <w:marRight w:val="0"/>
              <w:marTop w:val="0"/>
              <w:marBottom w:val="0"/>
              <w:divBdr>
                <w:top w:val="none" w:sz="0" w:space="0" w:color="auto"/>
                <w:left w:val="none" w:sz="0" w:space="0" w:color="auto"/>
                <w:bottom w:val="none" w:sz="0" w:space="0" w:color="auto"/>
                <w:right w:val="none" w:sz="0" w:space="0" w:color="auto"/>
              </w:divBdr>
              <w:divsChild>
                <w:div w:id="8352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20393">
      <w:bodyDiv w:val="1"/>
      <w:marLeft w:val="0"/>
      <w:marRight w:val="0"/>
      <w:marTop w:val="0"/>
      <w:marBottom w:val="0"/>
      <w:divBdr>
        <w:top w:val="none" w:sz="0" w:space="0" w:color="auto"/>
        <w:left w:val="none" w:sz="0" w:space="0" w:color="auto"/>
        <w:bottom w:val="none" w:sz="0" w:space="0" w:color="auto"/>
        <w:right w:val="none" w:sz="0" w:space="0" w:color="auto"/>
      </w:divBdr>
    </w:div>
    <w:div w:id="831801076">
      <w:bodyDiv w:val="1"/>
      <w:marLeft w:val="0"/>
      <w:marRight w:val="0"/>
      <w:marTop w:val="0"/>
      <w:marBottom w:val="0"/>
      <w:divBdr>
        <w:top w:val="none" w:sz="0" w:space="0" w:color="auto"/>
        <w:left w:val="none" w:sz="0" w:space="0" w:color="auto"/>
        <w:bottom w:val="none" w:sz="0" w:space="0" w:color="auto"/>
        <w:right w:val="none" w:sz="0" w:space="0" w:color="auto"/>
      </w:divBdr>
      <w:divsChild>
        <w:div w:id="555552800">
          <w:marLeft w:val="0"/>
          <w:marRight w:val="0"/>
          <w:marTop w:val="0"/>
          <w:marBottom w:val="0"/>
          <w:divBdr>
            <w:top w:val="none" w:sz="0" w:space="0" w:color="auto"/>
            <w:left w:val="none" w:sz="0" w:space="0" w:color="auto"/>
            <w:bottom w:val="none" w:sz="0" w:space="0" w:color="auto"/>
            <w:right w:val="none" w:sz="0" w:space="0" w:color="auto"/>
          </w:divBdr>
          <w:divsChild>
            <w:div w:id="1946303543">
              <w:marLeft w:val="0"/>
              <w:marRight w:val="0"/>
              <w:marTop w:val="0"/>
              <w:marBottom w:val="0"/>
              <w:divBdr>
                <w:top w:val="none" w:sz="0" w:space="0" w:color="auto"/>
                <w:left w:val="none" w:sz="0" w:space="0" w:color="auto"/>
                <w:bottom w:val="none" w:sz="0" w:space="0" w:color="auto"/>
                <w:right w:val="none" w:sz="0" w:space="0" w:color="auto"/>
              </w:divBdr>
              <w:divsChild>
                <w:div w:id="2097895003">
                  <w:marLeft w:val="0"/>
                  <w:marRight w:val="0"/>
                  <w:marTop w:val="0"/>
                  <w:marBottom w:val="0"/>
                  <w:divBdr>
                    <w:top w:val="none" w:sz="0" w:space="0" w:color="auto"/>
                    <w:left w:val="none" w:sz="0" w:space="0" w:color="auto"/>
                    <w:bottom w:val="none" w:sz="0" w:space="0" w:color="auto"/>
                    <w:right w:val="none" w:sz="0" w:space="0" w:color="auto"/>
                  </w:divBdr>
                  <w:divsChild>
                    <w:div w:id="6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5987">
      <w:bodyDiv w:val="1"/>
      <w:marLeft w:val="0"/>
      <w:marRight w:val="0"/>
      <w:marTop w:val="0"/>
      <w:marBottom w:val="0"/>
      <w:divBdr>
        <w:top w:val="none" w:sz="0" w:space="0" w:color="auto"/>
        <w:left w:val="none" w:sz="0" w:space="0" w:color="auto"/>
        <w:bottom w:val="none" w:sz="0" w:space="0" w:color="auto"/>
        <w:right w:val="none" w:sz="0" w:space="0" w:color="auto"/>
      </w:divBdr>
      <w:divsChild>
        <w:div w:id="1222712143">
          <w:marLeft w:val="0"/>
          <w:marRight w:val="0"/>
          <w:marTop w:val="0"/>
          <w:marBottom w:val="0"/>
          <w:divBdr>
            <w:top w:val="none" w:sz="0" w:space="0" w:color="auto"/>
            <w:left w:val="none" w:sz="0" w:space="0" w:color="auto"/>
            <w:bottom w:val="none" w:sz="0" w:space="0" w:color="auto"/>
            <w:right w:val="none" w:sz="0" w:space="0" w:color="auto"/>
          </w:divBdr>
          <w:divsChild>
            <w:div w:id="1348485847">
              <w:marLeft w:val="0"/>
              <w:marRight w:val="0"/>
              <w:marTop w:val="0"/>
              <w:marBottom w:val="0"/>
              <w:divBdr>
                <w:top w:val="none" w:sz="0" w:space="0" w:color="auto"/>
                <w:left w:val="none" w:sz="0" w:space="0" w:color="auto"/>
                <w:bottom w:val="none" w:sz="0" w:space="0" w:color="auto"/>
                <w:right w:val="none" w:sz="0" w:space="0" w:color="auto"/>
              </w:divBdr>
              <w:divsChild>
                <w:div w:id="2088574767">
                  <w:marLeft w:val="0"/>
                  <w:marRight w:val="0"/>
                  <w:marTop w:val="0"/>
                  <w:marBottom w:val="0"/>
                  <w:divBdr>
                    <w:top w:val="none" w:sz="0" w:space="0" w:color="auto"/>
                    <w:left w:val="none" w:sz="0" w:space="0" w:color="auto"/>
                    <w:bottom w:val="none" w:sz="0" w:space="0" w:color="auto"/>
                    <w:right w:val="none" w:sz="0" w:space="0" w:color="auto"/>
                  </w:divBdr>
                  <w:divsChild>
                    <w:div w:id="3407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8045">
      <w:bodyDiv w:val="1"/>
      <w:marLeft w:val="0"/>
      <w:marRight w:val="0"/>
      <w:marTop w:val="0"/>
      <w:marBottom w:val="0"/>
      <w:divBdr>
        <w:top w:val="none" w:sz="0" w:space="0" w:color="auto"/>
        <w:left w:val="none" w:sz="0" w:space="0" w:color="auto"/>
        <w:bottom w:val="none" w:sz="0" w:space="0" w:color="auto"/>
        <w:right w:val="none" w:sz="0" w:space="0" w:color="auto"/>
      </w:divBdr>
    </w:div>
    <w:div w:id="847062683">
      <w:bodyDiv w:val="1"/>
      <w:marLeft w:val="0"/>
      <w:marRight w:val="0"/>
      <w:marTop w:val="0"/>
      <w:marBottom w:val="0"/>
      <w:divBdr>
        <w:top w:val="none" w:sz="0" w:space="0" w:color="auto"/>
        <w:left w:val="none" w:sz="0" w:space="0" w:color="auto"/>
        <w:bottom w:val="none" w:sz="0" w:space="0" w:color="auto"/>
        <w:right w:val="none" w:sz="0" w:space="0" w:color="auto"/>
      </w:divBdr>
    </w:div>
    <w:div w:id="851338450">
      <w:bodyDiv w:val="1"/>
      <w:marLeft w:val="0"/>
      <w:marRight w:val="0"/>
      <w:marTop w:val="0"/>
      <w:marBottom w:val="0"/>
      <w:divBdr>
        <w:top w:val="none" w:sz="0" w:space="0" w:color="auto"/>
        <w:left w:val="none" w:sz="0" w:space="0" w:color="auto"/>
        <w:bottom w:val="none" w:sz="0" w:space="0" w:color="auto"/>
        <w:right w:val="none" w:sz="0" w:space="0" w:color="auto"/>
      </w:divBdr>
      <w:divsChild>
        <w:div w:id="746464497">
          <w:marLeft w:val="0"/>
          <w:marRight w:val="0"/>
          <w:marTop w:val="0"/>
          <w:marBottom w:val="0"/>
          <w:divBdr>
            <w:top w:val="none" w:sz="0" w:space="0" w:color="auto"/>
            <w:left w:val="none" w:sz="0" w:space="0" w:color="auto"/>
            <w:bottom w:val="none" w:sz="0" w:space="0" w:color="auto"/>
            <w:right w:val="none" w:sz="0" w:space="0" w:color="auto"/>
          </w:divBdr>
          <w:divsChild>
            <w:div w:id="1977181903">
              <w:marLeft w:val="0"/>
              <w:marRight w:val="0"/>
              <w:marTop w:val="0"/>
              <w:marBottom w:val="0"/>
              <w:divBdr>
                <w:top w:val="none" w:sz="0" w:space="0" w:color="auto"/>
                <w:left w:val="none" w:sz="0" w:space="0" w:color="auto"/>
                <w:bottom w:val="none" w:sz="0" w:space="0" w:color="auto"/>
                <w:right w:val="none" w:sz="0" w:space="0" w:color="auto"/>
              </w:divBdr>
              <w:divsChild>
                <w:div w:id="215163986">
                  <w:marLeft w:val="0"/>
                  <w:marRight w:val="0"/>
                  <w:marTop w:val="0"/>
                  <w:marBottom w:val="0"/>
                  <w:divBdr>
                    <w:top w:val="none" w:sz="0" w:space="0" w:color="auto"/>
                    <w:left w:val="none" w:sz="0" w:space="0" w:color="auto"/>
                    <w:bottom w:val="none" w:sz="0" w:space="0" w:color="auto"/>
                    <w:right w:val="none" w:sz="0" w:space="0" w:color="auto"/>
                  </w:divBdr>
                  <w:divsChild>
                    <w:div w:id="6884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62880">
      <w:bodyDiv w:val="1"/>
      <w:marLeft w:val="0"/>
      <w:marRight w:val="0"/>
      <w:marTop w:val="0"/>
      <w:marBottom w:val="0"/>
      <w:divBdr>
        <w:top w:val="none" w:sz="0" w:space="0" w:color="auto"/>
        <w:left w:val="none" w:sz="0" w:space="0" w:color="auto"/>
        <w:bottom w:val="none" w:sz="0" w:space="0" w:color="auto"/>
        <w:right w:val="none" w:sz="0" w:space="0" w:color="auto"/>
      </w:divBdr>
    </w:div>
    <w:div w:id="862091728">
      <w:bodyDiv w:val="1"/>
      <w:marLeft w:val="0"/>
      <w:marRight w:val="0"/>
      <w:marTop w:val="0"/>
      <w:marBottom w:val="0"/>
      <w:divBdr>
        <w:top w:val="none" w:sz="0" w:space="0" w:color="auto"/>
        <w:left w:val="none" w:sz="0" w:space="0" w:color="auto"/>
        <w:bottom w:val="none" w:sz="0" w:space="0" w:color="auto"/>
        <w:right w:val="none" w:sz="0" w:space="0" w:color="auto"/>
      </w:divBdr>
    </w:div>
    <w:div w:id="867064910">
      <w:bodyDiv w:val="1"/>
      <w:marLeft w:val="0"/>
      <w:marRight w:val="0"/>
      <w:marTop w:val="0"/>
      <w:marBottom w:val="0"/>
      <w:divBdr>
        <w:top w:val="none" w:sz="0" w:space="0" w:color="auto"/>
        <w:left w:val="none" w:sz="0" w:space="0" w:color="auto"/>
        <w:bottom w:val="none" w:sz="0" w:space="0" w:color="auto"/>
        <w:right w:val="none" w:sz="0" w:space="0" w:color="auto"/>
      </w:divBdr>
      <w:divsChild>
        <w:div w:id="1759591042">
          <w:marLeft w:val="0"/>
          <w:marRight w:val="0"/>
          <w:marTop w:val="0"/>
          <w:marBottom w:val="0"/>
          <w:divBdr>
            <w:top w:val="none" w:sz="0" w:space="0" w:color="auto"/>
            <w:left w:val="none" w:sz="0" w:space="0" w:color="auto"/>
            <w:bottom w:val="none" w:sz="0" w:space="0" w:color="auto"/>
            <w:right w:val="none" w:sz="0" w:space="0" w:color="auto"/>
          </w:divBdr>
          <w:divsChild>
            <w:div w:id="1617641229">
              <w:marLeft w:val="0"/>
              <w:marRight w:val="0"/>
              <w:marTop w:val="0"/>
              <w:marBottom w:val="0"/>
              <w:divBdr>
                <w:top w:val="none" w:sz="0" w:space="0" w:color="auto"/>
                <w:left w:val="none" w:sz="0" w:space="0" w:color="auto"/>
                <w:bottom w:val="none" w:sz="0" w:space="0" w:color="auto"/>
                <w:right w:val="none" w:sz="0" w:space="0" w:color="auto"/>
              </w:divBdr>
              <w:divsChild>
                <w:div w:id="99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5479">
      <w:bodyDiv w:val="1"/>
      <w:marLeft w:val="0"/>
      <w:marRight w:val="0"/>
      <w:marTop w:val="0"/>
      <w:marBottom w:val="0"/>
      <w:divBdr>
        <w:top w:val="none" w:sz="0" w:space="0" w:color="auto"/>
        <w:left w:val="none" w:sz="0" w:space="0" w:color="auto"/>
        <w:bottom w:val="none" w:sz="0" w:space="0" w:color="auto"/>
        <w:right w:val="none" w:sz="0" w:space="0" w:color="auto"/>
      </w:divBdr>
    </w:div>
    <w:div w:id="873342992">
      <w:bodyDiv w:val="1"/>
      <w:marLeft w:val="0"/>
      <w:marRight w:val="0"/>
      <w:marTop w:val="0"/>
      <w:marBottom w:val="0"/>
      <w:divBdr>
        <w:top w:val="none" w:sz="0" w:space="0" w:color="auto"/>
        <w:left w:val="none" w:sz="0" w:space="0" w:color="auto"/>
        <w:bottom w:val="none" w:sz="0" w:space="0" w:color="auto"/>
        <w:right w:val="none" w:sz="0" w:space="0" w:color="auto"/>
      </w:divBdr>
    </w:div>
    <w:div w:id="892928512">
      <w:bodyDiv w:val="1"/>
      <w:marLeft w:val="0"/>
      <w:marRight w:val="0"/>
      <w:marTop w:val="0"/>
      <w:marBottom w:val="0"/>
      <w:divBdr>
        <w:top w:val="none" w:sz="0" w:space="0" w:color="auto"/>
        <w:left w:val="none" w:sz="0" w:space="0" w:color="auto"/>
        <w:bottom w:val="none" w:sz="0" w:space="0" w:color="auto"/>
        <w:right w:val="none" w:sz="0" w:space="0" w:color="auto"/>
      </w:divBdr>
    </w:div>
    <w:div w:id="894774879">
      <w:bodyDiv w:val="1"/>
      <w:marLeft w:val="0"/>
      <w:marRight w:val="0"/>
      <w:marTop w:val="0"/>
      <w:marBottom w:val="0"/>
      <w:divBdr>
        <w:top w:val="none" w:sz="0" w:space="0" w:color="auto"/>
        <w:left w:val="none" w:sz="0" w:space="0" w:color="auto"/>
        <w:bottom w:val="none" w:sz="0" w:space="0" w:color="auto"/>
        <w:right w:val="none" w:sz="0" w:space="0" w:color="auto"/>
      </w:divBdr>
      <w:divsChild>
        <w:div w:id="609896371">
          <w:marLeft w:val="0"/>
          <w:marRight w:val="0"/>
          <w:marTop w:val="0"/>
          <w:marBottom w:val="0"/>
          <w:divBdr>
            <w:top w:val="none" w:sz="0" w:space="0" w:color="auto"/>
            <w:left w:val="none" w:sz="0" w:space="0" w:color="auto"/>
            <w:bottom w:val="none" w:sz="0" w:space="0" w:color="auto"/>
            <w:right w:val="none" w:sz="0" w:space="0" w:color="auto"/>
          </w:divBdr>
          <w:divsChild>
            <w:div w:id="345979465">
              <w:marLeft w:val="0"/>
              <w:marRight w:val="0"/>
              <w:marTop w:val="0"/>
              <w:marBottom w:val="0"/>
              <w:divBdr>
                <w:top w:val="none" w:sz="0" w:space="0" w:color="auto"/>
                <w:left w:val="none" w:sz="0" w:space="0" w:color="auto"/>
                <w:bottom w:val="none" w:sz="0" w:space="0" w:color="auto"/>
                <w:right w:val="none" w:sz="0" w:space="0" w:color="auto"/>
              </w:divBdr>
              <w:divsChild>
                <w:div w:id="4594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7433">
      <w:bodyDiv w:val="1"/>
      <w:marLeft w:val="0"/>
      <w:marRight w:val="0"/>
      <w:marTop w:val="0"/>
      <w:marBottom w:val="0"/>
      <w:divBdr>
        <w:top w:val="none" w:sz="0" w:space="0" w:color="auto"/>
        <w:left w:val="none" w:sz="0" w:space="0" w:color="auto"/>
        <w:bottom w:val="none" w:sz="0" w:space="0" w:color="auto"/>
        <w:right w:val="none" w:sz="0" w:space="0" w:color="auto"/>
      </w:divBdr>
      <w:divsChild>
        <w:div w:id="884834301">
          <w:marLeft w:val="0"/>
          <w:marRight w:val="0"/>
          <w:marTop w:val="0"/>
          <w:marBottom w:val="0"/>
          <w:divBdr>
            <w:top w:val="none" w:sz="0" w:space="0" w:color="auto"/>
            <w:left w:val="none" w:sz="0" w:space="0" w:color="auto"/>
            <w:bottom w:val="none" w:sz="0" w:space="0" w:color="auto"/>
            <w:right w:val="none" w:sz="0" w:space="0" w:color="auto"/>
          </w:divBdr>
          <w:divsChild>
            <w:div w:id="1550917222">
              <w:marLeft w:val="0"/>
              <w:marRight w:val="0"/>
              <w:marTop w:val="0"/>
              <w:marBottom w:val="0"/>
              <w:divBdr>
                <w:top w:val="none" w:sz="0" w:space="0" w:color="auto"/>
                <w:left w:val="none" w:sz="0" w:space="0" w:color="auto"/>
                <w:bottom w:val="none" w:sz="0" w:space="0" w:color="auto"/>
                <w:right w:val="none" w:sz="0" w:space="0" w:color="auto"/>
              </w:divBdr>
              <w:divsChild>
                <w:div w:id="15010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67757">
      <w:bodyDiv w:val="1"/>
      <w:marLeft w:val="0"/>
      <w:marRight w:val="0"/>
      <w:marTop w:val="0"/>
      <w:marBottom w:val="0"/>
      <w:divBdr>
        <w:top w:val="none" w:sz="0" w:space="0" w:color="auto"/>
        <w:left w:val="none" w:sz="0" w:space="0" w:color="auto"/>
        <w:bottom w:val="none" w:sz="0" w:space="0" w:color="auto"/>
        <w:right w:val="none" w:sz="0" w:space="0" w:color="auto"/>
      </w:divBdr>
    </w:div>
    <w:div w:id="910848679">
      <w:bodyDiv w:val="1"/>
      <w:marLeft w:val="0"/>
      <w:marRight w:val="0"/>
      <w:marTop w:val="0"/>
      <w:marBottom w:val="0"/>
      <w:divBdr>
        <w:top w:val="none" w:sz="0" w:space="0" w:color="auto"/>
        <w:left w:val="none" w:sz="0" w:space="0" w:color="auto"/>
        <w:bottom w:val="none" w:sz="0" w:space="0" w:color="auto"/>
        <w:right w:val="none" w:sz="0" w:space="0" w:color="auto"/>
      </w:divBdr>
      <w:divsChild>
        <w:div w:id="1426226146">
          <w:marLeft w:val="0"/>
          <w:marRight w:val="0"/>
          <w:marTop w:val="0"/>
          <w:marBottom w:val="0"/>
          <w:divBdr>
            <w:top w:val="none" w:sz="0" w:space="0" w:color="auto"/>
            <w:left w:val="none" w:sz="0" w:space="0" w:color="auto"/>
            <w:bottom w:val="none" w:sz="0" w:space="0" w:color="auto"/>
            <w:right w:val="none" w:sz="0" w:space="0" w:color="auto"/>
          </w:divBdr>
          <w:divsChild>
            <w:div w:id="510875239">
              <w:marLeft w:val="0"/>
              <w:marRight w:val="0"/>
              <w:marTop w:val="0"/>
              <w:marBottom w:val="0"/>
              <w:divBdr>
                <w:top w:val="none" w:sz="0" w:space="0" w:color="auto"/>
                <w:left w:val="none" w:sz="0" w:space="0" w:color="auto"/>
                <w:bottom w:val="none" w:sz="0" w:space="0" w:color="auto"/>
                <w:right w:val="none" w:sz="0" w:space="0" w:color="auto"/>
              </w:divBdr>
              <w:divsChild>
                <w:div w:id="1305890252">
                  <w:marLeft w:val="0"/>
                  <w:marRight w:val="0"/>
                  <w:marTop w:val="0"/>
                  <w:marBottom w:val="0"/>
                  <w:divBdr>
                    <w:top w:val="none" w:sz="0" w:space="0" w:color="auto"/>
                    <w:left w:val="none" w:sz="0" w:space="0" w:color="auto"/>
                    <w:bottom w:val="none" w:sz="0" w:space="0" w:color="auto"/>
                    <w:right w:val="none" w:sz="0" w:space="0" w:color="auto"/>
                  </w:divBdr>
                  <w:divsChild>
                    <w:div w:id="16105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0520">
      <w:bodyDiv w:val="1"/>
      <w:marLeft w:val="0"/>
      <w:marRight w:val="0"/>
      <w:marTop w:val="0"/>
      <w:marBottom w:val="0"/>
      <w:divBdr>
        <w:top w:val="none" w:sz="0" w:space="0" w:color="auto"/>
        <w:left w:val="none" w:sz="0" w:space="0" w:color="auto"/>
        <w:bottom w:val="none" w:sz="0" w:space="0" w:color="auto"/>
        <w:right w:val="none" w:sz="0" w:space="0" w:color="auto"/>
      </w:divBdr>
      <w:divsChild>
        <w:div w:id="1586110965">
          <w:marLeft w:val="0"/>
          <w:marRight w:val="0"/>
          <w:marTop w:val="0"/>
          <w:marBottom w:val="0"/>
          <w:divBdr>
            <w:top w:val="none" w:sz="0" w:space="0" w:color="auto"/>
            <w:left w:val="none" w:sz="0" w:space="0" w:color="auto"/>
            <w:bottom w:val="none" w:sz="0" w:space="0" w:color="auto"/>
            <w:right w:val="none" w:sz="0" w:space="0" w:color="auto"/>
          </w:divBdr>
          <w:divsChild>
            <w:div w:id="1978409398">
              <w:marLeft w:val="0"/>
              <w:marRight w:val="0"/>
              <w:marTop w:val="0"/>
              <w:marBottom w:val="0"/>
              <w:divBdr>
                <w:top w:val="none" w:sz="0" w:space="0" w:color="auto"/>
                <w:left w:val="none" w:sz="0" w:space="0" w:color="auto"/>
                <w:bottom w:val="none" w:sz="0" w:space="0" w:color="auto"/>
                <w:right w:val="none" w:sz="0" w:space="0" w:color="auto"/>
              </w:divBdr>
              <w:divsChild>
                <w:div w:id="11681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5200">
      <w:bodyDiv w:val="1"/>
      <w:marLeft w:val="0"/>
      <w:marRight w:val="0"/>
      <w:marTop w:val="0"/>
      <w:marBottom w:val="0"/>
      <w:divBdr>
        <w:top w:val="none" w:sz="0" w:space="0" w:color="auto"/>
        <w:left w:val="none" w:sz="0" w:space="0" w:color="auto"/>
        <w:bottom w:val="none" w:sz="0" w:space="0" w:color="auto"/>
        <w:right w:val="none" w:sz="0" w:space="0" w:color="auto"/>
      </w:divBdr>
    </w:div>
    <w:div w:id="918447968">
      <w:bodyDiv w:val="1"/>
      <w:marLeft w:val="0"/>
      <w:marRight w:val="0"/>
      <w:marTop w:val="0"/>
      <w:marBottom w:val="0"/>
      <w:divBdr>
        <w:top w:val="none" w:sz="0" w:space="0" w:color="auto"/>
        <w:left w:val="none" w:sz="0" w:space="0" w:color="auto"/>
        <w:bottom w:val="none" w:sz="0" w:space="0" w:color="auto"/>
        <w:right w:val="none" w:sz="0" w:space="0" w:color="auto"/>
      </w:divBdr>
      <w:divsChild>
        <w:div w:id="2036929362">
          <w:marLeft w:val="0"/>
          <w:marRight w:val="0"/>
          <w:marTop w:val="0"/>
          <w:marBottom w:val="0"/>
          <w:divBdr>
            <w:top w:val="none" w:sz="0" w:space="0" w:color="auto"/>
            <w:left w:val="none" w:sz="0" w:space="0" w:color="auto"/>
            <w:bottom w:val="none" w:sz="0" w:space="0" w:color="auto"/>
            <w:right w:val="none" w:sz="0" w:space="0" w:color="auto"/>
          </w:divBdr>
          <w:divsChild>
            <w:div w:id="1108432992">
              <w:marLeft w:val="0"/>
              <w:marRight w:val="0"/>
              <w:marTop w:val="0"/>
              <w:marBottom w:val="0"/>
              <w:divBdr>
                <w:top w:val="none" w:sz="0" w:space="0" w:color="auto"/>
                <w:left w:val="none" w:sz="0" w:space="0" w:color="auto"/>
                <w:bottom w:val="none" w:sz="0" w:space="0" w:color="auto"/>
                <w:right w:val="none" w:sz="0" w:space="0" w:color="auto"/>
              </w:divBdr>
              <w:divsChild>
                <w:div w:id="429160411">
                  <w:marLeft w:val="0"/>
                  <w:marRight w:val="0"/>
                  <w:marTop w:val="0"/>
                  <w:marBottom w:val="0"/>
                  <w:divBdr>
                    <w:top w:val="none" w:sz="0" w:space="0" w:color="auto"/>
                    <w:left w:val="none" w:sz="0" w:space="0" w:color="auto"/>
                    <w:bottom w:val="none" w:sz="0" w:space="0" w:color="auto"/>
                    <w:right w:val="none" w:sz="0" w:space="0" w:color="auto"/>
                  </w:divBdr>
                  <w:divsChild>
                    <w:div w:id="20474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14586">
      <w:bodyDiv w:val="1"/>
      <w:marLeft w:val="0"/>
      <w:marRight w:val="0"/>
      <w:marTop w:val="0"/>
      <w:marBottom w:val="0"/>
      <w:divBdr>
        <w:top w:val="none" w:sz="0" w:space="0" w:color="auto"/>
        <w:left w:val="none" w:sz="0" w:space="0" w:color="auto"/>
        <w:bottom w:val="none" w:sz="0" w:space="0" w:color="auto"/>
        <w:right w:val="none" w:sz="0" w:space="0" w:color="auto"/>
      </w:divBdr>
      <w:divsChild>
        <w:div w:id="1701974929">
          <w:marLeft w:val="0"/>
          <w:marRight w:val="0"/>
          <w:marTop w:val="0"/>
          <w:marBottom w:val="0"/>
          <w:divBdr>
            <w:top w:val="none" w:sz="0" w:space="0" w:color="auto"/>
            <w:left w:val="none" w:sz="0" w:space="0" w:color="auto"/>
            <w:bottom w:val="none" w:sz="0" w:space="0" w:color="auto"/>
            <w:right w:val="none" w:sz="0" w:space="0" w:color="auto"/>
          </w:divBdr>
          <w:divsChild>
            <w:div w:id="598105931">
              <w:marLeft w:val="0"/>
              <w:marRight w:val="0"/>
              <w:marTop w:val="0"/>
              <w:marBottom w:val="0"/>
              <w:divBdr>
                <w:top w:val="none" w:sz="0" w:space="0" w:color="auto"/>
                <w:left w:val="none" w:sz="0" w:space="0" w:color="auto"/>
                <w:bottom w:val="none" w:sz="0" w:space="0" w:color="auto"/>
                <w:right w:val="none" w:sz="0" w:space="0" w:color="auto"/>
              </w:divBdr>
              <w:divsChild>
                <w:div w:id="1352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2051">
      <w:bodyDiv w:val="1"/>
      <w:marLeft w:val="0"/>
      <w:marRight w:val="0"/>
      <w:marTop w:val="0"/>
      <w:marBottom w:val="0"/>
      <w:divBdr>
        <w:top w:val="none" w:sz="0" w:space="0" w:color="auto"/>
        <w:left w:val="none" w:sz="0" w:space="0" w:color="auto"/>
        <w:bottom w:val="none" w:sz="0" w:space="0" w:color="auto"/>
        <w:right w:val="none" w:sz="0" w:space="0" w:color="auto"/>
      </w:divBdr>
    </w:div>
    <w:div w:id="926307535">
      <w:bodyDiv w:val="1"/>
      <w:marLeft w:val="0"/>
      <w:marRight w:val="0"/>
      <w:marTop w:val="0"/>
      <w:marBottom w:val="0"/>
      <w:divBdr>
        <w:top w:val="none" w:sz="0" w:space="0" w:color="auto"/>
        <w:left w:val="none" w:sz="0" w:space="0" w:color="auto"/>
        <w:bottom w:val="none" w:sz="0" w:space="0" w:color="auto"/>
        <w:right w:val="none" w:sz="0" w:space="0" w:color="auto"/>
      </w:divBdr>
      <w:divsChild>
        <w:div w:id="1906136008">
          <w:marLeft w:val="0"/>
          <w:marRight w:val="0"/>
          <w:marTop w:val="0"/>
          <w:marBottom w:val="0"/>
          <w:divBdr>
            <w:top w:val="none" w:sz="0" w:space="0" w:color="auto"/>
            <w:left w:val="none" w:sz="0" w:space="0" w:color="auto"/>
            <w:bottom w:val="none" w:sz="0" w:space="0" w:color="auto"/>
            <w:right w:val="none" w:sz="0" w:space="0" w:color="auto"/>
          </w:divBdr>
          <w:divsChild>
            <w:div w:id="71238701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928317451">
      <w:bodyDiv w:val="1"/>
      <w:marLeft w:val="0"/>
      <w:marRight w:val="0"/>
      <w:marTop w:val="0"/>
      <w:marBottom w:val="0"/>
      <w:divBdr>
        <w:top w:val="none" w:sz="0" w:space="0" w:color="auto"/>
        <w:left w:val="none" w:sz="0" w:space="0" w:color="auto"/>
        <w:bottom w:val="none" w:sz="0" w:space="0" w:color="auto"/>
        <w:right w:val="none" w:sz="0" w:space="0" w:color="auto"/>
      </w:divBdr>
      <w:divsChild>
        <w:div w:id="1815637967">
          <w:marLeft w:val="0"/>
          <w:marRight w:val="0"/>
          <w:marTop w:val="0"/>
          <w:marBottom w:val="0"/>
          <w:divBdr>
            <w:top w:val="none" w:sz="0" w:space="0" w:color="auto"/>
            <w:left w:val="none" w:sz="0" w:space="0" w:color="auto"/>
            <w:bottom w:val="none" w:sz="0" w:space="0" w:color="auto"/>
            <w:right w:val="none" w:sz="0" w:space="0" w:color="auto"/>
          </w:divBdr>
        </w:div>
        <w:div w:id="347102920">
          <w:marLeft w:val="0"/>
          <w:marRight w:val="0"/>
          <w:marTop w:val="0"/>
          <w:marBottom w:val="0"/>
          <w:divBdr>
            <w:top w:val="none" w:sz="0" w:space="0" w:color="auto"/>
            <w:left w:val="none" w:sz="0" w:space="0" w:color="auto"/>
            <w:bottom w:val="none" w:sz="0" w:space="0" w:color="auto"/>
            <w:right w:val="none" w:sz="0" w:space="0" w:color="auto"/>
          </w:divBdr>
        </w:div>
        <w:div w:id="1394695673">
          <w:marLeft w:val="0"/>
          <w:marRight w:val="0"/>
          <w:marTop w:val="0"/>
          <w:marBottom w:val="0"/>
          <w:divBdr>
            <w:top w:val="none" w:sz="0" w:space="0" w:color="auto"/>
            <w:left w:val="none" w:sz="0" w:space="0" w:color="auto"/>
            <w:bottom w:val="none" w:sz="0" w:space="0" w:color="auto"/>
            <w:right w:val="none" w:sz="0" w:space="0" w:color="auto"/>
          </w:divBdr>
        </w:div>
      </w:divsChild>
    </w:div>
    <w:div w:id="937568171">
      <w:bodyDiv w:val="1"/>
      <w:marLeft w:val="0"/>
      <w:marRight w:val="0"/>
      <w:marTop w:val="0"/>
      <w:marBottom w:val="0"/>
      <w:divBdr>
        <w:top w:val="none" w:sz="0" w:space="0" w:color="auto"/>
        <w:left w:val="none" w:sz="0" w:space="0" w:color="auto"/>
        <w:bottom w:val="none" w:sz="0" w:space="0" w:color="auto"/>
        <w:right w:val="none" w:sz="0" w:space="0" w:color="auto"/>
      </w:divBdr>
      <w:divsChild>
        <w:div w:id="197090812">
          <w:marLeft w:val="0"/>
          <w:marRight w:val="0"/>
          <w:marTop w:val="0"/>
          <w:marBottom w:val="0"/>
          <w:divBdr>
            <w:top w:val="none" w:sz="0" w:space="0" w:color="auto"/>
            <w:left w:val="none" w:sz="0" w:space="0" w:color="auto"/>
            <w:bottom w:val="none" w:sz="0" w:space="0" w:color="auto"/>
            <w:right w:val="none" w:sz="0" w:space="0" w:color="auto"/>
          </w:divBdr>
          <w:divsChild>
            <w:div w:id="1499996526">
              <w:marLeft w:val="0"/>
              <w:marRight w:val="0"/>
              <w:marTop w:val="0"/>
              <w:marBottom w:val="0"/>
              <w:divBdr>
                <w:top w:val="none" w:sz="0" w:space="0" w:color="auto"/>
                <w:left w:val="none" w:sz="0" w:space="0" w:color="auto"/>
                <w:bottom w:val="none" w:sz="0" w:space="0" w:color="auto"/>
                <w:right w:val="none" w:sz="0" w:space="0" w:color="auto"/>
              </w:divBdr>
              <w:divsChild>
                <w:div w:id="2966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2329">
      <w:bodyDiv w:val="1"/>
      <w:marLeft w:val="0"/>
      <w:marRight w:val="0"/>
      <w:marTop w:val="0"/>
      <w:marBottom w:val="0"/>
      <w:divBdr>
        <w:top w:val="none" w:sz="0" w:space="0" w:color="auto"/>
        <w:left w:val="none" w:sz="0" w:space="0" w:color="auto"/>
        <w:bottom w:val="none" w:sz="0" w:space="0" w:color="auto"/>
        <w:right w:val="none" w:sz="0" w:space="0" w:color="auto"/>
      </w:divBdr>
      <w:divsChild>
        <w:div w:id="837115542">
          <w:marLeft w:val="0"/>
          <w:marRight w:val="0"/>
          <w:marTop w:val="0"/>
          <w:marBottom w:val="0"/>
          <w:divBdr>
            <w:top w:val="none" w:sz="0" w:space="0" w:color="auto"/>
            <w:left w:val="none" w:sz="0" w:space="0" w:color="auto"/>
            <w:bottom w:val="none" w:sz="0" w:space="0" w:color="auto"/>
            <w:right w:val="none" w:sz="0" w:space="0" w:color="auto"/>
          </w:divBdr>
          <w:divsChild>
            <w:div w:id="1145001558">
              <w:marLeft w:val="0"/>
              <w:marRight w:val="0"/>
              <w:marTop w:val="0"/>
              <w:marBottom w:val="0"/>
              <w:divBdr>
                <w:top w:val="none" w:sz="0" w:space="0" w:color="auto"/>
                <w:left w:val="none" w:sz="0" w:space="0" w:color="auto"/>
                <w:bottom w:val="none" w:sz="0" w:space="0" w:color="auto"/>
                <w:right w:val="none" w:sz="0" w:space="0" w:color="auto"/>
              </w:divBdr>
              <w:divsChild>
                <w:div w:id="568733991">
                  <w:marLeft w:val="0"/>
                  <w:marRight w:val="0"/>
                  <w:marTop w:val="0"/>
                  <w:marBottom w:val="0"/>
                  <w:divBdr>
                    <w:top w:val="none" w:sz="0" w:space="0" w:color="auto"/>
                    <w:left w:val="none" w:sz="0" w:space="0" w:color="auto"/>
                    <w:bottom w:val="none" w:sz="0" w:space="0" w:color="auto"/>
                    <w:right w:val="none" w:sz="0" w:space="0" w:color="auto"/>
                  </w:divBdr>
                  <w:divsChild>
                    <w:div w:id="4533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62225">
      <w:bodyDiv w:val="1"/>
      <w:marLeft w:val="0"/>
      <w:marRight w:val="0"/>
      <w:marTop w:val="0"/>
      <w:marBottom w:val="0"/>
      <w:divBdr>
        <w:top w:val="none" w:sz="0" w:space="0" w:color="auto"/>
        <w:left w:val="none" w:sz="0" w:space="0" w:color="auto"/>
        <w:bottom w:val="none" w:sz="0" w:space="0" w:color="auto"/>
        <w:right w:val="none" w:sz="0" w:space="0" w:color="auto"/>
      </w:divBdr>
    </w:div>
    <w:div w:id="949821779">
      <w:bodyDiv w:val="1"/>
      <w:marLeft w:val="0"/>
      <w:marRight w:val="0"/>
      <w:marTop w:val="0"/>
      <w:marBottom w:val="0"/>
      <w:divBdr>
        <w:top w:val="none" w:sz="0" w:space="0" w:color="auto"/>
        <w:left w:val="none" w:sz="0" w:space="0" w:color="auto"/>
        <w:bottom w:val="none" w:sz="0" w:space="0" w:color="auto"/>
        <w:right w:val="none" w:sz="0" w:space="0" w:color="auto"/>
      </w:divBdr>
      <w:divsChild>
        <w:div w:id="503978244">
          <w:marLeft w:val="0"/>
          <w:marRight w:val="0"/>
          <w:marTop w:val="0"/>
          <w:marBottom w:val="0"/>
          <w:divBdr>
            <w:top w:val="none" w:sz="0" w:space="0" w:color="auto"/>
            <w:left w:val="none" w:sz="0" w:space="0" w:color="auto"/>
            <w:bottom w:val="none" w:sz="0" w:space="0" w:color="auto"/>
            <w:right w:val="none" w:sz="0" w:space="0" w:color="auto"/>
          </w:divBdr>
          <w:divsChild>
            <w:div w:id="1240752696">
              <w:marLeft w:val="0"/>
              <w:marRight w:val="0"/>
              <w:marTop w:val="0"/>
              <w:marBottom w:val="0"/>
              <w:divBdr>
                <w:top w:val="none" w:sz="0" w:space="0" w:color="auto"/>
                <w:left w:val="none" w:sz="0" w:space="0" w:color="auto"/>
                <w:bottom w:val="none" w:sz="0" w:space="0" w:color="auto"/>
                <w:right w:val="none" w:sz="0" w:space="0" w:color="auto"/>
              </w:divBdr>
              <w:divsChild>
                <w:div w:id="1915774535">
                  <w:marLeft w:val="0"/>
                  <w:marRight w:val="0"/>
                  <w:marTop w:val="0"/>
                  <w:marBottom w:val="0"/>
                  <w:divBdr>
                    <w:top w:val="none" w:sz="0" w:space="0" w:color="auto"/>
                    <w:left w:val="none" w:sz="0" w:space="0" w:color="auto"/>
                    <w:bottom w:val="none" w:sz="0" w:space="0" w:color="auto"/>
                    <w:right w:val="none" w:sz="0" w:space="0" w:color="auto"/>
                  </w:divBdr>
                  <w:divsChild>
                    <w:div w:id="94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8927">
      <w:bodyDiv w:val="1"/>
      <w:marLeft w:val="0"/>
      <w:marRight w:val="0"/>
      <w:marTop w:val="0"/>
      <w:marBottom w:val="0"/>
      <w:divBdr>
        <w:top w:val="none" w:sz="0" w:space="0" w:color="auto"/>
        <w:left w:val="none" w:sz="0" w:space="0" w:color="auto"/>
        <w:bottom w:val="none" w:sz="0" w:space="0" w:color="auto"/>
        <w:right w:val="none" w:sz="0" w:space="0" w:color="auto"/>
      </w:divBdr>
    </w:div>
    <w:div w:id="952445524">
      <w:bodyDiv w:val="1"/>
      <w:marLeft w:val="0"/>
      <w:marRight w:val="0"/>
      <w:marTop w:val="0"/>
      <w:marBottom w:val="0"/>
      <w:divBdr>
        <w:top w:val="none" w:sz="0" w:space="0" w:color="auto"/>
        <w:left w:val="none" w:sz="0" w:space="0" w:color="auto"/>
        <w:bottom w:val="none" w:sz="0" w:space="0" w:color="auto"/>
        <w:right w:val="none" w:sz="0" w:space="0" w:color="auto"/>
      </w:divBdr>
    </w:div>
    <w:div w:id="952705961">
      <w:bodyDiv w:val="1"/>
      <w:marLeft w:val="0"/>
      <w:marRight w:val="0"/>
      <w:marTop w:val="0"/>
      <w:marBottom w:val="0"/>
      <w:divBdr>
        <w:top w:val="none" w:sz="0" w:space="0" w:color="auto"/>
        <w:left w:val="none" w:sz="0" w:space="0" w:color="auto"/>
        <w:bottom w:val="none" w:sz="0" w:space="0" w:color="auto"/>
        <w:right w:val="none" w:sz="0" w:space="0" w:color="auto"/>
      </w:divBdr>
      <w:divsChild>
        <w:div w:id="64183614">
          <w:marLeft w:val="0"/>
          <w:marRight w:val="0"/>
          <w:marTop w:val="0"/>
          <w:marBottom w:val="0"/>
          <w:divBdr>
            <w:top w:val="none" w:sz="0" w:space="0" w:color="auto"/>
            <w:left w:val="none" w:sz="0" w:space="0" w:color="auto"/>
            <w:bottom w:val="none" w:sz="0" w:space="0" w:color="auto"/>
            <w:right w:val="none" w:sz="0" w:space="0" w:color="auto"/>
          </w:divBdr>
          <w:divsChild>
            <w:div w:id="1569460258">
              <w:marLeft w:val="0"/>
              <w:marRight w:val="0"/>
              <w:marTop w:val="0"/>
              <w:marBottom w:val="0"/>
              <w:divBdr>
                <w:top w:val="none" w:sz="0" w:space="0" w:color="auto"/>
                <w:left w:val="none" w:sz="0" w:space="0" w:color="auto"/>
                <w:bottom w:val="none" w:sz="0" w:space="0" w:color="auto"/>
                <w:right w:val="none" w:sz="0" w:space="0" w:color="auto"/>
              </w:divBdr>
              <w:divsChild>
                <w:div w:id="1224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0520">
      <w:bodyDiv w:val="1"/>
      <w:marLeft w:val="0"/>
      <w:marRight w:val="0"/>
      <w:marTop w:val="0"/>
      <w:marBottom w:val="0"/>
      <w:divBdr>
        <w:top w:val="none" w:sz="0" w:space="0" w:color="auto"/>
        <w:left w:val="none" w:sz="0" w:space="0" w:color="auto"/>
        <w:bottom w:val="none" w:sz="0" w:space="0" w:color="auto"/>
        <w:right w:val="none" w:sz="0" w:space="0" w:color="auto"/>
      </w:divBdr>
    </w:div>
    <w:div w:id="959922697">
      <w:bodyDiv w:val="1"/>
      <w:marLeft w:val="0"/>
      <w:marRight w:val="0"/>
      <w:marTop w:val="0"/>
      <w:marBottom w:val="0"/>
      <w:divBdr>
        <w:top w:val="none" w:sz="0" w:space="0" w:color="auto"/>
        <w:left w:val="none" w:sz="0" w:space="0" w:color="auto"/>
        <w:bottom w:val="none" w:sz="0" w:space="0" w:color="auto"/>
        <w:right w:val="none" w:sz="0" w:space="0" w:color="auto"/>
      </w:divBdr>
      <w:divsChild>
        <w:div w:id="130950521">
          <w:marLeft w:val="0"/>
          <w:marRight w:val="0"/>
          <w:marTop w:val="0"/>
          <w:marBottom w:val="0"/>
          <w:divBdr>
            <w:top w:val="none" w:sz="0" w:space="0" w:color="auto"/>
            <w:left w:val="none" w:sz="0" w:space="0" w:color="auto"/>
            <w:bottom w:val="none" w:sz="0" w:space="0" w:color="auto"/>
            <w:right w:val="none" w:sz="0" w:space="0" w:color="auto"/>
          </w:divBdr>
          <w:divsChild>
            <w:div w:id="1762099069">
              <w:marLeft w:val="0"/>
              <w:marRight w:val="0"/>
              <w:marTop w:val="0"/>
              <w:marBottom w:val="0"/>
              <w:divBdr>
                <w:top w:val="none" w:sz="0" w:space="0" w:color="auto"/>
                <w:left w:val="none" w:sz="0" w:space="0" w:color="auto"/>
                <w:bottom w:val="none" w:sz="0" w:space="0" w:color="auto"/>
                <w:right w:val="none" w:sz="0" w:space="0" w:color="auto"/>
              </w:divBdr>
              <w:divsChild>
                <w:div w:id="6292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3284">
      <w:bodyDiv w:val="1"/>
      <w:marLeft w:val="0"/>
      <w:marRight w:val="0"/>
      <w:marTop w:val="0"/>
      <w:marBottom w:val="0"/>
      <w:divBdr>
        <w:top w:val="none" w:sz="0" w:space="0" w:color="auto"/>
        <w:left w:val="none" w:sz="0" w:space="0" w:color="auto"/>
        <w:bottom w:val="none" w:sz="0" w:space="0" w:color="auto"/>
        <w:right w:val="none" w:sz="0" w:space="0" w:color="auto"/>
      </w:divBdr>
    </w:div>
    <w:div w:id="972760047">
      <w:bodyDiv w:val="1"/>
      <w:marLeft w:val="0"/>
      <w:marRight w:val="0"/>
      <w:marTop w:val="0"/>
      <w:marBottom w:val="0"/>
      <w:divBdr>
        <w:top w:val="none" w:sz="0" w:space="0" w:color="auto"/>
        <w:left w:val="none" w:sz="0" w:space="0" w:color="auto"/>
        <w:bottom w:val="none" w:sz="0" w:space="0" w:color="auto"/>
        <w:right w:val="none" w:sz="0" w:space="0" w:color="auto"/>
      </w:divBdr>
    </w:div>
    <w:div w:id="982470411">
      <w:bodyDiv w:val="1"/>
      <w:marLeft w:val="0"/>
      <w:marRight w:val="0"/>
      <w:marTop w:val="0"/>
      <w:marBottom w:val="0"/>
      <w:divBdr>
        <w:top w:val="none" w:sz="0" w:space="0" w:color="auto"/>
        <w:left w:val="none" w:sz="0" w:space="0" w:color="auto"/>
        <w:bottom w:val="none" w:sz="0" w:space="0" w:color="auto"/>
        <w:right w:val="none" w:sz="0" w:space="0" w:color="auto"/>
      </w:divBdr>
      <w:divsChild>
        <w:div w:id="1652949971">
          <w:marLeft w:val="0"/>
          <w:marRight w:val="0"/>
          <w:marTop w:val="0"/>
          <w:marBottom w:val="0"/>
          <w:divBdr>
            <w:top w:val="none" w:sz="0" w:space="0" w:color="auto"/>
            <w:left w:val="none" w:sz="0" w:space="0" w:color="auto"/>
            <w:bottom w:val="none" w:sz="0" w:space="0" w:color="auto"/>
            <w:right w:val="none" w:sz="0" w:space="0" w:color="auto"/>
          </w:divBdr>
          <w:divsChild>
            <w:div w:id="926767893">
              <w:marLeft w:val="0"/>
              <w:marRight w:val="0"/>
              <w:marTop w:val="0"/>
              <w:marBottom w:val="0"/>
              <w:divBdr>
                <w:top w:val="none" w:sz="0" w:space="0" w:color="auto"/>
                <w:left w:val="none" w:sz="0" w:space="0" w:color="auto"/>
                <w:bottom w:val="none" w:sz="0" w:space="0" w:color="auto"/>
                <w:right w:val="none" w:sz="0" w:space="0" w:color="auto"/>
              </w:divBdr>
              <w:divsChild>
                <w:div w:id="1207643164">
                  <w:marLeft w:val="0"/>
                  <w:marRight w:val="0"/>
                  <w:marTop w:val="0"/>
                  <w:marBottom w:val="0"/>
                  <w:divBdr>
                    <w:top w:val="none" w:sz="0" w:space="0" w:color="auto"/>
                    <w:left w:val="none" w:sz="0" w:space="0" w:color="auto"/>
                    <w:bottom w:val="none" w:sz="0" w:space="0" w:color="auto"/>
                    <w:right w:val="none" w:sz="0" w:space="0" w:color="auto"/>
                  </w:divBdr>
                  <w:divsChild>
                    <w:div w:id="9738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80771">
      <w:bodyDiv w:val="1"/>
      <w:marLeft w:val="0"/>
      <w:marRight w:val="0"/>
      <w:marTop w:val="0"/>
      <w:marBottom w:val="0"/>
      <w:divBdr>
        <w:top w:val="none" w:sz="0" w:space="0" w:color="auto"/>
        <w:left w:val="none" w:sz="0" w:space="0" w:color="auto"/>
        <w:bottom w:val="none" w:sz="0" w:space="0" w:color="auto"/>
        <w:right w:val="none" w:sz="0" w:space="0" w:color="auto"/>
      </w:divBdr>
    </w:div>
    <w:div w:id="993411652">
      <w:bodyDiv w:val="1"/>
      <w:marLeft w:val="0"/>
      <w:marRight w:val="0"/>
      <w:marTop w:val="0"/>
      <w:marBottom w:val="0"/>
      <w:divBdr>
        <w:top w:val="none" w:sz="0" w:space="0" w:color="auto"/>
        <w:left w:val="none" w:sz="0" w:space="0" w:color="auto"/>
        <w:bottom w:val="none" w:sz="0" w:space="0" w:color="auto"/>
        <w:right w:val="none" w:sz="0" w:space="0" w:color="auto"/>
      </w:divBdr>
      <w:divsChild>
        <w:div w:id="749932336">
          <w:marLeft w:val="0"/>
          <w:marRight w:val="0"/>
          <w:marTop w:val="0"/>
          <w:marBottom w:val="0"/>
          <w:divBdr>
            <w:top w:val="none" w:sz="0" w:space="0" w:color="auto"/>
            <w:left w:val="none" w:sz="0" w:space="0" w:color="auto"/>
            <w:bottom w:val="none" w:sz="0" w:space="0" w:color="auto"/>
            <w:right w:val="none" w:sz="0" w:space="0" w:color="auto"/>
          </w:divBdr>
          <w:divsChild>
            <w:div w:id="1483697144">
              <w:marLeft w:val="0"/>
              <w:marRight w:val="0"/>
              <w:marTop w:val="0"/>
              <w:marBottom w:val="0"/>
              <w:divBdr>
                <w:top w:val="none" w:sz="0" w:space="0" w:color="auto"/>
                <w:left w:val="none" w:sz="0" w:space="0" w:color="auto"/>
                <w:bottom w:val="none" w:sz="0" w:space="0" w:color="auto"/>
                <w:right w:val="none" w:sz="0" w:space="0" w:color="auto"/>
              </w:divBdr>
              <w:divsChild>
                <w:div w:id="1616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94253">
      <w:bodyDiv w:val="1"/>
      <w:marLeft w:val="0"/>
      <w:marRight w:val="0"/>
      <w:marTop w:val="0"/>
      <w:marBottom w:val="0"/>
      <w:divBdr>
        <w:top w:val="none" w:sz="0" w:space="0" w:color="auto"/>
        <w:left w:val="none" w:sz="0" w:space="0" w:color="auto"/>
        <w:bottom w:val="none" w:sz="0" w:space="0" w:color="auto"/>
        <w:right w:val="none" w:sz="0" w:space="0" w:color="auto"/>
      </w:divBdr>
    </w:div>
    <w:div w:id="1010640646">
      <w:bodyDiv w:val="1"/>
      <w:marLeft w:val="0"/>
      <w:marRight w:val="0"/>
      <w:marTop w:val="0"/>
      <w:marBottom w:val="0"/>
      <w:divBdr>
        <w:top w:val="none" w:sz="0" w:space="0" w:color="auto"/>
        <w:left w:val="none" w:sz="0" w:space="0" w:color="auto"/>
        <w:bottom w:val="none" w:sz="0" w:space="0" w:color="auto"/>
        <w:right w:val="none" w:sz="0" w:space="0" w:color="auto"/>
      </w:divBdr>
    </w:div>
    <w:div w:id="1016232984">
      <w:bodyDiv w:val="1"/>
      <w:marLeft w:val="0"/>
      <w:marRight w:val="0"/>
      <w:marTop w:val="0"/>
      <w:marBottom w:val="0"/>
      <w:divBdr>
        <w:top w:val="none" w:sz="0" w:space="0" w:color="auto"/>
        <w:left w:val="none" w:sz="0" w:space="0" w:color="auto"/>
        <w:bottom w:val="none" w:sz="0" w:space="0" w:color="auto"/>
        <w:right w:val="none" w:sz="0" w:space="0" w:color="auto"/>
      </w:divBdr>
      <w:divsChild>
        <w:div w:id="1369255717">
          <w:marLeft w:val="0"/>
          <w:marRight w:val="0"/>
          <w:marTop w:val="0"/>
          <w:marBottom w:val="0"/>
          <w:divBdr>
            <w:top w:val="none" w:sz="0" w:space="0" w:color="auto"/>
            <w:left w:val="none" w:sz="0" w:space="0" w:color="auto"/>
            <w:bottom w:val="none" w:sz="0" w:space="0" w:color="auto"/>
            <w:right w:val="none" w:sz="0" w:space="0" w:color="auto"/>
          </w:divBdr>
          <w:divsChild>
            <w:div w:id="1083182293">
              <w:marLeft w:val="0"/>
              <w:marRight w:val="0"/>
              <w:marTop w:val="0"/>
              <w:marBottom w:val="0"/>
              <w:divBdr>
                <w:top w:val="none" w:sz="0" w:space="0" w:color="auto"/>
                <w:left w:val="none" w:sz="0" w:space="0" w:color="auto"/>
                <w:bottom w:val="none" w:sz="0" w:space="0" w:color="auto"/>
                <w:right w:val="none" w:sz="0" w:space="0" w:color="auto"/>
              </w:divBdr>
              <w:divsChild>
                <w:div w:id="15630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0748">
      <w:bodyDiv w:val="1"/>
      <w:marLeft w:val="0"/>
      <w:marRight w:val="0"/>
      <w:marTop w:val="0"/>
      <w:marBottom w:val="0"/>
      <w:divBdr>
        <w:top w:val="none" w:sz="0" w:space="0" w:color="auto"/>
        <w:left w:val="none" w:sz="0" w:space="0" w:color="auto"/>
        <w:bottom w:val="none" w:sz="0" w:space="0" w:color="auto"/>
        <w:right w:val="none" w:sz="0" w:space="0" w:color="auto"/>
      </w:divBdr>
      <w:divsChild>
        <w:div w:id="2060350704">
          <w:marLeft w:val="0"/>
          <w:marRight w:val="0"/>
          <w:marTop w:val="0"/>
          <w:marBottom w:val="0"/>
          <w:divBdr>
            <w:top w:val="none" w:sz="0" w:space="0" w:color="auto"/>
            <w:left w:val="none" w:sz="0" w:space="0" w:color="auto"/>
            <w:bottom w:val="none" w:sz="0" w:space="0" w:color="auto"/>
            <w:right w:val="none" w:sz="0" w:space="0" w:color="auto"/>
          </w:divBdr>
          <w:divsChild>
            <w:div w:id="1006127219">
              <w:marLeft w:val="0"/>
              <w:marRight w:val="0"/>
              <w:marTop w:val="0"/>
              <w:marBottom w:val="0"/>
              <w:divBdr>
                <w:top w:val="none" w:sz="0" w:space="0" w:color="auto"/>
                <w:left w:val="none" w:sz="0" w:space="0" w:color="auto"/>
                <w:bottom w:val="none" w:sz="0" w:space="0" w:color="auto"/>
                <w:right w:val="none" w:sz="0" w:space="0" w:color="auto"/>
              </w:divBdr>
              <w:divsChild>
                <w:div w:id="1527135985">
                  <w:marLeft w:val="0"/>
                  <w:marRight w:val="0"/>
                  <w:marTop w:val="0"/>
                  <w:marBottom w:val="0"/>
                  <w:divBdr>
                    <w:top w:val="none" w:sz="0" w:space="0" w:color="auto"/>
                    <w:left w:val="none" w:sz="0" w:space="0" w:color="auto"/>
                    <w:bottom w:val="none" w:sz="0" w:space="0" w:color="auto"/>
                    <w:right w:val="none" w:sz="0" w:space="0" w:color="auto"/>
                  </w:divBdr>
                  <w:divsChild>
                    <w:div w:id="1921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89098">
      <w:bodyDiv w:val="1"/>
      <w:marLeft w:val="0"/>
      <w:marRight w:val="0"/>
      <w:marTop w:val="0"/>
      <w:marBottom w:val="0"/>
      <w:divBdr>
        <w:top w:val="none" w:sz="0" w:space="0" w:color="auto"/>
        <w:left w:val="none" w:sz="0" w:space="0" w:color="auto"/>
        <w:bottom w:val="none" w:sz="0" w:space="0" w:color="auto"/>
        <w:right w:val="none" w:sz="0" w:space="0" w:color="auto"/>
      </w:divBdr>
      <w:divsChild>
        <w:div w:id="353503945">
          <w:marLeft w:val="0"/>
          <w:marRight w:val="0"/>
          <w:marTop w:val="0"/>
          <w:marBottom w:val="0"/>
          <w:divBdr>
            <w:top w:val="none" w:sz="0" w:space="0" w:color="auto"/>
            <w:left w:val="none" w:sz="0" w:space="0" w:color="auto"/>
            <w:bottom w:val="none" w:sz="0" w:space="0" w:color="auto"/>
            <w:right w:val="none" w:sz="0" w:space="0" w:color="auto"/>
          </w:divBdr>
          <w:divsChild>
            <w:div w:id="2052076585">
              <w:marLeft w:val="0"/>
              <w:marRight w:val="0"/>
              <w:marTop w:val="0"/>
              <w:marBottom w:val="0"/>
              <w:divBdr>
                <w:top w:val="none" w:sz="0" w:space="0" w:color="auto"/>
                <w:left w:val="none" w:sz="0" w:space="0" w:color="auto"/>
                <w:bottom w:val="none" w:sz="0" w:space="0" w:color="auto"/>
                <w:right w:val="none" w:sz="0" w:space="0" w:color="auto"/>
              </w:divBdr>
              <w:divsChild>
                <w:div w:id="20959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79756">
      <w:bodyDiv w:val="1"/>
      <w:marLeft w:val="0"/>
      <w:marRight w:val="0"/>
      <w:marTop w:val="0"/>
      <w:marBottom w:val="0"/>
      <w:divBdr>
        <w:top w:val="none" w:sz="0" w:space="0" w:color="auto"/>
        <w:left w:val="none" w:sz="0" w:space="0" w:color="auto"/>
        <w:bottom w:val="none" w:sz="0" w:space="0" w:color="auto"/>
        <w:right w:val="none" w:sz="0" w:space="0" w:color="auto"/>
      </w:divBdr>
    </w:div>
    <w:div w:id="1025912152">
      <w:bodyDiv w:val="1"/>
      <w:marLeft w:val="0"/>
      <w:marRight w:val="0"/>
      <w:marTop w:val="0"/>
      <w:marBottom w:val="0"/>
      <w:divBdr>
        <w:top w:val="none" w:sz="0" w:space="0" w:color="auto"/>
        <w:left w:val="none" w:sz="0" w:space="0" w:color="auto"/>
        <w:bottom w:val="none" w:sz="0" w:space="0" w:color="auto"/>
        <w:right w:val="none" w:sz="0" w:space="0" w:color="auto"/>
      </w:divBdr>
      <w:divsChild>
        <w:div w:id="266935179">
          <w:marLeft w:val="0"/>
          <w:marRight w:val="0"/>
          <w:marTop w:val="0"/>
          <w:marBottom w:val="0"/>
          <w:divBdr>
            <w:top w:val="none" w:sz="0" w:space="0" w:color="auto"/>
            <w:left w:val="none" w:sz="0" w:space="0" w:color="auto"/>
            <w:bottom w:val="none" w:sz="0" w:space="0" w:color="auto"/>
            <w:right w:val="none" w:sz="0" w:space="0" w:color="auto"/>
          </w:divBdr>
          <w:divsChild>
            <w:div w:id="2080710178">
              <w:marLeft w:val="0"/>
              <w:marRight w:val="0"/>
              <w:marTop w:val="0"/>
              <w:marBottom w:val="0"/>
              <w:divBdr>
                <w:top w:val="none" w:sz="0" w:space="0" w:color="auto"/>
                <w:left w:val="none" w:sz="0" w:space="0" w:color="auto"/>
                <w:bottom w:val="none" w:sz="0" w:space="0" w:color="auto"/>
                <w:right w:val="none" w:sz="0" w:space="0" w:color="auto"/>
              </w:divBdr>
              <w:divsChild>
                <w:div w:id="1615400404">
                  <w:marLeft w:val="0"/>
                  <w:marRight w:val="0"/>
                  <w:marTop w:val="0"/>
                  <w:marBottom w:val="0"/>
                  <w:divBdr>
                    <w:top w:val="none" w:sz="0" w:space="0" w:color="auto"/>
                    <w:left w:val="none" w:sz="0" w:space="0" w:color="auto"/>
                    <w:bottom w:val="none" w:sz="0" w:space="0" w:color="auto"/>
                    <w:right w:val="none" w:sz="0" w:space="0" w:color="auto"/>
                  </w:divBdr>
                  <w:divsChild>
                    <w:div w:id="3797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6134">
      <w:bodyDiv w:val="1"/>
      <w:marLeft w:val="0"/>
      <w:marRight w:val="0"/>
      <w:marTop w:val="0"/>
      <w:marBottom w:val="0"/>
      <w:divBdr>
        <w:top w:val="none" w:sz="0" w:space="0" w:color="auto"/>
        <w:left w:val="none" w:sz="0" w:space="0" w:color="auto"/>
        <w:bottom w:val="none" w:sz="0" w:space="0" w:color="auto"/>
        <w:right w:val="none" w:sz="0" w:space="0" w:color="auto"/>
      </w:divBdr>
      <w:divsChild>
        <w:div w:id="1834181634">
          <w:marLeft w:val="0"/>
          <w:marRight w:val="0"/>
          <w:marTop w:val="0"/>
          <w:marBottom w:val="0"/>
          <w:divBdr>
            <w:top w:val="none" w:sz="0" w:space="0" w:color="auto"/>
            <w:left w:val="none" w:sz="0" w:space="0" w:color="auto"/>
            <w:bottom w:val="none" w:sz="0" w:space="0" w:color="auto"/>
            <w:right w:val="none" w:sz="0" w:space="0" w:color="auto"/>
          </w:divBdr>
          <w:divsChild>
            <w:div w:id="1743678281">
              <w:marLeft w:val="0"/>
              <w:marRight w:val="0"/>
              <w:marTop w:val="0"/>
              <w:marBottom w:val="0"/>
              <w:divBdr>
                <w:top w:val="none" w:sz="0" w:space="0" w:color="auto"/>
                <w:left w:val="none" w:sz="0" w:space="0" w:color="auto"/>
                <w:bottom w:val="none" w:sz="0" w:space="0" w:color="auto"/>
                <w:right w:val="none" w:sz="0" w:space="0" w:color="auto"/>
              </w:divBdr>
              <w:divsChild>
                <w:div w:id="11208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2969">
      <w:bodyDiv w:val="1"/>
      <w:marLeft w:val="0"/>
      <w:marRight w:val="0"/>
      <w:marTop w:val="0"/>
      <w:marBottom w:val="0"/>
      <w:divBdr>
        <w:top w:val="none" w:sz="0" w:space="0" w:color="auto"/>
        <w:left w:val="none" w:sz="0" w:space="0" w:color="auto"/>
        <w:bottom w:val="none" w:sz="0" w:space="0" w:color="auto"/>
        <w:right w:val="none" w:sz="0" w:space="0" w:color="auto"/>
      </w:divBdr>
      <w:divsChild>
        <w:div w:id="404181102">
          <w:marLeft w:val="0"/>
          <w:marRight w:val="0"/>
          <w:marTop w:val="0"/>
          <w:marBottom w:val="0"/>
          <w:divBdr>
            <w:top w:val="none" w:sz="0" w:space="0" w:color="auto"/>
            <w:left w:val="none" w:sz="0" w:space="0" w:color="auto"/>
            <w:bottom w:val="none" w:sz="0" w:space="0" w:color="auto"/>
            <w:right w:val="none" w:sz="0" w:space="0" w:color="auto"/>
          </w:divBdr>
          <w:divsChild>
            <w:div w:id="1471747848">
              <w:marLeft w:val="0"/>
              <w:marRight w:val="0"/>
              <w:marTop w:val="0"/>
              <w:marBottom w:val="0"/>
              <w:divBdr>
                <w:top w:val="none" w:sz="0" w:space="0" w:color="auto"/>
                <w:left w:val="none" w:sz="0" w:space="0" w:color="auto"/>
                <w:bottom w:val="none" w:sz="0" w:space="0" w:color="auto"/>
                <w:right w:val="none" w:sz="0" w:space="0" w:color="auto"/>
              </w:divBdr>
              <w:divsChild>
                <w:div w:id="14340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9835">
      <w:bodyDiv w:val="1"/>
      <w:marLeft w:val="0"/>
      <w:marRight w:val="0"/>
      <w:marTop w:val="0"/>
      <w:marBottom w:val="0"/>
      <w:divBdr>
        <w:top w:val="none" w:sz="0" w:space="0" w:color="auto"/>
        <w:left w:val="none" w:sz="0" w:space="0" w:color="auto"/>
        <w:bottom w:val="none" w:sz="0" w:space="0" w:color="auto"/>
        <w:right w:val="none" w:sz="0" w:space="0" w:color="auto"/>
      </w:divBdr>
      <w:divsChild>
        <w:div w:id="1155605882">
          <w:marLeft w:val="0"/>
          <w:marRight w:val="0"/>
          <w:marTop w:val="0"/>
          <w:marBottom w:val="0"/>
          <w:divBdr>
            <w:top w:val="none" w:sz="0" w:space="0" w:color="auto"/>
            <w:left w:val="none" w:sz="0" w:space="0" w:color="auto"/>
            <w:bottom w:val="none" w:sz="0" w:space="0" w:color="auto"/>
            <w:right w:val="none" w:sz="0" w:space="0" w:color="auto"/>
          </w:divBdr>
          <w:divsChild>
            <w:div w:id="1585063563">
              <w:marLeft w:val="0"/>
              <w:marRight w:val="0"/>
              <w:marTop w:val="0"/>
              <w:marBottom w:val="0"/>
              <w:divBdr>
                <w:top w:val="none" w:sz="0" w:space="0" w:color="auto"/>
                <w:left w:val="none" w:sz="0" w:space="0" w:color="auto"/>
                <w:bottom w:val="none" w:sz="0" w:space="0" w:color="auto"/>
                <w:right w:val="none" w:sz="0" w:space="0" w:color="auto"/>
              </w:divBdr>
              <w:divsChild>
                <w:div w:id="1687556283">
                  <w:marLeft w:val="0"/>
                  <w:marRight w:val="0"/>
                  <w:marTop w:val="0"/>
                  <w:marBottom w:val="0"/>
                  <w:divBdr>
                    <w:top w:val="none" w:sz="0" w:space="0" w:color="auto"/>
                    <w:left w:val="none" w:sz="0" w:space="0" w:color="auto"/>
                    <w:bottom w:val="none" w:sz="0" w:space="0" w:color="auto"/>
                    <w:right w:val="none" w:sz="0" w:space="0" w:color="auto"/>
                  </w:divBdr>
                  <w:divsChild>
                    <w:div w:id="12991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937317">
      <w:bodyDiv w:val="1"/>
      <w:marLeft w:val="0"/>
      <w:marRight w:val="0"/>
      <w:marTop w:val="0"/>
      <w:marBottom w:val="0"/>
      <w:divBdr>
        <w:top w:val="none" w:sz="0" w:space="0" w:color="auto"/>
        <w:left w:val="none" w:sz="0" w:space="0" w:color="auto"/>
        <w:bottom w:val="none" w:sz="0" w:space="0" w:color="auto"/>
        <w:right w:val="none" w:sz="0" w:space="0" w:color="auto"/>
      </w:divBdr>
      <w:divsChild>
        <w:div w:id="659578157">
          <w:marLeft w:val="0"/>
          <w:marRight w:val="0"/>
          <w:marTop w:val="0"/>
          <w:marBottom w:val="0"/>
          <w:divBdr>
            <w:top w:val="none" w:sz="0" w:space="0" w:color="auto"/>
            <w:left w:val="none" w:sz="0" w:space="0" w:color="auto"/>
            <w:bottom w:val="none" w:sz="0" w:space="0" w:color="auto"/>
            <w:right w:val="none" w:sz="0" w:space="0" w:color="auto"/>
          </w:divBdr>
          <w:divsChild>
            <w:div w:id="1388607611">
              <w:marLeft w:val="0"/>
              <w:marRight w:val="0"/>
              <w:marTop w:val="0"/>
              <w:marBottom w:val="0"/>
              <w:divBdr>
                <w:top w:val="none" w:sz="0" w:space="0" w:color="auto"/>
                <w:left w:val="none" w:sz="0" w:space="0" w:color="auto"/>
                <w:bottom w:val="none" w:sz="0" w:space="0" w:color="auto"/>
                <w:right w:val="none" w:sz="0" w:space="0" w:color="auto"/>
              </w:divBdr>
              <w:divsChild>
                <w:div w:id="904070293">
                  <w:marLeft w:val="0"/>
                  <w:marRight w:val="0"/>
                  <w:marTop w:val="0"/>
                  <w:marBottom w:val="0"/>
                  <w:divBdr>
                    <w:top w:val="none" w:sz="0" w:space="0" w:color="auto"/>
                    <w:left w:val="none" w:sz="0" w:space="0" w:color="auto"/>
                    <w:bottom w:val="none" w:sz="0" w:space="0" w:color="auto"/>
                    <w:right w:val="none" w:sz="0" w:space="0" w:color="auto"/>
                  </w:divBdr>
                  <w:divsChild>
                    <w:div w:id="20374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8820">
      <w:bodyDiv w:val="1"/>
      <w:marLeft w:val="0"/>
      <w:marRight w:val="0"/>
      <w:marTop w:val="0"/>
      <w:marBottom w:val="0"/>
      <w:divBdr>
        <w:top w:val="none" w:sz="0" w:space="0" w:color="auto"/>
        <w:left w:val="none" w:sz="0" w:space="0" w:color="auto"/>
        <w:bottom w:val="none" w:sz="0" w:space="0" w:color="auto"/>
        <w:right w:val="none" w:sz="0" w:space="0" w:color="auto"/>
      </w:divBdr>
      <w:divsChild>
        <w:div w:id="676155232">
          <w:marLeft w:val="0"/>
          <w:marRight w:val="0"/>
          <w:marTop w:val="0"/>
          <w:marBottom w:val="0"/>
          <w:divBdr>
            <w:top w:val="none" w:sz="0" w:space="0" w:color="auto"/>
            <w:left w:val="none" w:sz="0" w:space="0" w:color="auto"/>
            <w:bottom w:val="none" w:sz="0" w:space="0" w:color="auto"/>
            <w:right w:val="none" w:sz="0" w:space="0" w:color="auto"/>
          </w:divBdr>
          <w:divsChild>
            <w:div w:id="1959751398">
              <w:marLeft w:val="0"/>
              <w:marRight w:val="0"/>
              <w:marTop w:val="0"/>
              <w:marBottom w:val="0"/>
              <w:divBdr>
                <w:top w:val="none" w:sz="0" w:space="0" w:color="auto"/>
                <w:left w:val="none" w:sz="0" w:space="0" w:color="auto"/>
                <w:bottom w:val="none" w:sz="0" w:space="0" w:color="auto"/>
                <w:right w:val="none" w:sz="0" w:space="0" w:color="auto"/>
              </w:divBdr>
              <w:divsChild>
                <w:div w:id="748116708">
                  <w:marLeft w:val="0"/>
                  <w:marRight w:val="0"/>
                  <w:marTop w:val="0"/>
                  <w:marBottom w:val="0"/>
                  <w:divBdr>
                    <w:top w:val="none" w:sz="0" w:space="0" w:color="auto"/>
                    <w:left w:val="none" w:sz="0" w:space="0" w:color="auto"/>
                    <w:bottom w:val="none" w:sz="0" w:space="0" w:color="auto"/>
                    <w:right w:val="none" w:sz="0" w:space="0" w:color="auto"/>
                  </w:divBdr>
                  <w:divsChild>
                    <w:div w:id="409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360574">
      <w:bodyDiv w:val="1"/>
      <w:marLeft w:val="0"/>
      <w:marRight w:val="0"/>
      <w:marTop w:val="0"/>
      <w:marBottom w:val="0"/>
      <w:divBdr>
        <w:top w:val="none" w:sz="0" w:space="0" w:color="auto"/>
        <w:left w:val="none" w:sz="0" w:space="0" w:color="auto"/>
        <w:bottom w:val="none" w:sz="0" w:space="0" w:color="auto"/>
        <w:right w:val="none" w:sz="0" w:space="0" w:color="auto"/>
      </w:divBdr>
    </w:div>
    <w:div w:id="1048379914">
      <w:bodyDiv w:val="1"/>
      <w:marLeft w:val="0"/>
      <w:marRight w:val="0"/>
      <w:marTop w:val="0"/>
      <w:marBottom w:val="0"/>
      <w:divBdr>
        <w:top w:val="none" w:sz="0" w:space="0" w:color="auto"/>
        <w:left w:val="none" w:sz="0" w:space="0" w:color="auto"/>
        <w:bottom w:val="none" w:sz="0" w:space="0" w:color="auto"/>
        <w:right w:val="none" w:sz="0" w:space="0" w:color="auto"/>
      </w:divBdr>
    </w:div>
    <w:div w:id="1066147790">
      <w:bodyDiv w:val="1"/>
      <w:marLeft w:val="0"/>
      <w:marRight w:val="0"/>
      <w:marTop w:val="0"/>
      <w:marBottom w:val="0"/>
      <w:divBdr>
        <w:top w:val="none" w:sz="0" w:space="0" w:color="auto"/>
        <w:left w:val="none" w:sz="0" w:space="0" w:color="auto"/>
        <w:bottom w:val="none" w:sz="0" w:space="0" w:color="auto"/>
        <w:right w:val="none" w:sz="0" w:space="0" w:color="auto"/>
      </w:divBdr>
      <w:divsChild>
        <w:div w:id="234752422">
          <w:marLeft w:val="0"/>
          <w:marRight w:val="0"/>
          <w:marTop w:val="0"/>
          <w:marBottom w:val="0"/>
          <w:divBdr>
            <w:top w:val="none" w:sz="0" w:space="0" w:color="auto"/>
            <w:left w:val="none" w:sz="0" w:space="0" w:color="auto"/>
            <w:bottom w:val="none" w:sz="0" w:space="0" w:color="auto"/>
            <w:right w:val="none" w:sz="0" w:space="0" w:color="auto"/>
          </w:divBdr>
          <w:divsChild>
            <w:div w:id="874854054">
              <w:marLeft w:val="0"/>
              <w:marRight w:val="0"/>
              <w:marTop w:val="0"/>
              <w:marBottom w:val="0"/>
              <w:divBdr>
                <w:top w:val="none" w:sz="0" w:space="0" w:color="auto"/>
                <w:left w:val="none" w:sz="0" w:space="0" w:color="auto"/>
                <w:bottom w:val="none" w:sz="0" w:space="0" w:color="auto"/>
                <w:right w:val="none" w:sz="0" w:space="0" w:color="auto"/>
              </w:divBdr>
              <w:divsChild>
                <w:div w:id="5263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51837">
      <w:bodyDiv w:val="1"/>
      <w:marLeft w:val="0"/>
      <w:marRight w:val="0"/>
      <w:marTop w:val="0"/>
      <w:marBottom w:val="0"/>
      <w:divBdr>
        <w:top w:val="none" w:sz="0" w:space="0" w:color="auto"/>
        <w:left w:val="none" w:sz="0" w:space="0" w:color="auto"/>
        <w:bottom w:val="none" w:sz="0" w:space="0" w:color="auto"/>
        <w:right w:val="none" w:sz="0" w:space="0" w:color="auto"/>
      </w:divBdr>
    </w:div>
    <w:div w:id="1078359774">
      <w:bodyDiv w:val="1"/>
      <w:marLeft w:val="0"/>
      <w:marRight w:val="0"/>
      <w:marTop w:val="0"/>
      <w:marBottom w:val="0"/>
      <w:divBdr>
        <w:top w:val="none" w:sz="0" w:space="0" w:color="auto"/>
        <w:left w:val="none" w:sz="0" w:space="0" w:color="auto"/>
        <w:bottom w:val="none" w:sz="0" w:space="0" w:color="auto"/>
        <w:right w:val="none" w:sz="0" w:space="0" w:color="auto"/>
      </w:divBdr>
    </w:div>
    <w:div w:id="1086420327">
      <w:bodyDiv w:val="1"/>
      <w:marLeft w:val="0"/>
      <w:marRight w:val="0"/>
      <w:marTop w:val="0"/>
      <w:marBottom w:val="0"/>
      <w:divBdr>
        <w:top w:val="none" w:sz="0" w:space="0" w:color="auto"/>
        <w:left w:val="none" w:sz="0" w:space="0" w:color="auto"/>
        <w:bottom w:val="none" w:sz="0" w:space="0" w:color="auto"/>
        <w:right w:val="none" w:sz="0" w:space="0" w:color="auto"/>
      </w:divBdr>
      <w:divsChild>
        <w:div w:id="1604416742">
          <w:marLeft w:val="0"/>
          <w:marRight w:val="0"/>
          <w:marTop w:val="0"/>
          <w:marBottom w:val="0"/>
          <w:divBdr>
            <w:top w:val="none" w:sz="0" w:space="0" w:color="auto"/>
            <w:left w:val="none" w:sz="0" w:space="0" w:color="auto"/>
            <w:bottom w:val="none" w:sz="0" w:space="0" w:color="auto"/>
            <w:right w:val="none" w:sz="0" w:space="0" w:color="auto"/>
          </w:divBdr>
          <w:divsChild>
            <w:div w:id="409697858">
              <w:marLeft w:val="0"/>
              <w:marRight w:val="0"/>
              <w:marTop w:val="0"/>
              <w:marBottom w:val="0"/>
              <w:divBdr>
                <w:top w:val="none" w:sz="0" w:space="0" w:color="auto"/>
                <w:left w:val="none" w:sz="0" w:space="0" w:color="auto"/>
                <w:bottom w:val="none" w:sz="0" w:space="0" w:color="auto"/>
                <w:right w:val="none" w:sz="0" w:space="0" w:color="auto"/>
              </w:divBdr>
              <w:divsChild>
                <w:div w:id="180239044">
                  <w:marLeft w:val="0"/>
                  <w:marRight w:val="0"/>
                  <w:marTop w:val="0"/>
                  <w:marBottom w:val="0"/>
                  <w:divBdr>
                    <w:top w:val="none" w:sz="0" w:space="0" w:color="auto"/>
                    <w:left w:val="none" w:sz="0" w:space="0" w:color="auto"/>
                    <w:bottom w:val="none" w:sz="0" w:space="0" w:color="auto"/>
                    <w:right w:val="none" w:sz="0" w:space="0" w:color="auto"/>
                  </w:divBdr>
                  <w:divsChild>
                    <w:div w:id="1476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355436">
      <w:bodyDiv w:val="1"/>
      <w:marLeft w:val="0"/>
      <w:marRight w:val="0"/>
      <w:marTop w:val="0"/>
      <w:marBottom w:val="0"/>
      <w:divBdr>
        <w:top w:val="none" w:sz="0" w:space="0" w:color="auto"/>
        <w:left w:val="none" w:sz="0" w:space="0" w:color="auto"/>
        <w:bottom w:val="none" w:sz="0" w:space="0" w:color="auto"/>
        <w:right w:val="none" w:sz="0" w:space="0" w:color="auto"/>
      </w:divBdr>
    </w:div>
    <w:div w:id="1093404356">
      <w:bodyDiv w:val="1"/>
      <w:marLeft w:val="0"/>
      <w:marRight w:val="0"/>
      <w:marTop w:val="0"/>
      <w:marBottom w:val="0"/>
      <w:divBdr>
        <w:top w:val="none" w:sz="0" w:space="0" w:color="auto"/>
        <w:left w:val="none" w:sz="0" w:space="0" w:color="auto"/>
        <w:bottom w:val="none" w:sz="0" w:space="0" w:color="auto"/>
        <w:right w:val="none" w:sz="0" w:space="0" w:color="auto"/>
      </w:divBdr>
      <w:divsChild>
        <w:div w:id="251596959">
          <w:marLeft w:val="0"/>
          <w:marRight w:val="0"/>
          <w:marTop w:val="0"/>
          <w:marBottom w:val="0"/>
          <w:divBdr>
            <w:top w:val="none" w:sz="0" w:space="0" w:color="auto"/>
            <w:left w:val="none" w:sz="0" w:space="0" w:color="auto"/>
            <w:bottom w:val="none" w:sz="0" w:space="0" w:color="auto"/>
            <w:right w:val="none" w:sz="0" w:space="0" w:color="auto"/>
          </w:divBdr>
          <w:divsChild>
            <w:div w:id="220749911">
              <w:marLeft w:val="0"/>
              <w:marRight w:val="0"/>
              <w:marTop w:val="0"/>
              <w:marBottom w:val="0"/>
              <w:divBdr>
                <w:top w:val="none" w:sz="0" w:space="0" w:color="auto"/>
                <w:left w:val="none" w:sz="0" w:space="0" w:color="auto"/>
                <w:bottom w:val="none" w:sz="0" w:space="0" w:color="auto"/>
                <w:right w:val="none" w:sz="0" w:space="0" w:color="auto"/>
              </w:divBdr>
              <w:divsChild>
                <w:div w:id="376047760">
                  <w:marLeft w:val="0"/>
                  <w:marRight w:val="0"/>
                  <w:marTop w:val="0"/>
                  <w:marBottom w:val="0"/>
                  <w:divBdr>
                    <w:top w:val="none" w:sz="0" w:space="0" w:color="auto"/>
                    <w:left w:val="none" w:sz="0" w:space="0" w:color="auto"/>
                    <w:bottom w:val="none" w:sz="0" w:space="0" w:color="auto"/>
                    <w:right w:val="none" w:sz="0" w:space="0" w:color="auto"/>
                  </w:divBdr>
                  <w:divsChild>
                    <w:div w:id="7335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85926">
      <w:bodyDiv w:val="1"/>
      <w:marLeft w:val="0"/>
      <w:marRight w:val="0"/>
      <w:marTop w:val="0"/>
      <w:marBottom w:val="0"/>
      <w:divBdr>
        <w:top w:val="none" w:sz="0" w:space="0" w:color="auto"/>
        <w:left w:val="none" w:sz="0" w:space="0" w:color="auto"/>
        <w:bottom w:val="none" w:sz="0" w:space="0" w:color="auto"/>
        <w:right w:val="none" w:sz="0" w:space="0" w:color="auto"/>
      </w:divBdr>
    </w:div>
    <w:div w:id="1120032377">
      <w:bodyDiv w:val="1"/>
      <w:marLeft w:val="0"/>
      <w:marRight w:val="0"/>
      <w:marTop w:val="0"/>
      <w:marBottom w:val="0"/>
      <w:divBdr>
        <w:top w:val="none" w:sz="0" w:space="0" w:color="auto"/>
        <w:left w:val="none" w:sz="0" w:space="0" w:color="auto"/>
        <w:bottom w:val="none" w:sz="0" w:space="0" w:color="auto"/>
        <w:right w:val="none" w:sz="0" w:space="0" w:color="auto"/>
      </w:divBdr>
      <w:divsChild>
        <w:div w:id="1605579151">
          <w:marLeft w:val="0"/>
          <w:marRight w:val="0"/>
          <w:marTop w:val="0"/>
          <w:marBottom w:val="0"/>
          <w:divBdr>
            <w:top w:val="none" w:sz="0" w:space="0" w:color="auto"/>
            <w:left w:val="none" w:sz="0" w:space="0" w:color="auto"/>
            <w:bottom w:val="none" w:sz="0" w:space="0" w:color="auto"/>
            <w:right w:val="none" w:sz="0" w:space="0" w:color="auto"/>
          </w:divBdr>
          <w:divsChild>
            <w:div w:id="1704280731">
              <w:marLeft w:val="0"/>
              <w:marRight w:val="0"/>
              <w:marTop w:val="0"/>
              <w:marBottom w:val="0"/>
              <w:divBdr>
                <w:top w:val="none" w:sz="0" w:space="0" w:color="auto"/>
                <w:left w:val="none" w:sz="0" w:space="0" w:color="auto"/>
                <w:bottom w:val="none" w:sz="0" w:space="0" w:color="auto"/>
                <w:right w:val="none" w:sz="0" w:space="0" w:color="auto"/>
              </w:divBdr>
              <w:divsChild>
                <w:div w:id="1713532975">
                  <w:marLeft w:val="0"/>
                  <w:marRight w:val="0"/>
                  <w:marTop w:val="0"/>
                  <w:marBottom w:val="0"/>
                  <w:divBdr>
                    <w:top w:val="none" w:sz="0" w:space="0" w:color="auto"/>
                    <w:left w:val="none" w:sz="0" w:space="0" w:color="auto"/>
                    <w:bottom w:val="none" w:sz="0" w:space="0" w:color="auto"/>
                    <w:right w:val="none" w:sz="0" w:space="0" w:color="auto"/>
                  </w:divBdr>
                  <w:divsChild>
                    <w:div w:id="19015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3948">
      <w:bodyDiv w:val="1"/>
      <w:marLeft w:val="0"/>
      <w:marRight w:val="0"/>
      <w:marTop w:val="0"/>
      <w:marBottom w:val="0"/>
      <w:divBdr>
        <w:top w:val="none" w:sz="0" w:space="0" w:color="auto"/>
        <w:left w:val="none" w:sz="0" w:space="0" w:color="auto"/>
        <w:bottom w:val="none" w:sz="0" w:space="0" w:color="auto"/>
        <w:right w:val="none" w:sz="0" w:space="0" w:color="auto"/>
      </w:divBdr>
    </w:div>
    <w:div w:id="1147547794">
      <w:bodyDiv w:val="1"/>
      <w:marLeft w:val="0"/>
      <w:marRight w:val="0"/>
      <w:marTop w:val="0"/>
      <w:marBottom w:val="0"/>
      <w:divBdr>
        <w:top w:val="none" w:sz="0" w:space="0" w:color="auto"/>
        <w:left w:val="none" w:sz="0" w:space="0" w:color="auto"/>
        <w:bottom w:val="none" w:sz="0" w:space="0" w:color="auto"/>
        <w:right w:val="none" w:sz="0" w:space="0" w:color="auto"/>
      </w:divBdr>
    </w:div>
    <w:div w:id="1148861145">
      <w:bodyDiv w:val="1"/>
      <w:marLeft w:val="0"/>
      <w:marRight w:val="0"/>
      <w:marTop w:val="0"/>
      <w:marBottom w:val="0"/>
      <w:divBdr>
        <w:top w:val="none" w:sz="0" w:space="0" w:color="auto"/>
        <w:left w:val="none" w:sz="0" w:space="0" w:color="auto"/>
        <w:bottom w:val="none" w:sz="0" w:space="0" w:color="auto"/>
        <w:right w:val="none" w:sz="0" w:space="0" w:color="auto"/>
      </w:divBdr>
    </w:div>
    <w:div w:id="1150369355">
      <w:bodyDiv w:val="1"/>
      <w:marLeft w:val="0"/>
      <w:marRight w:val="0"/>
      <w:marTop w:val="0"/>
      <w:marBottom w:val="0"/>
      <w:divBdr>
        <w:top w:val="none" w:sz="0" w:space="0" w:color="auto"/>
        <w:left w:val="none" w:sz="0" w:space="0" w:color="auto"/>
        <w:bottom w:val="none" w:sz="0" w:space="0" w:color="auto"/>
        <w:right w:val="none" w:sz="0" w:space="0" w:color="auto"/>
      </w:divBdr>
    </w:div>
    <w:div w:id="1150554939">
      <w:bodyDiv w:val="1"/>
      <w:marLeft w:val="0"/>
      <w:marRight w:val="0"/>
      <w:marTop w:val="0"/>
      <w:marBottom w:val="0"/>
      <w:divBdr>
        <w:top w:val="none" w:sz="0" w:space="0" w:color="auto"/>
        <w:left w:val="none" w:sz="0" w:space="0" w:color="auto"/>
        <w:bottom w:val="none" w:sz="0" w:space="0" w:color="auto"/>
        <w:right w:val="none" w:sz="0" w:space="0" w:color="auto"/>
      </w:divBdr>
    </w:div>
    <w:div w:id="1150560256">
      <w:bodyDiv w:val="1"/>
      <w:marLeft w:val="0"/>
      <w:marRight w:val="0"/>
      <w:marTop w:val="0"/>
      <w:marBottom w:val="0"/>
      <w:divBdr>
        <w:top w:val="none" w:sz="0" w:space="0" w:color="auto"/>
        <w:left w:val="none" w:sz="0" w:space="0" w:color="auto"/>
        <w:bottom w:val="none" w:sz="0" w:space="0" w:color="auto"/>
        <w:right w:val="none" w:sz="0" w:space="0" w:color="auto"/>
      </w:divBdr>
      <w:divsChild>
        <w:div w:id="913079083">
          <w:marLeft w:val="0"/>
          <w:marRight w:val="0"/>
          <w:marTop w:val="0"/>
          <w:marBottom w:val="0"/>
          <w:divBdr>
            <w:top w:val="none" w:sz="0" w:space="0" w:color="auto"/>
            <w:left w:val="none" w:sz="0" w:space="0" w:color="auto"/>
            <w:bottom w:val="none" w:sz="0" w:space="0" w:color="auto"/>
            <w:right w:val="none" w:sz="0" w:space="0" w:color="auto"/>
          </w:divBdr>
          <w:divsChild>
            <w:div w:id="995301996">
              <w:marLeft w:val="0"/>
              <w:marRight w:val="0"/>
              <w:marTop w:val="0"/>
              <w:marBottom w:val="0"/>
              <w:divBdr>
                <w:top w:val="none" w:sz="0" w:space="0" w:color="auto"/>
                <w:left w:val="none" w:sz="0" w:space="0" w:color="auto"/>
                <w:bottom w:val="none" w:sz="0" w:space="0" w:color="auto"/>
                <w:right w:val="none" w:sz="0" w:space="0" w:color="auto"/>
              </w:divBdr>
              <w:divsChild>
                <w:div w:id="19456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7289">
      <w:bodyDiv w:val="1"/>
      <w:marLeft w:val="0"/>
      <w:marRight w:val="0"/>
      <w:marTop w:val="0"/>
      <w:marBottom w:val="0"/>
      <w:divBdr>
        <w:top w:val="none" w:sz="0" w:space="0" w:color="auto"/>
        <w:left w:val="none" w:sz="0" w:space="0" w:color="auto"/>
        <w:bottom w:val="none" w:sz="0" w:space="0" w:color="auto"/>
        <w:right w:val="none" w:sz="0" w:space="0" w:color="auto"/>
      </w:divBdr>
    </w:div>
    <w:div w:id="1160000397">
      <w:bodyDiv w:val="1"/>
      <w:marLeft w:val="0"/>
      <w:marRight w:val="0"/>
      <w:marTop w:val="0"/>
      <w:marBottom w:val="0"/>
      <w:divBdr>
        <w:top w:val="none" w:sz="0" w:space="0" w:color="auto"/>
        <w:left w:val="none" w:sz="0" w:space="0" w:color="auto"/>
        <w:bottom w:val="none" w:sz="0" w:space="0" w:color="auto"/>
        <w:right w:val="none" w:sz="0" w:space="0" w:color="auto"/>
      </w:divBdr>
    </w:div>
    <w:div w:id="1172374408">
      <w:bodyDiv w:val="1"/>
      <w:marLeft w:val="0"/>
      <w:marRight w:val="0"/>
      <w:marTop w:val="0"/>
      <w:marBottom w:val="0"/>
      <w:divBdr>
        <w:top w:val="none" w:sz="0" w:space="0" w:color="auto"/>
        <w:left w:val="none" w:sz="0" w:space="0" w:color="auto"/>
        <w:bottom w:val="none" w:sz="0" w:space="0" w:color="auto"/>
        <w:right w:val="none" w:sz="0" w:space="0" w:color="auto"/>
      </w:divBdr>
    </w:div>
    <w:div w:id="1180042206">
      <w:bodyDiv w:val="1"/>
      <w:marLeft w:val="0"/>
      <w:marRight w:val="0"/>
      <w:marTop w:val="0"/>
      <w:marBottom w:val="0"/>
      <w:divBdr>
        <w:top w:val="none" w:sz="0" w:space="0" w:color="auto"/>
        <w:left w:val="none" w:sz="0" w:space="0" w:color="auto"/>
        <w:bottom w:val="none" w:sz="0" w:space="0" w:color="auto"/>
        <w:right w:val="none" w:sz="0" w:space="0" w:color="auto"/>
      </w:divBdr>
      <w:divsChild>
        <w:div w:id="336808016">
          <w:marLeft w:val="0"/>
          <w:marRight w:val="0"/>
          <w:marTop w:val="0"/>
          <w:marBottom w:val="0"/>
          <w:divBdr>
            <w:top w:val="none" w:sz="0" w:space="0" w:color="auto"/>
            <w:left w:val="none" w:sz="0" w:space="0" w:color="auto"/>
            <w:bottom w:val="none" w:sz="0" w:space="0" w:color="auto"/>
            <w:right w:val="none" w:sz="0" w:space="0" w:color="auto"/>
          </w:divBdr>
          <w:divsChild>
            <w:div w:id="300767032">
              <w:marLeft w:val="0"/>
              <w:marRight w:val="0"/>
              <w:marTop w:val="0"/>
              <w:marBottom w:val="0"/>
              <w:divBdr>
                <w:top w:val="none" w:sz="0" w:space="0" w:color="auto"/>
                <w:left w:val="none" w:sz="0" w:space="0" w:color="auto"/>
                <w:bottom w:val="none" w:sz="0" w:space="0" w:color="auto"/>
                <w:right w:val="none" w:sz="0" w:space="0" w:color="auto"/>
              </w:divBdr>
              <w:divsChild>
                <w:div w:id="5925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5547">
      <w:bodyDiv w:val="1"/>
      <w:marLeft w:val="0"/>
      <w:marRight w:val="0"/>
      <w:marTop w:val="0"/>
      <w:marBottom w:val="0"/>
      <w:divBdr>
        <w:top w:val="none" w:sz="0" w:space="0" w:color="auto"/>
        <w:left w:val="none" w:sz="0" w:space="0" w:color="auto"/>
        <w:bottom w:val="none" w:sz="0" w:space="0" w:color="auto"/>
        <w:right w:val="none" w:sz="0" w:space="0" w:color="auto"/>
      </w:divBdr>
    </w:div>
    <w:div w:id="1193227915">
      <w:bodyDiv w:val="1"/>
      <w:marLeft w:val="0"/>
      <w:marRight w:val="0"/>
      <w:marTop w:val="0"/>
      <w:marBottom w:val="0"/>
      <w:divBdr>
        <w:top w:val="none" w:sz="0" w:space="0" w:color="auto"/>
        <w:left w:val="none" w:sz="0" w:space="0" w:color="auto"/>
        <w:bottom w:val="none" w:sz="0" w:space="0" w:color="auto"/>
        <w:right w:val="none" w:sz="0" w:space="0" w:color="auto"/>
      </w:divBdr>
    </w:div>
    <w:div w:id="1205867623">
      <w:bodyDiv w:val="1"/>
      <w:marLeft w:val="0"/>
      <w:marRight w:val="0"/>
      <w:marTop w:val="0"/>
      <w:marBottom w:val="0"/>
      <w:divBdr>
        <w:top w:val="none" w:sz="0" w:space="0" w:color="auto"/>
        <w:left w:val="none" w:sz="0" w:space="0" w:color="auto"/>
        <w:bottom w:val="none" w:sz="0" w:space="0" w:color="auto"/>
        <w:right w:val="none" w:sz="0" w:space="0" w:color="auto"/>
      </w:divBdr>
    </w:div>
    <w:div w:id="1206597278">
      <w:bodyDiv w:val="1"/>
      <w:marLeft w:val="0"/>
      <w:marRight w:val="0"/>
      <w:marTop w:val="0"/>
      <w:marBottom w:val="0"/>
      <w:divBdr>
        <w:top w:val="none" w:sz="0" w:space="0" w:color="auto"/>
        <w:left w:val="none" w:sz="0" w:space="0" w:color="auto"/>
        <w:bottom w:val="none" w:sz="0" w:space="0" w:color="auto"/>
        <w:right w:val="none" w:sz="0" w:space="0" w:color="auto"/>
      </w:divBdr>
      <w:divsChild>
        <w:div w:id="1633704975">
          <w:marLeft w:val="0"/>
          <w:marRight w:val="0"/>
          <w:marTop w:val="0"/>
          <w:marBottom w:val="0"/>
          <w:divBdr>
            <w:top w:val="none" w:sz="0" w:space="0" w:color="auto"/>
            <w:left w:val="none" w:sz="0" w:space="0" w:color="auto"/>
            <w:bottom w:val="none" w:sz="0" w:space="0" w:color="auto"/>
            <w:right w:val="none" w:sz="0" w:space="0" w:color="auto"/>
          </w:divBdr>
          <w:divsChild>
            <w:div w:id="1437210518">
              <w:marLeft w:val="0"/>
              <w:marRight w:val="0"/>
              <w:marTop w:val="0"/>
              <w:marBottom w:val="0"/>
              <w:divBdr>
                <w:top w:val="none" w:sz="0" w:space="0" w:color="auto"/>
                <w:left w:val="none" w:sz="0" w:space="0" w:color="auto"/>
                <w:bottom w:val="none" w:sz="0" w:space="0" w:color="auto"/>
                <w:right w:val="none" w:sz="0" w:space="0" w:color="auto"/>
              </w:divBdr>
              <w:divsChild>
                <w:div w:id="7979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83071">
      <w:bodyDiv w:val="1"/>
      <w:marLeft w:val="0"/>
      <w:marRight w:val="0"/>
      <w:marTop w:val="0"/>
      <w:marBottom w:val="0"/>
      <w:divBdr>
        <w:top w:val="none" w:sz="0" w:space="0" w:color="auto"/>
        <w:left w:val="none" w:sz="0" w:space="0" w:color="auto"/>
        <w:bottom w:val="none" w:sz="0" w:space="0" w:color="auto"/>
        <w:right w:val="none" w:sz="0" w:space="0" w:color="auto"/>
      </w:divBdr>
    </w:div>
    <w:div w:id="1219170005">
      <w:bodyDiv w:val="1"/>
      <w:marLeft w:val="0"/>
      <w:marRight w:val="0"/>
      <w:marTop w:val="0"/>
      <w:marBottom w:val="0"/>
      <w:divBdr>
        <w:top w:val="none" w:sz="0" w:space="0" w:color="auto"/>
        <w:left w:val="none" w:sz="0" w:space="0" w:color="auto"/>
        <w:bottom w:val="none" w:sz="0" w:space="0" w:color="auto"/>
        <w:right w:val="none" w:sz="0" w:space="0" w:color="auto"/>
      </w:divBdr>
    </w:div>
    <w:div w:id="1220288420">
      <w:bodyDiv w:val="1"/>
      <w:marLeft w:val="0"/>
      <w:marRight w:val="0"/>
      <w:marTop w:val="0"/>
      <w:marBottom w:val="0"/>
      <w:divBdr>
        <w:top w:val="none" w:sz="0" w:space="0" w:color="auto"/>
        <w:left w:val="none" w:sz="0" w:space="0" w:color="auto"/>
        <w:bottom w:val="none" w:sz="0" w:space="0" w:color="auto"/>
        <w:right w:val="none" w:sz="0" w:space="0" w:color="auto"/>
      </w:divBdr>
      <w:divsChild>
        <w:div w:id="1435058079">
          <w:marLeft w:val="0"/>
          <w:marRight w:val="0"/>
          <w:marTop w:val="0"/>
          <w:marBottom w:val="0"/>
          <w:divBdr>
            <w:top w:val="none" w:sz="0" w:space="0" w:color="auto"/>
            <w:left w:val="none" w:sz="0" w:space="0" w:color="auto"/>
            <w:bottom w:val="none" w:sz="0" w:space="0" w:color="auto"/>
            <w:right w:val="none" w:sz="0" w:space="0" w:color="auto"/>
          </w:divBdr>
          <w:divsChild>
            <w:div w:id="320430996">
              <w:marLeft w:val="0"/>
              <w:marRight w:val="0"/>
              <w:marTop w:val="0"/>
              <w:marBottom w:val="0"/>
              <w:divBdr>
                <w:top w:val="none" w:sz="0" w:space="0" w:color="auto"/>
                <w:left w:val="none" w:sz="0" w:space="0" w:color="auto"/>
                <w:bottom w:val="none" w:sz="0" w:space="0" w:color="auto"/>
                <w:right w:val="none" w:sz="0" w:space="0" w:color="auto"/>
              </w:divBdr>
              <w:divsChild>
                <w:div w:id="1740899602">
                  <w:marLeft w:val="0"/>
                  <w:marRight w:val="0"/>
                  <w:marTop w:val="0"/>
                  <w:marBottom w:val="0"/>
                  <w:divBdr>
                    <w:top w:val="none" w:sz="0" w:space="0" w:color="auto"/>
                    <w:left w:val="none" w:sz="0" w:space="0" w:color="auto"/>
                    <w:bottom w:val="none" w:sz="0" w:space="0" w:color="auto"/>
                    <w:right w:val="none" w:sz="0" w:space="0" w:color="auto"/>
                  </w:divBdr>
                  <w:divsChild>
                    <w:div w:id="7442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45523">
      <w:bodyDiv w:val="1"/>
      <w:marLeft w:val="0"/>
      <w:marRight w:val="0"/>
      <w:marTop w:val="0"/>
      <w:marBottom w:val="0"/>
      <w:divBdr>
        <w:top w:val="none" w:sz="0" w:space="0" w:color="auto"/>
        <w:left w:val="none" w:sz="0" w:space="0" w:color="auto"/>
        <w:bottom w:val="none" w:sz="0" w:space="0" w:color="auto"/>
        <w:right w:val="none" w:sz="0" w:space="0" w:color="auto"/>
      </w:divBdr>
      <w:divsChild>
        <w:div w:id="180707010">
          <w:marLeft w:val="0"/>
          <w:marRight w:val="0"/>
          <w:marTop w:val="0"/>
          <w:marBottom w:val="0"/>
          <w:divBdr>
            <w:top w:val="none" w:sz="0" w:space="0" w:color="auto"/>
            <w:left w:val="none" w:sz="0" w:space="0" w:color="auto"/>
            <w:bottom w:val="none" w:sz="0" w:space="0" w:color="auto"/>
            <w:right w:val="none" w:sz="0" w:space="0" w:color="auto"/>
          </w:divBdr>
          <w:divsChild>
            <w:div w:id="937055151">
              <w:marLeft w:val="0"/>
              <w:marRight w:val="0"/>
              <w:marTop w:val="0"/>
              <w:marBottom w:val="0"/>
              <w:divBdr>
                <w:top w:val="none" w:sz="0" w:space="0" w:color="auto"/>
                <w:left w:val="none" w:sz="0" w:space="0" w:color="auto"/>
                <w:bottom w:val="none" w:sz="0" w:space="0" w:color="auto"/>
                <w:right w:val="none" w:sz="0" w:space="0" w:color="auto"/>
              </w:divBdr>
              <w:divsChild>
                <w:div w:id="6635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1308">
      <w:bodyDiv w:val="1"/>
      <w:marLeft w:val="0"/>
      <w:marRight w:val="0"/>
      <w:marTop w:val="0"/>
      <w:marBottom w:val="0"/>
      <w:divBdr>
        <w:top w:val="none" w:sz="0" w:space="0" w:color="auto"/>
        <w:left w:val="none" w:sz="0" w:space="0" w:color="auto"/>
        <w:bottom w:val="none" w:sz="0" w:space="0" w:color="auto"/>
        <w:right w:val="none" w:sz="0" w:space="0" w:color="auto"/>
      </w:divBdr>
    </w:div>
    <w:div w:id="1273636143">
      <w:bodyDiv w:val="1"/>
      <w:marLeft w:val="0"/>
      <w:marRight w:val="0"/>
      <w:marTop w:val="0"/>
      <w:marBottom w:val="0"/>
      <w:divBdr>
        <w:top w:val="none" w:sz="0" w:space="0" w:color="auto"/>
        <w:left w:val="none" w:sz="0" w:space="0" w:color="auto"/>
        <w:bottom w:val="none" w:sz="0" w:space="0" w:color="auto"/>
        <w:right w:val="none" w:sz="0" w:space="0" w:color="auto"/>
      </w:divBdr>
    </w:div>
    <w:div w:id="1286502535">
      <w:bodyDiv w:val="1"/>
      <w:marLeft w:val="0"/>
      <w:marRight w:val="0"/>
      <w:marTop w:val="0"/>
      <w:marBottom w:val="0"/>
      <w:divBdr>
        <w:top w:val="none" w:sz="0" w:space="0" w:color="auto"/>
        <w:left w:val="none" w:sz="0" w:space="0" w:color="auto"/>
        <w:bottom w:val="none" w:sz="0" w:space="0" w:color="auto"/>
        <w:right w:val="none" w:sz="0" w:space="0" w:color="auto"/>
      </w:divBdr>
      <w:divsChild>
        <w:div w:id="1623608687">
          <w:marLeft w:val="0"/>
          <w:marRight w:val="0"/>
          <w:marTop w:val="0"/>
          <w:marBottom w:val="0"/>
          <w:divBdr>
            <w:top w:val="none" w:sz="0" w:space="0" w:color="auto"/>
            <w:left w:val="none" w:sz="0" w:space="0" w:color="auto"/>
            <w:bottom w:val="none" w:sz="0" w:space="0" w:color="auto"/>
            <w:right w:val="none" w:sz="0" w:space="0" w:color="auto"/>
          </w:divBdr>
          <w:divsChild>
            <w:div w:id="1034158389">
              <w:marLeft w:val="0"/>
              <w:marRight w:val="0"/>
              <w:marTop w:val="0"/>
              <w:marBottom w:val="0"/>
              <w:divBdr>
                <w:top w:val="none" w:sz="0" w:space="0" w:color="auto"/>
                <w:left w:val="none" w:sz="0" w:space="0" w:color="auto"/>
                <w:bottom w:val="none" w:sz="0" w:space="0" w:color="auto"/>
                <w:right w:val="none" w:sz="0" w:space="0" w:color="auto"/>
              </w:divBdr>
              <w:divsChild>
                <w:div w:id="7587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775">
      <w:bodyDiv w:val="1"/>
      <w:marLeft w:val="0"/>
      <w:marRight w:val="0"/>
      <w:marTop w:val="0"/>
      <w:marBottom w:val="0"/>
      <w:divBdr>
        <w:top w:val="none" w:sz="0" w:space="0" w:color="auto"/>
        <w:left w:val="none" w:sz="0" w:space="0" w:color="auto"/>
        <w:bottom w:val="none" w:sz="0" w:space="0" w:color="auto"/>
        <w:right w:val="none" w:sz="0" w:space="0" w:color="auto"/>
      </w:divBdr>
    </w:div>
    <w:div w:id="1292861274">
      <w:bodyDiv w:val="1"/>
      <w:marLeft w:val="0"/>
      <w:marRight w:val="0"/>
      <w:marTop w:val="0"/>
      <w:marBottom w:val="0"/>
      <w:divBdr>
        <w:top w:val="none" w:sz="0" w:space="0" w:color="auto"/>
        <w:left w:val="none" w:sz="0" w:space="0" w:color="auto"/>
        <w:bottom w:val="none" w:sz="0" w:space="0" w:color="auto"/>
        <w:right w:val="none" w:sz="0" w:space="0" w:color="auto"/>
      </w:divBdr>
    </w:div>
    <w:div w:id="1295216922">
      <w:bodyDiv w:val="1"/>
      <w:marLeft w:val="0"/>
      <w:marRight w:val="0"/>
      <w:marTop w:val="0"/>
      <w:marBottom w:val="0"/>
      <w:divBdr>
        <w:top w:val="none" w:sz="0" w:space="0" w:color="auto"/>
        <w:left w:val="none" w:sz="0" w:space="0" w:color="auto"/>
        <w:bottom w:val="none" w:sz="0" w:space="0" w:color="auto"/>
        <w:right w:val="none" w:sz="0" w:space="0" w:color="auto"/>
      </w:divBdr>
    </w:div>
    <w:div w:id="1298683283">
      <w:bodyDiv w:val="1"/>
      <w:marLeft w:val="0"/>
      <w:marRight w:val="0"/>
      <w:marTop w:val="0"/>
      <w:marBottom w:val="0"/>
      <w:divBdr>
        <w:top w:val="none" w:sz="0" w:space="0" w:color="auto"/>
        <w:left w:val="none" w:sz="0" w:space="0" w:color="auto"/>
        <w:bottom w:val="none" w:sz="0" w:space="0" w:color="auto"/>
        <w:right w:val="none" w:sz="0" w:space="0" w:color="auto"/>
      </w:divBdr>
    </w:div>
    <w:div w:id="1300955548">
      <w:bodyDiv w:val="1"/>
      <w:marLeft w:val="0"/>
      <w:marRight w:val="0"/>
      <w:marTop w:val="0"/>
      <w:marBottom w:val="0"/>
      <w:divBdr>
        <w:top w:val="none" w:sz="0" w:space="0" w:color="auto"/>
        <w:left w:val="none" w:sz="0" w:space="0" w:color="auto"/>
        <w:bottom w:val="none" w:sz="0" w:space="0" w:color="auto"/>
        <w:right w:val="none" w:sz="0" w:space="0" w:color="auto"/>
      </w:divBdr>
      <w:divsChild>
        <w:div w:id="75132624">
          <w:marLeft w:val="0"/>
          <w:marRight w:val="0"/>
          <w:marTop w:val="0"/>
          <w:marBottom w:val="0"/>
          <w:divBdr>
            <w:top w:val="none" w:sz="0" w:space="0" w:color="auto"/>
            <w:left w:val="none" w:sz="0" w:space="0" w:color="auto"/>
            <w:bottom w:val="none" w:sz="0" w:space="0" w:color="auto"/>
            <w:right w:val="none" w:sz="0" w:space="0" w:color="auto"/>
          </w:divBdr>
          <w:divsChild>
            <w:div w:id="1050571450">
              <w:marLeft w:val="0"/>
              <w:marRight w:val="0"/>
              <w:marTop w:val="0"/>
              <w:marBottom w:val="0"/>
              <w:divBdr>
                <w:top w:val="none" w:sz="0" w:space="0" w:color="auto"/>
                <w:left w:val="none" w:sz="0" w:space="0" w:color="auto"/>
                <w:bottom w:val="none" w:sz="0" w:space="0" w:color="auto"/>
                <w:right w:val="none" w:sz="0" w:space="0" w:color="auto"/>
              </w:divBdr>
              <w:divsChild>
                <w:div w:id="931622921">
                  <w:marLeft w:val="0"/>
                  <w:marRight w:val="0"/>
                  <w:marTop w:val="0"/>
                  <w:marBottom w:val="0"/>
                  <w:divBdr>
                    <w:top w:val="none" w:sz="0" w:space="0" w:color="auto"/>
                    <w:left w:val="none" w:sz="0" w:space="0" w:color="auto"/>
                    <w:bottom w:val="none" w:sz="0" w:space="0" w:color="auto"/>
                    <w:right w:val="none" w:sz="0" w:space="0" w:color="auto"/>
                  </w:divBdr>
                  <w:divsChild>
                    <w:div w:id="18014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92536">
      <w:bodyDiv w:val="1"/>
      <w:marLeft w:val="0"/>
      <w:marRight w:val="0"/>
      <w:marTop w:val="0"/>
      <w:marBottom w:val="0"/>
      <w:divBdr>
        <w:top w:val="none" w:sz="0" w:space="0" w:color="auto"/>
        <w:left w:val="none" w:sz="0" w:space="0" w:color="auto"/>
        <w:bottom w:val="none" w:sz="0" w:space="0" w:color="auto"/>
        <w:right w:val="none" w:sz="0" w:space="0" w:color="auto"/>
      </w:divBdr>
      <w:divsChild>
        <w:div w:id="538392752">
          <w:marLeft w:val="0"/>
          <w:marRight w:val="0"/>
          <w:marTop w:val="0"/>
          <w:marBottom w:val="0"/>
          <w:divBdr>
            <w:top w:val="none" w:sz="0" w:space="0" w:color="auto"/>
            <w:left w:val="none" w:sz="0" w:space="0" w:color="auto"/>
            <w:bottom w:val="none" w:sz="0" w:space="0" w:color="auto"/>
            <w:right w:val="none" w:sz="0" w:space="0" w:color="auto"/>
          </w:divBdr>
          <w:divsChild>
            <w:div w:id="125321692">
              <w:marLeft w:val="0"/>
              <w:marRight w:val="0"/>
              <w:marTop w:val="0"/>
              <w:marBottom w:val="0"/>
              <w:divBdr>
                <w:top w:val="none" w:sz="0" w:space="0" w:color="auto"/>
                <w:left w:val="none" w:sz="0" w:space="0" w:color="auto"/>
                <w:bottom w:val="none" w:sz="0" w:space="0" w:color="auto"/>
                <w:right w:val="none" w:sz="0" w:space="0" w:color="auto"/>
              </w:divBdr>
              <w:divsChild>
                <w:div w:id="164177082">
                  <w:marLeft w:val="0"/>
                  <w:marRight w:val="0"/>
                  <w:marTop w:val="0"/>
                  <w:marBottom w:val="0"/>
                  <w:divBdr>
                    <w:top w:val="none" w:sz="0" w:space="0" w:color="auto"/>
                    <w:left w:val="none" w:sz="0" w:space="0" w:color="auto"/>
                    <w:bottom w:val="none" w:sz="0" w:space="0" w:color="auto"/>
                    <w:right w:val="none" w:sz="0" w:space="0" w:color="auto"/>
                  </w:divBdr>
                  <w:divsChild>
                    <w:div w:id="899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2168">
      <w:bodyDiv w:val="1"/>
      <w:marLeft w:val="0"/>
      <w:marRight w:val="0"/>
      <w:marTop w:val="0"/>
      <w:marBottom w:val="0"/>
      <w:divBdr>
        <w:top w:val="none" w:sz="0" w:space="0" w:color="auto"/>
        <w:left w:val="none" w:sz="0" w:space="0" w:color="auto"/>
        <w:bottom w:val="none" w:sz="0" w:space="0" w:color="auto"/>
        <w:right w:val="none" w:sz="0" w:space="0" w:color="auto"/>
      </w:divBdr>
      <w:divsChild>
        <w:div w:id="763384876">
          <w:marLeft w:val="0"/>
          <w:marRight w:val="0"/>
          <w:marTop w:val="0"/>
          <w:marBottom w:val="0"/>
          <w:divBdr>
            <w:top w:val="none" w:sz="0" w:space="0" w:color="auto"/>
            <w:left w:val="none" w:sz="0" w:space="0" w:color="auto"/>
            <w:bottom w:val="none" w:sz="0" w:space="0" w:color="auto"/>
            <w:right w:val="none" w:sz="0" w:space="0" w:color="auto"/>
          </w:divBdr>
          <w:divsChild>
            <w:div w:id="1894002475">
              <w:marLeft w:val="0"/>
              <w:marRight w:val="0"/>
              <w:marTop w:val="0"/>
              <w:marBottom w:val="0"/>
              <w:divBdr>
                <w:top w:val="none" w:sz="0" w:space="0" w:color="auto"/>
                <w:left w:val="none" w:sz="0" w:space="0" w:color="auto"/>
                <w:bottom w:val="none" w:sz="0" w:space="0" w:color="auto"/>
                <w:right w:val="none" w:sz="0" w:space="0" w:color="auto"/>
              </w:divBdr>
              <w:divsChild>
                <w:div w:id="604309838">
                  <w:marLeft w:val="0"/>
                  <w:marRight w:val="0"/>
                  <w:marTop w:val="0"/>
                  <w:marBottom w:val="0"/>
                  <w:divBdr>
                    <w:top w:val="none" w:sz="0" w:space="0" w:color="auto"/>
                    <w:left w:val="none" w:sz="0" w:space="0" w:color="auto"/>
                    <w:bottom w:val="none" w:sz="0" w:space="0" w:color="auto"/>
                    <w:right w:val="none" w:sz="0" w:space="0" w:color="auto"/>
                  </w:divBdr>
                  <w:divsChild>
                    <w:div w:id="17292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5102">
      <w:bodyDiv w:val="1"/>
      <w:marLeft w:val="0"/>
      <w:marRight w:val="0"/>
      <w:marTop w:val="0"/>
      <w:marBottom w:val="0"/>
      <w:divBdr>
        <w:top w:val="none" w:sz="0" w:space="0" w:color="auto"/>
        <w:left w:val="none" w:sz="0" w:space="0" w:color="auto"/>
        <w:bottom w:val="none" w:sz="0" w:space="0" w:color="auto"/>
        <w:right w:val="none" w:sz="0" w:space="0" w:color="auto"/>
      </w:divBdr>
    </w:div>
    <w:div w:id="1319191713">
      <w:bodyDiv w:val="1"/>
      <w:marLeft w:val="0"/>
      <w:marRight w:val="0"/>
      <w:marTop w:val="0"/>
      <w:marBottom w:val="0"/>
      <w:divBdr>
        <w:top w:val="none" w:sz="0" w:space="0" w:color="auto"/>
        <w:left w:val="none" w:sz="0" w:space="0" w:color="auto"/>
        <w:bottom w:val="none" w:sz="0" w:space="0" w:color="auto"/>
        <w:right w:val="none" w:sz="0" w:space="0" w:color="auto"/>
      </w:divBdr>
      <w:divsChild>
        <w:div w:id="574051940">
          <w:marLeft w:val="0"/>
          <w:marRight w:val="0"/>
          <w:marTop w:val="0"/>
          <w:marBottom w:val="0"/>
          <w:divBdr>
            <w:top w:val="none" w:sz="0" w:space="0" w:color="auto"/>
            <w:left w:val="none" w:sz="0" w:space="0" w:color="auto"/>
            <w:bottom w:val="none" w:sz="0" w:space="0" w:color="auto"/>
            <w:right w:val="none" w:sz="0" w:space="0" w:color="auto"/>
          </w:divBdr>
          <w:divsChild>
            <w:div w:id="1213155330">
              <w:marLeft w:val="0"/>
              <w:marRight w:val="0"/>
              <w:marTop w:val="0"/>
              <w:marBottom w:val="0"/>
              <w:divBdr>
                <w:top w:val="none" w:sz="0" w:space="0" w:color="auto"/>
                <w:left w:val="none" w:sz="0" w:space="0" w:color="auto"/>
                <w:bottom w:val="none" w:sz="0" w:space="0" w:color="auto"/>
                <w:right w:val="none" w:sz="0" w:space="0" w:color="auto"/>
              </w:divBdr>
              <w:divsChild>
                <w:div w:id="9177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2247">
      <w:bodyDiv w:val="1"/>
      <w:marLeft w:val="0"/>
      <w:marRight w:val="0"/>
      <w:marTop w:val="0"/>
      <w:marBottom w:val="0"/>
      <w:divBdr>
        <w:top w:val="none" w:sz="0" w:space="0" w:color="auto"/>
        <w:left w:val="none" w:sz="0" w:space="0" w:color="auto"/>
        <w:bottom w:val="none" w:sz="0" w:space="0" w:color="auto"/>
        <w:right w:val="none" w:sz="0" w:space="0" w:color="auto"/>
      </w:divBdr>
      <w:divsChild>
        <w:div w:id="1021975599">
          <w:marLeft w:val="0"/>
          <w:marRight w:val="0"/>
          <w:marTop w:val="0"/>
          <w:marBottom w:val="0"/>
          <w:divBdr>
            <w:top w:val="none" w:sz="0" w:space="0" w:color="auto"/>
            <w:left w:val="none" w:sz="0" w:space="0" w:color="auto"/>
            <w:bottom w:val="none" w:sz="0" w:space="0" w:color="auto"/>
            <w:right w:val="none" w:sz="0" w:space="0" w:color="auto"/>
          </w:divBdr>
          <w:divsChild>
            <w:div w:id="887842504">
              <w:marLeft w:val="0"/>
              <w:marRight w:val="0"/>
              <w:marTop w:val="0"/>
              <w:marBottom w:val="0"/>
              <w:divBdr>
                <w:top w:val="none" w:sz="0" w:space="0" w:color="auto"/>
                <w:left w:val="none" w:sz="0" w:space="0" w:color="auto"/>
                <w:bottom w:val="none" w:sz="0" w:space="0" w:color="auto"/>
                <w:right w:val="none" w:sz="0" w:space="0" w:color="auto"/>
              </w:divBdr>
              <w:divsChild>
                <w:div w:id="11332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4016">
      <w:bodyDiv w:val="1"/>
      <w:marLeft w:val="0"/>
      <w:marRight w:val="0"/>
      <w:marTop w:val="0"/>
      <w:marBottom w:val="0"/>
      <w:divBdr>
        <w:top w:val="none" w:sz="0" w:space="0" w:color="auto"/>
        <w:left w:val="none" w:sz="0" w:space="0" w:color="auto"/>
        <w:bottom w:val="none" w:sz="0" w:space="0" w:color="auto"/>
        <w:right w:val="none" w:sz="0" w:space="0" w:color="auto"/>
      </w:divBdr>
    </w:div>
    <w:div w:id="1344627290">
      <w:bodyDiv w:val="1"/>
      <w:marLeft w:val="0"/>
      <w:marRight w:val="0"/>
      <w:marTop w:val="0"/>
      <w:marBottom w:val="0"/>
      <w:divBdr>
        <w:top w:val="none" w:sz="0" w:space="0" w:color="auto"/>
        <w:left w:val="none" w:sz="0" w:space="0" w:color="auto"/>
        <w:bottom w:val="none" w:sz="0" w:space="0" w:color="auto"/>
        <w:right w:val="none" w:sz="0" w:space="0" w:color="auto"/>
      </w:divBdr>
    </w:div>
    <w:div w:id="1348211543">
      <w:bodyDiv w:val="1"/>
      <w:marLeft w:val="0"/>
      <w:marRight w:val="0"/>
      <w:marTop w:val="0"/>
      <w:marBottom w:val="0"/>
      <w:divBdr>
        <w:top w:val="none" w:sz="0" w:space="0" w:color="auto"/>
        <w:left w:val="none" w:sz="0" w:space="0" w:color="auto"/>
        <w:bottom w:val="none" w:sz="0" w:space="0" w:color="auto"/>
        <w:right w:val="none" w:sz="0" w:space="0" w:color="auto"/>
      </w:divBdr>
      <w:divsChild>
        <w:div w:id="431780487">
          <w:marLeft w:val="0"/>
          <w:marRight w:val="0"/>
          <w:marTop w:val="0"/>
          <w:marBottom w:val="0"/>
          <w:divBdr>
            <w:top w:val="none" w:sz="0" w:space="0" w:color="auto"/>
            <w:left w:val="none" w:sz="0" w:space="0" w:color="auto"/>
            <w:bottom w:val="none" w:sz="0" w:space="0" w:color="auto"/>
            <w:right w:val="none" w:sz="0" w:space="0" w:color="auto"/>
          </w:divBdr>
          <w:divsChild>
            <w:div w:id="900484299">
              <w:marLeft w:val="0"/>
              <w:marRight w:val="0"/>
              <w:marTop w:val="0"/>
              <w:marBottom w:val="0"/>
              <w:divBdr>
                <w:top w:val="none" w:sz="0" w:space="0" w:color="auto"/>
                <w:left w:val="none" w:sz="0" w:space="0" w:color="auto"/>
                <w:bottom w:val="none" w:sz="0" w:space="0" w:color="auto"/>
                <w:right w:val="none" w:sz="0" w:space="0" w:color="auto"/>
              </w:divBdr>
              <w:divsChild>
                <w:div w:id="20542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61755">
      <w:bodyDiv w:val="1"/>
      <w:marLeft w:val="0"/>
      <w:marRight w:val="0"/>
      <w:marTop w:val="0"/>
      <w:marBottom w:val="0"/>
      <w:divBdr>
        <w:top w:val="none" w:sz="0" w:space="0" w:color="auto"/>
        <w:left w:val="none" w:sz="0" w:space="0" w:color="auto"/>
        <w:bottom w:val="none" w:sz="0" w:space="0" w:color="auto"/>
        <w:right w:val="none" w:sz="0" w:space="0" w:color="auto"/>
      </w:divBdr>
      <w:divsChild>
        <w:div w:id="518542347">
          <w:marLeft w:val="0"/>
          <w:marRight w:val="0"/>
          <w:marTop w:val="0"/>
          <w:marBottom w:val="0"/>
          <w:divBdr>
            <w:top w:val="none" w:sz="0" w:space="0" w:color="auto"/>
            <w:left w:val="none" w:sz="0" w:space="0" w:color="auto"/>
            <w:bottom w:val="none" w:sz="0" w:space="0" w:color="auto"/>
            <w:right w:val="none" w:sz="0" w:space="0" w:color="auto"/>
          </w:divBdr>
          <w:divsChild>
            <w:div w:id="1032536963">
              <w:marLeft w:val="0"/>
              <w:marRight w:val="0"/>
              <w:marTop w:val="0"/>
              <w:marBottom w:val="0"/>
              <w:divBdr>
                <w:top w:val="none" w:sz="0" w:space="0" w:color="auto"/>
                <w:left w:val="none" w:sz="0" w:space="0" w:color="auto"/>
                <w:bottom w:val="none" w:sz="0" w:space="0" w:color="auto"/>
                <w:right w:val="none" w:sz="0" w:space="0" w:color="auto"/>
              </w:divBdr>
              <w:divsChild>
                <w:div w:id="20465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93777">
      <w:bodyDiv w:val="1"/>
      <w:marLeft w:val="0"/>
      <w:marRight w:val="0"/>
      <w:marTop w:val="0"/>
      <w:marBottom w:val="0"/>
      <w:divBdr>
        <w:top w:val="none" w:sz="0" w:space="0" w:color="auto"/>
        <w:left w:val="none" w:sz="0" w:space="0" w:color="auto"/>
        <w:bottom w:val="none" w:sz="0" w:space="0" w:color="auto"/>
        <w:right w:val="none" w:sz="0" w:space="0" w:color="auto"/>
      </w:divBdr>
    </w:div>
    <w:div w:id="1365984562">
      <w:bodyDiv w:val="1"/>
      <w:marLeft w:val="0"/>
      <w:marRight w:val="0"/>
      <w:marTop w:val="0"/>
      <w:marBottom w:val="0"/>
      <w:divBdr>
        <w:top w:val="none" w:sz="0" w:space="0" w:color="auto"/>
        <w:left w:val="none" w:sz="0" w:space="0" w:color="auto"/>
        <w:bottom w:val="none" w:sz="0" w:space="0" w:color="auto"/>
        <w:right w:val="none" w:sz="0" w:space="0" w:color="auto"/>
      </w:divBdr>
      <w:divsChild>
        <w:div w:id="1251231864">
          <w:marLeft w:val="0"/>
          <w:marRight w:val="0"/>
          <w:marTop w:val="0"/>
          <w:marBottom w:val="0"/>
          <w:divBdr>
            <w:top w:val="none" w:sz="0" w:space="0" w:color="auto"/>
            <w:left w:val="none" w:sz="0" w:space="0" w:color="auto"/>
            <w:bottom w:val="none" w:sz="0" w:space="0" w:color="auto"/>
            <w:right w:val="none" w:sz="0" w:space="0" w:color="auto"/>
          </w:divBdr>
          <w:divsChild>
            <w:div w:id="397825766">
              <w:marLeft w:val="0"/>
              <w:marRight w:val="0"/>
              <w:marTop w:val="0"/>
              <w:marBottom w:val="0"/>
              <w:divBdr>
                <w:top w:val="none" w:sz="0" w:space="0" w:color="auto"/>
                <w:left w:val="none" w:sz="0" w:space="0" w:color="auto"/>
                <w:bottom w:val="none" w:sz="0" w:space="0" w:color="auto"/>
                <w:right w:val="none" w:sz="0" w:space="0" w:color="auto"/>
              </w:divBdr>
              <w:divsChild>
                <w:div w:id="1012419877">
                  <w:marLeft w:val="0"/>
                  <w:marRight w:val="0"/>
                  <w:marTop w:val="0"/>
                  <w:marBottom w:val="0"/>
                  <w:divBdr>
                    <w:top w:val="none" w:sz="0" w:space="0" w:color="auto"/>
                    <w:left w:val="none" w:sz="0" w:space="0" w:color="auto"/>
                    <w:bottom w:val="none" w:sz="0" w:space="0" w:color="auto"/>
                    <w:right w:val="none" w:sz="0" w:space="0" w:color="auto"/>
                  </w:divBdr>
                  <w:divsChild>
                    <w:div w:id="16838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93504">
      <w:bodyDiv w:val="1"/>
      <w:marLeft w:val="0"/>
      <w:marRight w:val="0"/>
      <w:marTop w:val="0"/>
      <w:marBottom w:val="0"/>
      <w:divBdr>
        <w:top w:val="none" w:sz="0" w:space="0" w:color="auto"/>
        <w:left w:val="none" w:sz="0" w:space="0" w:color="auto"/>
        <w:bottom w:val="none" w:sz="0" w:space="0" w:color="auto"/>
        <w:right w:val="none" w:sz="0" w:space="0" w:color="auto"/>
      </w:divBdr>
    </w:div>
    <w:div w:id="1373649026">
      <w:bodyDiv w:val="1"/>
      <w:marLeft w:val="0"/>
      <w:marRight w:val="0"/>
      <w:marTop w:val="0"/>
      <w:marBottom w:val="0"/>
      <w:divBdr>
        <w:top w:val="none" w:sz="0" w:space="0" w:color="auto"/>
        <w:left w:val="none" w:sz="0" w:space="0" w:color="auto"/>
        <w:bottom w:val="none" w:sz="0" w:space="0" w:color="auto"/>
        <w:right w:val="none" w:sz="0" w:space="0" w:color="auto"/>
      </w:divBdr>
    </w:div>
    <w:div w:id="1377659484">
      <w:bodyDiv w:val="1"/>
      <w:marLeft w:val="0"/>
      <w:marRight w:val="0"/>
      <w:marTop w:val="0"/>
      <w:marBottom w:val="0"/>
      <w:divBdr>
        <w:top w:val="none" w:sz="0" w:space="0" w:color="auto"/>
        <w:left w:val="none" w:sz="0" w:space="0" w:color="auto"/>
        <w:bottom w:val="none" w:sz="0" w:space="0" w:color="auto"/>
        <w:right w:val="none" w:sz="0" w:space="0" w:color="auto"/>
      </w:divBdr>
      <w:divsChild>
        <w:div w:id="504518981">
          <w:marLeft w:val="0"/>
          <w:marRight w:val="0"/>
          <w:marTop w:val="0"/>
          <w:marBottom w:val="0"/>
          <w:divBdr>
            <w:top w:val="none" w:sz="0" w:space="0" w:color="auto"/>
            <w:left w:val="none" w:sz="0" w:space="0" w:color="auto"/>
            <w:bottom w:val="none" w:sz="0" w:space="0" w:color="auto"/>
            <w:right w:val="none" w:sz="0" w:space="0" w:color="auto"/>
          </w:divBdr>
          <w:divsChild>
            <w:div w:id="277418326">
              <w:marLeft w:val="0"/>
              <w:marRight w:val="0"/>
              <w:marTop w:val="0"/>
              <w:marBottom w:val="0"/>
              <w:divBdr>
                <w:top w:val="none" w:sz="0" w:space="0" w:color="auto"/>
                <w:left w:val="none" w:sz="0" w:space="0" w:color="auto"/>
                <w:bottom w:val="none" w:sz="0" w:space="0" w:color="auto"/>
                <w:right w:val="none" w:sz="0" w:space="0" w:color="auto"/>
              </w:divBdr>
              <w:divsChild>
                <w:div w:id="4867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45326">
      <w:bodyDiv w:val="1"/>
      <w:marLeft w:val="0"/>
      <w:marRight w:val="0"/>
      <w:marTop w:val="0"/>
      <w:marBottom w:val="0"/>
      <w:divBdr>
        <w:top w:val="none" w:sz="0" w:space="0" w:color="auto"/>
        <w:left w:val="none" w:sz="0" w:space="0" w:color="auto"/>
        <w:bottom w:val="none" w:sz="0" w:space="0" w:color="auto"/>
        <w:right w:val="none" w:sz="0" w:space="0" w:color="auto"/>
      </w:divBdr>
    </w:div>
    <w:div w:id="1405370975">
      <w:bodyDiv w:val="1"/>
      <w:marLeft w:val="0"/>
      <w:marRight w:val="0"/>
      <w:marTop w:val="0"/>
      <w:marBottom w:val="0"/>
      <w:divBdr>
        <w:top w:val="none" w:sz="0" w:space="0" w:color="auto"/>
        <w:left w:val="none" w:sz="0" w:space="0" w:color="auto"/>
        <w:bottom w:val="none" w:sz="0" w:space="0" w:color="auto"/>
        <w:right w:val="none" w:sz="0" w:space="0" w:color="auto"/>
      </w:divBdr>
    </w:div>
    <w:div w:id="1412922816">
      <w:bodyDiv w:val="1"/>
      <w:marLeft w:val="0"/>
      <w:marRight w:val="0"/>
      <w:marTop w:val="0"/>
      <w:marBottom w:val="0"/>
      <w:divBdr>
        <w:top w:val="none" w:sz="0" w:space="0" w:color="auto"/>
        <w:left w:val="none" w:sz="0" w:space="0" w:color="auto"/>
        <w:bottom w:val="none" w:sz="0" w:space="0" w:color="auto"/>
        <w:right w:val="none" w:sz="0" w:space="0" w:color="auto"/>
      </w:divBdr>
      <w:divsChild>
        <w:div w:id="608051111">
          <w:marLeft w:val="0"/>
          <w:marRight w:val="0"/>
          <w:marTop w:val="0"/>
          <w:marBottom w:val="0"/>
          <w:divBdr>
            <w:top w:val="none" w:sz="0" w:space="0" w:color="auto"/>
            <w:left w:val="none" w:sz="0" w:space="0" w:color="auto"/>
            <w:bottom w:val="none" w:sz="0" w:space="0" w:color="auto"/>
            <w:right w:val="none" w:sz="0" w:space="0" w:color="auto"/>
          </w:divBdr>
          <w:divsChild>
            <w:div w:id="1967422353">
              <w:marLeft w:val="0"/>
              <w:marRight w:val="0"/>
              <w:marTop w:val="0"/>
              <w:marBottom w:val="0"/>
              <w:divBdr>
                <w:top w:val="none" w:sz="0" w:space="0" w:color="auto"/>
                <w:left w:val="none" w:sz="0" w:space="0" w:color="auto"/>
                <w:bottom w:val="none" w:sz="0" w:space="0" w:color="auto"/>
                <w:right w:val="none" w:sz="0" w:space="0" w:color="auto"/>
              </w:divBdr>
              <w:divsChild>
                <w:div w:id="452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3151">
      <w:bodyDiv w:val="1"/>
      <w:marLeft w:val="0"/>
      <w:marRight w:val="0"/>
      <w:marTop w:val="0"/>
      <w:marBottom w:val="0"/>
      <w:divBdr>
        <w:top w:val="none" w:sz="0" w:space="0" w:color="auto"/>
        <w:left w:val="none" w:sz="0" w:space="0" w:color="auto"/>
        <w:bottom w:val="none" w:sz="0" w:space="0" w:color="auto"/>
        <w:right w:val="none" w:sz="0" w:space="0" w:color="auto"/>
      </w:divBdr>
      <w:divsChild>
        <w:div w:id="583879304">
          <w:marLeft w:val="0"/>
          <w:marRight w:val="0"/>
          <w:marTop w:val="0"/>
          <w:marBottom w:val="0"/>
          <w:divBdr>
            <w:top w:val="none" w:sz="0" w:space="0" w:color="auto"/>
            <w:left w:val="none" w:sz="0" w:space="0" w:color="auto"/>
            <w:bottom w:val="none" w:sz="0" w:space="0" w:color="auto"/>
            <w:right w:val="none" w:sz="0" w:space="0" w:color="auto"/>
          </w:divBdr>
          <w:divsChild>
            <w:div w:id="1425111173">
              <w:marLeft w:val="0"/>
              <w:marRight w:val="0"/>
              <w:marTop w:val="0"/>
              <w:marBottom w:val="0"/>
              <w:divBdr>
                <w:top w:val="none" w:sz="0" w:space="0" w:color="auto"/>
                <w:left w:val="none" w:sz="0" w:space="0" w:color="auto"/>
                <w:bottom w:val="none" w:sz="0" w:space="0" w:color="auto"/>
                <w:right w:val="none" w:sz="0" w:space="0" w:color="auto"/>
              </w:divBdr>
              <w:divsChild>
                <w:div w:id="9795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9809">
      <w:bodyDiv w:val="1"/>
      <w:marLeft w:val="0"/>
      <w:marRight w:val="0"/>
      <w:marTop w:val="0"/>
      <w:marBottom w:val="0"/>
      <w:divBdr>
        <w:top w:val="none" w:sz="0" w:space="0" w:color="auto"/>
        <w:left w:val="none" w:sz="0" w:space="0" w:color="auto"/>
        <w:bottom w:val="none" w:sz="0" w:space="0" w:color="auto"/>
        <w:right w:val="none" w:sz="0" w:space="0" w:color="auto"/>
      </w:divBdr>
    </w:div>
    <w:div w:id="1429278580">
      <w:bodyDiv w:val="1"/>
      <w:marLeft w:val="0"/>
      <w:marRight w:val="0"/>
      <w:marTop w:val="0"/>
      <w:marBottom w:val="0"/>
      <w:divBdr>
        <w:top w:val="none" w:sz="0" w:space="0" w:color="auto"/>
        <w:left w:val="none" w:sz="0" w:space="0" w:color="auto"/>
        <w:bottom w:val="none" w:sz="0" w:space="0" w:color="auto"/>
        <w:right w:val="none" w:sz="0" w:space="0" w:color="auto"/>
      </w:divBdr>
      <w:divsChild>
        <w:div w:id="1942251816">
          <w:marLeft w:val="0"/>
          <w:marRight w:val="0"/>
          <w:marTop w:val="0"/>
          <w:marBottom w:val="0"/>
          <w:divBdr>
            <w:top w:val="none" w:sz="0" w:space="0" w:color="auto"/>
            <w:left w:val="none" w:sz="0" w:space="0" w:color="auto"/>
            <w:bottom w:val="none" w:sz="0" w:space="0" w:color="auto"/>
            <w:right w:val="none" w:sz="0" w:space="0" w:color="auto"/>
          </w:divBdr>
          <w:divsChild>
            <w:div w:id="387609141">
              <w:marLeft w:val="0"/>
              <w:marRight w:val="0"/>
              <w:marTop w:val="0"/>
              <w:marBottom w:val="0"/>
              <w:divBdr>
                <w:top w:val="none" w:sz="0" w:space="0" w:color="auto"/>
                <w:left w:val="none" w:sz="0" w:space="0" w:color="auto"/>
                <w:bottom w:val="none" w:sz="0" w:space="0" w:color="auto"/>
                <w:right w:val="none" w:sz="0" w:space="0" w:color="auto"/>
              </w:divBdr>
              <w:divsChild>
                <w:div w:id="3133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6245">
      <w:bodyDiv w:val="1"/>
      <w:marLeft w:val="0"/>
      <w:marRight w:val="0"/>
      <w:marTop w:val="0"/>
      <w:marBottom w:val="0"/>
      <w:divBdr>
        <w:top w:val="none" w:sz="0" w:space="0" w:color="auto"/>
        <w:left w:val="none" w:sz="0" w:space="0" w:color="auto"/>
        <w:bottom w:val="none" w:sz="0" w:space="0" w:color="auto"/>
        <w:right w:val="none" w:sz="0" w:space="0" w:color="auto"/>
      </w:divBdr>
      <w:divsChild>
        <w:div w:id="395318649">
          <w:marLeft w:val="0"/>
          <w:marRight w:val="0"/>
          <w:marTop w:val="0"/>
          <w:marBottom w:val="0"/>
          <w:divBdr>
            <w:top w:val="none" w:sz="0" w:space="0" w:color="auto"/>
            <w:left w:val="none" w:sz="0" w:space="0" w:color="auto"/>
            <w:bottom w:val="none" w:sz="0" w:space="0" w:color="auto"/>
            <w:right w:val="none" w:sz="0" w:space="0" w:color="auto"/>
          </w:divBdr>
          <w:divsChild>
            <w:div w:id="1944607274">
              <w:marLeft w:val="0"/>
              <w:marRight w:val="0"/>
              <w:marTop w:val="0"/>
              <w:marBottom w:val="0"/>
              <w:divBdr>
                <w:top w:val="none" w:sz="0" w:space="0" w:color="auto"/>
                <w:left w:val="none" w:sz="0" w:space="0" w:color="auto"/>
                <w:bottom w:val="none" w:sz="0" w:space="0" w:color="auto"/>
                <w:right w:val="none" w:sz="0" w:space="0" w:color="auto"/>
              </w:divBdr>
              <w:divsChild>
                <w:div w:id="11468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3793">
      <w:bodyDiv w:val="1"/>
      <w:marLeft w:val="0"/>
      <w:marRight w:val="0"/>
      <w:marTop w:val="0"/>
      <w:marBottom w:val="0"/>
      <w:divBdr>
        <w:top w:val="none" w:sz="0" w:space="0" w:color="auto"/>
        <w:left w:val="none" w:sz="0" w:space="0" w:color="auto"/>
        <w:bottom w:val="none" w:sz="0" w:space="0" w:color="auto"/>
        <w:right w:val="none" w:sz="0" w:space="0" w:color="auto"/>
      </w:divBdr>
      <w:divsChild>
        <w:div w:id="1917666835">
          <w:marLeft w:val="0"/>
          <w:marRight w:val="0"/>
          <w:marTop w:val="0"/>
          <w:marBottom w:val="0"/>
          <w:divBdr>
            <w:top w:val="none" w:sz="0" w:space="0" w:color="auto"/>
            <w:left w:val="none" w:sz="0" w:space="0" w:color="auto"/>
            <w:bottom w:val="none" w:sz="0" w:space="0" w:color="auto"/>
            <w:right w:val="none" w:sz="0" w:space="0" w:color="auto"/>
          </w:divBdr>
          <w:divsChild>
            <w:div w:id="610547625">
              <w:marLeft w:val="0"/>
              <w:marRight w:val="0"/>
              <w:marTop w:val="0"/>
              <w:marBottom w:val="0"/>
              <w:divBdr>
                <w:top w:val="none" w:sz="0" w:space="0" w:color="auto"/>
                <w:left w:val="none" w:sz="0" w:space="0" w:color="auto"/>
                <w:bottom w:val="none" w:sz="0" w:space="0" w:color="auto"/>
                <w:right w:val="none" w:sz="0" w:space="0" w:color="auto"/>
              </w:divBdr>
              <w:divsChild>
                <w:div w:id="8916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3133">
      <w:bodyDiv w:val="1"/>
      <w:marLeft w:val="0"/>
      <w:marRight w:val="0"/>
      <w:marTop w:val="0"/>
      <w:marBottom w:val="0"/>
      <w:divBdr>
        <w:top w:val="none" w:sz="0" w:space="0" w:color="auto"/>
        <w:left w:val="none" w:sz="0" w:space="0" w:color="auto"/>
        <w:bottom w:val="none" w:sz="0" w:space="0" w:color="auto"/>
        <w:right w:val="none" w:sz="0" w:space="0" w:color="auto"/>
      </w:divBdr>
    </w:div>
    <w:div w:id="1440446185">
      <w:bodyDiv w:val="1"/>
      <w:marLeft w:val="0"/>
      <w:marRight w:val="0"/>
      <w:marTop w:val="0"/>
      <w:marBottom w:val="0"/>
      <w:divBdr>
        <w:top w:val="none" w:sz="0" w:space="0" w:color="auto"/>
        <w:left w:val="none" w:sz="0" w:space="0" w:color="auto"/>
        <w:bottom w:val="none" w:sz="0" w:space="0" w:color="auto"/>
        <w:right w:val="none" w:sz="0" w:space="0" w:color="auto"/>
      </w:divBdr>
    </w:div>
    <w:div w:id="1456213472">
      <w:bodyDiv w:val="1"/>
      <w:marLeft w:val="0"/>
      <w:marRight w:val="0"/>
      <w:marTop w:val="0"/>
      <w:marBottom w:val="0"/>
      <w:divBdr>
        <w:top w:val="none" w:sz="0" w:space="0" w:color="auto"/>
        <w:left w:val="none" w:sz="0" w:space="0" w:color="auto"/>
        <w:bottom w:val="none" w:sz="0" w:space="0" w:color="auto"/>
        <w:right w:val="none" w:sz="0" w:space="0" w:color="auto"/>
      </w:divBdr>
      <w:divsChild>
        <w:div w:id="1464157751">
          <w:marLeft w:val="0"/>
          <w:marRight w:val="0"/>
          <w:marTop w:val="0"/>
          <w:marBottom w:val="0"/>
          <w:divBdr>
            <w:top w:val="none" w:sz="0" w:space="0" w:color="auto"/>
            <w:left w:val="none" w:sz="0" w:space="0" w:color="auto"/>
            <w:bottom w:val="none" w:sz="0" w:space="0" w:color="auto"/>
            <w:right w:val="none" w:sz="0" w:space="0" w:color="auto"/>
          </w:divBdr>
          <w:divsChild>
            <w:div w:id="1819885211">
              <w:marLeft w:val="0"/>
              <w:marRight w:val="0"/>
              <w:marTop w:val="0"/>
              <w:marBottom w:val="0"/>
              <w:divBdr>
                <w:top w:val="none" w:sz="0" w:space="0" w:color="auto"/>
                <w:left w:val="none" w:sz="0" w:space="0" w:color="auto"/>
                <w:bottom w:val="none" w:sz="0" w:space="0" w:color="auto"/>
                <w:right w:val="none" w:sz="0" w:space="0" w:color="auto"/>
              </w:divBdr>
              <w:divsChild>
                <w:div w:id="263877946">
                  <w:marLeft w:val="0"/>
                  <w:marRight w:val="0"/>
                  <w:marTop w:val="0"/>
                  <w:marBottom w:val="0"/>
                  <w:divBdr>
                    <w:top w:val="none" w:sz="0" w:space="0" w:color="auto"/>
                    <w:left w:val="none" w:sz="0" w:space="0" w:color="auto"/>
                    <w:bottom w:val="none" w:sz="0" w:space="0" w:color="auto"/>
                    <w:right w:val="none" w:sz="0" w:space="0" w:color="auto"/>
                  </w:divBdr>
                  <w:divsChild>
                    <w:div w:id="18250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22082">
      <w:bodyDiv w:val="1"/>
      <w:marLeft w:val="0"/>
      <w:marRight w:val="0"/>
      <w:marTop w:val="0"/>
      <w:marBottom w:val="0"/>
      <w:divBdr>
        <w:top w:val="none" w:sz="0" w:space="0" w:color="auto"/>
        <w:left w:val="none" w:sz="0" w:space="0" w:color="auto"/>
        <w:bottom w:val="none" w:sz="0" w:space="0" w:color="auto"/>
        <w:right w:val="none" w:sz="0" w:space="0" w:color="auto"/>
      </w:divBdr>
    </w:div>
    <w:div w:id="1463233049">
      <w:bodyDiv w:val="1"/>
      <w:marLeft w:val="0"/>
      <w:marRight w:val="0"/>
      <w:marTop w:val="0"/>
      <w:marBottom w:val="0"/>
      <w:divBdr>
        <w:top w:val="none" w:sz="0" w:space="0" w:color="auto"/>
        <w:left w:val="none" w:sz="0" w:space="0" w:color="auto"/>
        <w:bottom w:val="none" w:sz="0" w:space="0" w:color="auto"/>
        <w:right w:val="none" w:sz="0" w:space="0" w:color="auto"/>
      </w:divBdr>
    </w:div>
    <w:div w:id="1473517702">
      <w:bodyDiv w:val="1"/>
      <w:marLeft w:val="0"/>
      <w:marRight w:val="0"/>
      <w:marTop w:val="0"/>
      <w:marBottom w:val="0"/>
      <w:divBdr>
        <w:top w:val="none" w:sz="0" w:space="0" w:color="auto"/>
        <w:left w:val="none" w:sz="0" w:space="0" w:color="auto"/>
        <w:bottom w:val="none" w:sz="0" w:space="0" w:color="auto"/>
        <w:right w:val="none" w:sz="0" w:space="0" w:color="auto"/>
      </w:divBdr>
    </w:div>
    <w:div w:id="1475179189">
      <w:bodyDiv w:val="1"/>
      <w:marLeft w:val="0"/>
      <w:marRight w:val="0"/>
      <w:marTop w:val="0"/>
      <w:marBottom w:val="0"/>
      <w:divBdr>
        <w:top w:val="none" w:sz="0" w:space="0" w:color="auto"/>
        <w:left w:val="none" w:sz="0" w:space="0" w:color="auto"/>
        <w:bottom w:val="none" w:sz="0" w:space="0" w:color="auto"/>
        <w:right w:val="none" w:sz="0" w:space="0" w:color="auto"/>
      </w:divBdr>
    </w:div>
    <w:div w:id="1478691698">
      <w:bodyDiv w:val="1"/>
      <w:marLeft w:val="0"/>
      <w:marRight w:val="0"/>
      <w:marTop w:val="0"/>
      <w:marBottom w:val="0"/>
      <w:divBdr>
        <w:top w:val="none" w:sz="0" w:space="0" w:color="auto"/>
        <w:left w:val="none" w:sz="0" w:space="0" w:color="auto"/>
        <w:bottom w:val="none" w:sz="0" w:space="0" w:color="auto"/>
        <w:right w:val="none" w:sz="0" w:space="0" w:color="auto"/>
      </w:divBdr>
    </w:div>
    <w:div w:id="1484855169">
      <w:bodyDiv w:val="1"/>
      <w:marLeft w:val="0"/>
      <w:marRight w:val="0"/>
      <w:marTop w:val="0"/>
      <w:marBottom w:val="0"/>
      <w:divBdr>
        <w:top w:val="none" w:sz="0" w:space="0" w:color="auto"/>
        <w:left w:val="none" w:sz="0" w:space="0" w:color="auto"/>
        <w:bottom w:val="none" w:sz="0" w:space="0" w:color="auto"/>
        <w:right w:val="none" w:sz="0" w:space="0" w:color="auto"/>
      </w:divBdr>
    </w:div>
    <w:div w:id="1498426225">
      <w:bodyDiv w:val="1"/>
      <w:marLeft w:val="0"/>
      <w:marRight w:val="0"/>
      <w:marTop w:val="0"/>
      <w:marBottom w:val="0"/>
      <w:divBdr>
        <w:top w:val="none" w:sz="0" w:space="0" w:color="auto"/>
        <w:left w:val="none" w:sz="0" w:space="0" w:color="auto"/>
        <w:bottom w:val="none" w:sz="0" w:space="0" w:color="auto"/>
        <w:right w:val="none" w:sz="0" w:space="0" w:color="auto"/>
      </w:divBdr>
      <w:divsChild>
        <w:div w:id="1336765723">
          <w:marLeft w:val="0"/>
          <w:marRight w:val="0"/>
          <w:marTop w:val="0"/>
          <w:marBottom w:val="0"/>
          <w:divBdr>
            <w:top w:val="none" w:sz="0" w:space="0" w:color="auto"/>
            <w:left w:val="none" w:sz="0" w:space="0" w:color="auto"/>
            <w:bottom w:val="none" w:sz="0" w:space="0" w:color="auto"/>
            <w:right w:val="none" w:sz="0" w:space="0" w:color="auto"/>
          </w:divBdr>
          <w:divsChild>
            <w:div w:id="578640791">
              <w:marLeft w:val="0"/>
              <w:marRight w:val="0"/>
              <w:marTop w:val="0"/>
              <w:marBottom w:val="0"/>
              <w:divBdr>
                <w:top w:val="none" w:sz="0" w:space="0" w:color="auto"/>
                <w:left w:val="none" w:sz="0" w:space="0" w:color="auto"/>
                <w:bottom w:val="none" w:sz="0" w:space="0" w:color="auto"/>
                <w:right w:val="none" w:sz="0" w:space="0" w:color="auto"/>
              </w:divBdr>
              <w:divsChild>
                <w:div w:id="1172262114">
                  <w:marLeft w:val="0"/>
                  <w:marRight w:val="0"/>
                  <w:marTop w:val="0"/>
                  <w:marBottom w:val="0"/>
                  <w:divBdr>
                    <w:top w:val="none" w:sz="0" w:space="0" w:color="auto"/>
                    <w:left w:val="none" w:sz="0" w:space="0" w:color="auto"/>
                    <w:bottom w:val="none" w:sz="0" w:space="0" w:color="auto"/>
                    <w:right w:val="none" w:sz="0" w:space="0" w:color="auto"/>
                  </w:divBdr>
                  <w:divsChild>
                    <w:div w:id="13891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29202">
      <w:bodyDiv w:val="1"/>
      <w:marLeft w:val="0"/>
      <w:marRight w:val="0"/>
      <w:marTop w:val="0"/>
      <w:marBottom w:val="0"/>
      <w:divBdr>
        <w:top w:val="none" w:sz="0" w:space="0" w:color="auto"/>
        <w:left w:val="none" w:sz="0" w:space="0" w:color="auto"/>
        <w:bottom w:val="none" w:sz="0" w:space="0" w:color="auto"/>
        <w:right w:val="none" w:sz="0" w:space="0" w:color="auto"/>
      </w:divBdr>
    </w:div>
    <w:div w:id="1523854949">
      <w:bodyDiv w:val="1"/>
      <w:marLeft w:val="0"/>
      <w:marRight w:val="0"/>
      <w:marTop w:val="0"/>
      <w:marBottom w:val="0"/>
      <w:divBdr>
        <w:top w:val="none" w:sz="0" w:space="0" w:color="auto"/>
        <w:left w:val="none" w:sz="0" w:space="0" w:color="auto"/>
        <w:bottom w:val="none" w:sz="0" w:space="0" w:color="auto"/>
        <w:right w:val="none" w:sz="0" w:space="0" w:color="auto"/>
      </w:divBdr>
    </w:div>
    <w:div w:id="1535146193">
      <w:bodyDiv w:val="1"/>
      <w:marLeft w:val="0"/>
      <w:marRight w:val="0"/>
      <w:marTop w:val="0"/>
      <w:marBottom w:val="0"/>
      <w:divBdr>
        <w:top w:val="none" w:sz="0" w:space="0" w:color="auto"/>
        <w:left w:val="none" w:sz="0" w:space="0" w:color="auto"/>
        <w:bottom w:val="none" w:sz="0" w:space="0" w:color="auto"/>
        <w:right w:val="none" w:sz="0" w:space="0" w:color="auto"/>
      </w:divBdr>
      <w:divsChild>
        <w:div w:id="1764493852">
          <w:marLeft w:val="0"/>
          <w:marRight w:val="0"/>
          <w:marTop w:val="0"/>
          <w:marBottom w:val="0"/>
          <w:divBdr>
            <w:top w:val="none" w:sz="0" w:space="0" w:color="auto"/>
            <w:left w:val="none" w:sz="0" w:space="0" w:color="auto"/>
            <w:bottom w:val="none" w:sz="0" w:space="0" w:color="auto"/>
            <w:right w:val="none" w:sz="0" w:space="0" w:color="auto"/>
          </w:divBdr>
          <w:divsChild>
            <w:div w:id="1844971116">
              <w:marLeft w:val="0"/>
              <w:marRight w:val="0"/>
              <w:marTop w:val="0"/>
              <w:marBottom w:val="0"/>
              <w:divBdr>
                <w:top w:val="none" w:sz="0" w:space="0" w:color="auto"/>
                <w:left w:val="none" w:sz="0" w:space="0" w:color="auto"/>
                <w:bottom w:val="none" w:sz="0" w:space="0" w:color="auto"/>
                <w:right w:val="none" w:sz="0" w:space="0" w:color="auto"/>
              </w:divBdr>
              <w:divsChild>
                <w:div w:id="1551309211">
                  <w:marLeft w:val="0"/>
                  <w:marRight w:val="0"/>
                  <w:marTop w:val="0"/>
                  <w:marBottom w:val="0"/>
                  <w:divBdr>
                    <w:top w:val="none" w:sz="0" w:space="0" w:color="auto"/>
                    <w:left w:val="none" w:sz="0" w:space="0" w:color="auto"/>
                    <w:bottom w:val="none" w:sz="0" w:space="0" w:color="auto"/>
                    <w:right w:val="none" w:sz="0" w:space="0" w:color="auto"/>
                  </w:divBdr>
                  <w:divsChild>
                    <w:div w:id="15016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933433">
      <w:bodyDiv w:val="1"/>
      <w:marLeft w:val="0"/>
      <w:marRight w:val="0"/>
      <w:marTop w:val="0"/>
      <w:marBottom w:val="0"/>
      <w:divBdr>
        <w:top w:val="none" w:sz="0" w:space="0" w:color="auto"/>
        <w:left w:val="none" w:sz="0" w:space="0" w:color="auto"/>
        <w:bottom w:val="none" w:sz="0" w:space="0" w:color="auto"/>
        <w:right w:val="none" w:sz="0" w:space="0" w:color="auto"/>
      </w:divBdr>
    </w:div>
    <w:div w:id="1544096901">
      <w:bodyDiv w:val="1"/>
      <w:marLeft w:val="0"/>
      <w:marRight w:val="0"/>
      <w:marTop w:val="0"/>
      <w:marBottom w:val="0"/>
      <w:divBdr>
        <w:top w:val="none" w:sz="0" w:space="0" w:color="auto"/>
        <w:left w:val="none" w:sz="0" w:space="0" w:color="auto"/>
        <w:bottom w:val="none" w:sz="0" w:space="0" w:color="auto"/>
        <w:right w:val="none" w:sz="0" w:space="0" w:color="auto"/>
      </w:divBdr>
    </w:div>
    <w:div w:id="1547907228">
      <w:bodyDiv w:val="1"/>
      <w:marLeft w:val="0"/>
      <w:marRight w:val="0"/>
      <w:marTop w:val="0"/>
      <w:marBottom w:val="0"/>
      <w:divBdr>
        <w:top w:val="none" w:sz="0" w:space="0" w:color="auto"/>
        <w:left w:val="none" w:sz="0" w:space="0" w:color="auto"/>
        <w:bottom w:val="none" w:sz="0" w:space="0" w:color="auto"/>
        <w:right w:val="none" w:sz="0" w:space="0" w:color="auto"/>
      </w:divBdr>
      <w:divsChild>
        <w:div w:id="1362785444">
          <w:marLeft w:val="0"/>
          <w:marRight w:val="0"/>
          <w:marTop w:val="0"/>
          <w:marBottom w:val="0"/>
          <w:divBdr>
            <w:top w:val="none" w:sz="0" w:space="0" w:color="auto"/>
            <w:left w:val="none" w:sz="0" w:space="0" w:color="auto"/>
            <w:bottom w:val="none" w:sz="0" w:space="0" w:color="auto"/>
            <w:right w:val="none" w:sz="0" w:space="0" w:color="auto"/>
          </w:divBdr>
          <w:divsChild>
            <w:div w:id="1903057131">
              <w:marLeft w:val="0"/>
              <w:marRight w:val="0"/>
              <w:marTop w:val="0"/>
              <w:marBottom w:val="0"/>
              <w:divBdr>
                <w:top w:val="none" w:sz="0" w:space="0" w:color="auto"/>
                <w:left w:val="none" w:sz="0" w:space="0" w:color="auto"/>
                <w:bottom w:val="none" w:sz="0" w:space="0" w:color="auto"/>
                <w:right w:val="none" w:sz="0" w:space="0" w:color="auto"/>
              </w:divBdr>
              <w:divsChild>
                <w:div w:id="1871796176">
                  <w:marLeft w:val="0"/>
                  <w:marRight w:val="0"/>
                  <w:marTop w:val="0"/>
                  <w:marBottom w:val="0"/>
                  <w:divBdr>
                    <w:top w:val="none" w:sz="0" w:space="0" w:color="auto"/>
                    <w:left w:val="none" w:sz="0" w:space="0" w:color="auto"/>
                    <w:bottom w:val="none" w:sz="0" w:space="0" w:color="auto"/>
                    <w:right w:val="none" w:sz="0" w:space="0" w:color="auto"/>
                  </w:divBdr>
                  <w:divsChild>
                    <w:div w:id="19852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03169">
      <w:bodyDiv w:val="1"/>
      <w:marLeft w:val="0"/>
      <w:marRight w:val="0"/>
      <w:marTop w:val="0"/>
      <w:marBottom w:val="0"/>
      <w:divBdr>
        <w:top w:val="none" w:sz="0" w:space="0" w:color="auto"/>
        <w:left w:val="none" w:sz="0" w:space="0" w:color="auto"/>
        <w:bottom w:val="none" w:sz="0" w:space="0" w:color="auto"/>
        <w:right w:val="none" w:sz="0" w:space="0" w:color="auto"/>
      </w:divBdr>
    </w:div>
    <w:div w:id="1554996389">
      <w:bodyDiv w:val="1"/>
      <w:marLeft w:val="0"/>
      <w:marRight w:val="0"/>
      <w:marTop w:val="0"/>
      <w:marBottom w:val="0"/>
      <w:divBdr>
        <w:top w:val="none" w:sz="0" w:space="0" w:color="auto"/>
        <w:left w:val="none" w:sz="0" w:space="0" w:color="auto"/>
        <w:bottom w:val="none" w:sz="0" w:space="0" w:color="auto"/>
        <w:right w:val="none" w:sz="0" w:space="0" w:color="auto"/>
      </w:divBdr>
    </w:div>
    <w:div w:id="1562522227">
      <w:bodyDiv w:val="1"/>
      <w:marLeft w:val="0"/>
      <w:marRight w:val="0"/>
      <w:marTop w:val="0"/>
      <w:marBottom w:val="0"/>
      <w:divBdr>
        <w:top w:val="none" w:sz="0" w:space="0" w:color="auto"/>
        <w:left w:val="none" w:sz="0" w:space="0" w:color="auto"/>
        <w:bottom w:val="none" w:sz="0" w:space="0" w:color="auto"/>
        <w:right w:val="none" w:sz="0" w:space="0" w:color="auto"/>
      </w:divBdr>
      <w:divsChild>
        <w:div w:id="1185094740">
          <w:marLeft w:val="0"/>
          <w:marRight w:val="0"/>
          <w:marTop w:val="0"/>
          <w:marBottom w:val="0"/>
          <w:divBdr>
            <w:top w:val="none" w:sz="0" w:space="0" w:color="auto"/>
            <w:left w:val="none" w:sz="0" w:space="0" w:color="auto"/>
            <w:bottom w:val="none" w:sz="0" w:space="0" w:color="auto"/>
            <w:right w:val="none" w:sz="0" w:space="0" w:color="auto"/>
          </w:divBdr>
          <w:divsChild>
            <w:div w:id="332342503">
              <w:marLeft w:val="0"/>
              <w:marRight w:val="0"/>
              <w:marTop w:val="0"/>
              <w:marBottom w:val="0"/>
              <w:divBdr>
                <w:top w:val="none" w:sz="0" w:space="0" w:color="auto"/>
                <w:left w:val="none" w:sz="0" w:space="0" w:color="auto"/>
                <w:bottom w:val="none" w:sz="0" w:space="0" w:color="auto"/>
                <w:right w:val="none" w:sz="0" w:space="0" w:color="auto"/>
              </w:divBdr>
              <w:divsChild>
                <w:div w:id="18774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4998">
      <w:bodyDiv w:val="1"/>
      <w:marLeft w:val="0"/>
      <w:marRight w:val="0"/>
      <w:marTop w:val="0"/>
      <w:marBottom w:val="0"/>
      <w:divBdr>
        <w:top w:val="none" w:sz="0" w:space="0" w:color="auto"/>
        <w:left w:val="none" w:sz="0" w:space="0" w:color="auto"/>
        <w:bottom w:val="none" w:sz="0" w:space="0" w:color="auto"/>
        <w:right w:val="none" w:sz="0" w:space="0" w:color="auto"/>
      </w:divBdr>
      <w:divsChild>
        <w:div w:id="17048557">
          <w:marLeft w:val="0"/>
          <w:marRight w:val="0"/>
          <w:marTop w:val="0"/>
          <w:marBottom w:val="0"/>
          <w:divBdr>
            <w:top w:val="none" w:sz="0" w:space="0" w:color="auto"/>
            <w:left w:val="none" w:sz="0" w:space="0" w:color="auto"/>
            <w:bottom w:val="none" w:sz="0" w:space="0" w:color="auto"/>
            <w:right w:val="none" w:sz="0" w:space="0" w:color="auto"/>
          </w:divBdr>
          <w:divsChild>
            <w:div w:id="2108579313">
              <w:marLeft w:val="0"/>
              <w:marRight w:val="0"/>
              <w:marTop w:val="0"/>
              <w:marBottom w:val="0"/>
              <w:divBdr>
                <w:top w:val="none" w:sz="0" w:space="0" w:color="auto"/>
                <w:left w:val="none" w:sz="0" w:space="0" w:color="auto"/>
                <w:bottom w:val="none" w:sz="0" w:space="0" w:color="auto"/>
                <w:right w:val="none" w:sz="0" w:space="0" w:color="auto"/>
              </w:divBdr>
              <w:divsChild>
                <w:div w:id="1345204501">
                  <w:marLeft w:val="0"/>
                  <w:marRight w:val="0"/>
                  <w:marTop w:val="0"/>
                  <w:marBottom w:val="0"/>
                  <w:divBdr>
                    <w:top w:val="none" w:sz="0" w:space="0" w:color="auto"/>
                    <w:left w:val="none" w:sz="0" w:space="0" w:color="auto"/>
                    <w:bottom w:val="none" w:sz="0" w:space="0" w:color="auto"/>
                    <w:right w:val="none" w:sz="0" w:space="0" w:color="auto"/>
                  </w:divBdr>
                  <w:divsChild>
                    <w:div w:id="8152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62315">
      <w:bodyDiv w:val="1"/>
      <w:marLeft w:val="0"/>
      <w:marRight w:val="0"/>
      <w:marTop w:val="0"/>
      <w:marBottom w:val="0"/>
      <w:divBdr>
        <w:top w:val="none" w:sz="0" w:space="0" w:color="auto"/>
        <w:left w:val="none" w:sz="0" w:space="0" w:color="auto"/>
        <w:bottom w:val="none" w:sz="0" w:space="0" w:color="auto"/>
        <w:right w:val="none" w:sz="0" w:space="0" w:color="auto"/>
      </w:divBdr>
    </w:div>
    <w:div w:id="1569652745">
      <w:bodyDiv w:val="1"/>
      <w:marLeft w:val="0"/>
      <w:marRight w:val="0"/>
      <w:marTop w:val="0"/>
      <w:marBottom w:val="0"/>
      <w:divBdr>
        <w:top w:val="none" w:sz="0" w:space="0" w:color="auto"/>
        <w:left w:val="none" w:sz="0" w:space="0" w:color="auto"/>
        <w:bottom w:val="none" w:sz="0" w:space="0" w:color="auto"/>
        <w:right w:val="none" w:sz="0" w:space="0" w:color="auto"/>
      </w:divBdr>
      <w:divsChild>
        <w:div w:id="265888773">
          <w:marLeft w:val="0"/>
          <w:marRight w:val="0"/>
          <w:marTop w:val="0"/>
          <w:marBottom w:val="0"/>
          <w:divBdr>
            <w:top w:val="none" w:sz="0" w:space="0" w:color="auto"/>
            <w:left w:val="none" w:sz="0" w:space="0" w:color="auto"/>
            <w:bottom w:val="none" w:sz="0" w:space="0" w:color="auto"/>
            <w:right w:val="none" w:sz="0" w:space="0" w:color="auto"/>
          </w:divBdr>
          <w:divsChild>
            <w:div w:id="983896259">
              <w:marLeft w:val="0"/>
              <w:marRight w:val="0"/>
              <w:marTop w:val="0"/>
              <w:marBottom w:val="0"/>
              <w:divBdr>
                <w:top w:val="none" w:sz="0" w:space="0" w:color="auto"/>
                <w:left w:val="none" w:sz="0" w:space="0" w:color="auto"/>
                <w:bottom w:val="none" w:sz="0" w:space="0" w:color="auto"/>
                <w:right w:val="none" w:sz="0" w:space="0" w:color="auto"/>
              </w:divBdr>
              <w:divsChild>
                <w:div w:id="1328940774">
                  <w:marLeft w:val="0"/>
                  <w:marRight w:val="0"/>
                  <w:marTop w:val="0"/>
                  <w:marBottom w:val="0"/>
                  <w:divBdr>
                    <w:top w:val="none" w:sz="0" w:space="0" w:color="auto"/>
                    <w:left w:val="none" w:sz="0" w:space="0" w:color="auto"/>
                    <w:bottom w:val="none" w:sz="0" w:space="0" w:color="auto"/>
                    <w:right w:val="none" w:sz="0" w:space="0" w:color="auto"/>
                  </w:divBdr>
                  <w:divsChild>
                    <w:div w:id="14809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61918">
      <w:bodyDiv w:val="1"/>
      <w:marLeft w:val="0"/>
      <w:marRight w:val="0"/>
      <w:marTop w:val="0"/>
      <w:marBottom w:val="0"/>
      <w:divBdr>
        <w:top w:val="none" w:sz="0" w:space="0" w:color="auto"/>
        <w:left w:val="none" w:sz="0" w:space="0" w:color="auto"/>
        <w:bottom w:val="none" w:sz="0" w:space="0" w:color="auto"/>
        <w:right w:val="none" w:sz="0" w:space="0" w:color="auto"/>
      </w:divBdr>
      <w:divsChild>
        <w:div w:id="138882332">
          <w:marLeft w:val="0"/>
          <w:marRight w:val="0"/>
          <w:marTop w:val="0"/>
          <w:marBottom w:val="0"/>
          <w:divBdr>
            <w:top w:val="none" w:sz="0" w:space="0" w:color="auto"/>
            <w:left w:val="none" w:sz="0" w:space="0" w:color="auto"/>
            <w:bottom w:val="none" w:sz="0" w:space="0" w:color="auto"/>
            <w:right w:val="none" w:sz="0" w:space="0" w:color="auto"/>
          </w:divBdr>
        </w:div>
        <w:div w:id="497381887">
          <w:marLeft w:val="0"/>
          <w:marRight w:val="0"/>
          <w:marTop w:val="0"/>
          <w:marBottom w:val="0"/>
          <w:divBdr>
            <w:top w:val="none" w:sz="0" w:space="0" w:color="auto"/>
            <w:left w:val="none" w:sz="0" w:space="0" w:color="auto"/>
            <w:bottom w:val="none" w:sz="0" w:space="0" w:color="auto"/>
            <w:right w:val="none" w:sz="0" w:space="0" w:color="auto"/>
          </w:divBdr>
          <w:divsChild>
            <w:div w:id="622922032">
              <w:marLeft w:val="0"/>
              <w:marRight w:val="0"/>
              <w:marTop w:val="0"/>
              <w:marBottom w:val="0"/>
              <w:divBdr>
                <w:top w:val="none" w:sz="0" w:space="0" w:color="auto"/>
                <w:left w:val="none" w:sz="0" w:space="0" w:color="auto"/>
                <w:bottom w:val="none" w:sz="0" w:space="0" w:color="auto"/>
                <w:right w:val="none" w:sz="0" w:space="0" w:color="auto"/>
              </w:divBdr>
            </w:div>
            <w:div w:id="617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76822">
      <w:bodyDiv w:val="1"/>
      <w:marLeft w:val="0"/>
      <w:marRight w:val="0"/>
      <w:marTop w:val="0"/>
      <w:marBottom w:val="0"/>
      <w:divBdr>
        <w:top w:val="none" w:sz="0" w:space="0" w:color="auto"/>
        <w:left w:val="none" w:sz="0" w:space="0" w:color="auto"/>
        <w:bottom w:val="none" w:sz="0" w:space="0" w:color="auto"/>
        <w:right w:val="none" w:sz="0" w:space="0" w:color="auto"/>
      </w:divBdr>
      <w:divsChild>
        <w:div w:id="1758939647">
          <w:marLeft w:val="0"/>
          <w:marRight w:val="0"/>
          <w:marTop w:val="0"/>
          <w:marBottom w:val="0"/>
          <w:divBdr>
            <w:top w:val="none" w:sz="0" w:space="0" w:color="auto"/>
            <w:left w:val="none" w:sz="0" w:space="0" w:color="auto"/>
            <w:bottom w:val="none" w:sz="0" w:space="0" w:color="auto"/>
            <w:right w:val="none" w:sz="0" w:space="0" w:color="auto"/>
          </w:divBdr>
          <w:divsChild>
            <w:div w:id="1243905466">
              <w:marLeft w:val="0"/>
              <w:marRight w:val="0"/>
              <w:marTop w:val="0"/>
              <w:marBottom w:val="0"/>
              <w:divBdr>
                <w:top w:val="none" w:sz="0" w:space="0" w:color="auto"/>
                <w:left w:val="none" w:sz="0" w:space="0" w:color="auto"/>
                <w:bottom w:val="none" w:sz="0" w:space="0" w:color="auto"/>
                <w:right w:val="none" w:sz="0" w:space="0" w:color="auto"/>
              </w:divBdr>
              <w:divsChild>
                <w:div w:id="362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8405">
      <w:bodyDiv w:val="1"/>
      <w:marLeft w:val="0"/>
      <w:marRight w:val="0"/>
      <w:marTop w:val="0"/>
      <w:marBottom w:val="0"/>
      <w:divBdr>
        <w:top w:val="none" w:sz="0" w:space="0" w:color="auto"/>
        <w:left w:val="none" w:sz="0" w:space="0" w:color="auto"/>
        <w:bottom w:val="none" w:sz="0" w:space="0" w:color="auto"/>
        <w:right w:val="none" w:sz="0" w:space="0" w:color="auto"/>
      </w:divBdr>
    </w:div>
    <w:div w:id="1595092089">
      <w:bodyDiv w:val="1"/>
      <w:marLeft w:val="0"/>
      <w:marRight w:val="0"/>
      <w:marTop w:val="0"/>
      <w:marBottom w:val="0"/>
      <w:divBdr>
        <w:top w:val="none" w:sz="0" w:space="0" w:color="auto"/>
        <w:left w:val="none" w:sz="0" w:space="0" w:color="auto"/>
        <w:bottom w:val="none" w:sz="0" w:space="0" w:color="auto"/>
        <w:right w:val="none" w:sz="0" w:space="0" w:color="auto"/>
      </w:divBdr>
      <w:divsChild>
        <w:div w:id="1933391004">
          <w:marLeft w:val="0"/>
          <w:marRight w:val="0"/>
          <w:marTop w:val="0"/>
          <w:marBottom w:val="0"/>
          <w:divBdr>
            <w:top w:val="none" w:sz="0" w:space="0" w:color="auto"/>
            <w:left w:val="none" w:sz="0" w:space="0" w:color="auto"/>
            <w:bottom w:val="none" w:sz="0" w:space="0" w:color="auto"/>
            <w:right w:val="none" w:sz="0" w:space="0" w:color="auto"/>
          </w:divBdr>
          <w:divsChild>
            <w:div w:id="1530529992">
              <w:marLeft w:val="0"/>
              <w:marRight w:val="0"/>
              <w:marTop w:val="0"/>
              <w:marBottom w:val="0"/>
              <w:divBdr>
                <w:top w:val="none" w:sz="0" w:space="0" w:color="auto"/>
                <w:left w:val="none" w:sz="0" w:space="0" w:color="auto"/>
                <w:bottom w:val="none" w:sz="0" w:space="0" w:color="auto"/>
                <w:right w:val="none" w:sz="0" w:space="0" w:color="auto"/>
              </w:divBdr>
              <w:divsChild>
                <w:div w:id="37434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3619">
      <w:bodyDiv w:val="1"/>
      <w:marLeft w:val="0"/>
      <w:marRight w:val="0"/>
      <w:marTop w:val="0"/>
      <w:marBottom w:val="0"/>
      <w:divBdr>
        <w:top w:val="none" w:sz="0" w:space="0" w:color="auto"/>
        <w:left w:val="none" w:sz="0" w:space="0" w:color="auto"/>
        <w:bottom w:val="none" w:sz="0" w:space="0" w:color="auto"/>
        <w:right w:val="none" w:sz="0" w:space="0" w:color="auto"/>
      </w:divBdr>
      <w:divsChild>
        <w:div w:id="1264067385">
          <w:marLeft w:val="0"/>
          <w:marRight w:val="0"/>
          <w:marTop w:val="0"/>
          <w:marBottom w:val="0"/>
          <w:divBdr>
            <w:top w:val="none" w:sz="0" w:space="0" w:color="auto"/>
            <w:left w:val="none" w:sz="0" w:space="0" w:color="auto"/>
            <w:bottom w:val="none" w:sz="0" w:space="0" w:color="auto"/>
            <w:right w:val="none" w:sz="0" w:space="0" w:color="auto"/>
          </w:divBdr>
          <w:divsChild>
            <w:div w:id="452335536">
              <w:marLeft w:val="0"/>
              <w:marRight w:val="0"/>
              <w:marTop w:val="0"/>
              <w:marBottom w:val="0"/>
              <w:divBdr>
                <w:top w:val="none" w:sz="0" w:space="0" w:color="auto"/>
                <w:left w:val="none" w:sz="0" w:space="0" w:color="auto"/>
                <w:bottom w:val="none" w:sz="0" w:space="0" w:color="auto"/>
                <w:right w:val="none" w:sz="0" w:space="0" w:color="auto"/>
              </w:divBdr>
              <w:divsChild>
                <w:div w:id="17936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0899">
      <w:bodyDiv w:val="1"/>
      <w:marLeft w:val="0"/>
      <w:marRight w:val="0"/>
      <w:marTop w:val="0"/>
      <w:marBottom w:val="0"/>
      <w:divBdr>
        <w:top w:val="none" w:sz="0" w:space="0" w:color="auto"/>
        <w:left w:val="none" w:sz="0" w:space="0" w:color="auto"/>
        <w:bottom w:val="none" w:sz="0" w:space="0" w:color="auto"/>
        <w:right w:val="none" w:sz="0" w:space="0" w:color="auto"/>
      </w:divBdr>
      <w:divsChild>
        <w:div w:id="1863667490">
          <w:marLeft w:val="0"/>
          <w:marRight w:val="0"/>
          <w:marTop w:val="0"/>
          <w:marBottom w:val="0"/>
          <w:divBdr>
            <w:top w:val="none" w:sz="0" w:space="0" w:color="auto"/>
            <w:left w:val="none" w:sz="0" w:space="0" w:color="auto"/>
            <w:bottom w:val="none" w:sz="0" w:space="0" w:color="auto"/>
            <w:right w:val="none" w:sz="0" w:space="0" w:color="auto"/>
          </w:divBdr>
          <w:divsChild>
            <w:div w:id="83302211">
              <w:marLeft w:val="0"/>
              <w:marRight w:val="0"/>
              <w:marTop w:val="0"/>
              <w:marBottom w:val="0"/>
              <w:divBdr>
                <w:top w:val="none" w:sz="0" w:space="0" w:color="auto"/>
                <w:left w:val="none" w:sz="0" w:space="0" w:color="auto"/>
                <w:bottom w:val="none" w:sz="0" w:space="0" w:color="auto"/>
                <w:right w:val="none" w:sz="0" w:space="0" w:color="auto"/>
              </w:divBdr>
              <w:divsChild>
                <w:div w:id="13735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48990">
      <w:bodyDiv w:val="1"/>
      <w:marLeft w:val="0"/>
      <w:marRight w:val="0"/>
      <w:marTop w:val="0"/>
      <w:marBottom w:val="0"/>
      <w:divBdr>
        <w:top w:val="none" w:sz="0" w:space="0" w:color="auto"/>
        <w:left w:val="none" w:sz="0" w:space="0" w:color="auto"/>
        <w:bottom w:val="none" w:sz="0" w:space="0" w:color="auto"/>
        <w:right w:val="none" w:sz="0" w:space="0" w:color="auto"/>
      </w:divBdr>
      <w:divsChild>
        <w:div w:id="535967927">
          <w:marLeft w:val="0"/>
          <w:marRight w:val="0"/>
          <w:marTop w:val="0"/>
          <w:marBottom w:val="0"/>
          <w:divBdr>
            <w:top w:val="none" w:sz="0" w:space="0" w:color="auto"/>
            <w:left w:val="none" w:sz="0" w:space="0" w:color="auto"/>
            <w:bottom w:val="none" w:sz="0" w:space="0" w:color="auto"/>
            <w:right w:val="none" w:sz="0" w:space="0" w:color="auto"/>
          </w:divBdr>
          <w:divsChild>
            <w:div w:id="1960799731">
              <w:marLeft w:val="0"/>
              <w:marRight w:val="0"/>
              <w:marTop w:val="0"/>
              <w:marBottom w:val="0"/>
              <w:divBdr>
                <w:top w:val="none" w:sz="0" w:space="0" w:color="auto"/>
                <w:left w:val="none" w:sz="0" w:space="0" w:color="auto"/>
                <w:bottom w:val="none" w:sz="0" w:space="0" w:color="auto"/>
                <w:right w:val="none" w:sz="0" w:space="0" w:color="auto"/>
              </w:divBdr>
              <w:divsChild>
                <w:div w:id="7766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59418">
      <w:bodyDiv w:val="1"/>
      <w:marLeft w:val="0"/>
      <w:marRight w:val="0"/>
      <w:marTop w:val="0"/>
      <w:marBottom w:val="0"/>
      <w:divBdr>
        <w:top w:val="none" w:sz="0" w:space="0" w:color="auto"/>
        <w:left w:val="none" w:sz="0" w:space="0" w:color="auto"/>
        <w:bottom w:val="none" w:sz="0" w:space="0" w:color="auto"/>
        <w:right w:val="none" w:sz="0" w:space="0" w:color="auto"/>
      </w:divBdr>
    </w:div>
    <w:div w:id="1630167253">
      <w:bodyDiv w:val="1"/>
      <w:marLeft w:val="0"/>
      <w:marRight w:val="0"/>
      <w:marTop w:val="0"/>
      <w:marBottom w:val="0"/>
      <w:divBdr>
        <w:top w:val="none" w:sz="0" w:space="0" w:color="auto"/>
        <w:left w:val="none" w:sz="0" w:space="0" w:color="auto"/>
        <w:bottom w:val="none" w:sz="0" w:space="0" w:color="auto"/>
        <w:right w:val="none" w:sz="0" w:space="0" w:color="auto"/>
      </w:divBdr>
    </w:div>
    <w:div w:id="1643000458">
      <w:bodyDiv w:val="1"/>
      <w:marLeft w:val="0"/>
      <w:marRight w:val="0"/>
      <w:marTop w:val="0"/>
      <w:marBottom w:val="0"/>
      <w:divBdr>
        <w:top w:val="none" w:sz="0" w:space="0" w:color="auto"/>
        <w:left w:val="none" w:sz="0" w:space="0" w:color="auto"/>
        <w:bottom w:val="none" w:sz="0" w:space="0" w:color="auto"/>
        <w:right w:val="none" w:sz="0" w:space="0" w:color="auto"/>
      </w:divBdr>
    </w:div>
    <w:div w:id="1645087381">
      <w:bodyDiv w:val="1"/>
      <w:marLeft w:val="0"/>
      <w:marRight w:val="0"/>
      <w:marTop w:val="0"/>
      <w:marBottom w:val="0"/>
      <w:divBdr>
        <w:top w:val="none" w:sz="0" w:space="0" w:color="auto"/>
        <w:left w:val="none" w:sz="0" w:space="0" w:color="auto"/>
        <w:bottom w:val="none" w:sz="0" w:space="0" w:color="auto"/>
        <w:right w:val="none" w:sz="0" w:space="0" w:color="auto"/>
      </w:divBdr>
    </w:div>
    <w:div w:id="1646006665">
      <w:bodyDiv w:val="1"/>
      <w:marLeft w:val="0"/>
      <w:marRight w:val="0"/>
      <w:marTop w:val="0"/>
      <w:marBottom w:val="0"/>
      <w:divBdr>
        <w:top w:val="none" w:sz="0" w:space="0" w:color="auto"/>
        <w:left w:val="none" w:sz="0" w:space="0" w:color="auto"/>
        <w:bottom w:val="none" w:sz="0" w:space="0" w:color="auto"/>
        <w:right w:val="none" w:sz="0" w:space="0" w:color="auto"/>
      </w:divBdr>
    </w:div>
    <w:div w:id="1647317326">
      <w:bodyDiv w:val="1"/>
      <w:marLeft w:val="0"/>
      <w:marRight w:val="0"/>
      <w:marTop w:val="0"/>
      <w:marBottom w:val="0"/>
      <w:divBdr>
        <w:top w:val="none" w:sz="0" w:space="0" w:color="auto"/>
        <w:left w:val="none" w:sz="0" w:space="0" w:color="auto"/>
        <w:bottom w:val="none" w:sz="0" w:space="0" w:color="auto"/>
        <w:right w:val="none" w:sz="0" w:space="0" w:color="auto"/>
      </w:divBdr>
    </w:div>
    <w:div w:id="1655721440">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2267816">
      <w:bodyDiv w:val="1"/>
      <w:marLeft w:val="0"/>
      <w:marRight w:val="0"/>
      <w:marTop w:val="0"/>
      <w:marBottom w:val="0"/>
      <w:divBdr>
        <w:top w:val="none" w:sz="0" w:space="0" w:color="auto"/>
        <w:left w:val="none" w:sz="0" w:space="0" w:color="auto"/>
        <w:bottom w:val="none" w:sz="0" w:space="0" w:color="auto"/>
        <w:right w:val="none" w:sz="0" w:space="0" w:color="auto"/>
      </w:divBdr>
    </w:div>
    <w:div w:id="1679624123">
      <w:bodyDiv w:val="1"/>
      <w:marLeft w:val="0"/>
      <w:marRight w:val="0"/>
      <w:marTop w:val="0"/>
      <w:marBottom w:val="0"/>
      <w:divBdr>
        <w:top w:val="none" w:sz="0" w:space="0" w:color="auto"/>
        <w:left w:val="none" w:sz="0" w:space="0" w:color="auto"/>
        <w:bottom w:val="none" w:sz="0" w:space="0" w:color="auto"/>
        <w:right w:val="none" w:sz="0" w:space="0" w:color="auto"/>
      </w:divBdr>
    </w:div>
    <w:div w:id="1680037981">
      <w:bodyDiv w:val="1"/>
      <w:marLeft w:val="0"/>
      <w:marRight w:val="0"/>
      <w:marTop w:val="0"/>
      <w:marBottom w:val="0"/>
      <w:divBdr>
        <w:top w:val="none" w:sz="0" w:space="0" w:color="auto"/>
        <w:left w:val="none" w:sz="0" w:space="0" w:color="auto"/>
        <w:bottom w:val="none" w:sz="0" w:space="0" w:color="auto"/>
        <w:right w:val="none" w:sz="0" w:space="0" w:color="auto"/>
      </w:divBdr>
      <w:divsChild>
        <w:div w:id="1874685896">
          <w:marLeft w:val="0"/>
          <w:marRight w:val="0"/>
          <w:marTop w:val="0"/>
          <w:marBottom w:val="0"/>
          <w:divBdr>
            <w:top w:val="none" w:sz="0" w:space="0" w:color="auto"/>
            <w:left w:val="none" w:sz="0" w:space="0" w:color="auto"/>
            <w:bottom w:val="none" w:sz="0" w:space="0" w:color="auto"/>
            <w:right w:val="none" w:sz="0" w:space="0" w:color="auto"/>
          </w:divBdr>
          <w:divsChild>
            <w:div w:id="2023046224">
              <w:marLeft w:val="0"/>
              <w:marRight w:val="0"/>
              <w:marTop w:val="0"/>
              <w:marBottom w:val="0"/>
              <w:divBdr>
                <w:top w:val="none" w:sz="0" w:space="0" w:color="auto"/>
                <w:left w:val="none" w:sz="0" w:space="0" w:color="auto"/>
                <w:bottom w:val="none" w:sz="0" w:space="0" w:color="auto"/>
                <w:right w:val="none" w:sz="0" w:space="0" w:color="auto"/>
              </w:divBdr>
              <w:divsChild>
                <w:div w:id="9268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0580">
      <w:bodyDiv w:val="1"/>
      <w:marLeft w:val="0"/>
      <w:marRight w:val="0"/>
      <w:marTop w:val="0"/>
      <w:marBottom w:val="0"/>
      <w:divBdr>
        <w:top w:val="none" w:sz="0" w:space="0" w:color="auto"/>
        <w:left w:val="none" w:sz="0" w:space="0" w:color="auto"/>
        <w:bottom w:val="none" w:sz="0" w:space="0" w:color="auto"/>
        <w:right w:val="none" w:sz="0" w:space="0" w:color="auto"/>
      </w:divBdr>
    </w:div>
    <w:div w:id="1702244907">
      <w:bodyDiv w:val="1"/>
      <w:marLeft w:val="0"/>
      <w:marRight w:val="0"/>
      <w:marTop w:val="0"/>
      <w:marBottom w:val="0"/>
      <w:divBdr>
        <w:top w:val="none" w:sz="0" w:space="0" w:color="auto"/>
        <w:left w:val="none" w:sz="0" w:space="0" w:color="auto"/>
        <w:bottom w:val="none" w:sz="0" w:space="0" w:color="auto"/>
        <w:right w:val="none" w:sz="0" w:space="0" w:color="auto"/>
      </w:divBdr>
      <w:divsChild>
        <w:div w:id="1329675511">
          <w:marLeft w:val="0"/>
          <w:marRight w:val="0"/>
          <w:marTop w:val="0"/>
          <w:marBottom w:val="0"/>
          <w:divBdr>
            <w:top w:val="none" w:sz="0" w:space="0" w:color="auto"/>
            <w:left w:val="none" w:sz="0" w:space="0" w:color="auto"/>
            <w:bottom w:val="none" w:sz="0" w:space="0" w:color="auto"/>
            <w:right w:val="none" w:sz="0" w:space="0" w:color="auto"/>
          </w:divBdr>
          <w:divsChild>
            <w:div w:id="2052337943">
              <w:marLeft w:val="0"/>
              <w:marRight w:val="0"/>
              <w:marTop w:val="0"/>
              <w:marBottom w:val="0"/>
              <w:divBdr>
                <w:top w:val="none" w:sz="0" w:space="0" w:color="auto"/>
                <w:left w:val="none" w:sz="0" w:space="0" w:color="auto"/>
                <w:bottom w:val="none" w:sz="0" w:space="0" w:color="auto"/>
                <w:right w:val="none" w:sz="0" w:space="0" w:color="auto"/>
              </w:divBdr>
              <w:divsChild>
                <w:div w:id="5087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2659">
      <w:bodyDiv w:val="1"/>
      <w:marLeft w:val="0"/>
      <w:marRight w:val="0"/>
      <w:marTop w:val="0"/>
      <w:marBottom w:val="0"/>
      <w:divBdr>
        <w:top w:val="none" w:sz="0" w:space="0" w:color="auto"/>
        <w:left w:val="none" w:sz="0" w:space="0" w:color="auto"/>
        <w:bottom w:val="none" w:sz="0" w:space="0" w:color="auto"/>
        <w:right w:val="none" w:sz="0" w:space="0" w:color="auto"/>
      </w:divBdr>
    </w:div>
    <w:div w:id="1714305494">
      <w:bodyDiv w:val="1"/>
      <w:marLeft w:val="0"/>
      <w:marRight w:val="0"/>
      <w:marTop w:val="0"/>
      <w:marBottom w:val="0"/>
      <w:divBdr>
        <w:top w:val="none" w:sz="0" w:space="0" w:color="auto"/>
        <w:left w:val="none" w:sz="0" w:space="0" w:color="auto"/>
        <w:bottom w:val="none" w:sz="0" w:space="0" w:color="auto"/>
        <w:right w:val="none" w:sz="0" w:space="0" w:color="auto"/>
      </w:divBdr>
      <w:divsChild>
        <w:div w:id="1293100934">
          <w:marLeft w:val="0"/>
          <w:marRight w:val="0"/>
          <w:marTop w:val="0"/>
          <w:marBottom w:val="0"/>
          <w:divBdr>
            <w:top w:val="none" w:sz="0" w:space="0" w:color="auto"/>
            <w:left w:val="none" w:sz="0" w:space="0" w:color="auto"/>
            <w:bottom w:val="none" w:sz="0" w:space="0" w:color="auto"/>
            <w:right w:val="none" w:sz="0" w:space="0" w:color="auto"/>
          </w:divBdr>
          <w:divsChild>
            <w:div w:id="2114130877">
              <w:marLeft w:val="0"/>
              <w:marRight w:val="0"/>
              <w:marTop w:val="0"/>
              <w:marBottom w:val="0"/>
              <w:divBdr>
                <w:top w:val="none" w:sz="0" w:space="0" w:color="auto"/>
                <w:left w:val="none" w:sz="0" w:space="0" w:color="auto"/>
                <w:bottom w:val="none" w:sz="0" w:space="0" w:color="auto"/>
                <w:right w:val="none" w:sz="0" w:space="0" w:color="auto"/>
              </w:divBdr>
              <w:divsChild>
                <w:div w:id="12602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6836">
      <w:bodyDiv w:val="1"/>
      <w:marLeft w:val="0"/>
      <w:marRight w:val="0"/>
      <w:marTop w:val="0"/>
      <w:marBottom w:val="0"/>
      <w:divBdr>
        <w:top w:val="none" w:sz="0" w:space="0" w:color="auto"/>
        <w:left w:val="none" w:sz="0" w:space="0" w:color="auto"/>
        <w:bottom w:val="none" w:sz="0" w:space="0" w:color="auto"/>
        <w:right w:val="none" w:sz="0" w:space="0" w:color="auto"/>
      </w:divBdr>
    </w:div>
    <w:div w:id="1731148149">
      <w:bodyDiv w:val="1"/>
      <w:marLeft w:val="0"/>
      <w:marRight w:val="0"/>
      <w:marTop w:val="0"/>
      <w:marBottom w:val="0"/>
      <w:divBdr>
        <w:top w:val="none" w:sz="0" w:space="0" w:color="auto"/>
        <w:left w:val="none" w:sz="0" w:space="0" w:color="auto"/>
        <w:bottom w:val="none" w:sz="0" w:space="0" w:color="auto"/>
        <w:right w:val="none" w:sz="0" w:space="0" w:color="auto"/>
      </w:divBdr>
      <w:divsChild>
        <w:div w:id="1786921147">
          <w:marLeft w:val="0"/>
          <w:marRight w:val="0"/>
          <w:marTop w:val="0"/>
          <w:marBottom w:val="0"/>
          <w:divBdr>
            <w:top w:val="none" w:sz="0" w:space="0" w:color="auto"/>
            <w:left w:val="none" w:sz="0" w:space="0" w:color="auto"/>
            <w:bottom w:val="none" w:sz="0" w:space="0" w:color="auto"/>
            <w:right w:val="none" w:sz="0" w:space="0" w:color="auto"/>
          </w:divBdr>
          <w:divsChild>
            <w:div w:id="411049575">
              <w:marLeft w:val="0"/>
              <w:marRight w:val="0"/>
              <w:marTop w:val="0"/>
              <w:marBottom w:val="0"/>
              <w:divBdr>
                <w:top w:val="none" w:sz="0" w:space="0" w:color="auto"/>
                <w:left w:val="none" w:sz="0" w:space="0" w:color="auto"/>
                <w:bottom w:val="none" w:sz="0" w:space="0" w:color="auto"/>
                <w:right w:val="none" w:sz="0" w:space="0" w:color="auto"/>
              </w:divBdr>
              <w:divsChild>
                <w:div w:id="16230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0712">
      <w:bodyDiv w:val="1"/>
      <w:marLeft w:val="0"/>
      <w:marRight w:val="0"/>
      <w:marTop w:val="0"/>
      <w:marBottom w:val="0"/>
      <w:divBdr>
        <w:top w:val="none" w:sz="0" w:space="0" w:color="auto"/>
        <w:left w:val="none" w:sz="0" w:space="0" w:color="auto"/>
        <w:bottom w:val="none" w:sz="0" w:space="0" w:color="auto"/>
        <w:right w:val="none" w:sz="0" w:space="0" w:color="auto"/>
      </w:divBdr>
      <w:divsChild>
        <w:div w:id="777063057">
          <w:marLeft w:val="0"/>
          <w:marRight w:val="0"/>
          <w:marTop w:val="0"/>
          <w:marBottom w:val="0"/>
          <w:divBdr>
            <w:top w:val="none" w:sz="0" w:space="0" w:color="auto"/>
            <w:left w:val="none" w:sz="0" w:space="0" w:color="auto"/>
            <w:bottom w:val="none" w:sz="0" w:space="0" w:color="auto"/>
            <w:right w:val="none" w:sz="0" w:space="0" w:color="auto"/>
          </w:divBdr>
          <w:divsChild>
            <w:div w:id="1485509594">
              <w:marLeft w:val="0"/>
              <w:marRight w:val="0"/>
              <w:marTop w:val="0"/>
              <w:marBottom w:val="0"/>
              <w:divBdr>
                <w:top w:val="none" w:sz="0" w:space="0" w:color="auto"/>
                <w:left w:val="none" w:sz="0" w:space="0" w:color="auto"/>
                <w:bottom w:val="none" w:sz="0" w:space="0" w:color="auto"/>
                <w:right w:val="none" w:sz="0" w:space="0" w:color="auto"/>
              </w:divBdr>
              <w:divsChild>
                <w:div w:id="8454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38674">
      <w:bodyDiv w:val="1"/>
      <w:marLeft w:val="0"/>
      <w:marRight w:val="0"/>
      <w:marTop w:val="0"/>
      <w:marBottom w:val="0"/>
      <w:divBdr>
        <w:top w:val="none" w:sz="0" w:space="0" w:color="auto"/>
        <w:left w:val="none" w:sz="0" w:space="0" w:color="auto"/>
        <w:bottom w:val="none" w:sz="0" w:space="0" w:color="auto"/>
        <w:right w:val="none" w:sz="0" w:space="0" w:color="auto"/>
      </w:divBdr>
    </w:div>
    <w:div w:id="1741975458">
      <w:bodyDiv w:val="1"/>
      <w:marLeft w:val="0"/>
      <w:marRight w:val="0"/>
      <w:marTop w:val="0"/>
      <w:marBottom w:val="0"/>
      <w:divBdr>
        <w:top w:val="none" w:sz="0" w:space="0" w:color="auto"/>
        <w:left w:val="none" w:sz="0" w:space="0" w:color="auto"/>
        <w:bottom w:val="none" w:sz="0" w:space="0" w:color="auto"/>
        <w:right w:val="none" w:sz="0" w:space="0" w:color="auto"/>
      </w:divBdr>
      <w:divsChild>
        <w:div w:id="2018925020">
          <w:marLeft w:val="0"/>
          <w:marRight w:val="0"/>
          <w:marTop w:val="0"/>
          <w:marBottom w:val="0"/>
          <w:divBdr>
            <w:top w:val="none" w:sz="0" w:space="0" w:color="auto"/>
            <w:left w:val="none" w:sz="0" w:space="0" w:color="auto"/>
            <w:bottom w:val="none" w:sz="0" w:space="0" w:color="auto"/>
            <w:right w:val="none" w:sz="0" w:space="0" w:color="auto"/>
          </w:divBdr>
          <w:divsChild>
            <w:div w:id="1681656872">
              <w:marLeft w:val="0"/>
              <w:marRight w:val="0"/>
              <w:marTop w:val="0"/>
              <w:marBottom w:val="0"/>
              <w:divBdr>
                <w:top w:val="none" w:sz="0" w:space="0" w:color="auto"/>
                <w:left w:val="none" w:sz="0" w:space="0" w:color="auto"/>
                <w:bottom w:val="none" w:sz="0" w:space="0" w:color="auto"/>
                <w:right w:val="none" w:sz="0" w:space="0" w:color="auto"/>
              </w:divBdr>
              <w:divsChild>
                <w:div w:id="2027167025">
                  <w:marLeft w:val="0"/>
                  <w:marRight w:val="0"/>
                  <w:marTop w:val="0"/>
                  <w:marBottom w:val="0"/>
                  <w:divBdr>
                    <w:top w:val="none" w:sz="0" w:space="0" w:color="auto"/>
                    <w:left w:val="none" w:sz="0" w:space="0" w:color="auto"/>
                    <w:bottom w:val="none" w:sz="0" w:space="0" w:color="auto"/>
                    <w:right w:val="none" w:sz="0" w:space="0" w:color="auto"/>
                  </w:divBdr>
                  <w:divsChild>
                    <w:div w:id="61717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30630">
      <w:bodyDiv w:val="1"/>
      <w:marLeft w:val="0"/>
      <w:marRight w:val="0"/>
      <w:marTop w:val="0"/>
      <w:marBottom w:val="0"/>
      <w:divBdr>
        <w:top w:val="none" w:sz="0" w:space="0" w:color="auto"/>
        <w:left w:val="none" w:sz="0" w:space="0" w:color="auto"/>
        <w:bottom w:val="none" w:sz="0" w:space="0" w:color="auto"/>
        <w:right w:val="none" w:sz="0" w:space="0" w:color="auto"/>
      </w:divBdr>
      <w:divsChild>
        <w:div w:id="1692148034">
          <w:marLeft w:val="0"/>
          <w:marRight w:val="0"/>
          <w:marTop w:val="0"/>
          <w:marBottom w:val="0"/>
          <w:divBdr>
            <w:top w:val="none" w:sz="0" w:space="0" w:color="auto"/>
            <w:left w:val="none" w:sz="0" w:space="0" w:color="auto"/>
            <w:bottom w:val="none" w:sz="0" w:space="0" w:color="auto"/>
            <w:right w:val="none" w:sz="0" w:space="0" w:color="auto"/>
          </w:divBdr>
          <w:divsChild>
            <w:div w:id="1037387800">
              <w:marLeft w:val="0"/>
              <w:marRight w:val="0"/>
              <w:marTop w:val="0"/>
              <w:marBottom w:val="0"/>
              <w:divBdr>
                <w:top w:val="none" w:sz="0" w:space="0" w:color="auto"/>
                <w:left w:val="none" w:sz="0" w:space="0" w:color="auto"/>
                <w:bottom w:val="none" w:sz="0" w:space="0" w:color="auto"/>
                <w:right w:val="none" w:sz="0" w:space="0" w:color="auto"/>
              </w:divBdr>
              <w:divsChild>
                <w:div w:id="3860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4581">
      <w:bodyDiv w:val="1"/>
      <w:marLeft w:val="0"/>
      <w:marRight w:val="0"/>
      <w:marTop w:val="0"/>
      <w:marBottom w:val="0"/>
      <w:divBdr>
        <w:top w:val="none" w:sz="0" w:space="0" w:color="auto"/>
        <w:left w:val="none" w:sz="0" w:space="0" w:color="auto"/>
        <w:bottom w:val="none" w:sz="0" w:space="0" w:color="auto"/>
        <w:right w:val="none" w:sz="0" w:space="0" w:color="auto"/>
      </w:divBdr>
    </w:div>
    <w:div w:id="1748917724">
      <w:bodyDiv w:val="1"/>
      <w:marLeft w:val="0"/>
      <w:marRight w:val="0"/>
      <w:marTop w:val="0"/>
      <w:marBottom w:val="0"/>
      <w:divBdr>
        <w:top w:val="none" w:sz="0" w:space="0" w:color="auto"/>
        <w:left w:val="none" w:sz="0" w:space="0" w:color="auto"/>
        <w:bottom w:val="none" w:sz="0" w:space="0" w:color="auto"/>
        <w:right w:val="none" w:sz="0" w:space="0" w:color="auto"/>
      </w:divBdr>
    </w:div>
    <w:div w:id="1759593362">
      <w:bodyDiv w:val="1"/>
      <w:marLeft w:val="0"/>
      <w:marRight w:val="0"/>
      <w:marTop w:val="0"/>
      <w:marBottom w:val="0"/>
      <w:divBdr>
        <w:top w:val="none" w:sz="0" w:space="0" w:color="auto"/>
        <w:left w:val="none" w:sz="0" w:space="0" w:color="auto"/>
        <w:bottom w:val="none" w:sz="0" w:space="0" w:color="auto"/>
        <w:right w:val="none" w:sz="0" w:space="0" w:color="auto"/>
      </w:divBdr>
    </w:div>
    <w:div w:id="1766262106">
      <w:bodyDiv w:val="1"/>
      <w:marLeft w:val="0"/>
      <w:marRight w:val="0"/>
      <w:marTop w:val="0"/>
      <w:marBottom w:val="0"/>
      <w:divBdr>
        <w:top w:val="none" w:sz="0" w:space="0" w:color="auto"/>
        <w:left w:val="none" w:sz="0" w:space="0" w:color="auto"/>
        <w:bottom w:val="none" w:sz="0" w:space="0" w:color="auto"/>
        <w:right w:val="none" w:sz="0" w:space="0" w:color="auto"/>
      </w:divBdr>
    </w:div>
    <w:div w:id="1769427070">
      <w:bodyDiv w:val="1"/>
      <w:marLeft w:val="0"/>
      <w:marRight w:val="0"/>
      <w:marTop w:val="0"/>
      <w:marBottom w:val="0"/>
      <w:divBdr>
        <w:top w:val="none" w:sz="0" w:space="0" w:color="auto"/>
        <w:left w:val="none" w:sz="0" w:space="0" w:color="auto"/>
        <w:bottom w:val="none" w:sz="0" w:space="0" w:color="auto"/>
        <w:right w:val="none" w:sz="0" w:space="0" w:color="auto"/>
      </w:divBdr>
    </w:div>
    <w:div w:id="1771242132">
      <w:bodyDiv w:val="1"/>
      <w:marLeft w:val="0"/>
      <w:marRight w:val="0"/>
      <w:marTop w:val="0"/>
      <w:marBottom w:val="0"/>
      <w:divBdr>
        <w:top w:val="none" w:sz="0" w:space="0" w:color="auto"/>
        <w:left w:val="none" w:sz="0" w:space="0" w:color="auto"/>
        <w:bottom w:val="none" w:sz="0" w:space="0" w:color="auto"/>
        <w:right w:val="none" w:sz="0" w:space="0" w:color="auto"/>
      </w:divBdr>
    </w:div>
    <w:div w:id="1774664151">
      <w:bodyDiv w:val="1"/>
      <w:marLeft w:val="0"/>
      <w:marRight w:val="0"/>
      <w:marTop w:val="0"/>
      <w:marBottom w:val="0"/>
      <w:divBdr>
        <w:top w:val="none" w:sz="0" w:space="0" w:color="auto"/>
        <w:left w:val="none" w:sz="0" w:space="0" w:color="auto"/>
        <w:bottom w:val="none" w:sz="0" w:space="0" w:color="auto"/>
        <w:right w:val="none" w:sz="0" w:space="0" w:color="auto"/>
      </w:divBdr>
      <w:divsChild>
        <w:div w:id="1589845987">
          <w:marLeft w:val="0"/>
          <w:marRight w:val="0"/>
          <w:marTop w:val="0"/>
          <w:marBottom w:val="0"/>
          <w:divBdr>
            <w:top w:val="none" w:sz="0" w:space="0" w:color="auto"/>
            <w:left w:val="none" w:sz="0" w:space="0" w:color="auto"/>
            <w:bottom w:val="none" w:sz="0" w:space="0" w:color="auto"/>
            <w:right w:val="none" w:sz="0" w:space="0" w:color="auto"/>
          </w:divBdr>
          <w:divsChild>
            <w:div w:id="1384866055">
              <w:marLeft w:val="0"/>
              <w:marRight w:val="0"/>
              <w:marTop w:val="0"/>
              <w:marBottom w:val="0"/>
              <w:divBdr>
                <w:top w:val="none" w:sz="0" w:space="0" w:color="auto"/>
                <w:left w:val="none" w:sz="0" w:space="0" w:color="auto"/>
                <w:bottom w:val="none" w:sz="0" w:space="0" w:color="auto"/>
                <w:right w:val="none" w:sz="0" w:space="0" w:color="auto"/>
              </w:divBdr>
              <w:divsChild>
                <w:div w:id="1763842966">
                  <w:marLeft w:val="0"/>
                  <w:marRight w:val="0"/>
                  <w:marTop w:val="0"/>
                  <w:marBottom w:val="0"/>
                  <w:divBdr>
                    <w:top w:val="none" w:sz="0" w:space="0" w:color="auto"/>
                    <w:left w:val="none" w:sz="0" w:space="0" w:color="auto"/>
                    <w:bottom w:val="none" w:sz="0" w:space="0" w:color="auto"/>
                    <w:right w:val="none" w:sz="0" w:space="0" w:color="auto"/>
                  </w:divBdr>
                  <w:divsChild>
                    <w:div w:id="5994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8308">
      <w:bodyDiv w:val="1"/>
      <w:marLeft w:val="0"/>
      <w:marRight w:val="0"/>
      <w:marTop w:val="0"/>
      <w:marBottom w:val="0"/>
      <w:divBdr>
        <w:top w:val="none" w:sz="0" w:space="0" w:color="auto"/>
        <w:left w:val="none" w:sz="0" w:space="0" w:color="auto"/>
        <w:bottom w:val="none" w:sz="0" w:space="0" w:color="auto"/>
        <w:right w:val="none" w:sz="0" w:space="0" w:color="auto"/>
      </w:divBdr>
      <w:divsChild>
        <w:div w:id="940991037">
          <w:marLeft w:val="0"/>
          <w:marRight w:val="0"/>
          <w:marTop w:val="0"/>
          <w:marBottom w:val="0"/>
          <w:divBdr>
            <w:top w:val="none" w:sz="0" w:space="0" w:color="auto"/>
            <w:left w:val="none" w:sz="0" w:space="0" w:color="auto"/>
            <w:bottom w:val="none" w:sz="0" w:space="0" w:color="auto"/>
            <w:right w:val="none" w:sz="0" w:space="0" w:color="auto"/>
          </w:divBdr>
          <w:divsChild>
            <w:div w:id="458887971">
              <w:marLeft w:val="0"/>
              <w:marRight w:val="0"/>
              <w:marTop w:val="0"/>
              <w:marBottom w:val="0"/>
              <w:divBdr>
                <w:top w:val="none" w:sz="0" w:space="0" w:color="auto"/>
                <w:left w:val="none" w:sz="0" w:space="0" w:color="auto"/>
                <w:bottom w:val="none" w:sz="0" w:space="0" w:color="auto"/>
                <w:right w:val="none" w:sz="0" w:space="0" w:color="auto"/>
              </w:divBdr>
              <w:divsChild>
                <w:div w:id="1319571598">
                  <w:marLeft w:val="0"/>
                  <w:marRight w:val="0"/>
                  <w:marTop w:val="0"/>
                  <w:marBottom w:val="0"/>
                  <w:divBdr>
                    <w:top w:val="none" w:sz="0" w:space="0" w:color="auto"/>
                    <w:left w:val="none" w:sz="0" w:space="0" w:color="auto"/>
                    <w:bottom w:val="none" w:sz="0" w:space="0" w:color="auto"/>
                    <w:right w:val="none" w:sz="0" w:space="0" w:color="auto"/>
                  </w:divBdr>
                  <w:divsChild>
                    <w:div w:id="11585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3461">
      <w:bodyDiv w:val="1"/>
      <w:marLeft w:val="0"/>
      <w:marRight w:val="0"/>
      <w:marTop w:val="0"/>
      <w:marBottom w:val="0"/>
      <w:divBdr>
        <w:top w:val="none" w:sz="0" w:space="0" w:color="auto"/>
        <w:left w:val="none" w:sz="0" w:space="0" w:color="auto"/>
        <w:bottom w:val="none" w:sz="0" w:space="0" w:color="auto"/>
        <w:right w:val="none" w:sz="0" w:space="0" w:color="auto"/>
      </w:divBdr>
    </w:div>
    <w:div w:id="1796679168">
      <w:bodyDiv w:val="1"/>
      <w:marLeft w:val="0"/>
      <w:marRight w:val="0"/>
      <w:marTop w:val="0"/>
      <w:marBottom w:val="0"/>
      <w:divBdr>
        <w:top w:val="none" w:sz="0" w:space="0" w:color="auto"/>
        <w:left w:val="none" w:sz="0" w:space="0" w:color="auto"/>
        <w:bottom w:val="none" w:sz="0" w:space="0" w:color="auto"/>
        <w:right w:val="none" w:sz="0" w:space="0" w:color="auto"/>
      </w:divBdr>
    </w:div>
    <w:div w:id="1797794871">
      <w:bodyDiv w:val="1"/>
      <w:marLeft w:val="0"/>
      <w:marRight w:val="0"/>
      <w:marTop w:val="0"/>
      <w:marBottom w:val="0"/>
      <w:divBdr>
        <w:top w:val="none" w:sz="0" w:space="0" w:color="auto"/>
        <w:left w:val="none" w:sz="0" w:space="0" w:color="auto"/>
        <w:bottom w:val="none" w:sz="0" w:space="0" w:color="auto"/>
        <w:right w:val="none" w:sz="0" w:space="0" w:color="auto"/>
      </w:divBdr>
      <w:divsChild>
        <w:div w:id="262425101">
          <w:marLeft w:val="0"/>
          <w:marRight w:val="0"/>
          <w:marTop w:val="0"/>
          <w:marBottom w:val="0"/>
          <w:divBdr>
            <w:top w:val="none" w:sz="0" w:space="0" w:color="auto"/>
            <w:left w:val="none" w:sz="0" w:space="0" w:color="auto"/>
            <w:bottom w:val="none" w:sz="0" w:space="0" w:color="auto"/>
            <w:right w:val="none" w:sz="0" w:space="0" w:color="auto"/>
          </w:divBdr>
          <w:divsChild>
            <w:div w:id="42214102">
              <w:marLeft w:val="0"/>
              <w:marRight w:val="0"/>
              <w:marTop w:val="0"/>
              <w:marBottom w:val="0"/>
              <w:divBdr>
                <w:top w:val="none" w:sz="0" w:space="0" w:color="auto"/>
                <w:left w:val="none" w:sz="0" w:space="0" w:color="auto"/>
                <w:bottom w:val="none" w:sz="0" w:space="0" w:color="auto"/>
                <w:right w:val="none" w:sz="0" w:space="0" w:color="auto"/>
              </w:divBdr>
              <w:divsChild>
                <w:div w:id="1143545091">
                  <w:marLeft w:val="0"/>
                  <w:marRight w:val="0"/>
                  <w:marTop w:val="0"/>
                  <w:marBottom w:val="0"/>
                  <w:divBdr>
                    <w:top w:val="none" w:sz="0" w:space="0" w:color="auto"/>
                    <w:left w:val="none" w:sz="0" w:space="0" w:color="auto"/>
                    <w:bottom w:val="none" w:sz="0" w:space="0" w:color="auto"/>
                    <w:right w:val="none" w:sz="0" w:space="0" w:color="auto"/>
                  </w:divBdr>
                  <w:divsChild>
                    <w:div w:id="931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60000">
      <w:bodyDiv w:val="1"/>
      <w:marLeft w:val="0"/>
      <w:marRight w:val="0"/>
      <w:marTop w:val="0"/>
      <w:marBottom w:val="0"/>
      <w:divBdr>
        <w:top w:val="none" w:sz="0" w:space="0" w:color="auto"/>
        <w:left w:val="none" w:sz="0" w:space="0" w:color="auto"/>
        <w:bottom w:val="none" w:sz="0" w:space="0" w:color="auto"/>
        <w:right w:val="none" w:sz="0" w:space="0" w:color="auto"/>
      </w:divBdr>
      <w:divsChild>
        <w:div w:id="705102020">
          <w:marLeft w:val="0"/>
          <w:marRight w:val="0"/>
          <w:marTop w:val="0"/>
          <w:marBottom w:val="0"/>
          <w:divBdr>
            <w:top w:val="none" w:sz="0" w:space="0" w:color="auto"/>
            <w:left w:val="none" w:sz="0" w:space="0" w:color="auto"/>
            <w:bottom w:val="none" w:sz="0" w:space="0" w:color="auto"/>
            <w:right w:val="none" w:sz="0" w:space="0" w:color="auto"/>
          </w:divBdr>
          <w:divsChild>
            <w:div w:id="597953968">
              <w:marLeft w:val="0"/>
              <w:marRight w:val="0"/>
              <w:marTop w:val="0"/>
              <w:marBottom w:val="0"/>
              <w:divBdr>
                <w:top w:val="none" w:sz="0" w:space="0" w:color="auto"/>
                <w:left w:val="none" w:sz="0" w:space="0" w:color="auto"/>
                <w:bottom w:val="none" w:sz="0" w:space="0" w:color="auto"/>
                <w:right w:val="none" w:sz="0" w:space="0" w:color="auto"/>
              </w:divBdr>
              <w:divsChild>
                <w:div w:id="828254035">
                  <w:marLeft w:val="0"/>
                  <w:marRight w:val="0"/>
                  <w:marTop w:val="0"/>
                  <w:marBottom w:val="0"/>
                  <w:divBdr>
                    <w:top w:val="none" w:sz="0" w:space="0" w:color="auto"/>
                    <w:left w:val="none" w:sz="0" w:space="0" w:color="auto"/>
                    <w:bottom w:val="none" w:sz="0" w:space="0" w:color="auto"/>
                    <w:right w:val="none" w:sz="0" w:space="0" w:color="auto"/>
                  </w:divBdr>
                  <w:divsChild>
                    <w:div w:id="7162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568606">
      <w:bodyDiv w:val="1"/>
      <w:marLeft w:val="0"/>
      <w:marRight w:val="0"/>
      <w:marTop w:val="0"/>
      <w:marBottom w:val="0"/>
      <w:divBdr>
        <w:top w:val="none" w:sz="0" w:space="0" w:color="auto"/>
        <w:left w:val="none" w:sz="0" w:space="0" w:color="auto"/>
        <w:bottom w:val="none" w:sz="0" w:space="0" w:color="auto"/>
        <w:right w:val="none" w:sz="0" w:space="0" w:color="auto"/>
      </w:divBdr>
      <w:divsChild>
        <w:div w:id="2107656587">
          <w:marLeft w:val="0"/>
          <w:marRight w:val="0"/>
          <w:marTop w:val="0"/>
          <w:marBottom w:val="0"/>
          <w:divBdr>
            <w:top w:val="none" w:sz="0" w:space="0" w:color="auto"/>
            <w:left w:val="none" w:sz="0" w:space="0" w:color="auto"/>
            <w:bottom w:val="none" w:sz="0" w:space="0" w:color="auto"/>
            <w:right w:val="none" w:sz="0" w:space="0" w:color="auto"/>
          </w:divBdr>
          <w:divsChild>
            <w:div w:id="576061810">
              <w:marLeft w:val="0"/>
              <w:marRight w:val="0"/>
              <w:marTop w:val="0"/>
              <w:marBottom w:val="0"/>
              <w:divBdr>
                <w:top w:val="none" w:sz="0" w:space="0" w:color="auto"/>
                <w:left w:val="none" w:sz="0" w:space="0" w:color="auto"/>
                <w:bottom w:val="none" w:sz="0" w:space="0" w:color="auto"/>
                <w:right w:val="none" w:sz="0" w:space="0" w:color="auto"/>
              </w:divBdr>
              <w:divsChild>
                <w:div w:id="1254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4513">
      <w:bodyDiv w:val="1"/>
      <w:marLeft w:val="0"/>
      <w:marRight w:val="0"/>
      <w:marTop w:val="0"/>
      <w:marBottom w:val="0"/>
      <w:divBdr>
        <w:top w:val="none" w:sz="0" w:space="0" w:color="auto"/>
        <w:left w:val="none" w:sz="0" w:space="0" w:color="auto"/>
        <w:bottom w:val="none" w:sz="0" w:space="0" w:color="auto"/>
        <w:right w:val="none" w:sz="0" w:space="0" w:color="auto"/>
      </w:divBdr>
    </w:div>
    <w:div w:id="1800995062">
      <w:bodyDiv w:val="1"/>
      <w:marLeft w:val="0"/>
      <w:marRight w:val="0"/>
      <w:marTop w:val="0"/>
      <w:marBottom w:val="0"/>
      <w:divBdr>
        <w:top w:val="none" w:sz="0" w:space="0" w:color="auto"/>
        <w:left w:val="none" w:sz="0" w:space="0" w:color="auto"/>
        <w:bottom w:val="none" w:sz="0" w:space="0" w:color="auto"/>
        <w:right w:val="none" w:sz="0" w:space="0" w:color="auto"/>
      </w:divBdr>
    </w:div>
    <w:div w:id="1807507948">
      <w:bodyDiv w:val="1"/>
      <w:marLeft w:val="0"/>
      <w:marRight w:val="0"/>
      <w:marTop w:val="0"/>
      <w:marBottom w:val="0"/>
      <w:divBdr>
        <w:top w:val="none" w:sz="0" w:space="0" w:color="auto"/>
        <w:left w:val="none" w:sz="0" w:space="0" w:color="auto"/>
        <w:bottom w:val="none" w:sz="0" w:space="0" w:color="auto"/>
        <w:right w:val="none" w:sz="0" w:space="0" w:color="auto"/>
      </w:divBdr>
    </w:div>
    <w:div w:id="1820220111">
      <w:bodyDiv w:val="1"/>
      <w:marLeft w:val="0"/>
      <w:marRight w:val="0"/>
      <w:marTop w:val="0"/>
      <w:marBottom w:val="0"/>
      <w:divBdr>
        <w:top w:val="none" w:sz="0" w:space="0" w:color="auto"/>
        <w:left w:val="none" w:sz="0" w:space="0" w:color="auto"/>
        <w:bottom w:val="none" w:sz="0" w:space="0" w:color="auto"/>
        <w:right w:val="none" w:sz="0" w:space="0" w:color="auto"/>
      </w:divBdr>
    </w:div>
    <w:div w:id="1838108770">
      <w:bodyDiv w:val="1"/>
      <w:marLeft w:val="0"/>
      <w:marRight w:val="0"/>
      <w:marTop w:val="0"/>
      <w:marBottom w:val="0"/>
      <w:divBdr>
        <w:top w:val="none" w:sz="0" w:space="0" w:color="auto"/>
        <w:left w:val="none" w:sz="0" w:space="0" w:color="auto"/>
        <w:bottom w:val="none" w:sz="0" w:space="0" w:color="auto"/>
        <w:right w:val="none" w:sz="0" w:space="0" w:color="auto"/>
      </w:divBdr>
    </w:div>
    <w:div w:id="1846049521">
      <w:bodyDiv w:val="1"/>
      <w:marLeft w:val="0"/>
      <w:marRight w:val="0"/>
      <w:marTop w:val="0"/>
      <w:marBottom w:val="0"/>
      <w:divBdr>
        <w:top w:val="none" w:sz="0" w:space="0" w:color="auto"/>
        <w:left w:val="none" w:sz="0" w:space="0" w:color="auto"/>
        <w:bottom w:val="none" w:sz="0" w:space="0" w:color="auto"/>
        <w:right w:val="none" w:sz="0" w:space="0" w:color="auto"/>
      </w:divBdr>
    </w:div>
    <w:div w:id="1863980521">
      <w:bodyDiv w:val="1"/>
      <w:marLeft w:val="0"/>
      <w:marRight w:val="0"/>
      <w:marTop w:val="0"/>
      <w:marBottom w:val="0"/>
      <w:divBdr>
        <w:top w:val="none" w:sz="0" w:space="0" w:color="auto"/>
        <w:left w:val="none" w:sz="0" w:space="0" w:color="auto"/>
        <w:bottom w:val="none" w:sz="0" w:space="0" w:color="auto"/>
        <w:right w:val="none" w:sz="0" w:space="0" w:color="auto"/>
      </w:divBdr>
      <w:divsChild>
        <w:div w:id="1522359842">
          <w:marLeft w:val="0"/>
          <w:marRight w:val="0"/>
          <w:marTop w:val="0"/>
          <w:marBottom w:val="0"/>
          <w:divBdr>
            <w:top w:val="none" w:sz="0" w:space="0" w:color="auto"/>
            <w:left w:val="none" w:sz="0" w:space="0" w:color="auto"/>
            <w:bottom w:val="none" w:sz="0" w:space="0" w:color="auto"/>
            <w:right w:val="none" w:sz="0" w:space="0" w:color="auto"/>
          </w:divBdr>
          <w:divsChild>
            <w:div w:id="519011339">
              <w:marLeft w:val="0"/>
              <w:marRight w:val="0"/>
              <w:marTop w:val="0"/>
              <w:marBottom w:val="0"/>
              <w:divBdr>
                <w:top w:val="none" w:sz="0" w:space="0" w:color="auto"/>
                <w:left w:val="none" w:sz="0" w:space="0" w:color="auto"/>
                <w:bottom w:val="none" w:sz="0" w:space="0" w:color="auto"/>
                <w:right w:val="none" w:sz="0" w:space="0" w:color="auto"/>
              </w:divBdr>
              <w:divsChild>
                <w:div w:id="13383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4051">
      <w:bodyDiv w:val="1"/>
      <w:marLeft w:val="0"/>
      <w:marRight w:val="0"/>
      <w:marTop w:val="0"/>
      <w:marBottom w:val="0"/>
      <w:divBdr>
        <w:top w:val="none" w:sz="0" w:space="0" w:color="auto"/>
        <w:left w:val="none" w:sz="0" w:space="0" w:color="auto"/>
        <w:bottom w:val="none" w:sz="0" w:space="0" w:color="auto"/>
        <w:right w:val="none" w:sz="0" w:space="0" w:color="auto"/>
      </w:divBdr>
    </w:div>
    <w:div w:id="1867524594">
      <w:bodyDiv w:val="1"/>
      <w:marLeft w:val="0"/>
      <w:marRight w:val="0"/>
      <w:marTop w:val="0"/>
      <w:marBottom w:val="0"/>
      <w:divBdr>
        <w:top w:val="none" w:sz="0" w:space="0" w:color="auto"/>
        <w:left w:val="none" w:sz="0" w:space="0" w:color="auto"/>
        <w:bottom w:val="none" w:sz="0" w:space="0" w:color="auto"/>
        <w:right w:val="none" w:sz="0" w:space="0" w:color="auto"/>
      </w:divBdr>
    </w:div>
    <w:div w:id="1871213519">
      <w:bodyDiv w:val="1"/>
      <w:marLeft w:val="0"/>
      <w:marRight w:val="0"/>
      <w:marTop w:val="0"/>
      <w:marBottom w:val="0"/>
      <w:divBdr>
        <w:top w:val="none" w:sz="0" w:space="0" w:color="auto"/>
        <w:left w:val="none" w:sz="0" w:space="0" w:color="auto"/>
        <w:bottom w:val="none" w:sz="0" w:space="0" w:color="auto"/>
        <w:right w:val="none" w:sz="0" w:space="0" w:color="auto"/>
      </w:divBdr>
    </w:div>
    <w:div w:id="1875002431">
      <w:bodyDiv w:val="1"/>
      <w:marLeft w:val="0"/>
      <w:marRight w:val="0"/>
      <w:marTop w:val="0"/>
      <w:marBottom w:val="0"/>
      <w:divBdr>
        <w:top w:val="none" w:sz="0" w:space="0" w:color="auto"/>
        <w:left w:val="none" w:sz="0" w:space="0" w:color="auto"/>
        <w:bottom w:val="none" w:sz="0" w:space="0" w:color="auto"/>
        <w:right w:val="none" w:sz="0" w:space="0" w:color="auto"/>
      </w:divBdr>
    </w:div>
    <w:div w:id="1875531966">
      <w:bodyDiv w:val="1"/>
      <w:marLeft w:val="0"/>
      <w:marRight w:val="0"/>
      <w:marTop w:val="0"/>
      <w:marBottom w:val="0"/>
      <w:divBdr>
        <w:top w:val="none" w:sz="0" w:space="0" w:color="auto"/>
        <w:left w:val="none" w:sz="0" w:space="0" w:color="auto"/>
        <w:bottom w:val="none" w:sz="0" w:space="0" w:color="auto"/>
        <w:right w:val="none" w:sz="0" w:space="0" w:color="auto"/>
      </w:divBdr>
      <w:divsChild>
        <w:div w:id="943267395">
          <w:marLeft w:val="0"/>
          <w:marRight w:val="0"/>
          <w:marTop w:val="0"/>
          <w:marBottom w:val="0"/>
          <w:divBdr>
            <w:top w:val="none" w:sz="0" w:space="0" w:color="auto"/>
            <w:left w:val="none" w:sz="0" w:space="0" w:color="auto"/>
            <w:bottom w:val="none" w:sz="0" w:space="0" w:color="auto"/>
            <w:right w:val="none" w:sz="0" w:space="0" w:color="auto"/>
          </w:divBdr>
          <w:divsChild>
            <w:div w:id="1383745542">
              <w:marLeft w:val="0"/>
              <w:marRight w:val="0"/>
              <w:marTop w:val="0"/>
              <w:marBottom w:val="0"/>
              <w:divBdr>
                <w:top w:val="none" w:sz="0" w:space="0" w:color="auto"/>
                <w:left w:val="none" w:sz="0" w:space="0" w:color="auto"/>
                <w:bottom w:val="none" w:sz="0" w:space="0" w:color="auto"/>
                <w:right w:val="none" w:sz="0" w:space="0" w:color="auto"/>
              </w:divBdr>
              <w:divsChild>
                <w:div w:id="5067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3141">
      <w:bodyDiv w:val="1"/>
      <w:marLeft w:val="0"/>
      <w:marRight w:val="0"/>
      <w:marTop w:val="0"/>
      <w:marBottom w:val="0"/>
      <w:divBdr>
        <w:top w:val="none" w:sz="0" w:space="0" w:color="auto"/>
        <w:left w:val="none" w:sz="0" w:space="0" w:color="auto"/>
        <w:bottom w:val="none" w:sz="0" w:space="0" w:color="auto"/>
        <w:right w:val="none" w:sz="0" w:space="0" w:color="auto"/>
      </w:divBdr>
    </w:div>
    <w:div w:id="1880509374">
      <w:bodyDiv w:val="1"/>
      <w:marLeft w:val="0"/>
      <w:marRight w:val="0"/>
      <w:marTop w:val="0"/>
      <w:marBottom w:val="0"/>
      <w:divBdr>
        <w:top w:val="none" w:sz="0" w:space="0" w:color="auto"/>
        <w:left w:val="none" w:sz="0" w:space="0" w:color="auto"/>
        <w:bottom w:val="none" w:sz="0" w:space="0" w:color="auto"/>
        <w:right w:val="none" w:sz="0" w:space="0" w:color="auto"/>
      </w:divBdr>
      <w:divsChild>
        <w:div w:id="2140225360">
          <w:marLeft w:val="0"/>
          <w:marRight w:val="0"/>
          <w:marTop w:val="0"/>
          <w:marBottom w:val="0"/>
          <w:divBdr>
            <w:top w:val="none" w:sz="0" w:space="0" w:color="auto"/>
            <w:left w:val="none" w:sz="0" w:space="0" w:color="auto"/>
            <w:bottom w:val="none" w:sz="0" w:space="0" w:color="auto"/>
            <w:right w:val="none" w:sz="0" w:space="0" w:color="auto"/>
          </w:divBdr>
          <w:divsChild>
            <w:div w:id="1732538586">
              <w:marLeft w:val="0"/>
              <w:marRight w:val="0"/>
              <w:marTop w:val="0"/>
              <w:marBottom w:val="0"/>
              <w:divBdr>
                <w:top w:val="none" w:sz="0" w:space="0" w:color="auto"/>
                <w:left w:val="none" w:sz="0" w:space="0" w:color="auto"/>
                <w:bottom w:val="none" w:sz="0" w:space="0" w:color="auto"/>
                <w:right w:val="none" w:sz="0" w:space="0" w:color="auto"/>
              </w:divBdr>
              <w:divsChild>
                <w:div w:id="1951278796">
                  <w:marLeft w:val="0"/>
                  <w:marRight w:val="0"/>
                  <w:marTop w:val="0"/>
                  <w:marBottom w:val="0"/>
                  <w:divBdr>
                    <w:top w:val="none" w:sz="0" w:space="0" w:color="auto"/>
                    <w:left w:val="none" w:sz="0" w:space="0" w:color="auto"/>
                    <w:bottom w:val="none" w:sz="0" w:space="0" w:color="auto"/>
                    <w:right w:val="none" w:sz="0" w:space="0" w:color="auto"/>
                  </w:divBdr>
                  <w:divsChild>
                    <w:div w:id="2321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23217">
      <w:bodyDiv w:val="1"/>
      <w:marLeft w:val="0"/>
      <w:marRight w:val="0"/>
      <w:marTop w:val="0"/>
      <w:marBottom w:val="0"/>
      <w:divBdr>
        <w:top w:val="none" w:sz="0" w:space="0" w:color="auto"/>
        <w:left w:val="none" w:sz="0" w:space="0" w:color="auto"/>
        <w:bottom w:val="none" w:sz="0" w:space="0" w:color="auto"/>
        <w:right w:val="none" w:sz="0" w:space="0" w:color="auto"/>
      </w:divBdr>
      <w:divsChild>
        <w:div w:id="300305176">
          <w:marLeft w:val="0"/>
          <w:marRight w:val="0"/>
          <w:marTop w:val="0"/>
          <w:marBottom w:val="0"/>
          <w:divBdr>
            <w:top w:val="none" w:sz="0" w:space="0" w:color="auto"/>
            <w:left w:val="none" w:sz="0" w:space="0" w:color="auto"/>
            <w:bottom w:val="none" w:sz="0" w:space="0" w:color="auto"/>
            <w:right w:val="none" w:sz="0" w:space="0" w:color="auto"/>
          </w:divBdr>
          <w:divsChild>
            <w:div w:id="915941229">
              <w:marLeft w:val="0"/>
              <w:marRight w:val="0"/>
              <w:marTop w:val="0"/>
              <w:marBottom w:val="0"/>
              <w:divBdr>
                <w:top w:val="none" w:sz="0" w:space="0" w:color="auto"/>
                <w:left w:val="none" w:sz="0" w:space="0" w:color="auto"/>
                <w:bottom w:val="none" w:sz="0" w:space="0" w:color="auto"/>
                <w:right w:val="none" w:sz="0" w:space="0" w:color="auto"/>
              </w:divBdr>
              <w:divsChild>
                <w:div w:id="1949383559">
                  <w:marLeft w:val="0"/>
                  <w:marRight w:val="0"/>
                  <w:marTop w:val="0"/>
                  <w:marBottom w:val="0"/>
                  <w:divBdr>
                    <w:top w:val="none" w:sz="0" w:space="0" w:color="auto"/>
                    <w:left w:val="none" w:sz="0" w:space="0" w:color="auto"/>
                    <w:bottom w:val="none" w:sz="0" w:space="0" w:color="auto"/>
                    <w:right w:val="none" w:sz="0" w:space="0" w:color="auto"/>
                  </w:divBdr>
                  <w:divsChild>
                    <w:div w:id="20488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9596">
      <w:bodyDiv w:val="1"/>
      <w:marLeft w:val="0"/>
      <w:marRight w:val="0"/>
      <w:marTop w:val="0"/>
      <w:marBottom w:val="0"/>
      <w:divBdr>
        <w:top w:val="none" w:sz="0" w:space="0" w:color="auto"/>
        <w:left w:val="none" w:sz="0" w:space="0" w:color="auto"/>
        <w:bottom w:val="none" w:sz="0" w:space="0" w:color="auto"/>
        <w:right w:val="none" w:sz="0" w:space="0" w:color="auto"/>
      </w:divBdr>
      <w:divsChild>
        <w:div w:id="1128208405">
          <w:marLeft w:val="0"/>
          <w:marRight w:val="0"/>
          <w:marTop w:val="0"/>
          <w:marBottom w:val="0"/>
          <w:divBdr>
            <w:top w:val="none" w:sz="0" w:space="0" w:color="auto"/>
            <w:left w:val="none" w:sz="0" w:space="0" w:color="auto"/>
            <w:bottom w:val="none" w:sz="0" w:space="0" w:color="auto"/>
            <w:right w:val="none" w:sz="0" w:space="0" w:color="auto"/>
          </w:divBdr>
          <w:divsChild>
            <w:div w:id="463305692">
              <w:marLeft w:val="0"/>
              <w:marRight w:val="0"/>
              <w:marTop w:val="0"/>
              <w:marBottom w:val="0"/>
              <w:divBdr>
                <w:top w:val="none" w:sz="0" w:space="0" w:color="auto"/>
                <w:left w:val="none" w:sz="0" w:space="0" w:color="auto"/>
                <w:bottom w:val="none" w:sz="0" w:space="0" w:color="auto"/>
                <w:right w:val="none" w:sz="0" w:space="0" w:color="auto"/>
              </w:divBdr>
              <w:divsChild>
                <w:div w:id="18755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3998">
      <w:bodyDiv w:val="1"/>
      <w:marLeft w:val="0"/>
      <w:marRight w:val="0"/>
      <w:marTop w:val="0"/>
      <w:marBottom w:val="0"/>
      <w:divBdr>
        <w:top w:val="none" w:sz="0" w:space="0" w:color="auto"/>
        <w:left w:val="none" w:sz="0" w:space="0" w:color="auto"/>
        <w:bottom w:val="none" w:sz="0" w:space="0" w:color="auto"/>
        <w:right w:val="none" w:sz="0" w:space="0" w:color="auto"/>
      </w:divBdr>
    </w:div>
    <w:div w:id="1915386636">
      <w:bodyDiv w:val="1"/>
      <w:marLeft w:val="0"/>
      <w:marRight w:val="0"/>
      <w:marTop w:val="0"/>
      <w:marBottom w:val="0"/>
      <w:divBdr>
        <w:top w:val="none" w:sz="0" w:space="0" w:color="auto"/>
        <w:left w:val="none" w:sz="0" w:space="0" w:color="auto"/>
        <w:bottom w:val="none" w:sz="0" w:space="0" w:color="auto"/>
        <w:right w:val="none" w:sz="0" w:space="0" w:color="auto"/>
      </w:divBdr>
      <w:divsChild>
        <w:div w:id="1632787302">
          <w:marLeft w:val="0"/>
          <w:marRight w:val="0"/>
          <w:marTop w:val="0"/>
          <w:marBottom w:val="0"/>
          <w:divBdr>
            <w:top w:val="none" w:sz="0" w:space="0" w:color="auto"/>
            <w:left w:val="none" w:sz="0" w:space="0" w:color="auto"/>
            <w:bottom w:val="none" w:sz="0" w:space="0" w:color="auto"/>
            <w:right w:val="none" w:sz="0" w:space="0" w:color="auto"/>
          </w:divBdr>
          <w:divsChild>
            <w:div w:id="478419418">
              <w:marLeft w:val="0"/>
              <w:marRight w:val="0"/>
              <w:marTop w:val="0"/>
              <w:marBottom w:val="0"/>
              <w:divBdr>
                <w:top w:val="none" w:sz="0" w:space="0" w:color="auto"/>
                <w:left w:val="none" w:sz="0" w:space="0" w:color="auto"/>
                <w:bottom w:val="none" w:sz="0" w:space="0" w:color="auto"/>
                <w:right w:val="none" w:sz="0" w:space="0" w:color="auto"/>
              </w:divBdr>
              <w:divsChild>
                <w:div w:id="693270293">
                  <w:marLeft w:val="0"/>
                  <w:marRight w:val="0"/>
                  <w:marTop w:val="0"/>
                  <w:marBottom w:val="0"/>
                  <w:divBdr>
                    <w:top w:val="none" w:sz="0" w:space="0" w:color="auto"/>
                    <w:left w:val="none" w:sz="0" w:space="0" w:color="auto"/>
                    <w:bottom w:val="none" w:sz="0" w:space="0" w:color="auto"/>
                    <w:right w:val="none" w:sz="0" w:space="0" w:color="auto"/>
                  </w:divBdr>
                  <w:divsChild>
                    <w:div w:id="19082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9738">
      <w:bodyDiv w:val="1"/>
      <w:marLeft w:val="0"/>
      <w:marRight w:val="0"/>
      <w:marTop w:val="0"/>
      <w:marBottom w:val="0"/>
      <w:divBdr>
        <w:top w:val="none" w:sz="0" w:space="0" w:color="auto"/>
        <w:left w:val="none" w:sz="0" w:space="0" w:color="auto"/>
        <w:bottom w:val="none" w:sz="0" w:space="0" w:color="auto"/>
        <w:right w:val="none" w:sz="0" w:space="0" w:color="auto"/>
      </w:divBdr>
    </w:div>
    <w:div w:id="1930774073">
      <w:bodyDiv w:val="1"/>
      <w:marLeft w:val="0"/>
      <w:marRight w:val="0"/>
      <w:marTop w:val="0"/>
      <w:marBottom w:val="0"/>
      <w:divBdr>
        <w:top w:val="none" w:sz="0" w:space="0" w:color="auto"/>
        <w:left w:val="none" w:sz="0" w:space="0" w:color="auto"/>
        <w:bottom w:val="none" w:sz="0" w:space="0" w:color="auto"/>
        <w:right w:val="none" w:sz="0" w:space="0" w:color="auto"/>
      </w:divBdr>
    </w:div>
    <w:div w:id="1943224450">
      <w:bodyDiv w:val="1"/>
      <w:marLeft w:val="0"/>
      <w:marRight w:val="0"/>
      <w:marTop w:val="0"/>
      <w:marBottom w:val="0"/>
      <w:divBdr>
        <w:top w:val="none" w:sz="0" w:space="0" w:color="auto"/>
        <w:left w:val="none" w:sz="0" w:space="0" w:color="auto"/>
        <w:bottom w:val="none" w:sz="0" w:space="0" w:color="auto"/>
        <w:right w:val="none" w:sz="0" w:space="0" w:color="auto"/>
      </w:divBdr>
      <w:divsChild>
        <w:div w:id="1543319665">
          <w:marLeft w:val="0"/>
          <w:marRight w:val="0"/>
          <w:marTop w:val="0"/>
          <w:marBottom w:val="0"/>
          <w:divBdr>
            <w:top w:val="none" w:sz="0" w:space="0" w:color="auto"/>
            <w:left w:val="none" w:sz="0" w:space="0" w:color="auto"/>
            <w:bottom w:val="none" w:sz="0" w:space="0" w:color="auto"/>
            <w:right w:val="none" w:sz="0" w:space="0" w:color="auto"/>
          </w:divBdr>
          <w:divsChild>
            <w:div w:id="860897724">
              <w:marLeft w:val="0"/>
              <w:marRight w:val="0"/>
              <w:marTop w:val="0"/>
              <w:marBottom w:val="0"/>
              <w:divBdr>
                <w:top w:val="none" w:sz="0" w:space="0" w:color="auto"/>
                <w:left w:val="none" w:sz="0" w:space="0" w:color="auto"/>
                <w:bottom w:val="none" w:sz="0" w:space="0" w:color="auto"/>
                <w:right w:val="none" w:sz="0" w:space="0" w:color="auto"/>
              </w:divBdr>
              <w:divsChild>
                <w:div w:id="1595430546">
                  <w:marLeft w:val="0"/>
                  <w:marRight w:val="0"/>
                  <w:marTop w:val="0"/>
                  <w:marBottom w:val="0"/>
                  <w:divBdr>
                    <w:top w:val="none" w:sz="0" w:space="0" w:color="auto"/>
                    <w:left w:val="none" w:sz="0" w:space="0" w:color="auto"/>
                    <w:bottom w:val="none" w:sz="0" w:space="0" w:color="auto"/>
                    <w:right w:val="none" w:sz="0" w:space="0" w:color="auto"/>
                  </w:divBdr>
                  <w:divsChild>
                    <w:div w:id="83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96289">
      <w:bodyDiv w:val="1"/>
      <w:marLeft w:val="0"/>
      <w:marRight w:val="0"/>
      <w:marTop w:val="0"/>
      <w:marBottom w:val="0"/>
      <w:divBdr>
        <w:top w:val="none" w:sz="0" w:space="0" w:color="auto"/>
        <w:left w:val="none" w:sz="0" w:space="0" w:color="auto"/>
        <w:bottom w:val="none" w:sz="0" w:space="0" w:color="auto"/>
        <w:right w:val="none" w:sz="0" w:space="0" w:color="auto"/>
      </w:divBdr>
      <w:divsChild>
        <w:div w:id="250941184">
          <w:marLeft w:val="0"/>
          <w:marRight w:val="0"/>
          <w:marTop w:val="0"/>
          <w:marBottom w:val="0"/>
          <w:divBdr>
            <w:top w:val="none" w:sz="0" w:space="0" w:color="auto"/>
            <w:left w:val="none" w:sz="0" w:space="0" w:color="auto"/>
            <w:bottom w:val="none" w:sz="0" w:space="0" w:color="auto"/>
            <w:right w:val="none" w:sz="0" w:space="0" w:color="auto"/>
          </w:divBdr>
          <w:divsChild>
            <w:div w:id="692800624">
              <w:marLeft w:val="0"/>
              <w:marRight w:val="0"/>
              <w:marTop w:val="0"/>
              <w:marBottom w:val="0"/>
              <w:divBdr>
                <w:top w:val="none" w:sz="0" w:space="0" w:color="auto"/>
                <w:left w:val="none" w:sz="0" w:space="0" w:color="auto"/>
                <w:bottom w:val="none" w:sz="0" w:space="0" w:color="auto"/>
                <w:right w:val="none" w:sz="0" w:space="0" w:color="auto"/>
              </w:divBdr>
              <w:divsChild>
                <w:div w:id="970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23671">
      <w:bodyDiv w:val="1"/>
      <w:marLeft w:val="0"/>
      <w:marRight w:val="0"/>
      <w:marTop w:val="0"/>
      <w:marBottom w:val="0"/>
      <w:divBdr>
        <w:top w:val="none" w:sz="0" w:space="0" w:color="auto"/>
        <w:left w:val="none" w:sz="0" w:space="0" w:color="auto"/>
        <w:bottom w:val="none" w:sz="0" w:space="0" w:color="auto"/>
        <w:right w:val="none" w:sz="0" w:space="0" w:color="auto"/>
      </w:divBdr>
    </w:div>
    <w:div w:id="1952584664">
      <w:bodyDiv w:val="1"/>
      <w:marLeft w:val="0"/>
      <w:marRight w:val="0"/>
      <w:marTop w:val="0"/>
      <w:marBottom w:val="0"/>
      <w:divBdr>
        <w:top w:val="none" w:sz="0" w:space="0" w:color="auto"/>
        <w:left w:val="none" w:sz="0" w:space="0" w:color="auto"/>
        <w:bottom w:val="none" w:sz="0" w:space="0" w:color="auto"/>
        <w:right w:val="none" w:sz="0" w:space="0" w:color="auto"/>
      </w:divBdr>
    </w:div>
    <w:div w:id="1994138178">
      <w:bodyDiv w:val="1"/>
      <w:marLeft w:val="0"/>
      <w:marRight w:val="0"/>
      <w:marTop w:val="0"/>
      <w:marBottom w:val="0"/>
      <w:divBdr>
        <w:top w:val="none" w:sz="0" w:space="0" w:color="auto"/>
        <w:left w:val="none" w:sz="0" w:space="0" w:color="auto"/>
        <w:bottom w:val="none" w:sz="0" w:space="0" w:color="auto"/>
        <w:right w:val="none" w:sz="0" w:space="0" w:color="auto"/>
      </w:divBdr>
    </w:div>
    <w:div w:id="1995836363">
      <w:bodyDiv w:val="1"/>
      <w:marLeft w:val="0"/>
      <w:marRight w:val="0"/>
      <w:marTop w:val="0"/>
      <w:marBottom w:val="0"/>
      <w:divBdr>
        <w:top w:val="none" w:sz="0" w:space="0" w:color="auto"/>
        <w:left w:val="none" w:sz="0" w:space="0" w:color="auto"/>
        <w:bottom w:val="none" w:sz="0" w:space="0" w:color="auto"/>
        <w:right w:val="none" w:sz="0" w:space="0" w:color="auto"/>
      </w:divBdr>
    </w:div>
    <w:div w:id="1999454142">
      <w:bodyDiv w:val="1"/>
      <w:marLeft w:val="0"/>
      <w:marRight w:val="0"/>
      <w:marTop w:val="0"/>
      <w:marBottom w:val="0"/>
      <w:divBdr>
        <w:top w:val="none" w:sz="0" w:space="0" w:color="auto"/>
        <w:left w:val="none" w:sz="0" w:space="0" w:color="auto"/>
        <w:bottom w:val="none" w:sz="0" w:space="0" w:color="auto"/>
        <w:right w:val="none" w:sz="0" w:space="0" w:color="auto"/>
      </w:divBdr>
      <w:divsChild>
        <w:div w:id="76749742">
          <w:marLeft w:val="0"/>
          <w:marRight w:val="0"/>
          <w:marTop w:val="0"/>
          <w:marBottom w:val="0"/>
          <w:divBdr>
            <w:top w:val="none" w:sz="0" w:space="0" w:color="auto"/>
            <w:left w:val="none" w:sz="0" w:space="0" w:color="auto"/>
            <w:bottom w:val="none" w:sz="0" w:space="0" w:color="auto"/>
            <w:right w:val="none" w:sz="0" w:space="0" w:color="auto"/>
          </w:divBdr>
          <w:divsChild>
            <w:div w:id="1898012709">
              <w:marLeft w:val="0"/>
              <w:marRight w:val="0"/>
              <w:marTop w:val="0"/>
              <w:marBottom w:val="0"/>
              <w:divBdr>
                <w:top w:val="none" w:sz="0" w:space="0" w:color="auto"/>
                <w:left w:val="none" w:sz="0" w:space="0" w:color="auto"/>
                <w:bottom w:val="none" w:sz="0" w:space="0" w:color="auto"/>
                <w:right w:val="none" w:sz="0" w:space="0" w:color="auto"/>
              </w:divBdr>
              <w:divsChild>
                <w:div w:id="562565468">
                  <w:marLeft w:val="0"/>
                  <w:marRight w:val="0"/>
                  <w:marTop w:val="0"/>
                  <w:marBottom w:val="0"/>
                  <w:divBdr>
                    <w:top w:val="none" w:sz="0" w:space="0" w:color="auto"/>
                    <w:left w:val="none" w:sz="0" w:space="0" w:color="auto"/>
                    <w:bottom w:val="none" w:sz="0" w:space="0" w:color="auto"/>
                    <w:right w:val="none" w:sz="0" w:space="0" w:color="auto"/>
                  </w:divBdr>
                  <w:divsChild>
                    <w:div w:id="57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795">
      <w:bodyDiv w:val="1"/>
      <w:marLeft w:val="0"/>
      <w:marRight w:val="0"/>
      <w:marTop w:val="0"/>
      <w:marBottom w:val="0"/>
      <w:divBdr>
        <w:top w:val="none" w:sz="0" w:space="0" w:color="auto"/>
        <w:left w:val="none" w:sz="0" w:space="0" w:color="auto"/>
        <w:bottom w:val="none" w:sz="0" w:space="0" w:color="auto"/>
        <w:right w:val="none" w:sz="0" w:space="0" w:color="auto"/>
      </w:divBdr>
      <w:divsChild>
        <w:div w:id="1665011839">
          <w:marLeft w:val="0"/>
          <w:marRight w:val="0"/>
          <w:marTop w:val="0"/>
          <w:marBottom w:val="0"/>
          <w:divBdr>
            <w:top w:val="none" w:sz="0" w:space="0" w:color="auto"/>
            <w:left w:val="none" w:sz="0" w:space="0" w:color="auto"/>
            <w:bottom w:val="none" w:sz="0" w:space="0" w:color="auto"/>
            <w:right w:val="none" w:sz="0" w:space="0" w:color="auto"/>
          </w:divBdr>
          <w:divsChild>
            <w:div w:id="1430350011">
              <w:marLeft w:val="0"/>
              <w:marRight w:val="0"/>
              <w:marTop w:val="0"/>
              <w:marBottom w:val="0"/>
              <w:divBdr>
                <w:top w:val="none" w:sz="0" w:space="0" w:color="auto"/>
                <w:left w:val="none" w:sz="0" w:space="0" w:color="auto"/>
                <w:bottom w:val="none" w:sz="0" w:space="0" w:color="auto"/>
                <w:right w:val="none" w:sz="0" w:space="0" w:color="auto"/>
              </w:divBdr>
              <w:divsChild>
                <w:div w:id="13936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5665">
      <w:bodyDiv w:val="1"/>
      <w:marLeft w:val="0"/>
      <w:marRight w:val="0"/>
      <w:marTop w:val="0"/>
      <w:marBottom w:val="0"/>
      <w:divBdr>
        <w:top w:val="none" w:sz="0" w:space="0" w:color="auto"/>
        <w:left w:val="none" w:sz="0" w:space="0" w:color="auto"/>
        <w:bottom w:val="none" w:sz="0" w:space="0" w:color="auto"/>
        <w:right w:val="none" w:sz="0" w:space="0" w:color="auto"/>
      </w:divBdr>
    </w:div>
    <w:div w:id="2017924058">
      <w:bodyDiv w:val="1"/>
      <w:marLeft w:val="0"/>
      <w:marRight w:val="0"/>
      <w:marTop w:val="0"/>
      <w:marBottom w:val="0"/>
      <w:divBdr>
        <w:top w:val="none" w:sz="0" w:space="0" w:color="auto"/>
        <w:left w:val="none" w:sz="0" w:space="0" w:color="auto"/>
        <w:bottom w:val="none" w:sz="0" w:space="0" w:color="auto"/>
        <w:right w:val="none" w:sz="0" w:space="0" w:color="auto"/>
      </w:divBdr>
      <w:divsChild>
        <w:div w:id="720255026">
          <w:marLeft w:val="0"/>
          <w:marRight w:val="0"/>
          <w:marTop w:val="0"/>
          <w:marBottom w:val="0"/>
          <w:divBdr>
            <w:top w:val="none" w:sz="0" w:space="0" w:color="auto"/>
            <w:left w:val="none" w:sz="0" w:space="0" w:color="auto"/>
            <w:bottom w:val="none" w:sz="0" w:space="0" w:color="auto"/>
            <w:right w:val="none" w:sz="0" w:space="0" w:color="auto"/>
          </w:divBdr>
          <w:divsChild>
            <w:div w:id="442262209">
              <w:marLeft w:val="0"/>
              <w:marRight w:val="0"/>
              <w:marTop w:val="0"/>
              <w:marBottom w:val="0"/>
              <w:divBdr>
                <w:top w:val="none" w:sz="0" w:space="0" w:color="auto"/>
                <w:left w:val="none" w:sz="0" w:space="0" w:color="auto"/>
                <w:bottom w:val="none" w:sz="0" w:space="0" w:color="auto"/>
                <w:right w:val="none" w:sz="0" w:space="0" w:color="auto"/>
              </w:divBdr>
              <w:divsChild>
                <w:div w:id="1323119427">
                  <w:marLeft w:val="0"/>
                  <w:marRight w:val="0"/>
                  <w:marTop w:val="0"/>
                  <w:marBottom w:val="0"/>
                  <w:divBdr>
                    <w:top w:val="none" w:sz="0" w:space="0" w:color="auto"/>
                    <w:left w:val="none" w:sz="0" w:space="0" w:color="auto"/>
                    <w:bottom w:val="none" w:sz="0" w:space="0" w:color="auto"/>
                    <w:right w:val="none" w:sz="0" w:space="0" w:color="auto"/>
                  </w:divBdr>
                  <w:divsChild>
                    <w:div w:id="21024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25367">
      <w:bodyDiv w:val="1"/>
      <w:marLeft w:val="0"/>
      <w:marRight w:val="0"/>
      <w:marTop w:val="0"/>
      <w:marBottom w:val="0"/>
      <w:divBdr>
        <w:top w:val="none" w:sz="0" w:space="0" w:color="auto"/>
        <w:left w:val="none" w:sz="0" w:space="0" w:color="auto"/>
        <w:bottom w:val="none" w:sz="0" w:space="0" w:color="auto"/>
        <w:right w:val="none" w:sz="0" w:space="0" w:color="auto"/>
      </w:divBdr>
    </w:div>
    <w:div w:id="2029597140">
      <w:bodyDiv w:val="1"/>
      <w:marLeft w:val="0"/>
      <w:marRight w:val="0"/>
      <w:marTop w:val="0"/>
      <w:marBottom w:val="0"/>
      <w:divBdr>
        <w:top w:val="none" w:sz="0" w:space="0" w:color="auto"/>
        <w:left w:val="none" w:sz="0" w:space="0" w:color="auto"/>
        <w:bottom w:val="none" w:sz="0" w:space="0" w:color="auto"/>
        <w:right w:val="none" w:sz="0" w:space="0" w:color="auto"/>
      </w:divBdr>
    </w:div>
    <w:div w:id="2036804157">
      <w:bodyDiv w:val="1"/>
      <w:marLeft w:val="0"/>
      <w:marRight w:val="0"/>
      <w:marTop w:val="0"/>
      <w:marBottom w:val="0"/>
      <w:divBdr>
        <w:top w:val="none" w:sz="0" w:space="0" w:color="auto"/>
        <w:left w:val="none" w:sz="0" w:space="0" w:color="auto"/>
        <w:bottom w:val="none" w:sz="0" w:space="0" w:color="auto"/>
        <w:right w:val="none" w:sz="0" w:space="0" w:color="auto"/>
      </w:divBdr>
      <w:divsChild>
        <w:div w:id="419526317">
          <w:marLeft w:val="0"/>
          <w:marRight w:val="0"/>
          <w:marTop w:val="0"/>
          <w:marBottom w:val="0"/>
          <w:divBdr>
            <w:top w:val="none" w:sz="0" w:space="0" w:color="auto"/>
            <w:left w:val="none" w:sz="0" w:space="0" w:color="auto"/>
            <w:bottom w:val="none" w:sz="0" w:space="0" w:color="auto"/>
            <w:right w:val="none" w:sz="0" w:space="0" w:color="auto"/>
          </w:divBdr>
          <w:divsChild>
            <w:div w:id="1490827318">
              <w:marLeft w:val="0"/>
              <w:marRight w:val="0"/>
              <w:marTop w:val="0"/>
              <w:marBottom w:val="0"/>
              <w:divBdr>
                <w:top w:val="none" w:sz="0" w:space="0" w:color="auto"/>
                <w:left w:val="none" w:sz="0" w:space="0" w:color="auto"/>
                <w:bottom w:val="none" w:sz="0" w:space="0" w:color="auto"/>
                <w:right w:val="none" w:sz="0" w:space="0" w:color="auto"/>
              </w:divBdr>
              <w:divsChild>
                <w:div w:id="8169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1262">
      <w:bodyDiv w:val="1"/>
      <w:marLeft w:val="0"/>
      <w:marRight w:val="0"/>
      <w:marTop w:val="0"/>
      <w:marBottom w:val="0"/>
      <w:divBdr>
        <w:top w:val="none" w:sz="0" w:space="0" w:color="auto"/>
        <w:left w:val="none" w:sz="0" w:space="0" w:color="auto"/>
        <w:bottom w:val="none" w:sz="0" w:space="0" w:color="auto"/>
        <w:right w:val="none" w:sz="0" w:space="0" w:color="auto"/>
      </w:divBdr>
      <w:divsChild>
        <w:div w:id="585891943">
          <w:marLeft w:val="0"/>
          <w:marRight w:val="0"/>
          <w:marTop w:val="0"/>
          <w:marBottom w:val="0"/>
          <w:divBdr>
            <w:top w:val="none" w:sz="0" w:space="0" w:color="auto"/>
            <w:left w:val="none" w:sz="0" w:space="0" w:color="auto"/>
            <w:bottom w:val="none" w:sz="0" w:space="0" w:color="auto"/>
            <w:right w:val="none" w:sz="0" w:space="0" w:color="auto"/>
          </w:divBdr>
          <w:divsChild>
            <w:div w:id="818378404">
              <w:marLeft w:val="0"/>
              <w:marRight w:val="0"/>
              <w:marTop w:val="0"/>
              <w:marBottom w:val="0"/>
              <w:divBdr>
                <w:top w:val="none" w:sz="0" w:space="0" w:color="auto"/>
                <w:left w:val="none" w:sz="0" w:space="0" w:color="auto"/>
                <w:bottom w:val="none" w:sz="0" w:space="0" w:color="auto"/>
                <w:right w:val="none" w:sz="0" w:space="0" w:color="auto"/>
              </w:divBdr>
              <w:divsChild>
                <w:div w:id="1812095541">
                  <w:marLeft w:val="0"/>
                  <w:marRight w:val="0"/>
                  <w:marTop w:val="0"/>
                  <w:marBottom w:val="0"/>
                  <w:divBdr>
                    <w:top w:val="none" w:sz="0" w:space="0" w:color="auto"/>
                    <w:left w:val="none" w:sz="0" w:space="0" w:color="auto"/>
                    <w:bottom w:val="none" w:sz="0" w:space="0" w:color="auto"/>
                    <w:right w:val="none" w:sz="0" w:space="0" w:color="auto"/>
                  </w:divBdr>
                  <w:divsChild>
                    <w:div w:id="11753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0513">
      <w:bodyDiv w:val="1"/>
      <w:marLeft w:val="0"/>
      <w:marRight w:val="0"/>
      <w:marTop w:val="0"/>
      <w:marBottom w:val="0"/>
      <w:divBdr>
        <w:top w:val="none" w:sz="0" w:space="0" w:color="auto"/>
        <w:left w:val="none" w:sz="0" w:space="0" w:color="auto"/>
        <w:bottom w:val="none" w:sz="0" w:space="0" w:color="auto"/>
        <w:right w:val="none" w:sz="0" w:space="0" w:color="auto"/>
      </w:divBdr>
      <w:divsChild>
        <w:div w:id="1054355095">
          <w:marLeft w:val="0"/>
          <w:marRight w:val="0"/>
          <w:marTop w:val="0"/>
          <w:marBottom w:val="0"/>
          <w:divBdr>
            <w:top w:val="none" w:sz="0" w:space="0" w:color="auto"/>
            <w:left w:val="none" w:sz="0" w:space="0" w:color="auto"/>
            <w:bottom w:val="none" w:sz="0" w:space="0" w:color="auto"/>
            <w:right w:val="none" w:sz="0" w:space="0" w:color="auto"/>
          </w:divBdr>
          <w:divsChild>
            <w:div w:id="850022784">
              <w:marLeft w:val="0"/>
              <w:marRight w:val="0"/>
              <w:marTop w:val="0"/>
              <w:marBottom w:val="0"/>
              <w:divBdr>
                <w:top w:val="none" w:sz="0" w:space="0" w:color="auto"/>
                <w:left w:val="none" w:sz="0" w:space="0" w:color="auto"/>
                <w:bottom w:val="none" w:sz="0" w:space="0" w:color="auto"/>
                <w:right w:val="none" w:sz="0" w:space="0" w:color="auto"/>
              </w:divBdr>
              <w:divsChild>
                <w:div w:id="19623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61833">
      <w:bodyDiv w:val="1"/>
      <w:marLeft w:val="0"/>
      <w:marRight w:val="0"/>
      <w:marTop w:val="0"/>
      <w:marBottom w:val="0"/>
      <w:divBdr>
        <w:top w:val="none" w:sz="0" w:space="0" w:color="auto"/>
        <w:left w:val="none" w:sz="0" w:space="0" w:color="auto"/>
        <w:bottom w:val="none" w:sz="0" w:space="0" w:color="auto"/>
        <w:right w:val="none" w:sz="0" w:space="0" w:color="auto"/>
      </w:divBdr>
    </w:div>
    <w:div w:id="2046130464">
      <w:bodyDiv w:val="1"/>
      <w:marLeft w:val="0"/>
      <w:marRight w:val="0"/>
      <w:marTop w:val="0"/>
      <w:marBottom w:val="0"/>
      <w:divBdr>
        <w:top w:val="none" w:sz="0" w:space="0" w:color="auto"/>
        <w:left w:val="none" w:sz="0" w:space="0" w:color="auto"/>
        <w:bottom w:val="none" w:sz="0" w:space="0" w:color="auto"/>
        <w:right w:val="none" w:sz="0" w:space="0" w:color="auto"/>
      </w:divBdr>
    </w:div>
    <w:div w:id="2046977842">
      <w:bodyDiv w:val="1"/>
      <w:marLeft w:val="0"/>
      <w:marRight w:val="0"/>
      <w:marTop w:val="0"/>
      <w:marBottom w:val="0"/>
      <w:divBdr>
        <w:top w:val="none" w:sz="0" w:space="0" w:color="auto"/>
        <w:left w:val="none" w:sz="0" w:space="0" w:color="auto"/>
        <w:bottom w:val="none" w:sz="0" w:space="0" w:color="auto"/>
        <w:right w:val="none" w:sz="0" w:space="0" w:color="auto"/>
      </w:divBdr>
      <w:divsChild>
        <w:div w:id="804129632">
          <w:marLeft w:val="0"/>
          <w:marRight w:val="0"/>
          <w:marTop w:val="0"/>
          <w:marBottom w:val="0"/>
          <w:divBdr>
            <w:top w:val="none" w:sz="0" w:space="0" w:color="auto"/>
            <w:left w:val="none" w:sz="0" w:space="0" w:color="auto"/>
            <w:bottom w:val="none" w:sz="0" w:space="0" w:color="auto"/>
            <w:right w:val="none" w:sz="0" w:space="0" w:color="auto"/>
          </w:divBdr>
          <w:divsChild>
            <w:div w:id="835608807">
              <w:marLeft w:val="0"/>
              <w:marRight w:val="0"/>
              <w:marTop w:val="0"/>
              <w:marBottom w:val="0"/>
              <w:divBdr>
                <w:top w:val="none" w:sz="0" w:space="0" w:color="auto"/>
                <w:left w:val="none" w:sz="0" w:space="0" w:color="auto"/>
                <w:bottom w:val="none" w:sz="0" w:space="0" w:color="auto"/>
                <w:right w:val="none" w:sz="0" w:space="0" w:color="auto"/>
              </w:divBdr>
              <w:divsChild>
                <w:div w:id="1491747522">
                  <w:marLeft w:val="0"/>
                  <w:marRight w:val="0"/>
                  <w:marTop w:val="0"/>
                  <w:marBottom w:val="0"/>
                  <w:divBdr>
                    <w:top w:val="none" w:sz="0" w:space="0" w:color="auto"/>
                    <w:left w:val="none" w:sz="0" w:space="0" w:color="auto"/>
                    <w:bottom w:val="none" w:sz="0" w:space="0" w:color="auto"/>
                    <w:right w:val="none" w:sz="0" w:space="0" w:color="auto"/>
                  </w:divBdr>
                  <w:divsChild>
                    <w:div w:id="185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89693">
      <w:bodyDiv w:val="1"/>
      <w:marLeft w:val="0"/>
      <w:marRight w:val="0"/>
      <w:marTop w:val="0"/>
      <w:marBottom w:val="0"/>
      <w:divBdr>
        <w:top w:val="none" w:sz="0" w:space="0" w:color="auto"/>
        <w:left w:val="none" w:sz="0" w:space="0" w:color="auto"/>
        <w:bottom w:val="none" w:sz="0" w:space="0" w:color="auto"/>
        <w:right w:val="none" w:sz="0" w:space="0" w:color="auto"/>
      </w:divBdr>
    </w:div>
    <w:div w:id="2051301877">
      <w:bodyDiv w:val="1"/>
      <w:marLeft w:val="0"/>
      <w:marRight w:val="0"/>
      <w:marTop w:val="0"/>
      <w:marBottom w:val="0"/>
      <w:divBdr>
        <w:top w:val="none" w:sz="0" w:space="0" w:color="auto"/>
        <w:left w:val="none" w:sz="0" w:space="0" w:color="auto"/>
        <w:bottom w:val="none" w:sz="0" w:space="0" w:color="auto"/>
        <w:right w:val="none" w:sz="0" w:space="0" w:color="auto"/>
      </w:divBdr>
      <w:divsChild>
        <w:div w:id="1620184625">
          <w:marLeft w:val="0"/>
          <w:marRight w:val="0"/>
          <w:marTop w:val="0"/>
          <w:marBottom w:val="0"/>
          <w:divBdr>
            <w:top w:val="none" w:sz="0" w:space="0" w:color="auto"/>
            <w:left w:val="none" w:sz="0" w:space="0" w:color="auto"/>
            <w:bottom w:val="none" w:sz="0" w:space="0" w:color="auto"/>
            <w:right w:val="none" w:sz="0" w:space="0" w:color="auto"/>
          </w:divBdr>
          <w:divsChild>
            <w:div w:id="2074891339">
              <w:marLeft w:val="0"/>
              <w:marRight w:val="0"/>
              <w:marTop w:val="0"/>
              <w:marBottom w:val="0"/>
              <w:divBdr>
                <w:top w:val="none" w:sz="0" w:space="0" w:color="auto"/>
                <w:left w:val="none" w:sz="0" w:space="0" w:color="auto"/>
                <w:bottom w:val="none" w:sz="0" w:space="0" w:color="auto"/>
                <w:right w:val="none" w:sz="0" w:space="0" w:color="auto"/>
              </w:divBdr>
              <w:divsChild>
                <w:div w:id="2720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4759">
      <w:bodyDiv w:val="1"/>
      <w:marLeft w:val="0"/>
      <w:marRight w:val="0"/>
      <w:marTop w:val="0"/>
      <w:marBottom w:val="0"/>
      <w:divBdr>
        <w:top w:val="none" w:sz="0" w:space="0" w:color="auto"/>
        <w:left w:val="none" w:sz="0" w:space="0" w:color="auto"/>
        <w:bottom w:val="none" w:sz="0" w:space="0" w:color="auto"/>
        <w:right w:val="none" w:sz="0" w:space="0" w:color="auto"/>
      </w:divBdr>
      <w:divsChild>
        <w:div w:id="1305769592">
          <w:marLeft w:val="0"/>
          <w:marRight w:val="0"/>
          <w:marTop w:val="0"/>
          <w:marBottom w:val="0"/>
          <w:divBdr>
            <w:top w:val="none" w:sz="0" w:space="0" w:color="auto"/>
            <w:left w:val="none" w:sz="0" w:space="0" w:color="auto"/>
            <w:bottom w:val="none" w:sz="0" w:space="0" w:color="auto"/>
            <w:right w:val="none" w:sz="0" w:space="0" w:color="auto"/>
          </w:divBdr>
          <w:divsChild>
            <w:div w:id="1085110172">
              <w:marLeft w:val="0"/>
              <w:marRight w:val="0"/>
              <w:marTop w:val="0"/>
              <w:marBottom w:val="0"/>
              <w:divBdr>
                <w:top w:val="none" w:sz="0" w:space="0" w:color="auto"/>
                <w:left w:val="none" w:sz="0" w:space="0" w:color="auto"/>
                <w:bottom w:val="none" w:sz="0" w:space="0" w:color="auto"/>
                <w:right w:val="none" w:sz="0" w:space="0" w:color="auto"/>
              </w:divBdr>
              <w:divsChild>
                <w:div w:id="16411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418">
      <w:bodyDiv w:val="1"/>
      <w:marLeft w:val="0"/>
      <w:marRight w:val="0"/>
      <w:marTop w:val="0"/>
      <w:marBottom w:val="0"/>
      <w:divBdr>
        <w:top w:val="none" w:sz="0" w:space="0" w:color="auto"/>
        <w:left w:val="none" w:sz="0" w:space="0" w:color="auto"/>
        <w:bottom w:val="none" w:sz="0" w:space="0" w:color="auto"/>
        <w:right w:val="none" w:sz="0" w:space="0" w:color="auto"/>
      </w:divBdr>
    </w:div>
    <w:div w:id="2075078904">
      <w:bodyDiv w:val="1"/>
      <w:marLeft w:val="0"/>
      <w:marRight w:val="0"/>
      <w:marTop w:val="0"/>
      <w:marBottom w:val="0"/>
      <w:divBdr>
        <w:top w:val="none" w:sz="0" w:space="0" w:color="auto"/>
        <w:left w:val="none" w:sz="0" w:space="0" w:color="auto"/>
        <w:bottom w:val="none" w:sz="0" w:space="0" w:color="auto"/>
        <w:right w:val="none" w:sz="0" w:space="0" w:color="auto"/>
      </w:divBdr>
      <w:divsChild>
        <w:div w:id="714894163">
          <w:marLeft w:val="0"/>
          <w:marRight w:val="0"/>
          <w:marTop w:val="0"/>
          <w:marBottom w:val="0"/>
          <w:divBdr>
            <w:top w:val="none" w:sz="0" w:space="0" w:color="auto"/>
            <w:left w:val="none" w:sz="0" w:space="0" w:color="auto"/>
            <w:bottom w:val="none" w:sz="0" w:space="0" w:color="auto"/>
            <w:right w:val="none" w:sz="0" w:space="0" w:color="auto"/>
          </w:divBdr>
          <w:divsChild>
            <w:div w:id="750854424">
              <w:marLeft w:val="0"/>
              <w:marRight w:val="0"/>
              <w:marTop w:val="0"/>
              <w:marBottom w:val="0"/>
              <w:divBdr>
                <w:top w:val="none" w:sz="0" w:space="0" w:color="auto"/>
                <w:left w:val="none" w:sz="0" w:space="0" w:color="auto"/>
                <w:bottom w:val="none" w:sz="0" w:space="0" w:color="auto"/>
                <w:right w:val="none" w:sz="0" w:space="0" w:color="auto"/>
              </w:divBdr>
              <w:divsChild>
                <w:div w:id="683633009">
                  <w:marLeft w:val="0"/>
                  <w:marRight w:val="0"/>
                  <w:marTop w:val="0"/>
                  <w:marBottom w:val="0"/>
                  <w:divBdr>
                    <w:top w:val="none" w:sz="0" w:space="0" w:color="auto"/>
                    <w:left w:val="none" w:sz="0" w:space="0" w:color="auto"/>
                    <w:bottom w:val="none" w:sz="0" w:space="0" w:color="auto"/>
                    <w:right w:val="none" w:sz="0" w:space="0" w:color="auto"/>
                  </w:divBdr>
                  <w:divsChild>
                    <w:div w:id="4444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58011">
      <w:bodyDiv w:val="1"/>
      <w:marLeft w:val="0"/>
      <w:marRight w:val="0"/>
      <w:marTop w:val="0"/>
      <w:marBottom w:val="0"/>
      <w:divBdr>
        <w:top w:val="none" w:sz="0" w:space="0" w:color="auto"/>
        <w:left w:val="none" w:sz="0" w:space="0" w:color="auto"/>
        <w:bottom w:val="none" w:sz="0" w:space="0" w:color="auto"/>
        <w:right w:val="none" w:sz="0" w:space="0" w:color="auto"/>
      </w:divBdr>
      <w:divsChild>
        <w:div w:id="1993562305">
          <w:marLeft w:val="0"/>
          <w:marRight w:val="0"/>
          <w:marTop w:val="0"/>
          <w:marBottom w:val="0"/>
          <w:divBdr>
            <w:top w:val="none" w:sz="0" w:space="0" w:color="auto"/>
            <w:left w:val="none" w:sz="0" w:space="0" w:color="auto"/>
            <w:bottom w:val="none" w:sz="0" w:space="0" w:color="auto"/>
            <w:right w:val="none" w:sz="0" w:space="0" w:color="auto"/>
          </w:divBdr>
          <w:divsChild>
            <w:div w:id="1549368785">
              <w:marLeft w:val="0"/>
              <w:marRight w:val="0"/>
              <w:marTop w:val="0"/>
              <w:marBottom w:val="0"/>
              <w:divBdr>
                <w:top w:val="none" w:sz="0" w:space="0" w:color="auto"/>
                <w:left w:val="none" w:sz="0" w:space="0" w:color="auto"/>
                <w:bottom w:val="none" w:sz="0" w:space="0" w:color="auto"/>
                <w:right w:val="none" w:sz="0" w:space="0" w:color="auto"/>
              </w:divBdr>
              <w:divsChild>
                <w:div w:id="16064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4295">
      <w:bodyDiv w:val="1"/>
      <w:marLeft w:val="0"/>
      <w:marRight w:val="0"/>
      <w:marTop w:val="0"/>
      <w:marBottom w:val="0"/>
      <w:divBdr>
        <w:top w:val="none" w:sz="0" w:space="0" w:color="auto"/>
        <w:left w:val="none" w:sz="0" w:space="0" w:color="auto"/>
        <w:bottom w:val="none" w:sz="0" w:space="0" w:color="auto"/>
        <w:right w:val="none" w:sz="0" w:space="0" w:color="auto"/>
      </w:divBdr>
      <w:divsChild>
        <w:div w:id="1668243316">
          <w:marLeft w:val="0"/>
          <w:marRight w:val="0"/>
          <w:marTop w:val="0"/>
          <w:marBottom w:val="0"/>
          <w:divBdr>
            <w:top w:val="none" w:sz="0" w:space="0" w:color="auto"/>
            <w:left w:val="none" w:sz="0" w:space="0" w:color="auto"/>
            <w:bottom w:val="none" w:sz="0" w:space="0" w:color="auto"/>
            <w:right w:val="none" w:sz="0" w:space="0" w:color="auto"/>
          </w:divBdr>
          <w:divsChild>
            <w:div w:id="1522089587">
              <w:marLeft w:val="0"/>
              <w:marRight w:val="0"/>
              <w:marTop w:val="0"/>
              <w:marBottom w:val="0"/>
              <w:divBdr>
                <w:top w:val="none" w:sz="0" w:space="0" w:color="auto"/>
                <w:left w:val="none" w:sz="0" w:space="0" w:color="auto"/>
                <w:bottom w:val="none" w:sz="0" w:space="0" w:color="auto"/>
                <w:right w:val="none" w:sz="0" w:space="0" w:color="auto"/>
              </w:divBdr>
              <w:divsChild>
                <w:div w:id="801730737">
                  <w:marLeft w:val="0"/>
                  <w:marRight w:val="0"/>
                  <w:marTop w:val="0"/>
                  <w:marBottom w:val="0"/>
                  <w:divBdr>
                    <w:top w:val="none" w:sz="0" w:space="0" w:color="auto"/>
                    <w:left w:val="none" w:sz="0" w:space="0" w:color="auto"/>
                    <w:bottom w:val="none" w:sz="0" w:space="0" w:color="auto"/>
                    <w:right w:val="none" w:sz="0" w:space="0" w:color="auto"/>
                  </w:divBdr>
                  <w:divsChild>
                    <w:div w:id="13995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6747">
      <w:bodyDiv w:val="1"/>
      <w:marLeft w:val="0"/>
      <w:marRight w:val="0"/>
      <w:marTop w:val="0"/>
      <w:marBottom w:val="0"/>
      <w:divBdr>
        <w:top w:val="none" w:sz="0" w:space="0" w:color="auto"/>
        <w:left w:val="none" w:sz="0" w:space="0" w:color="auto"/>
        <w:bottom w:val="none" w:sz="0" w:space="0" w:color="auto"/>
        <w:right w:val="none" w:sz="0" w:space="0" w:color="auto"/>
      </w:divBdr>
    </w:div>
    <w:div w:id="2093816022">
      <w:bodyDiv w:val="1"/>
      <w:marLeft w:val="0"/>
      <w:marRight w:val="0"/>
      <w:marTop w:val="0"/>
      <w:marBottom w:val="0"/>
      <w:divBdr>
        <w:top w:val="none" w:sz="0" w:space="0" w:color="auto"/>
        <w:left w:val="none" w:sz="0" w:space="0" w:color="auto"/>
        <w:bottom w:val="none" w:sz="0" w:space="0" w:color="auto"/>
        <w:right w:val="none" w:sz="0" w:space="0" w:color="auto"/>
      </w:divBdr>
      <w:divsChild>
        <w:div w:id="2093970437">
          <w:marLeft w:val="0"/>
          <w:marRight w:val="0"/>
          <w:marTop w:val="0"/>
          <w:marBottom w:val="0"/>
          <w:divBdr>
            <w:top w:val="none" w:sz="0" w:space="0" w:color="auto"/>
            <w:left w:val="none" w:sz="0" w:space="0" w:color="auto"/>
            <w:bottom w:val="none" w:sz="0" w:space="0" w:color="auto"/>
            <w:right w:val="none" w:sz="0" w:space="0" w:color="auto"/>
          </w:divBdr>
          <w:divsChild>
            <w:div w:id="1102606724">
              <w:marLeft w:val="0"/>
              <w:marRight w:val="0"/>
              <w:marTop w:val="0"/>
              <w:marBottom w:val="0"/>
              <w:divBdr>
                <w:top w:val="none" w:sz="0" w:space="0" w:color="auto"/>
                <w:left w:val="none" w:sz="0" w:space="0" w:color="auto"/>
                <w:bottom w:val="none" w:sz="0" w:space="0" w:color="auto"/>
                <w:right w:val="none" w:sz="0" w:space="0" w:color="auto"/>
              </w:divBdr>
              <w:divsChild>
                <w:div w:id="17876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7595">
      <w:bodyDiv w:val="1"/>
      <w:marLeft w:val="0"/>
      <w:marRight w:val="0"/>
      <w:marTop w:val="0"/>
      <w:marBottom w:val="0"/>
      <w:divBdr>
        <w:top w:val="none" w:sz="0" w:space="0" w:color="auto"/>
        <w:left w:val="none" w:sz="0" w:space="0" w:color="auto"/>
        <w:bottom w:val="none" w:sz="0" w:space="0" w:color="auto"/>
        <w:right w:val="none" w:sz="0" w:space="0" w:color="auto"/>
      </w:divBdr>
      <w:divsChild>
        <w:div w:id="45688608">
          <w:marLeft w:val="0"/>
          <w:marRight w:val="0"/>
          <w:marTop w:val="0"/>
          <w:marBottom w:val="0"/>
          <w:divBdr>
            <w:top w:val="none" w:sz="0" w:space="0" w:color="auto"/>
            <w:left w:val="none" w:sz="0" w:space="0" w:color="auto"/>
            <w:bottom w:val="none" w:sz="0" w:space="0" w:color="auto"/>
            <w:right w:val="none" w:sz="0" w:space="0" w:color="auto"/>
          </w:divBdr>
          <w:divsChild>
            <w:div w:id="897013196">
              <w:marLeft w:val="0"/>
              <w:marRight w:val="0"/>
              <w:marTop w:val="0"/>
              <w:marBottom w:val="0"/>
              <w:divBdr>
                <w:top w:val="none" w:sz="0" w:space="0" w:color="auto"/>
                <w:left w:val="none" w:sz="0" w:space="0" w:color="auto"/>
                <w:bottom w:val="none" w:sz="0" w:space="0" w:color="auto"/>
                <w:right w:val="none" w:sz="0" w:space="0" w:color="auto"/>
              </w:divBdr>
              <w:divsChild>
                <w:div w:id="20812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847">
      <w:bodyDiv w:val="1"/>
      <w:marLeft w:val="0"/>
      <w:marRight w:val="0"/>
      <w:marTop w:val="0"/>
      <w:marBottom w:val="0"/>
      <w:divBdr>
        <w:top w:val="none" w:sz="0" w:space="0" w:color="auto"/>
        <w:left w:val="none" w:sz="0" w:space="0" w:color="auto"/>
        <w:bottom w:val="none" w:sz="0" w:space="0" w:color="auto"/>
        <w:right w:val="none" w:sz="0" w:space="0" w:color="auto"/>
      </w:divBdr>
      <w:divsChild>
        <w:div w:id="347828866">
          <w:marLeft w:val="0"/>
          <w:marRight w:val="0"/>
          <w:marTop w:val="0"/>
          <w:marBottom w:val="0"/>
          <w:divBdr>
            <w:top w:val="none" w:sz="0" w:space="0" w:color="auto"/>
            <w:left w:val="none" w:sz="0" w:space="0" w:color="auto"/>
            <w:bottom w:val="none" w:sz="0" w:space="0" w:color="auto"/>
            <w:right w:val="none" w:sz="0" w:space="0" w:color="auto"/>
          </w:divBdr>
          <w:divsChild>
            <w:div w:id="1598564749">
              <w:marLeft w:val="0"/>
              <w:marRight w:val="0"/>
              <w:marTop w:val="0"/>
              <w:marBottom w:val="0"/>
              <w:divBdr>
                <w:top w:val="none" w:sz="0" w:space="0" w:color="auto"/>
                <w:left w:val="none" w:sz="0" w:space="0" w:color="auto"/>
                <w:bottom w:val="none" w:sz="0" w:space="0" w:color="auto"/>
                <w:right w:val="none" w:sz="0" w:space="0" w:color="auto"/>
              </w:divBdr>
              <w:divsChild>
                <w:div w:id="16217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0846">
      <w:bodyDiv w:val="1"/>
      <w:marLeft w:val="0"/>
      <w:marRight w:val="0"/>
      <w:marTop w:val="0"/>
      <w:marBottom w:val="0"/>
      <w:divBdr>
        <w:top w:val="none" w:sz="0" w:space="0" w:color="auto"/>
        <w:left w:val="none" w:sz="0" w:space="0" w:color="auto"/>
        <w:bottom w:val="none" w:sz="0" w:space="0" w:color="auto"/>
        <w:right w:val="none" w:sz="0" w:space="0" w:color="auto"/>
      </w:divBdr>
      <w:divsChild>
        <w:div w:id="488909727">
          <w:marLeft w:val="0"/>
          <w:marRight w:val="0"/>
          <w:marTop w:val="0"/>
          <w:marBottom w:val="0"/>
          <w:divBdr>
            <w:top w:val="none" w:sz="0" w:space="0" w:color="auto"/>
            <w:left w:val="none" w:sz="0" w:space="0" w:color="auto"/>
            <w:bottom w:val="none" w:sz="0" w:space="0" w:color="auto"/>
            <w:right w:val="none" w:sz="0" w:space="0" w:color="auto"/>
          </w:divBdr>
          <w:divsChild>
            <w:div w:id="1150636559">
              <w:marLeft w:val="0"/>
              <w:marRight w:val="0"/>
              <w:marTop w:val="0"/>
              <w:marBottom w:val="0"/>
              <w:divBdr>
                <w:top w:val="none" w:sz="0" w:space="0" w:color="auto"/>
                <w:left w:val="none" w:sz="0" w:space="0" w:color="auto"/>
                <w:bottom w:val="none" w:sz="0" w:space="0" w:color="auto"/>
                <w:right w:val="none" w:sz="0" w:space="0" w:color="auto"/>
              </w:divBdr>
              <w:divsChild>
                <w:div w:id="64494943">
                  <w:marLeft w:val="0"/>
                  <w:marRight w:val="0"/>
                  <w:marTop w:val="0"/>
                  <w:marBottom w:val="0"/>
                  <w:divBdr>
                    <w:top w:val="none" w:sz="0" w:space="0" w:color="auto"/>
                    <w:left w:val="none" w:sz="0" w:space="0" w:color="auto"/>
                    <w:bottom w:val="none" w:sz="0" w:space="0" w:color="auto"/>
                    <w:right w:val="none" w:sz="0" w:space="0" w:color="auto"/>
                  </w:divBdr>
                  <w:divsChild>
                    <w:div w:id="7447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98399">
      <w:bodyDiv w:val="1"/>
      <w:marLeft w:val="0"/>
      <w:marRight w:val="0"/>
      <w:marTop w:val="0"/>
      <w:marBottom w:val="0"/>
      <w:divBdr>
        <w:top w:val="none" w:sz="0" w:space="0" w:color="auto"/>
        <w:left w:val="none" w:sz="0" w:space="0" w:color="auto"/>
        <w:bottom w:val="none" w:sz="0" w:space="0" w:color="auto"/>
        <w:right w:val="none" w:sz="0" w:space="0" w:color="auto"/>
      </w:divBdr>
    </w:div>
    <w:div w:id="2116630484">
      <w:bodyDiv w:val="1"/>
      <w:marLeft w:val="0"/>
      <w:marRight w:val="0"/>
      <w:marTop w:val="0"/>
      <w:marBottom w:val="0"/>
      <w:divBdr>
        <w:top w:val="none" w:sz="0" w:space="0" w:color="auto"/>
        <w:left w:val="none" w:sz="0" w:space="0" w:color="auto"/>
        <w:bottom w:val="none" w:sz="0" w:space="0" w:color="auto"/>
        <w:right w:val="none" w:sz="0" w:space="0" w:color="auto"/>
      </w:divBdr>
      <w:divsChild>
        <w:div w:id="1568229071">
          <w:marLeft w:val="0"/>
          <w:marRight w:val="0"/>
          <w:marTop w:val="0"/>
          <w:marBottom w:val="0"/>
          <w:divBdr>
            <w:top w:val="none" w:sz="0" w:space="0" w:color="auto"/>
            <w:left w:val="none" w:sz="0" w:space="0" w:color="auto"/>
            <w:bottom w:val="none" w:sz="0" w:space="0" w:color="auto"/>
            <w:right w:val="none" w:sz="0" w:space="0" w:color="auto"/>
          </w:divBdr>
          <w:divsChild>
            <w:div w:id="552235088">
              <w:marLeft w:val="0"/>
              <w:marRight w:val="0"/>
              <w:marTop w:val="0"/>
              <w:marBottom w:val="0"/>
              <w:divBdr>
                <w:top w:val="none" w:sz="0" w:space="0" w:color="auto"/>
                <w:left w:val="none" w:sz="0" w:space="0" w:color="auto"/>
                <w:bottom w:val="none" w:sz="0" w:space="0" w:color="auto"/>
                <w:right w:val="none" w:sz="0" w:space="0" w:color="auto"/>
              </w:divBdr>
              <w:divsChild>
                <w:div w:id="20119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15391">
      <w:bodyDiv w:val="1"/>
      <w:marLeft w:val="0"/>
      <w:marRight w:val="0"/>
      <w:marTop w:val="0"/>
      <w:marBottom w:val="0"/>
      <w:divBdr>
        <w:top w:val="none" w:sz="0" w:space="0" w:color="auto"/>
        <w:left w:val="none" w:sz="0" w:space="0" w:color="auto"/>
        <w:bottom w:val="none" w:sz="0" w:space="0" w:color="auto"/>
        <w:right w:val="none" w:sz="0" w:space="0" w:color="auto"/>
      </w:divBdr>
    </w:div>
    <w:div w:id="2134204363">
      <w:bodyDiv w:val="1"/>
      <w:marLeft w:val="0"/>
      <w:marRight w:val="0"/>
      <w:marTop w:val="0"/>
      <w:marBottom w:val="0"/>
      <w:divBdr>
        <w:top w:val="none" w:sz="0" w:space="0" w:color="auto"/>
        <w:left w:val="none" w:sz="0" w:space="0" w:color="auto"/>
        <w:bottom w:val="none" w:sz="0" w:space="0" w:color="auto"/>
        <w:right w:val="none" w:sz="0" w:space="0" w:color="auto"/>
      </w:divBdr>
    </w:div>
    <w:div w:id="2134328853">
      <w:bodyDiv w:val="1"/>
      <w:marLeft w:val="0"/>
      <w:marRight w:val="0"/>
      <w:marTop w:val="0"/>
      <w:marBottom w:val="0"/>
      <w:divBdr>
        <w:top w:val="none" w:sz="0" w:space="0" w:color="auto"/>
        <w:left w:val="none" w:sz="0" w:space="0" w:color="auto"/>
        <w:bottom w:val="none" w:sz="0" w:space="0" w:color="auto"/>
        <w:right w:val="none" w:sz="0" w:space="0" w:color="auto"/>
      </w:divBdr>
      <w:divsChild>
        <w:div w:id="345135437">
          <w:marLeft w:val="0"/>
          <w:marRight w:val="0"/>
          <w:marTop w:val="0"/>
          <w:marBottom w:val="0"/>
          <w:divBdr>
            <w:top w:val="none" w:sz="0" w:space="0" w:color="auto"/>
            <w:left w:val="none" w:sz="0" w:space="0" w:color="auto"/>
            <w:bottom w:val="none" w:sz="0" w:space="0" w:color="auto"/>
            <w:right w:val="none" w:sz="0" w:space="0" w:color="auto"/>
          </w:divBdr>
          <w:divsChild>
            <w:div w:id="1019043453">
              <w:marLeft w:val="0"/>
              <w:marRight w:val="0"/>
              <w:marTop w:val="0"/>
              <w:marBottom w:val="0"/>
              <w:divBdr>
                <w:top w:val="none" w:sz="0" w:space="0" w:color="auto"/>
                <w:left w:val="none" w:sz="0" w:space="0" w:color="auto"/>
                <w:bottom w:val="none" w:sz="0" w:space="0" w:color="auto"/>
                <w:right w:val="none" w:sz="0" w:space="0" w:color="auto"/>
              </w:divBdr>
              <w:divsChild>
                <w:div w:id="1308633579">
                  <w:marLeft w:val="0"/>
                  <w:marRight w:val="0"/>
                  <w:marTop w:val="0"/>
                  <w:marBottom w:val="0"/>
                  <w:divBdr>
                    <w:top w:val="none" w:sz="0" w:space="0" w:color="auto"/>
                    <w:left w:val="none" w:sz="0" w:space="0" w:color="auto"/>
                    <w:bottom w:val="none" w:sz="0" w:space="0" w:color="auto"/>
                    <w:right w:val="none" w:sz="0" w:space="0" w:color="auto"/>
                  </w:divBdr>
                  <w:divsChild>
                    <w:div w:id="21360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01908">
      <w:bodyDiv w:val="1"/>
      <w:marLeft w:val="0"/>
      <w:marRight w:val="0"/>
      <w:marTop w:val="0"/>
      <w:marBottom w:val="0"/>
      <w:divBdr>
        <w:top w:val="none" w:sz="0" w:space="0" w:color="auto"/>
        <w:left w:val="none" w:sz="0" w:space="0" w:color="auto"/>
        <w:bottom w:val="none" w:sz="0" w:space="0" w:color="auto"/>
        <w:right w:val="none" w:sz="0" w:space="0" w:color="auto"/>
      </w:divBdr>
    </w:div>
    <w:div w:id="21471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isd.org/system/files/publications/terminating-treaty-best-practices-en.pdf" TargetMode="External"/><Relationship Id="rId2" Type="http://schemas.openxmlformats.org/officeDocument/2006/relationships/hyperlink" Target="https://icsid.worldbank.org/news-and-events/news-releases/ecuador-signs-icsid-convention" TargetMode="External"/><Relationship Id="rId1" Type="http://schemas.openxmlformats.org/officeDocument/2006/relationships/hyperlink" Target="https://iccwbo.org/publication/icc-dispute-resolution-statistics/" TargetMode="External"/><Relationship Id="rId6" Type="http://schemas.openxmlformats.org/officeDocument/2006/relationships/hyperlink" Target="http://www.uba.ua/documents/doc/mark_blessing_1.pdf" TargetMode="External"/><Relationship Id="rId5" Type="http://schemas.openxmlformats.org/officeDocument/2006/relationships/hyperlink" Target="https://jusmundi.com/en/document/decision/en-kabab-ji-s-a-l-company-v-kout-food-group-company-judgment-of-the-paris-court-of-appeal-tuesday-23rd-june-2020" TargetMode="External"/><Relationship Id="rId4" Type="http://schemas.openxmlformats.org/officeDocument/2006/relationships/hyperlink" Target="https://jusmundi.com/en/document/decision/en-kabab-ji-s-a-l-company-v-kout-food-group-company-judgment-of-the-paris-court-of-appeal-tuesday-23rd-jun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EEC4-8647-F242-9926-87C21E7B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4208</TotalTime>
  <Pages>24</Pages>
  <Words>7194</Words>
  <Characters>39855</Characters>
  <Application>Microsoft Office Word</Application>
  <DocSecurity>0</DocSecurity>
  <Lines>603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 Risvas</dc:creator>
  <cp:keywords/>
  <dc:description/>
  <cp:lastModifiedBy>Michail Risvas</cp:lastModifiedBy>
  <cp:revision>243</cp:revision>
  <cp:lastPrinted>2021-07-08T11:55:00Z</cp:lastPrinted>
  <dcterms:created xsi:type="dcterms:W3CDTF">2019-09-28T16:08:00Z</dcterms:created>
  <dcterms:modified xsi:type="dcterms:W3CDTF">2021-07-26T12:33:00Z</dcterms:modified>
</cp:coreProperties>
</file>