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E1EB7" w14:textId="5AE43A24" w:rsidR="00EF7A34" w:rsidRPr="00AE37DE" w:rsidRDefault="00EF7A34" w:rsidP="00A25E22">
      <w:pPr>
        <w:spacing w:after="0" w:line="240" w:lineRule="auto"/>
        <w:jc w:val="center"/>
        <w:rPr>
          <w:rFonts w:ascii="Times New Roman" w:hAnsi="Times New Roman" w:cs="Times New Roman"/>
          <w:b/>
          <w:sz w:val="24"/>
          <w:szCs w:val="24"/>
        </w:rPr>
      </w:pPr>
      <w:r w:rsidRPr="00AE37DE">
        <w:rPr>
          <w:rFonts w:ascii="Times New Roman" w:hAnsi="Times New Roman" w:cs="Times New Roman"/>
          <w:b/>
          <w:sz w:val="24"/>
          <w:szCs w:val="24"/>
        </w:rPr>
        <w:t>The Resilience of Islamic Equity Funds during</w:t>
      </w:r>
      <w:r w:rsidR="00EB5BFF">
        <w:rPr>
          <w:rFonts w:ascii="Times New Roman" w:hAnsi="Times New Roman" w:cs="Times New Roman"/>
          <w:b/>
          <w:sz w:val="24"/>
          <w:szCs w:val="24"/>
        </w:rPr>
        <w:t xml:space="preserve"> </w:t>
      </w:r>
      <w:r w:rsidR="00181A9B">
        <w:rPr>
          <w:rFonts w:ascii="Times New Roman" w:hAnsi="Times New Roman" w:cs="Times New Roman"/>
          <w:b/>
          <w:sz w:val="24"/>
          <w:szCs w:val="24"/>
        </w:rPr>
        <w:t>the COVID-19 pandemic</w:t>
      </w:r>
      <w:r w:rsidRPr="00AE37DE">
        <w:rPr>
          <w:rFonts w:ascii="Times New Roman" w:hAnsi="Times New Roman" w:cs="Times New Roman"/>
          <w:b/>
          <w:sz w:val="24"/>
          <w:szCs w:val="24"/>
        </w:rPr>
        <w:t>: Evidence from Risk</w:t>
      </w:r>
      <w:r w:rsidR="00A64A0D">
        <w:rPr>
          <w:rFonts w:ascii="Times New Roman" w:hAnsi="Times New Roman" w:cs="Times New Roman"/>
          <w:b/>
          <w:sz w:val="24"/>
          <w:szCs w:val="24"/>
        </w:rPr>
        <w:t>-</w:t>
      </w:r>
      <w:r w:rsidRPr="00AE37DE">
        <w:rPr>
          <w:rFonts w:ascii="Times New Roman" w:hAnsi="Times New Roman" w:cs="Times New Roman"/>
          <w:b/>
          <w:sz w:val="24"/>
          <w:szCs w:val="24"/>
        </w:rPr>
        <w:t>Adjusted Performance, Investment Styles and Volatility Timing</w:t>
      </w:r>
      <w:r w:rsidR="00D42749">
        <w:rPr>
          <w:rFonts w:ascii="Times New Roman" w:hAnsi="Times New Roman" w:cs="Times New Roman"/>
          <w:b/>
          <w:sz w:val="24"/>
          <w:szCs w:val="24"/>
        </w:rPr>
        <w:t>.</w:t>
      </w:r>
    </w:p>
    <w:p w14:paraId="27AD36D0" w14:textId="77777777" w:rsidR="00AD2D02" w:rsidRDefault="00AD2D02">
      <w:pPr>
        <w:rPr>
          <w:rFonts w:ascii="Times New Roman" w:hAnsi="Times New Roman" w:cs="Times New Roman"/>
          <w:sz w:val="24"/>
          <w:szCs w:val="24"/>
        </w:rPr>
      </w:pPr>
    </w:p>
    <w:p w14:paraId="3B1C855B" w14:textId="77777777" w:rsidR="00AD2D02" w:rsidRDefault="00AD2D02" w:rsidP="00AD2D02">
      <w:pPr>
        <w:spacing w:after="0" w:line="480" w:lineRule="auto"/>
        <w:ind w:left="3600" w:firstLine="720"/>
        <w:jc w:val="both"/>
        <w:rPr>
          <w:rFonts w:ascii="Times New Roman" w:hAnsi="Times New Roman" w:cs="Times New Roman"/>
          <w:sz w:val="24"/>
          <w:szCs w:val="24"/>
        </w:rPr>
      </w:pPr>
    </w:p>
    <w:p w14:paraId="5034CBF3" w14:textId="170FF9A9" w:rsidR="00A25E22" w:rsidRPr="00AE37DE" w:rsidRDefault="00532EA1" w:rsidP="00AD2D02">
      <w:pPr>
        <w:spacing w:after="0" w:line="480" w:lineRule="auto"/>
        <w:ind w:left="3600" w:firstLine="720"/>
        <w:jc w:val="both"/>
        <w:rPr>
          <w:rFonts w:ascii="Times New Roman" w:hAnsi="Times New Roman" w:cs="Times New Roman"/>
          <w:b/>
          <w:sz w:val="24"/>
          <w:szCs w:val="24"/>
        </w:rPr>
      </w:pPr>
      <w:r w:rsidRPr="00AE37DE">
        <w:rPr>
          <w:rFonts w:ascii="Times New Roman" w:hAnsi="Times New Roman" w:cs="Times New Roman"/>
          <w:b/>
          <w:sz w:val="24"/>
          <w:szCs w:val="24"/>
        </w:rPr>
        <w:t>Abstract</w:t>
      </w:r>
    </w:p>
    <w:p w14:paraId="14810598" w14:textId="77777777" w:rsidR="00AD2D02" w:rsidRDefault="00AD2D02" w:rsidP="00AD2D02">
      <w:pPr>
        <w:spacing w:after="0" w:line="480" w:lineRule="auto"/>
        <w:ind w:left="3600" w:firstLine="720"/>
        <w:jc w:val="both"/>
        <w:rPr>
          <w:rFonts w:ascii="Times New Roman" w:hAnsi="Times New Roman" w:cs="Times New Roman"/>
          <w:sz w:val="24"/>
          <w:szCs w:val="24"/>
        </w:rPr>
      </w:pPr>
    </w:p>
    <w:p w14:paraId="4EE2CBD2" w14:textId="2FE79EFC" w:rsidR="006F4339" w:rsidRDefault="00A2201D" w:rsidP="00AD2D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paper analyses the risk-adjusted performance of Islamic and conventional equity funds during the COVID-19 pandemic</w:t>
      </w:r>
      <w:r w:rsidR="00181A9B">
        <w:rPr>
          <w:rFonts w:ascii="Times New Roman" w:hAnsi="Times New Roman" w:cs="Times New Roman"/>
          <w:sz w:val="24"/>
          <w:szCs w:val="24"/>
        </w:rPr>
        <w:t>.</w:t>
      </w:r>
      <w:r w:rsidR="001B50C5" w:rsidRPr="001B50C5">
        <w:t xml:space="preserve"> </w:t>
      </w:r>
      <w:r w:rsidR="00C17ABD">
        <w:rPr>
          <w:rFonts w:ascii="Times New Roman" w:hAnsi="Times New Roman" w:cs="Times New Roman"/>
          <w:sz w:val="24"/>
          <w:szCs w:val="24"/>
        </w:rPr>
        <w:t xml:space="preserve">We show that </w:t>
      </w:r>
      <w:r w:rsidR="00C17ABD" w:rsidRPr="001B50C5">
        <w:rPr>
          <w:rFonts w:ascii="Times New Roman" w:hAnsi="Times New Roman" w:cs="Times New Roman"/>
          <w:sz w:val="24"/>
          <w:szCs w:val="24"/>
        </w:rPr>
        <w:t>Islamic equity funds demonstrated differentials in risk-adjusted performance, investment styles, and volatility timing compared to their conventional counterparts</w:t>
      </w:r>
      <w:r w:rsidR="00C17ABD">
        <w:rPr>
          <w:rFonts w:ascii="Times New Roman" w:hAnsi="Times New Roman" w:cs="Times New Roman"/>
          <w:sz w:val="24"/>
          <w:szCs w:val="24"/>
        </w:rPr>
        <w:t xml:space="preserve">. Specifically, the results revealed that </w:t>
      </w:r>
      <w:r w:rsidR="001B50C5" w:rsidRPr="001B50C5">
        <w:rPr>
          <w:rFonts w:ascii="Times New Roman" w:hAnsi="Times New Roman" w:cs="Times New Roman"/>
          <w:sz w:val="24"/>
          <w:szCs w:val="24"/>
        </w:rPr>
        <w:t xml:space="preserve">Islamic equity funds </w:t>
      </w:r>
      <w:r w:rsidR="00C17ABD">
        <w:rPr>
          <w:rFonts w:ascii="Times New Roman" w:hAnsi="Times New Roman" w:cs="Times New Roman"/>
          <w:sz w:val="24"/>
          <w:szCs w:val="24"/>
        </w:rPr>
        <w:t xml:space="preserve">are </w:t>
      </w:r>
      <w:r w:rsidR="001B50C5" w:rsidRPr="001B50C5">
        <w:rPr>
          <w:rFonts w:ascii="Times New Roman" w:hAnsi="Times New Roman" w:cs="Times New Roman"/>
          <w:sz w:val="24"/>
          <w:szCs w:val="24"/>
        </w:rPr>
        <w:t xml:space="preserve">more resilient to </w:t>
      </w:r>
      <w:r w:rsidR="00F10D87">
        <w:rPr>
          <w:rFonts w:ascii="Times New Roman" w:hAnsi="Times New Roman" w:cs="Times New Roman"/>
          <w:sz w:val="24"/>
          <w:szCs w:val="24"/>
        </w:rPr>
        <w:t>COVID-19</w:t>
      </w:r>
      <w:r w:rsidR="001B50C5" w:rsidRPr="001B50C5">
        <w:rPr>
          <w:rFonts w:ascii="Times New Roman" w:hAnsi="Times New Roman" w:cs="Times New Roman"/>
          <w:sz w:val="24"/>
          <w:szCs w:val="24"/>
        </w:rPr>
        <w:t xml:space="preserve"> shock </w:t>
      </w:r>
      <w:r w:rsidR="00C17ABD">
        <w:rPr>
          <w:rFonts w:ascii="Times New Roman" w:hAnsi="Times New Roman" w:cs="Times New Roman"/>
          <w:sz w:val="24"/>
          <w:szCs w:val="24"/>
        </w:rPr>
        <w:t xml:space="preserve">since </w:t>
      </w:r>
      <w:r w:rsidR="001B50C5" w:rsidRPr="001B50C5">
        <w:rPr>
          <w:rFonts w:ascii="Times New Roman" w:hAnsi="Times New Roman" w:cs="Times New Roman"/>
          <w:sz w:val="24"/>
          <w:szCs w:val="24"/>
        </w:rPr>
        <w:t xml:space="preserve">they outperformed non-Islamic </w:t>
      </w:r>
      <w:r w:rsidR="006902BF">
        <w:rPr>
          <w:rFonts w:ascii="Times New Roman" w:hAnsi="Times New Roman" w:cs="Times New Roman"/>
          <w:sz w:val="24"/>
          <w:szCs w:val="24"/>
        </w:rPr>
        <w:t>peer</w:t>
      </w:r>
      <w:r w:rsidR="001B50C5" w:rsidRPr="001B50C5">
        <w:rPr>
          <w:rFonts w:ascii="Times New Roman" w:hAnsi="Times New Roman" w:cs="Times New Roman"/>
          <w:sz w:val="24"/>
          <w:szCs w:val="24"/>
        </w:rPr>
        <w:t>s during the peak months of the pandemic</w:t>
      </w:r>
      <w:r w:rsidR="00C17ABD">
        <w:rPr>
          <w:rFonts w:ascii="Times New Roman" w:hAnsi="Times New Roman" w:cs="Times New Roman"/>
          <w:sz w:val="24"/>
          <w:szCs w:val="24"/>
        </w:rPr>
        <w:t>.</w:t>
      </w:r>
      <w:r w:rsidR="006902BF">
        <w:rPr>
          <w:rFonts w:ascii="Times New Roman" w:hAnsi="Times New Roman" w:cs="Times New Roman"/>
          <w:sz w:val="24"/>
          <w:szCs w:val="24"/>
        </w:rPr>
        <w:t xml:space="preserve"> The trend continues even when the </w:t>
      </w:r>
      <w:r w:rsidR="00F35A14">
        <w:rPr>
          <w:rFonts w:ascii="Times New Roman" w:hAnsi="Times New Roman" w:cs="Times New Roman"/>
          <w:sz w:val="24"/>
          <w:szCs w:val="24"/>
        </w:rPr>
        <w:t>spread smoothens.</w:t>
      </w:r>
      <w:r w:rsidR="00C17ABD">
        <w:rPr>
          <w:rFonts w:ascii="Times New Roman" w:hAnsi="Times New Roman" w:cs="Times New Roman"/>
          <w:sz w:val="24"/>
          <w:szCs w:val="24"/>
        </w:rPr>
        <w:t xml:space="preserve"> These findings </w:t>
      </w:r>
      <w:r w:rsidR="001B50C5" w:rsidRPr="001B50C5">
        <w:rPr>
          <w:rFonts w:ascii="Times New Roman" w:hAnsi="Times New Roman" w:cs="Times New Roman"/>
          <w:sz w:val="24"/>
          <w:szCs w:val="24"/>
        </w:rPr>
        <w:t>confirm</w:t>
      </w:r>
      <w:r w:rsidR="00C17ABD">
        <w:rPr>
          <w:rFonts w:ascii="Times New Roman" w:hAnsi="Times New Roman" w:cs="Times New Roman"/>
          <w:sz w:val="24"/>
          <w:szCs w:val="24"/>
        </w:rPr>
        <w:t xml:space="preserve"> the</w:t>
      </w:r>
      <w:r w:rsidR="001B50C5" w:rsidRPr="001B50C5">
        <w:rPr>
          <w:rFonts w:ascii="Times New Roman" w:hAnsi="Times New Roman" w:cs="Times New Roman"/>
          <w:sz w:val="24"/>
          <w:szCs w:val="24"/>
        </w:rPr>
        <w:t xml:space="preserve"> safe</w:t>
      </w:r>
      <w:r w:rsidR="00F35A14">
        <w:rPr>
          <w:rFonts w:ascii="Times New Roman" w:hAnsi="Times New Roman" w:cs="Times New Roman"/>
          <w:sz w:val="24"/>
          <w:szCs w:val="24"/>
        </w:rPr>
        <w:t>-</w:t>
      </w:r>
      <w:r w:rsidR="001B50C5" w:rsidRPr="001B50C5">
        <w:rPr>
          <w:rFonts w:ascii="Times New Roman" w:hAnsi="Times New Roman" w:cs="Times New Roman"/>
          <w:sz w:val="24"/>
          <w:szCs w:val="24"/>
        </w:rPr>
        <w:t>haven properties</w:t>
      </w:r>
      <w:r w:rsidR="00C17ABD">
        <w:rPr>
          <w:rFonts w:ascii="Times New Roman" w:hAnsi="Times New Roman" w:cs="Times New Roman"/>
          <w:sz w:val="24"/>
          <w:szCs w:val="24"/>
        </w:rPr>
        <w:t xml:space="preserve"> of Islamic equity funds, which is </w:t>
      </w:r>
      <w:r w:rsidR="00F35A14">
        <w:rPr>
          <w:rFonts w:ascii="Times New Roman" w:hAnsi="Times New Roman" w:cs="Times New Roman"/>
          <w:sz w:val="24"/>
          <w:szCs w:val="24"/>
        </w:rPr>
        <w:t>help</w:t>
      </w:r>
      <w:r w:rsidR="00C17ABD">
        <w:rPr>
          <w:rFonts w:ascii="Times New Roman" w:hAnsi="Times New Roman" w:cs="Times New Roman"/>
          <w:sz w:val="24"/>
          <w:szCs w:val="24"/>
        </w:rPr>
        <w:t>ful for investors aiming to hedge pandemic risks</w:t>
      </w:r>
      <w:r w:rsidR="001B50C5" w:rsidRPr="001B50C5">
        <w:rPr>
          <w:rFonts w:ascii="Times New Roman" w:hAnsi="Times New Roman" w:cs="Times New Roman"/>
          <w:sz w:val="24"/>
          <w:szCs w:val="24"/>
        </w:rPr>
        <w:t>.</w:t>
      </w:r>
      <w:r w:rsidR="00E33512">
        <w:rPr>
          <w:rFonts w:ascii="Times New Roman" w:hAnsi="Times New Roman" w:cs="Times New Roman"/>
          <w:sz w:val="24"/>
          <w:szCs w:val="24"/>
        </w:rPr>
        <w:t xml:space="preserve"> </w:t>
      </w:r>
      <w:r w:rsidR="00507293">
        <w:rPr>
          <w:rFonts w:ascii="Times New Roman" w:hAnsi="Times New Roman" w:cs="Times New Roman"/>
          <w:sz w:val="24"/>
          <w:szCs w:val="24"/>
        </w:rPr>
        <w:t xml:space="preserve">The style analysis reveals investment drift </w:t>
      </w:r>
      <w:r w:rsidR="001B50C5">
        <w:rPr>
          <w:rFonts w:ascii="Times New Roman" w:hAnsi="Times New Roman" w:cs="Times New Roman"/>
          <w:sz w:val="24"/>
          <w:szCs w:val="24"/>
        </w:rPr>
        <w:t>from riskier styles to more prudent option</w:t>
      </w:r>
      <w:r w:rsidR="00E33512">
        <w:rPr>
          <w:rFonts w:ascii="Times New Roman" w:hAnsi="Times New Roman" w:cs="Times New Roman"/>
          <w:sz w:val="24"/>
          <w:szCs w:val="24"/>
        </w:rPr>
        <w:t>s</w:t>
      </w:r>
      <w:r w:rsidR="001B50C5">
        <w:rPr>
          <w:rFonts w:ascii="Times New Roman" w:hAnsi="Times New Roman" w:cs="Times New Roman"/>
          <w:sz w:val="24"/>
          <w:szCs w:val="24"/>
        </w:rPr>
        <w:t xml:space="preserve"> in </w:t>
      </w:r>
      <w:r w:rsidR="00507293">
        <w:rPr>
          <w:rFonts w:ascii="Times New Roman" w:hAnsi="Times New Roman" w:cs="Times New Roman"/>
          <w:sz w:val="24"/>
          <w:szCs w:val="24"/>
        </w:rPr>
        <w:t xml:space="preserve">response to </w:t>
      </w:r>
      <w:r w:rsidR="00F35A14">
        <w:rPr>
          <w:rFonts w:ascii="Times New Roman" w:hAnsi="Times New Roman" w:cs="Times New Roman"/>
          <w:sz w:val="24"/>
          <w:szCs w:val="24"/>
        </w:rPr>
        <w:t>each stage's uncertainties</w:t>
      </w:r>
      <w:r w:rsidR="00507293">
        <w:rPr>
          <w:rFonts w:ascii="Times New Roman" w:hAnsi="Times New Roman" w:cs="Times New Roman"/>
          <w:sz w:val="24"/>
          <w:szCs w:val="24"/>
        </w:rPr>
        <w:t xml:space="preserve">. </w:t>
      </w:r>
      <w:r w:rsidR="001B50C5">
        <w:rPr>
          <w:rFonts w:ascii="Times New Roman" w:hAnsi="Times New Roman" w:cs="Times New Roman"/>
          <w:sz w:val="24"/>
          <w:szCs w:val="24"/>
        </w:rPr>
        <w:t>The results suggest policymakers</w:t>
      </w:r>
      <w:r w:rsidR="00E33512">
        <w:rPr>
          <w:rFonts w:ascii="Times New Roman" w:hAnsi="Times New Roman" w:cs="Times New Roman"/>
          <w:sz w:val="24"/>
          <w:szCs w:val="24"/>
        </w:rPr>
        <w:t xml:space="preserve"> should </w:t>
      </w:r>
      <w:r w:rsidR="00C17ABD">
        <w:rPr>
          <w:rFonts w:ascii="Times New Roman" w:hAnsi="Times New Roman" w:cs="Times New Roman"/>
          <w:sz w:val="24"/>
          <w:szCs w:val="24"/>
        </w:rPr>
        <w:t xml:space="preserve">further investigate </w:t>
      </w:r>
      <w:r w:rsidR="001B50C5">
        <w:rPr>
          <w:rFonts w:ascii="Times New Roman" w:hAnsi="Times New Roman" w:cs="Times New Roman"/>
          <w:sz w:val="24"/>
          <w:szCs w:val="24"/>
        </w:rPr>
        <w:t xml:space="preserve">Islamic financial assets </w:t>
      </w:r>
      <w:r w:rsidR="00C17ABD">
        <w:rPr>
          <w:rFonts w:ascii="Times New Roman" w:hAnsi="Times New Roman" w:cs="Times New Roman"/>
          <w:sz w:val="24"/>
          <w:szCs w:val="24"/>
        </w:rPr>
        <w:t xml:space="preserve">and their underlying principles to improve the resilience of </w:t>
      </w:r>
      <w:r w:rsidR="00F35A14">
        <w:rPr>
          <w:rFonts w:ascii="Times New Roman" w:hAnsi="Times New Roman" w:cs="Times New Roman"/>
          <w:sz w:val="24"/>
          <w:szCs w:val="24"/>
        </w:rPr>
        <w:t>economic</w:t>
      </w:r>
      <w:r w:rsidR="00C17ABD">
        <w:rPr>
          <w:rFonts w:ascii="Times New Roman" w:hAnsi="Times New Roman" w:cs="Times New Roman"/>
          <w:sz w:val="24"/>
          <w:szCs w:val="24"/>
        </w:rPr>
        <w:t xml:space="preserve"> system</w:t>
      </w:r>
      <w:r w:rsidR="00E33512">
        <w:rPr>
          <w:rFonts w:ascii="Times New Roman" w:hAnsi="Times New Roman" w:cs="Times New Roman"/>
          <w:sz w:val="24"/>
          <w:szCs w:val="24"/>
        </w:rPr>
        <w:t>s</w:t>
      </w:r>
      <w:r w:rsidR="00C17ABD">
        <w:rPr>
          <w:rFonts w:ascii="Times New Roman" w:hAnsi="Times New Roman" w:cs="Times New Roman"/>
          <w:sz w:val="24"/>
          <w:szCs w:val="24"/>
        </w:rPr>
        <w:t xml:space="preserve"> </w:t>
      </w:r>
      <w:r w:rsidR="00E33512">
        <w:rPr>
          <w:rFonts w:ascii="Times New Roman" w:hAnsi="Times New Roman" w:cs="Times New Roman"/>
          <w:sz w:val="24"/>
          <w:szCs w:val="24"/>
        </w:rPr>
        <w:t>in</w:t>
      </w:r>
      <w:r w:rsidR="00C17ABD">
        <w:rPr>
          <w:rFonts w:ascii="Times New Roman" w:hAnsi="Times New Roman" w:cs="Times New Roman"/>
          <w:sz w:val="24"/>
          <w:szCs w:val="24"/>
        </w:rPr>
        <w:t xml:space="preserve"> any future black swan events.</w:t>
      </w:r>
    </w:p>
    <w:p w14:paraId="6DB211E0" w14:textId="77777777" w:rsidR="006F4339" w:rsidRDefault="006F4339" w:rsidP="00AD2D02">
      <w:pPr>
        <w:spacing w:after="0" w:line="480" w:lineRule="auto"/>
        <w:jc w:val="both"/>
        <w:rPr>
          <w:rFonts w:ascii="Times New Roman" w:hAnsi="Times New Roman" w:cs="Times New Roman"/>
          <w:sz w:val="24"/>
          <w:szCs w:val="24"/>
        </w:rPr>
      </w:pPr>
    </w:p>
    <w:p w14:paraId="6364AF5D" w14:textId="77777777" w:rsidR="006F4339" w:rsidRDefault="006F4339" w:rsidP="00AD2D02">
      <w:pPr>
        <w:spacing w:after="0" w:line="480" w:lineRule="auto"/>
        <w:jc w:val="both"/>
        <w:rPr>
          <w:rFonts w:ascii="Times New Roman" w:hAnsi="Times New Roman" w:cs="Times New Roman"/>
          <w:sz w:val="24"/>
          <w:szCs w:val="24"/>
        </w:rPr>
      </w:pPr>
    </w:p>
    <w:p w14:paraId="28A87FB1" w14:textId="77777777" w:rsidR="006F4339" w:rsidRDefault="006F4339" w:rsidP="00AD2D02">
      <w:pPr>
        <w:spacing w:after="0" w:line="480" w:lineRule="auto"/>
        <w:jc w:val="both"/>
        <w:rPr>
          <w:rFonts w:ascii="Times New Roman" w:hAnsi="Times New Roman" w:cs="Times New Roman"/>
          <w:sz w:val="24"/>
          <w:szCs w:val="24"/>
        </w:rPr>
      </w:pPr>
    </w:p>
    <w:p w14:paraId="63377B45" w14:textId="77777777" w:rsidR="006F4339" w:rsidRDefault="006F4339" w:rsidP="00AD2D02">
      <w:pPr>
        <w:spacing w:after="0" w:line="480" w:lineRule="auto"/>
        <w:jc w:val="both"/>
        <w:rPr>
          <w:rFonts w:ascii="Times New Roman" w:hAnsi="Times New Roman" w:cs="Times New Roman"/>
          <w:sz w:val="24"/>
          <w:szCs w:val="24"/>
        </w:rPr>
      </w:pPr>
    </w:p>
    <w:p w14:paraId="11160604" w14:textId="77777777" w:rsidR="006F4339" w:rsidRDefault="006F4339" w:rsidP="00AD2D02">
      <w:pPr>
        <w:spacing w:after="0" w:line="480" w:lineRule="auto"/>
        <w:jc w:val="both"/>
        <w:rPr>
          <w:rFonts w:ascii="Times New Roman" w:hAnsi="Times New Roman" w:cs="Times New Roman"/>
          <w:sz w:val="24"/>
          <w:szCs w:val="24"/>
        </w:rPr>
      </w:pPr>
    </w:p>
    <w:p w14:paraId="14F18559" w14:textId="58D53E47" w:rsidR="006812D0" w:rsidRDefault="006812D0" w:rsidP="00AD2D02">
      <w:pPr>
        <w:spacing w:after="0" w:line="480" w:lineRule="auto"/>
        <w:jc w:val="both"/>
        <w:rPr>
          <w:rFonts w:ascii="Times New Roman" w:hAnsi="Times New Roman" w:cs="Times New Roman"/>
          <w:sz w:val="24"/>
          <w:szCs w:val="24"/>
        </w:rPr>
      </w:pPr>
      <w:r w:rsidRPr="00A51006">
        <w:rPr>
          <w:rFonts w:ascii="Times New Roman" w:hAnsi="Times New Roman" w:cs="Times New Roman"/>
          <w:b/>
          <w:sz w:val="24"/>
          <w:szCs w:val="24"/>
        </w:rPr>
        <w:t>Keywords:</w:t>
      </w:r>
      <w:r>
        <w:rPr>
          <w:rFonts w:ascii="Times New Roman" w:hAnsi="Times New Roman" w:cs="Times New Roman"/>
          <w:sz w:val="24"/>
          <w:szCs w:val="24"/>
        </w:rPr>
        <w:t xml:space="preserve"> </w:t>
      </w:r>
      <w:r w:rsidR="006528E4">
        <w:rPr>
          <w:rFonts w:ascii="Times New Roman" w:hAnsi="Times New Roman" w:cs="Times New Roman"/>
          <w:sz w:val="24"/>
          <w:szCs w:val="24"/>
        </w:rPr>
        <w:t>COVID-19</w:t>
      </w:r>
      <w:r>
        <w:rPr>
          <w:rFonts w:ascii="Times New Roman" w:hAnsi="Times New Roman" w:cs="Times New Roman"/>
          <w:sz w:val="24"/>
          <w:szCs w:val="24"/>
        </w:rPr>
        <w:t>, Islamic equity funds, Style Analysis, Volatility Timing</w:t>
      </w:r>
      <w:r w:rsidR="00C17ABD">
        <w:rPr>
          <w:rFonts w:ascii="Times New Roman" w:hAnsi="Times New Roman" w:cs="Times New Roman"/>
          <w:sz w:val="24"/>
          <w:szCs w:val="24"/>
        </w:rPr>
        <w:t>, Resilience.</w:t>
      </w:r>
    </w:p>
    <w:p w14:paraId="10955C29" w14:textId="77777777" w:rsidR="00AD2D02" w:rsidRPr="0006721E" w:rsidRDefault="006812D0" w:rsidP="00AD2D02">
      <w:pPr>
        <w:spacing w:after="0" w:line="480" w:lineRule="auto"/>
        <w:jc w:val="both"/>
        <w:rPr>
          <w:rFonts w:ascii="Times New Roman" w:hAnsi="Times New Roman" w:cs="Times New Roman"/>
          <w:sz w:val="24"/>
          <w:szCs w:val="24"/>
        </w:rPr>
      </w:pPr>
      <w:r w:rsidRPr="00A51006">
        <w:rPr>
          <w:rFonts w:ascii="Times New Roman" w:hAnsi="Times New Roman" w:cs="Times New Roman"/>
          <w:b/>
          <w:sz w:val="24"/>
          <w:szCs w:val="24"/>
        </w:rPr>
        <w:t>JEL Classifications:</w:t>
      </w:r>
      <w:r>
        <w:rPr>
          <w:rFonts w:ascii="Times New Roman" w:hAnsi="Times New Roman" w:cs="Times New Roman"/>
          <w:sz w:val="24"/>
          <w:szCs w:val="24"/>
        </w:rPr>
        <w:t xml:space="preserve"> </w:t>
      </w:r>
      <w:r w:rsidR="003D549F" w:rsidRPr="000D2648">
        <w:rPr>
          <w:rFonts w:ascii="Times New Roman" w:hAnsi="Times New Roman" w:cs="Times New Roman"/>
          <w:sz w:val="24"/>
          <w:szCs w:val="24"/>
        </w:rPr>
        <w:t>G10, G11, G14</w:t>
      </w:r>
      <w:r>
        <w:rPr>
          <w:rFonts w:ascii="Times New Roman" w:hAnsi="Times New Roman" w:cs="Times New Roman"/>
          <w:sz w:val="24"/>
          <w:szCs w:val="24"/>
        </w:rPr>
        <w:t xml:space="preserve">  </w:t>
      </w:r>
      <w:r w:rsidR="00D76843">
        <w:rPr>
          <w:rFonts w:ascii="Times New Roman" w:hAnsi="Times New Roman" w:cs="Times New Roman"/>
          <w:sz w:val="24"/>
          <w:szCs w:val="24"/>
        </w:rPr>
        <w:t xml:space="preserve"> </w:t>
      </w:r>
      <w:r w:rsidR="00613256">
        <w:rPr>
          <w:rFonts w:ascii="Times New Roman" w:hAnsi="Times New Roman" w:cs="Times New Roman"/>
          <w:sz w:val="24"/>
          <w:szCs w:val="24"/>
        </w:rPr>
        <w:t xml:space="preserve">  </w:t>
      </w:r>
      <w:r w:rsidR="00136F15">
        <w:rPr>
          <w:rFonts w:ascii="Times New Roman" w:hAnsi="Times New Roman" w:cs="Times New Roman"/>
          <w:sz w:val="24"/>
          <w:szCs w:val="24"/>
        </w:rPr>
        <w:t xml:space="preserve"> </w:t>
      </w:r>
      <w:r w:rsidR="00AE37DE">
        <w:rPr>
          <w:rFonts w:ascii="Times New Roman" w:hAnsi="Times New Roman" w:cs="Times New Roman"/>
          <w:sz w:val="24"/>
          <w:szCs w:val="24"/>
        </w:rPr>
        <w:t xml:space="preserve"> </w:t>
      </w:r>
      <w:r w:rsidR="00AD2D02">
        <w:rPr>
          <w:rFonts w:ascii="Times New Roman" w:hAnsi="Times New Roman" w:cs="Times New Roman"/>
          <w:sz w:val="24"/>
          <w:szCs w:val="24"/>
        </w:rPr>
        <w:t xml:space="preserve"> </w:t>
      </w:r>
    </w:p>
    <w:p w14:paraId="4CFD468B" w14:textId="77777777" w:rsidR="00AD2D02" w:rsidRDefault="00AD2D02">
      <w:pPr>
        <w:rPr>
          <w:rFonts w:ascii="Times New Roman" w:hAnsi="Times New Roman" w:cs="Times New Roman"/>
          <w:b/>
          <w:sz w:val="24"/>
          <w:szCs w:val="24"/>
        </w:rPr>
      </w:pPr>
      <w:r>
        <w:rPr>
          <w:rFonts w:ascii="Times New Roman" w:hAnsi="Times New Roman" w:cs="Times New Roman"/>
          <w:b/>
          <w:sz w:val="24"/>
          <w:szCs w:val="24"/>
        </w:rPr>
        <w:br w:type="page"/>
      </w:r>
    </w:p>
    <w:p w14:paraId="2B881E6F" w14:textId="77777777" w:rsidR="00EF7A34" w:rsidRPr="0006721E" w:rsidRDefault="00A25E22" w:rsidP="002307D5">
      <w:pPr>
        <w:spacing w:after="0" w:line="480" w:lineRule="auto"/>
        <w:jc w:val="both"/>
        <w:rPr>
          <w:rFonts w:ascii="Times New Roman" w:hAnsi="Times New Roman" w:cs="Times New Roman"/>
          <w:b/>
          <w:sz w:val="24"/>
          <w:szCs w:val="24"/>
        </w:rPr>
      </w:pPr>
      <w:r w:rsidRPr="0006721E">
        <w:rPr>
          <w:rFonts w:ascii="Times New Roman" w:hAnsi="Times New Roman" w:cs="Times New Roman"/>
          <w:b/>
          <w:sz w:val="24"/>
          <w:szCs w:val="24"/>
        </w:rPr>
        <w:lastRenderedPageBreak/>
        <w:t>1.</w:t>
      </w:r>
      <w:r w:rsidRPr="0006721E">
        <w:rPr>
          <w:rFonts w:ascii="Times New Roman" w:hAnsi="Times New Roman" w:cs="Times New Roman"/>
          <w:b/>
          <w:sz w:val="24"/>
          <w:szCs w:val="24"/>
        </w:rPr>
        <w:tab/>
        <w:t>Introduction</w:t>
      </w:r>
    </w:p>
    <w:p w14:paraId="20045D4C" w14:textId="1CC41AAF" w:rsidR="00BE1BE7" w:rsidRDefault="008A44AB" w:rsidP="00B016B8">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ab/>
      </w:r>
      <w:r w:rsidR="00B016B8" w:rsidRPr="0006721E">
        <w:rPr>
          <w:rFonts w:ascii="Times New Roman" w:hAnsi="Times New Roman" w:cs="Times New Roman"/>
          <w:sz w:val="24"/>
          <w:szCs w:val="24"/>
        </w:rPr>
        <w:t>The Coronavirus pandemic</w:t>
      </w:r>
      <w:r w:rsidR="00C810A5" w:rsidRPr="0006721E">
        <w:rPr>
          <w:rFonts w:ascii="Times New Roman" w:hAnsi="Times New Roman" w:cs="Times New Roman"/>
          <w:sz w:val="24"/>
          <w:szCs w:val="24"/>
        </w:rPr>
        <w:t xml:space="preserve"> (</w:t>
      </w:r>
      <w:r w:rsidR="00BE1BE7" w:rsidRPr="0006721E">
        <w:rPr>
          <w:rFonts w:ascii="Times New Roman" w:hAnsi="Times New Roman" w:cs="Times New Roman"/>
          <w:sz w:val="24"/>
          <w:szCs w:val="24"/>
        </w:rPr>
        <w:t>C</w:t>
      </w:r>
      <w:r w:rsidR="00BE1BE7">
        <w:rPr>
          <w:rFonts w:ascii="Times New Roman" w:hAnsi="Times New Roman" w:cs="Times New Roman"/>
          <w:sz w:val="24"/>
          <w:szCs w:val="24"/>
        </w:rPr>
        <w:t>OVID</w:t>
      </w:r>
      <w:r w:rsidR="000A6DD8">
        <w:rPr>
          <w:rFonts w:ascii="Times New Roman" w:hAnsi="Times New Roman" w:cs="Times New Roman"/>
          <w:sz w:val="24"/>
          <w:szCs w:val="24"/>
        </w:rPr>
        <w:t>-</w:t>
      </w:r>
      <w:r w:rsidR="00C810A5" w:rsidRPr="0006721E">
        <w:rPr>
          <w:rFonts w:ascii="Times New Roman" w:hAnsi="Times New Roman" w:cs="Times New Roman"/>
          <w:sz w:val="24"/>
          <w:szCs w:val="24"/>
        </w:rPr>
        <w:t>19)</w:t>
      </w:r>
      <w:r w:rsidR="00F85709">
        <w:rPr>
          <w:rFonts w:ascii="Times New Roman" w:hAnsi="Times New Roman" w:cs="Times New Roman"/>
          <w:sz w:val="24"/>
          <w:szCs w:val="24"/>
        </w:rPr>
        <w:t xml:space="preserve"> is </w:t>
      </w:r>
      <w:r w:rsidR="00B016B8" w:rsidRPr="0006721E">
        <w:rPr>
          <w:rFonts w:ascii="Times New Roman" w:hAnsi="Times New Roman" w:cs="Times New Roman"/>
          <w:sz w:val="24"/>
          <w:szCs w:val="24"/>
        </w:rPr>
        <w:t xml:space="preserve">a global health and societal emergency </w:t>
      </w:r>
      <w:r w:rsidR="005F610E">
        <w:rPr>
          <w:rFonts w:ascii="Times New Roman" w:hAnsi="Times New Roman" w:cs="Times New Roman"/>
          <w:sz w:val="24"/>
          <w:szCs w:val="24"/>
        </w:rPr>
        <w:t xml:space="preserve">that </w:t>
      </w:r>
      <w:r w:rsidR="00BE1BE7">
        <w:rPr>
          <w:rFonts w:ascii="Times New Roman" w:hAnsi="Times New Roman" w:cs="Times New Roman"/>
          <w:sz w:val="24"/>
          <w:szCs w:val="24"/>
        </w:rPr>
        <w:t>had</w:t>
      </w:r>
      <w:r w:rsidR="005F610E">
        <w:rPr>
          <w:rFonts w:ascii="Times New Roman" w:hAnsi="Times New Roman" w:cs="Times New Roman"/>
          <w:sz w:val="24"/>
          <w:szCs w:val="24"/>
        </w:rPr>
        <w:t xml:space="preserve"> </w:t>
      </w:r>
      <w:r w:rsidR="00BE1BE7">
        <w:rPr>
          <w:rFonts w:ascii="Times New Roman" w:hAnsi="Times New Roman" w:cs="Times New Roman"/>
          <w:sz w:val="24"/>
          <w:szCs w:val="24"/>
        </w:rPr>
        <w:t>devastating</w:t>
      </w:r>
      <w:r w:rsidR="00A64A0D">
        <w:rPr>
          <w:rFonts w:ascii="Times New Roman" w:hAnsi="Times New Roman" w:cs="Times New Roman"/>
          <w:sz w:val="24"/>
          <w:szCs w:val="24"/>
        </w:rPr>
        <w:t xml:space="preserve"> effect</w:t>
      </w:r>
      <w:r w:rsidR="005F610E">
        <w:rPr>
          <w:rFonts w:ascii="Times New Roman" w:hAnsi="Times New Roman" w:cs="Times New Roman"/>
          <w:sz w:val="24"/>
          <w:szCs w:val="24"/>
        </w:rPr>
        <w:t>s</w:t>
      </w:r>
      <w:r w:rsidR="00A64A0D">
        <w:rPr>
          <w:rFonts w:ascii="Times New Roman" w:hAnsi="Times New Roman" w:cs="Times New Roman"/>
          <w:sz w:val="24"/>
          <w:szCs w:val="24"/>
        </w:rPr>
        <w:t xml:space="preserve"> on business and finance worldwide</w:t>
      </w:r>
      <w:r w:rsidR="00B016B8" w:rsidRPr="0006721E">
        <w:rPr>
          <w:rFonts w:ascii="Times New Roman" w:hAnsi="Times New Roman" w:cs="Times New Roman"/>
          <w:sz w:val="24"/>
          <w:szCs w:val="24"/>
        </w:rPr>
        <w:t xml:space="preserve">. The </w:t>
      </w:r>
      <w:r w:rsidR="00BE1BE7">
        <w:rPr>
          <w:rFonts w:ascii="Times New Roman" w:hAnsi="Times New Roman" w:cs="Times New Roman"/>
          <w:sz w:val="24"/>
          <w:szCs w:val="24"/>
        </w:rPr>
        <w:t>COVID-19</w:t>
      </w:r>
      <w:r w:rsidR="00B016B8" w:rsidRPr="0006721E">
        <w:rPr>
          <w:rFonts w:ascii="Times New Roman" w:hAnsi="Times New Roman" w:cs="Times New Roman"/>
          <w:sz w:val="24"/>
          <w:szCs w:val="24"/>
        </w:rPr>
        <w:t xml:space="preserve"> crisis </w:t>
      </w:r>
      <w:r w:rsidR="00B53058">
        <w:rPr>
          <w:rFonts w:ascii="Times New Roman" w:hAnsi="Times New Roman" w:cs="Times New Roman"/>
          <w:sz w:val="24"/>
          <w:szCs w:val="24"/>
        </w:rPr>
        <w:t>has</w:t>
      </w:r>
      <w:r w:rsidR="00B016B8" w:rsidRPr="0006721E">
        <w:rPr>
          <w:rFonts w:ascii="Times New Roman" w:hAnsi="Times New Roman" w:cs="Times New Roman"/>
          <w:sz w:val="24"/>
          <w:szCs w:val="24"/>
        </w:rPr>
        <w:t xml:space="preserve"> economic </w:t>
      </w:r>
      <w:r w:rsidR="00B53058">
        <w:rPr>
          <w:rFonts w:ascii="Times New Roman" w:hAnsi="Times New Roman" w:cs="Times New Roman"/>
          <w:sz w:val="24"/>
          <w:szCs w:val="24"/>
        </w:rPr>
        <w:t>consequences</w:t>
      </w:r>
      <w:r w:rsidR="00BE1BE7">
        <w:rPr>
          <w:rFonts w:ascii="Times New Roman" w:hAnsi="Times New Roman" w:cs="Times New Roman"/>
          <w:sz w:val="24"/>
          <w:szCs w:val="24"/>
        </w:rPr>
        <w:t xml:space="preserve"> comparable with the Great </w:t>
      </w:r>
      <w:r w:rsidR="00532EA1">
        <w:rPr>
          <w:rFonts w:ascii="Times New Roman" w:hAnsi="Times New Roman" w:cs="Times New Roman"/>
          <w:sz w:val="24"/>
          <w:szCs w:val="24"/>
        </w:rPr>
        <w:t>Depression</w:t>
      </w:r>
      <w:r w:rsidR="00BE1BE7">
        <w:rPr>
          <w:rFonts w:ascii="Times New Roman" w:hAnsi="Times New Roman" w:cs="Times New Roman"/>
          <w:sz w:val="24"/>
          <w:szCs w:val="24"/>
        </w:rPr>
        <w:t xml:space="preserve"> and the Global Financial</w:t>
      </w:r>
      <w:r w:rsidR="00E80DC1">
        <w:rPr>
          <w:rFonts w:ascii="Times New Roman" w:hAnsi="Times New Roman" w:cs="Times New Roman"/>
          <w:sz w:val="24"/>
          <w:szCs w:val="24"/>
        </w:rPr>
        <w:t xml:space="preserve"> crisis</w:t>
      </w:r>
      <w:r w:rsidR="00BE1BE7">
        <w:rPr>
          <w:rFonts w:ascii="Times New Roman" w:hAnsi="Times New Roman" w:cs="Times New Roman"/>
          <w:sz w:val="24"/>
          <w:szCs w:val="24"/>
        </w:rPr>
        <w:t xml:space="preserve">. For a rapidly growing </w:t>
      </w:r>
      <w:r w:rsidR="00B016B8" w:rsidRPr="0006721E">
        <w:rPr>
          <w:rFonts w:ascii="Times New Roman" w:hAnsi="Times New Roman" w:cs="Times New Roman"/>
          <w:sz w:val="24"/>
          <w:szCs w:val="24"/>
        </w:rPr>
        <w:t>$2.4 trillion</w:t>
      </w:r>
      <w:r w:rsidR="00BE1BE7">
        <w:rPr>
          <w:rFonts w:ascii="Times New Roman" w:hAnsi="Times New Roman" w:cs="Times New Roman"/>
          <w:sz w:val="24"/>
          <w:szCs w:val="24"/>
        </w:rPr>
        <w:t xml:space="preserve"> Islamic Financial industry that currently involve</w:t>
      </w:r>
      <w:r w:rsidR="00B56323">
        <w:rPr>
          <w:rFonts w:ascii="Times New Roman" w:hAnsi="Times New Roman" w:cs="Times New Roman"/>
          <w:sz w:val="24"/>
          <w:szCs w:val="24"/>
        </w:rPr>
        <w:t>s</w:t>
      </w:r>
      <w:r w:rsidR="00BE1BE7">
        <w:rPr>
          <w:rFonts w:ascii="Times New Roman" w:hAnsi="Times New Roman" w:cs="Times New Roman"/>
          <w:sz w:val="24"/>
          <w:szCs w:val="24"/>
        </w:rPr>
        <w:t xml:space="preserve"> around</w:t>
      </w:r>
      <w:r w:rsidR="00B016B8" w:rsidRPr="0006721E">
        <w:rPr>
          <w:rFonts w:ascii="Times New Roman" w:hAnsi="Times New Roman" w:cs="Times New Roman"/>
          <w:sz w:val="24"/>
          <w:szCs w:val="24"/>
        </w:rPr>
        <w:t xml:space="preserve"> 1,400 institutions spread</w:t>
      </w:r>
      <w:r w:rsidR="00BE1BE7">
        <w:rPr>
          <w:rFonts w:ascii="Times New Roman" w:hAnsi="Times New Roman" w:cs="Times New Roman"/>
          <w:sz w:val="24"/>
          <w:szCs w:val="24"/>
        </w:rPr>
        <w:t>ing</w:t>
      </w:r>
      <w:r w:rsidR="00B016B8" w:rsidRPr="0006721E">
        <w:rPr>
          <w:rFonts w:ascii="Times New Roman" w:hAnsi="Times New Roman" w:cs="Times New Roman"/>
          <w:sz w:val="24"/>
          <w:szCs w:val="24"/>
        </w:rPr>
        <w:t xml:space="preserve"> across 80 countries</w:t>
      </w:r>
      <w:r w:rsidR="00BE1BE7">
        <w:rPr>
          <w:rFonts w:ascii="Times New Roman" w:hAnsi="Times New Roman" w:cs="Times New Roman"/>
          <w:sz w:val="24"/>
          <w:szCs w:val="24"/>
        </w:rPr>
        <w:t xml:space="preserve">, </w:t>
      </w:r>
      <w:r w:rsidR="00E80DC1">
        <w:rPr>
          <w:rFonts w:ascii="Times New Roman" w:hAnsi="Times New Roman" w:cs="Times New Roman"/>
          <w:sz w:val="24"/>
          <w:szCs w:val="24"/>
        </w:rPr>
        <w:t xml:space="preserve">the </w:t>
      </w:r>
      <w:r w:rsidR="005E6B2A">
        <w:rPr>
          <w:rFonts w:ascii="Times New Roman" w:hAnsi="Times New Roman" w:cs="Times New Roman"/>
          <w:sz w:val="24"/>
          <w:szCs w:val="24"/>
        </w:rPr>
        <w:t>outbreak's impact</w:t>
      </w:r>
      <w:r w:rsidR="00E80DC1">
        <w:rPr>
          <w:rFonts w:ascii="Times New Roman" w:hAnsi="Times New Roman" w:cs="Times New Roman"/>
          <w:sz w:val="24"/>
          <w:szCs w:val="24"/>
        </w:rPr>
        <w:t xml:space="preserve"> is </w:t>
      </w:r>
      <w:r w:rsidR="005E6B2A">
        <w:rPr>
          <w:rFonts w:ascii="Times New Roman" w:hAnsi="Times New Roman" w:cs="Times New Roman"/>
          <w:sz w:val="24"/>
          <w:szCs w:val="24"/>
        </w:rPr>
        <w:t>not negligible</w:t>
      </w:r>
      <w:r w:rsidR="00BE1BE7">
        <w:rPr>
          <w:rFonts w:ascii="Times New Roman" w:hAnsi="Times New Roman" w:cs="Times New Roman"/>
          <w:sz w:val="24"/>
          <w:szCs w:val="24"/>
        </w:rPr>
        <w:t>. On</w:t>
      </w:r>
      <w:r w:rsidR="005E6B2A">
        <w:rPr>
          <w:rFonts w:ascii="Times New Roman" w:hAnsi="Times New Roman" w:cs="Times New Roman"/>
          <w:sz w:val="24"/>
          <w:szCs w:val="24"/>
        </w:rPr>
        <w:t xml:space="preserve"> the</w:t>
      </w:r>
      <w:r w:rsidR="00BE1BE7">
        <w:rPr>
          <w:rFonts w:ascii="Times New Roman" w:hAnsi="Times New Roman" w:cs="Times New Roman"/>
          <w:sz w:val="24"/>
          <w:szCs w:val="24"/>
        </w:rPr>
        <w:t xml:space="preserve"> one ha</w:t>
      </w:r>
      <w:r w:rsidR="00125C57">
        <w:rPr>
          <w:rFonts w:ascii="Times New Roman" w:hAnsi="Times New Roman" w:cs="Times New Roman"/>
          <w:sz w:val="24"/>
          <w:szCs w:val="24"/>
        </w:rPr>
        <w:t>n</w:t>
      </w:r>
      <w:r w:rsidR="00BE1BE7">
        <w:rPr>
          <w:rFonts w:ascii="Times New Roman" w:hAnsi="Times New Roman" w:cs="Times New Roman"/>
          <w:sz w:val="24"/>
          <w:szCs w:val="24"/>
        </w:rPr>
        <w:t xml:space="preserve">d, </w:t>
      </w:r>
      <w:r w:rsidR="008D491A">
        <w:rPr>
          <w:rFonts w:ascii="Times New Roman" w:hAnsi="Times New Roman" w:cs="Times New Roman"/>
          <w:sz w:val="24"/>
          <w:szCs w:val="24"/>
        </w:rPr>
        <w:t>some</w:t>
      </w:r>
      <w:r w:rsidR="00BE1BE7">
        <w:rPr>
          <w:rFonts w:ascii="Times New Roman" w:hAnsi="Times New Roman" w:cs="Times New Roman"/>
          <w:sz w:val="24"/>
          <w:szCs w:val="24"/>
        </w:rPr>
        <w:t xml:space="preserve"> Islamic financial markets</w:t>
      </w:r>
      <w:r w:rsidR="008D491A">
        <w:rPr>
          <w:rFonts w:ascii="Times New Roman" w:hAnsi="Times New Roman" w:cs="Times New Roman"/>
          <w:sz w:val="24"/>
          <w:szCs w:val="24"/>
        </w:rPr>
        <w:t xml:space="preserve"> and </w:t>
      </w:r>
      <w:r w:rsidR="00532EA1">
        <w:rPr>
          <w:rFonts w:ascii="Times New Roman" w:hAnsi="Times New Roman" w:cs="Times New Roman"/>
          <w:sz w:val="24"/>
          <w:szCs w:val="24"/>
        </w:rPr>
        <w:t>instruments</w:t>
      </w:r>
      <w:r w:rsidR="00BE1BE7">
        <w:rPr>
          <w:rFonts w:ascii="Times New Roman" w:hAnsi="Times New Roman" w:cs="Times New Roman"/>
          <w:sz w:val="24"/>
          <w:szCs w:val="24"/>
        </w:rPr>
        <w:t xml:space="preserve"> demonstrated </w:t>
      </w:r>
      <w:proofErr w:type="gramStart"/>
      <w:r w:rsidR="00BE1BE7">
        <w:rPr>
          <w:rFonts w:ascii="Times New Roman" w:hAnsi="Times New Roman" w:cs="Times New Roman"/>
          <w:sz w:val="24"/>
          <w:szCs w:val="24"/>
        </w:rPr>
        <w:t>safe haven</w:t>
      </w:r>
      <w:proofErr w:type="gramEnd"/>
      <w:r w:rsidR="00BE1BE7">
        <w:rPr>
          <w:rFonts w:ascii="Times New Roman" w:hAnsi="Times New Roman" w:cs="Times New Roman"/>
          <w:sz w:val="24"/>
          <w:szCs w:val="24"/>
        </w:rPr>
        <w:t xml:space="preserve"> properties during the previous </w:t>
      </w:r>
      <w:r w:rsidR="00BE1BE7" w:rsidRPr="004B3DBE">
        <w:rPr>
          <w:rFonts w:ascii="Times New Roman" w:hAnsi="Times New Roman" w:cs="Times New Roman"/>
          <w:sz w:val="24"/>
          <w:szCs w:val="24"/>
        </w:rPr>
        <w:t>crises (e.g.</w:t>
      </w:r>
      <w:r w:rsidR="00765AA2" w:rsidRPr="004B3DBE">
        <w:rPr>
          <w:rFonts w:ascii="Times New Roman" w:hAnsi="Times New Roman" w:cs="Times New Roman"/>
          <w:sz w:val="24"/>
          <w:szCs w:val="24"/>
        </w:rPr>
        <w:t xml:space="preserve">, Hkiri et al., 2017; </w:t>
      </w:r>
      <w:proofErr w:type="spellStart"/>
      <w:r w:rsidR="00765AA2" w:rsidRPr="004B3DBE">
        <w:rPr>
          <w:rFonts w:ascii="Times New Roman" w:hAnsi="Times New Roman" w:cs="Times New Roman"/>
          <w:sz w:val="24"/>
          <w:szCs w:val="24"/>
        </w:rPr>
        <w:t>Foglie</w:t>
      </w:r>
      <w:proofErr w:type="spellEnd"/>
      <w:r w:rsidR="00765AA2" w:rsidRPr="004B3DBE">
        <w:rPr>
          <w:rFonts w:ascii="Times New Roman" w:hAnsi="Times New Roman" w:cs="Times New Roman"/>
          <w:sz w:val="24"/>
          <w:szCs w:val="24"/>
        </w:rPr>
        <w:t xml:space="preserve"> </w:t>
      </w:r>
      <w:r w:rsidR="00F10D87">
        <w:rPr>
          <w:rFonts w:ascii="Times New Roman" w:hAnsi="Times New Roman" w:cs="Times New Roman"/>
          <w:sz w:val="24"/>
          <w:szCs w:val="24"/>
        </w:rPr>
        <w:t xml:space="preserve">&amp; </w:t>
      </w:r>
      <w:r w:rsidR="00765AA2" w:rsidRPr="004B3DBE">
        <w:rPr>
          <w:rFonts w:ascii="Times New Roman" w:hAnsi="Times New Roman" w:cs="Times New Roman"/>
          <w:sz w:val="24"/>
          <w:szCs w:val="24"/>
        </w:rPr>
        <w:t>Panetta, 2020</w:t>
      </w:r>
      <w:r w:rsidR="00BE1BE7" w:rsidRPr="004B3DBE">
        <w:rPr>
          <w:rFonts w:ascii="Times New Roman" w:hAnsi="Times New Roman" w:cs="Times New Roman"/>
          <w:sz w:val="24"/>
          <w:szCs w:val="24"/>
        </w:rPr>
        <w:t>)</w:t>
      </w:r>
      <w:r w:rsidR="00182C06">
        <w:rPr>
          <w:rFonts w:ascii="Times New Roman" w:hAnsi="Times New Roman" w:cs="Times New Roman"/>
          <w:sz w:val="24"/>
          <w:szCs w:val="24"/>
        </w:rPr>
        <w:t>. O</w:t>
      </w:r>
      <w:r w:rsidR="00BE1BE7" w:rsidRPr="004B3DBE">
        <w:rPr>
          <w:rFonts w:ascii="Times New Roman" w:hAnsi="Times New Roman" w:cs="Times New Roman"/>
          <w:sz w:val="24"/>
          <w:szCs w:val="24"/>
        </w:rPr>
        <w:t xml:space="preserve">n the </w:t>
      </w:r>
      <w:r w:rsidR="00666C4C">
        <w:rPr>
          <w:rFonts w:ascii="Times New Roman" w:hAnsi="Times New Roman" w:cs="Times New Roman"/>
          <w:sz w:val="24"/>
          <w:szCs w:val="24"/>
        </w:rPr>
        <w:t>flip side</w:t>
      </w:r>
      <w:r w:rsidR="00BE1BE7" w:rsidRPr="004B3DBE">
        <w:rPr>
          <w:rFonts w:ascii="Times New Roman" w:hAnsi="Times New Roman" w:cs="Times New Roman"/>
          <w:sz w:val="24"/>
          <w:szCs w:val="24"/>
        </w:rPr>
        <w:t>, the early evidence from the COVID-19 pandemic show</w:t>
      </w:r>
      <w:r w:rsidR="00182C06">
        <w:rPr>
          <w:rFonts w:ascii="Times New Roman" w:hAnsi="Times New Roman" w:cs="Times New Roman"/>
          <w:sz w:val="24"/>
          <w:szCs w:val="24"/>
        </w:rPr>
        <w:t>s</w:t>
      </w:r>
      <w:r w:rsidR="00BE1BE7" w:rsidRPr="004B3DBE">
        <w:rPr>
          <w:rFonts w:ascii="Times New Roman" w:hAnsi="Times New Roman" w:cs="Times New Roman"/>
          <w:sz w:val="24"/>
          <w:szCs w:val="24"/>
        </w:rPr>
        <w:t xml:space="preserve"> that Islamic </w:t>
      </w:r>
      <w:r w:rsidR="00765AA2" w:rsidRPr="004B3DBE">
        <w:rPr>
          <w:rFonts w:ascii="Times New Roman" w:hAnsi="Times New Roman" w:cs="Times New Roman"/>
          <w:sz w:val="24"/>
          <w:szCs w:val="24"/>
        </w:rPr>
        <w:t>equity</w:t>
      </w:r>
      <w:r w:rsidR="00BE1BE7" w:rsidRPr="004B3DBE">
        <w:rPr>
          <w:rFonts w:ascii="Times New Roman" w:hAnsi="Times New Roman" w:cs="Times New Roman"/>
          <w:sz w:val="24"/>
          <w:szCs w:val="24"/>
        </w:rPr>
        <w:t xml:space="preserve"> markets have not been </w:t>
      </w:r>
      <w:r w:rsidR="00182C06">
        <w:rPr>
          <w:rFonts w:ascii="Times New Roman" w:hAnsi="Times New Roman" w:cs="Times New Roman"/>
          <w:sz w:val="24"/>
          <w:szCs w:val="24"/>
        </w:rPr>
        <w:t>entir</w:t>
      </w:r>
      <w:r w:rsidR="008D491A" w:rsidRPr="004B3DBE">
        <w:rPr>
          <w:rFonts w:ascii="Times New Roman" w:hAnsi="Times New Roman" w:cs="Times New Roman"/>
          <w:sz w:val="24"/>
          <w:szCs w:val="24"/>
        </w:rPr>
        <w:t xml:space="preserve">ely </w:t>
      </w:r>
      <w:r w:rsidR="00532EA1" w:rsidRPr="004B3DBE">
        <w:rPr>
          <w:rFonts w:ascii="Times New Roman" w:hAnsi="Times New Roman" w:cs="Times New Roman"/>
          <w:sz w:val="24"/>
          <w:szCs w:val="24"/>
        </w:rPr>
        <w:t>immune</w:t>
      </w:r>
      <w:r w:rsidR="00BE1BE7" w:rsidRPr="004B3DBE">
        <w:rPr>
          <w:rFonts w:ascii="Times New Roman" w:hAnsi="Times New Roman" w:cs="Times New Roman"/>
          <w:sz w:val="24"/>
          <w:szCs w:val="24"/>
        </w:rPr>
        <w:t xml:space="preserve"> </w:t>
      </w:r>
      <w:r w:rsidR="00125C57" w:rsidRPr="004B3DBE">
        <w:rPr>
          <w:rFonts w:ascii="Times New Roman" w:hAnsi="Times New Roman" w:cs="Times New Roman"/>
          <w:sz w:val="24"/>
          <w:szCs w:val="24"/>
        </w:rPr>
        <w:t>from</w:t>
      </w:r>
      <w:r w:rsidR="00BE1BE7" w:rsidRPr="004B3DBE">
        <w:rPr>
          <w:rFonts w:ascii="Times New Roman" w:hAnsi="Times New Roman" w:cs="Times New Roman"/>
          <w:sz w:val="24"/>
          <w:szCs w:val="24"/>
        </w:rPr>
        <w:t xml:space="preserve"> this contagious shock (e.g.</w:t>
      </w:r>
      <w:r w:rsidR="00765AA2" w:rsidRPr="004B3DBE">
        <w:rPr>
          <w:rFonts w:ascii="Times New Roman" w:hAnsi="Times New Roman" w:cs="Times New Roman"/>
          <w:sz w:val="24"/>
          <w:szCs w:val="24"/>
        </w:rPr>
        <w:t>, Yarovaya et al.</w:t>
      </w:r>
      <w:r w:rsidR="00F10D87">
        <w:rPr>
          <w:rFonts w:ascii="Times New Roman" w:hAnsi="Times New Roman" w:cs="Times New Roman"/>
          <w:sz w:val="24"/>
          <w:szCs w:val="24"/>
        </w:rPr>
        <w:t>,</w:t>
      </w:r>
      <w:r w:rsidR="00765AA2" w:rsidRPr="004B3DBE">
        <w:rPr>
          <w:rFonts w:ascii="Times New Roman" w:hAnsi="Times New Roman" w:cs="Times New Roman"/>
          <w:sz w:val="24"/>
          <w:szCs w:val="24"/>
        </w:rPr>
        <w:t xml:space="preserve"> 2020</w:t>
      </w:r>
      <w:r w:rsidR="004C7BA9" w:rsidRPr="004B3DBE">
        <w:rPr>
          <w:rFonts w:ascii="Times New Roman" w:hAnsi="Times New Roman" w:cs="Times New Roman"/>
          <w:sz w:val="24"/>
          <w:szCs w:val="24"/>
        </w:rPr>
        <w:t>a</w:t>
      </w:r>
      <w:r w:rsidR="00BE1BE7" w:rsidRPr="004B3DBE">
        <w:rPr>
          <w:rFonts w:ascii="Times New Roman" w:hAnsi="Times New Roman" w:cs="Times New Roman"/>
          <w:sz w:val="24"/>
          <w:szCs w:val="24"/>
        </w:rPr>
        <w:t>)</w:t>
      </w:r>
      <w:r w:rsidR="00765AA2" w:rsidRPr="004B3DBE">
        <w:rPr>
          <w:rFonts w:ascii="Times New Roman" w:hAnsi="Times New Roman" w:cs="Times New Roman"/>
          <w:sz w:val="24"/>
          <w:szCs w:val="24"/>
        </w:rPr>
        <w:t>.</w:t>
      </w:r>
    </w:p>
    <w:p w14:paraId="6D31993D" w14:textId="0C6E4882" w:rsidR="001B24F7" w:rsidRPr="006C238B" w:rsidRDefault="008D491A" w:rsidP="008D491A">
      <w:pPr>
        <w:spacing w:after="0" w:line="48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rPr>
        <w:t xml:space="preserve">The Islamic finance literature is </w:t>
      </w:r>
      <w:r w:rsidR="005537FD">
        <w:rPr>
          <w:rFonts w:ascii="Times New Roman" w:hAnsi="Times New Roman" w:cs="Times New Roman"/>
          <w:sz w:val="24"/>
          <w:szCs w:val="24"/>
        </w:rPr>
        <w:t>extensive</w:t>
      </w:r>
      <w:r>
        <w:rPr>
          <w:rFonts w:ascii="Times New Roman" w:hAnsi="Times New Roman" w:cs="Times New Roman"/>
          <w:sz w:val="24"/>
          <w:szCs w:val="24"/>
        </w:rPr>
        <w:t xml:space="preserve">. </w:t>
      </w:r>
      <w:r w:rsidR="001B24F7" w:rsidRPr="001B24F7">
        <w:rPr>
          <w:rFonts w:ascii="Times New Roman" w:hAnsi="Times New Roman" w:cs="Times New Roman"/>
          <w:sz w:val="24"/>
          <w:szCs w:val="24"/>
        </w:rPr>
        <w:t xml:space="preserve">Several studies report that Sharia-compliant products and funds, in general, have demonstrated better performance compared to their conventional counterparts during </w:t>
      </w:r>
      <w:r w:rsidR="00125C57">
        <w:rPr>
          <w:rFonts w:ascii="Times New Roman" w:hAnsi="Times New Roman" w:cs="Times New Roman"/>
          <w:sz w:val="24"/>
          <w:szCs w:val="24"/>
        </w:rPr>
        <w:t xml:space="preserve">the </w:t>
      </w:r>
      <w:r w:rsidR="001B24F7" w:rsidRPr="001B24F7">
        <w:rPr>
          <w:rFonts w:ascii="Times New Roman" w:hAnsi="Times New Roman" w:cs="Times New Roman"/>
          <w:sz w:val="24"/>
          <w:szCs w:val="24"/>
        </w:rPr>
        <w:t>turbulent periods (</w:t>
      </w:r>
      <w:r>
        <w:rPr>
          <w:rFonts w:ascii="Times New Roman" w:hAnsi="Times New Roman" w:cs="Times New Roman"/>
          <w:sz w:val="24"/>
          <w:szCs w:val="24"/>
        </w:rPr>
        <w:t>e.g.</w:t>
      </w:r>
      <w:r w:rsidR="00666C4C">
        <w:rPr>
          <w:rFonts w:ascii="Times New Roman" w:hAnsi="Times New Roman" w:cs="Times New Roman"/>
          <w:sz w:val="24"/>
          <w:szCs w:val="24"/>
        </w:rPr>
        <w:t>,</w:t>
      </w:r>
      <w:r>
        <w:rPr>
          <w:rFonts w:ascii="Times New Roman" w:hAnsi="Times New Roman" w:cs="Times New Roman"/>
          <w:sz w:val="24"/>
          <w:szCs w:val="24"/>
        </w:rPr>
        <w:t xml:space="preserve"> </w:t>
      </w:r>
      <w:r w:rsidR="001B24F7" w:rsidRPr="001B24F7">
        <w:rPr>
          <w:rFonts w:ascii="Times New Roman" w:hAnsi="Times New Roman" w:cs="Times New Roman"/>
          <w:sz w:val="24"/>
          <w:szCs w:val="24"/>
        </w:rPr>
        <w:t xml:space="preserve">Ashraf, 2013; </w:t>
      </w:r>
      <w:proofErr w:type="spellStart"/>
      <w:r w:rsidR="001B24F7" w:rsidRPr="001B24F7">
        <w:rPr>
          <w:rFonts w:ascii="Times New Roman" w:hAnsi="Times New Roman" w:cs="Times New Roman"/>
          <w:sz w:val="24"/>
          <w:szCs w:val="24"/>
        </w:rPr>
        <w:t>Hoepner</w:t>
      </w:r>
      <w:proofErr w:type="spellEnd"/>
      <w:r w:rsidR="001B24F7" w:rsidRPr="001B24F7">
        <w:rPr>
          <w:rFonts w:ascii="Times New Roman" w:hAnsi="Times New Roman" w:cs="Times New Roman"/>
          <w:sz w:val="24"/>
          <w:szCs w:val="24"/>
        </w:rPr>
        <w:t xml:space="preserve"> et al., 2011; </w:t>
      </w:r>
      <w:proofErr w:type="spellStart"/>
      <w:r w:rsidR="001B24F7" w:rsidRPr="001B24F7">
        <w:rPr>
          <w:rFonts w:ascii="Times New Roman" w:hAnsi="Times New Roman" w:cs="Times New Roman"/>
          <w:sz w:val="24"/>
          <w:szCs w:val="24"/>
        </w:rPr>
        <w:t>Alqahtani</w:t>
      </w:r>
      <w:proofErr w:type="spellEnd"/>
      <w:r w:rsidR="001B24F7" w:rsidRPr="001B24F7">
        <w:rPr>
          <w:rFonts w:ascii="Times New Roman" w:hAnsi="Times New Roman" w:cs="Times New Roman"/>
          <w:sz w:val="24"/>
          <w:szCs w:val="24"/>
        </w:rPr>
        <w:t xml:space="preserve"> et al., 2017; Boo et al., 2017; </w:t>
      </w:r>
      <w:proofErr w:type="spellStart"/>
      <w:r w:rsidR="001B24F7" w:rsidRPr="001B24F7">
        <w:rPr>
          <w:rFonts w:ascii="Times New Roman" w:hAnsi="Times New Roman" w:cs="Times New Roman"/>
          <w:sz w:val="24"/>
          <w:szCs w:val="24"/>
        </w:rPr>
        <w:t>Asmild</w:t>
      </w:r>
      <w:proofErr w:type="spellEnd"/>
      <w:r w:rsidR="001B24F7" w:rsidRPr="001B24F7">
        <w:rPr>
          <w:rFonts w:ascii="Times New Roman" w:hAnsi="Times New Roman" w:cs="Times New Roman"/>
          <w:sz w:val="24"/>
          <w:szCs w:val="24"/>
        </w:rPr>
        <w:t xml:space="preserve"> et al., 2019; </w:t>
      </w:r>
      <w:proofErr w:type="spellStart"/>
      <w:r w:rsidR="001B24F7" w:rsidRPr="001B24F7">
        <w:rPr>
          <w:rFonts w:ascii="Times New Roman" w:hAnsi="Times New Roman" w:cs="Times New Roman"/>
          <w:sz w:val="24"/>
          <w:szCs w:val="24"/>
        </w:rPr>
        <w:t>Alexakis</w:t>
      </w:r>
      <w:proofErr w:type="spellEnd"/>
      <w:r w:rsidR="001B24F7" w:rsidRPr="001B24F7">
        <w:rPr>
          <w:rFonts w:ascii="Times New Roman" w:hAnsi="Times New Roman" w:cs="Times New Roman"/>
          <w:sz w:val="24"/>
          <w:szCs w:val="24"/>
        </w:rPr>
        <w:t xml:space="preserve"> et al., 2019; </w:t>
      </w:r>
      <w:proofErr w:type="spellStart"/>
      <w:r w:rsidR="001B24F7" w:rsidRPr="001B24F7">
        <w:rPr>
          <w:rFonts w:ascii="Times New Roman" w:hAnsi="Times New Roman" w:cs="Times New Roman"/>
          <w:sz w:val="24"/>
          <w:szCs w:val="24"/>
        </w:rPr>
        <w:t>Safiullah</w:t>
      </w:r>
      <w:proofErr w:type="spellEnd"/>
      <w:r w:rsidR="001B24F7" w:rsidRPr="001B24F7">
        <w:rPr>
          <w:rFonts w:ascii="Times New Roman" w:hAnsi="Times New Roman" w:cs="Times New Roman"/>
          <w:sz w:val="24"/>
          <w:szCs w:val="24"/>
        </w:rPr>
        <w:t xml:space="preserve">, 2020). </w:t>
      </w:r>
      <w:r w:rsidR="000406A9">
        <w:rPr>
          <w:rFonts w:ascii="Times New Roman" w:hAnsi="Times New Roman" w:cs="Times New Roman"/>
          <w:sz w:val="24"/>
          <w:szCs w:val="24"/>
        </w:rPr>
        <w:t>T</w:t>
      </w:r>
      <w:r w:rsidR="001B24F7" w:rsidRPr="001B24F7">
        <w:rPr>
          <w:rFonts w:ascii="Times New Roman" w:hAnsi="Times New Roman" w:cs="Times New Roman"/>
          <w:sz w:val="24"/>
          <w:szCs w:val="24"/>
        </w:rPr>
        <w:t xml:space="preserve">he </w:t>
      </w:r>
      <w:r w:rsidR="000406A9">
        <w:rPr>
          <w:rFonts w:ascii="Times New Roman" w:hAnsi="Times New Roman" w:cs="Times New Roman"/>
          <w:sz w:val="24"/>
          <w:szCs w:val="24"/>
        </w:rPr>
        <w:t>earlier</w:t>
      </w:r>
      <w:r w:rsidR="001B24F7" w:rsidRPr="001B24F7">
        <w:rPr>
          <w:rFonts w:ascii="Times New Roman" w:hAnsi="Times New Roman" w:cs="Times New Roman"/>
          <w:sz w:val="24"/>
          <w:szCs w:val="24"/>
        </w:rPr>
        <w:t xml:space="preserve"> crisis triggered by imprudent lending practices</w:t>
      </w:r>
      <w:r w:rsidR="00125C57">
        <w:rPr>
          <w:rFonts w:ascii="Times New Roman" w:hAnsi="Times New Roman" w:cs="Times New Roman"/>
          <w:sz w:val="24"/>
          <w:szCs w:val="24"/>
        </w:rPr>
        <w:t xml:space="preserve">, </w:t>
      </w:r>
      <w:r w:rsidR="001B24F7" w:rsidRPr="001B24F7">
        <w:rPr>
          <w:rFonts w:ascii="Times New Roman" w:hAnsi="Times New Roman" w:cs="Times New Roman"/>
          <w:sz w:val="24"/>
          <w:szCs w:val="24"/>
        </w:rPr>
        <w:t>poor risk management</w:t>
      </w:r>
      <w:r w:rsidR="00B43A92">
        <w:rPr>
          <w:rFonts w:ascii="Times New Roman" w:hAnsi="Times New Roman" w:cs="Times New Roman"/>
          <w:sz w:val="24"/>
          <w:szCs w:val="24"/>
        </w:rPr>
        <w:t>,</w:t>
      </w:r>
      <w:r w:rsidR="00125C57">
        <w:rPr>
          <w:rFonts w:ascii="Times New Roman" w:hAnsi="Times New Roman" w:cs="Times New Roman"/>
          <w:sz w:val="24"/>
          <w:szCs w:val="24"/>
        </w:rPr>
        <w:t xml:space="preserve"> </w:t>
      </w:r>
      <w:r w:rsidR="001B24F7" w:rsidRPr="001B24F7">
        <w:rPr>
          <w:rFonts w:ascii="Times New Roman" w:hAnsi="Times New Roman" w:cs="Times New Roman"/>
          <w:sz w:val="24"/>
          <w:szCs w:val="24"/>
        </w:rPr>
        <w:t>and accounting</w:t>
      </w:r>
      <w:r w:rsidR="000406A9">
        <w:rPr>
          <w:rFonts w:ascii="Times New Roman" w:hAnsi="Times New Roman" w:cs="Times New Roman"/>
          <w:sz w:val="24"/>
          <w:szCs w:val="24"/>
        </w:rPr>
        <w:t xml:space="preserve"> malpractices</w:t>
      </w:r>
      <w:r w:rsidR="001B24F7" w:rsidRPr="001B24F7">
        <w:rPr>
          <w:rFonts w:ascii="Times New Roman" w:hAnsi="Times New Roman" w:cs="Times New Roman"/>
          <w:sz w:val="24"/>
          <w:szCs w:val="24"/>
        </w:rPr>
        <w:t xml:space="preserve"> </w:t>
      </w:r>
      <w:r w:rsidR="00125C57">
        <w:rPr>
          <w:rFonts w:ascii="Times New Roman" w:hAnsi="Times New Roman" w:cs="Times New Roman"/>
          <w:sz w:val="24"/>
          <w:szCs w:val="24"/>
        </w:rPr>
        <w:t>did not</w:t>
      </w:r>
      <w:r w:rsidR="001B24F7" w:rsidRPr="001B24F7">
        <w:rPr>
          <w:rFonts w:ascii="Times New Roman" w:hAnsi="Times New Roman" w:cs="Times New Roman"/>
          <w:sz w:val="24"/>
          <w:szCs w:val="24"/>
        </w:rPr>
        <w:t xml:space="preserve"> </w:t>
      </w:r>
      <w:r w:rsidR="000406A9">
        <w:rPr>
          <w:rFonts w:ascii="Times New Roman" w:hAnsi="Times New Roman" w:cs="Times New Roman"/>
          <w:sz w:val="24"/>
          <w:szCs w:val="24"/>
        </w:rPr>
        <w:t>similarly affect Islamic finan</w:t>
      </w:r>
      <w:r w:rsidR="00480F1C">
        <w:rPr>
          <w:rFonts w:ascii="Times New Roman" w:hAnsi="Times New Roman" w:cs="Times New Roman"/>
          <w:sz w:val="24"/>
          <w:szCs w:val="24"/>
        </w:rPr>
        <w:t>ce</w:t>
      </w:r>
      <w:r w:rsidR="001B24F7" w:rsidRPr="001B24F7">
        <w:rPr>
          <w:rFonts w:ascii="Times New Roman" w:hAnsi="Times New Roman" w:cs="Times New Roman"/>
          <w:sz w:val="24"/>
          <w:szCs w:val="24"/>
        </w:rPr>
        <w:t xml:space="preserve"> since many practices are </w:t>
      </w:r>
      <w:r w:rsidR="00B43A92">
        <w:rPr>
          <w:rFonts w:ascii="Times New Roman" w:hAnsi="Times New Roman" w:cs="Times New Roman"/>
          <w:sz w:val="24"/>
          <w:szCs w:val="24"/>
        </w:rPr>
        <w:t xml:space="preserve">not </w:t>
      </w:r>
      <w:r w:rsidR="0073269A">
        <w:rPr>
          <w:rFonts w:ascii="Times New Roman" w:hAnsi="Times New Roman" w:cs="Times New Roman"/>
          <w:sz w:val="24"/>
          <w:szCs w:val="24"/>
        </w:rPr>
        <w:t>permitted</w:t>
      </w:r>
      <w:r w:rsidR="001B24F7" w:rsidRPr="001B24F7">
        <w:rPr>
          <w:rFonts w:ascii="Times New Roman" w:hAnsi="Times New Roman" w:cs="Times New Roman"/>
          <w:sz w:val="24"/>
          <w:szCs w:val="24"/>
        </w:rPr>
        <w:t xml:space="preserve"> under Shariah laws. </w:t>
      </w:r>
      <w:r w:rsidR="004E15B2">
        <w:rPr>
          <w:rFonts w:ascii="Times New Roman" w:hAnsi="Times New Roman" w:cs="Times New Roman"/>
          <w:sz w:val="24"/>
          <w:szCs w:val="24"/>
        </w:rPr>
        <w:t>In the</w:t>
      </w:r>
      <w:r w:rsidR="0073269A">
        <w:rPr>
          <w:rFonts w:ascii="Times New Roman" w:hAnsi="Times New Roman" w:cs="Times New Roman"/>
          <w:sz w:val="24"/>
          <w:szCs w:val="24"/>
        </w:rPr>
        <w:t xml:space="preserve"> context of </w:t>
      </w:r>
      <w:r w:rsidR="002575A2">
        <w:rPr>
          <w:rFonts w:ascii="Times New Roman" w:hAnsi="Times New Roman" w:cs="Times New Roman"/>
          <w:sz w:val="24"/>
          <w:szCs w:val="24"/>
        </w:rPr>
        <w:t xml:space="preserve">the </w:t>
      </w:r>
      <w:r w:rsidR="0073269A">
        <w:rPr>
          <w:rFonts w:ascii="Times New Roman" w:hAnsi="Times New Roman" w:cs="Times New Roman"/>
          <w:sz w:val="24"/>
          <w:szCs w:val="24"/>
        </w:rPr>
        <w:t xml:space="preserve">Islamic financial system, </w:t>
      </w:r>
      <w:r w:rsidR="002575A2">
        <w:rPr>
          <w:rFonts w:ascii="Times New Roman" w:hAnsi="Times New Roman" w:cs="Times New Roman"/>
          <w:sz w:val="24"/>
          <w:szCs w:val="24"/>
        </w:rPr>
        <w:t>Islamic mutual funds have an essential role to play.</w:t>
      </w:r>
      <w:r w:rsidR="004E15B2">
        <w:rPr>
          <w:rFonts w:ascii="Times New Roman" w:hAnsi="Times New Roman" w:cs="Times New Roman"/>
          <w:sz w:val="24"/>
          <w:szCs w:val="24"/>
        </w:rPr>
        <w:t xml:space="preserve"> </w:t>
      </w:r>
    </w:p>
    <w:p w14:paraId="59123228" w14:textId="5F1B24C6" w:rsidR="006C238B" w:rsidRPr="00ED16B8" w:rsidRDefault="006C238B" w:rsidP="006C238B">
      <w:pPr>
        <w:spacing w:after="0" w:line="480" w:lineRule="auto"/>
        <w:ind w:firstLine="720"/>
        <w:jc w:val="both"/>
        <w:rPr>
          <w:rFonts w:ascii="Times New Roman" w:hAnsi="Times New Roman" w:cs="Times New Roman"/>
          <w:sz w:val="24"/>
          <w:szCs w:val="24"/>
        </w:rPr>
      </w:pPr>
      <w:r w:rsidRPr="006C238B">
        <w:rPr>
          <w:rFonts w:ascii="Times New Roman" w:hAnsi="Times New Roman" w:cs="Times New Roman"/>
          <w:sz w:val="24"/>
          <w:szCs w:val="24"/>
          <w:highlight w:val="yellow"/>
        </w:rPr>
        <w:t xml:space="preserve">While </w:t>
      </w:r>
      <w:r w:rsidR="00F44380">
        <w:rPr>
          <w:rFonts w:ascii="Times New Roman" w:hAnsi="Times New Roman" w:cs="Times New Roman"/>
          <w:sz w:val="24"/>
          <w:szCs w:val="24"/>
          <w:highlight w:val="yellow"/>
        </w:rPr>
        <w:t xml:space="preserve">both </w:t>
      </w:r>
      <w:r w:rsidRPr="006C238B">
        <w:rPr>
          <w:rFonts w:ascii="Times New Roman" w:hAnsi="Times New Roman" w:cs="Times New Roman"/>
          <w:sz w:val="24"/>
          <w:szCs w:val="24"/>
          <w:highlight w:val="yellow"/>
        </w:rPr>
        <w:t xml:space="preserve">Islamic and conventional funds are investment vehicles, there are certain differentiating factors. The Islamic funds' management and investments need to comply with the Sharia principles. A supervisory board is usually present to monitor and certify such compliance. The stock screening process of Islamic funds requires </w:t>
      </w:r>
      <w:r w:rsidRPr="00F44380">
        <w:rPr>
          <w:rFonts w:ascii="Times New Roman" w:hAnsi="Times New Roman" w:cs="Times New Roman"/>
          <w:i/>
          <w:iCs/>
          <w:sz w:val="24"/>
          <w:szCs w:val="24"/>
          <w:highlight w:val="yellow"/>
        </w:rPr>
        <w:t>“income cleansing”</w:t>
      </w:r>
      <w:r w:rsidRPr="006C238B">
        <w:rPr>
          <w:rFonts w:ascii="Times New Roman" w:hAnsi="Times New Roman" w:cs="Times New Roman"/>
          <w:sz w:val="24"/>
          <w:szCs w:val="24"/>
          <w:highlight w:val="yellow"/>
        </w:rPr>
        <w:t xml:space="preserve">. This is to ensure that the income streams of the invested companies conform with the standards of Islamic investments. For conventional funds, income cleansing is not obligatory. Another significant differentiation is </w:t>
      </w:r>
      <w:r w:rsidRPr="006C238B">
        <w:rPr>
          <w:rFonts w:ascii="Times New Roman" w:hAnsi="Times New Roman" w:cs="Times New Roman"/>
          <w:sz w:val="24"/>
          <w:szCs w:val="24"/>
          <w:highlight w:val="yellow"/>
        </w:rPr>
        <w:lastRenderedPageBreak/>
        <w:t xml:space="preserve">that while traditional fund managers may or may not include capital structure as their selection criteria, Islamic funds are prohibited </w:t>
      </w:r>
      <w:r w:rsidR="00AA4D68">
        <w:rPr>
          <w:rFonts w:ascii="Times New Roman" w:hAnsi="Times New Roman" w:cs="Times New Roman"/>
          <w:sz w:val="24"/>
          <w:szCs w:val="24"/>
          <w:highlight w:val="yellow"/>
        </w:rPr>
        <w:t>from investing</w:t>
      </w:r>
      <w:r w:rsidRPr="006C238B">
        <w:rPr>
          <w:rFonts w:ascii="Times New Roman" w:hAnsi="Times New Roman" w:cs="Times New Roman"/>
          <w:sz w:val="24"/>
          <w:szCs w:val="24"/>
          <w:highlight w:val="yellow"/>
        </w:rPr>
        <w:t xml:space="preserve"> in companies with </w:t>
      </w:r>
      <w:r w:rsidR="00EF603E">
        <w:rPr>
          <w:rFonts w:ascii="Times New Roman" w:hAnsi="Times New Roman" w:cs="Times New Roman"/>
          <w:sz w:val="24"/>
          <w:szCs w:val="24"/>
          <w:highlight w:val="yellow"/>
        </w:rPr>
        <w:t>higher gearing levels</w:t>
      </w:r>
      <w:r w:rsidRPr="006C238B">
        <w:rPr>
          <w:rFonts w:ascii="Times New Roman" w:hAnsi="Times New Roman" w:cs="Times New Roman"/>
          <w:sz w:val="24"/>
          <w:szCs w:val="24"/>
          <w:highlight w:val="yellow"/>
        </w:rPr>
        <w:t>.</w:t>
      </w:r>
      <w:r w:rsidR="00C77273">
        <w:rPr>
          <w:rFonts w:ascii="Times New Roman" w:hAnsi="Times New Roman" w:cs="Times New Roman"/>
          <w:sz w:val="24"/>
          <w:szCs w:val="24"/>
        </w:rPr>
        <w:t xml:space="preserve"> </w:t>
      </w:r>
      <w:r w:rsidR="00C77273" w:rsidRPr="00525FBE">
        <w:rPr>
          <w:rFonts w:ascii="Times New Roman" w:hAnsi="Times New Roman" w:cs="Times New Roman"/>
          <w:sz w:val="24"/>
          <w:szCs w:val="24"/>
          <w:highlight w:val="yellow"/>
        </w:rPr>
        <w:t xml:space="preserve">It is important to note that </w:t>
      </w:r>
      <w:r w:rsidR="008F5432" w:rsidRPr="00525FBE">
        <w:rPr>
          <w:rFonts w:ascii="Times New Roman" w:hAnsi="Times New Roman" w:cs="Times New Roman"/>
          <w:sz w:val="24"/>
          <w:szCs w:val="24"/>
          <w:highlight w:val="yellow"/>
        </w:rPr>
        <w:t>investing in Islamic funds is not restricted only to faith-based investors</w:t>
      </w:r>
      <w:r w:rsidR="00525FBE" w:rsidRPr="00525FBE">
        <w:rPr>
          <w:rFonts w:ascii="Times New Roman" w:hAnsi="Times New Roman" w:cs="Times New Roman"/>
          <w:sz w:val="24"/>
          <w:szCs w:val="24"/>
          <w:highlight w:val="yellow"/>
        </w:rPr>
        <w:t>.</w:t>
      </w:r>
      <w:r w:rsidR="00525FBE">
        <w:rPr>
          <w:rFonts w:ascii="Times New Roman" w:hAnsi="Times New Roman" w:cs="Times New Roman"/>
          <w:sz w:val="24"/>
          <w:szCs w:val="24"/>
        </w:rPr>
        <w:t xml:space="preserve"> </w:t>
      </w:r>
    </w:p>
    <w:p w14:paraId="6FB41608" w14:textId="3CE10CEE" w:rsidR="00F93B82" w:rsidRPr="00001DC1" w:rsidRDefault="00DE25D4" w:rsidP="001B24F7">
      <w:pPr>
        <w:spacing w:after="0" w:line="480" w:lineRule="auto"/>
        <w:ind w:firstLine="720"/>
        <w:jc w:val="both"/>
        <w:rPr>
          <w:rFonts w:ascii="Times New Roman" w:hAnsi="Times New Roman" w:cs="Times New Roman"/>
          <w:sz w:val="24"/>
          <w:szCs w:val="24"/>
          <w:highlight w:val="yellow"/>
        </w:rPr>
      </w:pPr>
      <w:r w:rsidRPr="00001DC1">
        <w:rPr>
          <w:rFonts w:ascii="Times New Roman" w:hAnsi="Times New Roman" w:cs="Times New Roman"/>
          <w:sz w:val="24"/>
          <w:szCs w:val="24"/>
          <w:highlight w:val="yellow"/>
        </w:rPr>
        <w:t>It can be argued</w:t>
      </w:r>
      <w:r w:rsidR="00E06F36" w:rsidRPr="00001DC1">
        <w:rPr>
          <w:rFonts w:ascii="Times New Roman" w:hAnsi="Times New Roman" w:cs="Times New Roman"/>
          <w:sz w:val="24"/>
          <w:szCs w:val="24"/>
          <w:highlight w:val="yellow"/>
        </w:rPr>
        <w:t xml:space="preserve"> </w:t>
      </w:r>
      <w:r w:rsidRPr="00001DC1">
        <w:rPr>
          <w:rFonts w:ascii="Times New Roman" w:hAnsi="Times New Roman" w:cs="Times New Roman"/>
          <w:sz w:val="24"/>
          <w:szCs w:val="24"/>
          <w:highlight w:val="yellow"/>
        </w:rPr>
        <w:t xml:space="preserve">that </w:t>
      </w:r>
      <w:r w:rsidR="009965C6" w:rsidRPr="00001DC1">
        <w:rPr>
          <w:rFonts w:ascii="Times New Roman" w:hAnsi="Times New Roman" w:cs="Times New Roman"/>
          <w:sz w:val="24"/>
          <w:szCs w:val="24"/>
          <w:highlight w:val="yellow"/>
        </w:rPr>
        <w:t xml:space="preserve">Islamic funds perform better in countries with </w:t>
      </w:r>
      <w:r w:rsidR="00A64A0D" w:rsidRPr="00001DC1">
        <w:rPr>
          <w:rFonts w:ascii="Times New Roman" w:hAnsi="Times New Roman" w:cs="Times New Roman"/>
          <w:sz w:val="24"/>
          <w:szCs w:val="24"/>
          <w:highlight w:val="yellow"/>
        </w:rPr>
        <w:t xml:space="preserve">a </w:t>
      </w:r>
      <w:r w:rsidR="009965C6" w:rsidRPr="00001DC1">
        <w:rPr>
          <w:rFonts w:ascii="Times New Roman" w:hAnsi="Times New Roman" w:cs="Times New Roman"/>
          <w:sz w:val="24"/>
          <w:szCs w:val="24"/>
          <w:highlight w:val="yellow"/>
        </w:rPr>
        <w:t>predominantly Muslim population</w:t>
      </w:r>
      <w:r w:rsidR="007C746B" w:rsidRPr="00001DC1">
        <w:rPr>
          <w:rFonts w:ascii="Times New Roman" w:hAnsi="Times New Roman" w:cs="Times New Roman"/>
          <w:sz w:val="24"/>
          <w:szCs w:val="24"/>
          <w:highlight w:val="yellow"/>
        </w:rPr>
        <w:t>.</w:t>
      </w:r>
      <w:r w:rsidR="0006721E" w:rsidRPr="00001DC1">
        <w:rPr>
          <w:rFonts w:ascii="Times New Roman" w:hAnsi="Times New Roman" w:cs="Times New Roman"/>
          <w:sz w:val="24"/>
          <w:szCs w:val="24"/>
          <w:highlight w:val="yellow"/>
        </w:rPr>
        <w:t xml:space="preserve"> </w:t>
      </w:r>
      <w:r w:rsidR="00CE23A1" w:rsidRPr="00001DC1">
        <w:rPr>
          <w:rFonts w:ascii="Times New Roman" w:hAnsi="Times New Roman" w:cs="Times New Roman"/>
          <w:sz w:val="24"/>
          <w:szCs w:val="24"/>
          <w:highlight w:val="yellow"/>
        </w:rPr>
        <w:t xml:space="preserve">Although </w:t>
      </w:r>
      <w:r w:rsidR="00147F22" w:rsidRPr="00001DC1">
        <w:rPr>
          <w:rFonts w:ascii="Times New Roman" w:hAnsi="Times New Roman" w:cs="Times New Roman"/>
          <w:sz w:val="24"/>
          <w:szCs w:val="24"/>
          <w:highlight w:val="yellow"/>
        </w:rPr>
        <w:t xml:space="preserve">there can be </w:t>
      </w:r>
      <w:r w:rsidR="00BE5B93" w:rsidRPr="00001DC1">
        <w:rPr>
          <w:rFonts w:ascii="Times New Roman" w:hAnsi="Times New Roman" w:cs="Times New Roman"/>
          <w:sz w:val="24"/>
          <w:szCs w:val="24"/>
          <w:highlight w:val="yellow"/>
        </w:rPr>
        <w:t>more</w:t>
      </w:r>
      <w:r w:rsidR="00147F22" w:rsidRPr="00001DC1">
        <w:rPr>
          <w:rFonts w:ascii="Times New Roman" w:hAnsi="Times New Roman" w:cs="Times New Roman"/>
          <w:sz w:val="24"/>
          <w:szCs w:val="24"/>
          <w:highlight w:val="yellow"/>
        </w:rPr>
        <w:t xml:space="preserve"> investment avenues for the Islamic funds in such countrie</w:t>
      </w:r>
      <w:r w:rsidR="00A533F8" w:rsidRPr="00001DC1">
        <w:rPr>
          <w:rFonts w:ascii="Times New Roman" w:hAnsi="Times New Roman" w:cs="Times New Roman"/>
          <w:sz w:val="24"/>
          <w:szCs w:val="24"/>
          <w:highlight w:val="yellow"/>
        </w:rPr>
        <w:t>s</w:t>
      </w:r>
      <w:r w:rsidR="001D13B4" w:rsidRPr="00001DC1">
        <w:rPr>
          <w:rFonts w:ascii="Times New Roman" w:hAnsi="Times New Roman" w:cs="Times New Roman"/>
          <w:sz w:val="24"/>
          <w:szCs w:val="24"/>
          <w:highlight w:val="yellow"/>
        </w:rPr>
        <w:t>,</w:t>
      </w:r>
      <w:r w:rsidR="0006721E" w:rsidRPr="00001DC1">
        <w:rPr>
          <w:rFonts w:ascii="Times New Roman" w:hAnsi="Times New Roman" w:cs="Times New Roman"/>
          <w:sz w:val="24"/>
          <w:szCs w:val="24"/>
          <w:highlight w:val="yellow"/>
        </w:rPr>
        <w:t xml:space="preserve"> th</w:t>
      </w:r>
      <w:r w:rsidR="00147F22" w:rsidRPr="00001DC1">
        <w:rPr>
          <w:rFonts w:ascii="Times New Roman" w:hAnsi="Times New Roman" w:cs="Times New Roman"/>
          <w:sz w:val="24"/>
          <w:szCs w:val="24"/>
          <w:highlight w:val="yellow"/>
        </w:rPr>
        <w:t>e</w:t>
      </w:r>
      <w:r w:rsidR="0006721E" w:rsidRPr="00001DC1">
        <w:rPr>
          <w:rFonts w:ascii="Times New Roman" w:hAnsi="Times New Roman" w:cs="Times New Roman"/>
          <w:sz w:val="24"/>
          <w:szCs w:val="24"/>
          <w:highlight w:val="yellow"/>
        </w:rPr>
        <w:t xml:space="preserve"> notion</w:t>
      </w:r>
      <w:r w:rsidR="00147F22" w:rsidRPr="00001DC1">
        <w:rPr>
          <w:rFonts w:ascii="Times New Roman" w:hAnsi="Times New Roman" w:cs="Times New Roman"/>
          <w:sz w:val="24"/>
          <w:szCs w:val="24"/>
          <w:highlight w:val="yellow"/>
        </w:rPr>
        <w:t xml:space="preserve"> of Muslim countries</w:t>
      </w:r>
      <w:r w:rsidR="0006721E" w:rsidRPr="00001DC1">
        <w:rPr>
          <w:rFonts w:ascii="Times New Roman" w:hAnsi="Times New Roman" w:cs="Times New Roman"/>
          <w:sz w:val="24"/>
          <w:szCs w:val="24"/>
          <w:highlight w:val="yellow"/>
        </w:rPr>
        <w:t xml:space="preserve"> was debunked by </w:t>
      </w:r>
      <w:r w:rsidR="0006721E" w:rsidRPr="00001DC1">
        <w:rPr>
          <w:rFonts w:ascii="Times New Roman" w:hAnsi="Times New Roman" w:cs="Times New Roman"/>
          <w:sz w:val="24"/>
          <w:szCs w:val="24"/>
          <w:highlight w:val="yellow"/>
        </w:rPr>
        <w:fldChar w:fldCharType="begin" w:fldLock="1"/>
      </w:r>
      <w:r w:rsidR="00433820" w:rsidRPr="00001DC1">
        <w:rPr>
          <w:rFonts w:ascii="Times New Roman" w:hAnsi="Times New Roman" w:cs="Times New Roman"/>
          <w:sz w:val="24"/>
          <w:szCs w:val="24"/>
          <w:highlight w:val="yellow"/>
        </w:rPr>
        <w:instrText>ADDIN CSL_CITATION {"citationItems":[{"id":"ITEM-1","itemData":{"DOI":"10.1016/j.econmod.2017.07.007","ISSN":"02649993","abstract":"This study investigates the risk and return characteristics of Islamic funds in comparison with SRI and the conventional open-end mutual funds for the UK, which, having attracted over £11.7 billion in Islamic investment in the past decade has emerged as the largest financial market for Islamic funds in the west. In addition, contrasting with previous literature, this research categorizes SRI and Islamic funds into two distinct types in order to allow a fair comparison. Our findings demonstrate that Islamic and SRI funds in general perform close to the conventional funds with significantly better risk-return tradeoff in US focused funds. Results further indicate that the UK-based Islamic and SRI funds were less effected during financial crisis as the magnitude of loss was significantly lower for them when compared to conventional funds. The research suggests that Islamic and SRI funds do provide a rational substitute and investors can benefit from investing in these funds as ethic and faith-based screening criteria do not affect the returns of Islamic and SRI funds adversely. This was also substantiated by our findings on investment behavior of these funds.","author":[{"dropping-particle":"","family":"Reddy","given":"Krishna","non-dropping-particle":"","parse-names":false,"suffix":""},{"dropping-particle":"","family":"Mirza","given":"Nawazish","non-dropping-particle":"","parse-names":false,"suffix":""},{"dropping-particle":"","family":"Naqvi","given":"Bushra","non-dropping-particle":"","parse-names":false,"suffix":""},{"dropping-particle":"","family":"Fu","given":"Mingli","non-dropping-particle":"","parse-names":false,"suffix":""}],"container-title":"Economic Modelling","id":"ITEM-1","issued":{"date-parts":[["2017","11"]]},"page":"233-243","publisher":"Elsevier B.V.","title":"Comparative risk adjusted performance of Islamic, socially responsible and conventional funds: Evidence from United Kingdom","type":"article-journal","volume":"66"},"uris":["http://www.mendeley.com/documents/?uuid=ba6f1ef2-83c6-4e10-84aa-844a67197976"]}],"mendeley":{"formattedCitation":"(Krishna Reddy et al., 2017)","manualFormatting":"Reddy et al. (2017)","plainTextFormattedCitation":"(Krishna Reddy et al., 2017)","previouslyFormattedCitation":"(Krishna Reddy et al., 2017)"},"properties":{"noteIndex":0},"schema":"https://github.com/citation-style-language/schema/raw/master/csl-citation.json"}</w:instrText>
      </w:r>
      <w:r w:rsidR="0006721E" w:rsidRPr="00001DC1">
        <w:rPr>
          <w:rFonts w:ascii="Times New Roman" w:hAnsi="Times New Roman" w:cs="Times New Roman"/>
          <w:sz w:val="24"/>
          <w:szCs w:val="24"/>
          <w:highlight w:val="yellow"/>
        </w:rPr>
        <w:fldChar w:fldCharType="separate"/>
      </w:r>
      <w:r w:rsidR="0006721E" w:rsidRPr="00001DC1">
        <w:rPr>
          <w:rFonts w:ascii="Times New Roman" w:hAnsi="Times New Roman" w:cs="Times New Roman"/>
          <w:noProof/>
          <w:sz w:val="24"/>
          <w:szCs w:val="24"/>
          <w:highlight w:val="yellow"/>
        </w:rPr>
        <w:t>Reddy et al.</w:t>
      </w:r>
      <w:r w:rsidR="006528E4" w:rsidRPr="00001DC1">
        <w:rPr>
          <w:rFonts w:ascii="Times New Roman" w:hAnsi="Times New Roman" w:cs="Times New Roman"/>
          <w:noProof/>
          <w:sz w:val="24"/>
          <w:szCs w:val="24"/>
          <w:highlight w:val="yellow"/>
        </w:rPr>
        <w:t xml:space="preserve"> </w:t>
      </w:r>
      <w:r w:rsidR="001B24F7" w:rsidRPr="00001DC1">
        <w:rPr>
          <w:rFonts w:ascii="Times New Roman" w:hAnsi="Times New Roman" w:cs="Times New Roman"/>
          <w:noProof/>
          <w:sz w:val="24"/>
          <w:szCs w:val="24"/>
          <w:highlight w:val="yellow"/>
        </w:rPr>
        <w:t>(</w:t>
      </w:r>
      <w:r w:rsidR="0006721E" w:rsidRPr="00001DC1">
        <w:rPr>
          <w:rFonts w:ascii="Times New Roman" w:hAnsi="Times New Roman" w:cs="Times New Roman"/>
          <w:noProof/>
          <w:sz w:val="24"/>
          <w:szCs w:val="24"/>
          <w:highlight w:val="yellow"/>
        </w:rPr>
        <w:t>2017)</w:t>
      </w:r>
      <w:r w:rsidR="0006721E" w:rsidRPr="00001DC1">
        <w:rPr>
          <w:rFonts w:ascii="Times New Roman" w:hAnsi="Times New Roman" w:cs="Times New Roman"/>
          <w:sz w:val="24"/>
          <w:szCs w:val="24"/>
          <w:highlight w:val="yellow"/>
        </w:rPr>
        <w:fldChar w:fldCharType="end"/>
      </w:r>
      <w:r w:rsidR="0006721E" w:rsidRPr="00001DC1">
        <w:rPr>
          <w:rFonts w:ascii="Times New Roman" w:hAnsi="Times New Roman" w:cs="Times New Roman"/>
          <w:sz w:val="24"/>
          <w:szCs w:val="24"/>
          <w:highlight w:val="yellow"/>
        </w:rPr>
        <w:t xml:space="preserve"> and </w:t>
      </w:r>
      <w:r w:rsidR="0006721E" w:rsidRPr="00001DC1">
        <w:rPr>
          <w:rFonts w:ascii="Times New Roman" w:hAnsi="Times New Roman" w:cs="Times New Roman"/>
          <w:sz w:val="24"/>
          <w:szCs w:val="24"/>
          <w:highlight w:val="yellow"/>
        </w:rPr>
        <w:fldChar w:fldCharType="begin" w:fldLock="1"/>
      </w:r>
      <w:r w:rsidR="00F774A3" w:rsidRPr="00001DC1">
        <w:rPr>
          <w:rFonts w:ascii="Times New Roman" w:hAnsi="Times New Roman" w:cs="Times New Roman"/>
          <w:sz w:val="24"/>
          <w:szCs w:val="24"/>
          <w:highlight w:val="yellow"/>
        </w:rPr>
        <w:instrText>ADDIN CSL_CITATION {"citationItems":[{"id":"ITEM-1","itemData":{"DOI":"10.1016/j.irfa.2018.01.008","ISSN":"10575219","abstract":"This study investigates the efficiency of conventional and Islamic stock markets and their diversification potential by using multifractal de-trended fluctuation analysis (MF-DFA), wavelet squared coherence (WTC) and wavelet Value-at-Risk (VaR). Evidence from regional and country-level markets indicates Islamic stocks are less efficient than conventional ones in the short term, however more efficient in the medium term. Conventional stocks in the UK, Japan, and emerging markets are more efficient than the Islamic ones in the long term, whereas those from the US and Europe are less efficient. The wavelet VaR shows that conventional stock markets are at least as risky as the Islamic ones.","author":[{"dropping-particle":"","family":"Uddin","given":"Gazi Salah","non-dropping-particle":"","parse-names":false,"suffix":""},{"dropping-particle":"","family":"Hernandez","given":"Jose Areola","non-dropping-particle":"","parse-names":false,"suffix":""},{"dropping-particle":"","family":"Shahzad","given":"Syed Jawad Hussain","non-dropping-particle":"","parse-names":false,"suffix":""},{"dropping-particle":"","family":"Yoon","given":"Seong Min","non-dropping-particle":"","parse-names":false,"suffix":""}],"container-title":"International Review of Financial Analysis","id":"ITEM-1","issued":{"date-parts":[["2018","3","1"]]},"page":"167-180","publisher":"Elsevier Inc.","title":"Time-varying evidence of efficiency, decoupling, and diversification of conventional and Islamic stocks","type":"article-journal","volume":"56"},"uris":["http://www.mendeley.com/documents/?uuid=f47dff2a-f9b9-3932-a71f-19381c61b4ab"]}],"mendeley":{"formattedCitation":"(Uddin et al., 2018)","manualFormatting":"Uddin et al.(2018)","plainTextFormattedCitation":"(Uddin et al., 2018)","previouslyFormattedCitation":"(Uddin et al., 2018)"},"properties":{"noteIndex":0},"schema":"https://github.com/citation-style-language/schema/raw/master/csl-citation.json"}</w:instrText>
      </w:r>
      <w:r w:rsidR="0006721E" w:rsidRPr="00001DC1">
        <w:rPr>
          <w:rFonts w:ascii="Times New Roman" w:hAnsi="Times New Roman" w:cs="Times New Roman"/>
          <w:sz w:val="24"/>
          <w:szCs w:val="24"/>
          <w:highlight w:val="yellow"/>
        </w:rPr>
        <w:fldChar w:fldCharType="separate"/>
      </w:r>
      <w:r w:rsidR="0006721E" w:rsidRPr="00001DC1">
        <w:rPr>
          <w:rFonts w:ascii="Times New Roman" w:hAnsi="Times New Roman" w:cs="Times New Roman"/>
          <w:noProof/>
          <w:sz w:val="24"/>
          <w:szCs w:val="24"/>
          <w:highlight w:val="yellow"/>
        </w:rPr>
        <w:t>Uddin et al.</w:t>
      </w:r>
      <w:r w:rsidR="001B24F7" w:rsidRPr="00001DC1">
        <w:rPr>
          <w:rFonts w:ascii="Times New Roman" w:hAnsi="Times New Roman" w:cs="Times New Roman"/>
          <w:noProof/>
          <w:sz w:val="24"/>
          <w:szCs w:val="24"/>
          <w:highlight w:val="yellow"/>
        </w:rPr>
        <w:t>(</w:t>
      </w:r>
      <w:r w:rsidR="0006721E" w:rsidRPr="00001DC1">
        <w:rPr>
          <w:rFonts w:ascii="Times New Roman" w:hAnsi="Times New Roman" w:cs="Times New Roman"/>
          <w:noProof/>
          <w:sz w:val="24"/>
          <w:szCs w:val="24"/>
          <w:highlight w:val="yellow"/>
        </w:rPr>
        <w:t>2018)</w:t>
      </w:r>
      <w:r w:rsidR="0006721E" w:rsidRPr="00001DC1">
        <w:rPr>
          <w:rFonts w:ascii="Times New Roman" w:hAnsi="Times New Roman" w:cs="Times New Roman"/>
          <w:sz w:val="24"/>
          <w:szCs w:val="24"/>
          <w:highlight w:val="yellow"/>
        </w:rPr>
        <w:fldChar w:fldCharType="end"/>
      </w:r>
      <w:r w:rsidR="00A64A0D" w:rsidRPr="00001DC1">
        <w:rPr>
          <w:rFonts w:ascii="Times New Roman" w:hAnsi="Times New Roman" w:cs="Times New Roman"/>
          <w:sz w:val="24"/>
          <w:szCs w:val="24"/>
          <w:highlight w:val="yellow"/>
        </w:rPr>
        <w:t>. They</w:t>
      </w:r>
      <w:r w:rsidR="00F233B2" w:rsidRPr="00001DC1">
        <w:rPr>
          <w:rFonts w:ascii="Times New Roman" w:hAnsi="Times New Roman" w:cs="Times New Roman"/>
          <w:sz w:val="24"/>
          <w:szCs w:val="24"/>
          <w:highlight w:val="yellow"/>
        </w:rPr>
        <w:t xml:space="preserve"> provide evidence that Sharia</w:t>
      </w:r>
      <w:r w:rsidR="00A64A0D" w:rsidRPr="00001DC1">
        <w:rPr>
          <w:rFonts w:ascii="Times New Roman" w:hAnsi="Times New Roman" w:cs="Times New Roman"/>
          <w:sz w:val="24"/>
          <w:szCs w:val="24"/>
          <w:highlight w:val="yellow"/>
        </w:rPr>
        <w:t>-</w:t>
      </w:r>
      <w:r w:rsidR="00F233B2" w:rsidRPr="00001DC1">
        <w:rPr>
          <w:rFonts w:ascii="Times New Roman" w:hAnsi="Times New Roman" w:cs="Times New Roman"/>
          <w:sz w:val="24"/>
          <w:szCs w:val="24"/>
          <w:highlight w:val="yellow"/>
        </w:rPr>
        <w:t>compl</w:t>
      </w:r>
      <w:r w:rsidR="00A64A0D" w:rsidRPr="00001DC1">
        <w:rPr>
          <w:rFonts w:ascii="Times New Roman" w:hAnsi="Times New Roman" w:cs="Times New Roman"/>
          <w:sz w:val="24"/>
          <w:szCs w:val="24"/>
          <w:highlight w:val="yellow"/>
        </w:rPr>
        <w:t>ia</w:t>
      </w:r>
      <w:r w:rsidR="00F233B2" w:rsidRPr="00001DC1">
        <w:rPr>
          <w:rFonts w:ascii="Times New Roman" w:hAnsi="Times New Roman" w:cs="Times New Roman"/>
          <w:sz w:val="24"/>
          <w:szCs w:val="24"/>
          <w:highlight w:val="yellow"/>
        </w:rPr>
        <w:t xml:space="preserve">nt funds and stocks </w:t>
      </w:r>
      <w:r w:rsidR="001D13B4" w:rsidRPr="00001DC1">
        <w:rPr>
          <w:rFonts w:ascii="Times New Roman" w:hAnsi="Times New Roman" w:cs="Times New Roman"/>
          <w:sz w:val="24"/>
          <w:szCs w:val="24"/>
          <w:highlight w:val="yellow"/>
        </w:rPr>
        <w:t xml:space="preserve">perform </w:t>
      </w:r>
      <w:r w:rsidR="00F233B2" w:rsidRPr="00001DC1">
        <w:rPr>
          <w:rFonts w:ascii="Times New Roman" w:hAnsi="Times New Roman" w:cs="Times New Roman"/>
          <w:sz w:val="24"/>
          <w:szCs w:val="24"/>
          <w:highlight w:val="yellow"/>
        </w:rPr>
        <w:t xml:space="preserve">better </w:t>
      </w:r>
      <w:r w:rsidR="00847C01" w:rsidRPr="00001DC1">
        <w:rPr>
          <w:rFonts w:ascii="Times New Roman" w:hAnsi="Times New Roman" w:cs="Times New Roman"/>
          <w:sz w:val="24"/>
          <w:szCs w:val="24"/>
          <w:highlight w:val="yellow"/>
        </w:rPr>
        <w:t>than conventional alternatives</w:t>
      </w:r>
      <w:r w:rsidR="004150D4" w:rsidRPr="00001DC1">
        <w:rPr>
          <w:rFonts w:ascii="Times New Roman" w:hAnsi="Times New Roman" w:cs="Times New Roman"/>
          <w:sz w:val="24"/>
          <w:szCs w:val="24"/>
          <w:highlight w:val="yellow"/>
        </w:rPr>
        <w:t>,</w:t>
      </w:r>
      <w:r w:rsidR="00847C01" w:rsidRPr="00001DC1">
        <w:rPr>
          <w:rFonts w:ascii="Times New Roman" w:hAnsi="Times New Roman" w:cs="Times New Roman"/>
          <w:sz w:val="24"/>
          <w:szCs w:val="24"/>
          <w:highlight w:val="yellow"/>
        </w:rPr>
        <w:t xml:space="preserve"> even in </w:t>
      </w:r>
      <w:r w:rsidR="00F11B80" w:rsidRPr="00001DC1">
        <w:rPr>
          <w:rFonts w:ascii="Times New Roman" w:hAnsi="Times New Roman" w:cs="Times New Roman"/>
          <w:sz w:val="24"/>
          <w:szCs w:val="24"/>
          <w:highlight w:val="yellow"/>
        </w:rPr>
        <w:t xml:space="preserve">the </w:t>
      </w:r>
      <w:r w:rsidR="00847C01" w:rsidRPr="00001DC1">
        <w:rPr>
          <w:rFonts w:ascii="Times New Roman" w:hAnsi="Times New Roman" w:cs="Times New Roman"/>
          <w:sz w:val="24"/>
          <w:szCs w:val="24"/>
          <w:highlight w:val="yellow"/>
        </w:rPr>
        <w:t>non-Muslim majority states.</w:t>
      </w:r>
      <w:r w:rsidR="002A2731" w:rsidRPr="00001DC1">
        <w:rPr>
          <w:rFonts w:ascii="Times New Roman" w:hAnsi="Times New Roman" w:cs="Times New Roman"/>
          <w:sz w:val="24"/>
          <w:szCs w:val="24"/>
          <w:highlight w:val="yellow"/>
        </w:rPr>
        <w:t xml:space="preserve"> </w:t>
      </w:r>
      <w:r w:rsidR="0021756B" w:rsidRPr="00001DC1">
        <w:rPr>
          <w:rFonts w:ascii="Times New Roman" w:hAnsi="Times New Roman" w:cs="Times New Roman"/>
          <w:sz w:val="24"/>
          <w:szCs w:val="24"/>
          <w:highlight w:val="yellow"/>
        </w:rPr>
        <w:t>The</w:t>
      </w:r>
      <w:r w:rsidR="000A2EAC" w:rsidRPr="00001DC1">
        <w:rPr>
          <w:rFonts w:ascii="Times New Roman" w:hAnsi="Times New Roman" w:cs="Times New Roman"/>
          <w:sz w:val="24"/>
          <w:szCs w:val="24"/>
          <w:highlight w:val="yellow"/>
        </w:rPr>
        <w:t xml:space="preserve"> performance of Islamic funds is a function of their </w:t>
      </w:r>
      <w:r w:rsidR="000B781B" w:rsidRPr="00001DC1">
        <w:rPr>
          <w:rFonts w:ascii="Times New Roman" w:hAnsi="Times New Roman" w:cs="Times New Roman"/>
          <w:sz w:val="24"/>
          <w:szCs w:val="24"/>
          <w:highlight w:val="yellow"/>
        </w:rPr>
        <w:t>investing principles,</w:t>
      </w:r>
      <w:r w:rsidR="0016751E" w:rsidRPr="00001DC1">
        <w:rPr>
          <w:rFonts w:ascii="Times New Roman" w:hAnsi="Times New Roman" w:cs="Times New Roman"/>
          <w:sz w:val="24"/>
          <w:szCs w:val="24"/>
          <w:highlight w:val="yellow"/>
        </w:rPr>
        <w:t xml:space="preserve"> </w:t>
      </w:r>
      <w:r w:rsidR="000A2EAC" w:rsidRPr="00001DC1">
        <w:rPr>
          <w:rFonts w:ascii="Times New Roman" w:hAnsi="Times New Roman" w:cs="Times New Roman"/>
          <w:sz w:val="24"/>
          <w:szCs w:val="24"/>
          <w:highlight w:val="yellow"/>
        </w:rPr>
        <w:t>screeni</w:t>
      </w:r>
      <w:r w:rsidR="00483660" w:rsidRPr="00001DC1">
        <w:rPr>
          <w:rFonts w:ascii="Times New Roman" w:hAnsi="Times New Roman" w:cs="Times New Roman"/>
          <w:sz w:val="24"/>
          <w:szCs w:val="24"/>
          <w:highlight w:val="yellow"/>
        </w:rPr>
        <w:t>n</w:t>
      </w:r>
      <w:r w:rsidR="000A2EAC" w:rsidRPr="00001DC1">
        <w:rPr>
          <w:rFonts w:ascii="Times New Roman" w:hAnsi="Times New Roman" w:cs="Times New Roman"/>
          <w:sz w:val="24"/>
          <w:szCs w:val="24"/>
          <w:highlight w:val="yellow"/>
        </w:rPr>
        <w:t>g process, investment styles</w:t>
      </w:r>
      <w:r w:rsidR="004150D4" w:rsidRPr="00001DC1">
        <w:rPr>
          <w:rFonts w:ascii="Times New Roman" w:hAnsi="Times New Roman" w:cs="Times New Roman"/>
          <w:sz w:val="24"/>
          <w:szCs w:val="24"/>
          <w:highlight w:val="yellow"/>
        </w:rPr>
        <w:t>,</w:t>
      </w:r>
      <w:r w:rsidR="000F0CDB" w:rsidRPr="00001DC1">
        <w:rPr>
          <w:rFonts w:ascii="Times New Roman" w:hAnsi="Times New Roman" w:cs="Times New Roman"/>
          <w:sz w:val="24"/>
          <w:szCs w:val="24"/>
          <w:highlight w:val="yellow"/>
        </w:rPr>
        <w:t xml:space="preserve"> and timing.</w:t>
      </w:r>
      <w:r w:rsidR="006317BE" w:rsidRPr="00001DC1">
        <w:rPr>
          <w:rFonts w:ascii="Times New Roman" w:hAnsi="Times New Roman" w:cs="Times New Roman"/>
          <w:sz w:val="24"/>
          <w:szCs w:val="24"/>
          <w:highlight w:val="yellow"/>
        </w:rPr>
        <w:t xml:space="preserve"> </w:t>
      </w:r>
      <w:proofErr w:type="spellStart"/>
      <w:r w:rsidR="00F93B82" w:rsidRPr="00001DC1">
        <w:rPr>
          <w:rFonts w:ascii="Times New Roman" w:hAnsi="Times New Roman" w:cs="Times New Roman"/>
          <w:sz w:val="24"/>
          <w:szCs w:val="24"/>
          <w:highlight w:val="yellow"/>
        </w:rPr>
        <w:t>Hoepner</w:t>
      </w:r>
      <w:proofErr w:type="spellEnd"/>
      <w:r w:rsidR="00F93B82" w:rsidRPr="00001DC1">
        <w:rPr>
          <w:rFonts w:ascii="Times New Roman" w:hAnsi="Times New Roman" w:cs="Times New Roman"/>
          <w:sz w:val="24"/>
          <w:szCs w:val="24"/>
          <w:highlight w:val="yellow"/>
        </w:rPr>
        <w:t xml:space="preserve"> et al. (2011) documented size-related preferences in investment styl</w:t>
      </w:r>
      <w:r w:rsidR="006317BE" w:rsidRPr="00001DC1">
        <w:rPr>
          <w:rFonts w:ascii="Times New Roman" w:hAnsi="Times New Roman" w:cs="Times New Roman"/>
          <w:sz w:val="24"/>
          <w:szCs w:val="24"/>
          <w:highlight w:val="yellow"/>
        </w:rPr>
        <w:t>es</w:t>
      </w:r>
      <w:r w:rsidR="00A92688" w:rsidRPr="00001DC1">
        <w:rPr>
          <w:rFonts w:ascii="Times New Roman" w:hAnsi="Times New Roman" w:cs="Times New Roman"/>
          <w:sz w:val="24"/>
          <w:szCs w:val="24"/>
          <w:highlight w:val="yellow"/>
        </w:rPr>
        <w:t>,</w:t>
      </w:r>
      <w:r w:rsidR="006317BE" w:rsidRPr="00001DC1">
        <w:rPr>
          <w:rFonts w:ascii="Times New Roman" w:hAnsi="Times New Roman" w:cs="Times New Roman"/>
          <w:sz w:val="24"/>
          <w:szCs w:val="24"/>
          <w:highlight w:val="yellow"/>
        </w:rPr>
        <w:t xml:space="preserve"> while </w:t>
      </w:r>
      <w:r w:rsidR="006317BE" w:rsidRPr="00001DC1">
        <w:rPr>
          <w:rFonts w:ascii="Times New Roman" w:hAnsi="Times New Roman" w:cs="Times New Roman"/>
          <w:sz w:val="24"/>
          <w:szCs w:val="24"/>
          <w:highlight w:val="yellow"/>
        </w:rPr>
        <w:fldChar w:fldCharType="begin" w:fldLock="1"/>
      </w:r>
      <w:r w:rsidR="00F774A3" w:rsidRPr="00001DC1">
        <w:rPr>
          <w:rFonts w:ascii="Times New Roman" w:hAnsi="Times New Roman" w:cs="Times New Roman"/>
          <w:sz w:val="24"/>
          <w:szCs w:val="24"/>
          <w:highlight w:val="yellow"/>
        </w:rPr>
        <w:instrText>ADDIN CSL_CITATION {"citationItems":[{"id":"ITEM-1","itemData":{"DOI":"10.1016/j.rfe.2016.06.003","ISSN":"10583300","abstract":"Literature is rife with studies on efficiency of stock markets and financial performance aspects. One such aspect is the measurement of sectoral efficiency amongst stock markets. While there are several studies analysing sectorial efficiency, there is no study on the efficiency of Islamic sector indexes. The rise of Islamic indices has raised the question and multiple studies have been undertaken in exploring and validating the better performance from a risk return framework for the Islamic indices. This study attempts to pioneer in this niche area by conducting a comparative analysis of 10 sectoral global indices for both conventional and Islamic counterpart spanning over 18 years. The sample time period runs from 1 January 1996 until 31 December 2014. To further validate our study, we have divided our data into four major time periods, to factor in different phases the world markets have gone through in the sample period, i.e. 1996–2000; 2001–2002; 2003–2006 and 2006 to 2014. The methodology selected in understanding the efficiency of these sectoral stock indices is the multifractal de-trended fluctuation analysis (MFDFA). Our analysis reveals that in the shorter horizon, efficiency tends to follow a similar pattern amongst the conventional and Islamic counterpart. Furthermore, Islamic sectoral indices generally tend to exhibit a higher efficiency regime across the last decade. Overall, Islamic index seems to have stayed attractive and resilient, allowing conformity with the weak form efficient market hypothesis.","author":[{"dropping-particle":"","family":"Alam","given":"Nafis","non-dropping-particle":"","parse-names":false,"suffix":""},{"dropping-particle":"","family":"Arshad","given":"Shaista","non-dropping-particle":"","parse-names":false,"suffix":""},{"dropping-particle":"","family":"Rizvi","given":"Syed Aun R.","non-dropping-particle":"","parse-names":false,"suffix":""}],"container-title":"Review of Financial Economics","id":"ITEM-1","issued":{"date-parts":[["2016","11","1"]]},"page":"108-114","publisher":"Elsevier Inc.","title":"Do Islamic stock indices perform better than conventional counterparts? An empirical investigation of sectoral efficiency","type":"article-journal","volume":"31"},"uris":["http://www.mendeley.com/documents/?uuid=b5a57e6a-fc3e-3aa6-be0b-97a1c8848a77"]}],"mendeley":{"formattedCitation":"(Alam et al., 2016)","manualFormatting":"Alam et al. (2016)","plainTextFormattedCitation":"(Alam et al., 2016)","previouslyFormattedCitation":"(Alam et al., 2016)"},"properties":{"noteIndex":0},"schema":"https://github.com/citation-style-language/schema/raw/master/csl-citation.json"}</w:instrText>
      </w:r>
      <w:r w:rsidR="006317BE" w:rsidRPr="00001DC1">
        <w:rPr>
          <w:rFonts w:ascii="Times New Roman" w:hAnsi="Times New Roman" w:cs="Times New Roman"/>
          <w:sz w:val="24"/>
          <w:szCs w:val="24"/>
          <w:highlight w:val="yellow"/>
        </w:rPr>
        <w:fldChar w:fldCharType="separate"/>
      </w:r>
      <w:r w:rsidR="006317BE" w:rsidRPr="00001DC1">
        <w:rPr>
          <w:rFonts w:ascii="Times New Roman" w:hAnsi="Times New Roman" w:cs="Times New Roman"/>
          <w:noProof/>
          <w:sz w:val="24"/>
          <w:szCs w:val="24"/>
          <w:highlight w:val="yellow"/>
        </w:rPr>
        <w:t xml:space="preserve">Alam et al. </w:t>
      </w:r>
      <w:r w:rsidR="001B24F7" w:rsidRPr="00001DC1">
        <w:rPr>
          <w:rFonts w:ascii="Times New Roman" w:hAnsi="Times New Roman" w:cs="Times New Roman"/>
          <w:noProof/>
          <w:sz w:val="24"/>
          <w:szCs w:val="24"/>
          <w:highlight w:val="yellow"/>
        </w:rPr>
        <w:t>(</w:t>
      </w:r>
      <w:r w:rsidR="006317BE" w:rsidRPr="00001DC1">
        <w:rPr>
          <w:rFonts w:ascii="Times New Roman" w:hAnsi="Times New Roman" w:cs="Times New Roman"/>
          <w:noProof/>
          <w:sz w:val="24"/>
          <w:szCs w:val="24"/>
          <w:highlight w:val="yellow"/>
        </w:rPr>
        <w:t>2016)</w:t>
      </w:r>
      <w:r w:rsidR="006317BE" w:rsidRPr="00001DC1">
        <w:rPr>
          <w:rFonts w:ascii="Times New Roman" w:hAnsi="Times New Roman" w:cs="Times New Roman"/>
          <w:sz w:val="24"/>
          <w:szCs w:val="24"/>
          <w:highlight w:val="yellow"/>
        </w:rPr>
        <w:fldChar w:fldCharType="end"/>
      </w:r>
      <w:r w:rsidR="006317BE" w:rsidRPr="00001DC1">
        <w:rPr>
          <w:rFonts w:ascii="Times New Roman" w:hAnsi="Times New Roman" w:cs="Times New Roman"/>
          <w:sz w:val="24"/>
          <w:szCs w:val="24"/>
          <w:highlight w:val="yellow"/>
        </w:rPr>
        <w:t xml:space="preserve"> focused on </w:t>
      </w:r>
      <w:r w:rsidR="004150D4" w:rsidRPr="00001DC1">
        <w:rPr>
          <w:rFonts w:ascii="Times New Roman" w:hAnsi="Times New Roman" w:cs="Times New Roman"/>
          <w:sz w:val="24"/>
          <w:szCs w:val="24"/>
          <w:highlight w:val="yellow"/>
        </w:rPr>
        <w:t>Islamic funds' sectoral inclination</w:t>
      </w:r>
      <w:r w:rsidR="006317BE" w:rsidRPr="00001DC1">
        <w:rPr>
          <w:rFonts w:ascii="Times New Roman" w:hAnsi="Times New Roman" w:cs="Times New Roman"/>
          <w:sz w:val="24"/>
          <w:szCs w:val="24"/>
          <w:highlight w:val="yellow"/>
        </w:rPr>
        <w:t>.</w:t>
      </w:r>
      <w:r w:rsidR="00BF4D6F" w:rsidRPr="00001DC1">
        <w:rPr>
          <w:rFonts w:ascii="Times New Roman" w:hAnsi="Times New Roman" w:cs="Times New Roman"/>
          <w:sz w:val="24"/>
          <w:szCs w:val="24"/>
          <w:highlight w:val="yellow"/>
        </w:rPr>
        <w:t xml:space="preserve"> </w:t>
      </w:r>
      <w:r w:rsidR="008E4646" w:rsidRPr="00001DC1">
        <w:rPr>
          <w:rFonts w:ascii="Times New Roman" w:hAnsi="Times New Roman" w:cs="Times New Roman"/>
          <w:sz w:val="24"/>
          <w:szCs w:val="24"/>
          <w:highlight w:val="yellow"/>
        </w:rPr>
        <w:fldChar w:fldCharType="begin" w:fldLock="1"/>
      </w:r>
      <w:r w:rsidR="002C68B6" w:rsidRPr="00001DC1">
        <w:rPr>
          <w:rFonts w:ascii="Times New Roman" w:hAnsi="Times New Roman" w:cs="Times New Roman"/>
          <w:sz w:val="24"/>
          <w:szCs w:val="24"/>
          <w:highlight w:val="yellow"/>
        </w:rPr>
        <w:instrText>ADDIN CSL_CITATION {"citationItems":[{"id":"ITEM-1","itemData":{"DOI":"10.1016/j.ememar.2011.02.002","ISSN":"15660141","abstract":"Islamic equity funds (IEFs) differ fundamentally from conventional equity funds since Muslims are prohibited to invest in certain companies/sectors and pay or receive interest. This paper analyzes the risk and return characteristics of a sample of 145 IEFs over the period 2000 to 2009. Our results show that IEFs are underperformers compared to Islamic as well as to conventional equity benchmarks. This underperformance seems to have increased during the recent financial crisis. We also find that IEF managers are bad market timers. They try to time the market, but in doing so, reduce the return rather than increasing it. An important implication of our results is that Muslim investors might improve their performance by investing in index tracking funds or ETFs rather than to invest in individual IEFs. © 2011 Elsevier B.V.","author":[{"dropping-particle":"","family":"Hayat","given":"Raphie","non-dropping-particle":"","parse-names":false,"suffix":""},{"dropping-particle":"","family":"Kraeussl","given":"Roman","non-dropping-particle":"","parse-names":false,"suffix":""}],"container-title":"Emerging Markets Review","id":"ITEM-1","issue":"2","issued":{"date-parts":[["2011","6","1"]]},"page":"189-203","publisher":"North-Holland","title":"Risk and return characteristics of Islamic equity funds","type":"article-journal","volume":"12"},"uris":["http://www.mendeley.com/documents/?uuid=427dfff3-9aa2-3132-986a-a7cd121a08a6"]}],"mendeley":{"formattedCitation":"(Hayat &amp; Kraeussl, 2011)","plainTextFormattedCitation":"(Hayat &amp; Kraeussl, 2011)","previouslyFormattedCitation":"(Hayat &amp; Kraeussl, 2011)"},"properties":{"noteIndex":0},"schema":"https://github.com/citation-style-language/schema/raw/master/csl-citation.json"}</w:instrText>
      </w:r>
      <w:r w:rsidR="008E4646" w:rsidRPr="00001DC1">
        <w:rPr>
          <w:rFonts w:ascii="Times New Roman" w:hAnsi="Times New Roman" w:cs="Times New Roman"/>
          <w:sz w:val="24"/>
          <w:szCs w:val="24"/>
          <w:highlight w:val="yellow"/>
        </w:rPr>
        <w:fldChar w:fldCharType="separate"/>
      </w:r>
      <w:r w:rsidR="008E4646" w:rsidRPr="00001DC1">
        <w:rPr>
          <w:rFonts w:ascii="Times New Roman" w:hAnsi="Times New Roman" w:cs="Times New Roman"/>
          <w:noProof/>
          <w:sz w:val="24"/>
          <w:szCs w:val="24"/>
          <w:highlight w:val="yellow"/>
        </w:rPr>
        <w:t>(Hayat &amp; Kraeussl, 2011)</w:t>
      </w:r>
      <w:r w:rsidR="008E4646" w:rsidRPr="00001DC1">
        <w:rPr>
          <w:rFonts w:ascii="Times New Roman" w:hAnsi="Times New Roman" w:cs="Times New Roman"/>
          <w:sz w:val="24"/>
          <w:szCs w:val="24"/>
          <w:highlight w:val="yellow"/>
        </w:rPr>
        <w:fldChar w:fldCharType="end"/>
      </w:r>
      <w:r w:rsidR="002B3CD3" w:rsidRPr="00001DC1">
        <w:rPr>
          <w:rFonts w:ascii="Times New Roman" w:hAnsi="Times New Roman" w:cs="Times New Roman"/>
          <w:sz w:val="24"/>
          <w:szCs w:val="24"/>
          <w:highlight w:val="yellow"/>
        </w:rPr>
        <w:t xml:space="preserve"> </w:t>
      </w:r>
      <w:r w:rsidR="00683246" w:rsidRPr="00001DC1">
        <w:rPr>
          <w:rFonts w:ascii="Times New Roman" w:hAnsi="Times New Roman" w:cs="Times New Roman"/>
          <w:sz w:val="24"/>
          <w:szCs w:val="24"/>
          <w:highlight w:val="yellow"/>
        </w:rPr>
        <w:t xml:space="preserve">suggested that </w:t>
      </w:r>
      <w:r w:rsidR="007E0F14" w:rsidRPr="00001DC1">
        <w:rPr>
          <w:rFonts w:ascii="Times New Roman" w:hAnsi="Times New Roman" w:cs="Times New Roman"/>
          <w:sz w:val="24"/>
          <w:szCs w:val="24"/>
          <w:highlight w:val="yellow"/>
        </w:rPr>
        <w:t xml:space="preserve">Islamic funds underperform </w:t>
      </w:r>
      <w:r w:rsidR="00A7117C" w:rsidRPr="00001DC1">
        <w:rPr>
          <w:rFonts w:ascii="Times New Roman" w:hAnsi="Times New Roman" w:cs="Times New Roman"/>
          <w:sz w:val="24"/>
          <w:szCs w:val="24"/>
          <w:highlight w:val="yellow"/>
        </w:rPr>
        <w:t>the equity benchmarks.</w:t>
      </w:r>
      <w:r w:rsidR="004979CE" w:rsidRPr="00001DC1">
        <w:rPr>
          <w:rFonts w:ascii="Times New Roman" w:hAnsi="Times New Roman" w:cs="Times New Roman"/>
          <w:sz w:val="24"/>
          <w:szCs w:val="24"/>
          <w:highlight w:val="yellow"/>
        </w:rPr>
        <w:t xml:space="preserve"> They proposed that </w:t>
      </w:r>
      <w:r w:rsidR="0002663E" w:rsidRPr="00001DC1">
        <w:rPr>
          <w:rFonts w:ascii="Times New Roman" w:hAnsi="Times New Roman" w:cs="Times New Roman"/>
          <w:sz w:val="24"/>
          <w:szCs w:val="24"/>
          <w:highlight w:val="yellow"/>
        </w:rPr>
        <w:t>index-tracking funds are better options tha</w:t>
      </w:r>
      <w:r w:rsidR="00D7630E" w:rsidRPr="00001DC1">
        <w:rPr>
          <w:rFonts w:ascii="Times New Roman" w:hAnsi="Times New Roman" w:cs="Times New Roman"/>
          <w:sz w:val="24"/>
          <w:szCs w:val="24"/>
          <w:highlight w:val="yellow"/>
        </w:rPr>
        <w:t>n</w:t>
      </w:r>
      <w:r w:rsidR="0002663E" w:rsidRPr="00001DC1">
        <w:rPr>
          <w:rFonts w:ascii="Times New Roman" w:hAnsi="Times New Roman" w:cs="Times New Roman"/>
          <w:sz w:val="24"/>
          <w:szCs w:val="24"/>
          <w:highlight w:val="yellow"/>
        </w:rPr>
        <w:t xml:space="preserve"> individual equity funds. </w:t>
      </w:r>
      <w:r w:rsidR="00D7630E" w:rsidRPr="00001DC1">
        <w:rPr>
          <w:rFonts w:ascii="Times New Roman" w:hAnsi="Times New Roman" w:cs="Times New Roman"/>
          <w:sz w:val="24"/>
          <w:szCs w:val="24"/>
          <w:highlight w:val="yellow"/>
        </w:rPr>
        <w:t>We believe that th</w:t>
      </w:r>
      <w:r w:rsidR="00D62CBD" w:rsidRPr="00001DC1">
        <w:rPr>
          <w:rFonts w:ascii="Times New Roman" w:hAnsi="Times New Roman" w:cs="Times New Roman"/>
          <w:sz w:val="24"/>
          <w:szCs w:val="24"/>
          <w:highlight w:val="yellow"/>
        </w:rPr>
        <w:t>ese</w:t>
      </w:r>
      <w:r w:rsidR="00D7630E" w:rsidRPr="00001DC1">
        <w:rPr>
          <w:rFonts w:ascii="Times New Roman" w:hAnsi="Times New Roman" w:cs="Times New Roman"/>
          <w:sz w:val="24"/>
          <w:szCs w:val="24"/>
          <w:highlight w:val="yellow"/>
        </w:rPr>
        <w:t xml:space="preserve"> </w:t>
      </w:r>
      <w:proofErr w:type="gramStart"/>
      <w:r w:rsidR="00D7630E" w:rsidRPr="00001DC1">
        <w:rPr>
          <w:rFonts w:ascii="Times New Roman" w:hAnsi="Times New Roman" w:cs="Times New Roman"/>
          <w:sz w:val="24"/>
          <w:szCs w:val="24"/>
          <w:highlight w:val="yellow"/>
        </w:rPr>
        <w:t>particular results</w:t>
      </w:r>
      <w:proofErr w:type="gramEnd"/>
      <w:r w:rsidR="00D7630E" w:rsidRPr="00001DC1">
        <w:rPr>
          <w:rFonts w:ascii="Times New Roman" w:hAnsi="Times New Roman" w:cs="Times New Roman"/>
          <w:sz w:val="24"/>
          <w:szCs w:val="24"/>
          <w:highlight w:val="yellow"/>
        </w:rPr>
        <w:t xml:space="preserve"> could be </w:t>
      </w:r>
      <w:r w:rsidR="00D62CBD" w:rsidRPr="00001DC1">
        <w:rPr>
          <w:rFonts w:ascii="Times New Roman" w:hAnsi="Times New Roman" w:cs="Times New Roman"/>
          <w:sz w:val="24"/>
          <w:szCs w:val="24"/>
          <w:highlight w:val="yellow"/>
        </w:rPr>
        <w:t>time-specific, and it is interesting to evaluate how Islamic funds are doing after almost a decade</w:t>
      </w:r>
      <w:r w:rsidR="00C42CEB" w:rsidRPr="00001DC1">
        <w:rPr>
          <w:rFonts w:ascii="Times New Roman" w:hAnsi="Times New Roman" w:cs="Times New Roman"/>
          <w:sz w:val="24"/>
          <w:szCs w:val="24"/>
          <w:highlight w:val="yellow"/>
        </w:rPr>
        <w:t xml:space="preserve"> of this study. </w:t>
      </w:r>
    </w:p>
    <w:p w14:paraId="1263A3BD" w14:textId="01E52419" w:rsidR="004B76C6" w:rsidRDefault="001B24F7" w:rsidP="004B76C6">
      <w:pPr>
        <w:spacing w:after="0" w:line="480" w:lineRule="auto"/>
        <w:ind w:firstLine="720"/>
        <w:jc w:val="both"/>
        <w:rPr>
          <w:rFonts w:ascii="Times New Roman" w:hAnsi="Times New Roman" w:cs="Times New Roman"/>
          <w:sz w:val="24"/>
          <w:szCs w:val="24"/>
        </w:rPr>
      </w:pPr>
      <w:r w:rsidRPr="00001DC1">
        <w:rPr>
          <w:rFonts w:ascii="Times New Roman" w:hAnsi="Times New Roman" w:cs="Times New Roman"/>
          <w:sz w:val="24"/>
          <w:szCs w:val="24"/>
          <w:highlight w:val="yellow"/>
        </w:rPr>
        <w:t xml:space="preserve">Furthermore, </w:t>
      </w:r>
      <w:r w:rsidR="006317BE" w:rsidRPr="00001DC1">
        <w:rPr>
          <w:rFonts w:ascii="Times New Roman" w:hAnsi="Times New Roman" w:cs="Times New Roman"/>
          <w:sz w:val="24"/>
          <w:szCs w:val="24"/>
          <w:highlight w:val="yellow"/>
        </w:rPr>
        <w:fldChar w:fldCharType="begin" w:fldLock="1"/>
      </w:r>
      <w:r w:rsidR="00F774A3" w:rsidRPr="00001DC1">
        <w:rPr>
          <w:rFonts w:ascii="Times New Roman" w:hAnsi="Times New Roman" w:cs="Times New Roman"/>
          <w:sz w:val="24"/>
          <w:szCs w:val="24"/>
          <w:highlight w:val="yellow"/>
        </w:rPr>
        <w:instrText>ADDIN CSL_CITATION {"citationItems":[{"id":"ITEM-1","itemData":{"DOI":"10.2298/EKA1921107T","ISSN":"00133264","abstract":"This study compares the momentum profitability of Islamic and conventional stocks in Malaysia and examines whether the presence of momentum profits is market-state dependent. Winner portfolios are shown to outperform loser portfolios, suggesting that a momentum effect exists in the equity market. Islamic stocks exhibit stronger momentum than conventional stocks. Interestingly, although pursuing profit is not the primary goal of Islamic stock investors, the findings indicate that momentum profits for all Islamic stock trading strategies are higher than those for conventional stocks. The profits from momentum strategies for both stocks are market-state dependent. In all trading strategies, while there are significant positive momentum profits following market upturns, there is no evidence of profits subsequent to market downturns. Overall, Islamic stocks yield higher momentum profits than conventional stocks across market states. These findings are robust to using various measures of the state of the market. While the presence of momentum profits is also robust to the inclusion of Fama-French's (1993) risk factors, the risk factors are unable to explain momentum profits, suggesting that the risk-adjusted momentum profits are not due to risk compensation. Rather, the profitability is evidence of stock mispricing.","author":[{"dropping-particle":"","family":"Tee","given":"Lain Tze","non-dropping-particle":"","parse-names":false,"suffix":""},{"dropping-particle":"","family":"Kew","given":"Si Roei","non-dropping-particle":"","parse-names":false,"suffix":""},{"dropping-particle":"","family":"Low","given":"Soo Wah","non-dropping-particle":"","parse-names":false,"suffix":""}],"container-title":"Economic Annals","id":"ITEM-1","issue":"221","issued":{"date-parts":[["2019"]]},"page":"107-129","publisher":"University of Belgrade","title":"Do momentum strategies perform better for Islamic stocks than for conventional stocks across market states?","type":"article-journal","volume":"64"},"uris":["http://www.mendeley.com/documents/?uuid=730f1dc9-e1f3-3c99-bae9-bf1438ee625f"]}],"mendeley":{"formattedCitation":"(Tee et al., 2019)","manualFormatting":"Tee et al. (2019)","plainTextFormattedCitation":"(Tee et al., 2019)","previouslyFormattedCitation":"(Tee et al., 2019)"},"properties":{"noteIndex":0},"schema":"https://github.com/citation-style-language/schema/raw/master/csl-citation.json"}</w:instrText>
      </w:r>
      <w:r w:rsidR="006317BE" w:rsidRPr="00001DC1">
        <w:rPr>
          <w:rFonts w:ascii="Times New Roman" w:hAnsi="Times New Roman" w:cs="Times New Roman"/>
          <w:sz w:val="24"/>
          <w:szCs w:val="24"/>
          <w:highlight w:val="yellow"/>
        </w:rPr>
        <w:fldChar w:fldCharType="separate"/>
      </w:r>
      <w:r w:rsidR="006317BE" w:rsidRPr="00001DC1">
        <w:rPr>
          <w:rFonts w:ascii="Times New Roman" w:hAnsi="Times New Roman" w:cs="Times New Roman"/>
          <w:noProof/>
          <w:sz w:val="24"/>
          <w:szCs w:val="24"/>
          <w:highlight w:val="yellow"/>
        </w:rPr>
        <w:t>Tee et al.</w:t>
      </w:r>
      <w:r w:rsidR="006528E4" w:rsidRPr="00001DC1">
        <w:rPr>
          <w:rFonts w:ascii="Times New Roman" w:hAnsi="Times New Roman" w:cs="Times New Roman"/>
          <w:noProof/>
          <w:sz w:val="24"/>
          <w:szCs w:val="24"/>
          <w:highlight w:val="yellow"/>
        </w:rPr>
        <w:t xml:space="preserve"> </w:t>
      </w:r>
      <w:r w:rsidRPr="00001DC1">
        <w:rPr>
          <w:rFonts w:ascii="Times New Roman" w:hAnsi="Times New Roman" w:cs="Times New Roman"/>
          <w:noProof/>
          <w:sz w:val="24"/>
          <w:szCs w:val="24"/>
          <w:highlight w:val="yellow"/>
        </w:rPr>
        <w:t>(</w:t>
      </w:r>
      <w:r w:rsidR="006317BE" w:rsidRPr="00001DC1">
        <w:rPr>
          <w:rFonts w:ascii="Times New Roman" w:hAnsi="Times New Roman" w:cs="Times New Roman"/>
          <w:noProof/>
          <w:sz w:val="24"/>
          <w:szCs w:val="24"/>
          <w:highlight w:val="yellow"/>
        </w:rPr>
        <w:t>2019)</w:t>
      </w:r>
      <w:r w:rsidR="006317BE" w:rsidRPr="00001DC1">
        <w:rPr>
          <w:rFonts w:ascii="Times New Roman" w:hAnsi="Times New Roman" w:cs="Times New Roman"/>
          <w:sz w:val="24"/>
          <w:szCs w:val="24"/>
          <w:highlight w:val="yellow"/>
        </w:rPr>
        <w:fldChar w:fldCharType="end"/>
      </w:r>
      <w:r w:rsidR="006317BE" w:rsidRPr="00001DC1">
        <w:rPr>
          <w:rFonts w:ascii="Times New Roman" w:hAnsi="Times New Roman" w:cs="Times New Roman"/>
          <w:sz w:val="24"/>
          <w:szCs w:val="24"/>
          <w:highlight w:val="yellow"/>
        </w:rPr>
        <w:t xml:space="preserve"> and </w:t>
      </w:r>
      <w:r w:rsidR="006317BE" w:rsidRPr="00001DC1">
        <w:rPr>
          <w:rFonts w:ascii="Times New Roman" w:hAnsi="Times New Roman" w:cs="Times New Roman"/>
          <w:sz w:val="24"/>
          <w:szCs w:val="24"/>
          <w:highlight w:val="yellow"/>
        </w:rPr>
        <w:fldChar w:fldCharType="begin" w:fldLock="1"/>
      </w:r>
      <w:r w:rsidR="00F774A3" w:rsidRPr="00001DC1">
        <w:rPr>
          <w:rFonts w:ascii="Times New Roman" w:hAnsi="Times New Roman" w:cs="Times New Roman"/>
          <w:sz w:val="24"/>
          <w:szCs w:val="24"/>
          <w:highlight w:val="yellow"/>
        </w:rPr>
        <w:instrText>ADDIN CSL_CITATION {"citationItems":[{"id":"ITEM-1","itemData":{"DOI":"10.1080/00036846.2018.1488068","ISSN":"14664283","abstract":"We search for differences in both unconditional and conditional momentum returns of Islamic and Non-Islamic stocks and test implications of competing behavioural theories that aim to explain momentum returns. Our results show that there is no significant difference in momentum returns between Islamic versus Non-Islamic stocks with respect to both cross-sectional (CS) and time-series (TS) momentum strategies even when we condition momentum returns on market dynamics, information uncertainty and idiosyncratic volatility. We also find that the TS strategy outperforms (underperforms) the CS strategy in market continuations (transitions) consistent with the recent evidence in the U.S. market. Furthermore, we find that CS and TS strategies of both Islamic and Non-Islamic stocks are profitable only when the market continues in the same state consistent with overconfidence driving momentum returns of both Islamic and Non-Islamic stocks.","author":[{"dropping-particle":"","family":"Cheema","given":"Muhammad A.","non-dropping-particle":"","parse-names":false,"suffix":""},{"dropping-particle":"V.","family":"Nartea","given":"Gilbert","non-dropping-particle":"","parse-names":false,"suffix":""}],"container-title":"Applied Economics","id":"ITEM-1","issue":"54","issued":{"date-parts":[["2018","11","20"]]},"page":"5830-5845","publisher":"Routledge","title":"Cross-sectional and time-series momentum returns: are Islamic stocks different?","type":"article-journal","volume":"50"},"uris":["http://www.mendeley.com/documents/?uuid=417cc1f3-140a-3e87-acf7-a5caaa8c0837"]}],"mendeley":{"formattedCitation":"(Cheema &amp; Nartea, 2018)","manualFormatting":"Cheema and Nartea (2018)","plainTextFormattedCitation":"(Cheema &amp; Nartea, 2018)","previouslyFormattedCitation":"(Cheema &amp; Nartea, 2018)"},"properties":{"noteIndex":0},"schema":"https://github.com/citation-style-language/schema/raw/master/csl-citation.json"}</w:instrText>
      </w:r>
      <w:r w:rsidR="006317BE" w:rsidRPr="00001DC1">
        <w:rPr>
          <w:rFonts w:ascii="Times New Roman" w:hAnsi="Times New Roman" w:cs="Times New Roman"/>
          <w:sz w:val="24"/>
          <w:szCs w:val="24"/>
          <w:highlight w:val="yellow"/>
        </w:rPr>
        <w:fldChar w:fldCharType="separate"/>
      </w:r>
      <w:r w:rsidR="006317BE" w:rsidRPr="00001DC1">
        <w:rPr>
          <w:rFonts w:ascii="Times New Roman" w:hAnsi="Times New Roman" w:cs="Times New Roman"/>
          <w:noProof/>
          <w:sz w:val="24"/>
          <w:szCs w:val="24"/>
          <w:highlight w:val="yellow"/>
        </w:rPr>
        <w:t xml:space="preserve">Cheema </w:t>
      </w:r>
      <w:r w:rsidRPr="00001DC1">
        <w:rPr>
          <w:rFonts w:ascii="Times New Roman" w:hAnsi="Times New Roman" w:cs="Times New Roman"/>
          <w:noProof/>
          <w:sz w:val="24"/>
          <w:szCs w:val="24"/>
          <w:highlight w:val="yellow"/>
        </w:rPr>
        <w:t xml:space="preserve">and </w:t>
      </w:r>
      <w:r w:rsidR="006317BE" w:rsidRPr="00001DC1">
        <w:rPr>
          <w:rFonts w:ascii="Times New Roman" w:hAnsi="Times New Roman" w:cs="Times New Roman"/>
          <w:noProof/>
          <w:sz w:val="24"/>
          <w:szCs w:val="24"/>
          <w:highlight w:val="yellow"/>
        </w:rPr>
        <w:t>Nartea</w:t>
      </w:r>
      <w:r w:rsidR="004B3DBE" w:rsidRPr="00001DC1">
        <w:rPr>
          <w:rFonts w:ascii="Times New Roman" w:hAnsi="Times New Roman" w:cs="Times New Roman"/>
          <w:noProof/>
          <w:sz w:val="24"/>
          <w:szCs w:val="24"/>
          <w:highlight w:val="yellow"/>
        </w:rPr>
        <w:t xml:space="preserve"> </w:t>
      </w:r>
      <w:r w:rsidRPr="00001DC1">
        <w:rPr>
          <w:rFonts w:ascii="Times New Roman" w:hAnsi="Times New Roman" w:cs="Times New Roman"/>
          <w:noProof/>
          <w:sz w:val="24"/>
          <w:szCs w:val="24"/>
          <w:highlight w:val="yellow"/>
        </w:rPr>
        <w:t>(</w:t>
      </w:r>
      <w:r w:rsidR="006317BE" w:rsidRPr="00001DC1">
        <w:rPr>
          <w:rFonts w:ascii="Times New Roman" w:hAnsi="Times New Roman" w:cs="Times New Roman"/>
          <w:noProof/>
          <w:sz w:val="24"/>
          <w:szCs w:val="24"/>
          <w:highlight w:val="yellow"/>
        </w:rPr>
        <w:t>2018)</w:t>
      </w:r>
      <w:r w:rsidR="006317BE" w:rsidRPr="00001DC1">
        <w:rPr>
          <w:rFonts w:ascii="Times New Roman" w:hAnsi="Times New Roman" w:cs="Times New Roman"/>
          <w:sz w:val="24"/>
          <w:szCs w:val="24"/>
          <w:highlight w:val="yellow"/>
        </w:rPr>
        <w:fldChar w:fldCharType="end"/>
      </w:r>
      <w:r w:rsidR="006317BE" w:rsidRPr="00001DC1">
        <w:rPr>
          <w:rFonts w:ascii="Times New Roman" w:hAnsi="Times New Roman" w:cs="Times New Roman"/>
          <w:sz w:val="24"/>
          <w:szCs w:val="24"/>
          <w:highlight w:val="yellow"/>
        </w:rPr>
        <w:t xml:space="preserve"> suggest that </w:t>
      </w:r>
      <w:r w:rsidR="00184F56" w:rsidRPr="00001DC1">
        <w:rPr>
          <w:rFonts w:ascii="Times New Roman" w:hAnsi="Times New Roman" w:cs="Times New Roman"/>
          <w:sz w:val="24"/>
          <w:szCs w:val="24"/>
          <w:highlight w:val="yellow"/>
        </w:rPr>
        <w:t>these</w:t>
      </w:r>
      <w:r w:rsidR="0001236C" w:rsidRPr="00001DC1">
        <w:rPr>
          <w:rFonts w:ascii="Times New Roman" w:hAnsi="Times New Roman" w:cs="Times New Roman"/>
          <w:sz w:val="24"/>
          <w:szCs w:val="24"/>
          <w:highlight w:val="yellow"/>
        </w:rPr>
        <w:t xml:space="preserve"> funds</w:t>
      </w:r>
      <w:r w:rsidR="00496485" w:rsidRPr="00001DC1">
        <w:rPr>
          <w:rFonts w:ascii="Times New Roman" w:hAnsi="Times New Roman" w:cs="Times New Roman"/>
          <w:sz w:val="24"/>
          <w:szCs w:val="24"/>
          <w:highlight w:val="yellow"/>
        </w:rPr>
        <w:t xml:space="preserve"> </w:t>
      </w:r>
      <w:r w:rsidRPr="00001DC1">
        <w:rPr>
          <w:rFonts w:ascii="Times New Roman" w:hAnsi="Times New Roman" w:cs="Times New Roman"/>
          <w:sz w:val="24"/>
          <w:szCs w:val="24"/>
          <w:highlight w:val="yellow"/>
        </w:rPr>
        <w:t xml:space="preserve">might </w:t>
      </w:r>
      <w:r w:rsidR="00496485" w:rsidRPr="00001DC1">
        <w:rPr>
          <w:rFonts w:ascii="Times New Roman" w:hAnsi="Times New Roman" w:cs="Times New Roman"/>
          <w:sz w:val="24"/>
          <w:szCs w:val="24"/>
          <w:highlight w:val="yellow"/>
        </w:rPr>
        <w:t>benefit from momentum returns.</w:t>
      </w:r>
      <w:r w:rsidR="006E04CF" w:rsidRPr="00001DC1">
        <w:rPr>
          <w:rFonts w:ascii="Times New Roman" w:hAnsi="Times New Roman" w:cs="Times New Roman"/>
          <w:sz w:val="24"/>
          <w:szCs w:val="24"/>
          <w:highlight w:val="yellow"/>
        </w:rPr>
        <w:t xml:space="preserve"> </w:t>
      </w:r>
      <w:r w:rsidRPr="00001DC1">
        <w:rPr>
          <w:rFonts w:ascii="Times New Roman" w:hAnsi="Times New Roman" w:cs="Times New Roman"/>
          <w:sz w:val="24"/>
          <w:szCs w:val="24"/>
          <w:highlight w:val="yellow"/>
        </w:rPr>
        <w:t>There are many papers focused on</w:t>
      </w:r>
      <w:r w:rsidR="000D3DF0" w:rsidRPr="00001DC1">
        <w:rPr>
          <w:rFonts w:ascii="Times New Roman" w:hAnsi="Times New Roman" w:cs="Times New Roman"/>
          <w:sz w:val="24"/>
          <w:szCs w:val="24"/>
          <w:highlight w:val="yellow"/>
        </w:rPr>
        <w:t xml:space="preserve"> conventional funds</w:t>
      </w:r>
      <w:r w:rsidR="00A87236" w:rsidRPr="00001DC1">
        <w:rPr>
          <w:rFonts w:ascii="Times New Roman" w:hAnsi="Times New Roman" w:cs="Times New Roman"/>
          <w:sz w:val="24"/>
          <w:szCs w:val="24"/>
          <w:highlight w:val="yellow"/>
        </w:rPr>
        <w:t>;</w:t>
      </w:r>
      <w:r w:rsidR="000D3DF0" w:rsidRPr="00001DC1">
        <w:rPr>
          <w:rFonts w:ascii="Times New Roman" w:hAnsi="Times New Roman" w:cs="Times New Roman"/>
          <w:sz w:val="24"/>
          <w:szCs w:val="24"/>
          <w:highlight w:val="yellow"/>
        </w:rPr>
        <w:t xml:space="preserve"> </w:t>
      </w:r>
      <w:r w:rsidR="000D3DF0" w:rsidRPr="00001DC1">
        <w:rPr>
          <w:rFonts w:ascii="Times New Roman" w:hAnsi="Times New Roman" w:cs="Times New Roman"/>
          <w:sz w:val="24"/>
          <w:szCs w:val="24"/>
          <w:highlight w:val="yellow"/>
        </w:rPr>
        <w:fldChar w:fldCharType="begin" w:fldLock="1"/>
      </w:r>
      <w:r w:rsidR="00F774A3" w:rsidRPr="00001DC1">
        <w:rPr>
          <w:rFonts w:ascii="Times New Roman" w:hAnsi="Times New Roman" w:cs="Times New Roman"/>
          <w:sz w:val="24"/>
          <w:szCs w:val="24"/>
          <w:highlight w:val="yellow"/>
        </w:rPr>
        <w:instrText>ADDIN CSL_CITATION {"citationItems":[{"id":"ITEM-1","itemData":{"DOI":"10.1016/j.jbankfin.2017.01.009","ISSN":"03784266","abstract":"This paper documents that small-cap mutual funds allocate on average 27% of their portfolio to mid- and large-cap stocks. We find that larger and older small-cap funds are more likely to hold mid- and large-cap stocks, consistent with funds straying from their objective over time. Funds that invest heavily in mid- and large-cap stocks expose their investors to unanticipated risks but investors do not experience higher abnormal returns or performance persistence overall. These funds did outperform their peers by 3% annually in the most recent period between January 2003 and March 2010.","author":[{"dropping-particle":"","family":"Cao","given":"Charles","non-dropping-particle":"","parse-names":false,"suffix":""},{"dropping-particle":"","family":"Iliev","given":"Peter","non-dropping-particle":"","parse-names":false,"suffix":""},{"dropping-particle":"","family":"Velthuis","given":"Raisa","non-dropping-particle":"","parse-names":false,"suffix":""}],"container-title":"Journal of Banking and Finance","id":"ITEM-1","issued":{"date-parts":[["2017","5","1"]]},"page":"42-57","publisher":"Elsevier B.V.","title":"Style drift: Evidence from small-cap mutual funds","type":"article-journal","volume":"78"},"uris":["http://www.mendeley.com/documents/?uuid=fc91f51e-9943-3605-8b28-7a74421ddfe0"]}],"mendeley":{"formattedCitation":"(Cao et al., 2017)","manualFormatting":"for example, Cao et al.(2017)","plainTextFormattedCitation":"(Cao et al., 2017)","previouslyFormattedCitation":"(Cao et al., 2017)"},"properties":{"noteIndex":0},"schema":"https://github.com/citation-style-language/schema/raw/master/csl-citation.json"}</w:instrText>
      </w:r>
      <w:r w:rsidR="000D3DF0" w:rsidRPr="00001DC1">
        <w:rPr>
          <w:rFonts w:ascii="Times New Roman" w:hAnsi="Times New Roman" w:cs="Times New Roman"/>
          <w:sz w:val="24"/>
          <w:szCs w:val="24"/>
          <w:highlight w:val="yellow"/>
        </w:rPr>
        <w:fldChar w:fldCharType="separate"/>
      </w:r>
      <w:r w:rsidRPr="00001DC1">
        <w:rPr>
          <w:rFonts w:ascii="Times New Roman" w:hAnsi="Times New Roman" w:cs="Times New Roman"/>
          <w:noProof/>
          <w:sz w:val="24"/>
          <w:szCs w:val="24"/>
          <w:highlight w:val="yellow"/>
        </w:rPr>
        <w:t xml:space="preserve">for example, </w:t>
      </w:r>
      <w:r w:rsidR="000D3DF0" w:rsidRPr="00001DC1">
        <w:rPr>
          <w:rFonts w:ascii="Times New Roman" w:hAnsi="Times New Roman" w:cs="Times New Roman"/>
          <w:noProof/>
          <w:sz w:val="24"/>
          <w:szCs w:val="24"/>
          <w:highlight w:val="yellow"/>
        </w:rPr>
        <w:t>Cao et al.</w:t>
      </w:r>
      <w:r w:rsidRPr="00001DC1">
        <w:rPr>
          <w:rFonts w:ascii="Times New Roman" w:hAnsi="Times New Roman" w:cs="Times New Roman"/>
          <w:noProof/>
          <w:sz w:val="24"/>
          <w:szCs w:val="24"/>
          <w:highlight w:val="yellow"/>
        </w:rPr>
        <w:t>(</w:t>
      </w:r>
      <w:r w:rsidR="000D3DF0" w:rsidRPr="00001DC1">
        <w:rPr>
          <w:rFonts w:ascii="Times New Roman" w:hAnsi="Times New Roman" w:cs="Times New Roman"/>
          <w:noProof/>
          <w:sz w:val="24"/>
          <w:szCs w:val="24"/>
          <w:highlight w:val="yellow"/>
        </w:rPr>
        <w:t>2017)</w:t>
      </w:r>
      <w:r w:rsidR="000D3DF0" w:rsidRPr="00001DC1">
        <w:rPr>
          <w:rFonts w:ascii="Times New Roman" w:hAnsi="Times New Roman" w:cs="Times New Roman"/>
          <w:sz w:val="24"/>
          <w:szCs w:val="24"/>
          <w:highlight w:val="yellow"/>
        </w:rPr>
        <w:fldChar w:fldCharType="end"/>
      </w:r>
      <w:r w:rsidR="000D3DF0" w:rsidRPr="00001DC1">
        <w:rPr>
          <w:rFonts w:ascii="Times New Roman" w:hAnsi="Times New Roman" w:cs="Times New Roman"/>
          <w:sz w:val="24"/>
          <w:szCs w:val="24"/>
          <w:highlight w:val="yellow"/>
        </w:rPr>
        <w:t xml:space="preserve"> and </w:t>
      </w:r>
      <w:r w:rsidR="000D3DF0" w:rsidRPr="00001DC1">
        <w:rPr>
          <w:rFonts w:ascii="Times New Roman" w:hAnsi="Times New Roman" w:cs="Times New Roman"/>
          <w:sz w:val="24"/>
          <w:szCs w:val="24"/>
          <w:highlight w:val="yellow"/>
        </w:rPr>
        <w:fldChar w:fldCharType="begin" w:fldLock="1"/>
      </w:r>
      <w:r w:rsidR="00F774A3" w:rsidRPr="00001DC1">
        <w:rPr>
          <w:rFonts w:ascii="Times New Roman" w:hAnsi="Times New Roman" w:cs="Times New Roman"/>
          <w:sz w:val="24"/>
          <w:szCs w:val="24"/>
          <w:highlight w:val="yellow"/>
        </w:rPr>
        <w:instrText>ADDIN CSL_CITATION {"citationItems":[{"id":"ITEM-1","itemData":{"DOI":"10.1016/j.econmod.2019.10.004","ISSN":"02649993","abstract":"Style drift contributes to mutual fund performance at the cost of additional risks associated with styles. We find that, although style drift enhances the net return of Chinese mutual funds by 3.03% per month relative to peer funds, the profit is at risk. That is, applying the Carhart four-factor model with style drift leaves fund investors no significant premium (i.e. α=0.02% per month, t=0.20). Both active and passive style drifts can leverage up fund performance, but risk-adjusted returns show that low passive style drift funds benefit more from subsequent active style drifts than high passive style drift funds. Cross-sectional results are consistent with portfolio results, and further show that the predictive power of style drift is neither driven by insider information nor by idiosyncratic volatility.","author":[{"dropping-particle":"","family":"Sha","given":"Yezhou","non-dropping-particle":"","parse-names":false,"suffix":""}],"container-title":"Economic Modelling","id":"ITEM-1","issued":{"date-parts":[["2020","3","1"]]},"page":"264-273","publisher":"Elsevier B.V.","title":"The devil in the style: Mutual fund style drift, performance and common risk factors","type":"article-journal","volume":"86"},"uris":["http://www.mendeley.com/documents/?uuid=0eb0db80-0588-3084-934b-d5122d55facb"]}],"mendeley":{"formattedCitation":"(Sha, 2020)","manualFormatting":"Sha (2020)","plainTextFormattedCitation":"(Sha, 2020)","previouslyFormattedCitation":"(Sha, 2020)"},"properties":{"noteIndex":0},"schema":"https://github.com/citation-style-language/schema/raw/master/csl-citation.json"}</w:instrText>
      </w:r>
      <w:r w:rsidR="000D3DF0" w:rsidRPr="00001DC1">
        <w:rPr>
          <w:rFonts w:ascii="Times New Roman" w:hAnsi="Times New Roman" w:cs="Times New Roman"/>
          <w:sz w:val="24"/>
          <w:szCs w:val="24"/>
          <w:highlight w:val="yellow"/>
        </w:rPr>
        <w:fldChar w:fldCharType="separate"/>
      </w:r>
      <w:r w:rsidR="000D3DF0" w:rsidRPr="00001DC1">
        <w:rPr>
          <w:rFonts w:ascii="Times New Roman" w:hAnsi="Times New Roman" w:cs="Times New Roman"/>
          <w:noProof/>
          <w:sz w:val="24"/>
          <w:szCs w:val="24"/>
          <w:highlight w:val="yellow"/>
        </w:rPr>
        <w:t xml:space="preserve">Sha </w:t>
      </w:r>
      <w:r w:rsidRPr="00001DC1">
        <w:rPr>
          <w:rFonts w:ascii="Times New Roman" w:hAnsi="Times New Roman" w:cs="Times New Roman"/>
          <w:noProof/>
          <w:sz w:val="24"/>
          <w:szCs w:val="24"/>
          <w:highlight w:val="yellow"/>
        </w:rPr>
        <w:t>(</w:t>
      </w:r>
      <w:r w:rsidR="000D3DF0" w:rsidRPr="00001DC1">
        <w:rPr>
          <w:rFonts w:ascii="Times New Roman" w:hAnsi="Times New Roman" w:cs="Times New Roman"/>
          <w:noProof/>
          <w:sz w:val="24"/>
          <w:szCs w:val="24"/>
          <w:highlight w:val="yellow"/>
        </w:rPr>
        <w:t>2020)</w:t>
      </w:r>
      <w:r w:rsidR="000D3DF0" w:rsidRPr="00001DC1">
        <w:rPr>
          <w:rFonts w:ascii="Times New Roman" w:hAnsi="Times New Roman" w:cs="Times New Roman"/>
          <w:sz w:val="24"/>
          <w:szCs w:val="24"/>
          <w:highlight w:val="yellow"/>
        </w:rPr>
        <w:fldChar w:fldCharType="end"/>
      </w:r>
      <w:r w:rsidR="00E80A62" w:rsidRPr="00001DC1">
        <w:rPr>
          <w:rFonts w:ascii="Times New Roman" w:hAnsi="Times New Roman" w:cs="Times New Roman"/>
          <w:sz w:val="24"/>
          <w:szCs w:val="24"/>
          <w:highlight w:val="yellow"/>
        </w:rPr>
        <w:t xml:space="preserve"> indicate style drifts in response to market conditions</w:t>
      </w:r>
      <w:r w:rsidRPr="00001DC1">
        <w:rPr>
          <w:rFonts w:ascii="Times New Roman" w:hAnsi="Times New Roman" w:cs="Times New Roman"/>
          <w:sz w:val="24"/>
          <w:szCs w:val="24"/>
          <w:highlight w:val="yellow"/>
        </w:rPr>
        <w:t>, while</w:t>
      </w:r>
      <w:r w:rsidR="00483660" w:rsidRPr="00001DC1">
        <w:rPr>
          <w:rFonts w:ascii="Times New Roman" w:hAnsi="Times New Roman" w:cs="Times New Roman"/>
          <w:sz w:val="24"/>
          <w:szCs w:val="24"/>
          <w:highlight w:val="yellow"/>
        </w:rPr>
        <w:t xml:space="preserve"> </w:t>
      </w:r>
      <w:r w:rsidR="00852876" w:rsidRPr="00001DC1">
        <w:rPr>
          <w:rFonts w:ascii="Times New Roman" w:hAnsi="Times New Roman" w:cs="Times New Roman"/>
          <w:sz w:val="24"/>
          <w:szCs w:val="24"/>
          <w:highlight w:val="yellow"/>
        </w:rPr>
        <w:fldChar w:fldCharType="begin" w:fldLock="1"/>
      </w:r>
      <w:r w:rsidR="00F774A3" w:rsidRPr="00001DC1">
        <w:rPr>
          <w:rFonts w:ascii="Times New Roman" w:hAnsi="Times New Roman" w:cs="Times New Roman"/>
          <w:sz w:val="24"/>
          <w:szCs w:val="24"/>
          <w:highlight w:val="yellow"/>
        </w:rPr>
        <w:instrText>ADDIN CSL_CITATION {"citationItems":[{"id":"ITEM-1","itemData":{"DOI":"10.1057/s41260-020-00172-3","abstract":"The likelihood of pandemics has been perceived very low till very recently. Therefore, the exponential spread of Covid-19 was a major surprise that has resulted in a global rout of financial markets. In this study, we document some preliminary evidence of performance and investment styles of European funds during the evolution of Covid-19. We assess the period between January and May 2020 and categorized the spread of contagion in three phases. The results document that Social Entrepreneurship funds demonstrated positive returns across the three phases, while most of the other subcategories plunged into negative zone. Our findings on style analysis suggest that fund managers have been drifting from high risk option to low risk in terms of size and investment strategy. Similarly, there has been a switch from high risk to relatively less sensitive sectors and a transition of investment from countries with higher to those with lower number of cases.","author":[{"dropping-particle":"","family":"Rizvi","given":"Syed Kumail Abbas","non-dropping-particle":"","parse-names":false,"suffix":""},{"dropping-particle":"","family":"Mirza","given":"Nawazish","non-dropping-particle":"","parse-names":false,"suffix":""},{"dropping-particle":"","family":"Naqvi","given":"Bushra","non-dropping-particle":"","parse-names":false,"suffix":""},{"dropping-particle":"","family":"Rahat","given":"Birjees","non-dropping-particle":"","parse-names":false,"suffix":""}],"container-title":"Journal of Asset Management","id":"ITEM-1","issued":{"date-parts":[["2020","6","11"]]},"page":"1-11","publisher":"Palgrave","title":"Covid-19 and asset management in EU: a preliminary assessment of performance and investment styles","type":"article-journal"},"uris":["http://www.mendeley.com/documents/?uuid=0382abb7-3da7-351c-be20-e6c2937f8713"]}],"mendeley":{"formattedCitation":"(Rizvi et al., 2020)","manualFormatting":"Rizvi et al.(2020)","plainTextFormattedCitation":"(Rizvi et al., 2020)","previouslyFormattedCitation":"(Rizvi et al., 2020)"},"properties":{"noteIndex":0},"schema":"https://github.com/citation-style-language/schema/raw/master/csl-citation.json"}</w:instrText>
      </w:r>
      <w:r w:rsidR="00852876" w:rsidRPr="00001DC1">
        <w:rPr>
          <w:rFonts w:ascii="Times New Roman" w:hAnsi="Times New Roman" w:cs="Times New Roman"/>
          <w:sz w:val="24"/>
          <w:szCs w:val="24"/>
          <w:highlight w:val="yellow"/>
        </w:rPr>
        <w:fldChar w:fldCharType="separate"/>
      </w:r>
      <w:r w:rsidR="00852876" w:rsidRPr="00001DC1">
        <w:rPr>
          <w:rFonts w:ascii="Times New Roman" w:hAnsi="Times New Roman" w:cs="Times New Roman"/>
          <w:noProof/>
          <w:sz w:val="24"/>
          <w:szCs w:val="24"/>
          <w:highlight w:val="yellow"/>
        </w:rPr>
        <w:t>Rizvi et al.</w:t>
      </w:r>
      <w:r w:rsidRPr="00001DC1">
        <w:rPr>
          <w:rFonts w:ascii="Times New Roman" w:hAnsi="Times New Roman" w:cs="Times New Roman"/>
          <w:noProof/>
          <w:sz w:val="24"/>
          <w:szCs w:val="24"/>
          <w:highlight w:val="yellow"/>
        </w:rPr>
        <w:t>(</w:t>
      </w:r>
      <w:r w:rsidR="00852876" w:rsidRPr="00001DC1">
        <w:rPr>
          <w:rFonts w:ascii="Times New Roman" w:hAnsi="Times New Roman" w:cs="Times New Roman"/>
          <w:noProof/>
          <w:sz w:val="24"/>
          <w:szCs w:val="24"/>
          <w:highlight w:val="yellow"/>
        </w:rPr>
        <w:t>2020)</w:t>
      </w:r>
      <w:r w:rsidR="00852876" w:rsidRPr="00001DC1">
        <w:rPr>
          <w:rFonts w:ascii="Times New Roman" w:hAnsi="Times New Roman" w:cs="Times New Roman"/>
          <w:sz w:val="24"/>
          <w:szCs w:val="24"/>
          <w:highlight w:val="yellow"/>
        </w:rPr>
        <w:fldChar w:fldCharType="end"/>
      </w:r>
      <w:r w:rsidR="00852876" w:rsidRPr="00001DC1">
        <w:rPr>
          <w:rFonts w:ascii="Times New Roman" w:hAnsi="Times New Roman" w:cs="Times New Roman"/>
          <w:sz w:val="24"/>
          <w:szCs w:val="24"/>
          <w:highlight w:val="yellow"/>
        </w:rPr>
        <w:t xml:space="preserve"> report </w:t>
      </w:r>
      <w:r w:rsidRPr="00001DC1">
        <w:rPr>
          <w:rFonts w:ascii="Times New Roman" w:hAnsi="Times New Roman" w:cs="Times New Roman"/>
          <w:sz w:val="24"/>
          <w:szCs w:val="24"/>
          <w:highlight w:val="yellow"/>
        </w:rPr>
        <w:t xml:space="preserve">the existence of </w:t>
      </w:r>
      <w:r w:rsidR="00852876" w:rsidRPr="00001DC1">
        <w:rPr>
          <w:rFonts w:ascii="Times New Roman" w:hAnsi="Times New Roman" w:cs="Times New Roman"/>
          <w:sz w:val="24"/>
          <w:szCs w:val="24"/>
          <w:highlight w:val="yellow"/>
        </w:rPr>
        <w:t xml:space="preserve">these drifts in </w:t>
      </w:r>
      <w:r w:rsidR="004150D4" w:rsidRPr="00001DC1">
        <w:rPr>
          <w:rFonts w:ascii="Times New Roman" w:hAnsi="Times New Roman" w:cs="Times New Roman"/>
          <w:sz w:val="24"/>
          <w:szCs w:val="24"/>
          <w:highlight w:val="yellow"/>
        </w:rPr>
        <w:t xml:space="preserve">the </w:t>
      </w:r>
      <w:r w:rsidR="00852876" w:rsidRPr="00001DC1">
        <w:rPr>
          <w:rFonts w:ascii="Times New Roman" w:hAnsi="Times New Roman" w:cs="Times New Roman"/>
          <w:sz w:val="24"/>
          <w:szCs w:val="24"/>
          <w:highlight w:val="yellow"/>
        </w:rPr>
        <w:t xml:space="preserve">context of </w:t>
      </w:r>
      <w:r w:rsidR="004150D4" w:rsidRPr="00001DC1">
        <w:rPr>
          <w:rFonts w:ascii="Times New Roman" w:hAnsi="Times New Roman" w:cs="Times New Roman"/>
          <w:sz w:val="24"/>
          <w:szCs w:val="24"/>
          <w:highlight w:val="yellow"/>
        </w:rPr>
        <w:t xml:space="preserve">the </w:t>
      </w:r>
      <w:r w:rsidR="00852876" w:rsidRPr="00001DC1">
        <w:rPr>
          <w:rFonts w:ascii="Times New Roman" w:hAnsi="Times New Roman" w:cs="Times New Roman"/>
          <w:sz w:val="24"/>
          <w:szCs w:val="24"/>
          <w:highlight w:val="yellow"/>
        </w:rPr>
        <w:t>C</w:t>
      </w:r>
      <w:r w:rsidRPr="00001DC1">
        <w:rPr>
          <w:rFonts w:ascii="Times New Roman" w:hAnsi="Times New Roman" w:cs="Times New Roman"/>
          <w:sz w:val="24"/>
          <w:szCs w:val="24"/>
          <w:highlight w:val="yellow"/>
        </w:rPr>
        <w:t>OVID</w:t>
      </w:r>
      <w:r w:rsidR="00852876" w:rsidRPr="00001DC1">
        <w:rPr>
          <w:rFonts w:ascii="Times New Roman" w:hAnsi="Times New Roman" w:cs="Times New Roman"/>
          <w:sz w:val="24"/>
          <w:szCs w:val="24"/>
          <w:highlight w:val="yellow"/>
        </w:rPr>
        <w:t xml:space="preserve">-19 outbreak. </w:t>
      </w:r>
      <w:r w:rsidRPr="00001DC1">
        <w:rPr>
          <w:rFonts w:ascii="Times New Roman" w:hAnsi="Times New Roman" w:cs="Times New Roman"/>
          <w:sz w:val="24"/>
          <w:szCs w:val="24"/>
          <w:highlight w:val="yellow"/>
        </w:rPr>
        <w:t xml:space="preserve">However, the possible style drifts in Islamic funds have not been </w:t>
      </w:r>
      <w:r w:rsidR="00532EA1" w:rsidRPr="00001DC1">
        <w:rPr>
          <w:rFonts w:ascii="Times New Roman" w:hAnsi="Times New Roman" w:cs="Times New Roman"/>
          <w:sz w:val="24"/>
          <w:szCs w:val="24"/>
          <w:highlight w:val="yellow"/>
        </w:rPr>
        <w:t>analyzed</w:t>
      </w:r>
      <w:r w:rsidRPr="00001DC1">
        <w:rPr>
          <w:rFonts w:ascii="Times New Roman" w:hAnsi="Times New Roman" w:cs="Times New Roman"/>
          <w:sz w:val="24"/>
          <w:szCs w:val="24"/>
          <w:highlight w:val="yellow"/>
        </w:rPr>
        <w:t xml:space="preserve"> yet, and w</w:t>
      </w:r>
      <w:r w:rsidR="00B64137" w:rsidRPr="00001DC1">
        <w:rPr>
          <w:rFonts w:ascii="Times New Roman" w:hAnsi="Times New Roman" w:cs="Times New Roman"/>
          <w:sz w:val="24"/>
          <w:szCs w:val="24"/>
          <w:highlight w:val="yellow"/>
        </w:rPr>
        <w:t xml:space="preserve">e believe it is imperative to evaluate </w:t>
      </w:r>
      <w:r w:rsidRPr="00001DC1">
        <w:rPr>
          <w:rFonts w:ascii="Times New Roman" w:hAnsi="Times New Roman" w:cs="Times New Roman"/>
          <w:sz w:val="24"/>
          <w:szCs w:val="24"/>
          <w:highlight w:val="yellow"/>
        </w:rPr>
        <w:t>these</w:t>
      </w:r>
      <w:r w:rsidR="00F43B80" w:rsidRPr="00001DC1">
        <w:rPr>
          <w:rFonts w:ascii="Times New Roman" w:hAnsi="Times New Roman" w:cs="Times New Roman"/>
          <w:sz w:val="24"/>
          <w:szCs w:val="24"/>
          <w:highlight w:val="yellow"/>
        </w:rPr>
        <w:t xml:space="preserve"> during the recent global pandemic. </w:t>
      </w:r>
      <w:r w:rsidR="004150D4" w:rsidRPr="00001DC1">
        <w:rPr>
          <w:rFonts w:ascii="Times New Roman" w:hAnsi="Times New Roman" w:cs="Times New Roman"/>
          <w:sz w:val="24"/>
          <w:szCs w:val="24"/>
          <w:highlight w:val="yellow"/>
        </w:rPr>
        <w:t xml:space="preserve">The unprecedented changes in market conditions </w:t>
      </w:r>
      <w:r w:rsidR="00F43B80" w:rsidRPr="00001DC1">
        <w:rPr>
          <w:rFonts w:ascii="Times New Roman" w:hAnsi="Times New Roman" w:cs="Times New Roman"/>
          <w:sz w:val="24"/>
          <w:szCs w:val="24"/>
          <w:highlight w:val="yellow"/>
        </w:rPr>
        <w:t xml:space="preserve">brought by the COVID-19 crisis </w:t>
      </w:r>
      <w:r w:rsidR="004150D4" w:rsidRPr="00001DC1">
        <w:rPr>
          <w:rFonts w:ascii="Times New Roman" w:hAnsi="Times New Roman" w:cs="Times New Roman"/>
          <w:sz w:val="24"/>
          <w:szCs w:val="24"/>
          <w:highlight w:val="yellow"/>
        </w:rPr>
        <w:t>provide</w:t>
      </w:r>
      <w:r w:rsidR="001D7F32" w:rsidRPr="00001DC1">
        <w:rPr>
          <w:rFonts w:ascii="Times New Roman" w:hAnsi="Times New Roman" w:cs="Times New Roman"/>
          <w:sz w:val="24"/>
          <w:szCs w:val="24"/>
          <w:highlight w:val="yellow"/>
        </w:rPr>
        <w:t xml:space="preserve"> a </w:t>
      </w:r>
      <w:r w:rsidR="00DF6C23" w:rsidRPr="00001DC1">
        <w:rPr>
          <w:rFonts w:ascii="Times New Roman" w:hAnsi="Times New Roman" w:cs="Times New Roman"/>
          <w:sz w:val="24"/>
          <w:szCs w:val="24"/>
          <w:highlight w:val="yellow"/>
        </w:rPr>
        <w:t>remarkabl</w:t>
      </w:r>
      <w:r w:rsidR="00EB28EA" w:rsidRPr="00001DC1">
        <w:rPr>
          <w:rFonts w:ascii="Times New Roman" w:hAnsi="Times New Roman" w:cs="Times New Roman"/>
          <w:sz w:val="24"/>
          <w:szCs w:val="24"/>
          <w:highlight w:val="yellow"/>
        </w:rPr>
        <w:t>e</w:t>
      </w:r>
      <w:r w:rsidR="001D7F32" w:rsidRPr="00001DC1">
        <w:rPr>
          <w:rFonts w:ascii="Times New Roman" w:hAnsi="Times New Roman" w:cs="Times New Roman"/>
          <w:sz w:val="24"/>
          <w:szCs w:val="24"/>
          <w:highlight w:val="yellow"/>
        </w:rPr>
        <w:t xml:space="preserve"> opportunity</w:t>
      </w:r>
      <w:r w:rsidR="00352570">
        <w:rPr>
          <w:rFonts w:ascii="Times New Roman" w:hAnsi="Times New Roman" w:cs="Times New Roman"/>
          <w:sz w:val="24"/>
          <w:szCs w:val="24"/>
          <w:highlight w:val="yellow"/>
        </w:rPr>
        <w:t xml:space="preserve"> </w:t>
      </w:r>
      <w:r w:rsidR="001D7F32" w:rsidRPr="00001DC1">
        <w:rPr>
          <w:rFonts w:ascii="Times New Roman" w:hAnsi="Times New Roman" w:cs="Times New Roman"/>
          <w:sz w:val="24"/>
          <w:szCs w:val="24"/>
          <w:highlight w:val="yellow"/>
        </w:rPr>
        <w:t>for this assessment.</w:t>
      </w:r>
      <w:r w:rsidR="004B76C6" w:rsidRPr="00001DC1">
        <w:rPr>
          <w:rFonts w:ascii="Times New Roman" w:hAnsi="Times New Roman" w:cs="Times New Roman"/>
          <w:sz w:val="24"/>
          <w:szCs w:val="24"/>
          <w:highlight w:val="yellow"/>
        </w:rPr>
        <w:t xml:space="preserve"> In terms of risk, </w:t>
      </w:r>
      <w:r w:rsidR="004B76C6" w:rsidRPr="00001DC1">
        <w:rPr>
          <w:rFonts w:ascii="Times New Roman" w:hAnsi="Times New Roman" w:cs="Times New Roman"/>
          <w:sz w:val="24"/>
          <w:szCs w:val="24"/>
          <w:highlight w:val="yellow"/>
        </w:rPr>
        <w:fldChar w:fldCharType="begin" w:fldLock="1"/>
      </w:r>
      <w:r w:rsidR="004B76C6" w:rsidRPr="00001DC1">
        <w:rPr>
          <w:rFonts w:ascii="Times New Roman" w:hAnsi="Times New Roman" w:cs="Times New Roman"/>
          <w:sz w:val="24"/>
          <w:szCs w:val="24"/>
          <w:highlight w:val="yellow"/>
        </w:rPr>
        <w:instrText>ADDIN CSL_CITATION {"citationItems":[{"id":"ITEM-1","itemData":{"DOI":"10.21314/JOR.2015.305","ISSN":"17552842","abstract":"As far as asset and liability management is concerned, the advanced analysis of the risk and return profile of Islamic financing and investment products today constitutes one of the greatest challenges for Islamic financial institutions. Given the fact that, by design, Islamic financial institutions should be keeping a handsome portion of their assets in equity investments, this paper brings out the dynamics of a specific risk profile inherent in Islamic equity investment based on investing in the sharia-compliant stock market. Therefore, we investigate three Islamic equity indexes, classified by economic hubs (Dow Jones Europe, Asia/Pacific and United States), against their conventional peers from 2003 to 2009. Our risk profile analysis is based on the estimation of two well-known advanced risk measures, namely value-at-risk (VaR) and expected shortfall (ES). FourVaR methodologies are used: historicalVaR, RiskMetrics, generalized autoregressive conditional heteroscedasticity conditional VaR models and the Cornish-Fisher VaR model. The models’ assessments, based on the Kupiec (1995) test, allow us to better investigate the equity indexes’ daily returns tails through the estimation of the generalized Pareto distributionVaR and ES measures. The end result of our advanced risk profile analysis is that Islamic equity indexes seem to depict a regional, as well as a periodic, character risk profile. Drawing from the specific features of the Dow Jones Islamic indexes and their compounds’ inherent features, this paper argues that sharia screening, which alters the composition of Islamic indexes, contributes to the shaping of a distinguished risk profile.","author":[{"dropping-particle":"","family":"Bellalah","given":"Mondher","non-dropping-particle":"","parse-names":false,"suffix":""},{"dropping-particle":"","family":"Chayeh","given":"Zeineb","non-dropping-particle":"","parse-names":false,"suffix":""}],"container-title":"Journal of Risk","id":"ITEM-1","issue":"6","issued":{"date-parts":[["2015","8","1"]]},"page":"73-99","publisher":"Incisive Media Ltd.","title":"Advanced risk profile analysis of Islamic equity investment: Evidence from the American, Asian and European markets","type":"article-journal","volume":"17"},"uris":["http://www.mendeley.com/documents/?uuid=b6fa33dc-d0cf-305a-bbee-cd8ae9a4d90a"]}],"mendeley":{"formattedCitation":"(Bellalah &amp; Chayeh, 2015)","plainTextFormattedCitation":"(Bellalah &amp; Chayeh, 2015)"},"properties":{"noteIndex":0},"schema":"https://github.com/citation-style-language/schema/raw/master/csl-citation.json"}</w:instrText>
      </w:r>
      <w:r w:rsidR="004B76C6" w:rsidRPr="00001DC1">
        <w:rPr>
          <w:rFonts w:ascii="Times New Roman" w:hAnsi="Times New Roman" w:cs="Times New Roman"/>
          <w:sz w:val="24"/>
          <w:szCs w:val="24"/>
          <w:highlight w:val="yellow"/>
        </w:rPr>
        <w:fldChar w:fldCharType="separate"/>
      </w:r>
      <w:r w:rsidR="004B76C6" w:rsidRPr="00001DC1">
        <w:rPr>
          <w:rFonts w:ascii="Times New Roman" w:hAnsi="Times New Roman" w:cs="Times New Roman"/>
          <w:noProof/>
          <w:sz w:val="24"/>
          <w:szCs w:val="24"/>
          <w:highlight w:val="yellow"/>
        </w:rPr>
        <w:t>(Bellalah &amp; Chayeh, 2015)</w:t>
      </w:r>
      <w:r w:rsidR="004B76C6" w:rsidRPr="00001DC1">
        <w:rPr>
          <w:rFonts w:ascii="Times New Roman" w:hAnsi="Times New Roman" w:cs="Times New Roman"/>
          <w:sz w:val="24"/>
          <w:szCs w:val="24"/>
          <w:highlight w:val="yellow"/>
        </w:rPr>
        <w:fldChar w:fldCharType="end"/>
      </w:r>
      <w:r w:rsidR="004B76C6" w:rsidRPr="00001DC1">
        <w:rPr>
          <w:rFonts w:ascii="Times New Roman" w:hAnsi="Times New Roman" w:cs="Times New Roman"/>
          <w:sz w:val="24"/>
          <w:szCs w:val="24"/>
          <w:highlight w:val="yellow"/>
        </w:rPr>
        <w:t xml:space="preserve"> posit that the unique screening criteria of Islamic funds result in a distinguished risk profile. This motivates us to analyze the volatility timing ability of Islamic fund managers.</w:t>
      </w:r>
      <w:r w:rsidR="004B76C6">
        <w:rPr>
          <w:rFonts w:ascii="Times New Roman" w:hAnsi="Times New Roman" w:cs="Times New Roman"/>
          <w:sz w:val="24"/>
          <w:szCs w:val="24"/>
        </w:rPr>
        <w:t xml:space="preserve">        </w:t>
      </w:r>
    </w:p>
    <w:p w14:paraId="2FB26605" w14:textId="428BEC27" w:rsidR="003B33AA" w:rsidRDefault="008D491A" w:rsidP="002150DF">
      <w:pPr>
        <w:spacing w:after="0" w:line="480" w:lineRule="auto"/>
        <w:ind w:firstLine="720"/>
        <w:jc w:val="both"/>
        <w:rPr>
          <w:rFonts w:ascii="Times New Roman" w:hAnsi="Times New Roman" w:cs="Times New Roman"/>
          <w:sz w:val="24"/>
          <w:szCs w:val="24"/>
        </w:rPr>
      </w:pPr>
      <w:r w:rsidRPr="00335A3A">
        <w:rPr>
          <w:rFonts w:ascii="Times New Roman" w:hAnsi="Times New Roman" w:cs="Times New Roman"/>
          <w:sz w:val="24"/>
          <w:szCs w:val="24"/>
          <w:highlight w:val="yellow"/>
        </w:rPr>
        <w:lastRenderedPageBreak/>
        <w:t>Specifically, in this paper</w:t>
      </w:r>
      <w:r w:rsidR="00483660" w:rsidRPr="00335A3A">
        <w:rPr>
          <w:rFonts w:ascii="Times New Roman" w:hAnsi="Times New Roman" w:cs="Times New Roman"/>
          <w:sz w:val="24"/>
          <w:szCs w:val="24"/>
          <w:highlight w:val="yellow"/>
        </w:rPr>
        <w:t>,</w:t>
      </w:r>
      <w:r w:rsidRPr="00335A3A">
        <w:rPr>
          <w:rFonts w:ascii="Times New Roman" w:hAnsi="Times New Roman" w:cs="Times New Roman"/>
          <w:sz w:val="24"/>
          <w:szCs w:val="24"/>
          <w:highlight w:val="yellow"/>
        </w:rPr>
        <w:t xml:space="preserve"> we aim to answer the following questions. D</w:t>
      </w:r>
      <w:r w:rsidR="00125C57" w:rsidRPr="00335A3A">
        <w:rPr>
          <w:rFonts w:ascii="Times New Roman" w:hAnsi="Times New Roman" w:cs="Times New Roman"/>
          <w:sz w:val="24"/>
          <w:szCs w:val="24"/>
          <w:highlight w:val="yellow"/>
        </w:rPr>
        <w:t>o</w:t>
      </w:r>
      <w:r w:rsidRPr="00335A3A">
        <w:rPr>
          <w:rFonts w:ascii="Times New Roman" w:hAnsi="Times New Roman" w:cs="Times New Roman"/>
          <w:sz w:val="24"/>
          <w:szCs w:val="24"/>
          <w:highlight w:val="yellow"/>
        </w:rPr>
        <w:t xml:space="preserve"> Islamic funds outperform their conventional counterparts</w:t>
      </w:r>
      <w:r w:rsidR="00125C57" w:rsidRPr="00335A3A">
        <w:rPr>
          <w:rFonts w:ascii="Times New Roman" w:hAnsi="Times New Roman" w:cs="Times New Roman"/>
          <w:sz w:val="24"/>
          <w:szCs w:val="24"/>
          <w:highlight w:val="yellow"/>
        </w:rPr>
        <w:t xml:space="preserve"> during the COVID-19 pandemic? </w:t>
      </w:r>
      <w:r w:rsidR="00483660" w:rsidRPr="00335A3A">
        <w:rPr>
          <w:rFonts w:ascii="Times New Roman" w:hAnsi="Times New Roman" w:cs="Times New Roman"/>
          <w:sz w:val="24"/>
          <w:szCs w:val="24"/>
          <w:highlight w:val="yellow"/>
        </w:rPr>
        <w:t>Whether the resilience of Islamic</w:t>
      </w:r>
      <w:r w:rsidR="00532EA1" w:rsidRPr="00335A3A">
        <w:rPr>
          <w:rFonts w:ascii="Times New Roman" w:hAnsi="Times New Roman" w:cs="Times New Roman"/>
          <w:sz w:val="24"/>
          <w:szCs w:val="24"/>
          <w:highlight w:val="yellow"/>
        </w:rPr>
        <w:t xml:space="preserve"> equity</w:t>
      </w:r>
      <w:r w:rsidR="00483660" w:rsidRPr="00335A3A">
        <w:rPr>
          <w:rFonts w:ascii="Times New Roman" w:hAnsi="Times New Roman" w:cs="Times New Roman"/>
          <w:sz w:val="24"/>
          <w:szCs w:val="24"/>
          <w:highlight w:val="yellow"/>
        </w:rPr>
        <w:t xml:space="preserve"> funds to </w:t>
      </w:r>
      <w:r w:rsidR="001D2039" w:rsidRPr="00335A3A">
        <w:rPr>
          <w:rFonts w:ascii="Times New Roman" w:hAnsi="Times New Roman" w:cs="Times New Roman"/>
          <w:sz w:val="24"/>
          <w:szCs w:val="24"/>
          <w:highlight w:val="yellow"/>
        </w:rPr>
        <w:t xml:space="preserve">the </w:t>
      </w:r>
      <w:r w:rsidR="00483660" w:rsidRPr="00335A3A">
        <w:rPr>
          <w:rFonts w:ascii="Times New Roman" w:hAnsi="Times New Roman" w:cs="Times New Roman"/>
          <w:sz w:val="24"/>
          <w:szCs w:val="24"/>
          <w:highlight w:val="yellow"/>
        </w:rPr>
        <w:t xml:space="preserve">pandemic is determined by </w:t>
      </w:r>
      <w:r w:rsidR="00532EA1" w:rsidRPr="00335A3A">
        <w:rPr>
          <w:rFonts w:ascii="Times New Roman" w:hAnsi="Times New Roman" w:cs="Times New Roman"/>
          <w:sz w:val="24"/>
          <w:szCs w:val="24"/>
          <w:highlight w:val="yellow"/>
        </w:rPr>
        <w:t xml:space="preserve">the </w:t>
      </w:r>
      <w:r w:rsidR="00483660" w:rsidRPr="00335A3A">
        <w:rPr>
          <w:rFonts w:ascii="Times New Roman" w:hAnsi="Times New Roman" w:cs="Times New Roman"/>
          <w:sz w:val="24"/>
          <w:szCs w:val="24"/>
          <w:highlight w:val="yellow"/>
        </w:rPr>
        <w:t>investment styles and</w:t>
      </w:r>
      <w:r w:rsidR="00532EA1" w:rsidRPr="00335A3A">
        <w:rPr>
          <w:rFonts w:ascii="Times New Roman" w:hAnsi="Times New Roman" w:cs="Times New Roman"/>
          <w:sz w:val="24"/>
          <w:szCs w:val="24"/>
          <w:highlight w:val="yellow"/>
        </w:rPr>
        <w:t xml:space="preserve"> effective</w:t>
      </w:r>
      <w:r w:rsidR="00483660" w:rsidRPr="00335A3A">
        <w:rPr>
          <w:rFonts w:ascii="Times New Roman" w:hAnsi="Times New Roman" w:cs="Times New Roman"/>
          <w:sz w:val="24"/>
          <w:szCs w:val="24"/>
          <w:highlight w:val="yellow"/>
        </w:rPr>
        <w:t xml:space="preserve"> </w:t>
      </w:r>
      <w:r w:rsidR="00532EA1" w:rsidRPr="00335A3A">
        <w:rPr>
          <w:rFonts w:ascii="Times New Roman" w:hAnsi="Times New Roman" w:cs="Times New Roman"/>
          <w:sz w:val="24"/>
          <w:szCs w:val="24"/>
          <w:highlight w:val="yellow"/>
        </w:rPr>
        <w:t>v</w:t>
      </w:r>
      <w:r w:rsidR="00483660" w:rsidRPr="00335A3A">
        <w:rPr>
          <w:rFonts w:ascii="Times New Roman" w:hAnsi="Times New Roman" w:cs="Times New Roman"/>
          <w:sz w:val="24"/>
          <w:szCs w:val="24"/>
          <w:highlight w:val="yellow"/>
        </w:rPr>
        <w:t xml:space="preserve">olatility </w:t>
      </w:r>
      <w:r w:rsidR="00532EA1" w:rsidRPr="00335A3A">
        <w:rPr>
          <w:rFonts w:ascii="Times New Roman" w:hAnsi="Times New Roman" w:cs="Times New Roman"/>
          <w:sz w:val="24"/>
          <w:szCs w:val="24"/>
          <w:highlight w:val="yellow"/>
        </w:rPr>
        <w:t>t</w:t>
      </w:r>
      <w:r w:rsidR="00483660" w:rsidRPr="00335A3A">
        <w:rPr>
          <w:rFonts w:ascii="Times New Roman" w:hAnsi="Times New Roman" w:cs="Times New Roman"/>
          <w:sz w:val="24"/>
          <w:szCs w:val="24"/>
          <w:highlight w:val="yellow"/>
        </w:rPr>
        <w:t>iming</w:t>
      </w:r>
      <w:r w:rsidR="00532EA1" w:rsidRPr="00335A3A">
        <w:rPr>
          <w:rFonts w:ascii="Times New Roman" w:hAnsi="Times New Roman" w:cs="Times New Roman"/>
          <w:sz w:val="24"/>
          <w:szCs w:val="24"/>
          <w:highlight w:val="yellow"/>
        </w:rPr>
        <w:t xml:space="preserve">? </w:t>
      </w:r>
      <w:r w:rsidR="00B76C7C" w:rsidRPr="00335A3A">
        <w:rPr>
          <w:rFonts w:ascii="Times New Roman" w:hAnsi="Times New Roman" w:cs="Times New Roman"/>
          <w:sz w:val="24"/>
          <w:szCs w:val="24"/>
          <w:highlight w:val="yellow"/>
        </w:rPr>
        <w:t>Our empirical assessment comprises three steps. First, we use traditional measures to evaluate the risk-adjusted performance of the Islamic equity funds across six countries, i.e., Malaysia, Pakistan, Saudi Arabia, Qatar, Kuwait, and the UAE. Second, we analyze the stochastic dominance and abnormal returns and perform style analysis to understand the Islamic vs. conventional funds' investment preferences during this outbreak. Third, we document the volatility timing of the two categories of Islamic and conventional equity funds.</w:t>
      </w:r>
      <w:r w:rsidR="00651544" w:rsidRPr="00335A3A">
        <w:rPr>
          <w:rFonts w:ascii="Times New Roman" w:hAnsi="Times New Roman" w:cs="Times New Roman"/>
          <w:sz w:val="24"/>
          <w:szCs w:val="24"/>
          <w:highlight w:val="yellow"/>
        </w:rPr>
        <w:t xml:space="preserve"> </w:t>
      </w:r>
      <w:r w:rsidR="00335A3A" w:rsidRPr="00335A3A">
        <w:rPr>
          <w:rFonts w:ascii="Times New Roman" w:hAnsi="Times New Roman" w:cs="Times New Roman"/>
          <w:sz w:val="24"/>
          <w:szCs w:val="24"/>
          <w:highlight w:val="yellow"/>
        </w:rPr>
        <w:t>T</w:t>
      </w:r>
      <w:r w:rsidR="00651544" w:rsidRPr="00335A3A">
        <w:rPr>
          <w:rFonts w:ascii="Times New Roman" w:hAnsi="Times New Roman" w:cs="Times New Roman"/>
          <w:sz w:val="24"/>
          <w:szCs w:val="24"/>
          <w:highlight w:val="yellow"/>
        </w:rPr>
        <w:t>o ob</w:t>
      </w:r>
      <w:r w:rsidR="00335A3A" w:rsidRPr="00335A3A">
        <w:rPr>
          <w:rFonts w:ascii="Times New Roman" w:hAnsi="Times New Roman" w:cs="Times New Roman"/>
          <w:sz w:val="24"/>
          <w:szCs w:val="24"/>
          <w:highlight w:val="yellow"/>
        </w:rPr>
        <w:t>ser</w:t>
      </w:r>
      <w:r w:rsidR="00651544" w:rsidRPr="00335A3A">
        <w:rPr>
          <w:rFonts w:ascii="Times New Roman" w:hAnsi="Times New Roman" w:cs="Times New Roman"/>
          <w:sz w:val="24"/>
          <w:szCs w:val="24"/>
          <w:highlight w:val="yellow"/>
        </w:rPr>
        <w:t xml:space="preserve">ve the impact of </w:t>
      </w:r>
      <w:r w:rsidR="00D72909" w:rsidRPr="00335A3A">
        <w:rPr>
          <w:rFonts w:ascii="Times New Roman" w:hAnsi="Times New Roman" w:cs="Times New Roman"/>
          <w:sz w:val="24"/>
          <w:szCs w:val="24"/>
          <w:highlight w:val="yellow"/>
        </w:rPr>
        <w:t xml:space="preserve">the evolution of COVID-19, we segregate our assessment into six stages (between January 2020 and </w:t>
      </w:r>
      <w:r w:rsidR="00335A3A" w:rsidRPr="00335A3A">
        <w:rPr>
          <w:rFonts w:ascii="Times New Roman" w:hAnsi="Times New Roman" w:cs="Times New Roman"/>
          <w:sz w:val="24"/>
          <w:szCs w:val="24"/>
          <w:highlight w:val="yellow"/>
        </w:rPr>
        <w:t>May 2021.</w:t>
      </w:r>
      <w:r w:rsidR="00B76C7C" w:rsidRPr="00335A3A">
        <w:rPr>
          <w:rFonts w:ascii="Times New Roman" w:hAnsi="Times New Roman" w:cs="Times New Roman"/>
          <w:sz w:val="24"/>
          <w:szCs w:val="24"/>
          <w:highlight w:val="yellow"/>
        </w:rPr>
        <w:t xml:space="preserve"> </w:t>
      </w:r>
      <w:r w:rsidR="00335A3A" w:rsidRPr="00335A3A">
        <w:rPr>
          <w:rFonts w:ascii="Times New Roman" w:hAnsi="Times New Roman" w:cs="Times New Roman"/>
          <w:sz w:val="24"/>
          <w:szCs w:val="24"/>
          <w:highlight w:val="yellow"/>
        </w:rPr>
        <w:t>The analysis</w:t>
      </w:r>
      <w:r w:rsidR="002150DF" w:rsidRPr="00335A3A">
        <w:rPr>
          <w:rFonts w:ascii="Times New Roman" w:hAnsi="Times New Roman" w:cs="Times New Roman"/>
          <w:sz w:val="24"/>
          <w:szCs w:val="24"/>
          <w:highlight w:val="yellow"/>
        </w:rPr>
        <w:t xml:space="preserve"> of</w:t>
      </w:r>
      <w:r w:rsidR="003B33AA" w:rsidRPr="00335A3A">
        <w:rPr>
          <w:rFonts w:ascii="Times New Roman" w:hAnsi="Times New Roman" w:cs="Times New Roman"/>
          <w:sz w:val="24"/>
          <w:szCs w:val="24"/>
          <w:highlight w:val="yellow"/>
        </w:rPr>
        <w:t xml:space="preserve"> 1067 equity funds</w:t>
      </w:r>
      <w:r w:rsidR="00335A3A" w:rsidRPr="00335A3A">
        <w:rPr>
          <w:rFonts w:ascii="Times New Roman" w:hAnsi="Times New Roman" w:cs="Times New Roman"/>
          <w:sz w:val="24"/>
          <w:szCs w:val="24"/>
          <w:highlight w:val="yellow"/>
        </w:rPr>
        <w:t xml:space="preserve"> </w:t>
      </w:r>
      <w:proofErr w:type="gramStart"/>
      <w:r w:rsidR="00335A3A" w:rsidRPr="00335A3A">
        <w:rPr>
          <w:rFonts w:ascii="Times New Roman" w:hAnsi="Times New Roman" w:cs="Times New Roman"/>
          <w:sz w:val="24"/>
          <w:szCs w:val="24"/>
          <w:highlight w:val="yellow"/>
        </w:rPr>
        <w:t>shows</w:t>
      </w:r>
      <w:proofErr w:type="gramEnd"/>
      <w:r w:rsidR="003B33AA" w:rsidRPr="00335A3A">
        <w:rPr>
          <w:rFonts w:ascii="Times New Roman" w:hAnsi="Times New Roman" w:cs="Times New Roman"/>
          <w:sz w:val="24"/>
          <w:szCs w:val="24"/>
          <w:highlight w:val="yellow"/>
        </w:rPr>
        <w:t xml:space="preserve"> that</w:t>
      </w:r>
      <w:r w:rsidR="00290D8B" w:rsidRPr="00335A3A">
        <w:rPr>
          <w:rFonts w:ascii="Times New Roman" w:hAnsi="Times New Roman" w:cs="Times New Roman"/>
          <w:sz w:val="24"/>
          <w:szCs w:val="24"/>
          <w:highlight w:val="yellow"/>
        </w:rPr>
        <w:t xml:space="preserve"> </w:t>
      </w:r>
      <w:r w:rsidR="006A2293" w:rsidRPr="00335A3A">
        <w:rPr>
          <w:rFonts w:ascii="Times New Roman" w:hAnsi="Times New Roman" w:cs="Times New Roman"/>
          <w:sz w:val="24"/>
          <w:szCs w:val="24"/>
          <w:highlight w:val="yellow"/>
        </w:rPr>
        <w:t xml:space="preserve">during the outbreak of COVID-19, Islamic funds outperform their conventional peers. We observe </w:t>
      </w:r>
      <w:r w:rsidR="00FC0677" w:rsidRPr="00335A3A">
        <w:rPr>
          <w:rFonts w:ascii="Times New Roman" w:hAnsi="Times New Roman" w:cs="Times New Roman"/>
          <w:sz w:val="24"/>
          <w:szCs w:val="24"/>
          <w:highlight w:val="yellow"/>
        </w:rPr>
        <w:t xml:space="preserve">a drift in investment styles and evidence of volatility timing </w:t>
      </w:r>
      <w:r w:rsidR="005626A5" w:rsidRPr="00335A3A">
        <w:rPr>
          <w:rFonts w:ascii="Times New Roman" w:hAnsi="Times New Roman" w:cs="Times New Roman"/>
          <w:sz w:val="24"/>
          <w:szCs w:val="24"/>
          <w:highlight w:val="yellow"/>
        </w:rPr>
        <w:t xml:space="preserve">for the Islamic funds </w:t>
      </w:r>
      <w:r w:rsidR="006639B6">
        <w:rPr>
          <w:rFonts w:ascii="Times New Roman" w:hAnsi="Times New Roman" w:cs="Times New Roman"/>
          <w:sz w:val="24"/>
          <w:szCs w:val="24"/>
          <w:highlight w:val="yellow"/>
        </w:rPr>
        <w:t>main</w:t>
      </w:r>
      <w:r w:rsidR="005626A5" w:rsidRPr="00335A3A">
        <w:rPr>
          <w:rFonts w:ascii="Times New Roman" w:hAnsi="Times New Roman" w:cs="Times New Roman"/>
          <w:sz w:val="24"/>
          <w:szCs w:val="24"/>
          <w:highlight w:val="yellow"/>
        </w:rPr>
        <w:t xml:space="preserve">ly missing </w:t>
      </w:r>
      <w:r w:rsidR="0083540F" w:rsidRPr="00335A3A">
        <w:rPr>
          <w:rFonts w:ascii="Times New Roman" w:hAnsi="Times New Roman" w:cs="Times New Roman"/>
          <w:sz w:val="24"/>
          <w:szCs w:val="24"/>
          <w:highlight w:val="yellow"/>
        </w:rPr>
        <w:t>in</w:t>
      </w:r>
      <w:r w:rsidR="005626A5" w:rsidRPr="00335A3A">
        <w:rPr>
          <w:rFonts w:ascii="Times New Roman" w:hAnsi="Times New Roman" w:cs="Times New Roman"/>
          <w:sz w:val="24"/>
          <w:szCs w:val="24"/>
          <w:highlight w:val="yellow"/>
        </w:rPr>
        <w:t xml:space="preserve"> their conventional counterparts. The results remained robust for the various stages of the outbreak. </w:t>
      </w:r>
      <w:r w:rsidR="00D5672D" w:rsidRPr="00335A3A">
        <w:rPr>
          <w:rFonts w:ascii="Times New Roman" w:hAnsi="Times New Roman" w:cs="Times New Roman"/>
          <w:sz w:val="24"/>
          <w:szCs w:val="24"/>
          <w:highlight w:val="yellow"/>
        </w:rPr>
        <w:t>These fin</w:t>
      </w:r>
      <w:r w:rsidR="0083540F" w:rsidRPr="00335A3A">
        <w:rPr>
          <w:rFonts w:ascii="Times New Roman" w:hAnsi="Times New Roman" w:cs="Times New Roman"/>
          <w:sz w:val="24"/>
          <w:szCs w:val="24"/>
          <w:highlight w:val="yellow"/>
        </w:rPr>
        <w:t>di</w:t>
      </w:r>
      <w:r w:rsidR="00D5672D" w:rsidRPr="00335A3A">
        <w:rPr>
          <w:rFonts w:ascii="Times New Roman" w:hAnsi="Times New Roman" w:cs="Times New Roman"/>
          <w:sz w:val="24"/>
          <w:szCs w:val="24"/>
          <w:highlight w:val="yellow"/>
        </w:rPr>
        <w:t xml:space="preserve">ngs </w:t>
      </w:r>
      <w:r w:rsidR="00507421" w:rsidRPr="00335A3A">
        <w:rPr>
          <w:rFonts w:ascii="Times New Roman" w:hAnsi="Times New Roman" w:cs="Times New Roman"/>
          <w:sz w:val="24"/>
          <w:szCs w:val="24"/>
          <w:highlight w:val="yellow"/>
        </w:rPr>
        <w:t>a</w:t>
      </w:r>
      <w:r w:rsidR="0083540F" w:rsidRPr="00335A3A">
        <w:rPr>
          <w:rFonts w:ascii="Times New Roman" w:hAnsi="Times New Roman" w:cs="Times New Roman"/>
          <w:sz w:val="24"/>
          <w:szCs w:val="24"/>
          <w:highlight w:val="yellow"/>
        </w:rPr>
        <w:t>lign</w:t>
      </w:r>
      <w:r w:rsidR="00507421" w:rsidRPr="00335A3A">
        <w:rPr>
          <w:rFonts w:ascii="Times New Roman" w:hAnsi="Times New Roman" w:cs="Times New Roman"/>
          <w:sz w:val="24"/>
          <w:szCs w:val="24"/>
          <w:highlight w:val="yellow"/>
        </w:rPr>
        <w:t xml:space="preserve"> with the earlier observations, demonstrating</w:t>
      </w:r>
      <w:r w:rsidR="00D5672D" w:rsidRPr="00335A3A">
        <w:rPr>
          <w:rFonts w:ascii="Times New Roman" w:hAnsi="Times New Roman" w:cs="Times New Roman"/>
          <w:sz w:val="24"/>
          <w:szCs w:val="24"/>
          <w:highlight w:val="yellow"/>
        </w:rPr>
        <w:t xml:space="preserve"> that Islamic funds are </w:t>
      </w:r>
      <w:r w:rsidR="008C3DBC" w:rsidRPr="00335A3A">
        <w:rPr>
          <w:rFonts w:ascii="Times New Roman" w:hAnsi="Times New Roman" w:cs="Times New Roman"/>
          <w:sz w:val="24"/>
          <w:szCs w:val="24"/>
          <w:highlight w:val="yellow"/>
        </w:rPr>
        <w:t>re</w:t>
      </w:r>
      <w:r w:rsidR="00507421" w:rsidRPr="00335A3A">
        <w:rPr>
          <w:rFonts w:ascii="Times New Roman" w:hAnsi="Times New Roman" w:cs="Times New Roman"/>
          <w:sz w:val="24"/>
          <w:szCs w:val="24"/>
          <w:highlight w:val="yellow"/>
        </w:rPr>
        <w:t xml:space="preserve">silient during </w:t>
      </w:r>
      <w:r w:rsidR="0083540F" w:rsidRPr="00335A3A">
        <w:rPr>
          <w:rFonts w:ascii="Times New Roman" w:hAnsi="Times New Roman" w:cs="Times New Roman"/>
          <w:sz w:val="24"/>
          <w:szCs w:val="24"/>
          <w:highlight w:val="yellow"/>
        </w:rPr>
        <w:t xml:space="preserve">the </w:t>
      </w:r>
      <w:r w:rsidR="00507421" w:rsidRPr="00335A3A">
        <w:rPr>
          <w:rFonts w:ascii="Times New Roman" w:hAnsi="Times New Roman" w:cs="Times New Roman"/>
          <w:sz w:val="24"/>
          <w:szCs w:val="24"/>
          <w:highlight w:val="yellow"/>
        </w:rPr>
        <w:t xml:space="preserve">financial </w:t>
      </w:r>
      <w:r w:rsidR="00507421" w:rsidRPr="00D74A59">
        <w:rPr>
          <w:rFonts w:ascii="Times New Roman" w:hAnsi="Times New Roman" w:cs="Times New Roman"/>
          <w:sz w:val="24"/>
          <w:szCs w:val="24"/>
          <w:highlight w:val="yellow"/>
        </w:rPr>
        <w:t>crisis.</w:t>
      </w:r>
      <w:r w:rsidR="008C3C99" w:rsidRPr="00D74A59">
        <w:rPr>
          <w:rFonts w:ascii="Times New Roman" w:hAnsi="Times New Roman" w:cs="Times New Roman"/>
          <w:sz w:val="24"/>
          <w:szCs w:val="24"/>
          <w:highlight w:val="yellow"/>
        </w:rPr>
        <w:t xml:space="preserve"> Our </w:t>
      </w:r>
      <w:r w:rsidR="006639B6" w:rsidRPr="00D74A59">
        <w:rPr>
          <w:rFonts w:ascii="Times New Roman" w:hAnsi="Times New Roman" w:cs="Times New Roman"/>
          <w:sz w:val="24"/>
          <w:szCs w:val="24"/>
          <w:highlight w:val="yellow"/>
        </w:rPr>
        <w:t xml:space="preserve">evidence is </w:t>
      </w:r>
      <w:r w:rsidR="00D74A59">
        <w:rPr>
          <w:rFonts w:ascii="Times New Roman" w:hAnsi="Times New Roman" w:cs="Times New Roman"/>
          <w:sz w:val="24"/>
          <w:szCs w:val="24"/>
          <w:highlight w:val="yellow"/>
        </w:rPr>
        <w:t>helpful</w:t>
      </w:r>
      <w:r w:rsidR="00D74A59" w:rsidRPr="00D74A59">
        <w:rPr>
          <w:rFonts w:ascii="Times New Roman" w:hAnsi="Times New Roman" w:cs="Times New Roman"/>
          <w:sz w:val="24"/>
          <w:szCs w:val="24"/>
          <w:highlight w:val="yellow"/>
        </w:rPr>
        <w:t xml:space="preserve"> from a faith-based investor perspective and</w:t>
      </w:r>
      <w:r w:rsidR="006639B6" w:rsidRPr="00D74A59">
        <w:rPr>
          <w:rFonts w:ascii="Times New Roman" w:hAnsi="Times New Roman" w:cs="Times New Roman"/>
          <w:sz w:val="24"/>
          <w:szCs w:val="24"/>
          <w:highlight w:val="yellow"/>
        </w:rPr>
        <w:t xml:space="preserve"> </w:t>
      </w:r>
      <w:r w:rsidR="000E388C" w:rsidRPr="00D74A59">
        <w:rPr>
          <w:rFonts w:ascii="Times New Roman" w:hAnsi="Times New Roman" w:cs="Times New Roman"/>
          <w:sz w:val="24"/>
          <w:szCs w:val="24"/>
          <w:highlight w:val="yellow"/>
        </w:rPr>
        <w:t>can also be relevant for invest</w:t>
      </w:r>
      <w:r w:rsidR="00742B58" w:rsidRPr="00D74A59">
        <w:rPr>
          <w:rFonts w:ascii="Times New Roman" w:hAnsi="Times New Roman" w:cs="Times New Roman"/>
          <w:sz w:val="24"/>
          <w:szCs w:val="24"/>
          <w:highlight w:val="yellow"/>
        </w:rPr>
        <w:t xml:space="preserve">ing landscape </w:t>
      </w:r>
      <w:r w:rsidR="00FD1701" w:rsidRPr="00D74A59">
        <w:rPr>
          <w:rFonts w:ascii="Times New Roman" w:hAnsi="Times New Roman" w:cs="Times New Roman"/>
          <w:sz w:val="24"/>
          <w:szCs w:val="24"/>
          <w:highlight w:val="yellow"/>
        </w:rPr>
        <w:t>to consider Islamic funds for optimal portf</w:t>
      </w:r>
      <w:r w:rsidR="00D74A59" w:rsidRPr="00D74A59">
        <w:rPr>
          <w:rFonts w:ascii="Times New Roman" w:hAnsi="Times New Roman" w:cs="Times New Roman"/>
          <w:sz w:val="24"/>
          <w:szCs w:val="24"/>
          <w:highlight w:val="yellow"/>
        </w:rPr>
        <w:t>olio allocations.</w:t>
      </w:r>
      <w:r w:rsidR="00D74A59">
        <w:rPr>
          <w:rFonts w:ascii="Times New Roman" w:hAnsi="Times New Roman" w:cs="Times New Roman"/>
          <w:sz w:val="24"/>
          <w:szCs w:val="24"/>
        </w:rPr>
        <w:t xml:space="preserve"> </w:t>
      </w:r>
      <w:r w:rsidR="006639B6">
        <w:rPr>
          <w:rFonts w:ascii="Times New Roman" w:hAnsi="Times New Roman" w:cs="Times New Roman"/>
          <w:sz w:val="24"/>
          <w:szCs w:val="24"/>
        </w:rPr>
        <w:t xml:space="preserve"> </w:t>
      </w:r>
      <w:r w:rsidR="00507421">
        <w:rPr>
          <w:rFonts w:ascii="Times New Roman" w:hAnsi="Times New Roman" w:cs="Times New Roman"/>
          <w:sz w:val="24"/>
          <w:szCs w:val="24"/>
        </w:rPr>
        <w:t xml:space="preserve"> </w:t>
      </w:r>
      <w:r w:rsidR="003B33AA">
        <w:rPr>
          <w:rFonts w:ascii="Times New Roman" w:hAnsi="Times New Roman" w:cs="Times New Roman"/>
          <w:sz w:val="24"/>
          <w:szCs w:val="24"/>
        </w:rPr>
        <w:t xml:space="preserve"> </w:t>
      </w:r>
    </w:p>
    <w:p w14:paraId="0C5F1C1C" w14:textId="04D26F8B" w:rsidR="00F43B80" w:rsidRDefault="00532EA1" w:rsidP="008D491A">
      <w:pPr>
        <w:spacing w:after="0" w:line="480" w:lineRule="auto"/>
        <w:ind w:firstLine="720"/>
        <w:jc w:val="both"/>
        <w:rPr>
          <w:rFonts w:ascii="Times New Roman" w:hAnsi="Times New Roman" w:cs="Times New Roman"/>
          <w:sz w:val="24"/>
          <w:szCs w:val="24"/>
        </w:rPr>
      </w:pPr>
      <w:r w:rsidRPr="00D22F94">
        <w:rPr>
          <w:rFonts w:ascii="Times New Roman" w:hAnsi="Times New Roman" w:cs="Times New Roman"/>
          <w:sz w:val="24"/>
          <w:szCs w:val="24"/>
          <w:highlight w:val="yellow"/>
        </w:rPr>
        <w:t xml:space="preserve">This paper </w:t>
      </w:r>
      <w:r w:rsidR="004149B7" w:rsidRPr="00D22F94">
        <w:rPr>
          <w:rFonts w:ascii="Times New Roman" w:hAnsi="Times New Roman" w:cs="Times New Roman"/>
          <w:sz w:val="24"/>
          <w:szCs w:val="24"/>
          <w:highlight w:val="yellow"/>
        </w:rPr>
        <w:t xml:space="preserve">also </w:t>
      </w:r>
      <w:r w:rsidRPr="00D22F94">
        <w:rPr>
          <w:rFonts w:ascii="Times New Roman" w:hAnsi="Times New Roman" w:cs="Times New Roman"/>
          <w:sz w:val="24"/>
          <w:szCs w:val="24"/>
          <w:highlight w:val="yellow"/>
        </w:rPr>
        <w:t>contributes to the growing body of t</w:t>
      </w:r>
      <w:r w:rsidR="008D491A" w:rsidRPr="00D22F94">
        <w:rPr>
          <w:rFonts w:ascii="Times New Roman" w:hAnsi="Times New Roman" w:cs="Times New Roman"/>
          <w:sz w:val="24"/>
          <w:szCs w:val="24"/>
          <w:highlight w:val="yellow"/>
        </w:rPr>
        <w:t>he COVID-19 literature</w:t>
      </w:r>
      <w:r w:rsidR="0083540F" w:rsidRPr="00D22F94">
        <w:rPr>
          <w:rFonts w:ascii="Times New Roman" w:hAnsi="Times New Roman" w:cs="Times New Roman"/>
          <w:sz w:val="24"/>
          <w:szCs w:val="24"/>
          <w:highlight w:val="yellow"/>
        </w:rPr>
        <w:t>.</w:t>
      </w:r>
      <w:r w:rsidR="00D13128" w:rsidRPr="00D22F94">
        <w:rPr>
          <w:rFonts w:ascii="Times New Roman" w:hAnsi="Times New Roman" w:cs="Times New Roman"/>
          <w:sz w:val="24"/>
          <w:szCs w:val="24"/>
          <w:highlight w:val="yellow"/>
        </w:rPr>
        <w:t xml:space="preserve"> </w:t>
      </w:r>
      <w:r w:rsidR="008D491A" w:rsidRPr="00D22F94">
        <w:rPr>
          <w:rFonts w:ascii="Times New Roman" w:hAnsi="Times New Roman" w:cs="Times New Roman"/>
          <w:sz w:val="24"/>
          <w:szCs w:val="24"/>
          <w:highlight w:val="yellow"/>
        </w:rPr>
        <w:t xml:space="preserve">Some early evidence provided by Zhang et al. (2020), Corbet et al. </w:t>
      </w:r>
      <w:r w:rsidR="008D491A" w:rsidRPr="00D22F94">
        <w:rPr>
          <w:rFonts w:ascii="Times New Roman" w:hAnsi="Times New Roman" w:cs="Times New Roman"/>
          <w:sz w:val="24"/>
          <w:szCs w:val="24"/>
          <w:highlight w:val="yellow"/>
          <w:lang w:val="fr-FR"/>
        </w:rPr>
        <w:t xml:space="preserve">(2020), Rizvi et al. (2020), </w:t>
      </w:r>
      <w:proofErr w:type="spellStart"/>
      <w:r w:rsidR="008D491A" w:rsidRPr="00D22F94">
        <w:rPr>
          <w:rFonts w:ascii="Times New Roman" w:hAnsi="Times New Roman" w:cs="Times New Roman"/>
          <w:sz w:val="24"/>
          <w:szCs w:val="24"/>
          <w:highlight w:val="yellow"/>
          <w:lang w:val="fr-FR"/>
        </w:rPr>
        <w:t>Akhataruzzaman</w:t>
      </w:r>
      <w:proofErr w:type="spellEnd"/>
      <w:r w:rsidR="008D491A" w:rsidRPr="00D22F94">
        <w:rPr>
          <w:rFonts w:ascii="Times New Roman" w:hAnsi="Times New Roman" w:cs="Times New Roman"/>
          <w:sz w:val="24"/>
          <w:szCs w:val="24"/>
          <w:highlight w:val="yellow"/>
          <w:lang w:val="fr-FR"/>
        </w:rPr>
        <w:t xml:space="preserve"> et al. (2020), Sharif et al. (2020), Mirza et al. </w:t>
      </w:r>
      <w:r w:rsidR="008D491A" w:rsidRPr="00D22F94">
        <w:rPr>
          <w:rFonts w:ascii="Times New Roman" w:hAnsi="Times New Roman" w:cs="Times New Roman"/>
          <w:sz w:val="24"/>
          <w:szCs w:val="24"/>
          <w:highlight w:val="yellow"/>
        </w:rPr>
        <w:t>(2020)</w:t>
      </w:r>
      <w:r w:rsidR="001D2039" w:rsidRPr="00D22F94">
        <w:rPr>
          <w:rFonts w:ascii="Times New Roman" w:hAnsi="Times New Roman" w:cs="Times New Roman"/>
          <w:sz w:val="24"/>
          <w:szCs w:val="24"/>
          <w:highlight w:val="yellow"/>
        </w:rPr>
        <w:t>,</w:t>
      </w:r>
      <w:r w:rsidR="008D491A" w:rsidRPr="00D22F94">
        <w:rPr>
          <w:rFonts w:ascii="Times New Roman" w:hAnsi="Times New Roman" w:cs="Times New Roman"/>
          <w:sz w:val="24"/>
          <w:szCs w:val="24"/>
          <w:highlight w:val="yellow"/>
        </w:rPr>
        <w:t xml:space="preserve"> and Zaremba et al. (2020) have extensively documented the impact of this outbreak on various financial assets and products. However, only a few papers </w:t>
      </w:r>
      <w:r w:rsidRPr="00D22F94">
        <w:rPr>
          <w:rFonts w:ascii="Times New Roman" w:hAnsi="Times New Roman" w:cs="Times New Roman"/>
          <w:sz w:val="24"/>
          <w:szCs w:val="24"/>
          <w:highlight w:val="yellow"/>
        </w:rPr>
        <w:t>analyzed</w:t>
      </w:r>
      <w:r w:rsidR="008D491A" w:rsidRPr="00D22F94">
        <w:rPr>
          <w:rFonts w:ascii="Times New Roman" w:hAnsi="Times New Roman" w:cs="Times New Roman"/>
          <w:sz w:val="24"/>
          <w:szCs w:val="24"/>
          <w:highlight w:val="yellow"/>
        </w:rPr>
        <w:t xml:space="preserve"> the </w:t>
      </w:r>
      <w:r w:rsidR="001D2039" w:rsidRPr="00D22F94">
        <w:rPr>
          <w:rFonts w:ascii="Times New Roman" w:hAnsi="Times New Roman" w:cs="Times New Roman"/>
          <w:sz w:val="24"/>
          <w:szCs w:val="24"/>
          <w:highlight w:val="yellow"/>
        </w:rPr>
        <w:t>effe</w:t>
      </w:r>
      <w:r w:rsidR="008D491A" w:rsidRPr="00D22F94">
        <w:rPr>
          <w:rFonts w:ascii="Times New Roman" w:hAnsi="Times New Roman" w:cs="Times New Roman"/>
          <w:sz w:val="24"/>
          <w:szCs w:val="24"/>
          <w:highlight w:val="yellow"/>
        </w:rPr>
        <w:t>ct of this outbreak on Islamic finance (e.g., Aziz et al., 2020; Yarovaya et al., 2020</w:t>
      </w:r>
      <w:r w:rsidR="004B3DBE" w:rsidRPr="00D22F94">
        <w:rPr>
          <w:rFonts w:ascii="Times New Roman" w:hAnsi="Times New Roman" w:cs="Times New Roman"/>
          <w:sz w:val="24"/>
          <w:szCs w:val="24"/>
          <w:highlight w:val="yellow"/>
        </w:rPr>
        <w:t>a</w:t>
      </w:r>
      <w:r w:rsidR="008D491A" w:rsidRPr="00D22F94">
        <w:rPr>
          <w:rFonts w:ascii="Times New Roman" w:hAnsi="Times New Roman" w:cs="Times New Roman"/>
          <w:sz w:val="24"/>
          <w:szCs w:val="24"/>
          <w:highlight w:val="yellow"/>
        </w:rPr>
        <w:t xml:space="preserve">). </w:t>
      </w:r>
      <w:r w:rsidR="00364F53" w:rsidRPr="00D22F94">
        <w:rPr>
          <w:rFonts w:ascii="Times New Roman" w:hAnsi="Times New Roman" w:cs="Times New Roman"/>
          <w:sz w:val="24"/>
          <w:szCs w:val="24"/>
          <w:highlight w:val="yellow"/>
        </w:rPr>
        <w:t xml:space="preserve">This research is </w:t>
      </w:r>
      <w:r w:rsidR="00F43B80" w:rsidRPr="00D22F94">
        <w:rPr>
          <w:rFonts w:ascii="Times New Roman" w:hAnsi="Times New Roman" w:cs="Times New Roman"/>
          <w:sz w:val="24"/>
          <w:szCs w:val="24"/>
          <w:highlight w:val="yellow"/>
        </w:rPr>
        <w:t>the first</w:t>
      </w:r>
      <w:r w:rsidR="00FB2A6A" w:rsidRPr="00D22F94">
        <w:rPr>
          <w:rFonts w:ascii="Times New Roman" w:hAnsi="Times New Roman" w:cs="Times New Roman"/>
          <w:sz w:val="24"/>
          <w:szCs w:val="24"/>
          <w:highlight w:val="yellow"/>
        </w:rPr>
        <w:t xml:space="preserve"> attempt to </w:t>
      </w:r>
      <w:r w:rsidR="007E16EC" w:rsidRPr="00D22F94">
        <w:rPr>
          <w:rFonts w:ascii="Times New Roman" w:hAnsi="Times New Roman" w:cs="Times New Roman"/>
          <w:sz w:val="24"/>
          <w:szCs w:val="24"/>
          <w:highlight w:val="yellow"/>
        </w:rPr>
        <w:t xml:space="preserve">provide </w:t>
      </w:r>
      <w:r w:rsidR="00364F53" w:rsidRPr="00D22F94">
        <w:rPr>
          <w:rFonts w:ascii="Times New Roman" w:hAnsi="Times New Roman" w:cs="Times New Roman"/>
          <w:sz w:val="24"/>
          <w:szCs w:val="24"/>
          <w:highlight w:val="yellow"/>
        </w:rPr>
        <w:t>some</w:t>
      </w:r>
      <w:r w:rsidR="007E16EC" w:rsidRPr="00D22F94">
        <w:rPr>
          <w:rFonts w:ascii="Times New Roman" w:hAnsi="Times New Roman" w:cs="Times New Roman"/>
          <w:sz w:val="24"/>
          <w:szCs w:val="24"/>
          <w:highlight w:val="yellow"/>
        </w:rPr>
        <w:t xml:space="preserve"> initial assessment of</w:t>
      </w:r>
      <w:r w:rsidR="006E74E9" w:rsidRPr="00D22F94">
        <w:rPr>
          <w:rFonts w:ascii="Times New Roman" w:hAnsi="Times New Roman" w:cs="Times New Roman"/>
          <w:sz w:val="24"/>
          <w:szCs w:val="24"/>
          <w:highlight w:val="yellow"/>
        </w:rPr>
        <w:t xml:space="preserve"> conventional vs. Islamic </w:t>
      </w:r>
      <w:r w:rsidR="00651FDA" w:rsidRPr="00D22F94">
        <w:rPr>
          <w:rFonts w:ascii="Times New Roman" w:hAnsi="Times New Roman" w:cs="Times New Roman"/>
          <w:sz w:val="24"/>
          <w:szCs w:val="24"/>
          <w:highlight w:val="yellow"/>
        </w:rPr>
        <w:t xml:space="preserve">equity </w:t>
      </w:r>
      <w:r w:rsidR="006E74E9" w:rsidRPr="00D22F94">
        <w:rPr>
          <w:rFonts w:ascii="Times New Roman" w:hAnsi="Times New Roman" w:cs="Times New Roman"/>
          <w:sz w:val="24"/>
          <w:szCs w:val="24"/>
          <w:highlight w:val="yellow"/>
        </w:rPr>
        <w:t>funds</w:t>
      </w:r>
      <w:r w:rsidR="00D22F94">
        <w:rPr>
          <w:rFonts w:ascii="Times New Roman" w:hAnsi="Times New Roman" w:cs="Times New Roman"/>
          <w:sz w:val="24"/>
          <w:szCs w:val="24"/>
          <w:highlight w:val="yellow"/>
        </w:rPr>
        <w:t xml:space="preserve"> during the COVID-19 outbreak</w:t>
      </w:r>
      <w:r w:rsidR="006E74E9" w:rsidRPr="00D22F94">
        <w:rPr>
          <w:rFonts w:ascii="Times New Roman" w:hAnsi="Times New Roman" w:cs="Times New Roman"/>
          <w:sz w:val="24"/>
          <w:szCs w:val="24"/>
          <w:highlight w:val="yellow"/>
        </w:rPr>
        <w:t>.</w:t>
      </w:r>
      <w:r w:rsidR="00651FDA" w:rsidRPr="00732257">
        <w:rPr>
          <w:rFonts w:ascii="Times New Roman" w:hAnsi="Times New Roman" w:cs="Times New Roman"/>
          <w:sz w:val="24"/>
          <w:szCs w:val="24"/>
        </w:rPr>
        <w:t xml:space="preserve"> </w:t>
      </w:r>
      <w:r w:rsidR="00FC4480" w:rsidRPr="00732257">
        <w:rPr>
          <w:rFonts w:ascii="Times New Roman" w:hAnsi="Times New Roman" w:cs="Times New Roman"/>
          <w:sz w:val="24"/>
          <w:szCs w:val="24"/>
        </w:rPr>
        <w:t>The re</w:t>
      </w:r>
      <w:r w:rsidR="002F591F">
        <w:rPr>
          <w:rFonts w:ascii="Times New Roman" w:hAnsi="Times New Roman" w:cs="Times New Roman"/>
          <w:sz w:val="24"/>
          <w:szCs w:val="24"/>
        </w:rPr>
        <w:t>mainder</w:t>
      </w:r>
      <w:r w:rsidR="00FC4480" w:rsidRPr="00732257">
        <w:rPr>
          <w:rFonts w:ascii="Times New Roman" w:hAnsi="Times New Roman" w:cs="Times New Roman"/>
          <w:sz w:val="24"/>
          <w:szCs w:val="24"/>
        </w:rPr>
        <w:t xml:space="preserve"> of the paper is organized </w:t>
      </w:r>
      <w:r w:rsidR="00FC4480" w:rsidRPr="00732257">
        <w:rPr>
          <w:rFonts w:ascii="Times New Roman" w:hAnsi="Times New Roman" w:cs="Times New Roman"/>
          <w:sz w:val="24"/>
          <w:szCs w:val="24"/>
        </w:rPr>
        <w:lastRenderedPageBreak/>
        <w:t>as follows. Section 2 de</w:t>
      </w:r>
      <w:r w:rsidR="00F43B80">
        <w:rPr>
          <w:rFonts w:ascii="Times New Roman" w:hAnsi="Times New Roman" w:cs="Times New Roman"/>
          <w:sz w:val="24"/>
          <w:szCs w:val="24"/>
        </w:rPr>
        <w:t>scribes</w:t>
      </w:r>
      <w:r w:rsidR="00FC4480" w:rsidRPr="00732257">
        <w:rPr>
          <w:rFonts w:ascii="Times New Roman" w:hAnsi="Times New Roman" w:cs="Times New Roman"/>
          <w:sz w:val="24"/>
          <w:szCs w:val="24"/>
        </w:rPr>
        <w:t xml:space="preserve"> our data and methodology</w:t>
      </w:r>
      <w:r w:rsidR="00F43B80">
        <w:rPr>
          <w:rFonts w:ascii="Times New Roman" w:hAnsi="Times New Roman" w:cs="Times New Roman"/>
          <w:sz w:val="24"/>
          <w:szCs w:val="24"/>
        </w:rPr>
        <w:t>. Section 3 discussed the empirical results and practical implications, and Section 4 concludes.</w:t>
      </w:r>
      <w:r w:rsidR="00FC4480" w:rsidRPr="00732257">
        <w:rPr>
          <w:rFonts w:ascii="Times New Roman" w:hAnsi="Times New Roman" w:cs="Times New Roman"/>
          <w:sz w:val="24"/>
          <w:szCs w:val="24"/>
        </w:rPr>
        <w:t xml:space="preserve"> </w:t>
      </w:r>
    </w:p>
    <w:p w14:paraId="7E62556D" w14:textId="77777777" w:rsidR="002F591F" w:rsidRDefault="002F591F" w:rsidP="008D491A">
      <w:pPr>
        <w:spacing w:after="0" w:line="480" w:lineRule="auto"/>
        <w:ind w:firstLine="720"/>
        <w:jc w:val="both"/>
        <w:rPr>
          <w:rFonts w:ascii="Times New Roman" w:hAnsi="Times New Roman" w:cs="Times New Roman"/>
          <w:sz w:val="24"/>
          <w:szCs w:val="24"/>
        </w:rPr>
      </w:pPr>
    </w:p>
    <w:p w14:paraId="37C62534" w14:textId="77777777" w:rsidR="00352A70" w:rsidRPr="005979E1" w:rsidRDefault="00EF7A34" w:rsidP="005979E1">
      <w:pPr>
        <w:spacing w:after="0" w:line="480" w:lineRule="auto"/>
        <w:jc w:val="both"/>
        <w:rPr>
          <w:rFonts w:ascii="Times New Roman" w:hAnsi="Times New Roman" w:cs="Times New Roman"/>
          <w:sz w:val="24"/>
          <w:szCs w:val="24"/>
        </w:rPr>
      </w:pPr>
      <w:r w:rsidRPr="0006721E">
        <w:rPr>
          <w:rFonts w:ascii="Times New Roman" w:hAnsi="Times New Roman" w:cs="Times New Roman"/>
          <w:b/>
          <w:sz w:val="24"/>
          <w:szCs w:val="24"/>
        </w:rPr>
        <w:t>2.</w:t>
      </w:r>
      <w:r w:rsidRPr="0006721E">
        <w:rPr>
          <w:rFonts w:ascii="Times New Roman" w:hAnsi="Times New Roman" w:cs="Times New Roman"/>
          <w:b/>
          <w:sz w:val="24"/>
          <w:szCs w:val="24"/>
        </w:rPr>
        <w:tab/>
      </w:r>
      <w:r w:rsidR="001F3588" w:rsidRPr="0006721E">
        <w:rPr>
          <w:rFonts w:ascii="Times New Roman" w:hAnsi="Times New Roman" w:cs="Times New Roman"/>
          <w:b/>
          <w:sz w:val="24"/>
          <w:szCs w:val="24"/>
        </w:rPr>
        <w:t>Data</w:t>
      </w:r>
      <w:r w:rsidR="00BB67BA" w:rsidRPr="0006721E">
        <w:rPr>
          <w:rFonts w:ascii="Times New Roman" w:hAnsi="Times New Roman" w:cs="Times New Roman"/>
          <w:b/>
          <w:sz w:val="24"/>
          <w:szCs w:val="24"/>
        </w:rPr>
        <w:t xml:space="preserve"> </w:t>
      </w:r>
      <w:r w:rsidR="001F3588" w:rsidRPr="0006721E">
        <w:rPr>
          <w:rFonts w:ascii="Times New Roman" w:hAnsi="Times New Roman" w:cs="Times New Roman"/>
          <w:b/>
          <w:sz w:val="24"/>
          <w:szCs w:val="24"/>
        </w:rPr>
        <w:t>and Research Methodology</w:t>
      </w:r>
    </w:p>
    <w:p w14:paraId="478E1D39" w14:textId="517E2FD6" w:rsidR="00157421" w:rsidRPr="001C45B8" w:rsidRDefault="00994895" w:rsidP="002307D5">
      <w:pPr>
        <w:spacing w:after="0" w:line="480" w:lineRule="auto"/>
        <w:jc w:val="both"/>
        <w:rPr>
          <w:rFonts w:ascii="Times New Roman" w:hAnsi="Times New Roman" w:cs="Times New Roman"/>
          <w:sz w:val="24"/>
          <w:szCs w:val="24"/>
          <w:highlight w:val="yellow"/>
        </w:rPr>
      </w:pPr>
      <w:r w:rsidRPr="0006721E">
        <w:rPr>
          <w:rFonts w:ascii="Times New Roman" w:hAnsi="Times New Roman" w:cs="Times New Roman"/>
          <w:sz w:val="24"/>
          <w:szCs w:val="24"/>
        </w:rPr>
        <w:tab/>
        <w:t xml:space="preserve">The spread of the </w:t>
      </w:r>
      <w:r w:rsidR="00580CD0" w:rsidRPr="0006721E">
        <w:rPr>
          <w:rFonts w:ascii="Times New Roman" w:hAnsi="Times New Roman" w:cs="Times New Roman"/>
          <w:sz w:val="24"/>
          <w:szCs w:val="24"/>
        </w:rPr>
        <w:t>C</w:t>
      </w:r>
      <w:r w:rsidR="00580CD0">
        <w:rPr>
          <w:rFonts w:ascii="Times New Roman" w:hAnsi="Times New Roman" w:cs="Times New Roman"/>
          <w:sz w:val="24"/>
          <w:szCs w:val="24"/>
        </w:rPr>
        <w:t>OVID</w:t>
      </w:r>
      <w:r w:rsidRPr="0006721E">
        <w:rPr>
          <w:rFonts w:ascii="Times New Roman" w:hAnsi="Times New Roman" w:cs="Times New Roman"/>
          <w:sz w:val="24"/>
          <w:szCs w:val="24"/>
        </w:rPr>
        <w:t>-19</w:t>
      </w:r>
      <w:r w:rsidR="00E51207" w:rsidRPr="0006721E">
        <w:rPr>
          <w:rFonts w:ascii="Times New Roman" w:hAnsi="Times New Roman" w:cs="Times New Roman"/>
          <w:sz w:val="24"/>
          <w:szCs w:val="24"/>
        </w:rPr>
        <w:t xml:space="preserve"> has been very sporadic</w:t>
      </w:r>
      <w:r w:rsidR="005979E1">
        <w:rPr>
          <w:rFonts w:ascii="Times New Roman" w:hAnsi="Times New Roman" w:cs="Times New Roman"/>
          <w:sz w:val="24"/>
          <w:szCs w:val="24"/>
        </w:rPr>
        <w:t>,</w:t>
      </w:r>
      <w:r w:rsidR="00121794" w:rsidRPr="0006721E">
        <w:rPr>
          <w:rFonts w:ascii="Times New Roman" w:hAnsi="Times New Roman" w:cs="Times New Roman"/>
          <w:sz w:val="24"/>
          <w:szCs w:val="24"/>
        </w:rPr>
        <w:t xml:space="preserve"> with limited infections outside China during </w:t>
      </w:r>
      <w:r w:rsidR="002908DA">
        <w:rPr>
          <w:rFonts w:ascii="Times New Roman" w:hAnsi="Times New Roman" w:cs="Times New Roman"/>
          <w:sz w:val="24"/>
          <w:szCs w:val="24"/>
        </w:rPr>
        <w:t xml:space="preserve">the </w:t>
      </w:r>
      <w:r w:rsidR="00121794" w:rsidRPr="0006721E">
        <w:rPr>
          <w:rFonts w:ascii="Times New Roman" w:hAnsi="Times New Roman" w:cs="Times New Roman"/>
          <w:sz w:val="24"/>
          <w:szCs w:val="24"/>
        </w:rPr>
        <w:t xml:space="preserve">first few months. </w:t>
      </w:r>
      <w:r w:rsidR="001C73C2" w:rsidRPr="001C73C2">
        <w:rPr>
          <w:rFonts w:ascii="Times New Roman" w:hAnsi="Times New Roman" w:cs="Times New Roman"/>
          <w:sz w:val="24"/>
          <w:szCs w:val="24"/>
          <w:highlight w:val="yellow"/>
        </w:rPr>
        <w:t>F</w:t>
      </w:r>
      <w:r w:rsidR="00121794" w:rsidRPr="001C73C2">
        <w:rPr>
          <w:rFonts w:ascii="Times New Roman" w:hAnsi="Times New Roman" w:cs="Times New Roman"/>
          <w:sz w:val="24"/>
          <w:szCs w:val="24"/>
          <w:highlight w:val="yellow"/>
        </w:rPr>
        <w:t>rom</w:t>
      </w:r>
      <w:r w:rsidR="00121794" w:rsidRPr="008E047F">
        <w:rPr>
          <w:rFonts w:ascii="Times New Roman" w:hAnsi="Times New Roman" w:cs="Times New Roman"/>
          <w:sz w:val="24"/>
          <w:szCs w:val="24"/>
          <w:highlight w:val="yellow"/>
        </w:rPr>
        <w:t xml:space="preserve"> March</w:t>
      </w:r>
      <w:r w:rsidR="00DC5D19" w:rsidRPr="008E047F">
        <w:rPr>
          <w:rFonts w:ascii="Times New Roman" w:hAnsi="Times New Roman" w:cs="Times New Roman"/>
          <w:sz w:val="24"/>
          <w:szCs w:val="24"/>
          <w:highlight w:val="yellow"/>
        </w:rPr>
        <w:t xml:space="preserve"> 2020</w:t>
      </w:r>
      <w:r w:rsidR="00121794" w:rsidRPr="008E047F">
        <w:rPr>
          <w:rFonts w:ascii="Times New Roman" w:hAnsi="Times New Roman" w:cs="Times New Roman"/>
          <w:sz w:val="24"/>
          <w:szCs w:val="24"/>
          <w:highlight w:val="yellow"/>
        </w:rPr>
        <w:t xml:space="preserve"> onwards, the virus spread exponentially across Europe, North America, Latin America, </w:t>
      </w:r>
      <w:r w:rsidR="002908DA" w:rsidRPr="008E047F">
        <w:rPr>
          <w:rFonts w:ascii="Times New Roman" w:hAnsi="Times New Roman" w:cs="Times New Roman"/>
          <w:sz w:val="24"/>
          <w:szCs w:val="24"/>
          <w:highlight w:val="yellow"/>
        </w:rPr>
        <w:t xml:space="preserve">the </w:t>
      </w:r>
      <w:r w:rsidR="00121794" w:rsidRPr="008E047F">
        <w:rPr>
          <w:rFonts w:ascii="Times New Roman" w:hAnsi="Times New Roman" w:cs="Times New Roman"/>
          <w:sz w:val="24"/>
          <w:szCs w:val="24"/>
          <w:highlight w:val="yellow"/>
        </w:rPr>
        <w:t>Middle East</w:t>
      </w:r>
      <w:r w:rsidR="002908DA" w:rsidRPr="008E047F">
        <w:rPr>
          <w:rFonts w:ascii="Times New Roman" w:hAnsi="Times New Roman" w:cs="Times New Roman"/>
          <w:sz w:val="24"/>
          <w:szCs w:val="24"/>
          <w:highlight w:val="yellow"/>
        </w:rPr>
        <w:t>,</w:t>
      </w:r>
      <w:r w:rsidR="00121794" w:rsidRPr="008E047F">
        <w:rPr>
          <w:rFonts w:ascii="Times New Roman" w:hAnsi="Times New Roman" w:cs="Times New Roman"/>
          <w:sz w:val="24"/>
          <w:szCs w:val="24"/>
          <w:highlight w:val="yellow"/>
        </w:rPr>
        <w:t xml:space="preserve"> and South Asia. This </w:t>
      </w:r>
      <w:r w:rsidR="00E725BD" w:rsidRPr="008E047F">
        <w:rPr>
          <w:rFonts w:ascii="Times New Roman" w:hAnsi="Times New Roman" w:cs="Times New Roman"/>
          <w:sz w:val="24"/>
          <w:szCs w:val="24"/>
          <w:highlight w:val="yellow"/>
        </w:rPr>
        <w:t>forced</w:t>
      </w:r>
      <w:r w:rsidR="00121794" w:rsidRPr="008E047F">
        <w:rPr>
          <w:rFonts w:ascii="Times New Roman" w:hAnsi="Times New Roman" w:cs="Times New Roman"/>
          <w:sz w:val="24"/>
          <w:szCs w:val="24"/>
          <w:highlight w:val="yellow"/>
        </w:rPr>
        <w:t xml:space="preserve"> </w:t>
      </w:r>
      <w:r w:rsidR="00E725BD" w:rsidRPr="008E047F">
        <w:rPr>
          <w:rFonts w:ascii="Times New Roman" w:hAnsi="Times New Roman" w:cs="Times New Roman"/>
          <w:sz w:val="24"/>
          <w:szCs w:val="24"/>
          <w:highlight w:val="yellow"/>
        </w:rPr>
        <w:t>stringent state interventions</w:t>
      </w:r>
      <w:r w:rsidR="002908DA" w:rsidRPr="008E047F">
        <w:rPr>
          <w:rFonts w:ascii="Times New Roman" w:hAnsi="Times New Roman" w:cs="Times New Roman"/>
          <w:sz w:val="24"/>
          <w:szCs w:val="24"/>
          <w:highlight w:val="yellow"/>
        </w:rPr>
        <w:t>,</w:t>
      </w:r>
      <w:r w:rsidR="00E725BD" w:rsidRPr="008E047F">
        <w:rPr>
          <w:rFonts w:ascii="Times New Roman" w:hAnsi="Times New Roman" w:cs="Times New Roman"/>
          <w:sz w:val="24"/>
          <w:szCs w:val="24"/>
          <w:highlight w:val="yellow"/>
        </w:rPr>
        <w:t xml:space="preserve"> including lockdowns resulting in moderately flattening the curve</w:t>
      </w:r>
      <w:r w:rsidR="008E047F" w:rsidRPr="008E047F">
        <w:rPr>
          <w:rFonts w:ascii="Times New Roman" w:hAnsi="Times New Roman" w:cs="Times New Roman"/>
          <w:sz w:val="24"/>
          <w:szCs w:val="24"/>
          <w:highlight w:val="yellow"/>
        </w:rPr>
        <w:t xml:space="preserve"> momentarily</w:t>
      </w:r>
      <w:r w:rsidR="00E725BD" w:rsidRPr="008E047F">
        <w:rPr>
          <w:rFonts w:ascii="Times New Roman" w:hAnsi="Times New Roman" w:cs="Times New Roman"/>
          <w:sz w:val="24"/>
          <w:szCs w:val="24"/>
          <w:highlight w:val="yellow"/>
        </w:rPr>
        <w:t xml:space="preserve">. </w:t>
      </w:r>
      <w:r w:rsidR="00B1160A" w:rsidRPr="008E047F">
        <w:rPr>
          <w:rFonts w:ascii="Times New Roman" w:hAnsi="Times New Roman" w:cs="Times New Roman"/>
          <w:sz w:val="24"/>
          <w:szCs w:val="24"/>
          <w:highlight w:val="yellow"/>
        </w:rPr>
        <w:t>As the C</w:t>
      </w:r>
      <w:r w:rsidR="00580CD0" w:rsidRPr="008E047F">
        <w:rPr>
          <w:rFonts w:ascii="Times New Roman" w:hAnsi="Times New Roman" w:cs="Times New Roman"/>
          <w:sz w:val="24"/>
          <w:szCs w:val="24"/>
          <w:highlight w:val="yellow"/>
        </w:rPr>
        <w:t>OVID</w:t>
      </w:r>
      <w:r w:rsidR="00B1160A" w:rsidRPr="008E047F">
        <w:rPr>
          <w:rFonts w:ascii="Times New Roman" w:hAnsi="Times New Roman" w:cs="Times New Roman"/>
          <w:sz w:val="24"/>
          <w:szCs w:val="24"/>
          <w:highlight w:val="yellow"/>
        </w:rPr>
        <w:t xml:space="preserve">-19 evolved across the globe, economic regression </w:t>
      </w:r>
      <w:r w:rsidR="009768A3" w:rsidRPr="008E047F">
        <w:rPr>
          <w:rFonts w:ascii="Times New Roman" w:hAnsi="Times New Roman" w:cs="Times New Roman"/>
          <w:sz w:val="24"/>
          <w:szCs w:val="24"/>
          <w:highlight w:val="yellow"/>
        </w:rPr>
        <w:t>intensified</w:t>
      </w:r>
      <w:r w:rsidR="00B1160A" w:rsidRPr="008E047F">
        <w:rPr>
          <w:rFonts w:ascii="Times New Roman" w:hAnsi="Times New Roman" w:cs="Times New Roman"/>
          <w:sz w:val="24"/>
          <w:szCs w:val="24"/>
          <w:highlight w:val="yellow"/>
        </w:rPr>
        <w:t>.</w:t>
      </w:r>
      <w:r w:rsidR="00486A42" w:rsidRPr="008E047F">
        <w:rPr>
          <w:rFonts w:ascii="Times New Roman" w:hAnsi="Times New Roman" w:cs="Times New Roman"/>
          <w:sz w:val="24"/>
          <w:szCs w:val="24"/>
          <w:highlight w:val="yellow"/>
        </w:rPr>
        <w:t xml:space="preserve"> This continued throughout 2020</w:t>
      </w:r>
      <w:r w:rsidR="00A71451" w:rsidRPr="008E047F">
        <w:rPr>
          <w:rFonts w:ascii="Times New Roman" w:hAnsi="Times New Roman" w:cs="Times New Roman"/>
          <w:sz w:val="24"/>
          <w:szCs w:val="24"/>
          <w:highlight w:val="yellow"/>
        </w:rPr>
        <w:t>,</w:t>
      </w:r>
      <w:r w:rsidR="00486A42" w:rsidRPr="008E047F">
        <w:rPr>
          <w:rFonts w:ascii="Times New Roman" w:hAnsi="Times New Roman" w:cs="Times New Roman"/>
          <w:sz w:val="24"/>
          <w:szCs w:val="24"/>
          <w:highlight w:val="yellow"/>
        </w:rPr>
        <w:t xml:space="preserve"> </w:t>
      </w:r>
      <w:r w:rsidR="00E621C4" w:rsidRPr="008E047F">
        <w:rPr>
          <w:rFonts w:ascii="Times New Roman" w:hAnsi="Times New Roman" w:cs="Times New Roman"/>
          <w:sz w:val="24"/>
          <w:szCs w:val="24"/>
          <w:highlight w:val="yellow"/>
        </w:rPr>
        <w:t xml:space="preserve">and </w:t>
      </w:r>
      <w:r w:rsidR="00A71451" w:rsidRPr="008E047F">
        <w:rPr>
          <w:rFonts w:ascii="Times New Roman" w:hAnsi="Times New Roman" w:cs="Times New Roman"/>
          <w:sz w:val="24"/>
          <w:szCs w:val="24"/>
          <w:highlight w:val="yellow"/>
        </w:rPr>
        <w:t>it was only at the end of the year</w:t>
      </w:r>
      <w:r w:rsidR="00EF1FBD" w:rsidRPr="008E047F">
        <w:rPr>
          <w:rFonts w:ascii="Times New Roman" w:hAnsi="Times New Roman" w:cs="Times New Roman"/>
          <w:sz w:val="24"/>
          <w:szCs w:val="24"/>
          <w:highlight w:val="yellow"/>
        </w:rPr>
        <w:t xml:space="preserve"> (and beginning 2021) w</w:t>
      </w:r>
      <w:r w:rsidR="003D788A" w:rsidRPr="008E047F">
        <w:rPr>
          <w:rFonts w:ascii="Times New Roman" w:hAnsi="Times New Roman" w:cs="Times New Roman"/>
          <w:sz w:val="24"/>
          <w:szCs w:val="24"/>
          <w:highlight w:val="yellow"/>
        </w:rPr>
        <w:t xml:space="preserve">hen </w:t>
      </w:r>
      <w:r w:rsidR="00F3784C">
        <w:rPr>
          <w:rFonts w:ascii="Times New Roman" w:hAnsi="Times New Roman" w:cs="Times New Roman"/>
          <w:sz w:val="24"/>
          <w:szCs w:val="24"/>
          <w:highlight w:val="yellow"/>
        </w:rPr>
        <w:t>there was some</w:t>
      </w:r>
      <w:r w:rsidR="003D788A" w:rsidRPr="008E047F">
        <w:rPr>
          <w:rFonts w:ascii="Times New Roman" w:hAnsi="Times New Roman" w:cs="Times New Roman"/>
          <w:sz w:val="24"/>
          <w:szCs w:val="24"/>
          <w:highlight w:val="yellow"/>
        </w:rPr>
        <w:t xml:space="preserve"> hope owing to the </w:t>
      </w:r>
      <w:r w:rsidR="009D06F5" w:rsidRPr="008E047F">
        <w:rPr>
          <w:rFonts w:ascii="Times New Roman" w:hAnsi="Times New Roman" w:cs="Times New Roman"/>
          <w:sz w:val="24"/>
          <w:szCs w:val="24"/>
          <w:highlight w:val="yellow"/>
        </w:rPr>
        <w:t xml:space="preserve">successful trials of possible vaccines. </w:t>
      </w:r>
      <w:r w:rsidR="00835AC7" w:rsidRPr="008E047F">
        <w:rPr>
          <w:rFonts w:ascii="Times New Roman" w:hAnsi="Times New Roman" w:cs="Times New Roman"/>
          <w:sz w:val="24"/>
          <w:szCs w:val="24"/>
          <w:highlight w:val="yellow"/>
        </w:rPr>
        <w:t xml:space="preserve">However, the </w:t>
      </w:r>
      <w:r w:rsidR="00691364" w:rsidRPr="008E047F">
        <w:rPr>
          <w:rFonts w:ascii="Times New Roman" w:hAnsi="Times New Roman" w:cs="Times New Roman"/>
          <w:sz w:val="24"/>
          <w:szCs w:val="24"/>
          <w:highlight w:val="yellow"/>
        </w:rPr>
        <w:t xml:space="preserve">global </w:t>
      </w:r>
      <w:r w:rsidR="00835AC7" w:rsidRPr="008E047F">
        <w:rPr>
          <w:rFonts w:ascii="Times New Roman" w:hAnsi="Times New Roman" w:cs="Times New Roman"/>
          <w:sz w:val="24"/>
          <w:szCs w:val="24"/>
          <w:highlight w:val="yellow"/>
        </w:rPr>
        <w:t xml:space="preserve">vaccination </w:t>
      </w:r>
      <w:r w:rsidR="00691364" w:rsidRPr="008E047F">
        <w:rPr>
          <w:rFonts w:ascii="Times New Roman" w:hAnsi="Times New Roman" w:cs="Times New Roman"/>
          <w:sz w:val="24"/>
          <w:szCs w:val="24"/>
          <w:highlight w:val="yellow"/>
        </w:rPr>
        <w:t>campaigns are</w:t>
      </w:r>
      <w:r w:rsidR="00835AC7" w:rsidRPr="008E047F">
        <w:rPr>
          <w:rFonts w:ascii="Times New Roman" w:hAnsi="Times New Roman" w:cs="Times New Roman"/>
          <w:sz w:val="24"/>
          <w:szCs w:val="24"/>
          <w:highlight w:val="yellow"/>
        </w:rPr>
        <w:t xml:space="preserve"> very staggered</w:t>
      </w:r>
      <w:r w:rsidR="00691364" w:rsidRPr="008E047F">
        <w:rPr>
          <w:rFonts w:ascii="Times New Roman" w:hAnsi="Times New Roman" w:cs="Times New Roman"/>
          <w:sz w:val="24"/>
          <w:szCs w:val="24"/>
          <w:highlight w:val="yellow"/>
        </w:rPr>
        <w:t>,</w:t>
      </w:r>
      <w:r w:rsidR="00835AC7" w:rsidRPr="008E047F">
        <w:rPr>
          <w:rFonts w:ascii="Times New Roman" w:hAnsi="Times New Roman" w:cs="Times New Roman"/>
          <w:sz w:val="24"/>
          <w:szCs w:val="24"/>
          <w:highlight w:val="yellow"/>
        </w:rPr>
        <w:t xml:space="preserve"> and </w:t>
      </w:r>
      <w:r w:rsidR="009768A3" w:rsidRPr="008E047F">
        <w:rPr>
          <w:rFonts w:ascii="Times New Roman" w:hAnsi="Times New Roman" w:cs="Times New Roman"/>
          <w:sz w:val="24"/>
          <w:szCs w:val="24"/>
          <w:highlight w:val="yellow"/>
        </w:rPr>
        <w:t>eliminating</w:t>
      </w:r>
      <w:r w:rsidR="00835AC7" w:rsidRPr="008E047F">
        <w:rPr>
          <w:rFonts w:ascii="Times New Roman" w:hAnsi="Times New Roman" w:cs="Times New Roman"/>
          <w:sz w:val="24"/>
          <w:szCs w:val="24"/>
          <w:highlight w:val="yellow"/>
        </w:rPr>
        <w:t xml:space="preserve"> the pandemic </w:t>
      </w:r>
      <w:r w:rsidR="00691364" w:rsidRPr="008E047F">
        <w:rPr>
          <w:rFonts w:ascii="Times New Roman" w:hAnsi="Times New Roman" w:cs="Times New Roman"/>
          <w:sz w:val="24"/>
          <w:szCs w:val="24"/>
          <w:highlight w:val="yellow"/>
        </w:rPr>
        <w:t xml:space="preserve">will take </w:t>
      </w:r>
      <w:r w:rsidR="009768A3" w:rsidRPr="008E047F">
        <w:rPr>
          <w:rFonts w:ascii="Times New Roman" w:hAnsi="Times New Roman" w:cs="Times New Roman"/>
          <w:sz w:val="24"/>
          <w:szCs w:val="24"/>
          <w:highlight w:val="yellow"/>
        </w:rPr>
        <w:t xml:space="preserve">some </w:t>
      </w:r>
      <w:r w:rsidR="00691364" w:rsidRPr="008E047F">
        <w:rPr>
          <w:rFonts w:ascii="Times New Roman" w:hAnsi="Times New Roman" w:cs="Times New Roman"/>
          <w:sz w:val="24"/>
          <w:szCs w:val="24"/>
          <w:highlight w:val="yellow"/>
        </w:rPr>
        <w:t xml:space="preserve">time. </w:t>
      </w:r>
      <w:r w:rsidR="00FE2DF6" w:rsidRPr="008E047F">
        <w:rPr>
          <w:rFonts w:ascii="Times New Roman" w:hAnsi="Times New Roman" w:cs="Times New Roman"/>
          <w:sz w:val="24"/>
          <w:szCs w:val="24"/>
          <w:highlight w:val="yellow"/>
        </w:rPr>
        <w:t xml:space="preserve">Given the economic and market consequences of COVID-19, it is interesting to evaluate the comparative performance of funds that </w:t>
      </w:r>
      <w:r w:rsidR="00296E85" w:rsidRPr="008E047F">
        <w:rPr>
          <w:rFonts w:ascii="Times New Roman" w:hAnsi="Times New Roman" w:cs="Times New Roman"/>
          <w:sz w:val="24"/>
          <w:szCs w:val="24"/>
          <w:highlight w:val="yellow"/>
        </w:rPr>
        <w:t xml:space="preserve">are differentiable </w:t>
      </w:r>
      <w:r w:rsidR="008E047F" w:rsidRPr="008E047F">
        <w:rPr>
          <w:rFonts w:ascii="Times New Roman" w:hAnsi="Times New Roman" w:cs="Times New Roman"/>
          <w:sz w:val="24"/>
          <w:szCs w:val="24"/>
          <w:highlight w:val="yellow"/>
        </w:rPr>
        <w:t>based on their investment philosophies.</w:t>
      </w:r>
      <w:r w:rsidR="008E047F">
        <w:rPr>
          <w:rFonts w:ascii="Times New Roman" w:hAnsi="Times New Roman" w:cs="Times New Roman"/>
          <w:sz w:val="24"/>
          <w:szCs w:val="24"/>
        </w:rPr>
        <w:t xml:space="preserve"> </w:t>
      </w:r>
      <w:r w:rsidR="00AA615D" w:rsidRPr="001C45B8">
        <w:rPr>
          <w:rFonts w:ascii="Times New Roman" w:hAnsi="Times New Roman" w:cs="Times New Roman"/>
          <w:sz w:val="24"/>
          <w:szCs w:val="24"/>
          <w:highlight w:val="yellow"/>
        </w:rPr>
        <w:t>This paper considers</w:t>
      </w:r>
      <w:r w:rsidR="00330CAC" w:rsidRPr="001C45B8">
        <w:rPr>
          <w:rFonts w:ascii="Times New Roman" w:hAnsi="Times New Roman" w:cs="Times New Roman"/>
          <w:sz w:val="24"/>
          <w:szCs w:val="24"/>
          <w:highlight w:val="yellow"/>
        </w:rPr>
        <w:t xml:space="preserve"> a period from January 1</w:t>
      </w:r>
      <w:r w:rsidR="00330CAC" w:rsidRPr="001C45B8">
        <w:rPr>
          <w:rFonts w:ascii="Times New Roman" w:hAnsi="Times New Roman" w:cs="Times New Roman"/>
          <w:sz w:val="24"/>
          <w:szCs w:val="24"/>
          <w:highlight w:val="yellow"/>
          <w:vertAlign w:val="superscript"/>
        </w:rPr>
        <w:t>st</w:t>
      </w:r>
      <w:r w:rsidR="00AA615D" w:rsidRPr="001C45B8">
        <w:rPr>
          <w:rFonts w:ascii="Times New Roman" w:hAnsi="Times New Roman" w:cs="Times New Roman"/>
          <w:sz w:val="24"/>
          <w:szCs w:val="24"/>
          <w:highlight w:val="yellow"/>
          <w:vertAlign w:val="superscript"/>
        </w:rPr>
        <w:t>,</w:t>
      </w:r>
      <w:r w:rsidR="00330CAC" w:rsidRPr="001C45B8">
        <w:rPr>
          <w:rFonts w:ascii="Times New Roman" w:hAnsi="Times New Roman" w:cs="Times New Roman"/>
          <w:sz w:val="24"/>
          <w:szCs w:val="24"/>
          <w:highlight w:val="yellow"/>
        </w:rPr>
        <w:t xml:space="preserve"> 2020</w:t>
      </w:r>
      <w:r w:rsidR="00AA615D" w:rsidRPr="001C45B8">
        <w:rPr>
          <w:rFonts w:ascii="Times New Roman" w:hAnsi="Times New Roman" w:cs="Times New Roman"/>
          <w:sz w:val="24"/>
          <w:szCs w:val="24"/>
          <w:highlight w:val="yellow"/>
        </w:rPr>
        <w:t>,</w:t>
      </w:r>
      <w:r w:rsidR="00330CAC" w:rsidRPr="001C45B8">
        <w:rPr>
          <w:rFonts w:ascii="Times New Roman" w:hAnsi="Times New Roman" w:cs="Times New Roman"/>
          <w:sz w:val="24"/>
          <w:szCs w:val="24"/>
          <w:highlight w:val="yellow"/>
        </w:rPr>
        <w:t xml:space="preserve"> to </w:t>
      </w:r>
      <w:r w:rsidR="00AA615D" w:rsidRPr="001C45B8">
        <w:rPr>
          <w:rFonts w:ascii="Times New Roman" w:hAnsi="Times New Roman" w:cs="Times New Roman"/>
          <w:sz w:val="24"/>
          <w:szCs w:val="24"/>
          <w:highlight w:val="yellow"/>
        </w:rPr>
        <w:t>May 31</w:t>
      </w:r>
      <w:r w:rsidR="00AA615D" w:rsidRPr="001C45B8">
        <w:rPr>
          <w:rFonts w:ascii="Times New Roman" w:hAnsi="Times New Roman" w:cs="Times New Roman"/>
          <w:sz w:val="24"/>
          <w:szCs w:val="24"/>
          <w:highlight w:val="yellow"/>
          <w:vertAlign w:val="superscript"/>
        </w:rPr>
        <w:t>st,</w:t>
      </w:r>
      <w:r w:rsidR="00AA615D" w:rsidRPr="001C45B8">
        <w:rPr>
          <w:rFonts w:ascii="Times New Roman" w:hAnsi="Times New Roman" w:cs="Times New Roman"/>
          <w:sz w:val="24"/>
          <w:szCs w:val="24"/>
          <w:highlight w:val="yellow"/>
        </w:rPr>
        <w:t xml:space="preserve"> 2021</w:t>
      </w:r>
      <w:r w:rsidR="00F7090C" w:rsidRPr="001C45B8">
        <w:rPr>
          <w:rFonts w:ascii="Times New Roman" w:hAnsi="Times New Roman" w:cs="Times New Roman"/>
          <w:sz w:val="24"/>
          <w:szCs w:val="24"/>
          <w:highlight w:val="yellow"/>
        </w:rPr>
        <w:t xml:space="preserve"> that covers this </w:t>
      </w:r>
      <w:r w:rsidR="005B3396" w:rsidRPr="001C45B8">
        <w:rPr>
          <w:rFonts w:ascii="Times New Roman" w:hAnsi="Times New Roman" w:cs="Times New Roman"/>
          <w:sz w:val="24"/>
          <w:szCs w:val="24"/>
          <w:highlight w:val="yellow"/>
        </w:rPr>
        <w:t xml:space="preserve">outbreak till very recently. </w:t>
      </w:r>
      <w:r w:rsidR="00157421" w:rsidRPr="001C45B8">
        <w:rPr>
          <w:rFonts w:ascii="Times New Roman" w:hAnsi="Times New Roman" w:cs="Times New Roman"/>
          <w:sz w:val="24"/>
          <w:szCs w:val="24"/>
          <w:highlight w:val="yellow"/>
        </w:rPr>
        <w:t>We further split our sample into several subsample</w:t>
      </w:r>
      <w:r w:rsidR="005B3396" w:rsidRPr="001C45B8">
        <w:rPr>
          <w:rFonts w:ascii="Times New Roman" w:hAnsi="Times New Roman" w:cs="Times New Roman"/>
          <w:sz w:val="24"/>
          <w:szCs w:val="24"/>
          <w:highlight w:val="yellow"/>
        </w:rPr>
        <w:t>s</w:t>
      </w:r>
      <w:r w:rsidR="00157421" w:rsidRPr="001C45B8">
        <w:rPr>
          <w:rFonts w:ascii="Times New Roman" w:hAnsi="Times New Roman" w:cs="Times New Roman"/>
          <w:sz w:val="24"/>
          <w:szCs w:val="24"/>
          <w:highlight w:val="yellow"/>
        </w:rPr>
        <w:t xml:space="preserve"> following Rizvi et al</w:t>
      </w:r>
      <w:r w:rsidR="007B4CA9" w:rsidRPr="001C45B8">
        <w:rPr>
          <w:rFonts w:ascii="Times New Roman" w:hAnsi="Times New Roman" w:cs="Times New Roman"/>
          <w:sz w:val="24"/>
          <w:szCs w:val="24"/>
          <w:highlight w:val="yellow"/>
        </w:rPr>
        <w:t>.</w:t>
      </w:r>
      <w:r w:rsidR="00157421" w:rsidRPr="001C45B8">
        <w:rPr>
          <w:rFonts w:ascii="Times New Roman" w:hAnsi="Times New Roman" w:cs="Times New Roman"/>
          <w:sz w:val="24"/>
          <w:szCs w:val="24"/>
          <w:highlight w:val="yellow"/>
        </w:rPr>
        <w:t xml:space="preserve"> (2020) </w:t>
      </w:r>
      <w:r w:rsidR="004E5573" w:rsidRPr="001C45B8">
        <w:rPr>
          <w:rFonts w:ascii="Times New Roman" w:hAnsi="Times New Roman" w:cs="Times New Roman"/>
          <w:sz w:val="24"/>
          <w:szCs w:val="24"/>
          <w:highlight w:val="yellow"/>
        </w:rPr>
        <w:t xml:space="preserve">and identifies six stages of </w:t>
      </w:r>
      <w:r w:rsidR="007B4CA9" w:rsidRPr="001C45B8">
        <w:rPr>
          <w:rFonts w:ascii="Times New Roman" w:hAnsi="Times New Roman" w:cs="Times New Roman"/>
          <w:sz w:val="24"/>
          <w:szCs w:val="24"/>
          <w:highlight w:val="yellow"/>
        </w:rPr>
        <w:t>the pandemic. The details of these stages are presented in table 1.</w:t>
      </w:r>
    </w:p>
    <w:p w14:paraId="3203EBAD" w14:textId="77777777" w:rsidR="00157421" w:rsidRPr="001C45B8" w:rsidRDefault="00157421" w:rsidP="006528E4">
      <w:pPr>
        <w:spacing w:after="0" w:line="480" w:lineRule="auto"/>
        <w:jc w:val="center"/>
        <w:rPr>
          <w:rFonts w:ascii="Times New Roman" w:hAnsi="Times New Roman" w:cs="Times New Roman"/>
          <w:sz w:val="24"/>
          <w:szCs w:val="24"/>
          <w:highlight w:val="yellow"/>
        </w:rPr>
      </w:pPr>
      <w:r w:rsidRPr="001C45B8">
        <w:rPr>
          <w:rFonts w:ascii="Times New Roman" w:hAnsi="Times New Roman" w:cs="Times New Roman"/>
          <w:sz w:val="24"/>
          <w:szCs w:val="24"/>
          <w:highlight w:val="yellow"/>
        </w:rPr>
        <w:t>[Table 1 here]</w:t>
      </w:r>
    </w:p>
    <w:p w14:paraId="33DE1488" w14:textId="7CE27B1F" w:rsidR="00361F2E" w:rsidRPr="0006721E" w:rsidRDefault="00157421" w:rsidP="002307D5">
      <w:pPr>
        <w:spacing w:after="0" w:line="480" w:lineRule="auto"/>
        <w:jc w:val="both"/>
        <w:rPr>
          <w:rFonts w:ascii="Times New Roman" w:hAnsi="Times New Roman" w:cs="Times New Roman"/>
          <w:sz w:val="24"/>
          <w:szCs w:val="24"/>
        </w:rPr>
      </w:pPr>
      <w:r w:rsidRPr="001C45B8">
        <w:rPr>
          <w:rFonts w:ascii="Times New Roman" w:hAnsi="Times New Roman" w:cs="Times New Roman"/>
          <w:sz w:val="24"/>
          <w:szCs w:val="24"/>
          <w:highlight w:val="yellow"/>
        </w:rPr>
        <w:t xml:space="preserve">While it is </w:t>
      </w:r>
      <w:r w:rsidR="002908DA" w:rsidRPr="001C45B8">
        <w:rPr>
          <w:rFonts w:ascii="Times New Roman" w:hAnsi="Times New Roman" w:cs="Times New Roman"/>
          <w:sz w:val="24"/>
          <w:szCs w:val="24"/>
          <w:highlight w:val="yellow"/>
        </w:rPr>
        <w:t>crucial</w:t>
      </w:r>
      <w:r w:rsidR="00A81A52" w:rsidRPr="001C45B8">
        <w:rPr>
          <w:rFonts w:ascii="Times New Roman" w:hAnsi="Times New Roman" w:cs="Times New Roman"/>
          <w:sz w:val="24"/>
          <w:szCs w:val="24"/>
          <w:highlight w:val="yellow"/>
        </w:rPr>
        <w:t xml:space="preserve"> to </w:t>
      </w:r>
      <w:r w:rsidR="00B548B8" w:rsidRPr="001C45B8">
        <w:rPr>
          <w:rFonts w:ascii="Times New Roman" w:hAnsi="Times New Roman" w:cs="Times New Roman"/>
          <w:sz w:val="24"/>
          <w:szCs w:val="24"/>
          <w:highlight w:val="yellow"/>
        </w:rPr>
        <w:t>assess</w:t>
      </w:r>
      <w:r w:rsidR="00A81A52" w:rsidRPr="001C45B8">
        <w:rPr>
          <w:rFonts w:ascii="Times New Roman" w:hAnsi="Times New Roman" w:cs="Times New Roman"/>
          <w:sz w:val="24"/>
          <w:szCs w:val="24"/>
          <w:highlight w:val="yellow"/>
        </w:rPr>
        <w:t xml:space="preserve"> the comparative funds’ performance </w:t>
      </w:r>
      <w:r w:rsidR="002908DA" w:rsidRPr="001C45B8">
        <w:rPr>
          <w:rFonts w:ascii="Times New Roman" w:hAnsi="Times New Roman" w:cs="Times New Roman"/>
          <w:sz w:val="24"/>
          <w:szCs w:val="24"/>
          <w:highlight w:val="yellow"/>
        </w:rPr>
        <w:t xml:space="preserve">for the </w:t>
      </w:r>
      <w:r w:rsidR="006F4339" w:rsidRPr="001C45B8">
        <w:rPr>
          <w:rFonts w:ascii="Times New Roman" w:hAnsi="Times New Roman" w:cs="Times New Roman"/>
          <w:sz w:val="24"/>
          <w:szCs w:val="24"/>
          <w:highlight w:val="yellow"/>
        </w:rPr>
        <w:t>entir</w:t>
      </w:r>
      <w:r w:rsidR="002908DA" w:rsidRPr="001C45B8">
        <w:rPr>
          <w:rFonts w:ascii="Times New Roman" w:hAnsi="Times New Roman" w:cs="Times New Roman"/>
          <w:sz w:val="24"/>
          <w:szCs w:val="24"/>
          <w:highlight w:val="yellow"/>
        </w:rPr>
        <w:t>e period</w:t>
      </w:r>
      <w:r w:rsidRPr="001C45B8">
        <w:rPr>
          <w:rFonts w:ascii="Times New Roman" w:hAnsi="Times New Roman" w:cs="Times New Roman"/>
          <w:sz w:val="24"/>
          <w:szCs w:val="24"/>
          <w:highlight w:val="yellow"/>
        </w:rPr>
        <w:t xml:space="preserve">, further analysis of the </w:t>
      </w:r>
      <w:r w:rsidR="007A1BF4" w:rsidRPr="001C45B8">
        <w:rPr>
          <w:rFonts w:ascii="Times New Roman" w:hAnsi="Times New Roman" w:cs="Times New Roman"/>
          <w:sz w:val="24"/>
          <w:szCs w:val="24"/>
          <w:highlight w:val="yellow"/>
        </w:rPr>
        <w:t>six</w:t>
      </w:r>
      <w:r w:rsidRPr="001C45B8">
        <w:rPr>
          <w:rFonts w:ascii="Times New Roman" w:hAnsi="Times New Roman" w:cs="Times New Roman"/>
          <w:sz w:val="24"/>
          <w:szCs w:val="24"/>
          <w:highlight w:val="yellow"/>
        </w:rPr>
        <w:t xml:space="preserve"> </w:t>
      </w:r>
      <w:r w:rsidR="00A81A52" w:rsidRPr="001C45B8">
        <w:rPr>
          <w:rFonts w:ascii="Times New Roman" w:hAnsi="Times New Roman" w:cs="Times New Roman"/>
          <w:sz w:val="24"/>
          <w:szCs w:val="24"/>
          <w:highlight w:val="yellow"/>
        </w:rPr>
        <w:t xml:space="preserve">stages of </w:t>
      </w:r>
      <w:r w:rsidRPr="001C45B8">
        <w:rPr>
          <w:rFonts w:ascii="Times New Roman" w:hAnsi="Times New Roman" w:cs="Times New Roman"/>
          <w:sz w:val="24"/>
          <w:szCs w:val="24"/>
          <w:highlight w:val="yellow"/>
        </w:rPr>
        <w:t xml:space="preserve">the first wave of the </w:t>
      </w:r>
      <w:r w:rsidR="00A81A52" w:rsidRPr="001C45B8">
        <w:rPr>
          <w:rFonts w:ascii="Times New Roman" w:hAnsi="Times New Roman" w:cs="Times New Roman"/>
          <w:sz w:val="24"/>
          <w:szCs w:val="24"/>
          <w:highlight w:val="yellow"/>
        </w:rPr>
        <w:t>C</w:t>
      </w:r>
      <w:r w:rsidRPr="001C45B8">
        <w:rPr>
          <w:rFonts w:ascii="Times New Roman" w:hAnsi="Times New Roman" w:cs="Times New Roman"/>
          <w:sz w:val="24"/>
          <w:szCs w:val="24"/>
          <w:highlight w:val="yellow"/>
        </w:rPr>
        <w:t>OVID</w:t>
      </w:r>
      <w:r w:rsidR="00A81A52" w:rsidRPr="001C45B8">
        <w:rPr>
          <w:rFonts w:ascii="Times New Roman" w:hAnsi="Times New Roman" w:cs="Times New Roman"/>
          <w:sz w:val="24"/>
          <w:szCs w:val="24"/>
          <w:highlight w:val="yellow"/>
        </w:rPr>
        <w:t>-19</w:t>
      </w:r>
      <w:r w:rsidRPr="001C45B8">
        <w:rPr>
          <w:rFonts w:ascii="Times New Roman" w:hAnsi="Times New Roman" w:cs="Times New Roman"/>
          <w:sz w:val="24"/>
          <w:szCs w:val="24"/>
          <w:highlight w:val="yellow"/>
        </w:rPr>
        <w:t xml:space="preserve"> can help </w:t>
      </w:r>
      <w:r w:rsidR="001C45B8" w:rsidRPr="001C45B8">
        <w:rPr>
          <w:rFonts w:ascii="Times New Roman" w:hAnsi="Times New Roman" w:cs="Times New Roman"/>
          <w:sz w:val="24"/>
          <w:szCs w:val="24"/>
          <w:highlight w:val="yellow"/>
        </w:rPr>
        <w:t>establish</w:t>
      </w:r>
      <w:r w:rsidR="007A1BF4" w:rsidRPr="001C45B8">
        <w:rPr>
          <w:rFonts w:ascii="Times New Roman" w:hAnsi="Times New Roman" w:cs="Times New Roman"/>
          <w:sz w:val="24"/>
          <w:szCs w:val="24"/>
          <w:highlight w:val="yellow"/>
        </w:rPr>
        <w:t xml:space="preserve"> the robustness of our results and provide more detailed results for future research</w:t>
      </w:r>
      <w:r w:rsidRPr="001C45B8">
        <w:rPr>
          <w:rFonts w:ascii="Times New Roman" w:hAnsi="Times New Roman" w:cs="Times New Roman"/>
          <w:sz w:val="24"/>
          <w:szCs w:val="24"/>
          <w:highlight w:val="yellow"/>
        </w:rPr>
        <w:t xml:space="preserve"> </w:t>
      </w:r>
      <w:r w:rsidR="001C45B8" w:rsidRPr="001C45B8">
        <w:rPr>
          <w:rFonts w:ascii="Times New Roman" w:hAnsi="Times New Roman" w:cs="Times New Roman"/>
          <w:sz w:val="24"/>
          <w:szCs w:val="24"/>
          <w:highlight w:val="yellow"/>
        </w:rPr>
        <w:t xml:space="preserve">in </w:t>
      </w:r>
      <w:r w:rsidRPr="001C45B8">
        <w:rPr>
          <w:rFonts w:ascii="Times New Roman" w:hAnsi="Times New Roman" w:cs="Times New Roman"/>
          <w:sz w:val="24"/>
          <w:szCs w:val="24"/>
          <w:highlight w:val="yellow"/>
        </w:rPr>
        <w:t>this area.</w:t>
      </w:r>
      <w:r w:rsidRPr="001C45B8">
        <w:rPr>
          <w:highlight w:val="yellow"/>
        </w:rPr>
        <w:t xml:space="preserve"> </w:t>
      </w:r>
      <w:r w:rsidRPr="001C45B8">
        <w:rPr>
          <w:rFonts w:ascii="Times New Roman" w:hAnsi="Times New Roman" w:cs="Times New Roman"/>
          <w:sz w:val="24"/>
          <w:szCs w:val="24"/>
          <w:highlight w:val="yellow"/>
        </w:rPr>
        <w:t>The statistics from Table 1 show the evolution of total infections and mortality stage-wise for our sample period</w:t>
      </w:r>
      <w:r w:rsidR="001C45B8" w:rsidRPr="001C45B8">
        <w:rPr>
          <w:rFonts w:ascii="Times New Roman" w:hAnsi="Times New Roman" w:cs="Times New Roman"/>
          <w:sz w:val="24"/>
          <w:szCs w:val="24"/>
          <w:highlight w:val="yellow"/>
        </w:rPr>
        <w:t>.</w:t>
      </w:r>
    </w:p>
    <w:p w14:paraId="228C16D9" w14:textId="43DFF4F6" w:rsidR="001A1BB6" w:rsidRDefault="00361F2E" w:rsidP="00625185">
      <w:pPr>
        <w:spacing w:after="0" w:line="480" w:lineRule="auto"/>
        <w:jc w:val="both"/>
        <w:rPr>
          <w:rFonts w:ascii="Times New Roman" w:hAnsi="Times New Roman" w:cs="Times New Roman"/>
          <w:sz w:val="24"/>
          <w:szCs w:val="24"/>
          <w:highlight w:val="yellow"/>
        </w:rPr>
      </w:pPr>
      <w:r w:rsidRPr="0006721E">
        <w:rPr>
          <w:rFonts w:ascii="Times New Roman" w:hAnsi="Times New Roman" w:cs="Times New Roman"/>
          <w:sz w:val="24"/>
          <w:szCs w:val="24"/>
        </w:rPr>
        <w:tab/>
      </w:r>
      <w:r w:rsidR="00ED3B7B">
        <w:rPr>
          <w:rFonts w:ascii="Times New Roman" w:hAnsi="Times New Roman" w:cs="Times New Roman"/>
          <w:sz w:val="24"/>
          <w:szCs w:val="24"/>
        </w:rPr>
        <w:t>Islamic funds are</w:t>
      </w:r>
      <w:r w:rsidR="00A765A9">
        <w:rPr>
          <w:rFonts w:ascii="Times New Roman" w:hAnsi="Times New Roman" w:cs="Times New Roman"/>
          <w:sz w:val="24"/>
          <w:szCs w:val="24"/>
        </w:rPr>
        <w:t xml:space="preserve"> not very </w:t>
      </w:r>
      <w:r w:rsidR="00ED3B7B">
        <w:rPr>
          <w:rFonts w:ascii="Times New Roman" w:hAnsi="Times New Roman" w:cs="Times New Roman"/>
          <w:sz w:val="24"/>
          <w:szCs w:val="24"/>
        </w:rPr>
        <w:t>symmetric across</w:t>
      </w:r>
      <w:r w:rsidR="00A765A9">
        <w:rPr>
          <w:rFonts w:ascii="Times New Roman" w:hAnsi="Times New Roman" w:cs="Times New Roman"/>
          <w:sz w:val="24"/>
          <w:szCs w:val="24"/>
        </w:rPr>
        <w:t xml:space="preserve"> the globe</w:t>
      </w:r>
      <w:r w:rsidR="000F30FC">
        <w:rPr>
          <w:rFonts w:ascii="Times New Roman" w:hAnsi="Times New Roman" w:cs="Times New Roman"/>
          <w:sz w:val="24"/>
          <w:szCs w:val="24"/>
        </w:rPr>
        <w:t>,</w:t>
      </w:r>
      <w:r w:rsidR="00A765A9">
        <w:rPr>
          <w:rFonts w:ascii="Times New Roman" w:hAnsi="Times New Roman" w:cs="Times New Roman"/>
          <w:sz w:val="24"/>
          <w:szCs w:val="24"/>
        </w:rPr>
        <w:t xml:space="preserve"> and </w:t>
      </w:r>
      <w:r w:rsidR="000F30FC">
        <w:rPr>
          <w:rFonts w:ascii="Times New Roman" w:hAnsi="Times New Roman" w:cs="Times New Roman"/>
          <w:sz w:val="24"/>
          <w:szCs w:val="24"/>
        </w:rPr>
        <w:t>the main</w:t>
      </w:r>
      <w:r w:rsidR="00A765A9">
        <w:rPr>
          <w:rFonts w:ascii="Times New Roman" w:hAnsi="Times New Roman" w:cs="Times New Roman"/>
          <w:sz w:val="24"/>
          <w:szCs w:val="24"/>
        </w:rPr>
        <w:t xml:space="preserve"> </w:t>
      </w:r>
      <w:r w:rsidR="000F30FC">
        <w:rPr>
          <w:rFonts w:ascii="Times New Roman" w:hAnsi="Times New Roman" w:cs="Times New Roman"/>
          <w:sz w:val="24"/>
          <w:szCs w:val="24"/>
        </w:rPr>
        <w:t>concentration is</w:t>
      </w:r>
      <w:r w:rsidR="00A765A9">
        <w:rPr>
          <w:rFonts w:ascii="Times New Roman" w:hAnsi="Times New Roman" w:cs="Times New Roman"/>
          <w:sz w:val="24"/>
          <w:szCs w:val="24"/>
        </w:rPr>
        <w:t xml:space="preserve"> in</w:t>
      </w:r>
      <w:r w:rsidR="00605AFA">
        <w:rPr>
          <w:rFonts w:ascii="Times New Roman" w:hAnsi="Times New Roman" w:cs="Times New Roman"/>
          <w:sz w:val="24"/>
          <w:szCs w:val="24"/>
        </w:rPr>
        <w:t xml:space="preserve"> Muslim-populated countries. </w:t>
      </w:r>
      <w:r w:rsidR="00A765A9">
        <w:rPr>
          <w:rFonts w:ascii="Times New Roman" w:hAnsi="Times New Roman" w:cs="Times New Roman"/>
          <w:sz w:val="24"/>
          <w:szCs w:val="24"/>
        </w:rPr>
        <w:t xml:space="preserve"> </w:t>
      </w:r>
      <w:r w:rsidR="00605AFA">
        <w:rPr>
          <w:rFonts w:ascii="Times New Roman" w:hAnsi="Times New Roman" w:cs="Times New Roman"/>
          <w:sz w:val="24"/>
          <w:szCs w:val="24"/>
        </w:rPr>
        <w:t>Therefore, w</w:t>
      </w:r>
      <w:r w:rsidR="002908DA">
        <w:rPr>
          <w:rFonts w:ascii="Times New Roman" w:hAnsi="Times New Roman" w:cs="Times New Roman"/>
          <w:sz w:val="24"/>
          <w:szCs w:val="24"/>
        </w:rPr>
        <w:t>e selec</w:t>
      </w:r>
      <w:r w:rsidR="00567493">
        <w:rPr>
          <w:rFonts w:ascii="Times New Roman" w:hAnsi="Times New Roman" w:cs="Times New Roman"/>
          <w:sz w:val="24"/>
          <w:szCs w:val="24"/>
        </w:rPr>
        <w:t>t</w:t>
      </w:r>
      <w:r w:rsidR="002908DA">
        <w:rPr>
          <w:rFonts w:ascii="Times New Roman" w:hAnsi="Times New Roman" w:cs="Times New Roman"/>
          <w:sz w:val="24"/>
          <w:szCs w:val="24"/>
        </w:rPr>
        <w:t xml:space="preserve"> </w:t>
      </w:r>
      <w:r w:rsidR="00781B51">
        <w:rPr>
          <w:rFonts w:ascii="Times New Roman" w:hAnsi="Times New Roman" w:cs="Times New Roman"/>
          <w:sz w:val="24"/>
          <w:szCs w:val="24"/>
        </w:rPr>
        <w:t xml:space="preserve">the </w:t>
      </w:r>
      <w:r w:rsidR="002908DA">
        <w:rPr>
          <w:rFonts w:ascii="Times New Roman" w:hAnsi="Times New Roman" w:cs="Times New Roman"/>
          <w:sz w:val="24"/>
          <w:szCs w:val="24"/>
        </w:rPr>
        <w:t>top</w:t>
      </w:r>
      <w:r w:rsidR="00781B51">
        <w:rPr>
          <w:rFonts w:ascii="Times New Roman" w:hAnsi="Times New Roman" w:cs="Times New Roman"/>
          <w:sz w:val="24"/>
          <w:szCs w:val="24"/>
        </w:rPr>
        <w:t xml:space="preserve"> six</w:t>
      </w:r>
      <w:r w:rsidR="002908DA">
        <w:rPr>
          <w:rFonts w:ascii="Times New Roman" w:hAnsi="Times New Roman" w:cs="Times New Roman"/>
          <w:sz w:val="24"/>
          <w:szCs w:val="24"/>
        </w:rPr>
        <w:t xml:space="preserve"> locations where </w:t>
      </w:r>
      <w:r w:rsidR="006706C4">
        <w:rPr>
          <w:rFonts w:ascii="Times New Roman" w:hAnsi="Times New Roman" w:cs="Times New Roman"/>
          <w:sz w:val="24"/>
          <w:szCs w:val="24"/>
        </w:rPr>
        <w:t>Islamic</w:t>
      </w:r>
      <w:r w:rsidR="002908DA">
        <w:rPr>
          <w:rFonts w:ascii="Times New Roman" w:hAnsi="Times New Roman" w:cs="Times New Roman"/>
          <w:sz w:val="24"/>
          <w:szCs w:val="24"/>
        </w:rPr>
        <w:t xml:space="preserve"> funds are </w:t>
      </w:r>
      <w:r w:rsidR="002908DA">
        <w:rPr>
          <w:rFonts w:ascii="Times New Roman" w:hAnsi="Times New Roman" w:cs="Times New Roman"/>
          <w:sz w:val="24"/>
          <w:szCs w:val="24"/>
        </w:rPr>
        <w:lastRenderedPageBreak/>
        <w:t xml:space="preserve">domiciled to proceed with </w:t>
      </w:r>
      <w:r w:rsidR="006706C4">
        <w:rPr>
          <w:rFonts w:ascii="Times New Roman" w:hAnsi="Times New Roman" w:cs="Times New Roman"/>
          <w:sz w:val="24"/>
          <w:szCs w:val="24"/>
        </w:rPr>
        <w:t xml:space="preserve">the </w:t>
      </w:r>
      <w:r w:rsidR="00781B51">
        <w:rPr>
          <w:rFonts w:ascii="Times New Roman" w:hAnsi="Times New Roman" w:cs="Times New Roman"/>
          <w:sz w:val="24"/>
          <w:szCs w:val="24"/>
        </w:rPr>
        <w:t>analysis</w:t>
      </w:r>
      <w:r w:rsidR="00377AD4" w:rsidRPr="0006721E">
        <w:rPr>
          <w:rFonts w:ascii="Times New Roman" w:hAnsi="Times New Roman" w:cs="Times New Roman"/>
          <w:sz w:val="24"/>
          <w:szCs w:val="24"/>
        </w:rPr>
        <w:t>.</w:t>
      </w:r>
      <w:r w:rsidR="004610C3" w:rsidRPr="0006721E">
        <w:rPr>
          <w:rFonts w:ascii="Times New Roman" w:hAnsi="Times New Roman" w:cs="Times New Roman"/>
          <w:sz w:val="24"/>
          <w:szCs w:val="24"/>
        </w:rPr>
        <w:t xml:space="preserve"> These include Malaysia, Pakistan, Saudi Arabia, Qatar, Kuwait</w:t>
      </w:r>
      <w:r w:rsidR="002908DA">
        <w:rPr>
          <w:rFonts w:ascii="Times New Roman" w:hAnsi="Times New Roman" w:cs="Times New Roman"/>
          <w:sz w:val="24"/>
          <w:szCs w:val="24"/>
        </w:rPr>
        <w:t>,</w:t>
      </w:r>
      <w:r w:rsidR="004610C3" w:rsidRPr="0006721E">
        <w:rPr>
          <w:rFonts w:ascii="Times New Roman" w:hAnsi="Times New Roman" w:cs="Times New Roman"/>
          <w:sz w:val="24"/>
          <w:szCs w:val="24"/>
        </w:rPr>
        <w:t xml:space="preserve"> and </w:t>
      </w:r>
      <w:r w:rsidR="002908DA">
        <w:rPr>
          <w:rFonts w:ascii="Times New Roman" w:hAnsi="Times New Roman" w:cs="Times New Roman"/>
          <w:sz w:val="24"/>
          <w:szCs w:val="24"/>
        </w:rPr>
        <w:t xml:space="preserve">the </w:t>
      </w:r>
      <w:r w:rsidR="004610C3" w:rsidRPr="0006721E">
        <w:rPr>
          <w:rFonts w:ascii="Times New Roman" w:hAnsi="Times New Roman" w:cs="Times New Roman"/>
          <w:sz w:val="24"/>
          <w:szCs w:val="24"/>
        </w:rPr>
        <w:t xml:space="preserve">UAE. </w:t>
      </w:r>
      <w:r w:rsidR="008C1661" w:rsidRPr="0006721E">
        <w:rPr>
          <w:rFonts w:ascii="Times New Roman" w:hAnsi="Times New Roman" w:cs="Times New Roman"/>
          <w:sz w:val="24"/>
          <w:szCs w:val="24"/>
        </w:rPr>
        <w:t>For sample selection</w:t>
      </w:r>
      <w:r w:rsidR="00A24FF1" w:rsidRPr="0006721E">
        <w:rPr>
          <w:rFonts w:ascii="Times New Roman" w:hAnsi="Times New Roman" w:cs="Times New Roman"/>
          <w:sz w:val="24"/>
          <w:szCs w:val="24"/>
        </w:rPr>
        <w:t>,</w:t>
      </w:r>
      <w:r w:rsidR="008C1661" w:rsidRPr="0006721E">
        <w:rPr>
          <w:rFonts w:ascii="Times New Roman" w:hAnsi="Times New Roman" w:cs="Times New Roman"/>
          <w:sz w:val="24"/>
          <w:szCs w:val="24"/>
        </w:rPr>
        <w:t xml:space="preserve"> we impose two conditions</w:t>
      </w:r>
      <w:r w:rsidR="00A24FF1" w:rsidRPr="0006721E">
        <w:rPr>
          <w:rFonts w:ascii="Times New Roman" w:hAnsi="Times New Roman" w:cs="Times New Roman"/>
          <w:sz w:val="24"/>
          <w:szCs w:val="24"/>
        </w:rPr>
        <w:t xml:space="preserve"> to ensure that </w:t>
      </w:r>
      <w:r w:rsidR="00BE2DE0" w:rsidRPr="0006721E">
        <w:rPr>
          <w:rFonts w:ascii="Times New Roman" w:hAnsi="Times New Roman" w:cs="Times New Roman"/>
          <w:sz w:val="24"/>
          <w:szCs w:val="24"/>
        </w:rPr>
        <w:t xml:space="preserve">only </w:t>
      </w:r>
      <w:r w:rsidR="00A24FF1" w:rsidRPr="0006721E">
        <w:rPr>
          <w:rFonts w:ascii="Times New Roman" w:hAnsi="Times New Roman" w:cs="Times New Roman"/>
          <w:sz w:val="24"/>
          <w:szCs w:val="24"/>
        </w:rPr>
        <w:t>funds</w:t>
      </w:r>
      <w:r w:rsidR="00BE2DE0" w:rsidRPr="0006721E">
        <w:rPr>
          <w:rFonts w:ascii="Times New Roman" w:hAnsi="Times New Roman" w:cs="Times New Roman"/>
          <w:sz w:val="24"/>
          <w:szCs w:val="24"/>
        </w:rPr>
        <w:t xml:space="preserve"> that were stable pre-C</w:t>
      </w:r>
      <w:r w:rsidR="00781B51">
        <w:rPr>
          <w:rFonts w:ascii="Times New Roman" w:hAnsi="Times New Roman" w:cs="Times New Roman"/>
          <w:sz w:val="24"/>
          <w:szCs w:val="24"/>
        </w:rPr>
        <w:t>OVID</w:t>
      </w:r>
      <w:r w:rsidR="00A24FF1" w:rsidRPr="0006721E">
        <w:rPr>
          <w:rFonts w:ascii="Times New Roman" w:hAnsi="Times New Roman" w:cs="Times New Roman"/>
          <w:sz w:val="24"/>
          <w:szCs w:val="24"/>
        </w:rPr>
        <w:t xml:space="preserve"> are selected. </w:t>
      </w:r>
      <w:r w:rsidR="00C53513" w:rsidRPr="0006721E">
        <w:rPr>
          <w:rFonts w:ascii="Times New Roman" w:hAnsi="Times New Roman" w:cs="Times New Roman"/>
          <w:sz w:val="24"/>
          <w:szCs w:val="24"/>
        </w:rPr>
        <w:t>First, we</w:t>
      </w:r>
      <w:r w:rsidR="00781B51">
        <w:rPr>
          <w:rFonts w:ascii="Times New Roman" w:hAnsi="Times New Roman" w:cs="Times New Roman"/>
          <w:sz w:val="24"/>
          <w:szCs w:val="24"/>
        </w:rPr>
        <w:t xml:space="preserve"> identified</w:t>
      </w:r>
      <w:r w:rsidR="00C53513" w:rsidRPr="0006721E">
        <w:rPr>
          <w:rFonts w:ascii="Times New Roman" w:hAnsi="Times New Roman" w:cs="Times New Roman"/>
          <w:sz w:val="24"/>
          <w:szCs w:val="24"/>
        </w:rPr>
        <w:t xml:space="preserve"> funds initiated </w:t>
      </w:r>
      <w:r w:rsidR="002908DA">
        <w:rPr>
          <w:rFonts w:ascii="Times New Roman" w:hAnsi="Times New Roman" w:cs="Times New Roman"/>
          <w:sz w:val="24"/>
          <w:szCs w:val="24"/>
        </w:rPr>
        <w:t>before</w:t>
      </w:r>
      <w:r w:rsidR="00C53513" w:rsidRPr="0006721E">
        <w:rPr>
          <w:rFonts w:ascii="Times New Roman" w:hAnsi="Times New Roman" w:cs="Times New Roman"/>
          <w:sz w:val="24"/>
          <w:szCs w:val="24"/>
        </w:rPr>
        <w:t xml:space="preserve"> June 2018 and </w:t>
      </w:r>
      <w:r w:rsidR="002908DA">
        <w:rPr>
          <w:rFonts w:ascii="Times New Roman" w:hAnsi="Times New Roman" w:cs="Times New Roman"/>
          <w:sz w:val="24"/>
          <w:szCs w:val="24"/>
        </w:rPr>
        <w:t>existed</w:t>
      </w:r>
      <w:r w:rsidR="00C53513" w:rsidRPr="0006721E">
        <w:rPr>
          <w:rFonts w:ascii="Times New Roman" w:hAnsi="Times New Roman" w:cs="Times New Roman"/>
          <w:sz w:val="24"/>
          <w:szCs w:val="24"/>
        </w:rPr>
        <w:t xml:space="preserve"> for at least </w:t>
      </w:r>
      <w:r w:rsidR="00781B51">
        <w:rPr>
          <w:rFonts w:ascii="Times New Roman" w:hAnsi="Times New Roman" w:cs="Times New Roman"/>
          <w:sz w:val="24"/>
          <w:szCs w:val="24"/>
        </w:rPr>
        <w:t>18</w:t>
      </w:r>
      <w:r w:rsidR="00C53513" w:rsidRPr="0006721E">
        <w:rPr>
          <w:rFonts w:ascii="Times New Roman" w:hAnsi="Times New Roman" w:cs="Times New Roman"/>
          <w:sz w:val="24"/>
          <w:szCs w:val="24"/>
        </w:rPr>
        <w:t xml:space="preserve"> months </w:t>
      </w:r>
      <w:r w:rsidR="002908DA">
        <w:rPr>
          <w:rFonts w:ascii="Times New Roman" w:hAnsi="Times New Roman" w:cs="Times New Roman"/>
          <w:sz w:val="24"/>
          <w:szCs w:val="24"/>
        </w:rPr>
        <w:t>before</w:t>
      </w:r>
      <w:r w:rsidR="00C53513" w:rsidRPr="0006721E">
        <w:rPr>
          <w:rFonts w:ascii="Times New Roman" w:hAnsi="Times New Roman" w:cs="Times New Roman"/>
          <w:sz w:val="24"/>
          <w:szCs w:val="24"/>
        </w:rPr>
        <w:t xml:space="preserve"> the outbreak. Secon</w:t>
      </w:r>
      <w:r w:rsidR="00781B51">
        <w:rPr>
          <w:rFonts w:ascii="Times New Roman" w:hAnsi="Times New Roman" w:cs="Times New Roman"/>
          <w:sz w:val="24"/>
          <w:szCs w:val="24"/>
        </w:rPr>
        <w:t>d</w:t>
      </w:r>
      <w:r w:rsidR="00C53513" w:rsidRPr="0006721E">
        <w:rPr>
          <w:rFonts w:ascii="Times New Roman" w:hAnsi="Times New Roman" w:cs="Times New Roman"/>
          <w:sz w:val="24"/>
          <w:szCs w:val="24"/>
        </w:rPr>
        <w:t>, we only consider funds that ha</w:t>
      </w:r>
      <w:r w:rsidR="008726AB" w:rsidRPr="0006721E">
        <w:rPr>
          <w:rFonts w:ascii="Times New Roman" w:hAnsi="Times New Roman" w:cs="Times New Roman"/>
          <w:sz w:val="24"/>
          <w:szCs w:val="24"/>
        </w:rPr>
        <w:t xml:space="preserve">ve reported </w:t>
      </w:r>
      <w:r w:rsidR="00781B51">
        <w:rPr>
          <w:rFonts w:ascii="Times New Roman" w:hAnsi="Times New Roman" w:cs="Times New Roman"/>
          <w:sz w:val="24"/>
          <w:szCs w:val="24"/>
        </w:rPr>
        <w:t xml:space="preserve">the </w:t>
      </w:r>
      <w:r w:rsidR="008726AB" w:rsidRPr="0006721E">
        <w:rPr>
          <w:rFonts w:ascii="Times New Roman" w:hAnsi="Times New Roman" w:cs="Times New Roman"/>
          <w:sz w:val="24"/>
          <w:szCs w:val="24"/>
        </w:rPr>
        <w:t>positive net asset v</w:t>
      </w:r>
      <w:r w:rsidR="00C53513" w:rsidRPr="0006721E">
        <w:rPr>
          <w:rFonts w:ascii="Times New Roman" w:hAnsi="Times New Roman" w:cs="Times New Roman"/>
          <w:sz w:val="24"/>
          <w:szCs w:val="24"/>
        </w:rPr>
        <w:t xml:space="preserve">alue (NAV) for 2019. </w:t>
      </w:r>
      <w:r w:rsidR="00A24FF1" w:rsidRPr="0006721E">
        <w:rPr>
          <w:rFonts w:ascii="Times New Roman" w:hAnsi="Times New Roman" w:cs="Times New Roman"/>
          <w:sz w:val="24"/>
          <w:szCs w:val="24"/>
        </w:rPr>
        <w:t xml:space="preserve">We believe </w:t>
      </w:r>
      <w:r w:rsidR="00781B51">
        <w:rPr>
          <w:rFonts w:ascii="Times New Roman" w:hAnsi="Times New Roman" w:cs="Times New Roman"/>
          <w:sz w:val="24"/>
          <w:szCs w:val="24"/>
        </w:rPr>
        <w:t>that these criteria are</w:t>
      </w:r>
      <w:r w:rsidR="002F591F">
        <w:rPr>
          <w:rFonts w:ascii="Times New Roman" w:hAnsi="Times New Roman" w:cs="Times New Roman"/>
          <w:sz w:val="24"/>
          <w:szCs w:val="24"/>
        </w:rPr>
        <w:t xml:space="preserve"> </w:t>
      </w:r>
      <w:r w:rsidR="00567493">
        <w:rPr>
          <w:rFonts w:ascii="Times New Roman" w:hAnsi="Times New Roman" w:cs="Times New Roman"/>
          <w:sz w:val="24"/>
          <w:szCs w:val="24"/>
        </w:rPr>
        <w:t>essential</w:t>
      </w:r>
      <w:r w:rsidR="00306FFF" w:rsidRPr="0006721E">
        <w:rPr>
          <w:rFonts w:ascii="Times New Roman" w:hAnsi="Times New Roman" w:cs="Times New Roman"/>
          <w:sz w:val="24"/>
          <w:szCs w:val="24"/>
        </w:rPr>
        <w:t xml:space="preserve"> </w:t>
      </w:r>
      <w:r w:rsidR="00C53513" w:rsidRPr="0006721E">
        <w:rPr>
          <w:rFonts w:ascii="Times New Roman" w:hAnsi="Times New Roman" w:cs="Times New Roman"/>
          <w:sz w:val="24"/>
          <w:szCs w:val="24"/>
        </w:rPr>
        <w:t xml:space="preserve">to ensure that our results </w:t>
      </w:r>
      <w:r w:rsidR="00781B51">
        <w:rPr>
          <w:rFonts w:ascii="Times New Roman" w:hAnsi="Times New Roman" w:cs="Times New Roman"/>
          <w:sz w:val="24"/>
          <w:szCs w:val="24"/>
        </w:rPr>
        <w:t>capture the impact of the COVID-19</w:t>
      </w:r>
      <w:r w:rsidR="002F591F">
        <w:rPr>
          <w:rFonts w:ascii="Times New Roman" w:hAnsi="Times New Roman" w:cs="Times New Roman"/>
          <w:sz w:val="24"/>
          <w:szCs w:val="24"/>
        </w:rPr>
        <w:t xml:space="preserve"> </w:t>
      </w:r>
      <w:r w:rsidR="00C53513" w:rsidRPr="0006721E">
        <w:rPr>
          <w:rFonts w:ascii="Times New Roman" w:hAnsi="Times New Roman" w:cs="Times New Roman"/>
          <w:sz w:val="24"/>
          <w:szCs w:val="24"/>
        </w:rPr>
        <w:t xml:space="preserve">outbreak. </w:t>
      </w:r>
      <w:r w:rsidR="002F591F">
        <w:rPr>
          <w:rFonts w:ascii="Times New Roman" w:hAnsi="Times New Roman" w:cs="Times New Roman"/>
          <w:sz w:val="24"/>
          <w:szCs w:val="24"/>
        </w:rPr>
        <w:t>We utilize</w:t>
      </w:r>
      <w:r w:rsidR="00C53513" w:rsidRPr="0006721E">
        <w:rPr>
          <w:rFonts w:ascii="Times New Roman" w:hAnsi="Times New Roman" w:cs="Times New Roman"/>
          <w:sz w:val="24"/>
          <w:szCs w:val="24"/>
        </w:rPr>
        <w:t xml:space="preserve"> a sample of 476 Islamic and 591 conventional equity funds</w:t>
      </w:r>
      <w:r w:rsidR="002F591F">
        <w:rPr>
          <w:rFonts w:ascii="Times New Roman" w:hAnsi="Times New Roman" w:cs="Times New Roman"/>
          <w:sz w:val="24"/>
          <w:szCs w:val="24"/>
        </w:rPr>
        <w:t>, which is sufficient to capture the difference in the performance</w:t>
      </w:r>
      <w:r w:rsidR="00C53513" w:rsidRPr="0006721E">
        <w:rPr>
          <w:rFonts w:ascii="Times New Roman" w:hAnsi="Times New Roman" w:cs="Times New Roman"/>
          <w:sz w:val="24"/>
          <w:szCs w:val="24"/>
        </w:rPr>
        <w:t>.</w:t>
      </w:r>
      <w:r w:rsidR="008726AB" w:rsidRPr="0006721E">
        <w:rPr>
          <w:rFonts w:ascii="Times New Roman" w:hAnsi="Times New Roman" w:cs="Times New Roman"/>
          <w:sz w:val="24"/>
          <w:szCs w:val="24"/>
        </w:rPr>
        <w:t xml:space="preserve"> </w:t>
      </w:r>
      <w:r w:rsidR="00DE3E93" w:rsidRPr="007A6627">
        <w:rPr>
          <w:rFonts w:ascii="Times New Roman" w:hAnsi="Times New Roman" w:cs="Times New Roman"/>
          <w:sz w:val="24"/>
          <w:szCs w:val="24"/>
          <w:highlight w:val="yellow"/>
        </w:rPr>
        <w:t xml:space="preserve">We also analyze the allocation of assets under management </w:t>
      </w:r>
      <w:r w:rsidR="00E37A9C" w:rsidRPr="007A6627">
        <w:rPr>
          <w:rFonts w:ascii="Times New Roman" w:hAnsi="Times New Roman" w:cs="Times New Roman"/>
          <w:sz w:val="24"/>
          <w:szCs w:val="24"/>
          <w:highlight w:val="yellow"/>
        </w:rPr>
        <w:t xml:space="preserve">for potential issues related to cross-border investments. However, we observe that </w:t>
      </w:r>
      <w:r w:rsidR="007E2532" w:rsidRPr="007A6627">
        <w:rPr>
          <w:rFonts w:ascii="Times New Roman" w:hAnsi="Times New Roman" w:cs="Times New Roman"/>
          <w:sz w:val="24"/>
          <w:szCs w:val="24"/>
          <w:highlight w:val="yellow"/>
        </w:rPr>
        <w:t xml:space="preserve">the selected </w:t>
      </w:r>
      <w:r w:rsidR="001F5CE8" w:rsidRPr="007A6627">
        <w:rPr>
          <w:rFonts w:ascii="Times New Roman" w:hAnsi="Times New Roman" w:cs="Times New Roman"/>
          <w:sz w:val="24"/>
          <w:szCs w:val="24"/>
          <w:highlight w:val="yellow"/>
        </w:rPr>
        <w:t xml:space="preserve">conventional and Islamic </w:t>
      </w:r>
      <w:r w:rsidR="007E2532" w:rsidRPr="007A6627">
        <w:rPr>
          <w:rFonts w:ascii="Times New Roman" w:hAnsi="Times New Roman" w:cs="Times New Roman"/>
          <w:sz w:val="24"/>
          <w:szCs w:val="24"/>
          <w:highlight w:val="yellow"/>
        </w:rPr>
        <w:t>funds</w:t>
      </w:r>
      <w:r w:rsidR="001F5CE8" w:rsidRPr="007A6627">
        <w:rPr>
          <w:rFonts w:ascii="Times New Roman" w:hAnsi="Times New Roman" w:cs="Times New Roman"/>
          <w:sz w:val="24"/>
          <w:szCs w:val="24"/>
          <w:highlight w:val="yellow"/>
        </w:rPr>
        <w:t xml:space="preserve"> have sufficiently large investments within their country of domicile. </w:t>
      </w:r>
      <w:r w:rsidR="00625185" w:rsidRPr="007A6627">
        <w:rPr>
          <w:rFonts w:ascii="Times New Roman" w:hAnsi="Times New Roman" w:cs="Times New Roman"/>
          <w:sz w:val="24"/>
          <w:szCs w:val="24"/>
          <w:highlight w:val="yellow"/>
        </w:rPr>
        <w:t>Hence, we do not expect any significant variance to our results from cross-country investments.</w:t>
      </w:r>
      <w:r w:rsidR="002B2241">
        <w:rPr>
          <w:rFonts w:ascii="Times New Roman" w:hAnsi="Times New Roman" w:cs="Times New Roman"/>
          <w:sz w:val="24"/>
          <w:szCs w:val="24"/>
          <w:highlight w:val="yellow"/>
        </w:rPr>
        <w:t xml:space="preserve"> Although </w:t>
      </w:r>
      <w:r w:rsidR="00F774A3">
        <w:rPr>
          <w:rFonts w:ascii="Times New Roman" w:hAnsi="Times New Roman" w:cs="Times New Roman"/>
          <w:sz w:val="24"/>
          <w:szCs w:val="24"/>
          <w:highlight w:val="yellow"/>
        </w:rPr>
        <w:fldChar w:fldCharType="begin" w:fldLock="1"/>
      </w:r>
      <w:r w:rsidR="00101DAD">
        <w:rPr>
          <w:rFonts w:ascii="Times New Roman" w:hAnsi="Times New Roman" w:cs="Times New Roman"/>
          <w:sz w:val="24"/>
          <w:szCs w:val="24"/>
          <w:highlight w:val="yellow"/>
        </w:rPr>
        <w:instrText>ADDIN CSL_CITATION {"citationItems":[{"id":"ITEM-1","itemData":{"DOI":"10.1080/1351847X.2010.538521","ISSN":"1351847X","abstract":"We pursue the first large-scale investigation of a strongly growing mutual fund type: Islamic funds. Based on an unexplored, survivorship bias-adjusted data set, we analyse the financial performance and investment style of 265 Islamic equity funds from 20 countries. As Islamic funds often have diverse investment regions, we develop a (conditional) three-level Carhart model to simultaneously control for exposure to different national, regional and global equity markets and investment styles. Consistent with recent evidence for conventional funds, we find Islamic funds to display superior learning in more developed Islamic financial markets. While Islamic funds from these markets are competitive to international equity benchmarks, funds from especially Western nations with less Islamic assets tend to significantly underperform. Islamic funds' investment style is somewhat tilted towards growth stocks. Funds from predominantly Muslim economies also show a clear small cap preference. These results are consistent over time and robust to time varying market exposures and capital market restrictions. © 2011 Copyright Taylor and Francis Group, LLC.","author":[{"dropping-particle":"","family":"Hoepner","given":"Andreas G.F.","non-dropping-particle":"","parse-names":false,"suffix":""},{"dropping-particle":"","family":"Rammal","given":"Hussain G.","non-dropping-particle":"","parse-names":false,"suffix":""},{"dropping-particle":"","family":"Rezec","given":"Michael","non-dropping-particle":"","parse-names":false,"suffix":""}],"container-title":"European Journal of Finance","id":"ITEM-1","issue":"9-10","issued":{"date-parts":[["2011","11"]]},"page":"829-850","publisher":" Routledge ","title":"Islamic mutual funds' financial performance and international investment style: Evidence from 20 countries","type":"article-journal","volume":"17"},"uris":["http://www.mendeley.com/documents/?uuid=1773e0ea-c2b3-3a57-b972-3610790a0d77"]}],"mendeley":{"formattedCitation":"(Hoepner et al., 2011)","manualFormatting":"Hoepner et al., (2011)","plainTextFormattedCitation":"(Hoepner et al., 2011)","previouslyFormattedCitation":"(Hoepner et al., 2011)"},"properties":{"noteIndex":0},"schema":"https://github.com/citation-style-language/schema/raw/master/csl-citation.json"}</w:instrText>
      </w:r>
      <w:r w:rsidR="00F774A3">
        <w:rPr>
          <w:rFonts w:ascii="Times New Roman" w:hAnsi="Times New Roman" w:cs="Times New Roman"/>
          <w:sz w:val="24"/>
          <w:szCs w:val="24"/>
          <w:highlight w:val="yellow"/>
        </w:rPr>
        <w:fldChar w:fldCharType="separate"/>
      </w:r>
      <w:r w:rsidR="00F774A3" w:rsidRPr="00F774A3">
        <w:rPr>
          <w:rFonts w:ascii="Times New Roman" w:hAnsi="Times New Roman" w:cs="Times New Roman"/>
          <w:noProof/>
          <w:sz w:val="24"/>
          <w:szCs w:val="24"/>
          <w:highlight w:val="yellow"/>
        </w:rPr>
        <w:t xml:space="preserve">Hoepner et al., </w:t>
      </w:r>
      <w:r w:rsidR="00101DAD">
        <w:rPr>
          <w:rFonts w:ascii="Times New Roman" w:hAnsi="Times New Roman" w:cs="Times New Roman"/>
          <w:noProof/>
          <w:sz w:val="24"/>
          <w:szCs w:val="24"/>
          <w:highlight w:val="yellow"/>
        </w:rPr>
        <w:t>(</w:t>
      </w:r>
      <w:r w:rsidR="00F774A3" w:rsidRPr="00F774A3">
        <w:rPr>
          <w:rFonts w:ascii="Times New Roman" w:hAnsi="Times New Roman" w:cs="Times New Roman"/>
          <w:noProof/>
          <w:sz w:val="24"/>
          <w:szCs w:val="24"/>
          <w:highlight w:val="yellow"/>
        </w:rPr>
        <w:t>2011)</w:t>
      </w:r>
      <w:r w:rsidR="00F774A3">
        <w:rPr>
          <w:rFonts w:ascii="Times New Roman" w:hAnsi="Times New Roman" w:cs="Times New Roman"/>
          <w:sz w:val="24"/>
          <w:szCs w:val="24"/>
          <w:highlight w:val="yellow"/>
        </w:rPr>
        <w:fldChar w:fldCharType="end"/>
      </w:r>
      <w:r w:rsidR="00101DAD">
        <w:rPr>
          <w:rFonts w:ascii="Times New Roman" w:hAnsi="Times New Roman" w:cs="Times New Roman"/>
          <w:sz w:val="24"/>
          <w:szCs w:val="24"/>
          <w:highlight w:val="yellow"/>
        </w:rPr>
        <w:t xml:space="preserve"> and </w:t>
      </w:r>
      <w:r w:rsidR="00101DAD">
        <w:rPr>
          <w:rFonts w:ascii="Times New Roman" w:hAnsi="Times New Roman" w:cs="Times New Roman"/>
          <w:sz w:val="24"/>
          <w:szCs w:val="24"/>
          <w:highlight w:val="yellow"/>
        </w:rPr>
        <w:fldChar w:fldCharType="begin" w:fldLock="1"/>
      </w:r>
      <w:r w:rsidR="00E2794C">
        <w:rPr>
          <w:rFonts w:ascii="Times New Roman" w:hAnsi="Times New Roman" w:cs="Times New Roman"/>
          <w:sz w:val="24"/>
          <w:szCs w:val="24"/>
          <w:highlight w:val="yellow"/>
        </w:rPr>
        <w:instrText>ADDIN CSL_CITATION {"citationItems":[{"id":"ITEM-1","itemData":{"DOI":"10.1016/j.mulfin.2019.100607","ISSN":"1042444X","abstract":"We examine the influence of financial, economic, and seasonal factors on the performance of international equity, fixed income, cash, and balanced Islamic mutual funds. We analyze monthly mutual fund return observations on 106 funds over 1997-2019 to investigate exposure to global developed Fama and French (1993, 2015) factors for equity and balanced funds, the three factors of Huij and Derwall (2008) for cash and bond funds, and monthly seasonal effects. Seasonal effects are insignificant in balanced, equity, and cash funds. The Fama and French factors significantly affect the performance of equity and balanced funds, whereas the three factors of Huij and Derwall are important in explaining the performance of cash and fixed income funds for almost over the whole year. Our findings suggest that investors should not be concerned about a potential seasonal effect due to the Ramadan period.","author":[{"dropping-particle":"","family":"Uddin","given":"Gazi Salah","non-dropping-particle":"","parse-names":false,"suffix":""},{"dropping-particle":"","family":"Arreola Hernandez","given":"Jose","non-dropping-particle":"","parse-names":false,"suffix":""},{"dropping-particle":"","family":"Labidi","given":"Chiraz","non-dropping-particle":"","parse-names":false,"suffix":""},{"dropping-particle":"","family":"Troster","given":"Victor","non-dropping-particle":"","parse-names":false,"suffix":""},{"dropping-particle":"","family":"Yoon","given":"Seong Min","non-dropping-particle":"","parse-names":false,"suffix":""}],"container-title":"Journal of Multinational Financial Management","id":"ITEM-1","issued":{"date-parts":[["2019","12","1"]]},"page":"100607","publisher":"Elsevier B.V.","title":"The impact of financial and economic factors on Islamic mutual fund performance: Evidence from multiple fund categories","type":"article-journal","volume":"52-53"},"uris":["http://www.mendeley.com/documents/?uuid=b0b97c25-cc48-352a-add3-06e455141221"]}],"mendeley":{"formattedCitation":"(Uddin et al., 2019)","plainTextFormattedCitation":"(Uddin et al., 2019)","previouslyFormattedCitation":"(Uddin et al., 2019)"},"properties":{"noteIndex":0},"schema":"https://github.com/citation-style-language/schema/raw/master/csl-citation.json"}</w:instrText>
      </w:r>
      <w:r w:rsidR="00101DAD">
        <w:rPr>
          <w:rFonts w:ascii="Times New Roman" w:hAnsi="Times New Roman" w:cs="Times New Roman"/>
          <w:sz w:val="24"/>
          <w:szCs w:val="24"/>
          <w:highlight w:val="yellow"/>
        </w:rPr>
        <w:fldChar w:fldCharType="separate"/>
      </w:r>
      <w:r w:rsidR="00101DAD" w:rsidRPr="00101DAD">
        <w:rPr>
          <w:rFonts w:ascii="Times New Roman" w:hAnsi="Times New Roman" w:cs="Times New Roman"/>
          <w:noProof/>
          <w:sz w:val="24"/>
          <w:szCs w:val="24"/>
          <w:highlight w:val="yellow"/>
        </w:rPr>
        <w:t>(Uddin et al., 2019)</w:t>
      </w:r>
      <w:r w:rsidR="00101DAD">
        <w:rPr>
          <w:rFonts w:ascii="Times New Roman" w:hAnsi="Times New Roman" w:cs="Times New Roman"/>
          <w:sz w:val="24"/>
          <w:szCs w:val="24"/>
          <w:highlight w:val="yellow"/>
        </w:rPr>
        <w:fldChar w:fldCharType="end"/>
      </w:r>
      <w:r w:rsidR="00101DAD">
        <w:rPr>
          <w:rFonts w:ascii="Times New Roman" w:hAnsi="Times New Roman" w:cs="Times New Roman"/>
          <w:sz w:val="24"/>
          <w:szCs w:val="24"/>
          <w:highlight w:val="yellow"/>
        </w:rPr>
        <w:t xml:space="preserve"> </w:t>
      </w:r>
      <w:r w:rsidR="003F65B6">
        <w:rPr>
          <w:rFonts w:ascii="Times New Roman" w:hAnsi="Times New Roman" w:cs="Times New Roman"/>
          <w:sz w:val="24"/>
          <w:szCs w:val="24"/>
          <w:highlight w:val="yellow"/>
        </w:rPr>
        <w:t>indicated that Islamic funds prefer to invest globally,</w:t>
      </w:r>
      <w:r w:rsidR="00C94CE0">
        <w:rPr>
          <w:rFonts w:ascii="Times New Roman" w:hAnsi="Times New Roman" w:cs="Times New Roman"/>
          <w:sz w:val="24"/>
          <w:szCs w:val="24"/>
          <w:highlight w:val="yellow"/>
        </w:rPr>
        <w:t xml:space="preserve"> we believe that this </w:t>
      </w:r>
      <w:r w:rsidR="007B646C">
        <w:rPr>
          <w:rFonts w:ascii="Times New Roman" w:hAnsi="Times New Roman" w:cs="Times New Roman"/>
          <w:sz w:val="24"/>
          <w:szCs w:val="24"/>
          <w:highlight w:val="yellow"/>
        </w:rPr>
        <w:t xml:space="preserve">could be true for the funds </w:t>
      </w:r>
      <w:r w:rsidR="002E2E11">
        <w:rPr>
          <w:rFonts w:ascii="Times New Roman" w:hAnsi="Times New Roman" w:cs="Times New Roman"/>
          <w:sz w:val="24"/>
          <w:szCs w:val="24"/>
          <w:highlight w:val="yellow"/>
        </w:rPr>
        <w:t xml:space="preserve">domiciled in a location where there are limited Sharia-compliant options. </w:t>
      </w:r>
      <w:r w:rsidR="00676E54">
        <w:rPr>
          <w:rFonts w:ascii="Times New Roman" w:hAnsi="Times New Roman" w:cs="Times New Roman"/>
          <w:sz w:val="24"/>
          <w:szCs w:val="24"/>
          <w:highlight w:val="yellow"/>
        </w:rPr>
        <w:t xml:space="preserve">As our sample is specifically from the countries where Islamic finance is very significant, the funds </w:t>
      </w:r>
      <w:r w:rsidR="00EB3F9A">
        <w:rPr>
          <w:rFonts w:ascii="Times New Roman" w:hAnsi="Times New Roman" w:cs="Times New Roman"/>
          <w:sz w:val="24"/>
          <w:szCs w:val="24"/>
          <w:highlight w:val="yellow"/>
        </w:rPr>
        <w:t>may</w:t>
      </w:r>
      <w:r w:rsidR="00676E54">
        <w:rPr>
          <w:rFonts w:ascii="Times New Roman" w:hAnsi="Times New Roman" w:cs="Times New Roman"/>
          <w:sz w:val="24"/>
          <w:szCs w:val="24"/>
          <w:highlight w:val="yellow"/>
        </w:rPr>
        <w:t xml:space="preserve"> not need to diversify across borders and incur additional transactional costs.</w:t>
      </w:r>
    </w:p>
    <w:p w14:paraId="3C187A3F" w14:textId="2BD1969F" w:rsidR="00625185" w:rsidRPr="007A6627" w:rsidRDefault="00663479" w:rsidP="009B0096">
      <w:pPr>
        <w:spacing w:after="0" w:line="48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highlight w:val="yellow"/>
        </w:rPr>
        <w:t>Furthermore,</w:t>
      </w:r>
      <w:r w:rsidR="004D755A">
        <w:rPr>
          <w:rFonts w:ascii="Times New Roman" w:hAnsi="Times New Roman" w:cs="Times New Roman"/>
          <w:sz w:val="24"/>
          <w:szCs w:val="24"/>
          <w:highlight w:val="yellow"/>
        </w:rPr>
        <w:t xml:space="preserve"> owing to </w:t>
      </w:r>
      <w:r w:rsidR="006900F8">
        <w:rPr>
          <w:rFonts w:ascii="Times New Roman" w:hAnsi="Times New Roman" w:cs="Times New Roman"/>
          <w:sz w:val="24"/>
          <w:szCs w:val="24"/>
          <w:highlight w:val="yellow"/>
        </w:rPr>
        <w:t xml:space="preserve">the </w:t>
      </w:r>
      <w:r w:rsidR="004D755A">
        <w:rPr>
          <w:rFonts w:ascii="Times New Roman" w:hAnsi="Times New Roman" w:cs="Times New Roman"/>
          <w:sz w:val="24"/>
          <w:szCs w:val="24"/>
          <w:highlight w:val="yellow"/>
        </w:rPr>
        <w:t xml:space="preserve">better performance of local markets in Malaysia and </w:t>
      </w:r>
      <w:r w:rsidR="006900F8">
        <w:rPr>
          <w:rFonts w:ascii="Times New Roman" w:hAnsi="Times New Roman" w:cs="Times New Roman"/>
          <w:sz w:val="24"/>
          <w:szCs w:val="24"/>
          <w:highlight w:val="yellow"/>
        </w:rPr>
        <w:t>Pakistan and the conflict within GCC, the funds consolidated their investments locally.</w:t>
      </w:r>
      <w:r w:rsidR="00EB3F9A">
        <w:rPr>
          <w:rFonts w:ascii="Times New Roman" w:hAnsi="Times New Roman" w:cs="Times New Roman"/>
          <w:sz w:val="24"/>
          <w:szCs w:val="24"/>
          <w:highlight w:val="yellow"/>
        </w:rPr>
        <w:t xml:space="preserve"> These </w:t>
      </w:r>
      <w:r w:rsidR="001A1BB6">
        <w:rPr>
          <w:rFonts w:ascii="Times New Roman" w:hAnsi="Times New Roman" w:cs="Times New Roman"/>
          <w:sz w:val="24"/>
          <w:szCs w:val="24"/>
          <w:highlight w:val="yellow"/>
        </w:rPr>
        <w:t>reasons might explain why our selected funds have a substantial investment profile in their domestic markets.</w:t>
      </w:r>
      <w:r>
        <w:rPr>
          <w:rFonts w:ascii="Times New Roman" w:hAnsi="Times New Roman" w:cs="Times New Roman"/>
          <w:sz w:val="24"/>
          <w:szCs w:val="24"/>
          <w:highlight w:val="yellow"/>
        </w:rPr>
        <w:t xml:space="preserve"> </w:t>
      </w:r>
      <w:r w:rsidR="00676E54">
        <w:rPr>
          <w:rFonts w:ascii="Times New Roman" w:hAnsi="Times New Roman" w:cs="Times New Roman"/>
          <w:sz w:val="24"/>
          <w:szCs w:val="24"/>
          <w:highlight w:val="yellow"/>
        </w:rPr>
        <w:t xml:space="preserve"> </w:t>
      </w:r>
      <w:r w:rsidR="00625185" w:rsidRPr="007A6627">
        <w:rPr>
          <w:rFonts w:ascii="Times New Roman" w:hAnsi="Times New Roman" w:cs="Times New Roman"/>
          <w:sz w:val="24"/>
          <w:szCs w:val="24"/>
          <w:highlight w:val="yellow"/>
        </w:rPr>
        <w:t>The country-wise sample distribution is presented in table 2.</w:t>
      </w:r>
    </w:p>
    <w:p w14:paraId="12168C3F" w14:textId="77777777" w:rsidR="00625185" w:rsidRPr="00157ACF" w:rsidRDefault="00625185" w:rsidP="00625185">
      <w:pPr>
        <w:spacing w:after="0" w:line="480" w:lineRule="auto"/>
        <w:ind w:left="3600" w:firstLine="720"/>
        <w:jc w:val="both"/>
        <w:rPr>
          <w:rFonts w:ascii="Times New Roman" w:hAnsi="Times New Roman" w:cs="Times New Roman"/>
          <w:sz w:val="24"/>
          <w:szCs w:val="24"/>
          <w:highlight w:val="yellow"/>
        </w:rPr>
      </w:pPr>
      <w:r w:rsidRPr="00157ACF">
        <w:rPr>
          <w:rFonts w:ascii="Times New Roman" w:hAnsi="Times New Roman" w:cs="Times New Roman"/>
          <w:sz w:val="24"/>
          <w:szCs w:val="24"/>
          <w:highlight w:val="yellow"/>
        </w:rPr>
        <w:t>[Table 2 here]</w:t>
      </w:r>
    </w:p>
    <w:p w14:paraId="7BE789C4" w14:textId="50AB983A" w:rsidR="009B303D" w:rsidRPr="0006721E" w:rsidRDefault="008726AB" w:rsidP="007A6627">
      <w:pPr>
        <w:spacing w:after="0" w:line="480" w:lineRule="auto"/>
        <w:ind w:firstLine="720"/>
        <w:jc w:val="both"/>
        <w:rPr>
          <w:rFonts w:ascii="Times New Roman" w:hAnsi="Times New Roman" w:cs="Times New Roman"/>
          <w:sz w:val="24"/>
          <w:szCs w:val="24"/>
        </w:rPr>
      </w:pPr>
      <w:r w:rsidRPr="00157ACF">
        <w:rPr>
          <w:rFonts w:ascii="Times New Roman" w:hAnsi="Times New Roman" w:cs="Times New Roman"/>
          <w:sz w:val="24"/>
          <w:szCs w:val="24"/>
          <w:highlight w:val="yellow"/>
        </w:rPr>
        <w:t xml:space="preserve">The </w:t>
      </w:r>
      <w:r w:rsidR="00157ACF" w:rsidRPr="00157ACF">
        <w:rPr>
          <w:rFonts w:ascii="Times New Roman" w:hAnsi="Times New Roman" w:cs="Times New Roman"/>
          <w:sz w:val="24"/>
          <w:szCs w:val="24"/>
          <w:highlight w:val="yellow"/>
        </w:rPr>
        <w:t>intraday</w:t>
      </w:r>
      <w:r w:rsidRPr="00157ACF">
        <w:rPr>
          <w:rFonts w:ascii="Times New Roman" w:hAnsi="Times New Roman" w:cs="Times New Roman"/>
          <w:sz w:val="24"/>
          <w:szCs w:val="24"/>
          <w:highlight w:val="yellow"/>
        </w:rPr>
        <w:t xml:space="preserve"> NAV</w:t>
      </w:r>
      <w:r w:rsidR="00157ACF" w:rsidRPr="00157ACF">
        <w:rPr>
          <w:rFonts w:ascii="Times New Roman" w:hAnsi="Times New Roman" w:cs="Times New Roman"/>
          <w:sz w:val="24"/>
          <w:szCs w:val="24"/>
          <w:highlight w:val="yellow"/>
        </w:rPr>
        <w:t>s</w:t>
      </w:r>
      <w:r w:rsidRPr="00157ACF">
        <w:rPr>
          <w:rFonts w:ascii="Times New Roman" w:hAnsi="Times New Roman" w:cs="Times New Roman"/>
          <w:sz w:val="24"/>
          <w:szCs w:val="24"/>
          <w:highlight w:val="yellow"/>
        </w:rPr>
        <w:t xml:space="preserve"> for these funds </w:t>
      </w:r>
      <w:r w:rsidR="00157ACF">
        <w:rPr>
          <w:rFonts w:ascii="Times New Roman" w:hAnsi="Times New Roman" w:cs="Times New Roman"/>
          <w:sz w:val="24"/>
          <w:szCs w:val="24"/>
          <w:highlight w:val="yellow"/>
        </w:rPr>
        <w:t>are</w:t>
      </w:r>
      <w:r w:rsidRPr="00157ACF">
        <w:rPr>
          <w:rFonts w:ascii="Times New Roman" w:hAnsi="Times New Roman" w:cs="Times New Roman"/>
          <w:sz w:val="24"/>
          <w:szCs w:val="24"/>
          <w:highlight w:val="yellow"/>
        </w:rPr>
        <w:t xml:space="preserve"> collected along with other variables that we explain below.</w:t>
      </w:r>
      <w:r w:rsidR="00C53513" w:rsidRPr="00157ACF">
        <w:rPr>
          <w:rFonts w:ascii="Times New Roman" w:hAnsi="Times New Roman" w:cs="Times New Roman"/>
          <w:sz w:val="24"/>
          <w:szCs w:val="24"/>
          <w:highlight w:val="yellow"/>
        </w:rPr>
        <w:t xml:space="preserve"> </w:t>
      </w:r>
      <w:r w:rsidR="00A56C64" w:rsidRPr="00157ACF">
        <w:rPr>
          <w:rFonts w:ascii="Times New Roman" w:hAnsi="Times New Roman" w:cs="Times New Roman"/>
          <w:sz w:val="24"/>
          <w:szCs w:val="24"/>
          <w:highlight w:val="yellow"/>
        </w:rPr>
        <w:t>We calculate NAV based daily</w:t>
      </w:r>
      <w:r w:rsidR="009B303D" w:rsidRPr="00157ACF">
        <w:rPr>
          <w:rFonts w:ascii="Times New Roman" w:hAnsi="Times New Roman" w:cs="Times New Roman"/>
          <w:sz w:val="24"/>
          <w:szCs w:val="24"/>
          <w:highlight w:val="yellow"/>
        </w:rPr>
        <w:t xml:space="preserve"> returns as follows</w:t>
      </w:r>
      <w:r w:rsidR="00781B51" w:rsidRPr="00157ACF">
        <w:rPr>
          <w:rFonts w:ascii="Times New Roman" w:hAnsi="Times New Roman" w:cs="Times New Roman"/>
          <w:sz w:val="24"/>
          <w:szCs w:val="24"/>
          <w:highlight w:val="yellow"/>
        </w:rPr>
        <w:t>:</w:t>
      </w:r>
    </w:p>
    <w:p w14:paraId="7C9D26F3" w14:textId="77777777" w:rsidR="009B303D" w:rsidRPr="0006721E" w:rsidRDefault="00A86D17" w:rsidP="006528E4">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position w:val="-30"/>
          <w:sz w:val="24"/>
          <w:szCs w:val="24"/>
        </w:rPr>
        <w:object w:dxaOrig="2000" w:dyaOrig="680" w14:anchorId="1D3AB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6pt" o:ole="">
            <v:imagedata r:id="rId7" o:title=""/>
          </v:shape>
          <o:OLEObject Type="Embed" ProgID="Equation.3" ShapeID="_x0000_i1025" DrawAspect="Content" ObjectID="_1694867747" r:id="rId8"/>
        </w:object>
      </w:r>
      <w:r w:rsidR="00781B51">
        <w:rPr>
          <w:rFonts w:ascii="Times New Roman" w:hAnsi="Times New Roman" w:cs="Times New Roman"/>
          <w:sz w:val="24"/>
          <w:szCs w:val="24"/>
        </w:rPr>
        <w:t xml:space="preserve">                                                                                                                        (1)</w:t>
      </w:r>
    </w:p>
    <w:p w14:paraId="49D42249" w14:textId="7DB0A442" w:rsidR="005D35FD" w:rsidRPr="0006721E" w:rsidRDefault="005D35FD" w:rsidP="002307D5">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 xml:space="preserve">We perform </w:t>
      </w:r>
      <w:r w:rsidR="002908DA">
        <w:rPr>
          <w:rFonts w:ascii="Times New Roman" w:hAnsi="Times New Roman" w:cs="Times New Roman"/>
          <w:sz w:val="24"/>
          <w:szCs w:val="24"/>
        </w:rPr>
        <w:t xml:space="preserve">a </w:t>
      </w:r>
      <w:r w:rsidRPr="0006721E">
        <w:rPr>
          <w:rFonts w:ascii="Times New Roman" w:hAnsi="Times New Roman" w:cs="Times New Roman"/>
          <w:sz w:val="24"/>
          <w:szCs w:val="24"/>
        </w:rPr>
        <w:t xml:space="preserve">comparative assessment of Islamic and conventional equity funds using </w:t>
      </w:r>
      <w:r w:rsidR="003A3601">
        <w:rPr>
          <w:rFonts w:ascii="Times New Roman" w:hAnsi="Times New Roman" w:cs="Times New Roman"/>
          <w:sz w:val="24"/>
          <w:szCs w:val="24"/>
        </w:rPr>
        <w:t>multiple methods</w:t>
      </w:r>
      <w:r w:rsidRPr="0006721E">
        <w:rPr>
          <w:rFonts w:ascii="Times New Roman" w:hAnsi="Times New Roman" w:cs="Times New Roman"/>
          <w:sz w:val="24"/>
          <w:szCs w:val="24"/>
        </w:rPr>
        <w:t>. These are discussed below.</w:t>
      </w:r>
    </w:p>
    <w:p w14:paraId="6A34343E" w14:textId="1DE40EFA" w:rsidR="008726AB" w:rsidRPr="0006721E" w:rsidRDefault="002C6BB5" w:rsidP="002307D5">
      <w:pPr>
        <w:spacing w:after="0" w:line="480" w:lineRule="auto"/>
        <w:jc w:val="both"/>
        <w:rPr>
          <w:rFonts w:ascii="Times New Roman" w:hAnsi="Times New Roman" w:cs="Times New Roman"/>
          <w:b/>
          <w:sz w:val="24"/>
          <w:szCs w:val="24"/>
        </w:rPr>
      </w:pPr>
      <w:r w:rsidRPr="0006721E">
        <w:rPr>
          <w:rFonts w:ascii="Times New Roman" w:hAnsi="Times New Roman" w:cs="Times New Roman"/>
          <w:b/>
          <w:sz w:val="24"/>
          <w:szCs w:val="24"/>
        </w:rPr>
        <w:t>2.1</w:t>
      </w:r>
      <w:r w:rsidRPr="0006721E">
        <w:rPr>
          <w:rFonts w:ascii="Times New Roman" w:hAnsi="Times New Roman" w:cs="Times New Roman"/>
          <w:b/>
          <w:sz w:val="24"/>
          <w:szCs w:val="24"/>
        </w:rPr>
        <w:tab/>
        <w:t>Risk</w:t>
      </w:r>
      <w:r w:rsidR="002908DA">
        <w:rPr>
          <w:rFonts w:ascii="Times New Roman" w:hAnsi="Times New Roman" w:cs="Times New Roman"/>
          <w:b/>
          <w:sz w:val="24"/>
          <w:szCs w:val="24"/>
        </w:rPr>
        <w:t>-</w:t>
      </w:r>
      <w:r w:rsidRPr="0006721E">
        <w:rPr>
          <w:rFonts w:ascii="Times New Roman" w:hAnsi="Times New Roman" w:cs="Times New Roman"/>
          <w:b/>
          <w:sz w:val="24"/>
          <w:szCs w:val="24"/>
        </w:rPr>
        <w:t>Adjusted Performance during</w:t>
      </w:r>
      <w:r w:rsidR="002F591F">
        <w:rPr>
          <w:rFonts w:ascii="Times New Roman" w:hAnsi="Times New Roman" w:cs="Times New Roman"/>
          <w:b/>
          <w:sz w:val="24"/>
          <w:szCs w:val="24"/>
        </w:rPr>
        <w:t xml:space="preserve"> the</w:t>
      </w:r>
      <w:r w:rsidRPr="0006721E">
        <w:rPr>
          <w:rFonts w:ascii="Times New Roman" w:hAnsi="Times New Roman" w:cs="Times New Roman"/>
          <w:b/>
          <w:sz w:val="24"/>
          <w:szCs w:val="24"/>
        </w:rPr>
        <w:t xml:space="preserve"> </w:t>
      </w:r>
      <w:r w:rsidR="002F591F">
        <w:rPr>
          <w:rFonts w:ascii="Times New Roman" w:hAnsi="Times New Roman" w:cs="Times New Roman"/>
          <w:b/>
          <w:sz w:val="24"/>
          <w:szCs w:val="24"/>
        </w:rPr>
        <w:t>o</w:t>
      </w:r>
      <w:r w:rsidRPr="0006721E">
        <w:rPr>
          <w:rFonts w:ascii="Times New Roman" w:hAnsi="Times New Roman" w:cs="Times New Roman"/>
          <w:b/>
          <w:sz w:val="24"/>
          <w:szCs w:val="24"/>
        </w:rPr>
        <w:t>utbreak</w:t>
      </w:r>
    </w:p>
    <w:p w14:paraId="6FC513AD" w14:textId="77F68D11" w:rsidR="005D35FD" w:rsidRPr="0006721E" w:rsidRDefault="005D35FD" w:rsidP="002307D5">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ab/>
      </w:r>
      <w:r w:rsidR="002908DA">
        <w:rPr>
          <w:rFonts w:ascii="Times New Roman" w:hAnsi="Times New Roman" w:cs="Times New Roman"/>
          <w:sz w:val="24"/>
          <w:szCs w:val="24"/>
        </w:rPr>
        <w:t>T</w:t>
      </w:r>
      <w:r w:rsidR="00812089" w:rsidRPr="0006721E">
        <w:rPr>
          <w:rFonts w:ascii="Times New Roman" w:hAnsi="Times New Roman" w:cs="Times New Roman"/>
          <w:sz w:val="24"/>
          <w:szCs w:val="24"/>
        </w:rPr>
        <w:t>o assess the risk</w:t>
      </w:r>
      <w:r w:rsidR="002908DA">
        <w:rPr>
          <w:rFonts w:ascii="Times New Roman" w:hAnsi="Times New Roman" w:cs="Times New Roman"/>
          <w:sz w:val="24"/>
          <w:szCs w:val="24"/>
        </w:rPr>
        <w:t>-</w:t>
      </w:r>
      <w:r w:rsidR="00812089" w:rsidRPr="0006721E">
        <w:rPr>
          <w:rFonts w:ascii="Times New Roman" w:hAnsi="Times New Roman" w:cs="Times New Roman"/>
          <w:sz w:val="24"/>
          <w:szCs w:val="24"/>
        </w:rPr>
        <w:t xml:space="preserve">adjusted performance, we </w:t>
      </w:r>
      <w:r w:rsidR="0026799D" w:rsidRPr="0006721E">
        <w:rPr>
          <w:rFonts w:ascii="Times New Roman" w:hAnsi="Times New Roman" w:cs="Times New Roman"/>
          <w:sz w:val="24"/>
          <w:szCs w:val="24"/>
        </w:rPr>
        <w:t xml:space="preserve">use three different measures. The first one is </w:t>
      </w:r>
      <w:r w:rsidR="002908DA">
        <w:rPr>
          <w:rFonts w:ascii="Times New Roman" w:hAnsi="Times New Roman" w:cs="Times New Roman"/>
          <w:sz w:val="24"/>
          <w:szCs w:val="24"/>
        </w:rPr>
        <w:t xml:space="preserve">the </w:t>
      </w:r>
      <w:r w:rsidR="0026799D" w:rsidRPr="0006721E">
        <w:rPr>
          <w:rFonts w:ascii="Times New Roman" w:hAnsi="Times New Roman" w:cs="Times New Roman"/>
          <w:sz w:val="24"/>
          <w:szCs w:val="24"/>
        </w:rPr>
        <w:t xml:space="preserve">adjusted Sharpe ratio based on </w:t>
      </w:r>
      <w:r w:rsidR="00D76693"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{"citationItems":[{"id":"ITEM-1","itemData":{"DOI":"10.1086/294846","ISSN":"0021-9398","abstract":"The article focuses on mutual fund performance. Within the last few years considerable progress has been made in three closely related areas the theory of portfolio selection, the theory of the pricing of capital assets under conditions of risk, and the general behavior of stock-market prices. Results obtained in all three areas are relevant for evaluating mutual fund performance. Unfortunately, few of the studies of mutual funds have taken advantage of the substantial backlog of theoretical and empirical material made available by recent studies in these related areas. Drawing on results obtained in the field of portfolio analysis, economist Jack L. Treynor has suggested a new predictor of mutual fund performance, one that differs from virtually all those used previously by incorporating the volatiity of a fund's return in a simple yet meaningful manner. This paper attempts to extend Treynor's work by subjecting his proposed measure to empirical test in order to evaluate its predictive ability.","author":[{"dropping-particle":"","family":"Sharpe","given":"William F.","non-dropping-particle":"","parse-names":false,"suffix":""}],"container-title":"The Journal of Business","id":"ITEM-1","issued":{"date-parts":[["1966"]]},"title":"Mutual Fund Performance","type":"article-journal"},"uris":["http://www.mendeley.com/documents/?uuid=f3b0d4f9-7685-4780-bf9f-865265033413"]}],"mendeley":{"formattedCitation":"(W. F. Sharpe, 1966)","manualFormatting":" Sharpe (1966)","plainTextFormattedCitation":"(W. F. Sharpe, 1966)","previouslyFormattedCitation":"(W. F. Sharpe, 1966)"},"properties":{"noteIndex":0},"schema":"https://github.com/citation-style-language/schema/raw/master/csl-citation.json"}</w:instrText>
      </w:r>
      <w:r w:rsidR="00D76693" w:rsidRPr="0006721E">
        <w:rPr>
          <w:rFonts w:ascii="Times New Roman" w:hAnsi="Times New Roman" w:cs="Times New Roman"/>
          <w:sz w:val="24"/>
          <w:szCs w:val="24"/>
        </w:rPr>
        <w:fldChar w:fldCharType="separate"/>
      </w:r>
      <w:r w:rsidR="00154F20" w:rsidRPr="0006721E">
        <w:rPr>
          <w:rFonts w:ascii="Times New Roman" w:hAnsi="Times New Roman" w:cs="Times New Roman"/>
          <w:noProof/>
          <w:sz w:val="24"/>
          <w:szCs w:val="24"/>
        </w:rPr>
        <w:t xml:space="preserve"> Sharpe</w:t>
      </w:r>
      <w:r w:rsidR="004B3DBE">
        <w:rPr>
          <w:rFonts w:ascii="Times New Roman" w:hAnsi="Times New Roman" w:cs="Times New Roman"/>
          <w:noProof/>
          <w:sz w:val="24"/>
          <w:szCs w:val="24"/>
        </w:rPr>
        <w:t xml:space="preserve"> </w:t>
      </w:r>
      <w:r w:rsidR="00824990">
        <w:rPr>
          <w:rFonts w:ascii="Times New Roman" w:hAnsi="Times New Roman" w:cs="Times New Roman"/>
          <w:noProof/>
          <w:sz w:val="24"/>
          <w:szCs w:val="24"/>
        </w:rPr>
        <w:t>(</w:t>
      </w:r>
      <w:r w:rsidR="00154F20" w:rsidRPr="0006721E">
        <w:rPr>
          <w:rFonts w:ascii="Times New Roman" w:hAnsi="Times New Roman" w:cs="Times New Roman"/>
          <w:noProof/>
          <w:sz w:val="24"/>
          <w:szCs w:val="24"/>
        </w:rPr>
        <w:t>1966)</w:t>
      </w:r>
      <w:r w:rsidR="00D76693" w:rsidRPr="0006721E">
        <w:rPr>
          <w:rFonts w:ascii="Times New Roman" w:hAnsi="Times New Roman" w:cs="Times New Roman"/>
          <w:sz w:val="24"/>
          <w:szCs w:val="24"/>
        </w:rPr>
        <w:fldChar w:fldCharType="end"/>
      </w:r>
      <w:r w:rsidR="00D76693" w:rsidRPr="0006721E">
        <w:rPr>
          <w:rFonts w:ascii="Times New Roman" w:hAnsi="Times New Roman" w:cs="Times New Roman"/>
          <w:sz w:val="24"/>
          <w:szCs w:val="24"/>
        </w:rPr>
        <w:t xml:space="preserve"> and modified by </w:t>
      </w:r>
      <w:r w:rsidR="00D76693"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{"citationItems":[{"id":"ITEM-1","itemData":{"abstract":"Can the new investable hedge fund indices (IHF) enhance the performance of optimal passive portfolios made of equities and bonds? How do they compare to funds of hedge funds (FoHF) as well as to other alternative investments such as commodities and volatility? The conclusions depend crucially on forecasts of future expected excess returns for all assets as well as a careful conditioning of the data to reflect trading costs and remove unrealistic serial correlations. A naÃ¯ve forecast based on recent historical performance leads to no allocations to either IHF or FoHF, a result explained by the performance of equities and commodities and limited diversification effects from hedge funds. Yet a forecast based on market equilibrium returns for all main asset classes but hedge funds, which are kept at their historical level, leads to the opposite result with optimal portfolios almost exclusively invested in hedge funds. Both conclusions are unrealistic and unstable. More reasonable allocations are obtained with the Black-Litterman (BL) approach to combining subjective views with equilibrium returns. Then both hedge funds instruments play a significant role in optimal passive portfolios if their expected excess returns are at least 1%. Long volatility positions are also likely to be attractive. However the BL approach can also be criticised.","author":[{"dropping-particle":"","family":"Pezier","given":"Jacques","non-dropping-particle":"","parse-names":false,"suffix":""},{"dropping-particle":"","family":"White","given":"Anthony","non-dropping-particle":"","parse-names":false,"suffix":""}],"container-title":"ICMA Centre Discussion Papers in Finance","id":"ITEM-1","issued":{"date-parts":[["2006"]]},"page":"1-32","publisher":"Henley Business School, Reading University","title":"The Relative Merits of Investable Hedge Fund Indices and of Funds of Hedge Funds in Optimal Passive Portfolios","type":"article-journal"},"uris":["http://www.mendeley.com/documents/?uuid=f0968498-0f4a-4636-8534-deb468846b71"]}],"mendeley":{"formattedCitation":"(Pezier &amp; White, 2006)","manualFormatting":"Pezier and White (2006)","plainTextFormattedCitation":"(Pezier &amp; White, 2006)","previouslyFormattedCitation":"(Pezier &amp; White, 2006)"},"properties":{"noteIndex":0},"schema":"https://github.com/citation-style-language/schema/raw/master/csl-citation.json"}</w:instrText>
      </w:r>
      <w:r w:rsidR="00D76693" w:rsidRPr="0006721E">
        <w:rPr>
          <w:rFonts w:ascii="Times New Roman" w:hAnsi="Times New Roman" w:cs="Times New Roman"/>
          <w:sz w:val="24"/>
          <w:szCs w:val="24"/>
        </w:rPr>
        <w:fldChar w:fldCharType="separate"/>
      </w:r>
      <w:r w:rsidR="00D76693" w:rsidRPr="0006721E">
        <w:rPr>
          <w:rFonts w:ascii="Times New Roman" w:hAnsi="Times New Roman" w:cs="Times New Roman"/>
          <w:noProof/>
          <w:sz w:val="24"/>
          <w:szCs w:val="24"/>
        </w:rPr>
        <w:t xml:space="preserve">Pezier </w:t>
      </w:r>
      <w:r w:rsidR="00824990">
        <w:rPr>
          <w:rFonts w:ascii="Times New Roman" w:hAnsi="Times New Roman" w:cs="Times New Roman"/>
          <w:noProof/>
          <w:sz w:val="24"/>
          <w:szCs w:val="24"/>
        </w:rPr>
        <w:t>and</w:t>
      </w:r>
      <w:r w:rsidR="00D76693" w:rsidRPr="0006721E">
        <w:rPr>
          <w:rFonts w:ascii="Times New Roman" w:hAnsi="Times New Roman" w:cs="Times New Roman"/>
          <w:noProof/>
          <w:sz w:val="24"/>
          <w:szCs w:val="24"/>
        </w:rPr>
        <w:t xml:space="preserve"> White </w:t>
      </w:r>
      <w:r w:rsidR="00824990">
        <w:rPr>
          <w:rFonts w:ascii="Times New Roman" w:hAnsi="Times New Roman" w:cs="Times New Roman"/>
          <w:noProof/>
          <w:sz w:val="24"/>
          <w:szCs w:val="24"/>
        </w:rPr>
        <w:t>(</w:t>
      </w:r>
      <w:r w:rsidR="00D76693" w:rsidRPr="0006721E">
        <w:rPr>
          <w:rFonts w:ascii="Times New Roman" w:hAnsi="Times New Roman" w:cs="Times New Roman"/>
          <w:noProof/>
          <w:sz w:val="24"/>
          <w:szCs w:val="24"/>
        </w:rPr>
        <w:t>2006)</w:t>
      </w:r>
      <w:r w:rsidR="00D76693" w:rsidRPr="0006721E">
        <w:rPr>
          <w:rFonts w:ascii="Times New Roman" w:hAnsi="Times New Roman" w:cs="Times New Roman"/>
          <w:sz w:val="24"/>
          <w:szCs w:val="24"/>
        </w:rPr>
        <w:fldChar w:fldCharType="end"/>
      </w:r>
      <w:r w:rsidR="00D76693" w:rsidRPr="0006721E">
        <w:rPr>
          <w:rFonts w:ascii="Times New Roman" w:hAnsi="Times New Roman" w:cs="Times New Roman"/>
          <w:sz w:val="24"/>
          <w:szCs w:val="24"/>
        </w:rPr>
        <w:t xml:space="preserve">. The modified version does not assume </w:t>
      </w:r>
      <w:r w:rsidR="008E53C3">
        <w:rPr>
          <w:rFonts w:ascii="Times New Roman" w:hAnsi="Times New Roman" w:cs="Times New Roman"/>
          <w:sz w:val="24"/>
          <w:szCs w:val="24"/>
        </w:rPr>
        <w:t xml:space="preserve">the </w:t>
      </w:r>
      <w:r w:rsidR="00D76693" w:rsidRPr="0006721E">
        <w:rPr>
          <w:rFonts w:ascii="Times New Roman" w:hAnsi="Times New Roman" w:cs="Times New Roman"/>
          <w:sz w:val="24"/>
          <w:szCs w:val="24"/>
        </w:rPr>
        <w:t>normality of underlying returns and better suited for data periods with extreme volatility</w:t>
      </w:r>
      <w:r w:rsidR="00824990">
        <w:rPr>
          <w:rFonts w:ascii="Times New Roman" w:hAnsi="Times New Roman" w:cs="Times New Roman"/>
          <w:sz w:val="24"/>
          <w:szCs w:val="24"/>
        </w:rPr>
        <w:t>, such as</w:t>
      </w:r>
      <w:r w:rsidR="00D76693" w:rsidRPr="0006721E">
        <w:rPr>
          <w:rFonts w:ascii="Times New Roman" w:hAnsi="Times New Roman" w:cs="Times New Roman"/>
          <w:sz w:val="24"/>
          <w:szCs w:val="24"/>
        </w:rPr>
        <w:t xml:space="preserve"> </w:t>
      </w:r>
      <w:r w:rsidR="008E53C3">
        <w:rPr>
          <w:rFonts w:ascii="Times New Roman" w:hAnsi="Times New Roman" w:cs="Times New Roman"/>
          <w:sz w:val="24"/>
          <w:szCs w:val="24"/>
        </w:rPr>
        <w:t xml:space="preserve">the </w:t>
      </w:r>
      <w:r w:rsidR="00D76693" w:rsidRPr="0006721E">
        <w:rPr>
          <w:rFonts w:ascii="Times New Roman" w:hAnsi="Times New Roman" w:cs="Times New Roman"/>
          <w:sz w:val="24"/>
          <w:szCs w:val="24"/>
        </w:rPr>
        <w:t>C</w:t>
      </w:r>
      <w:r w:rsidR="00824990">
        <w:rPr>
          <w:rFonts w:ascii="Times New Roman" w:hAnsi="Times New Roman" w:cs="Times New Roman"/>
          <w:sz w:val="24"/>
          <w:szCs w:val="24"/>
        </w:rPr>
        <w:t>OVID</w:t>
      </w:r>
      <w:r w:rsidR="00D76693" w:rsidRPr="0006721E">
        <w:rPr>
          <w:rFonts w:ascii="Times New Roman" w:hAnsi="Times New Roman" w:cs="Times New Roman"/>
          <w:sz w:val="24"/>
          <w:szCs w:val="24"/>
        </w:rPr>
        <w:t>-19</w:t>
      </w:r>
      <w:r w:rsidR="00824990">
        <w:rPr>
          <w:rFonts w:ascii="Times New Roman" w:hAnsi="Times New Roman" w:cs="Times New Roman"/>
          <w:sz w:val="24"/>
          <w:szCs w:val="24"/>
        </w:rPr>
        <w:t xml:space="preserve"> outbreak</w:t>
      </w:r>
      <w:r w:rsidR="00D76693" w:rsidRPr="0006721E">
        <w:rPr>
          <w:rFonts w:ascii="Times New Roman" w:hAnsi="Times New Roman" w:cs="Times New Roman"/>
          <w:sz w:val="24"/>
          <w:szCs w:val="24"/>
        </w:rPr>
        <w:t xml:space="preserve">. </w:t>
      </w:r>
      <w:r w:rsidR="002D712D" w:rsidRPr="0006721E">
        <w:rPr>
          <w:rFonts w:ascii="Times New Roman" w:hAnsi="Times New Roman" w:cs="Times New Roman"/>
          <w:sz w:val="24"/>
          <w:szCs w:val="24"/>
        </w:rPr>
        <w:t xml:space="preserve">Following </w:t>
      </w:r>
      <w:r w:rsidR="002D712D" w:rsidRPr="0006721E">
        <w:rPr>
          <w:rFonts w:ascii="Times New Roman" w:hAnsi="Times New Roman" w:cs="Times New Roman"/>
          <w:sz w:val="24"/>
          <w:szCs w:val="24"/>
        </w:rPr>
        <w:fldChar w:fldCharType="begin" w:fldLock="1"/>
      </w:r>
      <w:r w:rsidR="00433820">
        <w:rPr>
          <w:rFonts w:ascii="Times New Roman" w:hAnsi="Times New Roman" w:cs="Times New Roman"/>
          <w:sz w:val="24"/>
          <w:szCs w:val="24"/>
        </w:rPr>
        <w:instrText>ADDIN CSL_CITATION {"citationItems":[{"id":"ITEM-1","itemData":{"DOI":"10.1016/j.econmod.2017.07.007","ISSN":"02649993","abstract":"This study investigates the risk and return characteristics of Islamic funds in comparison with SRI and the conventional open-end mutual funds for the UK, which, having attracted over £11.7 billion in Islamic investment in the past decade has emerged as the largest financial market for Islamic funds in the west. In addition, contrasting with previous literature, this research categorizes SRI and Islamic funds into two distinct types in order to allow a fair comparison. Our findings demonstrate that Islamic and SRI funds in general perform close to the conventional funds with significantly better risk-return tradeoff in US focused funds. Results further indicate that the UK-based Islamic and SRI funds were less effected during financial crisis as the magnitude of loss was significantly lower for them when compared to conventional funds. The research suggests that Islamic and SRI funds do provide a rational substitute and investors can benefit from investing in these funds as ethic and faith-based screening criteria do not affect the returns of Islamic and SRI funds adversely. This was also substantiated by our findings on investment behavior of these funds.","author":[{"dropping-particle":"","family":"Reddy","given":"Krishna","non-dropping-particle":"","parse-names":false,"suffix":""},{"dropping-particle":"","family":"Mirza","given":"Nawazish","non-dropping-particle":"","parse-names":false,"suffix":""},{"dropping-particle":"","family":"Naqvi","given":"Bushra","non-dropping-particle":"","parse-names":false,"suffix":""},{"dropping-particle":"","family":"Fu","given":"Mingli","non-dropping-particle":"","parse-names":false,"suffix":""}],"container-title":"Economic Modelling","id":"ITEM-1","issued":{"date-parts":[["2017","11"]]},"page":"233-243","publisher":"Elsevier B.V.","title":"Comparative risk adjusted performance of Islamic, socially responsible and conventional funds: Evidence from United Kingdom","type":"article-journal","volume":"66"},"uris":["http://www.mendeley.com/documents/?uuid=ba6f1ef2-83c6-4e10-84aa-844a67197976"]}],"mendeley":{"formattedCitation":"(Krishna Reddy et al., 2017)","manualFormatting":"Reddy et al. (2017)","plainTextFormattedCitation":"(Krishna Reddy et al., 2017)","previouslyFormattedCitation":"(Krishna Reddy et al., 2017)"},"properties":{"noteIndex":0},"schema":"https://github.com/citation-style-language/schema/raw/master/csl-citation.json"}</w:instrText>
      </w:r>
      <w:r w:rsidR="002D712D" w:rsidRPr="0006721E">
        <w:rPr>
          <w:rFonts w:ascii="Times New Roman" w:hAnsi="Times New Roman" w:cs="Times New Roman"/>
          <w:sz w:val="24"/>
          <w:szCs w:val="24"/>
        </w:rPr>
        <w:fldChar w:fldCharType="separate"/>
      </w:r>
      <w:r w:rsidR="002D712D" w:rsidRPr="0006721E">
        <w:rPr>
          <w:rFonts w:ascii="Times New Roman" w:hAnsi="Times New Roman" w:cs="Times New Roman"/>
          <w:noProof/>
          <w:sz w:val="24"/>
          <w:szCs w:val="24"/>
        </w:rPr>
        <w:t xml:space="preserve">Reddy et al. </w:t>
      </w:r>
      <w:r w:rsidR="00824990">
        <w:rPr>
          <w:rFonts w:ascii="Times New Roman" w:hAnsi="Times New Roman" w:cs="Times New Roman"/>
          <w:noProof/>
          <w:sz w:val="24"/>
          <w:szCs w:val="24"/>
        </w:rPr>
        <w:t>(</w:t>
      </w:r>
      <w:r w:rsidR="002D712D" w:rsidRPr="0006721E">
        <w:rPr>
          <w:rFonts w:ascii="Times New Roman" w:hAnsi="Times New Roman" w:cs="Times New Roman"/>
          <w:noProof/>
          <w:sz w:val="24"/>
          <w:szCs w:val="24"/>
        </w:rPr>
        <w:t>2017)</w:t>
      </w:r>
      <w:r w:rsidR="002D712D" w:rsidRPr="0006721E">
        <w:rPr>
          <w:rFonts w:ascii="Times New Roman" w:hAnsi="Times New Roman" w:cs="Times New Roman"/>
          <w:sz w:val="24"/>
          <w:szCs w:val="24"/>
        </w:rPr>
        <w:fldChar w:fldCharType="end"/>
      </w:r>
      <w:r w:rsidR="002D712D" w:rsidRPr="0006721E">
        <w:rPr>
          <w:rFonts w:ascii="Times New Roman" w:hAnsi="Times New Roman" w:cs="Times New Roman"/>
          <w:sz w:val="24"/>
          <w:szCs w:val="24"/>
        </w:rPr>
        <w:t xml:space="preserve"> and </w:t>
      </w:r>
      <w:r w:rsidR="002D712D"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{"citationItems":[{"id":"ITEM-1","itemData":{"DOI":"10.1057/s41260-020-00172-3","abstract":"The likelihood of pandemics has been perceived very low till very recently. Therefore, the exponential spread of Covid-19 was a major surprise that has resulted in a global rout of financial markets. In this study, we document some preliminary evidence of performance and investment styles of European funds during the evolution of Covid-19. We assess the period between January and May 2020 and categorized the spread of contagion in three phases. The results document that Social Entrepreneurship funds demonstrated positive returns across the three phases, while most of the other subcategories plunged into negative zone. Our findings on style analysis suggest that fund managers have been drifting from high risk option to low risk in terms of size and investment strategy. Similarly, there has been a switch from high risk to relatively less sensitive sectors and a transition of investment from countries with higher to those with lower number of cases.","author":[{"dropping-particle":"","family":"Rizvi","given":"Syed Kumail Abbas","non-dropping-particle":"","parse-names":false,"suffix":""},{"dropping-particle":"","family":"Mirza","given":"Nawazish","non-dropping-particle":"","parse-names":false,"suffix":""},{"dropping-particle":"","family":"Naqvi","given":"Bushra","non-dropping-particle":"","parse-names":false,"suffix":""},{"dropping-particle":"","family":"Rahat","given":"Birjees","non-dropping-particle":"","parse-names":false,"suffix":""}],"container-title":"Journal of Asset Management","id":"ITEM-1","issued":{"date-parts":[["2020","6","11"]]},"page":"1-11","publisher":"Palgrave","title":"Covid-19 and asset management in EU: a preliminary assessment of performance and investment styles","type":"article-journal"},"uris":["http://www.mendeley.com/documents/?uuid=0382abb7-3da7-351c-be20-e6c2937f8713"]}],"mendeley":{"formattedCitation":"(Rizvi et al., 2020)","manualFormatting":"Rizvi et al. (2020)","plainTextFormattedCitation":"(Rizvi et al., 2020)","previouslyFormattedCitation":"(Rizvi et al., 2020)"},"properties":{"noteIndex":0},"schema":"https://github.com/citation-style-language/schema/raw/master/csl-citation.json"}</w:instrText>
      </w:r>
      <w:r w:rsidR="002D712D" w:rsidRPr="0006721E">
        <w:rPr>
          <w:rFonts w:ascii="Times New Roman" w:hAnsi="Times New Roman" w:cs="Times New Roman"/>
          <w:sz w:val="24"/>
          <w:szCs w:val="24"/>
        </w:rPr>
        <w:fldChar w:fldCharType="separate"/>
      </w:r>
      <w:r w:rsidR="00852876" w:rsidRPr="00852876">
        <w:rPr>
          <w:rFonts w:ascii="Times New Roman" w:hAnsi="Times New Roman" w:cs="Times New Roman"/>
          <w:noProof/>
          <w:sz w:val="24"/>
          <w:szCs w:val="24"/>
        </w:rPr>
        <w:t>Rizvi et al.</w:t>
      </w:r>
      <w:r w:rsidR="004B3DBE">
        <w:rPr>
          <w:rFonts w:ascii="Times New Roman" w:hAnsi="Times New Roman" w:cs="Times New Roman"/>
          <w:noProof/>
          <w:sz w:val="24"/>
          <w:szCs w:val="24"/>
        </w:rPr>
        <w:t xml:space="preserve"> </w:t>
      </w:r>
      <w:r w:rsidR="00824990">
        <w:rPr>
          <w:rFonts w:ascii="Times New Roman" w:hAnsi="Times New Roman" w:cs="Times New Roman"/>
          <w:noProof/>
          <w:sz w:val="24"/>
          <w:szCs w:val="24"/>
        </w:rPr>
        <w:t>(</w:t>
      </w:r>
      <w:r w:rsidR="00852876" w:rsidRPr="00852876">
        <w:rPr>
          <w:rFonts w:ascii="Times New Roman" w:hAnsi="Times New Roman" w:cs="Times New Roman"/>
          <w:noProof/>
          <w:sz w:val="24"/>
          <w:szCs w:val="24"/>
        </w:rPr>
        <w:t>2020)</w:t>
      </w:r>
      <w:r w:rsidR="002D712D" w:rsidRPr="0006721E">
        <w:rPr>
          <w:rFonts w:ascii="Times New Roman" w:hAnsi="Times New Roman" w:cs="Times New Roman"/>
          <w:sz w:val="24"/>
          <w:szCs w:val="24"/>
        </w:rPr>
        <w:fldChar w:fldCharType="end"/>
      </w:r>
      <w:r w:rsidR="002D712D" w:rsidRPr="0006721E">
        <w:rPr>
          <w:rFonts w:ascii="Times New Roman" w:hAnsi="Times New Roman" w:cs="Times New Roman"/>
          <w:sz w:val="24"/>
          <w:szCs w:val="24"/>
        </w:rPr>
        <w:t xml:space="preserve">, </w:t>
      </w:r>
      <w:r w:rsidR="00ED4465" w:rsidRPr="0006721E">
        <w:rPr>
          <w:rFonts w:ascii="Times New Roman" w:hAnsi="Times New Roman" w:cs="Times New Roman"/>
          <w:sz w:val="24"/>
          <w:szCs w:val="24"/>
        </w:rPr>
        <w:t>we use the following functional form of the adjusted Sharpe ratio (γ).</w:t>
      </w:r>
    </w:p>
    <w:p w14:paraId="7690B5ED" w14:textId="22E83049" w:rsidR="00ED4465" w:rsidRPr="0006721E" w:rsidRDefault="00E544F6" w:rsidP="006528E4">
      <w:pPr>
        <w:spacing w:after="0" w:line="480" w:lineRule="auto"/>
        <w:ind w:firstLine="720"/>
        <w:jc w:val="both"/>
        <w:rPr>
          <w:rFonts w:ascii="Times New Roman" w:hAnsi="Times New Roman" w:cs="Times New Roman"/>
          <w:noProof/>
          <w:sz w:val="24"/>
          <w:szCs w:val="24"/>
        </w:rPr>
      </w:pPr>
      <w:r w:rsidRPr="0006721E">
        <w:rPr>
          <w:rFonts w:ascii="Times New Roman" w:hAnsi="Times New Roman" w:cs="Times New Roman"/>
          <w:noProof/>
          <w:position w:val="-24"/>
          <w:sz w:val="24"/>
          <w:szCs w:val="24"/>
        </w:rPr>
        <w:object w:dxaOrig="3680" w:dyaOrig="620" w14:anchorId="6FFB054C">
          <v:shape id="_x0000_i1026" type="#_x0000_t75" alt="" style="width:184.5pt;height:31.5pt" o:ole="">
            <v:imagedata r:id="rId9" o:title=""/>
          </v:shape>
          <o:OLEObject Type="Embed" ProgID="Equation.3" ShapeID="_x0000_i1026" DrawAspect="Content" ObjectID="_1694867748" r:id="rId10"/>
        </w:object>
      </w:r>
      <w:r w:rsidRPr="0006721E">
        <w:rPr>
          <w:rFonts w:ascii="Times New Roman" w:hAnsi="Times New Roman" w:cs="Times New Roman"/>
          <w:noProof/>
          <w:sz w:val="24"/>
          <w:szCs w:val="24"/>
        </w:rPr>
        <w:tab/>
      </w:r>
      <w:r w:rsidRPr="0006721E">
        <w:rPr>
          <w:rFonts w:ascii="Times New Roman" w:hAnsi="Times New Roman" w:cs="Times New Roman"/>
          <w:noProof/>
          <w:sz w:val="24"/>
          <w:szCs w:val="24"/>
        </w:rPr>
        <w:tab/>
      </w:r>
      <w:r w:rsidRPr="0006721E">
        <w:rPr>
          <w:rFonts w:ascii="Times New Roman" w:hAnsi="Times New Roman" w:cs="Times New Roman"/>
          <w:noProof/>
          <w:sz w:val="24"/>
          <w:szCs w:val="24"/>
        </w:rPr>
        <w:tab/>
      </w:r>
      <w:r w:rsidR="005043C4">
        <w:rPr>
          <w:rFonts w:ascii="Times New Roman" w:hAnsi="Times New Roman" w:cs="Times New Roman"/>
          <w:noProof/>
          <w:sz w:val="24"/>
          <w:szCs w:val="24"/>
        </w:rPr>
        <w:tab/>
      </w:r>
      <w:r w:rsidRPr="0006721E">
        <w:rPr>
          <w:rFonts w:ascii="Times New Roman" w:hAnsi="Times New Roman" w:cs="Times New Roman"/>
          <w:noProof/>
          <w:sz w:val="24"/>
          <w:szCs w:val="24"/>
        </w:rPr>
        <w:tab/>
      </w:r>
      <w:r w:rsidRPr="0006721E">
        <w:rPr>
          <w:rFonts w:ascii="Times New Roman" w:hAnsi="Times New Roman" w:cs="Times New Roman"/>
          <w:noProof/>
          <w:sz w:val="24"/>
          <w:szCs w:val="24"/>
        </w:rPr>
        <w:tab/>
      </w:r>
      <w:r w:rsidR="005043C4">
        <w:rPr>
          <w:rFonts w:ascii="Times New Roman" w:hAnsi="Times New Roman" w:cs="Times New Roman"/>
          <w:noProof/>
          <w:sz w:val="24"/>
          <w:szCs w:val="24"/>
        </w:rPr>
        <w:t xml:space="preserve">  </w:t>
      </w:r>
      <w:r w:rsidRPr="0006721E">
        <w:rPr>
          <w:rFonts w:ascii="Times New Roman" w:hAnsi="Times New Roman" w:cs="Times New Roman"/>
          <w:noProof/>
          <w:sz w:val="24"/>
          <w:szCs w:val="24"/>
        </w:rPr>
        <w:t>(</w:t>
      </w:r>
      <w:r w:rsidR="00824990">
        <w:rPr>
          <w:rFonts w:ascii="Times New Roman" w:hAnsi="Times New Roman" w:cs="Times New Roman"/>
          <w:noProof/>
          <w:sz w:val="24"/>
          <w:szCs w:val="24"/>
        </w:rPr>
        <w:t>2</w:t>
      </w:r>
      <w:r w:rsidRPr="0006721E">
        <w:rPr>
          <w:rFonts w:ascii="Times New Roman" w:hAnsi="Times New Roman" w:cs="Times New Roman"/>
          <w:noProof/>
          <w:sz w:val="24"/>
          <w:szCs w:val="24"/>
        </w:rPr>
        <w:t>)</w:t>
      </w:r>
    </w:p>
    <w:p w14:paraId="28A03C76" w14:textId="77777777" w:rsidR="009B303D" w:rsidRPr="0006721E" w:rsidRDefault="00E544F6" w:rsidP="002307D5">
      <w:pPr>
        <w:spacing w:after="0" w:line="480" w:lineRule="auto"/>
        <w:jc w:val="both"/>
        <w:rPr>
          <w:rFonts w:ascii="Times New Roman" w:hAnsi="Times New Roman" w:cs="Times New Roman"/>
          <w:noProof/>
          <w:sz w:val="24"/>
          <w:szCs w:val="24"/>
        </w:rPr>
      </w:pPr>
      <w:r w:rsidRPr="0006721E">
        <w:rPr>
          <w:rFonts w:ascii="Times New Roman" w:hAnsi="Times New Roman" w:cs="Times New Roman"/>
          <w:i/>
          <w:noProof/>
          <w:sz w:val="24"/>
          <w:szCs w:val="24"/>
        </w:rPr>
        <w:t>SR</w:t>
      </w:r>
      <w:r w:rsidRPr="0006721E">
        <w:rPr>
          <w:rFonts w:ascii="Times New Roman" w:hAnsi="Times New Roman" w:cs="Times New Roman"/>
          <w:noProof/>
          <w:sz w:val="24"/>
          <w:szCs w:val="24"/>
        </w:rPr>
        <w:t xml:space="preserve"> corresponds to </w:t>
      </w:r>
      <w:r w:rsidR="002908DA">
        <w:rPr>
          <w:rFonts w:ascii="Times New Roman" w:hAnsi="Times New Roman" w:cs="Times New Roman"/>
          <w:noProof/>
          <w:sz w:val="24"/>
          <w:szCs w:val="24"/>
        </w:rPr>
        <w:t xml:space="preserve">the </w:t>
      </w:r>
      <w:r w:rsidRPr="0006721E">
        <w:rPr>
          <w:rFonts w:ascii="Times New Roman" w:hAnsi="Times New Roman" w:cs="Times New Roman"/>
          <w:noProof/>
          <w:sz w:val="24"/>
          <w:szCs w:val="24"/>
        </w:rPr>
        <w:t>Sharpe ratio, s</w:t>
      </w:r>
      <w:r w:rsidRPr="0006721E">
        <w:rPr>
          <w:rFonts w:ascii="Times New Roman" w:hAnsi="Times New Roman" w:cs="Times New Roman"/>
          <w:noProof/>
          <w:sz w:val="24"/>
          <w:szCs w:val="24"/>
          <w:vertAlign w:val="subscript"/>
        </w:rPr>
        <w:t>k</w:t>
      </w:r>
      <w:r w:rsidRPr="0006721E">
        <w:rPr>
          <w:rFonts w:ascii="Times New Roman" w:hAnsi="Times New Roman" w:cs="Times New Roman"/>
          <w:noProof/>
          <w:sz w:val="24"/>
          <w:szCs w:val="24"/>
        </w:rPr>
        <w:t xml:space="preserve"> is skewness while k</w:t>
      </w:r>
      <w:r w:rsidRPr="0006721E">
        <w:rPr>
          <w:rFonts w:ascii="Times New Roman" w:hAnsi="Times New Roman" w:cs="Times New Roman"/>
          <w:noProof/>
          <w:sz w:val="24"/>
          <w:szCs w:val="24"/>
          <w:vertAlign w:val="subscript"/>
        </w:rPr>
        <w:t>r</w:t>
      </w:r>
      <w:r w:rsidRPr="0006721E">
        <w:rPr>
          <w:rFonts w:ascii="Times New Roman" w:hAnsi="Times New Roman" w:cs="Times New Roman"/>
          <w:noProof/>
          <w:sz w:val="24"/>
          <w:szCs w:val="24"/>
        </w:rPr>
        <w:t xml:space="preserve"> repres</w:t>
      </w:r>
      <w:r w:rsidR="002908DA">
        <w:rPr>
          <w:rFonts w:ascii="Times New Roman" w:hAnsi="Times New Roman" w:cs="Times New Roman"/>
          <w:noProof/>
          <w:sz w:val="24"/>
          <w:szCs w:val="24"/>
        </w:rPr>
        <w:t>en</w:t>
      </w:r>
      <w:r w:rsidRPr="0006721E">
        <w:rPr>
          <w:rFonts w:ascii="Times New Roman" w:hAnsi="Times New Roman" w:cs="Times New Roman"/>
          <w:noProof/>
          <w:sz w:val="24"/>
          <w:szCs w:val="24"/>
        </w:rPr>
        <w:t>ts kurtosis.</w:t>
      </w:r>
      <w:r w:rsidR="00441A71" w:rsidRPr="0006721E">
        <w:rPr>
          <w:rFonts w:ascii="Times New Roman" w:hAnsi="Times New Roman" w:cs="Times New Roman"/>
          <w:noProof/>
          <w:sz w:val="24"/>
          <w:szCs w:val="24"/>
        </w:rPr>
        <w:t xml:space="preserve"> The ratio compares a fund’s excess return with the </w:t>
      </w:r>
      <w:r w:rsidR="00FB7A66" w:rsidRPr="0006721E">
        <w:rPr>
          <w:rFonts w:ascii="Times New Roman" w:hAnsi="Times New Roman" w:cs="Times New Roman"/>
          <w:noProof/>
          <w:sz w:val="24"/>
          <w:szCs w:val="24"/>
        </w:rPr>
        <w:t xml:space="preserve">total risk and adjusts for </w:t>
      </w:r>
      <w:r w:rsidR="00135139" w:rsidRPr="0006721E">
        <w:rPr>
          <w:rFonts w:ascii="Times New Roman" w:hAnsi="Times New Roman" w:cs="Times New Roman"/>
          <w:noProof/>
          <w:sz w:val="24"/>
          <w:szCs w:val="24"/>
        </w:rPr>
        <w:t>skewness and kurtosis.</w:t>
      </w:r>
      <w:r w:rsidR="00A600FA" w:rsidRPr="0006721E">
        <w:rPr>
          <w:rFonts w:ascii="Times New Roman" w:hAnsi="Times New Roman" w:cs="Times New Roman"/>
          <w:noProof/>
          <w:sz w:val="24"/>
          <w:szCs w:val="24"/>
        </w:rPr>
        <w:t xml:space="preserve"> </w:t>
      </w:r>
    </w:p>
    <w:p w14:paraId="1F68541E" w14:textId="50E44CD0" w:rsidR="005043C4" w:rsidRDefault="00A600FA" w:rsidP="009B303D">
      <w:pPr>
        <w:spacing w:after="0" w:line="480" w:lineRule="auto"/>
        <w:ind w:firstLine="720"/>
        <w:jc w:val="both"/>
        <w:rPr>
          <w:rFonts w:ascii="Times New Roman" w:hAnsi="Times New Roman" w:cs="Times New Roman"/>
          <w:noProof/>
          <w:sz w:val="24"/>
          <w:szCs w:val="24"/>
        </w:rPr>
      </w:pPr>
      <w:r w:rsidRPr="0006721E">
        <w:rPr>
          <w:rFonts w:ascii="Times New Roman" w:hAnsi="Times New Roman" w:cs="Times New Roman"/>
          <w:noProof/>
          <w:sz w:val="24"/>
          <w:szCs w:val="24"/>
        </w:rPr>
        <w:t xml:space="preserve">The second metric </w:t>
      </w:r>
      <w:r w:rsidR="00824990">
        <w:rPr>
          <w:rFonts w:ascii="Times New Roman" w:hAnsi="Times New Roman" w:cs="Times New Roman"/>
          <w:noProof/>
          <w:sz w:val="24"/>
          <w:szCs w:val="24"/>
        </w:rPr>
        <w:t xml:space="preserve">that </w:t>
      </w:r>
      <w:r w:rsidRPr="0006721E">
        <w:rPr>
          <w:rFonts w:ascii="Times New Roman" w:hAnsi="Times New Roman" w:cs="Times New Roman"/>
          <w:noProof/>
          <w:sz w:val="24"/>
          <w:szCs w:val="24"/>
        </w:rPr>
        <w:t>we use</w:t>
      </w:r>
      <w:r w:rsidR="00824990">
        <w:rPr>
          <w:rFonts w:ascii="Times New Roman" w:hAnsi="Times New Roman" w:cs="Times New Roman"/>
          <w:noProof/>
          <w:sz w:val="24"/>
          <w:szCs w:val="24"/>
        </w:rPr>
        <w:t>d</w:t>
      </w:r>
      <w:r w:rsidRPr="0006721E">
        <w:rPr>
          <w:rFonts w:ascii="Times New Roman" w:hAnsi="Times New Roman" w:cs="Times New Roman"/>
          <w:noProof/>
          <w:sz w:val="24"/>
          <w:szCs w:val="24"/>
        </w:rPr>
        <w:t xml:space="preserve"> is </w:t>
      </w:r>
      <w:r w:rsidR="002908DA">
        <w:rPr>
          <w:rFonts w:ascii="Times New Roman" w:hAnsi="Times New Roman" w:cs="Times New Roman"/>
          <w:noProof/>
          <w:sz w:val="24"/>
          <w:szCs w:val="24"/>
        </w:rPr>
        <w:t xml:space="preserve">the </w:t>
      </w:r>
      <w:r w:rsidRPr="0006721E">
        <w:rPr>
          <w:rFonts w:ascii="Times New Roman" w:hAnsi="Times New Roman" w:cs="Times New Roman"/>
          <w:noProof/>
          <w:sz w:val="24"/>
          <w:szCs w:val="24"/>
        </w:rPr>
        <w:t xml:space="preserve">Sortino ratio that is based on </w:t>
      </w:r>
      <w:r w:rsidRPr="0006721E">
        <w:rPr>
          <w:rFonts w:ascii="Times New Roman" w:hAnsi="Times New Roman" w:cs="Times New Roman"/>
          <w:noProof/>
          <w:sz w:val="24"/>
          <w:szCs w:val="24"/>
        </w:rPr>
        <w:fldChar w:fldCharType="begin" w:fldLock="1"/>
      </w:r>
      <w:r w:rsidR="00F774A3">
        <w:rPr>
          <w:rFonts w:ascii="Times New Roman" w:hAnsi="Times New Roman" w:cs="Times New Roman"/>
          <w:noProof/>
          <w:sz w:val="24"/>
          <w:szCs w:val="24"/>
        </w:rPr>
        <w:instrText>ADDIN CSL_CITATION {"citationItems":[{"id":"ITEM-1","itemData":{"DOI":"10.3905/joi.3.3.59","ISSN":"1068-0896","abstract":"This study updates prior studies and presents new evidence on the predictability of stock market returns. It examines the ability of two earnings yields to predict one- through 10-year real S&amp;P 500 returns for 1881-2008 and 1953-2008. The upshot is that, as of year-end 2008, stock prospects look better than they have since at least the early 1990s. Based on evidence from Shillers (2000) model and a variant of that model, long-horizon stock prospects appear to be in line with historical averages, where stocks significantly outperform Treasury bonds and bills. Finally, this study discusses investment implications and applications of this research.","author":[{"dropping-particle":"","family":"Sortino","given":"Frank A.","non-dropping-particle":"","parse-names":false,"suffix":""},{"dropping-particle":"","family":"Price","given":"Lee N.","non-dropping-particle":"","parse-names":false,"suffix":""}],"container-title":"The Journal of Investing","id":"ITEM-1","issued":{"date-parts":[["1994"]]},"title":"Performance Measurement in a Downside Risk Framework","type":"article-journal"},"uris":["http://www.mendeley.com/documents/?uuid=75a38e13-f3ad-4cc4-85a4-c891e7d6bb3f"]}],"mendeley":{"formattedCitation":"(Sortino &amp; Price, 1994)","manualFormatting":"Sortino and  Price (1994)","plainTextFormattedCitation":"(Sortino &amp; Price, 1994)","previouslyFormattedCitation":"(Sortino &amp; Price, 1994)"},"properties":{"noteIndex":0},"schema":"https://github.com/citation-style-language/schema/raw/master/csl-citation.json"}</w:instrText>
      </w:r>
      <w:r w:rsidRPr="0006721E">
        <w:rPr>
          <w:rFonts w:ascii="Times New Roman" w:hAnsi="Times New Roman" w:cs="Times New Roman"/>
          <w:noProof/>
          <w:sz w:val="24"/>
          <w:szCs w:val="24"/>
        </w:rPr>
        <w:fldChar w:fldCharType="separate"/>
      </w:r>
      <w:r w:rsidRPr="0006721E">
        <w:rPr>
          <w:rFonts w:ascii="Times New Roman" w:hAnsi="Times New Roman" w:cs="Times New Roman"/>
          <w:noProof/>
          <w:sz w:val="24"/>
          <w:szCs w:val="24"/>
        </w:rPr>
        <w:t>Sortino</w:t>
      </w:r>
      <w:r w:rsidR="00824990">
        <w:rPr>
          <w:rFonts w:ascii="Times New Roman" w:hAnsi="Times New Roman" w:cs="Times New Roman"/>
          <w:noProof/>
          <w:sz w:val="24"/>
          <w:szCs w:val="24"/>
        </w:rPr>
        <w:t xml:space="preserve"> and </w:t>
      </w:r>
      <w:r w:rsidRPr="0006721E">
        <w:rPr>
          <w:rFonts w:ascii="Times New Roman" w:hAnsi="Times New Roman" w:cs="Times New Roman"/>
          <w:noProof/>
          <w:sz w:val="24"/>
          <w:szCs w:val="24"/>
        </w:rPr>
        <w:t xml:space="preserve"> Price </w:t>
      </w:r>
      <w:r w:rsidR="00824990">
        <w:rPr>
          <w:rFonts w:ascii="Times New Roman" w:hAnsi="Times New Roman" w:cs="Times New Roman"/>
          <w:noProof/>
          <w:sz w:val="24"/>
          <w:szCs w:val="24"/>
        </w:rPr>
        <w:t>(</w:t>
      </w:r>
      <w:r w:rsidRPr="0006721E">
        <w:rPr>
          <w:rFonts w:ascii="Times New Roman" w:hAnsi="Times New Roman" w:cs="Times New Roman"/>
          <w:noProof/>
          <w:sz w:val="24"/>
          <w:szCs w:val="24"/>
        </w:rPr>
        <w:t>1994)</w:t>
      </w:r>
      <w:r w:rsidRPr="0006721E">
        <w:rPr>
          <w:rFonts w:ascii="Times New Roman" w:hAnsi="Times New Roman" w:cs="Times New Roman"/>
          <w:noProof/>
          <w:sz w:val="24"/>
          <w:szCs w:val="24"/>
        </w:rPr>
        <w:fldChar w:fldCharType="end"/>
      </w:r>
      <w:r w:rsidRPr="0006721E">
        <w:rPr>
          <w:rFonts w:ascii="Times New Roman" w:hAnsi="Times New Roman" w:cs="Times New Roman"/>
          <w:noProof/>
          <w:sz w:val="24"/>
          <w:szCs w:val="24"/>
        </w:rPr>
        <w:t xml:space="preserve"> and compares </w:t>
      </w:r>
      <w:r w:rsidR="002908DA">
        <w:rPr>
          <w:rFonts w:ascii="Times New Roman" w:hAnsi="Times New Roman" w:cs="Times New Roman"/>
          <w:noProof/>
          <w:sz w:val="24"/>
          <w:szCs w:val="24"/>
        </w:rPr>
        <w:t xml:space="preserve">the </w:t>
      </w:r>
      <w:r w:rsidRPr="0006721E">
        <w:rPr>
          <w:rFonts w:ascii="Times New Roman" w:hAnsi="Times New Roman" w:cs="Times New Roman"/>
          <w:noProof/>
          <w:sz w:val="24"/>
          <w:szCs w:val="24"/>
        </w:rPr>
        <w:t xml:space="preserve">fund’s excess return with the downside risk. </w:t>
      </w:r>
      <w:r w:rsidR="00EB5554" w:rsidRPr="0006721E">
        <w:rPr>
          <w:rFonts w:ascii="Times New Roman" w:hAnsi="Times New Roman" w:cs="Times New Roman"/>
          <w:noProof/>
          <w:sz w:val="24"/>
          <w:szCs w:val="24"/>
        </w:rPr>
        <w:fldChar w:fldCharType="begin" w:fldLock="1"/>
      </w:r>
      <w:r w:rsidR="00F774A3">
        <w:rPr>
          <w:rFonts w:ascii="Times New Roman" w:hAnsi="Times New Roman" w:cs="Times New Roman"/>
          <w:noProof/>
          <w:sz w:val="24"/>
          <w:szCs w:val="24"/>
        </w:rPr>
        <w:instrText>ADDIN CSL_CITATION {"citationItems":[{"id":"ITEM-1","itemData":{"DOI":"10.1016/j.econlet.2019.108935","ISSN":"01651765","abstract":"Bitcoin has been increasingly viewed as a new form of investment, yet its role as an asset in a diversified industry portfolio is not well understood. In this paper, we explore the dynamic interdependence between Bitcoin and the ten global industry sectors classified by the Global Industry Classification Standard. We find, in accordance with previous literature, that Bitcoin is relatively isolated from traditional industries. While the near-zero correlation with traditional financial assets offers some diversification benefits to investors, these benefits are counterbalanced by the volatility of the asset. Bitcoin's optimal presence in a minimum variance portfolio is only about 1 percent – a weight that is robust to various methods for estimating the return covariance matrix. Bitcoin's optimal weight in portfolios maximizing Sharpe and Sortino ratios are on the magnitude of 10 to 20 percent. Hence, the value of Bitcoin as an asset in a diversified portfolio critically depends on investors’ views about the future of Blockchain technology.","author":[{"dropping-particle":"","family":"Damianov","given":"Damian S.","non-dropping-particle":"","parse-names":false,"suffix":""},{"dropping-particle":"","family":"Elsayed","given":"Ahmed H.","non-dropping-particle":"","parse-names":false,"suffix":""}],"container-title":"Economics Letters","id":"ITEM-1","issued":{"date-parts":[["2020","6","1"]]},"page":"108935","publisher":"Elsevier B.V.","title":"Does Bitcoin add value to global industry portfolios?","type":"article-journal","volume":"191"},"uris":["http://www.mendeley.com/documents/?uuid=e7fb2825-2c9f-36b4-9ee4-f84307391a02"]}],"mendeley":{"formattedCitation":"(Damianov &amp; Elsayed, 2020)","manualFormatting":"Damianov and Elsayed, (2020)","plainTextFormattedCitation":"(Damianov &amp; Elsayed, 2020)","previouslyFormattedCitation":"(Damianov &amp; Elsayed, 2020)"},"properties":{"noteIndex":0},"schema":"https://github.com/citation-style-language/schema/raw/master/csl-citation.json"}</w:instrText>
      </w:r>
      <w:r w:rsidR="00EB5554" w:rsidRPr="0006721E">
        <w:rPr>
          <w:rFonts w:ascii="Times New Roman" w:hAnsi="Times New Roman" w:cs="Times New Roman"/>
          <w:noProof/>
          <w:sz w:val="24"/>
          <w:szCs w:val="24"/>
        </w:rPr>
        <w:fldChar w:fldCharType="separate"/>
      </w:r>
      <w:r w:rsidR="00EB5554" w:rsidRPr="0006721E">
        <w:rPr>
          <w:rFonts w:ascii="Times New Roman" w:hAnsi="Times New Roman" w:cs="Times New Roman"/>
          <w:noProof/>
          <w:sz w:val="24"/>
          <w:szCs w:val="24"/>
        </w:rPr>
        <w:t xml:space="preserve">Damianov </w:t>
      </w:r>
      <w:r w:rsidR="00824990">
        <w:rPr>
          <w:rFonts w:ascii="Times New Roman" w:hAnsi="Times New Roman" w:cs="Times New Roman"/>
          <w:noProof/>
          <w:sz w:val="24"/>
          <w:szCs w:val="24"/>
        </w:rPr>
        <w:t xml:space="preserve">and </w:t>
      </w:r>
      <w:r w:rsidR="00EB5554" w:rsidRPr="0006721E">
        <w:rPr>
          <w:rFonts w:ascii="Times New Roman" w:hAnsi="Times New Roman" w:cs="Times New Roman"/>
          <w:noProof/>
          <w:sz w:val="24"/>
          <w:szCs w:val="24"/>
        </w:rPr>
        <w:t xml:space="preserve">Elsayed, </w:t>
      </w:r>
      <w:r w:rsidR="00824990">
        <w:rPr>
          <w:rFonts w:ascii="Times New Roman" w:hAnsi="Times New Roman" w:cs="Times New Roman"/>
          <w:noProof/>
          <w:sz w:val="24"/>
          <w:szCs w:val="24"/>
        </w:rPr>
        <w:t>(</w:t>
      </w:r>
      <w:r w:rsidR="00EB5554" w:rsidRPr="0006721E">
        <w:rPr>
          <w:rFonts w:ascii="Times New Roman" w:hAnsi="Times New Roman" w:cs="Times New Roman"/>
          <w:noProof/>
          <w:sz w:val="24"/>
          <w:szCs w:val="24"/>
        </w:rPr>
        <w:t>2020)</w:t>
      </w:r>
      <w:r w:rsidR="00EB5554" w:rsidRPr="0006721E">
        <w:rPr>
          <w:rFonts w:ascii="Times New Roman" w:hAnsi="Times New Roman" w:cs="Times New Roman"/>
          <w:noProof/>
          <w:sz w:val="24"/>
          <w:szCs w:val="24"/>
        </w:rPr>
        <w:fldChar w:fldCharType="end"/>
      </w:r>
      <w:r w:rsidR="00EB5554" w:rsidRPr="0006721E">
        <w:rPr>
          <w:rFonts w:ascii="Times New Roman" w:hAnsi="Times New Roman" w:cs="Times New Roman"/>
          <w:noProof/>
          <w:sz w:val="24"/>
          <w:szCs w:val="24"/>
        </w:rPr>
        <w:t xml:space="preserve"> noted that </w:t>
      </w:r>
      <w:r w:rsidR="002908DA">
        <w:rPr>
          <w:rFonts w:ascii="Times New Roman" w:hAnsi="Times New Roman" w:cs="Times New Roman"/>
          <w:noProof/>
          <w:sz w:val="24"/>
          <w:szCs w:val="24"/>
        </w:rPr>
        <w:t xml:space="preserve">the </w:t>
      </w:r>
      <w:r w:rsidR="009A4D02" w:rsidRPr="0006721E">
        <w:rPr>
          <w:rFonts w:ascii="Times New Roman" w:hAnsi="Times New Roman" w:cs="Times New Roman"/>
          <w:noProof/>
          <w:sz w:val="24"/>
          <w:szCs w:val="24"/>
        </w:rPr>
        <w:t>Sortino</w:t>
      </w:r>
      <w:r w:rsidR="004B2278" w:rsidRPr="0006721E">
        <w:rPr>
          <w:rFonts w:ascii="Times New Roman" w:hAnsi="Times New Roman" w:cs="Times New Roman"/>
          <w:noProof/>
          <w:sz w:val="24"/>
          <w:szCs w:val="24"/>
        </w:rPr>
        <w:t xml:space="preserve"> ratio adequately reflects </w:t>
      </w:r>
      <w:r w:rsidR="002908DA">
        <w:rPr>
          <w:rFonts w:ascii="Times New Roman" w:hAnsi="Times New Roman" w:cs="Times New Roman"/>
          <w:noProof/>
          <w:sz w:val="24"/>
          <w:szCs w:val="24"/>
        </w:rPr>
        <w:t xml:space="preserve">the </w:t>
      </w:r>
      <w:r w:rsidR="004B2278" w:rsidRPr="0006721E">
        <w:rPr>
          <w:rFonts w:ascii="Times New Roman" w:hAnsi="Times New Roman" w:cs="Times New Roman"/>
          <w:noProof/>
          <w:sz w:val="24"/>
          <w:szCs w:val="24"/>
        </w:rPr>
        <w:t>risk</w:t>
      </w:r>
      <w:r w:rsidR="002908DA">
        <w:rPr>
          <w:rFonts w:ascii="Times New Roman" w:hAnsi="Times New Roman" w:cs="Times New Roman"/>
          <w:noProof/>
          <w:sz w:val="24"/>
          <w:szCs w:val="24"/>
        </w:rPr>
        <w:t>-</w:t>
      </w:r>
      <w:r w:rsidR="004B2278" w:rsidRPr="0006721E">
        <w:rPr>
          <w:rFonts w:ascii="Times New Roman" w:hAnsi="Times New Roman" w:cs="Times New Roman"/>
          <w:noProof/>
          <w:sz w:val="24"/>
          <w:szCs w:val="24"/>
        </w:rPr>
        <w:t xml:space="preserve">adjusted performance of portfolios with turbulent returns. </w:t>
      </w:r>
    </w:p>
    <w:p w14:paraId="1E8EF3CF" w14:textId="77777777" w:rsidR="005043C4" w:rsidRPr="003D5F78" w:rsidRDefault="005043C4" w:rsidP="005043C4">
      <w:pPr>
        <w:jc w:val="both"/>
        <w:rPr>
          <w:rFonts w:ascii="Times New Roman" w:hAnsi="Times New Roman" w:cs="Times New Roman"/>
          <w:sz w:val="24"/>
          <w:szCs w:val="24"/>
        </w:rPr>
      </w:pPr>
    </w:p>
    <w:p w14:paraId="6D2C09CA" w14:textId="25B9BE41" w:rsidR="005043C4" w:rsidRDefault="005043C4" w:rsidP="005043C4">
      <w:pPr>
        <w:ind w:firstLine="720"/>
        <w:jc w:val="both"/>
        <w:rPr>
          <w:rFonts w:ascii="Times New Roman" w:eastAsiaTheme="minorEastAsia" w:hAnsi="Times New Roman" w:cs="Times New Roman"/>
          <w:sz w:val="28"/>
          <w:szCs w:val="28"/>
        </w:rPr>
      </w:pPr>
      <m:oMath>
        <m:r>
          <w:rPr>
            <w:rFonts w:ascii="Cambria Math" w:hAnsi="Cambria Math" w:cs="Times New Roman"/>
            <w:sz w:val="28"/>
            <w:szCs w:val="28"/>
          </w:rPr>
          <m:t>S=</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f</m:t>
                </m:r>
              </m:sub>
            </m:sSub>
          </m:num>
          <m:den>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d</m:t>
                </m:r>
              </m:sub>
            </m:sSub>
          </m:den>
        </m:f>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w:r w:rsidRPr="005043C4">
        <w:rPr>
          <w:rFonts w:ascii="Times New Roman" w:hAnsi="Times New Roman" w:cs="Times New Roman"/>
          <w:sz w:val="24"/>
          <w:szCs w:val="24"/>
        </w:rPr>
        <w:t>(3)</w:t>
      </w:r>
    </w:p>
    <w:p w14:paraId="28A8624C" w14:textId="08C9DEA6" w:rsidR="005043C4" w:rsidRPr="005043C4" w:rsidRDefault="005043C4" w:rsidP="005043C4">
      <w:pPr>
        <w:jc w:val="both"/>
        <w:rPr>
          <w:rFonts w:ascii="Times New Roman" w:eastAsiaTheme="minorEastAsia" w:hAnsi="Times New Roman" w:cs="Times New Roman"/>
          <w:sz w:val="24"/>
          <w:szCs w:val="24"/>
        </w:rPr>
      </w:pPr>
      <w:r w:rsidRPr="003D5F78">
        <w:rPr>
          <w:rFonts w:ascii="Times New Roman" w:eastAsiaTheme="minorEastAsia" w:hAnsi="Times New Roman" w:cs="Times New Roman"/>
          <w:sz w:val="24"/>
          <w:szCs w:val="24"/>
        </w:rPr>
        <w:t xml:space="preserve">where </w:t>
      </w:r>
      <w:proofErr w:type="spellStart"/>
      <w:r w:rsidRPr="003D5F78">
        <w:rPr>
          <w:rFonts w:ascii="Times New Roman" w:eastAsiaTheme="minorEastAsia" w:hAnsi="Times New Roman" w:cs="Times New Roman"/>
          <w:sz w:val="24"/>
          <w:szCs w:val="24"/>
        </w:rPr>
        <w:t>σ</w:t>
      </w:r>
      <w:r w:rsidRPr="003D5F78">
        <w:rPr>
          <w:rFonts w:ascii="Times New Roman" w:eastAsiaTheme="minorEastAsia" w:hAnsi="Times New Roman" w:cs="Times New Roman"/>
          <w:sz w:val="24"/>
          <w:szCs w:val="24"/>
          <w:vertAlign w:val="subscript"/>
        </w:rPr>
        <w:t>d</w:t>
      </w:r>
      <w:proofErr w:type="spellEnd"/>
      <w:r w:rsidRPr="003D5F78">
        <w:rPr>
          <w:rFonts w:ascii="Times New Roman" w:eastAsiaTheme="minorEastAsia" w:hAnsi="Times New Roman" w:cs="Times New Roman"/>
          <w:sz w:val="24"/>
          <w:szCs w:val="24"/>
        </w:rPr>
        <w:t xml:space="preserve"> corresponds to the</w:t>
      </w:r>
      <w:r>
        <w:rPr>
          <w:rFonts w:ascii="Times New Roman" w:eastAsiaTheme="minorEastAsia" w:hAnsi="Times New Roman" w:cs="Times New Roman"/>
          <w:sz w:val="24"/>
          <w:szCs w:val="24"/>
        </w:rPr>
        <w:t xml:space="preserve"> downside standard deviation. </w:t>
      </w:r>
      <w:r w:rsidRPr="003D5F78">
        <w:rPr>
          <w:rFonts w:ascii="Times New Roman" w:eastAsiaTheme="minorEastAsia" w:hAnsi="Times New Roman" w:cs="Times New Roman"/>
          <w:sz w:val="24"/>
          <w:szCs w:val="24"/>
        </w:rPr>
        <w:t xml:space="preserve"> </w:t>
      </w:r>
    </w:p>
    <w:p w14:paraId="263C3BFB" w14:textId="3836C821" w:rsidR="00FD42A2" w:rsidRPr="0006721E" w:rsidRDefault="00B13E6E" w:rsidP="009B303D">
      <w:pPr>
        <w:spacing w:after="0" w:line="480" w:lineRule="auto"/>
        <w:ind w:firstLine="720"/>
        <w:jc w:val="both"/>
        <w:rPr>
          <w:rFonts w:ascii="Times New Roman" w:hAnsi="Times New Roman" w:cs="Times New Roman"/>
          <w:noProof/>
          <w:sz w:val="24"/>
          <w:szCs w:val="24"/>
        </w:rPr>
      </w:pPr>
      <w:r w:rsidRPr="0006721E">
        <w:rPr>
          <w:rFonts w:ascii="Times New Roman" w:hAnsi="Times New Roman" w:cs="Times New Roman"/>
          <w:noProof/>
          <w:sz w:val="24"/>
          <w:szCs w:val="24"/>
        </w:rPr>
        <w:t>The third measure we use</w:t>
      </w:r>
      <w:r w:rsidR="00442E54">
        <w:rPr>
          <w:rFonts w:ascii="Times New Roman" w:hAnsi="Times New Roman" w:cs="Times New Roman"/>
          <w:noProof/>
          <w:sz w:val="24"/>
          <w:szCs w:val="24"/>
        </w:rPr>
        <w:t>d</w:t>
      </w:r>
      <w:r w:rsidRPr="0006721E">
        <w:rPr>
          <w:rFonts w:ascii="Times New Roman" w:hAnsi="Times New Roman" w:cs="Times New Roman"/>
          <w:noProof/>
          <w:sz w:val="24"/>
          <w:szCs w:val="24"/>
        </w:rPr>
        <w:t xml:space="preserve"> for risk</w:t>
      </w:r>
      <w:r w:rsidR="002908DA">
        <w:rPr>
          <w:rFonts w:ascii="Times New Roman" w:hAnsi="Times New Roman" w:cs="Times New Roman"/>
          <w:noProof/>
          <w:sz w:val="24"/>
          <w:szCs w:val="24"/>
        </w:rPr>
        <w:t>-</w:t>
      </w:r>
      <w:r w:rsidRPr="0006721E">
        <w:rPr>
          <w:rFonts w:ascii="Times New Roman" w:hAnsi="Times New Roman" w:cs="Times New Roman"/>
          <w:noProof/>
          <w:sz w:val="24"/>
          <w:szCs w:val="24"/>
        </w:rPr>
        <w:t>adjusted performance is Jensen’s alpha</w:t>
      </w:r>
      <w:r w:rsidR="009F1A5C" w:rsidRPr="0006721E">
        <w:rPr>
          <w:rFonts w:ascii="Times New Roman" w:hAnsi="Times New Roman" w:cs="Times New Roman"/>
          <w:noProof/>
          <w:sz w:val="24"/>
          <w:szCs w:val="24"/>
        </w:rPr>
        <w:t xml:space="preserve"> (α)</w:t>
      </w:r>
      <w:r w:rsidRPr="0006721E">
        <w:rPr>
          <w:rFonts w:ascii="Times New Roman" w:hAnsi="Times New Roman" w:cs="Times New Roman"/>
          <w:noProof/>
          <w:sz w:val="24"/>
          <w:szCs w:val="24"/>
        </w:rPr>
        <w:t xml:space="preserve"> </w:t>
      </w:r>
      <w:r w:rsidRPr="0006721E">
        <w:rPr>
          <w:rFonts w:ascii="Times New Roman" w:hAnsi="Times New Roman" w:cs="Times New Roman"/>
          <w:noProof/>
          <w:sz w:val="24"/>
          <w:szCs w:val="24"/>
        </w:rPr>
        <w:fldChar w:fldCharType="begin" w:fldLock="1"/>
      </w:r>
      <w:r w:rsidR="00310190" w:rsidRPr="0006721E">
        <w:rPr>
          <w:rFonts w:ascii="Times New Roman" w:hAnsi="Times New Roman" w:cs="Times New Roman"/>
          <w:noProof/>
          <w:sz w:val="24"/>
          <w:szCs w:val="24"/>
        </w:rPr>
        <w:instrText>ADDIN CSL_CITATION {"citationItems":[{"id":"ITEM-1","itemData":{"DOI":"10.2307/2325404","ISSN":"00221082","abstract":"In this paper I derive a risk-adjusted measure of portfolio performance (now known as \"Jensen's Alpha\") that estimates how much a manager's forecasting ability contributes to the fund's returns. The measure is based on the theory of the pricing of capital assets by Sharpe (1964), Lintner (1965a) and Treynor (Undated). I apply the measure to estimate the predictive ability of 115 mutual fund managers in the period 1945-1964—that is their ability to earn returns which are higher than those we would expect given the level of risk of each of the portfolios. The foundations of the model and the properties of the performance measure suggested here are discussed in Section II. The evidence on mutual fund performance indicates not only that these 115 mutual funds were on average not able to predict security prices well enough to outperform a buy-the-market-and-hold policy, but also that there is very little evidence that any individual fund was able to do significantly better than that which we expected from mere random chance. It is also important to note that these conclusions hold even when we measure the fund returns gross of management expenses (that is assume their bookkeeping, research, and other expenses except brokerage commissions were obtained free). Thus on average the funds apparently were not quite successful enough in their trading activities to recoup even their brokerage expenses.","author":[{"dropping-particle":"","family":"Jensen","given":"Michael C.","non-dropping-particle":"","parse-names":false,"suffix":""}],"container-title":"The Journal of Finance","id":"ITEM-1","issued":{"date-parts":[["1968"]]},"title":"The Performance of Mutual Funds in the Period 1945-1964","type":"article-journal"},"uris":["http://www.mendeley.com/documents/?uuid=1a526439-6a27-4b2c-980f-a516a8360713"]}],"mendeley":{"formattedCitation":"(Jensen, 1968)","plainTextFormattedCitation":"(Jensen, 1968)","previouslyFormattedCitation":"(Jensen, 1968)"},"properties":{"noteIndex":0},"schema":"https://github.com/citation-style-language/schema/raw/master/csl-citation.json"}</w:instrText>
      </w:r>
      <w:r w:rsidRPr="0006721E">
        <w:rPr>
          <w:rFonts w:ascii="Times New Roman" w:hAnsi="Times New Roman" w:cs="Times New Roman"/>
          <w:noProof/>
          <w:sz w:val="24"/>
          <w:szCs w:val="24"/>
        </w:rPr>
        <w:fldChar w:fldCharType="separate"/>
      </w:r>
      <w:r w:rsidRPr="0006721E">
        <w:rPr>
          <w:rFonts w:ascii="Times New Roman" w:hAnsi="Times New Roman" w:cs="Times New Roman"/>
          <w:noProof/>
          <w:sz w:val="24"/>
          <w:szCs w:val="24"/>
        </w:rPr>
        <w:t>(Jensen, 1968)</w:t>
      </w:r>
      <w:r w:rsidRPr="0006721E">
        <w:rPr>
          <w:rFonts w:ascii="Times New Roman" w:hAnsi="Times New Roman" w:cs="Times New Roman"/>
          <w:noProof/>
          <w:sz w:val="24"/>
          <w:szCs w:val="24"/>
        </w:rPr>
        <w:fldChar w:fldCharType="end"/>
      </w:r>
      <w:r w:rsidR="00310190" w:rsidRPr="0006721E">
        <w:rPr>
          <w:rFonts w:ascii="Times New Roman" w:hAnsi="Times New Roman" w:cs="Times New Roman"/>
          <w:noProof/>
          <w:sz w:val="24"/>
          <w:szCs w:val="24"/>
        </w:rPr>
        <w:t xml:space="preserve">. This is calculated using </w:t>
      </w:r>
      <w:r w:rsidR="002908DA">
        <w:rPr>
          <w:rFonts w:ascii="Times New Roman" w:hAnsi="Times New Roman" w:cs="Times New Roman"/>
          <w:noProof/>
          <w:sz w:val="24"/>
          <w:szCs w:val="24"/>
        </w:rPr>
        <w:t xml:space="preserve">the </w:t>
      </w:r>
      <w:r w:rsidR="009B303D" w:rsidRPr="0006721E">
        <w:rPr>
          <w:rFonts w:ascii="Times New Roman" w:hAnsi="Times New Roman" w:cs="Times New Roman"/>
          <w:noProof/>
          <w:sz w:val="24"/>
          <w:szCs w:val="24"/>
        </w:rPr>
        <w:t xml:space="preserve">CAPM framework </w:t>
      </w:r>
      <w:r w:rsidR="00FD42A2" w:rsidRPr="0006721E">
        <w:rPr>
          <w:rFonts w:ascii="Times New Roman" w:hAnsi="Times New Roman" w:cs="Times New Roman"/>
          <w:noProof/>
          <w:sz w:val="24"/>
          <w:szCs w:val="24"/>
        </w:rPr>
        <w:t>and represented as follows</w:t>
      </w:r>
      <w:r w:rsidR="009F1A5C" w:rsidRPr="0006721E">
        <w:rPr>
          <w:rFonts w:ascii="Times New Roman" w:hAnsi="Times New Roman" w:cs="Times New Roman"/>
          <w:noProof/>
          <w:sz w:val="24"/>
          <w:szCs w:val="24"/>
        </w:rPr>
        <w:t>.</w:t>
      </w:r>
    </w:p>
    <w:p w14:paraId="6FD5E01A" w14:textId="69C2959A" w:rsidR="009F1A5C" w:rsidRPr="0006721E" w:rsidRDefault="009B303D" w:rsidP="00442E54">
      <w:pPr>
        <w:spacing w:after="0" w:line="480" w:lineRule="auto"/>
        <w:ind w:firstLine="720"/>
        <w:jc w:val="both"/>
        <w:rPr>
          <w:rFonts w:ascii="Times New Roman" w:hAnsi="Times New Roman" w:cs="Times New Roman"/>
          <w:noProof/>
          <w:sz w:val="24"/>
          <w:szCs w:val="24"/>
        </w:rPr>
      </w:pPr>
      <w:r w:rsidRPr="0006721E">
        <w:rPr>
          <w:rFonts w:ascii="Times New Roman" w:hAnsi="Times New Roman" w:cs="Times New Roman"/>
          <w:position w:val="-14"/>
          <w:sz w:val="24"/>
          <w:szCs w:val="24"/>
        </w:rPr>
        <w:object w:dxaOrig="2980" w:dyaOrig="380" w14:anchorId="0C072228">
          <v:shape id="_x0000_i1027" type="#_x0000_t75" style="width:148.5pt;height:20.5pt" o:ole="">
            <v:imagedata r:id="rId11" o:title=""/>
          </v:shape>
          <o:OLEObject Type="Embed" ProgID="Equation.3" ShapeID="_x0000_i1027" DrawAspect="Content" ObjectID="_1694867749" r:id="rId12"/>
        </w:object>
      </w:r>
      <w:r w:rsidR="00A86D17" w:rsidRPr="0006721E">
        <w:rPr>
          <w:rFonts w:ascii="Times New Roman" w:hAnsi="Times New Roman" w:cs="Times New Roman"/>
          <w:sz w:val="24"/>
          <w:szCs w:val="24"/>
        </w:rPr>
        <w:tab/>
      </w:r>
      <w:r w:rsidR="00A86D17" w:rsidRPr="0006721E">
        <w:rPr>
          <w:rFonts w:ascii="Times New Roman" w:hAnsi="Times New Roman" w:cs="Times New Roman"/>
          <w:sz w:val="24"/>
          <w:szCs w:val="24"/>
        </w:rPr>
        <w:tab/>
      </w:r>
      <w:r w:rsidR="00A86D17" w:rsidRPr="0006721E">
        <w:rPr>
          <w:rFonts w:ascii="Times New Roman" w:hAnsi="Times New Roman" w:cs="Times New Roman"/>
          <w:sz w:val="24"/>
          <w:szCs w:val="24"/>
        </w:rPr>
        <w:tab/>
      </w:r>
      <w:r w:rsidR="00A86D17" w:rsidRPr="0006721E">
        <w:rPr>
          <w:rFonts w:ascii="Times New Roman" w:hAnsi="Times New Roman" w:cs="Times New Roman"/>
          <w:sz w:val="24"/>
          <w:szCs w:val="24"/>
        </w:rPr>
        <w:tab/>
      </w:r>
      <w:r w:rsidR="00A86D17" w:rsidRPr="0006721E">
        <w:rPr>
          <w:rFonts w:ascii="Times New Roman" w:hAnsi="Times New Roman" w:cs="Times New Roman"/>
          <w:sz w:val="24"/>
          <w:szCs w:val="24"/>
        </w:rPr>
        <w:tab/>
      </w:r>
      <w:r w:rsidR="00442E54">
        <w:rPr>
          <w:rFonts w:ascii="Times New Roman" w:hAnsi="Times New Roman" w:cs="Times New Roman"/>
          <w:sz w:val="24"/>
          <w:szCs w:val="24"/>
        </w:rPr>
        <w:t xml:space="preserve">              </w:t>
      </w:r>
      <w:r w:rsidR="00A86D17" w:rsidRPr="0006721E">
        <w:rPr>
          <w:rFonts w:ascii="Times New Roman" w:hAnsi="Times New Roman" w:cs="Times New Roman"/>
          <w:sz w:val="24"/>
          <w:szCs w:val="24"/>
        </w:rPr>
        <w:tab/>
        <w:t xml:space="preserve"> (</w:t>
      </w:r>
      <w:r w:rsidR="00442E54">
        <w:rPr>
          <w:rFonts w:ascii="Times New Roman" w:hAnsi="Times New Roman" w:cs="Times New Roman"/>
          <w:sz w:val="24"/>
          <w:szCs w:val="24"/>
        </w:rPr>
        <w:t>4</w:t>
      </w:r>
      <w:r w:rsidR="00A86D17" w:rsidRPr="0006721E">
        <w:rPr>
          <w:rFonts w:ascii="Times New Roman" w:hAnsi="Times New Roman" w:cs="Times New Roman"/>
          <w:sz w:val="24"/>
          <w:szCs w:val="24"/>
        </w:rPr>
        <w:t>)</w:t>
      </w:r>
      <w:r w:rsidR="00B13E6E" w:rsidRPr="0006721E">
        <w:rPr>
          <w:rFonts w:ascii="Times New Roman" w:hAnsi="Times New Roman" w:cs="Times New Roman"/>
          <w:noProof/>
          <w:sz w:val="24"/>
          <w:szCs w:val="24"/>
        </w:rPr>
        <w:t xml:space="preserve"> </w:t>
      </w:r>
    </w:p>
    <w:p w14:paraId="7B033011" w14:textId="68F22B1B" w:rsidR="009D63E1" w:rsidRDefault="009B303D" w:rsidP="00970AC0">
      <w:pPr>
        <w:spacing w:after="0" w:line="480" w:lineRule="auto"/>
        <w:ind w:firstLine="720"/>
        <w:jc w:val="both"/>
        <w:rPr>
          <w:rFonts w:ascii="Times New Roman" w:hAnsi="Times New Roman" w:cs="Times New Roman"/>
          <w:noProof/>
          <w:sz w:val="24"/>
          <w:szCs w:val="24"/>
        </w:rPr>
      </w:pPr>
      <w:r w:rsidRPr="0006721E">
        <w:rPr>
          <w:rFonts w:ascii="Times New Roman" w:hAnsi="Times New Roman" w:cs="Times New Roman"/>
          <w:noProof/>
          <w:sz w:val="24"/>
          <w:szCs w:val="24"/>
        </w:rPr>
        <w:lastRenderedPageBreak/>
        <w:t xml:space="preserve">We proxy </w:t>
      </w:r>
      <w:r w:rsidR="002908DA">
        <w:rPr>
          <w:rFonts w:ascii="Times New Roman" w:hAnsi="Times New Roman" w:cs="Times New Roman"/>
          <w:noProof/>
          <w:sz w:val="24"/>
          <w:szCs w:val="24"/>
        </w:rPr>
        <w:t xml:space="preserve">the </w:t>
      </w:r>
      <w:r w:rsidRPr="0006721E">
        <w:rPr>
          <w:rFonts w:ascii="Times New Roman" w:hAnsi="Times New Roman" w:cs="Times New Roman"/>
          <w:noProof/>
          <w:sz w:val="24"/>
          <w:szCs w:val="24"/>
        </w:rPr>
        <w:t>risk</w:t>
      </w:r>
      <w:r w:rsidR="002908DA">
        <w:rPr>
          <w:rFonts w:ascii="Times New Roman" w:hAnsi="Times New Roman" w:cs="Times New Roman"/>
          <w:noProof/>
          <w:sz w:val="24"/>
          <w:szCs w:val="24"/>
        </w:rPr>
        <w:t>-</w:t>
      </w:r>
      <w:r w:rsidRPr="0006721E">
        <w:rPr>
          <w:rFonts w:ascii="Times New Roman" w:hAnsi="Times New Roman" w:cs="Times New Roman"/>
          <w:noProof/>
          <w:sz w:val="24"/>
          <w:szCs w:val="24"/>
        </w:rPr>
        <w:t>free rate (R</w:t>
      </w:r>
      <w:r w:rsidRPr="0006721E">
        <w:rPr>
          <w:rFonts w:ascii="Times New Roman" w:hAnsi="Times New Roman" w:cs="Times New Roman"/>
          <w:noProof/>
          <w:sz w:val="24"/>
          <w:szCs w:val="24"/>
          <w:vertAlign w:val="subscript"/>
        </w:rPr>
        <w:t>f</w:t>
      </w:r>
      <w:r w:rsidRPr="0006721E">
        <w:rPr>
          <w:rFonts w:ascii="Times New Roman" w:hAnsi="Times New Roman" w:cs="Times New Roman"/>
          <w:noProof/>
          <w:sz w:val="24"/>
          <w:szCs w:val="24"/>
        </w:rPr>
        <w:t xml:space="preserve">) using </w:t>
      </w:r>
      <w:r w:rsidR="002908DA">
        <w:rPr>
          <w:rFonts w:ascii="Times New Roman" w:hAnsi="Times New Roman" w:cs="Times New Roman"/>
          <w:noProof/>
          <w:sz w:val="24"/>
          <w:szCs w:val="24"/>
        </w:rPr>
        <w:t xml:space="preserve">the </w:t>
      </w:r>
      <w:r w:rsidRPr="0006721E">
        <w:rPr>
          <w:rFonts w:ascii="Times New Roman" w:hAnsi="Times New Roman" w:cs="Times New Roman"/>
          <w:noProof/>
          <w:sz w:val="24"/>
          <w:szCs w:val="24"/>
        </w:rPr>
        <w:t xml:space="preserve">yield on </w:t>
      </w:r>
      <w:r w:rsidR="00A86D17" w:rsidRPr="0006721E">
        <w:rPr>
          <w:rFonts w:ascii="Times New Roman" w:hAnsi="Times New Roman" w:cs="Times New Roman"/>
          <w:noProof/>
          <w:sz w:val="24"/>
          <w:szCs w:val="24"/>
        </w:rPr>
        <w:t>short</w:t>
      </w:r>
      <w:r w:rsidR="002908DA">
        <w:rPr>
          <w:rFonts w:ascii="Times New Roman" w:hAnsi="Times New Roman" w:cs="Times New Roman"/>
          <w:noProof/>
          <w:sz w:val="24"/>
          <w:szCs w:val="24"/>
        </w:rPr>
        <w:t>-term g</w:t>
      </w:r>
      <w:r w:rsidR="00A86D17" w:rsidRPr="0006721E">
        <w:rPr>
          <w:rFonts w:ascii="Times New Roman" w:hAnsi="Times New Roman" w:cs="Times New Roman"/>
          <w:noProof/>
          <w:sz w:val="24"/>
          <w:szCs w:val="24"/>
        </w:rPr>
        <w:t xml:space="preserve">overnment bonds for each country, while </w:t>
      </w:r>
      <w:r w:rsidR="002908DA">
        <w:rPr>
          <w:rFonts w:ascii="Times New Roman" w:hAnsi="Times New Roman" w:cs="Times New Roman"/>
          <w:noProof/>
          <w:sz w:val="24"/>
          <w:szCs w:val="24"/>
        </w:rPr>
        <w:t xml:space="preserve">the </w:t>
      </w:r>
      <w:r w:rsidR="00A86D17" w:rsidRPr="0006721E">
        <w:rPr>
          <w:rFonts w:ascii="Times New Roman" w:hAnsi="Times New Roman" w:cs="Times New Roman"/>
          <w:noProof/>
          <w:sz w:val="24"/>
          <w:szCs w:val="24"/>
        </w:rPr>
        <w:t xml:space="preserve">market risk premium is based on </w:t>
      </w:r>
      <w:r w:rsidR="002908DA">
        <w:rPr>
          <w:rFonts w:ascii="Times New Roman" w:hAnsi="Times New Roman" w:cs="Times New Roman"/>
          <w:noProof/>
          <w:sz w:val="24"/>
          <w:szCs w:val="24"/>
        </w:rPr>
        <w:t xml:space="preserve">the </w:t>
      </w:r>
      <w:r w:rsidR="00A86D17" w:rsidRPr="0006721E">
        <w:rPr>
          <w:rFonts w:ascii="Times New Roman" w:hAnsi="Times New Roman" w:cs="Times New Roman"/>
          <w:noProof/>
          <w:sz w:val="24"/>
          <w:szCs w:val="24"/>
        </w:rPr>
        <w:t>local representative market index.</w:t>
      </w:r>
      <w:r w:rsidR="009D63E1">
        <w:rPr>
          <w:rFonts w:ascii="Times New Roman" w:hAnsi="Times New Roman" w:cs="Times New Roman"/>
          <w:noProof/>
          <w:sz w:val="24"/>
          <w:szCs w:val="24"/>
        </w:rPr>
        <w:t xml:space="preserve"> The country-wise choice of the market index and </w:t>
      </w:r>
      <w:r w:rsidR="004C2547">
        <w:rPr>
          <w:rFonts w:ascii="Times New Roman" w:hAnsi="Times New Roman" w:cs="Times New Roman"/>
          <w:noProof/>
          <w:sz w:val="24"/>
          <w:szCs w:val="24"/>
        </w:rPr>
        <w:t xml:space="preserve">the </w:t>
      </w:r>
      <w:r w:rsidR="009D63E1">
        <w:rPr>
          <w:rFonts w:ascii="Times New Roman" w:hAnsi="Times New Roman" w:cs="Times New Roman"/>
          <w:noProof/>
          <w:sz w:val="24"/>
          <w:szCs w:val="24"/>
        </w:rPr>
        <w:t xml:space="preserve">risk-free rate is presented in </w:t>
      </w:r>
      <w:r w:rsidR="00442E54">
        <w:rPr>
          <w:rFonts w:ascii="Times New Roman" w:hAnsi="Times New Roman" w:cs="Times New Roman"/>
          <w:noProof/>
          <w:sz w:val="24"/>
          <w:szCs w:val="24"/>
        </w:rPr>
        <w:t>T</w:t>
      </w:r>
      <w:r w:rsidR="009D63E1">
        <w:rPr>
          <w:rFonts w:ascii="Times New Roman" w:hAnsi="Times New Roman" w:cs="Times New Roman"/>
          <w:noProof/>
          <w:sz w:val="24"/>
          <w:szCs w:val="24"/>
        </w:rPr>
        <w:t>able 3.</w:t>
      </w:r>
      <w:r w:rsidR="00A56C64" w:rsidRPr="0006721E">
        <w:rPr>
          <w:rFonts w:ascii="Times New Roman" w:hAnsi="Times New Roman" w:cs="Times New Roman"/>
          <w:noProof/>
          <w:sz w:val="24"/>
          <w:szCs w:val="24"/>
        </w:rPr>
        <w:t xml:space="preserve"> The adjusted Sharpe, Sortino</w:t>
      </w:r>
      <w:r w:rsidR="002908DA">
        <w:rPr>
          <w:rFonts w:ascii="Times New Roman" w:hAnsi="Times New Roman" w:cs="Times New Roman"/>
          <w:noProof/>
          <w:sz w:val="24"/>
          <w:szCs w:val="24"/>
        </w:rPr>
        <w:t>,</w:t>
      </w:r>
      <w:r w:rsidR="00A56C64" w:rsidRPr="0006721E">
        <w:rPr>
          <w:rFonts w:ascii="Times New Roman" w:hAnsi="Times New Roman" w:cs="Times New Roman"/>
          <w:noProof/>
          <w:sz w:val="24"/>
          <w:szCs w:val="24"/>
        </w:rPr>
        <w:t xml:space="preserve"> and Jensen’s alpha are estimated for Islamic and conventional funds for the </w:t>
      </w:r>
      <w:r w:rsidR="002908DA">
        <w:rPr>
          <w:rFonts w:ascii="Times New Roman" w:hAnsi="Times New Roman" w:cs="Times New Roman"/>
          <w:noProof/>
          <w:sz w:val="24"/>
          <w:szCs w:val="24"/>
        </w:rPr>
        <w:t>entir</w:t>
      </w:r>
      <w:r w:rsidR="00A56C64" w:rsidRPr="0006721E">
        <w:rPr>
          <w:rFonts w:ascii="Times New Roman" w:hAnsi="Times New Roman" w:cs="Times New Roman"/>
          <w:noProof/>
          <w:sz w:val="24"/>
          <w:szCs w:val="24"/>
        </w:rPr>
        <w:t>e period a</w:t>
      </w:r>
      <w:r w:rsidR="002908DA">
        <w:rPr>
          <w:rFonts w:ascii="Times New Roman" w:hAnsi="Times New Roman" w:cs="Times New Roman"/>
          <w:noProof/>
          <w:sz w:val="24"/>
          <w:szCs w:val="24"/>
        </w:rPr>
        <w:t>nd</w:t>
      </w:r>
      <w:r w:rsidR="00A56C64" w:rsidRPr="0006721E">
        <w:rPr>
          <w:rFonts w:ascii="Times New Roman" w:hAnsi="Times New Roman" w:cs="Times New Roman"/>
          <w:noProof/>
          <w:sz w:val="24"/>
          <w:szCs w:val="24"/>
        </w:rPr>
        <w:t xml:space="preserve"> each stage</w:t>
      </w:r>
      <w:r w:rsidR="002F5BFC" w:rsidRPr="0006721E">
        <w:rPr>
          <w:rFonts w:ascii="Times New Roman" w:hAnsi="Times New Roman" w:cs="Times New Roman"/>
          <w:noProof/>
          <w:sz w:val="24"/>
          <w:szCs w:val="24"/>
        </w:rPr>
        <w:t xml:space="preserve"> of the outbreak</w:t>
      </w:r>
      <w:r w:rsidR="00A56C64" w:rsidRPr="0006721E">
        <w:rPr>
          <w:rFonts w:ascii="Times New Roman" w:hAnsi="Times New Roman" w:cs="Times New Roman"/>
          <w:noProof/>
          <w:sz w:val="24"/>
          <w:szCs w:val="24"/>
        </w:rPr>
        <w:t>.</w:t>
      </w:r>
    </w:p>
    <w:p w14:paraId="4457E84C" w14:textId="40912B13" w:rsidR="00E544F6" w:rsidRDefault="009D63E1" w:rsidP="009D63E1">
      <w:pPr>
        <w:spacing w:after="0" w:line="480" w:lineRule="auto"/>
        <w:ind w:left="2880" w:firstLine="720"/>
        <w:jc w:val="both"/>
        <w:rPr>
          <w:rFonts w:ascii="Times New Roman" w:hAnsi="Times New Roman" w:cs="Times New Roman"/>
          <w:noProof/>
          <w:sz w:val="24"/>
          <w:szCs w:val="24"/>
        </w:rPr>
      </w:pPr>
      <w:r>
        <w:rPr>
          <w:rFonts w:ascii="Times New Roman" w:hAnsi="Times New Roman" w:cs="Times New Roman"/>
          <w:noProof/>
          <w:sz w:val="24"/>
          <w:szCs w:val="24"/>
        </w:rPr>
        <w:t>[Table 3 here]</w:t>
      </w:r>
      <w:r w:rsidR="00A56C64" w:rsidRPr="0006721E">
        <w:rPr>
          <w:rFonts w:ascii="Times New Roman" w:hAnsi="Times New Roman" w:cs="Times New Roman"/>
          <w:noProof/>
          <w:sz w:val="24"/>
          <w:szCs w:val="24"/>
        </w:rPr>
        <w:t xml:space="preserve"> </w:t>
      </w:r>
      <w:r w:rsidR="004B2278" w:rsidRPr="0006721E">
        <w:rPr>
          <w:rFonts w:ascii="Times New Roman" w:hAnsi="Times New Roman" w:cs="Times New Roman"/>
          <w:noProof/>
          <w:sz w:val="24"/>
          <w:szCs w:val="24"/>
        </w:rPr>
        <w:t xml:space="preserve"> </w:t>
      </w:r>
      <w:r w:rsidR="009A4D02" w:rsidRPr="0006721E">
        <w:rPr>
          <w:rFonts w:ascii="Times New Roman" w:hAnsi="Times New Roman" w:cs="Times New Roman"/>
          <w:noProof/>
          <w:sz w:val="24"/>
          <w:szCs w:val="24"/>
        </w:rPr>
        <w:t xml:space="preserve"> </w:t>
      </w:r>
      <w:r w:rsidR="00A600FA" w:rsidRPr="0006721E">
        <w:rPr>
          <w:rFonts w:ascii="Times New Roman" w:hAnsi="Times New Roman" w:cs="Times New Roman"/>
          <w:noProof/>
          <w:sz w:val="24"/>
          <w:szCs w:val="24"/>
        </w:rPr>
        <w:t xml:space="preserve"> </w:t>
      </w:r>
      <w:r w:rsidR="00135139" w:rsidRPr="0006721E">
        <w:rPr>
          <w:rFonts w:ascii="Times New Roman" w:hAnsi="Times New Roman" w:cs="Times New Roman"/>
          <w:noProof/>
          <w:sz w:val="24"/>
          <w:szCs w:val="24"/>
        </w:rPr>
        <w:t xml:space="preserve"> </w:t>
      </w:r>
      <w:r w:rsidR="00E544F6" w:rsidRPr="0006721E">
        <w:rPr>
          <w:rFonts w:ascii="Times New Roman" w:hAnsi="Times New Roman" w:cs="Times New Roman"/>
          <w:noProof/>
          <w:sz w:val="24"/>
          <w:szCs w:val="24"/>
        </w:rPr>
        <w:t xml:space="preserve"> </w:t>
      </w:r>
    </w:p>
    <w:p w14:paraId="7B7789A4" w14:textId="77777777" w:rsidR="005979E1" w:rsidRDefault="005979E1" w:rsidP="002307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Stochastic Dominance of Islamic Funds</w:t>
      </w:r>
    </w:p>
    <w:p w14:paraId="33E85735" w14:textId="399C0952" w:rsidR="005979E1" w:rsidRPr="005979E1" w:rsidRDefault="005979E1" w:rsidP="005979E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17012D">
        <w:rPr>
          <w:rFonts w:ascii="Times New Roman" w:hAnsi="Times New Roman" w:cs="Times New Roman"/>
          <w:sz w:val="24"/>
          <w:szCs w:val="24"/>
        </w:rPr>
        <w:t>The second method we use is</w:t>
      </w:r>
      <w:r w:rsidRPr="005979E1">
        <w:rPr>
          <w:rFonts w:ascii="Times New Roman" w:hAnsi="Times New Roman" w:cs="Times New Roman"/>
          <w:sz w:val="24"/>
          <w:szCs w:val="24"/>
        </w:rPr>
        <w:t xml:space="preserve"> the stochastic dominance approach (SD). As argued by </w:t>
      </w:r>
      <w:r w:rsidRPr="005979E1">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{"citationItems":[{"id":"ITEM-1","itemData":{"DOI":"10.1016/j.jempfin.2003.06.002","ISSN":"09275398","abstract":"We make the choice between mutual funds realistic and rigorous by incorporating (i) unconventional non-expected utility theories implying four desirable properties (4DPs) of utility functions, and (ii) the fourth-order stochastic dominance (4SD). Kimball's (Econometrica 58 (1990) 53) diminishing prudence is shown to need 4SD. A new weighting incorporates 4DPs into various criteria including the Sharpe ratio. We use 1281 mutual funds rated with one to five stars by Morningstar, a trapezoidal approximation for evaluating 4SD and propose a new cumulative 4SD measure with superior properties for statistical inference. An appendix describes a new maximum entropy (ME) bootstrap for dependent time series. © 2004 Elsevier B.V. All rights reserved.","author":[{"dropping-particle":"","family":"Vinod","given":"H. D.","non-dropping-particle":"","parse-names":false,"suffix":""}],"container-title":"Journal of Empirical Finance","id":"ITEM-1","issue":"3","issued":{"date-parts":[["2004","6","1"]]},"page":"353-377","publisher":"North-Holland","title":"Ranking mutual funds using unconventional utility theory and stochastic dominance","type":"article-journal","volume":"11"},"uris":["http://www.mendeley.com/documents/?uuid=a44f6aee-ed8f-3dce-9016-5e69fcb92552"]}],"mendeley":{"formattedCitation":"(Vinod, 2004)","manualFormatting":"Vinod (2004)","plainTextFormattedCitation":"(Vinod, 2004)","previouslyFormattedCitation":"(Vinod, 2004)"},"properties":{"noteIndex":0},"schema":"https://github.com/citation-style-language/schema/raw/master/csl-citation.json"}</w:instrText>
      </w:r>
      <w:r w:rsidRPr="005979E1">
        <w:rPr>
          <w:rFonts w:ascii="Times New Roman" w:hAnsi="Times New Roman" w:cs="Times New Roman"/>
          <w:sz w:val="24"/>
          <w:szCs w:val="24"/>
        </w:rPr>
        <w:fldChar w:fldCharType="separate"/>
      </w:r>
      <w:r w:rsidRPr="005979E1">
        <w:rPr>
          <w:rFonts w:ascii="Times New Roman" w:hAnsi="Times New Roman" w:cs="Times New Roman"/>
          <w:noProof/>
          <w:sz w:val="24"/>
          <w:szCs w:val="24"/>
        </w:rPr>
        <w:t xml:space="preserve">Vinod </w:t>
      </w:r>
      <w:r w:rsidR="00442E54">
        <w:rPr>
          <w:rFonts w:ascii="Times New Roman" w:hAnsi="Times New Roman" w:cs="Times New Roman"/>
          <w:noProof/>
          <w:sz w:val="24"/>
          <w:szCs w:val="24"/>
        </w:rPr>
        <w:t>(</w:t>
      </w:r>
      <w:r w:rsidRPr="005979E1">
        <w:rPr>
          <w:rFonts w:ascii="Times New Roman" w:hAnsi="Times New Roman" w:cs="Times New Roman"/>
          <w:noProof/>
          <w:sz w:val="24"/>
          <w:szCs w:val="24"/>
        </w:rPr>
        <w:t>2004)</w:t>
      </w:r>
      <w:r w:rsidRPr="005979E1">
        <w:rPr>
          <w:rFonts w:ascii="Times New Roman" w:hAnsi="Times New Roman" w:cs="Times New Roman"/>
          <w:sz w:val="24"/>
          <w:szCs w:val="24"/>
        </w:rPr>
        <w:fldChar w:fldCharType="end"/>
      </w:r>
      <w:r w:rsidRPr="005979E1">
        <w:rPr>
          <w:rFonts w:ascii="Times New Roman" w:hAnsi="Times New Roman" w:cs="Times New Roman"/>
          <w:sz w:val="24"/>
          <w:szCs w:val="24"/>
        </w:rPr>
        <w:t xml:space="preserve">, </w:t>
      </w:r>
      <w:r w:rsidRPr="005979E1">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{"citationItems":[{"id":"ITEM-1","itemData":{"DOI":"10.1016/j.pacfin.2007.07.001","ISSN":"0927538X","abstract":"We employ the stochastic dominance approach that utilizes the entire return distribution to rank the performance of Asian hedge funds as traditional mean-variance and CAPM approaches could be inappropriate given the nature of non-normal returns. We find both first-order and higher-order stochastic dominance relationships amongst the funds and conclude that investors would be better off by investing in the first-order dominant funds to maximize their expected wealth. By investing in higher-order dominant funds, risk-averse investors can maximize their expected utilities but not their wealth. In addition, we find the common characteristic for most pairs of funds is that one fund is preferred to another in the negative domain whereas the preference reverses in the positive domain. We conclude that the stochastic dominance approach is more appropriate compared with traditional approaches as a filter in hedge fund selection. Compared with traditional approaches, the SD approach, not only is assumption free, but also provides greater insights to the performance and risk inherent in a hedge fund's track record. © 2007 Elsevier B.V. All rights reserved.","author":[{"dropping-particle":"","family":"Wong","given":"Wing Keung","non-dropping-particle":"","parse-names":false,"suffix":""},{"dropping-particle":"","family":"Phoon","given":"Kok Fai","non-dropping-particle":"","parse-names":false,"suffix":""},{"dropping-particle":"","family":"Lean","given":"Hooi Hooi","non-dropping-particle":"","parse-names":false,"suffix":""}],"container-title":"Pacific Basin Finance Journal","id":"ITEM-1","issue":"3","issued":{"date-parts":[["2008","6","1"]]},"page":"204-223","publisher":"North-Holland","title":"Stochastic dominance analysis of Asian hedge funds","type":"article-journal","volume":"16"},"uris":["http://www.mendeley.com/documents/?uuid=3d27dbe8-6702-3793-a4c7-a9573dbc3ba0"]}],"mendeley":{"formattedCitation":"(Wong et al., 2008)","manualFormatting":"Wong et al., (2008)","plainTextFormattedCitation":"(Wong et al., 2008)","previouslyFormattedCitation":"(Wong et al., 2008)"},"properties":{"noteIndex":0},"schema":"https://github.com/citation-style-language/schema/raw/master/csl-citation.json"}</w:instrText>
      </w:r>
      <w:r w:rsidRPr="005979E1">
        <w:rPr>
          <w:rFonts w:ascii="Times New Roman" w:hAnsi="Times New Roman" w:cs="Times New Roman"/>
          <w:sz w:val="24"/>
          <w:szCs w:val="24"/>
        </w:rPr>
        <w:fldChar w:fldCharType="separate"/>
      </w:r>
      <w:r w:rsidRPr="005979E1">
        <w:rPr>
          <w:rFonts w:ascii="Times New Roman" w:hAnsi="Times New Roman" w:cs="Times New Roman"/>
          <w:noProof/>
          <w:sz w:val="24"/>
          <w:szCs w:val="24"/>
        </w:rPr>
        <w:t xml:space="preserve">Wong et al., </w:t>
      </w:r>
      <w:r w:rsidR="00442E54">
        <w:rPr>
          <w:rFonts w:ascii="Times New Roman" w:hAnsi="Times New Roman" w:cs="Times New Roman"/>
          <w:noProof/>
          <w:sz w:val="24"/>
          <w:szCs w:val="24"/>
        </w:rPr>
        <w:t>(</w:t>
      </w:r>
      <w:r w:rsidRPr="005979E1">
        <w:rPr>
          <w:rFonts w:ascii="Times New Roman" w:hAnsi="Times New Roman" w:cs="Times New Roman"/>
          <w:noProof/>
          <w:sz w:val="24"/>
          <w:szCs w:val="24"/>
        </w:rPr>
        <w:t>2008)</w:t>
      </w:r>
      <w:r w:rsidRPr="005979E1">
        <w:rPr>
          <w:rFonts w:ascii="Times New Roman" w:hAnsi="Times New Roman" w:cs="Times New Roman"/>
          <w:sz w:val="24"/>
          <w:szCs w:val="24"/>
        </w:rPr>
        <w:fldChar w:fldCharType="end"/>
      </w:r>
      <w:r w:rsidRPr="005979E1">
        <w:rPr>
          <w:rFonts w:ascii="Times New Roman" w:hAnsi="Times New Roman" w:cs="Times New Roman"/>
          <w:sz w:val="24"/>
          <w:szCs w:val="24"/>
        </w:rPr>
        <w:t xml:space="preserve">, and </w:t>
      </w:r>
      <w:r w:rsidRPr="005979E1">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{"citationItems":[{"id":"ITEM-1","itemData":{"DOI":"10.1016/j.pacfin.2013.09.003","ISSN":"0927538X","abstract":"This paper uses stochastic dominance (SD) analysis to examine whether Islamic stock indexes outperform conventional stock indexes by comparing nine Dow Jones Islamic indexes to their Dow Jones conventional counterparts: Asia Pacific, Canadian, Developed Country, Emerging Markets, European, Global, Japanese, UK, and US indexes. Over the periods of 1996-2012 and 2001-2006, we find that all conventional indexes stochastically dominate Islamic indexes at second and third orders in all markets except the European market. However, the European, US, and global Islamic stock indexes dominate conventional ones during the 2007-2012 period. The results indicate that Islamic indexes outperform their conventional peers during the recent global financial crisis. Thus, Islamic investing performs better than conventional investing during meltdown economy. © 2013 Elsevier B.V.","author":[{"dropping-particle":"","family":"Al-Khazali","given":"Osamah","non-dropping-particle":"","parse-names":false,"suffix":""},{"dropping-particle":"","family":"Lean","given":"Hooi Hooi","non-dropping-particle":"","parse-names":false,"suffix":""},{"dropping-particle":"","family":"Samet","given":"Anis","non-dropping-particle":"","parse-names":false,"suffix":""}],"container-title":"Pacific Basin Finance Journal","id":"ITEM-1","issued":{"date-parts":[["2014","6","1"]]},"page":"29-46","publisher":"Elsevier","title":"Do Islamic stock indexes outperform conventional stock indexes? A stochastic dominance approach","type":"article-journal","volume":"28"},"uris":["http://www.mendeley.com/documents/?uuid=c21144f2-d4ed-3164-9593-f61b95da9f51"]}],"mendeley":{"formattedCitation":"(Al-Khazali et al., 2014)","manualFormatting":"Al-Khazali et al.(2014)","plainTextFormattedCitation":"(Al-Khazali et al., 2014)","previouslyFormattedCitation":"(Al-Khazali et al., 2014)"},"properties":{"noteIndex":0},"schema":"https://github.com/citation-style-language/schema/raw/master/csl-citation.json"}</w:instrText>
      </w:r>
      <w:r w:rsidRPr="005979E1">
        <w:rPr>
          <w:rFonts w:ascii="Times New Roman" w:hAnsi="Times New Roman" w:cs="Times New Roman"/>
          <w:sz w:val="24"/>
          <w:szCs w:val="24"/>
        </w:rPr>
        <w:fldChar w:fldCharType="separate"/>
      </w:r>
      <w:r w:rsidRPr="005979E1">
        <w:rPr>
          <w:rFonts w:ascii="Times New Roman" w:hAnsi="Times New Roman" w:cs="Times New Roman"/>
          <w:noProof/>
          <w:sz w:val="24"/>
          <w:szCs w:val="24"/>
        </w:rPr>
        <w:t>Al-Khazali et al.</w:t>
      </w:r>
      <w:r w:rsidR="00442E54">
        <w:rPr>
          <w:rFonts w:ascii="Times New Roman" w:hAnsi="Times New Roman" w:cs="Times New Roman"/>
          <w:noProof/>
          <w:sz w:val="24"/>
          <w:szCs w:val="24"/>
        </w:rPr>
        <w:t>(</w:t>
      </w:r>
      <w:r w:rsidRPr="005979E1">
        <w:rPr>
          <w:rFonts w:ascii="Times New Roman" w:hAnsi="Times New Roman" w:cs="Times New Roman"/>
          <w:noProof/>
          <w:sz w:val="24"/>
          <w:szCs w:val="24"/>
        </w:rPr>
        <w:t>2014)</w:t>
      </w:r>
      <w:r w:rsidRPr="005979E1">
        <w:rPr>
          <w:rFonts w:ascii="Times New Roman" w:hAnsi="Times New Roman" w:cs="Times New Roman"/>
          <w:sz w:val="24"/>
          <w:szCs w:val="24"/>
        </w:rPr>
        <w:fldChar w:fldCharType="end"/>
      </w:r>
      <w:r w:rsidRPr="005979E1">
        <w:rPr>
          <w:rFonts w:ascii="Times New Roman" w:hAnsi="Times New Roman" w:cs="Times New Roman"/>
          <w:sz w:val="24"/>
          <w:szCs w:val="24"/>
        </w:rPr>
        <w:t xml:space="preserve">, the SD does not require funds’ returns to be normally distributed and can help in ranking the funds without making an assumption about the distribution. In essence, the SD relies on the probability density function of conventional and Islamic funds’ returns. We express the returns of </w:t>
      </w:r>
      <w:proofErr w:type="spellStart"/>
      <w:r w:rsidRPr="005979E1">
        <w:rPr>
          <w:rFonts w:ascii="Times New Roman" w:hAnsi="Times New Roman" w:cs="Times New Roman"/>
          <w:sz w:val="24"/>
          <w:szCs w:val="24"/>
        </w:rPr>
        <w:t>Islmic</w:t>
      </w:r>
      <w:proofErr w:type="spellEnd"/>
      <w:r w:rsidR="005043C4">
        <w:rPr>
          <w:rFonts w:ascii="Times New Roman" w:hAnsi="Times New Roman" w:cs="Times New Roman"/>
          <w:sz w:val="24"/>
          <w:szCs w:val="24"/>
        </w:rPr>
        <w:t xml:space="preserve"> </w:t>
      </w:r>
      <w:r w:rsidRPr="005979E1">
        <w:rPr>
          <w:rFonts w:ascii="Times New Roman" w:hAnsi="Times New Roman" w:cs="Times New Roman"/>
          <w:sz w:val="24"/>
          <w:szCs w:val="24"/>
        </w:rPr>
        <w:t>(I) and Conventional funds as fi(x</w:t>
      </w:r>
      <w:proofErr w:type="gramStart"/>
      <w:r w:rsidRPr="005979E1">
        <w:rPr>
          <w:rFonts w:ascii="Times New Roman" w:hAnsi="Times New Roman" w:cs="Times New Roman"/>
          <w:sz w:val="24"/>
          <w:szCs w:val="24"/>
        </w:rPr>
        <w:t>),fc</w:t>
      </w:r>
      <w:proofErr w:type="gramEnd"/>
      <w:r w:rsidRPr="005979E1">
        <w:rPr>
          <w:rFonts w:ascii="Times New Roman" w:hAnsi="Times New Roman" w:cs="Times New Roman"/>
          <w:sz w:val="24"/>
          <w:szCs w:val="24"/>
        </w:rPr>
        <w:t>(x) having a cumulative distribution function of Fi(x),Fc(x). The Islamic funds will dominate (first-order) conventional funds if Fi(x)-Fc(x)≤0. This relationship will suggest that the performance utility of Islamic funds is superior to their conventional peers. Similarly, second-order dominance will require ∫</w:t>
      </w:r>
      <w:r w:rsidRPr="005979E1">
        <w:rPr>
          <w:rFonts w:ascii="Cambria Math" w:hAnsi="Cambria Math" w:cs="Cambria Math"/>
          <w:sz w:val="24"/>
          <w:szCs w:val="24"/>
        </w:rPr>
        <w:t>𝐹</w:t>
      </w:r>
      <w:proofErr w:type="spellStart"/>
      <w:r w:rsidRPr="005979E1">
        <w:rPr>
          <w:rFonts w:ascii="Times New Roman" w:hAnsi="Times New Roman" w:cs="Times New Roman"/>
          <w:sz w:val="24"/>
          <w:szCs w:val="24"/>
        </w:rPr>
        <w:t>i</w:t>
      </w:r>
      <w:proofErr w:type="spellEnd"/>
      <w:r w:rsidRPr="005979E1">
        <w:rPr>
          <w:rFonts w:ascii="Times New Roman" w:hAnsi="Times New Roman" w:cs="Times New Roman"/>
          <w:sz w:val="24"/>
          <w:szCs w:val="24"/>
        </w:rPr>
        <w:t>(</w:t>
      </w:r>
      <w:r w:rsidRPr="005979E1">
        <w:rPr>
          <w:rFonts w:ascii="Cambria Math" w:hAnsi="Cambria Math" w:cs="Cambria Math"/>
          <w:sz w:val="24"/>
          <w:szCs w:val="24"/>
        </w:rPr>
        <w:t>𝑥</w:t>
      </w:r>
      <w:r w:rsidRPr="005979E1">
        <w:rPr>
          <w:rFonts w:ascii="Times New Roman" w:hAnsi="Times New Roman" w:cs="Times New Roman"/>
          <w:sz w:val="24"/>
          <w:szCs w:val="24"/>
        </w:rPr>
        <w:t>)−∫</w:t>
      </w:r>
      <w:r w:rsidRPr="005979E1">
        <w:rPr>
          <w:rFonts w:ascii="Cambria Math" w:hAnsi="Cambria Math" w:cs="Cambria Math"/>
          <w:sz w:val="24"/>
          <w:szCs w:val="24"/>
        </w:rPr>
        <w:t>𝐹</w:t>
      </w:r>
      <w:r w:rsidRPr="005979E1">
        <w:rPr>
          <w:rFonts w:ascii="Times New Roman" w:hAnsi="Times New Roman" w:cs="Times New Roman"/>
          <w:sz w:val="24"/>
          <w:szCs w:val="24"/>
        </w:rPr>
        <w:t>c(</w:t>
      </w:r>
      <w:r w:rsidRPr="005979E1">
        <w:rPr>
          <w:rFonts w:ascii="Cambria Math" w:hAnsi="Cambria Math" w:cs="Cambria Math"/>
          <w:sz w:val="24"/>
          <w:szCs w:val="24"/>
        </w:rPr>
        <w:t>𝑥</w:t>
      </w:r>
      <w:r w:rsidRPr="005979E1">
        <w:rPr>
          <w:rFonts w:ascii="Times New Roman" w:hAnsi="Times New Roman" w:cs="Times New Roman"/>
          <w:sz w:val="24"/>
          <w:szCs w:val="24"/>
        </w:rPr>
        <w:t>)≤0</w:t>
      </w:r>
      <w:r w:rsidR="00442E54">
        <w:rPr>
          <w:rFonts w:ascii="Times New Roman" w:hAnsi="Times New Roman" w:cs="Times New Roman"/>
          <w:sz w:val="24"/>
          <w:szCs w:val="24"/>
        </w:rPr>
        <w:t>,</w:t>
      </w:r>
      <w:r w:rsidRPr="005979E1">
        <w:rPr>
          <w:rFonts w:ascii="Times New Roman" w:hAnsi="Times New Roman" w:cs="Times New Roman"/>
          <w:sz w:val="24"/>
          <w:szCs w:val="24"/>
        </w:rPr>
        <w:t xml:space="preserve"> while the third order SD will be present if ∫∫</w:t>
      </w:r>
      <w:r w:rsidRPr="005979E1">
        <w:rPr>
          <w:rFonts w:ascii="Cambria Math" w:hAnsi="Cambria Math" w:cs="Cambria Math"/>
          <w:sz w:val="24"/>
          <w:szCs w:val="24"/>
        </w:rPr>
        <w:t>𝐹</w:t>
      </w:r>
      <w:proofErr w:type="spellStart"/>
      <w:r w:rsidRPr="005979E1">
        <w:rPr>
          <w:rFonts w:ascii="Times New Roman" w:hAnsi="Times New Roman" w:cs="Times New Roman"/>
          <w:sz w:val="24"/>
          <w:szCs w:val="24"/>
        </w:rPr>
        <w:t>i</w:t>
      </w:r>
      <w:proofErr w:type="spellEnd"/>
      <w:r w:rsidRPr="005979E1">
        <w:rPr>
          <w:rFonts w:ascii="Times New Roman" w:hAnsi="Times New Roman" w:cs="Times New Roman"/>
          <w:sz w:val="24"/>
          <w:szCs w:val="24"/>
        </w:rPr>
        <w:t>(</w:t>
      </w:r>
      <w:r w:rsidRPr="005979E1">
        <w:rPr>
          <w:rFonts w:ascii="Cambria Math" w:hAnsi="Cambria Math" w:cs="Cambria Math"/>
          <w:sz w:val="24"/>
          <w:szCs w:val="24"/>
        </w:rPr>
        <w:t>𝑥</w:t>
      </w:r>
      <w:r w:rsidRPr="005979E1">
        <w:rPr>
          <w:rFonts w:ascii="Times New Roman" w:hAnsi="Times New Roman" w:cs="Times New Roman"/>
          <w:sz w:val="24"/>
          <w:szCs w:val="24"/>
        </w:rPr>
        <w:t>)−∫∫</w:t>
      </w:r>
      <w:r w:rsidRPr="005979E1">
        <w:rPr>
          <w:rFonts w:ascii="Cambria Math" w:hAnsi="Cambria Math" w:cs="Cambria Math"/>
          <w:sz w:val="24"/>
          <w:szCs w:val="24"/>
        </w:rPr>
        <w:t>𝐹</w:t>
      </w:r>
      <w:r w:rsidRPr="005979E1">
        <w:rPr>
          <w:rFonts w:ascii="Times New Roman" w:hAnsi="Times New Roman" w:cs="Times New Roman"/>
          <w:sz w:val="24"/>
          <w:szCs w:val="24"/>
        </w:rPr>
        <w:t>c(</w:t>
      </w:r>
      <w:r w:rsidRPr="005979E1">
        <w:rPr>
          <w:rFonts w:ascii="Cambria Math" w:hAnsi="Cambria Math" w:cs="Cambria Math"/>
          <w:sz w:val="24"/>
          <w:szCs w:val="24"/>
        </w:rPr>
        <w:t>𝑥</w:t>
      </w:r>
      <w:r w:rsidRPr="005979E1">
        <w:rPr>
          <w:rFonts w:ascii="Times New Roman" w:hAnsi="Times New Roman" w:cs="Times New Roman"/>
          <w:sz w:val="24"/>
          <w:szCs w:val="24"/>
        </w:rPr>
        <w:t>)≤0. Lastly, if ∫∫∫</w:t>
      </w:r>
      <w:r w:rsidRPr="005979E1">
        <w:rPr>
          <w:rFonts w:ascii="Cambria Math" w:hAnsi="Cambria Math" w:cs="Cambria Math"/>
          <w:sz w:val="24"/>
          <w:szCs w:val="24"/>
        </w:rPr>
        <w:t>𝐹</w:t>
      </w:r>
      <w:proofErr w:type="spellStart"/>
      <w:r w:rsidRPr="005979E1">
        <w:rPr>
          <w:rFonts w:ascii="Times New Roman" w:hAnsi="Times New Roman" w:cs="Times New Roman"/>
          <w:sz w:val="24"/>
          <w:szCs w:val="24"/>
        </w:rPr>
        <w:t>i</w:t>
      </w:r>
      <w:proofErr w:type="spellEnd"/>
      <w:r w:rsidRPr="005979E1">
        <w:rPr>
          <w:rFonts w:ascii="Times New Roman" w:hAnsi="Times New Roman" w:cs="Times New Roman"/>
          <w:sz w:val="24"/>
          <w:szCs w:val="24"/>
        </w:rPr>
        <w:t>(</w:t>
      </w:r>
      <w:r w:rsidRPr="005979E1">
        <w:rPr>
          <w:rFonts w:ascii="Cambria Math" w:hAnsi="Cambria Math" w:cs="Cambria Math"/>
          <w:sz w:val="24"/>
          <w:szCs w:val="24"/>
        </w:rPr>
        <w:t>𝑥</w:t>
      </w:r>
      <w:r w:rsidRPr="005979E1">
        <w:rPr>
          <w:rFonts w:ascii="Times New Roman" w:hAnsi="Times New Roman" w:cs="Times New Roman"/>
          <w:sz w:val="24"/>
          <w:szCs w:val="24"/>
        </w:rPr>
        <w:t>)−∫∫∫</w:t>
      </w:r>
      <w:r w:rsidRPr="005979E1">
        <w:rPr>
          <w:rFonts w:ascii="Cambria Math" w:hAnsi="Cambria Math" w:cs="Cambria Math"/>
          <w:sz w:val="24"/>
          <w:szCs w:val="24"/>
        </w:rPr>
        <w:t>𝐹</w:t>
      </w:r>
      <w:r w:rsidRPr="005979E1">
        <w:rPr>
          <w:rFonts w:ascii="Times New Roman" w:hAnsi="Times New Roman" w:cs="Times New Roman"/>
          <w:sz w:val="24"/>
          <w:szCs w:val="24"/>
        </w:rPr>
        <w:t>c(</w:t>
      </w:r>
      <w:r w:rsidRPr="005979E1">
        <w:rPr>
          <w:rFonts w:ascii="Cambria Math" w:hAnsi="Cambria Math" w:cs="Cambria Math"/>
          <w:sz w:val="24"/>
          <w:szCs w:val="24"/>
        </w:rPr>
        <w:t>𝑥</w:t>
      </w:r>
      <w:r w:rsidRPr="005979E1">
        <w:rPr>
          <w:rFonts w:ascii="Times New Roman" w:hAnsi="Times New Roman" w:cs="Times New Roman"/>
          <w:sz w:val="24"/>
          <w:szCs w:val="24"/>
        </w:rPr>
        <w:t xml:space="preserve">)≤0, this will represent fourth order dominance. In order to test for the four SD of Islamic and conventional funds, we </w:t>
      </w:r>
      <w:r w:rsidR="00442E54">
        <w:rPr>
          <w:rFonts w:ascii="Times New Roman" w:hAnsi="Times New Roman" w:cs="Times New Roman"/>
          <w:sz w:val="24"/>
          <w:szCs w:val="24"/>
        </w:rPr>
        <w:t>employ</w:t>
      </w:r>
      <w:r w:rsidRPr="005979E1">
        <w:rPr>
          <w:rFonts w:ascii="Times New Roman" w:hAnsi="Times New Roman" w:cs="Times New Roman"/>
          <w:sz w:val="24"/>
          <w:szCs w:val="24"/>
        </w:rPr>
        <w:t xml:space="preserve"> </w:t>
      </w:r>
      <w:r w:rsidRPr="005979E1">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{"citationItems":[{"id":"ITEM-1","itemData":{"DOI":"10.1016/j.jempfin.2003.06.002","ISSN":"09275398","abstract":"We make the choice between mutual funds realistic and rigorous by incorporating (i) unconventional non-expected utility theories implying four desirable properties (4DPs) of utility functions, and (ii) the fourth-order stochastic dominance (4SD). Kimball's (Econometrica 58 (1990) 53) diminishing prudence is shown to need 4SD. A new weighting incorporates 4DPs into various criteria including the Sharpe ratio. We use 1281 mutual funds rated with one to five stars by Morningstar, a trapezoidal approximation for evaluating 4SD and propose a new cumulative 4SD measure with superior properties for statistical inference. An appendix describes a new maximum entropy (ME) bootstrap for dependent time series. © 2004 Elsevier B.V. All rights reserved.","author":[{"dropping-particle":"","family":"Vinod","given":"H. D.","non-dropping-particle":"","parse-names":false,"suffix":""}],"container-title":"Journal of Empirical Finance","id":"ITEM-1","issue":"3","issued":{"date-parts":[["2004","6","1"]]},"page":"353-377","publisher":"North-Holland","title":"Ranking mutual funds using unconventional utility theory and stochastic dominance","type":"article-journal","volume":"11"},"uris":["http://www.mendeley.com/documents/?uuid=a44f6aee-ed8f-3dce-9016-5e69fcb92552"]}],"mendeley":{"formattedCitation":"(Vinod, 2004)","manualFormatting":"Vinod (2004)","plainTextFormattedCitation":"(Vinod, 2004)","previouslyFormattedCitation":"(Vinod, 2004)"},"properties":{"noteIndex":0},"schema":"https://github.com/citation-style-language/schema/raw/master/csl-citation.json"}</w:instrText>
      </w:r>
      <w:r w:rsidRPr="005979E1">
        <w:rPr>
          <w:rFonts w:ascii="Times New Roman" w:hAnsi="Times New Roman" w:cs="Times New Roman"/>
          <w:sz w:val="24"/>
          <w:szCs w:val="24"/>
        </w:rPr>
        <w:fldChar w:fldCharType="separate"/>
      </w:r>
      <w:r w:rsidRPr="005979E1">
        <w:rPr>
          <w:rFonts w:ascii="Times New Roman" w:hAnsi="Times New Roman" w:cs="Times New Roman"/>
          <w:noProof/>
          <w:sz w:val="24"/>
          <w:szCs w:val="24"/>
        </w:rPr>
        <w:t>Vinod</w:t>
      </w:r>
      <w:r w:rsidR="005043C4">
        <w:rPr>
          <w:rFonts w:ascii="Times New Roman" w:hAnsi="Times New Roman" w:cs="Times New Roman"/>
          <w:noProof/>
          <w:sz w:val="24"/>
          <w:szCs w:val="24"/>
        </w:rPr>
        <w:t xml:space="preserve"> </w:t>
      </w:r>
      <w:r w:rsidR="00442E54">
        <w:rPr>
          <w:rFonts w:ascii="Times New Roman" w:hAnsi="Times New Roman" w:cs="Times New Roman"/>
          <w:noProof/>
          <w:sz w:val="24"/>
          <w:szCs w:val="24"/>
        </w:rPr>
        <w:t>(</w:t>
      </w:r>
      <w:r w:rsidRPr="005979E1">
        <w:rPr>
          <w:rFonts w:ascii="Times New Roman" w:hAnsi="Times New Roman" w:cs="Times New Roman"/>
          <w:noProof/>
          <w:sz w:val="24"/>
          <w:szCs w:val="24"/>
        </w:rPr>
        <w:t>2004)</w:t>
      </w:r>
      <w:r w:rsidRPr="005979E1">
        <w:rPr>
          <w:rFonts w:ascii="Times New Roman" w:hAnsi="Times New Roman" w:cs="Times New Roman"/>
          <w:sz w:val="24"/>
          <w:szCs w:val="24"/>
        </w:rPr>
        <w:fldChar w:fldCharType="end"/>
      </w:r>
      <w:r w:rsidRPr="005979E1">
        <w:rPr>
          <w:rFonts w:ascii="Times New Roman" w:hAnsi="Times New Roman" w:cs="Times New Roman"/>
          <w:sz w:val="24"/>
          <w:szCs w:val="24"/>
        </w:rPr>
        <w:t xml:space="preserve"> methodology that is based on unconventional utility theory.</w:t>
      </w:r>
      <w:r w:rsidR="00970AC0">
        <w:rPr>
          <w:rFonts w:ascii="Times New Roman" w:hAnsi="Times New Roman" w:cs="Times New Roman"/>
          <w:sz w:val="24"/>
          <w:szCs w:val="24"/>
        </w:rPr>
        <w:t xml:space="preserve"> </w:t>
      </w:r>
      <w:r w:rsidRPr="005979E1">
        <w:rPr>
          <w:rFonts w:ascii="Times New Roman" w:hAnsi="Times New Roman" w:cs="Times New Roman"/>
          <w:sz w:val="24"/>
          <w:szCs w:val="24"/>
        </w:rPr>
        <w:t xml:space="preserve">           </w:t>
      </w:r>
    </w:p>
    <w:p w14:paraId="73666531" w14:textId="77777777" w:rsidR="004A40E2" w:rsidRDefault="00970AC0" w:rsidP="002307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Comparative Abnormal Returns – Islamic vs. Conventional Funds</w:t>
      </w:r>
    </w:p>
    <w:p w14:paraId="3A44F9F1" w14:textId="3C6FEAF8" w:rsidR="00F1213F" w:rsidRDefault="00D85537" w:rsidP="002307D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0B2327">
        <w:rPr>
          <w:rFonts w:ascii="Times New Roman" w:hAnsi="Times New Roman" w:cs="Times New Roman"/>
          <w:sz w:val="24"/>
          <w:szCs w:val="24"/>
        </w:rPr>
        <w:t xml:space="preserve">To substantiate </w:t>
      </w:r>
      <w:r w:rsidR="009A3B7E">
        <w:rPr>
          <w:rFonts w:ascii="Times New Roman" w:hAnsi="Times New Roman" w:cs="Times New Roman"/>
          <w:sz w:val="24"/>
          <w:szCs w:val="24"/>
        </w:rPr>
        <w:t>Islamic funds' performance</w:t>
      </w:r>
      <w:r w:rsidR="000B2327">
        <w:rPr>
          <w:rFonts w:ascii="Times New Roman" w:hAnsi="Times New Roman" w:cs="Times New Roman"/>
          <w:sz w:val="24"/>
          <w:szCs w:val="24"/>
        </w:rPr>
        <w:t xml:space="preserve"> during </w:t>
      </w:r>
      <w:r w:rsidR="00442E54">
        <w:rPr>
          <w:rFonts w:ascii="Times New Roman" w:hAnsi="Times New Roman" w:cs="Times New Roman"/>
          <w:sz w:val="24"/>
          <w:szCs w:val="24"/>
        </w:rPr>
        <w:t xml:space="preserve">the </w:t>
      </w:r>
      <w:r w:rsidR="000B2327">
        <w:rPr>
          <w:rFonts w:ascii="Times New Roman" w:hAnsi="Times New Roman" w:cs="Times New Roman"/>
          <w:sz w:val="24"/>
          <w:szCs w:val="24"/>
        </w:rPr>
        <w:t>C</w:t>
      </w:r>
      <w:r w:rsidR="00442E54">
        <w:rPr>
          <w:rFonts w:ascii="Times New Roman" w:hAnsi="Times New Roman" w:cs="Times New Roman"/>
          <w:sz w:val="24"/>
          <w:szCs w:val="24"/>
        </w:rPr>
        <w:t>OVID</w:t>
      </w:r>
      <w:r w:rsidR="000B2327">
        <w:rPr>
          <w:rFonts w:ascii="Times New Roman" w:hAnsi="Times New Roman" w:cs="Times New Roman"/>
          <w:sz w:val="24"/>
          <w:szCs w:val="24"/>
        </w:rPr>
        <w:t>-19</w:t>
      </w:r>
      <w:r w:rsidR="00442E54">
        <w:rPr>
          <w:rFonts w:ascii="Times New Roman" w:hAnsi="Times New Roman" w:cs="Times New Roman"/>
          <w:sz w:val="24"/>
          <w:szCs w:val="24"/>
        </w:rPr>
        <w:t xml:space="preserve"> pandemic</w:t>
      </w:r>
      <w:r w:rsidR="000B2327">
        <w:rPr>
          <w:rFonts w:ascii="Times New Roman" w:hAnsi="Times New Roman" w:cs="Times New Roman"/>
          <w:sz w:val="24"/>
          <w:szCs w:val="24"/>
        </w:rPr>
        <w:t>,</w:t>
      </w:r>
      <w:r w:rsidR="006E6BD8">
        <w:rPr>
          <w:rFonts w:ascii="Times New Roman" w:hAnsi="Times New Roman" w:cs="Times New Roman"/>
          <w:sz w:val="24"/>
          <w:szCs w:val="24"/>
        </w:rPr>
        <w:t xml:space="preserve"> we </w:t>
      </w:r>
      <w:r w:rsidR="009A3B7E">
        <w:rPr>
          <w:rFonts w:ascii="Times New Roman" w:hAnsi="Times New Roman" w:cs="Times New Roman"/>
          <w:sz w:val="24"/>
          <w:szCs w:val="24"/>
        </w:rPr>
        <w:t>extend</w:t>
      </w:r>
      <w:r w:rsidR="005043C4">
        <w:rPr>
          <w:rFonts w:ascii="Times New Roman" w:hAnsi="Times New Roman" w:cs="Times New Roman"/>
          <w:sz w:val="24"/>
          <w:szCs w:val="24"/>
        </w:rPr>
        <w:t>ed</w:t>
      </w:r>
      <w:r w:rsidR="009A3B7E">
        <w:rPr>
          <w:rFonts w:ascii="Times New Roman" w:hAnsi="Times New Roman" w:cs="Times New Roman"/>
          <w:sz w:val="24"/>
          <w:szCs w:val="24"/>
        </w:rPr>
        <w:t xml:space="preserve"> our data </w:t>
      </w:r>
      <w:r w:rsidR="00DD0998">
        <w:rPr>
          <w:rFonts w:ascii="Times New Roman" w:hAnsi="Times New Roman" w:cs="Times New Roman"/>
          <w:sz w:val="24"/>
          <w:szCs w:val="24"/>
        </w:rPr>
        <w:t>and include</w:t>
      </w:r>
      <w:r w:rsidR="005043C4">
        <w:rPr>
          <w:rFonts w:ascii="Times New Roman" w:hAnsi="Times New Roman" w:cs="Times New Roman"/>
          <w:sz w:val="24"/>
          <w:szCs w:val="24"/>
        </w:rPr>
        <w:t>d</w:t>
      </w:r>
      <w:r w:rsidR="009A3B7E">
        <w:rPr>
          <w:rFonts w:ascii="Times New Roman" w:hAnsi="Times New Roman" w:cs="Times New Roman"/>
          <w:sz w:val="24"/>
          <w:szCs w:val="24"/>
        </w:rPr>
        <w:t xml:space="preserve"> the pre-C</w:t>
      </w:r>
      <w:r w:rsidR="00442E54">
        <w:rPr>
          <w:rFonts w:ascii="Times New Roman" w:hAnsi="Times New Roman" w:cs="Times New Roman"/>
          <w:sz w:val="24"/>
          <w:szCs w:val="24"/>
        </w:rPr>
        <w:t>OVID</w:t>
      </w:r>
      <w:r w:rsidR="009A3B7E">
        <w:rPr>
          <w:rFonts w:ascii="Times New Roman" w:hAnsi="Times New Roman" w:cs="Times New Roman"/>
          <w:sz w:val="24"/>
          <w:szCs w:val="24"/>
        </w:rPr>
        <w:t xml:space="preserve"> period from January 1</w:t>
      </w:r>
      <w:r w:rsidR="009A3B7E" w:rsidRPr="009A3B7E">
        <w:rPr>
          <w:rFonts w:ascii="Times New Roman" w:hAnsi="Times New Roman" w:cs="Times New Roman"/>
          <w:sz w:val="24"/>
          <w:szCs w:val="24"/>
          <w:vertAlign w:val="superscript"/>
        </w:rPr>
        <w:t>st</w:t>
      </w:r>
      <w:r w:rsidR="00DD0998">
        <w:rPr>
          <w:rFonts w:ascii="Times New Roman" w:hAnsi="Times New Roman" w:cs="Times New Roman"/>
          <w:sz w:val="24"/>
          <w:szCs w:val="24"/>
        </w:rPr>
        <w:t xml:space="preserve"> to December 31, 20</w:t>
      </w:r>
      <w:r w:rsidR="005043C4">
        <w:rPr>
          <w:rFonts w:ascii="Times New Roman" w:hAnsi="Times New Roman" w:cs="Times New Roman"/>
          <w:sz w:val="24"/>
          <w:szCs w:val="24"/>
        </w:rPr>
        <w:t>19.</w:t>
      </w:r>
      <w:r w:rsidR="00DD0998">
        <w:rPr>
          <w:rFonts w:ascii="Times New Roman" w:hAnsi="Times New Roman" w:cs="Times New Roman"/>
          <w:sz w:val="24"/>
          <w:szCs w:val="24"/>
        </w:rPr>
        <w:t xml:space="preserve"> </w:t>
      </w:r>
      <w:r w:rsidR="005043C4">
        <w:rPr>
          <w:rFonts w:ascii="Times New Roman" w:hAnsi="Times New Roman" w:cs="Times New Roman"/>
          <w:sz w:val="24"/>
          <w:szCs w:val="24"/>
        </w:rPr>
        <w:t>Th</w:t>
      </w:r>
      <w:r w:rsidR="009C4E2F">
        <w:rPr>
          <w:rFonts w:ascii="Times New Roman" w:hAnsi="Times New Roman" w:cs="Times New Roman"/>
          <w:sz w:val="24"/>
          <w:szCs w:val="24"/>
        </w:rPr>
        <w:t>erefore</w:t>
      </w:r>
      <w:r w:rsidR="00DD0998">
        <w:rPr>
          <w:rFonts w:ascii="Times New Roman" w:hAnsi="Times New Roman" w:cs="Times New Roman"/>
          <w:sz w:val="24"/>
          <w:szCs w:val="24"/>
        </w:rPr>
        <w:t xml:space="preserve">, we calculate the abnormal returns for both Islamic and conventional funds by differentiating between </w:t>
      </w:r>
      <w:proofErr w:type="gramStart"/>
      <w:r w:rsidR="00DD0998">
        <w:rPr>
          <w:rFonts w:ascii="Times New Roman" w:hAnsi="Times New Roman" w:cs="Times New Roman"/>
          <w:sz w:val="24"/>
          <w:szCs w:val="24"/>
        </w:rPr>
        <w:t>pre</w:t>
      </w:r>
      <w:proofErr w:type="gramEnd"/>
      <w:r w:rsidR="008E53C3">
        <w:rPr>
          <w:rFonts w:ascii="Times New Roman" w:hAnsi="Times New Roman" w:cs="Times New Roman"/>
          <w:sz w:val="24"/>
          <w:szCs w:val="24"/>
        </w:rPr>
        <w:t xml:space="preserve"> </w:t>
      </w:r>
      <w:r w:rsidR="00DD0998">
        <w:rPr>
          <w:rFonts w:ascii="Times New Roman" w:hAnsi="Times New Roman" w:cs="Times New Roman"/>
          <w:sz w:val="24"/>
          <w:szCs w:val="24"/>
        </w:rPr>
        <w:t>and post</w:t>
      </w:r>
      <w:r w:rsidR="002A0A6D">
        <w:rPr>
          <w:rFonts w:ascii="Times New Roman" w:hAnsi="Times New Roman" w:cs="Times New Roman"/>
          <w:sz w:val="24"/>
          <w:szCs w:val="24"/>
        </w:rPr>
        <w:t>-</w:t>
      </w:r>
      <w:r w:rsidR="00442E54">
        <w:rPr>
          <w:rFonts w:ascii="Times New Roman" w:hAnsi="Times New Roman" w:cs="Times New Roman"/>
          <w:sz w:val="24"/>
          <w:szCs w:val="24"/>
        </w:rPr>
        <w:t>COVID periods</w:t>
      </w:r>
      <w:r w:rsidR="00DD0998">
        <w:rPr>
          <w:rFonts w:ascii="Times New Roman" w:hAnsi="Times New Roman" w:cs="Times New Roman"/>
          <w:sz w:val="24"/>
          <w:szCs w:val="24"/>
        </w:rPr>
        <w:t>.</w:t>
      </w:r>
      <w:r w:rsidR="002A0A6D">
        <w:rPr>
          <w:rFonts w:ascii="Times New Roman" w:hAnsi="Times New Roman" w:cs="Times New Roman"/>
          <w:sz w:val="24"/>
          <w:szCs w:val="24"/>
        </w:rPr>
        <w:t xml:space="preserve"> </w:t>
      </w:r>
      <w:r w:rsidR="00047F85">
        <w:rPr>
          <w:rFonts w:ascii="Times New Roman" w:hAnsi="Times New Roman" w:cs="Times New Roman"/>
          <w:sz w:val="24"/>
          <w:szCs w:val="24"/>
        </w:rPr>
        <w:t xml:space="preserve">To estimate the abnormal returns, we follow the </w:t>
      </w:r>
      <w:r w:rsidR="00D31865">
        <w:rPr>
          <w:rFonts w:ascii="Times New Roman" w:hAnsi="Times New Roman" w:cs="Times New Roman"/>
          <w:sz w:val="24"/>
          <w:szCs w:val="24"/>
        </w:rPr>
        <w:t xml:space="preserve">event study </w:t>
      </w:r>
      <w:r w:rsidR="00047F85">
        <w:rPr>
          <w:rFonts w:ascii="Times New Roman" w:hAnsi="Times New Roman" w:cs="Times New Roman"/>
          <w:sz w:val="24"/>
          <w:szCs w:val="24"/>
        </w:rPr>
        <w:lastRenderedPageBreak/>
        <w:t>methodology</w:t>
      </w:r>
      <w:r w:rsidR="00F1213F">
        <w:rPr>
          <w:rFonts w:ascii="Times New Roman" w:hAnsi="Times New Roman" w:cs="Times New Roman"/>
          <w:sz w:val="24"/>
          <w:szCs w:val="24"/>
        </w:rPr>
        <w:t xml:space="preserve"> </w:t>
      </w:r>
      <w:r w:rsidR="00442E54">
        <w:rPr>
          <w:rFonts w:ascii="Times New Roman" w:hAnsi="Times New Roman" w:cs="Times New Roman"/>
          <w:sz w:val="24"/>
          <w:szCs w:val="24"/>
        </w:rPr>
        <w:t xml:space="preserve">employed </w:t>
      </w:r>
      <w:r w:rsidR="005043C4">
        <w:rPr>
          <w:rFonts w:ascii="Times New Roman" w:hAnsi="Times New Roman" w:cs="Times New Roman"/>
          <w:sz w:val="24"/>
          <w:szCs w:val="24"/>
        </w:rPr>
        <w:t>previously</w:t>
      </w:r>
      <w:r w:rsidR="00442E54">
        <w:rPr>
          <w:rFonts w:ascii="Times New Roman" w:hAnsi="Times New Roman" w:cs="Times New Roman"/>
          <w:sz w:val="24"/>
          <w:szCs w:val="24"/>
        </w:rPr>
        <w:t xml:space="preserve"> by</w:t>
      </w:r>
      <w:r w:rsidR="00047F85">
        <w:rPr>
          <w:rFonts w:ascii="Times New Roman" w:hAnsi="Times New Roman" w:cs="Times New Roman"/>
          <w:sz w:val="24"/>
          <w:szCs w:val="24"/>
        </w:rPr>
        <w:t xml:space="preserve"> </w:t>
      </w:r>
      <w:r w:rsidR="00F1213F">
        <w:rPr>
          <w:rFonts w:ascii="Times New Roman" w:hAnsi="Times New Roman" w:cs="Times New Roman"/>
          <w:sz w:val="24"/>
          <w:szCs w:val="24"/>
        </w:rPr>
        <w:t xml:space="preserve">Yarovaya et al. </w:t>
      </w:r>
      <w:r w:rsidR="00442E54">
        <w:rPr>
          <w:rFonts w:ascii="Times New Roman" w:hAnsi="Times New Roman" w:cs="Times New Roman"/>
          <w:sz w:val="24"/>
          <w:szCs w:val="24"/>
        </w:rPr>
        <w:t>(</w:t>
      </w:r>
      <w:r w:rsidR="00F1213F">
        <w:rPr>
          <w:rFonts w:ascii="Times New Roman" w:hAnsi="Times New Roman" w:cs="Times New Roman"/>
          <w:sz w:val="24"/>
          <w:szCs w:val="24"/>
        </w:rPr>
        <w:t>2020</w:t>
      </w:r>
      <w:r w:rsidR="004B3DBE">
        <w:rPr>
          <w:rFonts w:ascii="Times New Roman" w:hAnsi="Times New Roman" w:cs="Times New Roman"/>
          <w:sz w:val="24"/>
          <w:szCs w:val="24"/>
        </w:rPr>
        <w:t>b</w:t>
      </w:r>
      <w:r w:rsidR="00F1213F">
        <w:rPr>
          <w:rFonts w:ascii="Times New Roman" w:hAnsi="Times New Roman" w:cs="Times New Roman"/>
          <w:sz w:val="24"/>
          <w:szCs w:val="24"/>
        </w:rPr>
        <w:t xml:space="preserve">) and Mirza et al. </w:t>
      </w:r>
      <w:r w:rsidR="00442E54">
        <w:rPr>
          <w:rFonts w:ascii="Times New Roman" w:hAnsi="Times New Roman" w:cs="Times New Roman"/>
          <w:sz w:val="24"/>
          <w:szCs w:val="24"/>
        </w:rPr>
        <w:t>(</w:t>
      </w:r>
      <w:r w:rsidR="00F1213F">
        <w:rPr>
          <w:rFonts w:ascii="Times New Roman" w:hAnsi="Times New Roman" w:cs="Times New Roman"/>
          <w:sz w:val="24"/>
          <w:szCs w:val="24"/>
        </w:rPr>
        <w:t xml:space="preserve">2020) </w:t>
      </w:r>
      <w:r w:rsidR="00A25D63">
        <w:rPr>
          <w:rFonts w:ascii="Times New Roman" w:hAnsi="Times New Roman" w:cs="Times New Roman"/>
          <w:sz w:val="24"/>
          <w:szCs w:val="24"/>
        </w:rPr>
        <w:t>with</w:t>
      </w:r>
      <w:r w:rsidR="00DB0DF2">
        <w:rPr>
          <w:rFonts w:ascii="Times New Roman" w:hAnsi="Times New Roman" w:cs="Times New Roman"/>
          <w:sz w:val="24"/>
          <w:szCs w:val="24"/>
        </w:rPr>
        <w:t xml:space="preserve"> the following specifications of GARCH (1,1).</w:t>
      </w:r>
    </w:p>
    <w:p w14:paraId="0335772F" w14:textId="0A61641E" w:rsidR="00230BF6" w:rsidRPr="00230BF6" w:rsidRDefault="00D45B89" w:rsidP="00D760DC">
      <w:pPr>
        <w:spacing w:after="0" w:line="360" w:lineRule="auto"/>
        <w:ind w:firstLine="720"/>
        <w:jc w:val="both"/>
        <w:rPr>
          <w:rFonts w:ascii="Times New Roman" w:hAnsi="Times New Roman" w:cs="Times New Roman"/>
          <w:color w:val="000000" w:themeColor="text1"/>
          <w:sz w:val="24"/>
          <w:szCs w:val="24"/>
        </w:rPr>
      </w:pPr>
      <m:oMath>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R</m:t>
            </m:r>
          </m:e>
          <m:sub>
            <m:r>
              <w:rPr>
                <w:rFonts w:ascii="Cambria Math" w:hAnsi="Times New Roman" w:cs="Times New Roman"/>
                <w:noProof/>
                <w:color w:val="000000" w:themeColor="text1"/>
                <w:sz w:val="24"/>
                <w:szCs w:val="24"/>
              </w:rPr>
              <m:t>it</m:t>
            </m:r>
          </m:sub>
        </m:sSub>
        <m:r>
          <w:rPr>
            <w:rFonts w:ascii="Cambria Math" w:hAnsi="Times New Roman" w:cs="Times New Roman"/>
            <w:noProof/>
            <w:color w:val="000000" w:themeColor="text1"/>
            <w:sz w:val="24"/>
            <w:szCs w:val="24"/>
          </w:rPr>
          <m:t>=</m:t>
        </m:r>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α</m:t>
            </m:r>
          </m:e>
          <m:sub>
            <m:r>
              <w:rPr>
                <w:rFonts w:ascii="Cambria Math" w:hAnsi="Times New Roman" w:cs="Times New Roman"/>
                <w:noProof/>
                <w:color w:val="000000" w:themeColor="text1"/>
                <w:sz w:val="24"/>
                <w:szCs w:val="24"/>
              </w:rPr>
              <m:t>i</m:t>
            </m:r>
          </m:sub>
        </m:sSub>
        <m:r>
          <w:rPr>
            <w:rFonts w:ascii="Cambria Math" w:hAnsi="Times New Roman" w:cs="Times New Roman"/>
            <w:noProof/>
            <w:color w:val="000000" w:themeColor="text1"/>
            <w:sz w:val="24"/>
            <w:szCs w:val="24"/>
          </w:rPr>
          <m:t>+</m:t>
        </m:r>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β</m:t>
            </m:r>
          </m:e>
          <m:sub>
            <m:r>
              <w:rPr>
                <w:rFonts w:ascii="Cambria Math" w:hAnsi="Times New Roman" w:cs="Times New Roman"/>
                <w:noProof/>
                <w:color w:val="000000" w:themeColor="text1"/>
                <w:sz w:val="24"/>
                <w:szCs w:val="24"/>
              </w:rPr>
              <m:t>i</m:t>
            </m:r>
          </m:sub>
        </m:sSub>
        <m:d>
          <m:dPr>
            <m:ctrlPr>
              <w:rPr>
                <w:rFonts w:ascii="Cambria Math" w:hAnsi="Times New Roman" w:cs="Times New Roman"/>
                <w:i/>
                <w:noProof/>
                <w:color w:val="000000" w:themeColor="text1"/>
                <w:sz w:val="24"/>
                <w:szCs w:val="24"/>
              </w:rPr>
            </m:ctrlPr>
          </m:dPr>
          <m:e>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R</m:t>
                </m:r>
              </m:e>
              <m:sub>
                <m:r>
                  <w:rPr>
                    <w:rFonts w:ascii="Cambria Math" w:hAnsi="Times New Roman" w:cs="Times New Roman"/>
                    <w:noProof/>
                    <w:color w:val="000000" w:themeColor="text1"/>
                    <w:sz w:val="24"/>
                    <w:szCs w:val="24"/>
                  </w:rPr>
                  <m:t>mt</m:t>
                </m:r>
              </m:sub>
            </m:sSub>
            <m:r>
              <w:rPr>
                <w:rFonts w:ascii="Cambria Math" w:hAnsi="Times New Roman" w:cs="Times New Roman"/>
                <w:noProof/>
                <w:color w:val="000000" w:themeColor="text1"/>
                <w:sz w:val="24"/>
                <w:szCs w:val="24"/>
              </w:rPr>
              <m:t>-</m:t>
            </m:r>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R</m:t>
                </m:r>
              </m:e>
              <m:sub>
                <m:r>
                  <w:rPr>
                    <w:rFonts w:ascii="Cambria Math" w:hAnsi="Times New Roman" w:cs="Times New Roman"/>
                    <w:noProof/>
                    <w:color w:val="000000" w:themeColor="text1"/>
                    <w:sz w:val="24"/>
                    <w:szCs w:val="24"/>
                  </w:rPr>
                  <m:t>ft</m:t>
                </m:r>
              </m:sub>
            </m:sSub>
          </m:e>
        </m:d>
        <m:r>
          <w:rPr>
            <w:rFonts w:ascii="Cambria Math" w:hAnsi="Times New Roman" w:cs="Times New Roman"/>
            <w:noProof/>
            <w:color w:val="000000" w:themeColor="text1"/>
            <w:sz w:val="24"/>
            <w:szCs w:val="24"/>
          </w:rPr>
          <m:t>+</m:t>
        </m:r>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τ</m:t>
            </m:r>
          </m:e>
          <m:sub>
            <m:r>
              <w:rPr>
                <w:rFonts w:ascii="Cambria Math" w:hAnsi="Times New Roman" w:cs="Times New Roman"/>
                <w:noProof/>
                <w:color w:val="000000" w:themeColor="text1"/>
                <w:sz w:val="24"/>
                <w:szCs w:val="24"/>
              </w:rPr>
              <m:t>i</m:t>
            </m:r>
          </m:sub>
        </m:sSub>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D</m:t>
            </m:r>
          </m:e>
          <m:sub>
            <m:r>
              <w:rPr>
                <w:rFonts w:ascii="Cambria Math" w:hAnsi="Times New Roman" w:cs="Times New Roman"/>
                <w:noProof/>
                <w:color w:val="000000" w:themeColor="text1"/>
                <w:sz w:val="24"/>
                <w:szCs w:val="24"/>
              </w:rPr>
              <m:t>it</m:t>
            </m:r>
          </m:sub>
        </m:sSub>
        <m:r>
          <w:rPr>
            <w:rFonts w:ascii="Cambria Math" w:hAnsi="Times New Roman" w:cs="Times New Roman"/>
            <w:noProof/>
            <w:color w:val="000000" w:themeColor="text1"/>
            <w:sz w:val="24"/>
            <w:szCs w:val="24"/>
          </w:rPr>
          <m:t>+</m:t>
        </m:r>
        <m:sSub>
          <m:sSubPr>
            <m:ctrlPr>
              <w:rPr>
                <w:rFonts w:ascii="Cambria Math" w:hAnsi="Times New Roman" w:cs="Times New Roman"/>
                <w:i/>
                <w:noProof/>
                <w:color w:val="000000" w:themeColor="text1"/>
                <w:sz w:val="24"/>
                <w:szCs w:val="24"/>
              </w:rPr>
            </m:ctrlPr>
          </m:sSubPr>
          <m:e>
            <m:r>
              <w:rPr>
                <w:rFonts w:ascii="Cambria Math" w:hAnsi="Cambria Math" w:cs="Times New Roman"/>
                <w:noProof/>
                <w:color w:val="000000" w:themeColor="text1"/>
                <w:sz w:val="24"/>
                <w:szCs w:val="24"/>
              </w:rPr>
              <m:t>∂</m:t>
            </m:r>
          </m:e>
          <m:sub>
            <m:r>
              <w:rPr>
                <w:rFonts w:ascii="Cambria Math" w:hAnsi="Times New Roman" w:cs="Times New Roman"/>
                <w:noProof/>
                <w:color w:val="000000" w:themeColor="text1"/>
                <w:sz w:val="24"/>
                <w:szCs w:val="24"/>
              </w:rPr>
              <m:t>i</m:t>
            </m:r>
          </m:sub>
        </m:sSub>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OD</m:t>
            </m:r>
          </m:e>
          <m:sub>
            <m:r>
              <w:rPr>
                <w:rFonts w:ascii="Cambria Math" w:hAnsi="Times New Roman" w:cs="Times New Roman"/>
                <w:noProof/>
                <w:color w:val="000000" w:themeColor="text1"/>
                <w:sz w:val="24"/>
                <w:szCs w:val="24"/>
              </w:rPr>
              <m:t>it</m:t>
            </m:r>
          </m:sub>
        </m:sSub>
        <m:r>
          <w:rPr>
            <w:rFonts w:ascii="Cambria Math" w:hAnsi="Times New Roman" w:cs="Times New Roman"/>
            <w:noProof/>
            <w:color w:val="000000" w:themeColor="text1"/>
            <w:sz w:val="24"/>
            <w:szCs w:val="24"/>
          </w:rPr>
          <m:t>+</m:t>
        </m:r>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φ</m:t>
            </m:r>
          </m:e>
          <m:sub>
            <m:r>
              <w:rPr>
                <w:rFonts w:ascii="Cambria Math" w:hAnsi="Times New Roman" w:cs="Times New Roman"/>
                <w:noProof/>
                <w:color w:val="000000" w:themeColor="text1"/>
                <w:sz w:val="24"/>
                <w:szCs w:val="24"/>
              </w:rPr>
              <m:t>i</m:t>
            </m:r>
          </m:sub>
        </m:sSub>
        <m:sSub>
          <m:sSubPr>
            <m:ctrlPr>
              <w:rPr>
                <w:rFonts w:ascii="Cambria Math" w:hAnsi="Cambria Math" w:cs="Times New Roman"/>
                <w:i/>
                <w:noProof/>
                <w:color w:val="000000" w:themeColor="text1"/>
                <w:sz w:val="24"/>
                <w:szCs w:val="24"/>
              </w:rPr>
            </m:ctrlPr>
          </m:sSubPr>
          <m:e>
            <m:r>
              <w:rPr>
                <w:rFonts w:ascii="Cambria Math" w:hAnsi="Times New Roman" w:cs="Times New Roman"/>
                <w:noProof/>
                <w:color w:val="000000" w:themeColor="text1"/>
                <w:sz w:val="24"/>
                <w:szCs w:val="24"/>
              </w:rPr>
              <m:t>h</m:t>
            </m:r>
          </m:e>
          <m:sub>
            <m:r>
              <w:rPr>
                <w:rFonts w:ascii="Cambria Math" w:hAnsi="Times New Roman" w:cs="Times New Roman"/>
                <w:noProof/>
                <w:color w:val="000000" w:themeColor="text1"/>
                <w:sz w:val="24"/>
                <w:szCs w:val="24"/>
              </w:rPr>
              <m:t>it</m:t>
            </m:r>
            <m:ctrlPr>
              <w:rPr>
                <w:rFonts w:ascii="Cambria Math" w:hAnsi="Times New Roman" w:cs="Times New Roman"/>
                <w:i/>
                <w:noProof/>
                <w:color w:val="000000" w:themeColor="text1"/>
                <w:sz w:val="24"/>
                <w:szCs w:val="24"/>
              </w:rPr>
            </m:ctrlPr>
          </m:sub>
        </m:sSub>
        <m:r>
          <w:rPr>
            <w:rFonts w:ascii="Cambria Math" w:hAnsi="Times New Roman" w:cs="Times New Roman"/>
            <w:noProof/>
            <w:color w:val="000000" w:themeColor="text1"/>
            <w:sz w:val="24"/>
            <w:szCs w:val="24"/>
          </w:rPr>
          <m:t>+</m:t>
        </m:r>
        <m:sSub>
          <m:sSubPr>
            <m:ctrlPr>
              <w:rPr>
                <w:rFonts w:ascii="Cambria Math" w:hAnsi="Times New Roman" w:cs="Times New Roman"/>
                <w:i/>
                <w:noProof/>
                <w:color w:val="000000" w:themeColor="text1"/>
                <w:sz w:val="24"/>
                <w:szCs w:val="24"/>
              </w:rPr>
            </m:ctrlPr>
          </m:sSubPr>
          <m:e>
            <m:r>
              <w:rPr>
                <w:rFonts w:ascii="Cambria Math" w:hAnsi="Times New Roman" w:cs="Times New Roman"/>
                <w:noProof/>
                <w:color w:val="000000" w:themeColor="text1"/>
                <w:sz w:val="24"/>
                <w:szCs w:val="24"/>
              </w:rPr>
              <m:t>e</m:t>
            </m:r>
          </m:e>
          <m:sub>
            <m:r>
              <w:rPr>
                <w:rFonts w:ascii="Cambria Math" w:hAnsi="Times New Roman" w:cs="Times New Roman"/>
                <w:noProof/>
                <w:color w:val="000000" w:themeColor="text1"/>
                <w:sz w:val="24"/>
                <w:szCs w:val="24"/>
              </w:rPr>
              <m:t>it</m:t>
            </m:r>
          </m:sub>
        </m:sSub>
      </m:oMath>
      <w:r w:rsidR="00230BF6" w:rsidRPr="00230BF6">
        <w:rPr>
          <w:rFonts w:ascii="Times New Roman" w:hAnsi="Times New Roman" w:cs="Times New Roman"/>
          <w:color w:val="000000" w:themeColor="text1"/>
          <w:sz w:val="24"/>
          <w:szCs w:val="24"/>
        </w:rPr>
        <w:t xml:space="preserve">   with </w:t>
      </w:r>
      <w:r w:rsidR="00230BF6" w:rsidRPr="00230BF6">
        <w:rPr>
          <w:rFonts w:ascii="Times New Roman" w:hAnsi="Times New Roman" w:cs="Times New Roman"/>
          <w:noProof/>
          <w:color w:val="000000" w:themeColor="text1"/>
          <w:position w:val="-12"/>
          <w:sz w:val="24"/>
          <w:szCs w:val="24"/>
        </w:rPr>
        <w:object w:dxaOrig="1212" w:dyaOrig="360" w14:anchorId="4E335527">
          <v:shape id="_x0000_i1028" type="#_x0000_t75" alt="" style="width:61.5pt;height:20.5pt;mso-width-percent:0;mso-height-percent:0;mso-width-percent:0;mso-height-percent:0" o:ole="">
            <v:imagedata r:id="rId13" o:title=""/>
          </v:shape>
          <o:OLEObject Type="Embed" ProgID="Equation.3" ShapeID="_x0000_i1028" DrawAspect="Content" ObjectID="_1694867750" r:id="rId14"/>
        </w:object>
      </w:r>
      <w:r w:rsidR="00230BF6" w:rsidRPr="00230BF6">
        <w:rPr>
          <w:rFonts w:ascii="Times New Roman" w:hAnsi="Times New Roman" w:cs="Times New Roman"/>
          <w:color w:val="000000" w:themeColor="text1"/>
          <w:sz w:val="24"/>
          <w:szCs w:val="24"/>
        </w:rPr>
        <w:tab/>
        <w:t>(</w:t>
      </w:r>
      <w:r w:rsidR="00442E54">
        <w:rPr>
          <w:rFonts w:ascii="Times New Roman" w:hAnsi="Times New Roman" w:cs="Times New Roman"/>
          <w:color w:val="000000" w:themeColor="text1"/>
          <w:sz w:val="24"/>
          <w:szCs w:val="24"/>
        </w:rPr>
        <w:t>5</w:t>
      </w:r>
      <w:r w:rsidR="00230BF6" w:rsidRPr="00230BF6">
        <w:rPr>
          <w:rFonts w:ascii="Times New Roman" w:hAnsi="Times New Roman" w:cs="Times New Roman"/>
          <w:color w:val="000000" w:themeColor="text1"/>
          <w:sz w:val="24"/>
          <w:szCs w:val="24"/>
        </w:rPr>
        <w:t>)</w:t>
      </w:r>
    </w:p>
    <w:p w14:paraId="3529F761" w14:textId="120729CE" w:rsidR="00230BF6" w:rsidRPr="00230BF6" w:rsidRDefault="00230BF6" w:rsidP="006528E4">
      <w:pPr>
        <w:spacing w:after="0" w:line="360" w:lineRule="auto"/>
        <w:ind w:firstLine="720"/>
        <w:jc w:val="both"/>
        <w:rPr>
          <w:rFonts w:ascii="Times New Roman" w:hAnsi="Times New Roman" w:cs="Times New Roman"/>
          <w:color w:val="000000" w:themeColor="text1"/>
          <w:sz w:val="24"/>
          <w:szCs w:val="24"/>
        </w:rPr>
      </w:pPr>
      <w:r w:rsidRPr="00230BF6">
        <w:rPr>
          <w:rFonts w:ascii="Times New Roman" w:hAnsi="Times New Roman" w:cs="Times New Roman"/>
          <w:noProof/>
          <w:color w:val="000000" w:themeColor="text1"/>
          <w:position w:val="-12"/>
          <w:sz w:val="24"/>
          <w:szCs w:val="24"/>
        </w:rPr>
        <w:object w:dxaOrig="2868" w:dyaOrig="384" w14:anchorId="225694F5">
          <v:shape id="_x0000_i1029" type="#_x0000_t75" alt="" style="width:2in;height:20.5pt;mso-width-percent:0;mso-height-percent:0;mso-width-percent:0;mso-height-percent:0" o:ole="">
            <v:imagedata r:id="rId15" o:title=""/>
          </v:shape>
          <o:OLEObject Type="Embed" ProgID="Equation.3" ShapeID="_x0000_i1029" DrawAspect="Content" ObjectID="_1694867751" r:id="rId16"/>
        </w:object>
      </w:r>
      <w:r w:rsidRPr="00230BF6">
        <w:rPr>
          <w:rFonts w:ascii="Times New Roman" w:hAnsi="Times New Roman" w:cs="Times New Roman"/>
          <w:color w:val="000000" w:themeColor="text1"/>
          <w:sz w:val="24"/>
          <w:szCs w:val="24"/>
        </w:rPr>
        <w:t xml:space="preserve"> </w:t>
      </w:r>
      <w:r w:rsidRPr="00230BF6">
        <w:rPr>
          <w:rFonts w:ascii="Times New Roman" w:hAnsi="Times New Roman" w:cs="Times New Roman"/>
          <w:color w:val="000000" w:themeColor="text1"/>
          <w:sz w:val="24"/>
          <w:szCs w:val="24"/>
        </w:rPr>
        <w:tab/>
      </w:r>
      <w:r w:rsidRPr="00230BF6">
        <w:rPr>
          <w:rFonts w:ascii="Times New Roman" w:hAnsi="Times New Roman" w:cs="Times New Roman"/>
          <w:color w:val="000000" w:themeColor="text1"/>
          <w:sz w:val="24"/>
          <w:szCs w:val="24"/>
        </w:rPr>
        <w:tab/>
      </w:r>
      <w:r w:rsidRPr="00230BF6">
        <w:rPr>
          <w:rFonts w:ascii="Times New Roman" w:hAnsi="Times New Roman" w:cs="Times New Roman"/>
          <w:color w:val="000000" w:themeColor="text1"/>
          <w:sz w:val="24"/>
          <w:szCs w:val="24"/>
        </w:rPr>
        <w:tab/>
      </w:r>
      <w:r w:rsidRPr="00230BF6">
        <w:rPr>
          <w:rFonts w:ascii="Times New Roman" w:hAnsi="Times New Roman" w:cs="Times New Roman"/>
          <w:color w:val="000000" w:themeColor="text1"/>
          <w:sz w:val="24"/>
          <w:szCs w:val="24"/>
        </w:rPr>
        <w:tab/>
      </w:r>
      <w:r w:rsidRPr="00230BF6">
        <w:rPr>
          <w:rFonts w:ascii="Times New Roman" w:hAnsi="Times New Roman" w:cs="Times New Roman"/>
          <w:color w:val="000000" w:themeColor="text1"/>
          <w:sz w:val="24"/>
          <w:szCs w:val="24"/>
        </w:rPr>
        <w:tab/>
      </w:r>
      <w:r w:rsidRPr="00230BF6">
        <w:rPr>
          <w:rFonts w:ascii="Times New Roman" w:hAnsi="Times New Roman" w:cs="Times New Roman"/>
          <w:color w:val="000000" w:themeColor="text1"/>
          <w:sz w:val="24"/>
          <w:szCs w:val="24"/>
        </w:rPr>
        <w:tab/>
      </w:r>
      <w:r w:rsidR="00D1204F">
        <w:rPr>
          <w:rFonts w:ascii="Times New Roman" w:hAnsi="Times New Roman" w:cs="Times New Roman"/>
          <w:color w:val="000000" w:themeColor="text1"/>
          <w:sz w:val="24"/>
          <w:szCs w:val="24"/>
        </w:rPr>
        <w:tab/>
      </w:r>
      <w:r w:rsidRPr="00230BF6">
        <w:rPr>
          <w:rFonts w:ascii="Times New Roman" w:hAnsi="Times New Roman" w:cs="Times New Roman"/>
          <w:color w:val="000000" w:themeColor="text1"/>
          <w:sz w:val="24"/>
          <w:szCs w:val="24"/>
        </w:rPr>
        <w:t xml:space="preserve"> </w:t>
      </w:r>
      <w:r w:rsidR="00442E54">
        <w:rPr>
          <w:rFonts w:ascii="Times New Roman" w:hAnsi="Times New Roman" w:cs="Times New Roman"/>
          <w:color w:val="000000" w:themeColor="text1"/>
          <w:sz w:val="24"/>
          <w:szCs w:val="24"/>
        </w:rPr>
        <w:t>(6</w:t>
      </w:r>
      <w:r w:rsidRPr="00230BF6">
        <w:rPr>
          <w:rFonts w:ascii="Times New Roman" w:hAnsi="Times New Roman" w:cs="Times New Roman"/>
          <w:color w:val="000000" w:themeColor="text1"/>
          <w:sz w:val="24"/>
          <w:szCs w:val="24"/>
        </w:rPr>
        <w:t>)</w:t>
      </w:r>
    </w:p>
    <w:p w14:paraId="26040BA6" w14:textId="2DB8288E" w:rsidR="00D1204F" w:rsidRDefault="00230BF6" w:rsidP="002307D5">
      <w:pPr>
        <w:spacing w:after="0" w:line="480" w:lineRule="auto"/>
        <w:jc w:val="both"/>
        <w:rPr>
          <w:rFonts w:ascii="Times New Roman" w:hAnsi="Times New Roman" w:cs="Times New Roman"/>
          <w:color w:val="000000" w:themeColor="text1"/>
          <w:sz w:val="24"/>
          <w:szCs w:val="24"/>
        </w:rPr>
      </w:pPr>
      <w:r w:rsidRPr="00D1204F">
        <w:rPr>
          <w:rFonts w:ascii="Times New Roman" w:hAnsi="Times New Roman" w:cs="Times New Roman"/>
          <w:color w:val="000000" w:themeColor="text1"/>
          <w:sz w:val="24"/>
          <w:szCs w:val="24"/>
        </w:rPr>
        <w:t>where</w:t>
      </w:r>
      <w:r w:rsidRPr="00230BF6">
        <w:rPr>
          <w:rFonts w:ascii="Times New Roman" w:hAnsi="Times New Roman" w:cs="Times New Roman"/>
          <w:i/>
          <w:color w:val="000000" w:themeColor="text1"/>
          <w:sz w:val="24"/>
          <w:szCs w:val="24"/>
        </w:rPr>
        <w:t xml:space="preserve"> </w:t>
      </w:r>
      <w:proofErr w:type="spellStart"/>
      <w:r w:rsidRPr="00230BF6">
        <w:rPr>
          <w:rFonts w:ascii="Times New Roman" w:hAnsi="Times New Roman" w:cs="Times New Roman"/>
          <w:i/>
          <w:color w:val="000000" w:themeColor="text1"/>
          <w:sz w:val="24"/>
          <w:szCs w:val="24"/>
        </w:rPr>
        <w:t>R</w:t>
      </w:r>
      <w:r w:rsidRPr="00230BF6">
        <w:rPr>
          <w:rFonts w:ascii="Times New Roman" w:hAnsi="Times New Roman" w:cs="Times New Roman"/>
          <w:i/>
          <w:color w:val="000000" w:themeColor="text1"/>
          <w:sz w:val="24"/>
          <w:szCs w:val="24"/>
          <w:vertAlign w:val="subscript"/>
        </w:rPr>
        <w:t>it</w:t>
      </w:r>
      <w:proofErr w:type="spellEnd"/>
      <w:r w:rsidRPr="00230BF6">
        <w:rPr>
          <w:rFonts w:ascii="Times New Roman" w:hAnsi="Times New Roman" w:cs="Times New Roman"/>
          <w:color w:val="000000" w:themeColor="text1"/>
          <w:sz w:val="24"/>
          <w:szCs w:val="24"/>
        </w:rPr>
        <w:t xml:space="preserve"> corresponds to the fund return, </w:t>
      </w:r>
      <w:proofErr w:type="spellStart"/>
      <w:r w:rsidRPr="00230BF6">
        <w:rPr>
          <w:rFonts w:ascii="Times New Roman" w:hAnsi="Times New Roman" w:cs="Times New Roman"/>
          <w:i/>
          <w:color w:val="000000" w:themeColor="text1"/>
          <w:sz w:val="24"/>
          <w:szCs w:val="24"/>
        </w:rPr>
        <w:t>R</w:t>
      </w:r>
      <w:r w:rsidRPr="00230BF6">
        <w:rPr>
          <w:rFonts w:ascii="Times New Roman" w:hAnsi="Times New Roman" w:cs="Times New Roman"/>
          <w:i/>
          <w:color w:val="000000" w:themeColor="text1"/>
          <w:sz w:val="24"/>
          <w:szCs w:val="24"/>
          <w:vertAlign w:val="subscript"/>
        </w:rPr>
        <w:t>mt</w:t>
      </w:r>
      <w:proofErr w:type="spellEnd"/>
      <w:r w:rsidRPr="00230BF6">
        <w:rPr>
          <w:rFonts w:ascii="Times New Roman" w:hAnsi="Times New Roman" w:cs="Times New Roman"/>
          <w:color w:val="000000" w:themeColor="text1"/>
          <w:sz w:val="24"/>
          <w:szCs w:val="24"/>
        </w:rPr>
        <w:t xml:space="preserve"> is market return, </w:t>
      </w:r>
      <w:proofErr w:type="spellStart"/>
      <w:r w:rsidRPr="00230BF6">
        <w:rPr>
          <w:rFonts w:ascii="Times New Roman" w:hAnsi="Times New Roman" w:cs="Times New Roman"/>
          <w:i/>
          <w:color w:val="000000" w:themeColor="text1"/>
          <w:sz w:val="24"/>
          <w:szCs w:val="24"/>
        </w:rPr>
        <w:t>R</w:t>
      </w:r>
      <w:r w:rsidRPr="00230BF6">
        <w:rPr>
          <w:rFonts w:ascii="Times New Roman" w:hAnsi="Times New Roman" w:cs="Times New Roman"/>
          <w:i/>
          <w:color w:val="000000" w:themeColor="text1"/>
          <w:sz w:val="24"/>
          <w:szCs w:val="24"/>
          <w:vertAlign w:val="subscript"/>
        </w:rPr>
        <w:t>ft</w:t>
      </w:r>
      <w:proofErr w:type="spellEnd"/>
      <w:r w:rsidRPr="00230BF6">
        <w:rPr>
          <w:rFonts w:ascii="Times New Roman" w:hAnsi="Times New Roman" w:cs="Times New Roman"/>
          <w:color w:val="000000" w:themeColor="text1"/>
          <w:sz w:val="24"/>
          <w:szCs w:val="24"/>
        </w:rPr>
        <w:t xml:space="preserve"> is the risk-free rate. The dummy </w:t>
      </w:r>
      <w:proofErr w:type="spellStart"/>
      <w:r w:rsidRPr="00230BF6">
        <w:rPr>
          <w:rFonts w:ascii="Times New Roman" w:hAnsi="Times New Roman" w:cs="Times New Roman"/>
          <w:i/>
          <w:color w:val="000000" w:themeColor="text1"/>
          <w:sz w:val="24"/>
          <w:szCs w:val="24"/>
        </w:rPr>
        <w:t>D</w:t>
      </w:r>
      <w:r w:rsidRPr="00230BF6">
        <w:rPr>
          <w:rFonts w:ascii="Times New Roman" w:hAnsi="Times New Roman" w:cs="Times New Roman"/>
          <w:i/>
          <w:color w:val="000000" w:themeColor="text1"/>
          <w:sz w:val="24"/>
          <w:szCs w:val="24"/>
          <w:vertAlign w:val="subscript"/>
        </w:rPr>
        <w:t>it</w:t>
      </w:r>
      <w:proofErr w:type="spellEnd"/>
      <w:r w:rsidRPr="00230BF6">
        <w:rPr>
          <w:rFonts w:ascii="Times New Roman" w:hAnsi="Times New Roman" w:cs="Times New Roman"/>
          <w:color w:val="000000" w:themeColor="text1"/>
          <w:sz w:val="24"/>
          <w:szCs w:val="24"/>
        </w:rPr>
        <w:t xml:space="preserve"> takes t = 1; if </w:t>
      </w:r>
      <w:proofErr w:type="spellStart"/>
      <w:r w:rsidRPr="00230BF6">
        <w:rPr>
          <w:rFonts w:ascii="Times New Roman" w:hAnsi="Times New Roman" w:cs="Times New Roman"/>
          <w:color w:val="000000" w:themeColor="text1"/>
          <w:sz w:val="24"/>
          <w:szCs w:val="24"/>
        </w:rPr>
        <w:t>t</w:t>
      </w:r>
      <w:proofErr w:type="spellEnd"/>
      <w:r w:rsidRPr="00230BF6">
        <w:rPr>
          <w:rFonts w:ascii="Times New Roman" w:hAnsi="Times New Roman" w:cs="Times New Roman"/>
          <w:color w:val="000000" w:themeColor="text1"/>
          <w:sz w:val="24"/>
          <w:szCs w:val="24"/>
        </w:rPr>
        <w:t xml:space="preserve"> is during the </w:t>
      </w:r>
      <w:r w:rsidR="00442E54" w:rsidRPr="00230BF6">
        <w:rPr>
          <w:rFonts w:ascii="Times New Roman" w:hAnsi="Times New Roman" w:cs="Times New Roman"/>
          <w:color w:val="000000" w:themeColor="text1"/>
          <w:sz w:val="24"/>
          <w:szCs w:val="24"/>
        </w:rPr>
        <w:t>C</w:t>
      </w:r>
      <w:r w:rsidR="00442E54">
        <w:rPr>
          <w:rFonts w:ascii="Times New Roman" w:hAnsi="Times New Roman" w:cs="Times New Roman"/>
          <w:color w:val="000000" w:themeColor="text1"/>
          <w:sz w:val="24"/>
          <w:szCs w:val="24"/>
        </w:rPr>
        <w:t>OVID</w:t>
      </w:r>
      <w:r w:rsidR="00442E54" w:rsidRPr="00230BF6">
        <w:rPr>
          <w:rFonts w:ascii="Times New Roman" w:hAnsi="Times New Roman" w:cs="Times New Roman"/>
          <w:color w:val="000000" w:themeColor="text1"/>
          <w:sz w:val="24"/>
          <w:szCs w:val="24"/>
        </w:rPr>
        <w:t xml:space="preserve"> </w:t>
      </w:r>
      <w:r w:rsidRPr="00230BF6">
        <w:rPr>
          <w:rFonts w:ascii="Times New Roman" w:hAnsi="Times New Roman" w:cs="Times New Roman"/>
          <w:color w:val="000000" w:themeColor="text1"/>
          <w:sz w:val="24"/>
          <w:szCs w:val="24"/>
        </w:rPr>
        <w:t xml:space="preserve">period, </w:t>
      </w:r>
      <w:r w:rsidRPr="00230BF6">
        <w:rPr>
          <w:rFonts w:ascii="Times New Roman" w:hAnsi="Times New Roman" w:cs="Times New Roman"/>
          <w:i/>
          <w:color w:val="000000" w:themeColor="text1"/>
          <w:sz w:val="24"/>
          <w:szCs w:val="24"/>
        </w:rPr>
        <w:t>h</w:t>
      </w:r>
      <w:r w:rsidRPr="00230BF6">
        <w:rPr>
          <w:rFonts w:ascii="Times New Roman" w:hAnsi="Times New Roman" w:cs="Times New Roman"/>
          <w:i/>
          <w:color w:val="000000" w:themeColor="text1"/>
          <w:sz w:val="24"/>
          <w:szCs w:val="24"/>
          <w:vertAlign w:val="subscript"/>
        </w:rPr>
        <w:t>it</w:t>
      </w:r>
      <w:r w:rsidRPr="00230BF6">
        <w:rPr>
          <w:rFonts w:ascii="Times New Roman" w:hAnsi="Times New Roman" w:cs="Times New Roman"/>
          <w:color w:val="000000" w:themeColor="text1"/>
          <w:sz w:val="24"/>
          <w:szCs w:val="24"/>
        </w:rPr>
        <w:t xml:space="preserve"> is conditional variance, and </w:t>
      </w:r>
      <w:proofErr w:type="spellStart"/>
      <w:r w:rsidRPr="00230BF6">
        <w:rPr>
          <w:rFonts w:ascii="Times New Roman" w:hAnsi="Times New Roman" w:cs="Times New Roman"/>
          <w:i/>
          <w:color w:val="000000" w:themeColor="text1"/>
          <w:sz w:val="24"/>
          <w:szCs w:val="24"/>
        </w:rPr>
        <w:t>e</w:t>
      </w:r>
      <w:r w:rsidRPr="00230BF6">
        <w:rPr>
          <w:rFonts w:ascii="Times New Roman" w:hAnsi="Times New Roman" w:cs="Times New Roman"/>
          <w:i/>
          <w:color w:val="000000" w:themeColor="text1"/>
          <w:sz w:val="24"/>
          <w:szCs w:val="24"/>
          <w:vertAlign w:val="subscript"/>
        </w:rPr>
        <w:t>it</w:t>
      </w:r>
      <w:proofErr w:type="spellEnd"/>
      <w:r w:rsidRPr="00230BF6">
        <w:rPr>
          <w:rFonts w:ascii="Times New Roman" w:hAnsi="Times New Roman" w:cs="Times New Roman"/>
          <w:color w:val="000000" w:themeColor="text1"/>
          <w:sz w:val="24"/>
          <w:szCs w:val="24"/>
        </w:rPr>
        <w:t xml:space="preserve"> is random error.</w:t>
      </w:r>
      <w:r w:rsidR="00A44E41">
        <w:rPr>
          <w:rFonts w:ascii="Times New Roman" w:hAnsi="Times New Roman" w:cs="Times New Roman"/>
          <w:color w:val="000000" w:themeColor="text1"/>
          <w:sz w:val="24"/>
          <w:szCs w:val="24"/>
        </w:rPr>
        <w:t xml:space="preserve"> </w:t>
      </w:r>
      <w:r w:rsidR="00A44E41" w:rsidRPr="00C51B6E">
        <w:rPr>
          <w:rFonts w:ascii="Times New Roman" w:hAnsi="Times New Roman" w:cs="Times New Roman"/>
          <w:color w:val="000000" w:themeColor="text1"/>
          <w:sz w:val="24"/>
          <w:szCs w:val="24"/>
          <w:highlight w:val="yellow"/>
        </w:rPr>
        <w:t>There are four countries</w:t>
      </w:r>
      <w:r w:rsidR="00F677D3" w:rsidRPr="00C51B6E">
        <w:rPr>
          <w:rFonts w:ascii="Times New Roman" w:hAnsi="Times New Roman" w:cs="Times New Roman"/>
          <w:color w:val="000000" w:themeColor="text1"/>
          <w:sz w:val="24"/>
          <w:szCs w:val="24"/>
          <w:highlight w:val="yellow"/>
        </w:rPr>
        <w:t xml:space="preserve"> (Kuwait, </w:t>
      </w:r>
      <w:r w:rsidR="00C51B6E" w:rsidRPr="00C51B6E">
        <w:rPr>
          <w:rFonts w:ascii="Times New Roman" w:hAnsi="Times New Roman" w:cs="Times New Roman"/>
          <w:color w:val="000000" w:themeColor="text1"/>
          <w:sz w:val="24"/>
          <w:szCs w:val="24"/>
          <w:highlight w:val="yellow"/>
        </w:rPr>
        <w:t>Saudi Arabia, Qatar, and UAE)</w:t>
      </w:r>
      <w:r w:rsidR="00A44E41" w:rsidRPr="00C51B6E">
        <w:rPr>
          <w:rFonts w:ascii="Times New Roman" w:hAnsi="Times New Roman" w:cs="Times New Roman"/>
          <w:color w:val="000000" w:themeColor="text1"/>
          <w:sz w:val="24"/>
          <w:szCs w:val="24"/>
          <w:highlight w:val="yellow"/>
        </w:rPr>
        <w:t xml:space="preserve"> </w:t>
      </w:r>
      <w:r w:rsidR="00B3160D" w:rsidRPr="00C51B6E">
        <w:rPr>
          <w:rFonts w:ascii="Times New Roman" w:hAnsi="Times New Roman" w:cs="Times New Roman"/>
          <w:color w:val="000000" w:themeColor="text1"/>
          <w:sz w:val="24"/>
          <w:szCs w:val="24"/>
          <w:highlight w:val="yellow"/>
        </w:rPr>
        <w:t>in our sample where the oil to GDP rent exceeds 20%. T</w:t>
      </w:r>
      <w:r w:rsidR="00C51B6E" w:rsidRPr="00C51B6E">
        <w:rPr>
          <w:rFonts w:ascii="Times New Roman" w:hAnsi="Times New Roman" w:cs="Times New Roman"/>
          <w:color w:val="000000" w:themeColor="text1"/>
          <w:sz w:val="24"/>
          <w:szCs w:val="24"/>
          <w:highlight w:val="yellow"/>
        </w:rPr>
        <w:t>o control this</w:t>
      </w:r>
      <w:r w:rsidR="00B3160D" w:rsidRPr="00C51B6E">
        <w:rPr>
          <w:rFonts w:ascii="Times New Roman" w:hAnsi="Times New Roman" w:cs="Times New Roman"/>
          <w:color w:val="000000" w:themeColor="text1"/>
          <w:sz w:val="24"/>
          <w:szCs w:val="24"/>
          <w:highlight w:val="yellow"/>
        </w:rPr>
        <w:t xml:space="preserve">, we </w:t>
      </w:r>
      <w:r w:rsidR="00C51B6E" w:rsidRPr="00C51B6E">
        <w:rPr>
          <w:rFonts w:ascii="Times New Roman" w:hAnsi="Times New Roman" w:cs="Times New Roman"/>
          <w:color w:val="000000" w:themeColor="text1"/>
          <w:sz w:val="24"/>
          <w:szCs w:val="24"/>
          <w:highlight w:val="yellow"/>
        </w:rPr>
        <w:t>further</w:t>
      </w:r>
      <w:r w:rsidR="00B3160D" w:rsidRPr="00C51B6E">
        <w:rPr>
          <w:rFonts w:ascii="Times New Roman" w:hAnsi="Times New Roman" w:cs="Times New Roman"/>
          <w:color w:val="000000" w:themeColor="text1"/>
          <w:sz w:val="24"/>
          <w:szCs w:val="24"/>
          <w:highlight w:val="yellow"/>
        </w:rPr>
        <w:t xml:space="preserve"> introduce a dummy O</w:t>
      </w:r>
      <w:r w:rsidR="00F677D3" w:rsidRPr="00C51B6E">
        <w:rPr>
          <w:rFonts w:ascii="Times New Roman" w:hAnsi="Times New Roman" w:cs="Times New Roman"/>
          <w:color w:val="000000" w:themeColor="text1"/>
          <w:sz w:val="24"/>
          <w:szCs w:val="24"/>
          <w:highlight w:val="yellow"/>
        </w:rPr>
        <w:t xml:space="preserve">D that </w:t>
      </w:r>
      <w:r w:rsidR="00C51B6E" w:rsidRPr="00C51B6E">
        <w:rPr>
          <w:rFonts w:ascii="Times New Roman" w:hAnsi="Times New Roman" w:cs="Times New Roman"/>
          <w:color w:val="000000" w:themeColor="text1"/>
          <w:sz w:val="24"/>
          <w:szCs w:val="24"/>
          <w:highlight w:val="yellow"/>
        </w:rPr>
        <w:t>assumes a value of</w:t>
      </w:r>
      <w:r w:rsidR="00F677D3" w:rsidRPr="00C51B6E">
        <w:rPr>
          <w:rFonts w:ascii="Times New Roman" w:hAnsi="Times New Roman" w:cs="Times New Roman"/>
          <w:color w:val="000000" w:themeColor="text1"/>
          <w:sz w:val="24"/>
          <w:szCs w:val="24"/>
          <w:highlight w:val="yellow"/>
        </w:rPr>
        <w:t xml:space="preserve"> 1 if the fund is from one of th</w:t>
      </w:r>
      <w:r w:rsidR="00C51B6E" w:rsidRPr="00C51B6E">
        <w:rPr>
          <w:rFonts w:ascii="Times New Roman" w:hAnsi="Times New Roman" w:cs="Times New Roman"/>
          <w:color w:val="000000" w:themeColor="text1"/>
          <w:sz w:val="24"/>
          <w:szCs w:val="24"/>
          <w:highlight w:val="yellow"/>
        </w:rPr>
        <w:t>e oil-dependent</w:t>
      </w:r>
      <w:r w:rsidR="00F677D3" w:rsidRPr="00C51B6E">
        <w:rPr>
          <w:rFonts w:ascii="Times New Roman" w:hAnsi="Times New Roman" w:cs="Times New Roman"/>
          <w:color w:val="000000" w:themeColor="text1"/>
          <w:sz w:val="24"/>
          <w:szCs w:val="24"/>
          <w:highlight w:val="yellow"/>
        </w:rPr>
        <w:t xml:space="preserve"> countries and 0 otherwise.</w:t>
      </w:r>
      <w:r w:rsidR="00B3160D">
        <w:rPr>
          <w:rFonts w:ascii="Times New Roman" w:hAnsi="Times New Roman" w:cs="Times New Roman"/>
          <w:color w:val="000000" w:themeColor="text1"/>
          <w:sz w:val="24"/>
          <w:szCs w:val="24"/>
        </w:rPr>
        <w:t xml:space="preserve"> </w:t>
      </w:r>
      <w:r w:rsidRPr="00230BF6">
        <w:rPr>
          <w:rFonts w:ascii="Times New Roman" w:hAnsi="Times New Roman" w:cs="Times New Roman"/>
          <w:color w:val="000000" w:themeColor="text1"/>
          <w:sz w:val="24"/>
          <w:szCs w:val="24"/>
        </w:rPr>
        <w:t xml:space="preserve"> The parameters are </w:t>
      </w:r>
      <w:r w:rsidR="00D1204F">
        <w:rPr>
          <w:rFonts w:ascii="Times New Roman" w:hAnsi="Times New Roman" w:cs="Times New Roman"/>
          <w:color w:val="000000" w:themeColor="text1"/>
          <w:sz w:val="24"/>
          <w:szCs w:val="24"/>
        </w:rPr>
        <w:t>represented</w:t>
      </w:r>
      <w:r w:rsidRPr="00230BF6">
        <w:rPr>
          <w:rFonts w:ascii="Times New Roman" w:hAnsi="Times New Roman" w:cs="Times New Roman"/>
          <w:color w:val="000000" w:themeColor="text1"/>
          <w:sz w:val="24"/>
          <w:szCs w:val="24"/>
        </w:rPr>
        <w:t xml:space="preserve"> as </w:t>
      </w:r>
      <w:r w:rsidRPr="00230BF6">
        <w:rPr>
          <w:rFonts w:ascii="Times New Roman" w:hAnsi="Times New Roman" w:cs="Times New Roman"/>
          <w:i/>
          <w:color w:val="000000" w:themeColor="text1"/>
          <w:sz w:val="24"/>
          <w:szCs w:val="24"/>
        </w:rPr>
        <w:t>α</w:t>
      </w:r>
      <w:proofErr w:type="spellStart"/>
      <w:r w:rsidRPr="00230BF6">
        <w:rPr>
          <w:rFonts w:ascii="Times New Roman" w:hAnsi="Times New Roman" w:cs="Times New Roman"/>
          <w:i/>
          <w:color w:val="000000" w:themeColor="text1"/>
          <w:sz w:val="24"/>
          <w:szCs w:val="24"/>
          <w:vertAlign w:val="subscript"/>
        </w:rPr>
        <w:t>i</w:t>
      </w:r>
      <w:proofErr w:type="spellEnd"/>
      <w:r w:rsidRPr="00230BF6">
        <w:rPr>
          <w:rFonts w:ascii="Times New Roman" w:hAnsi="Times New Roman" w:cs="Times New Roman"/>
          <w:color w:val="000000" w:themeColor="text1"/>
          <w:sz w:val="24"/>
          <w:szCs w:val="24"/>
        </w:rPr>
        <w:t xml:space="preserve">, </w:t>
      </w:r>
      <w:r w:rsidRPr="00230BF6">
        <w:rPr>
          <w:rFonts w:ascii="Times New Roman" w:hAnsi="Times New Roman" w:cs="Times New Roman"/>
          <w:i/>
          <w:color w:val="000000" w:themeColor="text1"/>
          <w:sz w:val="24"/>
          <w:szCs w:val="24"/>
        </w:rPr>
        <w:t>β</w:t>
      </w:r>
      <w:proofErr w:type="spellStart"/>
      <w:r w:rsidRPr="00230BF6">
        <w:rPr>
          <w:rFonts w:ascii="Times New Roman" w:hAnsi="Times New Roman" w:cs="Times New Roman"/>
          <w:i/>
          <w:color w:val="000000" w:themeColor="text1"/>
          <w:sz w:val="24"/>
          <w:szCs w:val="24"/>
          <w:vertAlign w:val="subscript"/>
        </w:rPr>
        <w:t>i</w:t>
      </w:r>
      <w:proofErr w:type="spellEnd"/>
      <w:r w:rsidRPr="00230BF6">
        <w:rPr>
          <w:rFonts w:ascii="Times New Roman" w:hAnsi="Times New Roman" w:cs="Times New Roman"/>
          <w:color w:val="000000" w:themeColor="text1"/>
          <w:sz w:val="24"/>
          <w:szCs w:val="24"/>
        </w:rPr>
        <w:t xml:space="preserve">, </w:t>
      </w:r>
      <w:proofErr w:type="spellStart"/>
      <w:r w:rsidRPr="00230BF6">
        <w:rPr>
          <w:rFonts w:ascii="Times New Roman" w:hAnsi="Times New Roman" w:cs="Times New Roman"/>
          <w:i/>
          <w:color w:val="000000" w:themeColor="text1"/>
          <w:sz w:val="24"/>
          <w:szCs w:val="24"/>
        </w:rPr>
        <w:t>ϕ</w:t>
      </w:r>
      <w:r w:rsidRPr="00230BF6">
        <w:rPr>
          <w:rFonts w:ascii="Times New Roman" w:hAnsi="Times New Roman" w:cs="Times New Roman"/>
          <w:i/>
          <w:color w:val="000000" w:themeColor="text1"/>
          <w:sz w:val="24"/>
          <w:szCs w:val="24"/>
          <w:vertAlign w:val="subscript"/>
        </w:rPr>
        <w:t>i</w:t>
      </w:r>
      <w:proofErr w:type="spellEnd"/>
      <w:r w:rsidRPr="00230BF6">
        <w:rPr>
          <w:rFonts w:ascii="Times New Roman" w:hAnsi="Times New Roman" w:cs="Times New Roman"/>
          <w:color w:val="000000" w:themeColor="text1"/>
          <w:sz w:val="24"/>
          <w:szCs w:val="24"/>
        </w:rPr>
        <w:t xml:space="preserve">, </w:t>
      </w:r>
      <w:r w:rsidRPr="00230BF6">
        <w:rPr>
          <w:rFonts w:ascii="Times New Roman" w:hAnsi="Times New Roman" w:cs="Times New Roman"/>
          <w:i/>
          <w:color w:val="000000" w:themeColor="text1"/>
          <w:sz w:val="24"/>
          <w:szCs w:val="24"/>
        </w:rPr>
        <w:t>c</w:t>
      </w:r>
      <w:r w:rsidRPr="00230BF6">
        <w:rPr>
          <w:rFonts w:ascii="Times New Roman" w:hAnsi="Times New Roman" w:cs="Times New Roman"/>
          <w:i/>
          <w:color w:val="000000" w:themeColor="text1"/>
          <w:sz w:val="24"/>
          <w:szCs w:val="24"/>
          <w:vertAlign w:val="subscript"/>
        </w:rPr>
        <w:t>i</w:t>
      </w:r>
      <w:r w:rsidRPr="00230BF6">
        <w:rPr>
          <w:rFonts w:ascii="Times New Roman" w:hAnsi="Times New Roman" w:cs="Times New Roman"/>
          <w:color w:val="000000" w:themeColor="text1"/>
          <w:sz w:val="24"/>
          <w:szCs w:val="24"/>
        </w:rPr>
        <w:t xml:space="preserve">, </w:t>
      </w:r>
      <w:r w:rsidRPr="00230BF6">
        <w:rPr>
          <w:rFonts w:ascii="Times New Roman" w:hAnsi="Times New Roman" w:cs="Times New Roman"/>
          <w:i/>
          <w:color w:val="000000" w:themeColor="text1"/>
          <w:sz w:val="24"/>
          <w:szCs w:val="24"/>
        </w:rPr>
        <w:t>a</w:t>
      </w:r>
      <w:r w:rsidRPr="00230BF6">
        <w:rPr>
          <w:rFonts w:ascii="Times New Roman" w:hAnsi="Times New Roman" w:cs="Times New Roman"/>
          <w:i/>
          <w:color w:val="000000" w:themeColor="text1"/>
          <w:sz w:val="24"/>
          <w:szCs w:val="24"/>
          <w:vertAlign w:val="subscript"/>
        </w:rPr>
        <w:t>i</w:t>
      </w:r>
      <w:r w:rsidRPr="00230BF6">
        <w:rPr>
          <w:rFonts w:ascii="Times New Roman" w:hAnsi="Times New Roman" w:cs="Times New Roman"/>
          <w:color w:val="000000" w:themeColor="text1"/>
          <w:sz w:val="24"/>
          <w:szCs w:val="24"/>
        </w:rPr>
        <w:t xml:space="preserve">, </w:t>
      </w:r>
      <w:r w:rsidRPr="00230BF6">
        <w:rPr>
          <w:rFonts w:ascii="Times New Roman" w:hAnsi="Times New Roman" w:cs="Times New Roman"/>
          <w:i/>
          <w:color w:val="000000" w:themeColor="text1"/>
          <w:sz w:val="24"/>
          <w:szCs w:val="24"/>
        </w:rPr>
        <w:t>b</w:t>
      </w:r>
      <w:r w:rsidRPr="00230BF6">
        <w:rPr>
          <w:rFonts w:ascii="Times New Roman" w:hAnsi="Times New Roman" w:cs="Times New Roman"/>
          <w:i/>
          <w:color w:val="000000" w:themeColor="text1"/>
          <w:sz w:val="24"/>
          <w:szCs w:val="24"/>
          <w:vertAlign w:val="subscript"/>
        </w:rPr>
        <w:t>i,</w:t>
      </w:r>
      <w:r w:rsidRPr="00230BF6">
        <w:rPr>
          <w:rFonts w:ascii="Times New Roman" w:hAnsi="Times New Roman" w:cs="Times New Roman"/>
          <w:color w:val="000000" w:themeColor="text1"/>
          <w:sz w:val="24"/>
          <w:szCs w:val="24"/>
        </w:rPr>
        <w:t xml:space="preserve"> and </w:t>
      </w:r>
      <w:proofErr w:type="spellStart"/>
      <w:r w:rsidRPr="00230BF6">
        <w:rPr>
          <w:rFonts w:ascii="Times New Roman" w:hAnsi="Times New Roman" w:cs="Times New Roman"/>
          <w:i/>
          <w:color w:val="000000" w:themeColor="text1"/>
          <w:sz w:val="24"/>
          <w:szCs w:val="24"/>
        </w:rPr>
        <w:t>δ</w:t>
      </w:r>
      <w:r w:rsidRPr="00230BF6">
        <w:rPr>
          <w:rFonts w:ascii="Times New Roman" w:hAnsi="Times New Roman" w:cs="Times New Roman"/>
          <w:i/>
          <w:color w:val="000000" w:themeColor="text1"/>
          <w:sz w:val="24"/>
          <w:szCs w:val="24"/>
          <w:vertAlign w:val="subscript"/>
        </w:rPr>
        <w:t>i</w:t>
      </w:r>
      <w:proofErr w:type="spellEnd"/>
      <w:r w:rsidRPr="00230BF6">
        <w:rPr>
          <w:rFonts w:ascii="Times New Roman" w:hAnsi="Times New Roman" w:cs="Times New Roman"/>
          <w:color w:val="000000" w:themeColor="text1"/>
          <w:sz w:val="24"/>
          <w:szCs w:val="24"/>
        </w:rPr>
        <w:t xml:space="preserve"> that corresponds to the errors in variables. The loading </w:t>
      </w:r>
      <w:proofErr w:type="spellStart"/>
      <w:r w:rsidRPr="00230BF6">
        <w:rPr>
          <w:rFonts w:ascii="Times New Roman" w:hAnsi="Times New Roman" w:cs="Times New Roman"/>
          <w:i/>
          <w:color w:val="000000" w:themeColor="text1"/>
          <w:sz w:val="24"/>
          <w:szCs w:val="24"/>
        </w:rPr>
        <w:t>τ</w:t>
      </w:r>
      <w:r w:rsidRPr="00230BF6">
        <w:rPr>
          <w:rFonts w:ascii="Times New Roman" w:hAnsi="Times New Roman" w:cs="Times New Roman"/>
          <w:i/>
          <w:color w:val="000000" w:themeColor="text1"/>
          <w:sz w:val="24"/>
          <w:szCs w:val="24"/>
          <w:vertAlign w:val="subscript"/>
        </w:rPr>
        <w:t>i</w:t>
      </w:r>
      <w:proofErr w:type="spellEnd"/>
      <w:r w:rsidRPr="00230BF6">
        <w:rPr>
          <w:rFonts w:ascii="Times New Roman" w:hAnsi="Times New Roman" w:cs="Times New Roman"/>
          <w:i/>
          <w:color w:val="000000" w:themeColor="text1"/>
          <w:sz w:val="24"/>
          <w:szCs w:val="24"/>
        </w:rPr>
        <w:t xml:space="preserve"> </w:t>
      </w:r>
      <w:r w:rsidR="00D1204F">
        <w:rPr>
          <w:rFonts w:ascii="Times New Roman" w:hAnsi="Times New Roman" w:cs="Times New Roman"/>
          <w:color w:val="000000" w:themeColor="text1"/>
          <w:sz w:val="24"/>
          <w:szCs w:val="24"/>
        </w:rPr>
        <w:t>captures</w:t>
      </w:r>
      <w:r w:rsidRPr="00230BF6">
        <w:rPr>
          <w:rFonts w:ascii="Times New Roman" w:hAnsi="Times New Roman" w:cs="Times New Roman"/>
          <w:color w:val="000000" w:themeColor="text1"/>
          <w:sz w:val="24"/>
          <w:szCs w:val="24"/>
        </w:rPr>
        <w:t xml:space="preserve"> the cumulative abnormal returns.</w:t>
      </w:r>
      <w:r w:rsidR="00D1204F">
        <w:rPr>
          <w:rFonts w:ascii="Times New Roman" w:hAnsi="Times New Roman" w:cs="Times New Roman"/>
          <w:color w:val="000000" w:themeColor="text1"/>
          <w:sz w:val="24"/>
          <w:szCs w:val="24"/>
        </w:rPr>
        <w:t xml:space="preserve"> We estimate CARs for the entire period as well as for each of the </w:t>
      </w:r>
      <w:r w:rsidR="006B16C5">
        <w:rPr>
          <w:rFonts w:ascii="Times New Roman" w:hAnsi="Times New Roman" w:cs="Times New Roman"/>
          <w:color w:val="000000" w:themeColor="text1"/>
          <w:sz w:val="24"/>
          <w:szCs w:val="24"/>
        </w:rPr>
        <w:t>six</w:t>
      </w:r>
      <w:r w:rsidR="00D1204F">
        <w:rPr>
          <w:rFonts w:ascii="Times New Roman" w:hAnsi="Times New Roman" w:cs="Times New Roman"/>
          <w:color w:val="000000" w:themeColor="text1"/>
          <w:sz w:val="24"/>
          <w:szCs w:val="24"/>
        </w:rPr>
        <w:t xml:space="preserve"> stages.  </w:t>
      </w:r>
      <w:r w:rsidRPr="00230BF6">
        <w:rPr>
          <w:rFonts w:ascii="Times New Roman" w:hAnsi="Times New Roman" w:cs="Times New Roman"/>
          <w:color w:val="000000" w:themeColor="text1"/>
          <w:sz w:val="24"/>
          <w:szCs w:val="24"/>
        </w:rPr>
        <w:t xml:space="preserve"> </w:t>
      </w:r>
    </w:p>
    <w:p w14:paraId="043FADC2" w14:textId="79EA44D1" w:rsidR="002C6BB5" w:rsidRPr="00D1204F" w:rsidRDefault="00D85537" w:rsidP="002307D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2.4</w:t>
      </w:r>
      <w:r w:rsidR="002C6BB5" w:rsidRPr="0006721E">
        <w:rPr>
          <w:rFonts w:ascii="Times New Roman" w:hAnsi="Times New Roman" w:cs="Times New Roman"/>
          <w:b/>
          <w:sz w:val="24"/>
          <w:szCs w:val="24"/>
        </w:rPr>
        <w:tab/>
      </w:r>
      <w:r w:rsidR="00442E54" w:rsidRPr="0006721E">
        <w:rPr>
          <w:rFonts w:ascii="Times New Roman" w:hAnsi="Times New Roman" w:cs="Times New Roman"/>
          <w:b/>
          <w:sz w:val="24"/>
          <w:szCs w:val="24"/>
        </w:rPr>
        <w:t>C</w:t>
      </w:r>
      <w:r w:rsidR="00442E54">
        <w:rPr>
          <w:rFonts w:ascii="Times New Roman" w:hAnsi="Times New Roman" w:cs="Times New Roman"/>
          <w:b/>
          <w:sz w:val="24"/>
          <w:szCs w:val="24"/>
        </w:rPr>
        <w:t>OVID</w:t>
      </w:r>
      <w:r w:rsidR="002C6BB5" w:rsidRPr="0006721E">
        <w:rPr>
          <w:rFonts w:ascii="Times New Roman" w:hAnsi="Times New Roman" w:cs="Times New Roman"/>
          <w:b/>
          <w:sz w:val="24"/>
          <w:szCs w:val="24"/>
        </w:rPr>
        <w:t>-19 and Investment Styles</w:t>
      </w:r>
    </w:p>
    <w:p w14:paraId="19F9A5C6" w14:textId="4F447D1B" w:rsidR="006A1B07" w:rsidRPr="0006721E" w:rsidRDefault="005A0D64" w:rsidP="006A1B07">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ab/>
      </w:r>
      <w:r w:rsidR="006A1B07" w:rsidRPr="0006721E">
        <w:rPr>
          <w:rFonts w:ascii="Times New Roman" w:hAnsi="Times New Roman" w:cs="Times New Roman"/>
          <w:sz w:val="24"/>
          <w:szCs w:val="24"/>
        </w:rPr>
        <w:t>The style analysis is central to assess</w:t>
      </w:r>
      <w:r w:rsidR="002908DA">
        <w:rPr>
          <w:rFonts w:ascii="Times New Roman" w:hAnsi="Times New Roman" w:cs="Times New Roman"/>
          <w:sz w:val="24"/>
          <w:szCs w:val="24"/>
        </w:rPr>
        <w:t>ing returns' sensitivity to various investment classes, strategies, and sectors</w:t>
      </w:r>
      <w:r w:rsidR="006A1B07" w:rsidRPr="0006721E">
        <w:rPr>
          <w:rFonts w:ascii="Times New Roman" w:hAnsi="Times New Roman" w:cs="Times New Roman"/>
          <w:sz w:val="24"/>
          <w:szCs w:val="24"/>
        </w:rPr>
        <w:t>.</w:t>
      </w:r>
      <w:r w:rsidR="005043C4" w:rsidRPr="005043C4">
        <w:t xml:space="preserve"> </w:t>
      </w:r>
      <w:r w:rsidR="005043C4" w:rsidRPr="005043C4">
        <w:rPr>
          <w:rFonts w:ascii="Times New Roman" w:hAnsi="Times New Roman" w:cs="Times New Roman"/>
          <w:sz w:val="24"/>
          <w:szCs w:val="24"/>
        </w:rPr>
        <w:t xml:space="preserve">The investment styles reflect a fund’s manager investment strategy to </w:t>
      </w:r>
      <w:r w:rsidR="008E061D">
        <w:rPr>
          <w:rFonts w:ascii="Times New Roman" w:hAnsi="Times New Roman" w:cs="Times New Roman"/>
          <w:sz w:val="24"/>
          <w:szCs w:val="24"/>
        </w:rPr>
        <w:t>choose</w:t>
      </w:r>
      <w:r w:rsidR="005043C4" w:rsidRPr="005043C4">
        <w:rPr>
          <w:rFonts w:ascii="Times New Roman" w:hAnsi="Times New Roman" w:cs="Times New Roman"/>
          <w:sz w:val="24"/>
          <w:szCs w:val="24"/>
        </w:rPr>
        <w:t xml:space="preserve"> asset classes of different characteristics</w:t>
      </w:r>
      <w:r w:rsidR="008E061D">
        <w:rPr>
          <w:rFonts w:ascii="Times New Roman" w:hAnsi="Times New Roman" w:cs="Times New Roman"/>
          <w:sz w:val="24"/>
          <w:szCs w:val="24"/>
        </w:rPr>
        <w:t>,</w:t>
      </w:r>
      <w:r w:rsidR="005043C4">
        <w:rPr>
          <w:rFonts w:ascii="Times New Roman" w:hAnsi="Times New Roman" w:cs="Times New Roman"/>
          <w:sz w:val="24"/>
          <w:szCs w:val="24"/>
        </w:rPr>
        <w:t xml:space="preserve"> which is important during </w:t>
      </w:r>
      <w:r w:rsidR="00492213">
        <w:rPr>
          <w:rFonts w:ascii="Times New Roman" w:hAnsi="Times New Roman" w:cs="Times New Roman"/>
          <w:sz w:val="24"/>
          <w:szCs w:val="24"/>
        </w:rPr>
        <w:t>financial</w:t>
      </w:r>
      <w:r w:rsidR="005043C4">
        <w:rPr>
          <w:rFonts w:ascii="Times New Roman" w:hAnsi="Times New Roman" w:cs="Times New Roman"/>
          <w:sz w:val="24"/>
          <w:szCs w:val="24"/>
        </w:rPr>
        <w:t xml:space="preserve"> </w:t>
      </w:r>
      <w:r w:rsidR="00492213">
        <w:rPr>
          <w:rFonts w:ascii="Times New Roman" w:hAnsi="Times New Roman" w:cs="Times New Roman"/>
          <w:sz w:val="24"/>
          <w:szCs w:val="24"/>
        </w:rPr>
        <w:t>turbulence</w:t>
      </w:r>
      <w:r w:rsidR="005043C4" w:rsidRPr="005043C4">
        <w:rPr>
          <w:rFonts w:ascii="Times New Roman" w:hAnsi="Times New Roman" w:cs="Times New Roman"/>
          <w:sz w:val="24"/>
          <w:szCs w:val="24"/>
        </w:rPr>
        <w:t>. The differentiation can be based on capitalization (large vs. small), value, growth or momentum, sectoral factors (cyclical vs. non-cyclical), etc. The changing market conditions may warrant a variation in investment styles for actively managed funds</w:t>
      </w:r>
      <w:r w:rsidR="005043C4">
        <w:rPr>
          <w:rFonts w:ascii="Times New Roman" w:hAnsi="Times New Roman" w:cs="Times New Roman"/>
          <w:sz w:val="24"/>
          <w:szCs w:val="24"/>
        </w:rPr>
        <w:t>.</w:t>
      </w:r>
      <w:r w:rsidR="006A1B07" w:rsidRPr="0006721E">
        <w:rPr>
          <w:rFonts w:ascii="Times New Roman" w:hAnsi="Times New Roman" w:cs="Times New Roman"/>
          <w:sz w:val="24"/>
          <w:szCs w:val="24"/>
        </w:rPr>
        <w:t xml:space="preserve"> </w:t>
      </w:r>
      <w:r w:rsidR="006A1B07"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{"citationItems":[{"id":"ITEM-1","itemData":{"DOI":"10.1016/j.jbankfin.2017.01.009","ISSN":"03784266","abstract":"This paper documents that small-cap mutual funds allocate on average 27% of their portfolio to mid- and large-cap stocks. We find that larger and older small-cap funds are more likely to hold mid- and large-cap stocks, consistent with funds straying from their objective over time. Funds that invest heavily in mid- and large-cap stocks expose their investors to unanticipated risks but investors do not experience higher abnormal returns or performance persistence overall. These funds did outperform their peers by 3% annually in the most recent period between January 2003 and March 2010.","author":[{"dropping-particle":"","family":"Cao","given":"Charles","non-dropping-particle":"","parse-names":false,"suffix":""},{"dropping-particle":"","family":"Iliev","given":"Peter","non-dropping-particle":"","parse-names":false,"suffix":""},{"dropping-particle":"","family":"Velthuis","given":"Raisa","non-dropping-particle":"","parse-names":false,"suffix":""}],"container-title":"Journal of Banking and Finance","id":"ITEM-1","issued":{"date-parts":[["2017","5","1"]]},"page":"42-57","publisher":"Elsevier B.V.","title":"Style drift: Evidence from small-cap mutual funds","type":"article-journal","volume":"78"},"uris":["http://www.mendeley.com/documents/?uuid=fc91f51e-9943-3605-8b28-7a74421ddfe0"]}],"mendeley":{"formattedCitation":"(Cao et al., 2017)","manualFormatting":"Cao et al.(2017)","plainTextFormattedCitation":"(Cao et al., 2017)","previouslyFormattedCitation":"(Cao et al., 2017)"},"properties":{"noteIndex":0},"schema":"https://github.com/citation-style-language/schema/raw/master/csl-citation.json"}</w:instrText>
      </w:r>
      <w:r w:rsidR="006A1B07" w:rsidRPr="0006721E">
        <w:rPr>
          <w:rFonts w:ascii="Times New Roman" w:hAnsi="Times New Roman" w:cs="Times New Roman"/>
          <w:sz w:val="24"/>
          <w:szCs w:val="24"/>
        </w:rPr>
        <w:fldChar w:fldCharType="separate"/>
      </w:r>
      <w:r w:rsidR="006A1B07" w:rsidRPr="0006721E">
        <w:rPr>
          <w:rFonts w:ascii="Times New Roman" w:hAnsi="Times New Roman" w:cs="Times New Roman"/>
          <w:noProof/>
          <w:sz w:val="24"/>
          <w:szCs w:val="24"/>
        </w:rPr>
        <w:t>Cao et al.</w:t>
      </w:r>
      <w:r w:rsidR="00442E54">
        <w:rPr>
          <w:rFonts w:ascii="Times New Roman" w:hAnsi="Times New Roman" w:cs="Times New Roman"/>
          <w:noProof/>
          <w:sz w:val="24"/>
          <w:szCs w:val="24"/>
        </w:rPr>
        <w:t>(2</w:t>
      </w:r>
      <w:r w:rsidR="006A1B07" w:rsidRPr="0006721E">
        <w:rPr>
          <w:rFonts w:ascii="Times New Roman" w:hAnsi="Times New Roman" w:cs="Times New Roman"/>
          <w:noProof/>
          <w:sz w:val="24"/>
          <w:szCs w:val="24"/>
        </w:rPr>
        <w:t>017)</w:t>
      </w:r>
      <w:r w:rsidR="006A1B07" w:rsidRPr="0006721E">
        <w:rPr>
          <w:rFonts w:ascii="Times New Roman" w:hAnsi="Times New Roman" w:cs="Times New Roman"/>
          <w:sz w:val="24"/>
          <w:szCs w:val="24"/>
        </w:rPr>
        <w:fldChar w:fldCharType="end"/>
      </w:r>
      <w:r w:rsidR="006A1B07" w:rsidRPr="0006721E">
        <w:rPr>
          <w:rFonts w:ascii="Times New Roman" w:hAnsi="Times New Roman" w:cs="Times New Roman"/>
          <w:sz w:val="24"/>
          <w:szCs w:val="24"/>
        </w:rPr>
        <w:t xml:space="preserve"> and </w:t>
      </w:r>
      <w:r w:rsidR="006A1B07"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{"citationItems":[{"id":"ITEM-1","itemData":{"DOI":"10.1016/j.econmod.2019.10.004","ISSN":"02649993","abstract":"Style drift contributes to mutual fund performance at the cost of additional risks associated with styles. We find that, although style drift enhances the net return of Chinese mutual funds by 3.03% per month relative to peer funds, the profit is at risk. That is, applying the Carhart four-factor model with style drift leaves fund investors no significant premium (i.e. α=0.02% per month, t=0.20). Both active and passive style drifts can leverage up fund performance, but risk-adjusted returns show that low passive style drift funds benefit more from subsequent active style drifts than high passive style drift funds. Cross-sectional results are consistent with portfolio results, and further show that the predictive power of style drift is neither driven by insider information nor by idiosyncratic volatility.","author":[{"dropping-particle":"","family":"Sha","given":"Yezhou","non-dropping-particle":"","parse-names":false,"suffix":""}],"container-title":"Economic Modelling","id":"ITEM-1","issued":{"date-parts":[["2020","3","1"]]},"page":"264-273","publisher":"Elsevier B.V.","title":"The devil in the style: Mutual fund style drift, performance and common risk factors","type":"article-journal","volume":"86"},"uris":["http://www.mendeley.com/documents/?uuid=0eb0db80-0588-3084-934b-d5122d55facb"]}],"mendeley":{"formattedCitation":"(Sha, 2020)","manualFormatting":"Sha (2020)","plainTextFormattedCitation":"(Sha, 2020)","previouslyFormattedCitation":"(Sha, 2020)"},"properties":{"noteIndex":0},"schema":"https://github.com/citation-style-language/schema/raw/master/csl-citation.json"}</w:instrText>
      </w:r>
      <w:r w:rsidR="006A1B07" w:rsidRPr="0006721E">
        <w:rPr>
          <w:rFonts w:ascii="Times New Roman" w:hAnsi="Times New Roman" w:cs="Times New Roman"/>
          <w:sz w:val="24"/>
          <w:szCs w:val="24"/>
        </w:rPr>
        <w:fldChar w:fldCharType="separate"/>
      </w:r>
      <w:r w:rsidR="006A1B07" w:rsidRPr="0006721E">
        <w:rPr>
          <w:rFonts w:ascii="Times New Roman" w:hAnsi="Times New Roman" w:cs="Times New Roman"/>
          <w:noProof/>
          <w:sz w:val="24"/>
          <w:szCs w:val="24"/>
        </w:rPr>
        <w:t xml:space="preserve">Sha </w:t>
      </w:r>
      <w:r w:rsidR="00442E54">
        <w:rPr>
          <w:rFonts w:ascii="Times New Roman" w:hAnsi="Times New Roman" w:cs="Times New Roman"/>
          <w:noProof/>
          <w:sz w:val="24"/>
          <w:szCs w:val="24"/>
        </w:rPr>
        <w:t>(</w:t>
      </w:r>
      <w:r w:rsidR="006A1B07" w:rsidRPr="0006721E">
        <w:rPr>
          <w:rFonts w:ascii="Times New Roman" w:hAnsi="Times New Roman" w:cs="Times New Roman"/>
          <w:noProof/>
          <w:sz w:val="24"/>
          <w:szCs w:val="24"/>
        </w:rPr>
        <w:t>2020)</w:t>
      </w:r>
      <w:r w:rsidR="006A1B07" w:rsidRPr="0006721E">
        <w:rPr>
          <w:rFonts w:ascii="Times New Roman" w:hAnsi="Times New Roman" w:cs="Times New Roman"/>
          <w:sz w:val="24"/>
          <w:szCs w:val="24"/>
        </w:rPr>
        <w:fldChar w:fldCharType="end"/>
      </w:r>
      <w:r w:rsidR="006A1B07" w:rsidRPr="0006721E">
        <w:rPr>
          <w:rFonts w:ascii="Times New Roman" w:hAnsi="Times New Roman" w:cs="Times New Roman"/>
          <w:sz w:val="24"/>
          <w:szCs w:val="24"/>
        </w:rPr>
        <w:t xml:space="preserve"> suggest that performing fund managers </w:t>
      </w:r>
      <w:r w:rsidR="00442E54">
        <w:rPr>
          <w:rFonts w:ascii="Times New Roman" w:hAnsi="Times New Roman" w:cs="Times New Roman"/>
          <w:sz w:val="24"/>
          <w:szCs w:val="24"/>
        </w:rPr>
        <w:t xml:space="preserve">can </w:t>
      </w:r>
      <w:r w:rsidR="005043C4">
        <w:rPr>
          <w:rFonts w:ascii="Times New Roman" w:hAnsi="Times New Roman" w:cs="Times New Roman"/>
          <w:sz w:val="24"/>
          <w:szCs w:val="24"/>
        </w:rPr>
        <w:t>utilize</w:t>
      </w:r>
      <w:r w:rsidR="006A1B07" w:rsidRPr="0006721E">
        <w:rPr>
          <w:rFonts w:ascii="Times New Roman" w:hAnsi="Times New Roman" w:cs="Times New Roman"/>
          <w:sz w:val="24"/>
          <w:szCs w:val="24"/>
        </w:rPr>
        <w:t xml:space="preserve"> </w:t>
      </w:r>
      <w:r w:rsidR="00442E54">
        <w:rPr>
          <w:rFonts w:ascii="Times New Roman" w:hAnsi="Times New Roman" w:cs="Times New Roman"/>
          <w:sz w:val="24"/>
          <w:szCs w:val="24"/>
        </w:rPr>
        <w:t xml:space="preserve">different </w:t>
      </w:r>
      <w:r w:rsidR="006A1B07" w:rsidRPr="0006721E">
        <w:rPr>
          <w:rFonts w:ascii="Times New Roman" w:hAnsi="Times New Roman" w:cs="Times New Roman"/>
          <w:sz w:val="24"/>
          <w:szCs w:val="24"/>
        </w:rPr>
        <w:t>investment styles t</w:t>
      </w:r>
      <w:r w:rsidR="002908DA">
        <w:rPr>
          <w:rFonts w:ascii="Times New Roman" w:hAnsi="Times New Roman" w:cs="Times New Roman"/>
          <w:sz w:val="24"/>
          <w:szCs w:val="24"/>
        </w:rPr>
        <w:t>o</w:t>
      </w:r>
      <w:r w:rsidR="006A1B07" w:rsidRPr="0006721E">
        <w:rPr>
          <w:rFonts w:ascii="Times New Roman" w:hAnsi="Times New Roman" w:cs="Times New Roman"/>
          <w:sz w:val="24"/>
          <w:szCs w:val="24"/>
        </w:rPr>
        <w:t xml:space="preserve"> ad</w:t>
      </w:r>
      <w:r w:rsidR="002908DA">
        <w:rPr>
          <w:rFonts w:ascii="Times New Roman" w:hAnsi="Times New Roman" w:cs="Times New Roman"/>
          <w:sz w:val="24"/>
          <w:szCs w:val="24"/>
        </w:rPr>
        <w:t>a</w:t>
      </w:r>
      <w:r w:rsidR="006A1B07" w:rsidRPr="0006721E">
        <w:rPr>
          <w:rFonts w:ascii="Times New Roman" w:hAnsi="Times New Roman" w:cs="Times New Roman"/>
          <w:sz w:val="24"/>
          <w:szCs w:val="24"/>
        </w:rPr>
        <w:t xml:space="preserve">pt to the changing market conditions. The style analysis </w:t>
      </w:r>
      <w:r w:rsidR="002908DA">
        <w:rPr>
          <w:rFonts w:ascii="Times New Roman" w:hAnsi="Times New Roman" w:cs="Times New Roman"/>
          <w:sz w:val="24"/>
          <w:szCs w:val="24"/>
        </w:rPr>
        <w:t>helps assess</w:t>
      </w:r>
      <w:r w:rsidR="006A1B07" w:rsidRPr="0006721E">
        <w:rPr>
          <w:rFonts w:ascii="Times New Roman" w:hAnsi="Times New Roman" w:cs="Times New Roman"/>
          <w:sz w:val="24"/>
          <w:szCs w:val="24"/>
        </w:rPr>
        <w:t xml:space="preserve"> the fund</w:t>
      </w:r>
      <w:r w:rsidR="002908DA">
        <w:rPr>
          <w:rFonts w:ascii="Times New Roman" w:hAnsi="Times New Roman" w:cs="Times New Roman"/>
          <w:sz w:val="24"/>
          <w:szCs w:val="24"/>
        </w:rPr>
        <w:t>'</w:t>
      </w:r>
      <w:r w:rsidR="006A1B07" w:rsidRPr="0006721E">
        <w:rPr>
          <w:rFonts w:ascii="Times New Roman" w:hAnsi="Times New Roman" w:cs="Times New Roman"/>
          <w:sz w:val="24"/>
          <w:szCs w:val="24"/>
        </w:rPr>
        <w:t>s manager’s preferences across</w:t>
      </w:r>
      <w:r w:rsidR="00442E54">
        <w:rPr>
          <w:rFonts w:ascii="Times New Roman" w:hAnsi="Times New Roman" w:cs="Times New Roman"/>
          <w:sz w:val="24"/>
          <w:szCs w:val="24"/>
        </w:rPr>
        <w:t xml:space="preserve"> </w:t>
      </w:r>
      <w:r w:rsidR="005043C4">
        <w:rPr>
          <w:rFonts w:ascii="Times New Roman" w:hAnsi="Times New Roman" w:cs="Times New Roman"/>
          <w:sz w:val="24"/>
          <w:szCs w:val="24"/>
        </w:rPr>
        <w:t>various</w:t>
      </w:r>
      <w:r w:rsidR="006A1B07" w:rsidRPr="0006721E">
        <w:rPr>
          <w:rFonts w:ascii="Times New Roman" w:hAnsi="Times New Roman" w:cs="Times New Roman"/>
          <w:sz w:val="24"/>
          <w:szCs w:val="24"/>
        </w:rPr>
        <w:t xml:space="preserve"> sectors </w:t>
      </w:r>
      <w:r w:rsidR="006A1B07"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{"citationItems":[{"id":"ITEM-1","itemData":{"DOI":"10.1057/s41260-019-00123-7","ISSN":"1479179X","abstract":"Japanese investors maybe considering adding emerging market (EM) equities to their portfolios. What type of baseline EM exposure might be most suitable for Japanese investors? Given recent improvements in benchmark technology, more extensive data coverage and empirical research in the underlying drivers of equity returns, Japanese investors can consider selecting, or designing, an EM benchmark that is most advantageous. The author shows that a traditional market-capitalization EM benchmark (e.g., MSCI EM index) may not be best-suited. Based on recent research showing that EM returns are influenced by sector and style exposures, in addition to country exposures, the author presents three alternative EM benchmarks that have provided better diversification, risk-adjusted returns and lower performance drawdowns for Japanese investors, compared to a traditional EM benchmark. Japanese investors should consider adopting one of these alternative EM benchmarks to represent their baseline EM allocation.","author":[{"dropping-particle":"","family":"Parikh","given":"Harsh","non-dropping-particle":"","parse-names":false,"suffix":""}],"container-title":"Journal of Asset Management","id":"ITEM-1","issue":"4","issued":{"date-parts":[["2019","7","1"]]},"page":"289-300","publisher":"Palgrave Macmillan Ltd.","title":"Emerging market equity benchmarks for Japanese investors: countries, sectors or styles?","type":"article-journal","volume":"20"},"uris":["http://www.mendeley.com/documents/?uuid=18407d0e-232d-3a1f-ada4-3fcef8ce27b9"]}],"mendeley":{"formattedCitation":"(Parikh, 2019)","manualFormatting":"Parikh (2019)","plainTextFormattedCitation":"(Parikh, 2019)","previouslyFormattedCitation":"(Parikh, 2019)"},"properties":{"noteIndex":0},"schema":"https://github.com/citation-style-language/schema/raw/master/csl-citation.json"}</w:instrText>
      </w:r>
      <w:r w:rsidR="006A1B07" w:rsidRPr="0006721E">
        <w:rPr>
          <w:rFonts w:ascii="Times New Roman" w:hAnsi="Times New Roman" w:cs="Times New Roman"/>
          <w:sz w:val="24"/>
          <w:szCs w:val="24"/>
        </w:rPr>
        <w:fldChar w:fldCharType="separate"/>
      </w:r>
      <w:r w:rsidR="006A1B07" w:rsidRPr="0006721E">
        <w:rPr>
          <w:rFonts w:ascii="Times New Roman" w:hAnsi="Times New Roman" w:cs="Times New Roman"/>
          <w:noProof/>
          <w:sz w:val="24"/>
          <w:szCs w:val="24"/>
        </w:rPr>
        <w:t xml:space="preserve">Parikh </w:t>
      </w:r>
      <w:r w:rsidR="00442E54">
        <w:rPr>
          <w:rFonts w:ascii="Times New Roman" w:hAnsi="Times New Roman" w:cs="Times New Roman"/>
          <w:noProof/>
          <w:sz w:val="24"/>
          <w:szCs w:val="24"/>
        </w:rPr>
        <w:t>(</w:t>
      </w:r>
      <w:r w:rsidR="006A1B07" w:rsidRPr="0006721E">
        <w:rPr>
          <w:rFonts w:ascii="Times New Roman" w:hAnsi="Times New Roman" w:cs="Times New Roman"/>
          <w:noProof/>
          <w:sz w:val="24"/>
          <w:szCs w:val="24"/>
        </w:rPr>
        <w:t>2019)</w:t>
      </w:r>
      <w:r w:rsidR="006A1B07" w:rsidRPr="0006721E">
        <w:rPr>
          <w:rFonts w:ascii="Times New Roman" w:hAnsi="Times New Roman" w:cs="Times New Roman"/>
          <w:sz w:val="24"/>
          <w:szCs w:val="24"/>
        </w:rPr>
        <w:fldChar w:fldCharType="end"/>
      </w:r>
      <w:r w:rsidR="006A1B07" w:rsidRPr="0006721E">
        <w:rPr>
          <w:rFonts w:ascii="Times New Roman" w:hAnsi="Times New Roman" w:cs="Times New Roman"/>
          <w:sz w:val="24"/>
          <w:szCs w:val="24"/>
        </w:rPr>
        <w:t xml:space="preserve"> and various characteristics </w:t>
      </w:r>
      <w:r w:rsidR="006A1B07"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{"citationItems":[{"id":"ITEM-1","itemData":{"DOI":"10.1057/s41260-019-00148-y","ISSN":"1479179X","abstract":"This study provides finer-grained results on the financial effectiveness of ESG integration for mainstream active investment styles. We account for firm size, industry and country effects within ESG scores and introduce the concept of ESG risk materiality. Empirical evidence shows that US and European investors can raise their portfolio’s ESG level and increase risk-adjusted performance at the same time. Therefore, we add to the growing demand for sustainable products in the traditional investment industry and overcome the notion of ESG integration being a burden to traditional investment strategies.","author":[{"dropping-particle":"","family":"Kaiser","given":"Lars","non-dropping-particle":"","parse-names":false,"suffix":""}],"container-title":"Journal of Asset Management","id":"ITEM-1","issue":"1","issued":{"date-parts":[["2020","2","1"]]},"page":"32-51","publisher":"Palgrave Macmillan Ltd.","title":"ESG integration: value, growth and momentum","type":"article-journal","volume":"21"},"uris":["http://www.mendeley.com/documents/?uuid=55711a7c-f051-3894-b7c6-7e9190aa28c3"]}],"mendeley":{"formattedCitation":"(Kaiser, 2020)","manualFormatting":"Kaiser (2020)","plainTextFormattedCitation":"(Kaiser, 2020)","previouslyFormattedCitation":"(Kaiser, 2020)"},"properties":{"noteIndex":0},"schema":"https://github.com/citation-style-language/schema/raw/master/csl-citation.json"}</w:instrText>
      </w:r>
      <w:r w:rsidR="006A1B07" w:rsidRPr="0006721E">
        <w:rPr>
          <w:rFonts w:ascii="Times New Roman" w:hAnsi="Times New Roman" w:cs="Times New Roman"/>
          <w:sz w:val="24"/>
          <w:szCs w:val="24"/>
        </w:rPr>
        <w:fldChar w:fldCharType="separate"/>
      </w:r>
      <w:r w:rsidR="006A1B07" w:rsidRPr="0006721E">
        <w:rPr>
          <w:rFonts w:ascii="Times New Roman" w:hAnsi="Times New Roman" w:cs="Times New Roman"/>
          <w:noProof/>
          <w:sz w:val="24"/>
          <w:szCs w:val="24"/>
        </w:rPr>
        <w:t xml:space="preserve">Kaiser </w:t>
      </w:r>
      <w:r w:rsidR="00442E54">
        <w:rPr>
          <w:rFonts w:ascii="Times New Roman" w:hAnsi="Times New Roman" w:cs="Times New Roman"/>
          <w:noProof/>
          <w:sz w:val="24"/>
          <w:szCs w:val="24"/>
        </w:rPr>
        <w:t>(</w:t>
      </w:r>
      <w:r w:rsidR="006A1B07" w:rsidRPr="0006721E">
        <w:rPr>
          <w:rFonts w:ascii="Times New Roman" w:hAnsi="Times New Roman" w:cs="Times New Roman"/>
          <w:noProof/>
          <w:sz w:val="24"/>
          <w:szCs w:val="24"/>
        </w:rPr>
        <w:t>2020)</w:t>
      </w:r>
      <w:r w:rsidR="006A1B07" w:rsidRPr="0006721E">
        <w:rPr>
          <w:rFonts w:ascii="Times New Roman" w:hAnsi="Times New Roman" w:cs="Times New Roman"/>
          <w:sz w:val="24"/>
          <w:szCs w:val="24"/>
        </w:rPr>
        <w:fldChar w:fldCharType="end"/>
      </w:r>
      <w:r w:rsidR="006A1B07" w:rsidRPr="0006721E">
        <w:rPr>
          <w:rFonts w:ascii="Times New Roman" w:hAnsi="Times New Roman" w:cs="Times New Roman"/>
          <w:sz w:val="24"/>
          <w:szCs w:val="24"/>
        </w:rPr>
        <w:t xml:space="preserve">. We use the standard factorial approach of </w:t>
      </w:r>
      <w:r w:rsidR="006A1B07"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{"citationItems":[{"id":"ITEM-1","itemData":{"DOI":"10.3905/jpm.1992.409394","ISSN":"0095-4918","abstract":"It is widely agreed that asset allocation accounts for a large part of the variability in the return on a typical investor's portfolio. This is especially true if the overall portfolio is invested in multiple funds, each including a number of securities. Asset allocation is generally defined as the allocation of an investor's portfolio among a number of \"major\" asset classes. Clearly such a generalization cannot be made operational without defining such classes. Once a set of asset classes has been defined, it is important to determine the exposures of each component of an investor's overall portfolio to movements in their returns. Such information can be aggregated to determine the investor's overall effective asset mix. If it does not conform to the desired mix, appropriate alterations can then be made. Once a procedure for measuring exposures to variations in returns of major asset classes is in place, it is possible to determine how effectively individual fund managers have performed their functions and the extent (if any) to which value has been added through active management. Finally, the effectiveness of the investor's overall asset allocation can be compared with that of one or more benchmark asset mixes. An effective way to accomplish all these tasks is to use an asset class factor model. After describing the characteristics of such a model, we illustrate applications of a model with twelve asset classes to analyze the performance of a set of open-end mutual funds between 1985 and 1989","author":[{"dropping-particle":"","family":"Sharpe","given":"William","non-dropping-particle":"","parse-names":false,"suffix":""}],"container-title":"The Journal of Portfolio Management","id":"ITEM-1","issue":"2","issued":{"date-parts":[["1992","1","31"]]},"page":"7-19","publisher":"Institutional Investor Journals Umbrella","title":"Asset allocation: Management style and performance measurement","type":"article-journal","volume":"18"},"uris":["http://www.mendeley.com/documents/?uuid=0dd3e651-a649-3f39-afec-0e11a709b757"]}],"mendeley":{"formattedCitation":"(W. Sharpe, 1992)","manualFormatting":"Sharpe (1992)","plainTextFormattedCitation":"(W. Sharpe, 1992)","previouslyFormattedCitation":"(W. Sharpe, 1992)"},"properties":{"noteIndex":0},"schema":"https://github.com/citation-style-language/schema/raw/master/csl-citation.json"}</w:instrText>
      </w:r>
      <w:r w:rsidR="006A1B07" w:rsidRPr="0006721E">
        <w:rPr>
          <w:rFonts w:ascii="Times New Roman" w:hAnsi="Times New Roman" w:cs="Times New Roman"/>
          <w:sz w:val="24"/>
          <w:szCs w:val="24"/>
        </w:rPr>
        <w:fldChar w:fldCharType="separate"/>
      </w:r>
      <w:r w:rsidR="00154F20" w:rsidRPr="0006721E">
        <w:rPr>
          <w:rFonts w:ascii="Times New Roman" w:hAnsi="Times New Roman" w:cs="Times New Roman"/>
          <w:noProof/>
          <w:sz w:val="24"/>
          <w:szCs w:val="24"/>
        </w:rPr>
        <w:t xml:space="preserve">Sharpe </w:t>
      </w:r>
      <w:r w:rsidR="00442E54">
        <w:rPr>
          <w:rFonts w:ascii="Times New Roman" w:hAnsi="Times New Roman" w:cs="Times New Roman"/>
          <w:noProof/>
          <w:sz w:val="24"/>
          <w:szCs w:val="24"/>
        </w:rPr>
        <w:t>(</w:t>
      </w:r>
      <w:r w:rsidR="00154F20" w:rsidRPr="0006721E">
        <w:rPr>
          <w:rFonts w:ascii="Times New Roman" w:hAnsi="Times New Roman" w:cs="Times New Roman"/>
          <w:noProof/>
          <w:sz w:val="24"/>
          <w:szCs w:val="24"/>
        </w:rPr>
        <w:t>1992)</w:t>
      </w:r>
      <w:r w:rsidR="006A1B07" w:rsidRPr="0006721E">
        <w:rPr>
          <w:rFonts w:ascii="Times New Roman" w:hAnsi="Times New Roman" w:cs="Times New Roman"/>
          <w:sz w:val="24"/>
          <w:szCs w:val="24"/>
        </w:rPr>
        <w:fldChar w:fldCharType="end"/>
      </w:r>
      <w:r w:rsidR="00442E54">
        <w:rPr>
          <w:rFonts w:ascii="Times New Roman" w:hAnsi="Times New Roman" w:cs="Times New Roman"/>
          <w:sz w:val="24"/>
          <w:szCs w:val="24"/>
        </w:rPr>
        <w:t xml:space="preserve">, </w:t>
      </w:r>
      <w:r w:rsidR="006A1B07" w:rsidRPr="0006721E">
        <w:rPr>
          <w:rFonts w:ascii="Times New Roman" w:hAnsi="Times New Roman" w:cs="Times New Roman"/>
          <w:sz w:val="24"/>
          <w:szCs w:val="24"/>
        </w:rPr>
        <w:t xml:space="preserve"> </w:t>
      </w:r>
      <w:r w:rsidR="00442E54">
        <w:rPr>
          <w:rFonts w:ascii="Times New Roman" w:hAnsi="Times New Roman" w:cs="Times New Roman"/>
          <w:sz w:val="24"/>
          <w:szCs w:val="24"/>
        </w:rPr>
        <w:t xml:space="preserve">the </w:t>
      </w:r>
      <w:r w:rsidR="006A1B07" w:rsidRPr="0006721E">
        <w:rPr>
          <w:rFonts w:ascii="Times New Roman" w:hAnsi="Times New Roman" w:cs="Times New Roman"/>
          <w:sz w:val="24"/>
          <w:szCs w:val="24"/>
        </w:rPr>
        <w:t>return for each fund (</w:t>
      </w:r>
      <w:proofErr w:type="spellStart"/>
      <w:r w:rsidR="006A1B07" w:rsidRPr="0006721E">
        <w:rPr>
          <w:rFonts w:ascii="Times New Roman" w:hAnsi="Times New Roman" w:cs="Times New Roman"/>
          <w:sz w:val="24"/>
          <w:szCs w:val="24"/>
        </w:rPr>
        <w:t>R</w:t>
      </w:r>
      <w:r w:rsidR="006A1B07" w:rsidRPr="0006721E">
        <w:rPr>
          <w:rFonts w:ascii="Times New Roman" w:hAnsi="Times New Roman" w:cs="Times New Roman"/>
          <w:sz w:val="24"/>
          <w:szCs w:val="24"/>
          <w:vertAlign w:val="subscript"/>
        </w:rPr>
        <w:t>i,t</w:t>
      </w:r>
      <w:proofErr w:type="spellEnd"/>
      <w:r w:rsidR="006A1B07" w:rsidRPr="0006721E">
        <w:rPr>
          <w:rFonts w:ascii="Times New Roman" w:hAnsi="Times New Roman" w:cs="Times New Roman"/>
          <w:sz w:val="24"/>
          <w:szCs w:val="24"/>
        </w:rPr>
        <w:t>)</w:t>
      </w:r>
      <w:r w:rsidR="00442E54">
        <w:rPr>
          <w:rFonts w:ascii="Times New Roman" w:hAnsi="Times New Roman" w:cs="Times New Roman"/>
          <w:sz w:val="24"/>
          <w:szCs w:val="24"/>
        </w:rPr>
        <w:t xml:space="preserve"> </w:t>
      </w:r>
      <w:r w:rsidR="006A1B07" w:rsidRPr="0006721E">
        <w:rPr>
          <w:rFonts w:ascii="Times New Roman" w:hAnsi="Times New Roman" w:cs="Times New Roman"/>
          <w:sz w:val="24"/>
          <w:szCs w:val="24"/>
        </w:rPr>
        <w:t xml:space="preserve">is expressed as    </w:t>
      </w:r>
    </w:p>
    <w:p w14:paraId="19595C8C" w14:textId="0793E6E1" w:rsidR="006A1B07" w:rsidRPr="0006721E" w:rsidRDefault="00492213" w:rsidP="006528E4">
      <w:pPr>
        <w:spacing w:after="0" w:line="480" w:lineRule="auto"/>
        <w:ind w:firstLine="720"/>
        <w:jc w:val="both"/>
        <w:rPr>
          <w:rFonts w:ascii="Times New Roman" w:hAnsi="Times New Roman" w:cs="Times New Roman"/>
          <w:sz w:val="24"/>
          <w:szCs w:val="24"/>
        </w:rPr>
      </w:pPr>
      <w:r w:rsidRPr="005043C4">
        <w:rPr>
          <w:rFonts w:ascii="Times New Roman" w:hAnsi="Times New Roman" w:cs="Times New Roman"/>
          <w:sz w:val="20"/>
          <w:szCs w:val="20"/>
        </w:rPr>
        <w:object w:dxaOrig="3640" w:dyaOrig="380" w14:anchorId="6E9D4209">
          <v:shape id="_x0000_i1030" type="#_x0000_t75" style="width:236pt;height:21pt" o:ole="">
            <v:imagedata r:id="rId17" o:title=""/>
          </v:shape>
          <o:OLEObject Type="Embed" ProgID="Equation.3" ShapeID="_x0000_i1030" DrawAspect="Content" ObjectID="_1694867752" r:id="rId18"/>
        </w:object>
      </w:r>
      <w:r w:rsidR="006A1B07" w:rsidRPr="0006721E">
        <w:rPr>
          <w:rFonts w:ascii="Times New Roman" w:hAnsi="Times New Roman" w:cs="Times New Roman"/>
          <w:sz w:val="24"/>
          <w:szCs w:val="24"/>
        </w:rPr>
        <w:tab/>
      </w:r>
      <w:r w:rsidR="006A1B07" w:rsidRPr="0006721E">
        <w:rPr>
          <w:rFonts w:ascii="Times New Roman" w:hAnsi="Times New Roman" w:cs="Times New Roman"/>
          <w:sz w:val="24"/>
          <w:szCs w:val="24"/>
        </w:rPr>
        <w:tab/>
      </w:r>
      <w:r w:rsidR="006A1B07" w:rsidRPr="0006721E">
        <w:rPr>
          <w:rFonts w:ascii="Times New Roman" w:hAnsi="Times New Roman" w:cs="Times New Roman"/>
          <w:sz w:val="24"/>
          <w:szCs w:val="24"/>
        </w:rPr>
        <w:tab/>
      </w:r>
      <w:r w:rsidR="006A1B07" w:rsidRPr="0006721E">
        <w:rPr>
          <w:rFonts w:ascii="Times New Roman" w:hAnsi="Times New Roman" w:cs="Times New Roman"/>
          <w:sz w:val="24"/>
          <w:szCs w:val="24"/>
        </w:rPr>
        <w:tab/>
      </w:r>
      <w:r w:rsidR="006A1B07" w:rsidRPr="0006721E">
        <w:rPr>
          <w:rFonts w:ascii="Times New Roman" w:hAnsi="Times New Roman" w:cs="Times New Roman"/>
          <w:sz w:val="24"/>
          <w:szCs w:val="24"/>
        </w:rPr>
        <w:tab/>
      </w:r>
      <w:proofErr w:type="gramStart"/>
      <w:r w:rsidR="00230BF6">
        <w:rPr>
          <w:rFonts w:ascii="Times New Roman" w:hAnsi="Times New Roman" w:cs="Times New Roman"/>
          <w:sz w:val="24"/>
          <w:szCs w:val="24"/>
        </w:rPr>
        <w:t>. . . .</w:t>
      </w:r>
      <w:proofErr w:type="gramEnd"/>
      <w:r w:rsidR="00230BF6">
        <w:rPr>
          <w:rFonts w:ascii="Times New Roman" w:hAnsi="Times New Roman" w:cs="Times New Roman"/>
          <w:sz w:val="24"/>
          <w:szCs w:val="24"/>
        </w:rPr>
        <w:t>(</w:t>
      </w:r>
      <w:r w:rsidR="00442E54">
        <w:rPr>
          <w:rFonts w:ascii="Times New Roman" w:hAnsi="Times New Roman" w:cs="Times New Roman"/>
          <w:sz w:val="24"/>
          <w:szCs w:val="24"/>
        </w:rPr>
        <w:t>7</w:t>
      </w:r>
      <w:r w:rsidR="006A1B07" w:rsidRPr="0006721E">
        <w:rPr>
          <w:rFonts w:ascii="Times New Roman" w:hAnsi="Times New Roman" w:cs="Times New Roman"/>
          <w:sz w:val="24"/>
          <w:szCs w:val="24"/>
        </w:rPr>
        <w:t>)</w:t>
      </w:r>
    </w:p>
    <w:p w14:paraId="14402281" w14:textId="77777777" w:rsidR="006A1B07" w:rsidRPr="0006721E" w:rsidRDefault="006A1B07" w:rsidP="006A1B07">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I</w:t>
      </w:r>
      <w:r w:rsidRPr="0006721E">
        <w:rPr>
          <w:rFonts w:ascii="Times New Roman" w:hAnsi="Times New Roman" w:cs="Times New Roman"/>
          <w:sz w:val="24"/>
          <w:szCs w:val="24"/>
          <w:vertAlign w:val="subscript"/>
        </w:rPr>
        <w:t>t</w:t>
      </w:r>
      <w:r w:rsidRPr="0006721E">
        <w:rPr>
          <w:rFonts w:ascii="Times New Roman" w:hAnsi="Times New Roman" w:cs="Times New Roman"/>
          <w:sz w:val="24"/>
          <w:szCs w:val="24"/>
        </w:rPr>
        <w:t xml:space="preserve"> represents </w:t>
      </w:r>
      <w:r w:rsidR="002908DA">
        <w:rPr>
          <w:rFonts w:ascii="Times New Roman" w:hAnsi="Times New Roman" w:cs="Times New Roman"/>
          <w:sz w:val="24"/>
          <w:szCs w:val="24"/>
        </w:rPr>
        <w:t xml:space="preserve">the </w:t>
      </w:r>
      <w:r w:rsidRPr="0006721E">
        <w:rPr>
          <w:rFonts w:ascii="Times New Roman" w:hAnsi="Times New Roman" w:cs="Times New Roman"/>
          <w:sz w:val="24"/>
          <w:szCs w:val="24"/>
        </w:rPr>
        <w:t>return on style benchmark, b</w:t>
      </w:r>
      <w:r w:rsidRPr="0006721E">
        <w:rPr>
          <w:rFonts w:ascii="Times New Roman" w:hAnsi="Times New Roman" w:cs="Times New Roman"/>
          <w:sz w:val="24"/>
          <w:szCs w:val="24"/>
          <w:vertAlign w:val="subscript"/>
        </w:rPr>
        <w:t>it</w:t>
      </w:r>
      <w:r w:rsidRPr="0006721E">
        <w:rPr>
          <w:rFonts w:ascii="Times New Roman" w:hAnsi="Times New Roman" w:cs="Times New Roman"/>
          <w:sz w:val="24"/>
          <w:szCs w:val="24"/>
        </w:rPr>
        <w:t xml:space="preserve"> is the percentage of the funds return explained by the style. The model advocates that the variation in fund’s return is reflected by the style factor </w:t>
      </w:r>
      <w:proofErr w:type="spellStart"/>
      <w:proofErr w:type="gramStart"/>
      <w:r w:rsidRPr="0006721E">
        <w:rPr>
          <w:rFonts w:ascii="Times New Roman" w:hAnsi="Times New Roman" w:cs="Times New Roman"/>
          <w:sz w:val="24"/>
          <w:szCs w:val="24"/>
        </w:rPr>
        <w:t>b</w:t>
      </w:r>
      <w:r w:rsidRPr="0006721E">
        <w:rPr>
          <w:rFonts w:ascii="Times New Roman" w:hAnsi="Times New Roman" w:cs="Times New Roman"/>
          <w:sz w:val="24"/>
          <w:szCs w:val="24"/>
          <w:vertAlign w:val="subscript"/>
        </w:rPr>
        <w:t>i,t</w:t>
      </w:r>
      <w:proofErr w:type="spellEnd"/>
      <w:proofErr w:type="gramEnd"/>
      <w:r w:rsidRPr="0006721E">
        <w:rPr>
          <w:rFonts w:ascii="Times New Roman" w:hAnsi="Times New Roman" w:cs="Times New Roman"/>
          <w:sz w:val="24"/>
          <w:szCs w:val="24"/>
        </w:rPr>
        <w:t xml:space="preserve"> such that it minimizes </w:t>
      </w:r>
      <w:proofErr w:type="spellStart"/>
      <w:r w:rsidRPr="0006721E">
        <w:rPr>
          <w:rFonts w:ascii="Times New Roman" w:hAnsi="Times New Roman" w:cs="Times New Roman"/>
          <w:sz w:val="24"/>
          <w:szCs w:val="24"/>
        </w:rPr>
        <w:t>e</w:t>
      </w:r>
      <w:r w:rsidRPr="0006721E">
        <w:rPr>
          <w:rFonts w:ascii="Times New Roman" w:hAnsi="Times New Roman" w:cs="Times New Roman"/>
          <w:sz w:val="24"/>
          <w:szCs w:val="24"/>
          <w:vertAlign w:val="subscript"/>
        </w:rPr>
        <w:t>i,t</w:t>
      </w:r>
      <w:proofErr w:type="spellEnd"/>
      <w:r w:rsidRPr="0006721E">
        <w:rPr>
          <w:rFonts w:ascii="Times New Roman" w:hAnsi="Times New Roman" w:cs="Times New Roman"/>
          <w:sz w:val="24"/>
          <w:szCs w:val="24"/>
        </w:rPr>
        <w:t>. This results in the following</w:t>
      </w:r>
      <w:r w:rsidR="00F83DBB">
        <w:rPr>
          <w:rFonts w:ascii="Times New Roman" w:hAnsi="Times New Roman" w:cs="Times New Roman"/>
          <w:sz w:val="24"/>
          <w:szCs w:val="24"/>
        </w:rPr>
        <w:t>:</w:t>
      </w:r>
    </w:p>
    <w:p w14:paraId="7B7878D0" w14:textId="05C77F73" w:rsidR="006A1B07" w:rsidRPr="0006721E" w:rsidRDefault="00492213" w:rsidP="00492213">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object w:dxaOrig="5240" w:dyaOrig="680" w14:anchorId="21FB349B">
          <v:shape id="_x0000_i1031" type="#_x0000_t75" style="width:4in;height:34.5pt" o:ole="">
            <v:imagedata r:id="rId19" o:title=""/>
          </v:shape>
          <o:OLEObject Type="Embed" ProgID="Equation.3" ShapeID="_x0000_i1031" DrawAspect="Content" ObjectID="_1694867753" r:id="rId20"/>
        </w:object>
      </w:r>
      <w:r w:rsidR="006A1B07" w:rsidRPr="0006721E">
        <w:rPr>
          <w:rFonts w:ascii="Times New Roman" w:hAnsi="Times New Roman" w:cs="Times New Roman"/>
          <w:sz w:val="24"/>
          <w:szCs w:val="24"/>
        </w:rPr>
        <w:t xml:space="preserve">   </w:t>
      </w:r>
      <w:r w:rsidR="006A1B07" w:rsidRPr="0006721E">
        <w:rPr>
          <w:rFonts w:ascii="Times New Roman" w:hAnsi="Times New Roman" w:cs="Times New Roman"/>
          <w:sz w:val="24"/>
          <w:szCs w:val="24"/>
        </w:rPr>
        <w:tab/>
      </w:r>
      <w:r w:rsidR="006A1B07" w:rsidRPr="0006721E">
        <w:rPr>
          <w:rFonts w:ascii="Times New Roman" w:hAnsi="Times New Roman" w:cs="Times New Roman"/>
          <w:sz w:val="24"/>
          <w:szCs w:val="24"/>
        </w:rPr>
        <w:tab/>
      </w:r>
      <w:r w:rsidR="006A1B07" w:rsidRPr="0006721E">
        <w:rPr>
          <w:rFonts w:ascii="Times New Roman" w:hAnsi="Times New Roman" w:cs="Times New Roman"/>
          <w:sz w:val="24"/>
          <w:szCs w:val="24"/>
        </w:rPr>
        <w:tab/>
      </w:r>
      <w:r w:rsidR="00230BF6">
        <w:rPr>
          <w:rFonts w:ascii="Times New Roman" w:hAnsi="Times New Roman" w:cs="Times New Roman"/>
          <w:sz w:val="24"/>
          <w:szCs w:val="24"/>
        </w:rPr>
        <w:t xml:space="preserve">. . </w:t>
      </w:r>
      <w:r w:rsidR="005043C4">
        <w:rPr>
          <w:rFonts w:ascii="Times New Roman" w:hAnsi="Times New Roman" w:cs="Times New Roman"/>
          <w:sz w:val="24"/>
          <w:szCs w:val="24"/>
        </w:rPr>
        <w:t xml:space="preserve">     </w:t>
      </w:r>
      <w:r w:rsidR="00230BF6">
        <w:rPr>
          <w:rFonts w:ascii="Times New Roman" w:hAnsi="Times New Roman" w:cs="Times New Roman"/>
          <w:sz w:val="24"/>
          <w:szCs w:val="24"/>
        </w:rPr>
        <w:t xml:space="preserve"> (</w:t>
      </w:r>
      <w:r w:rsidR="00F83DBB">
        <w:rPr>
          <w:rFonts w:ascii="Times New Roman" w:hAnsi="Times New Roman" w:cs="Times New Roman"/>
          <w:sz w:val="24"/>
          <w:szCs w:val="24"/>
        </w:rPr>
        <w:t>8</w:t>
      </w:r>
      <w:r w:rsidR="006A1B07" w:rsidRPr="0006721E">
        <w:rPr>
          <w:rFonts w:ascii="Times New Roman" w:hAnsi="Times New Roman" w:cs="Times New Roman"/>
          <w:sz w:val="24"/>
          <w:szCs w:val="24"/>
        </w:rPr>
        <w:t>)</w:t>
      </w:r>
    </w:p>
    <w:p w14:paraId="57BFCE7A" w14:textId="088E516F" w:rsidR="006A1B07" w:rsidRPr="0006721E" w:rsidRDefault="006A1B07" w:rsidP="006A1B07">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 xml:space="preserve">with the constraints  </w:t>
      </w:r>
      <w:r w:rsidR="00F83DBB" w:rsidRPr="00181A9B">
        <w:rPr>
          <w:rFonts w:ascii="Times New Roman" w:hAnsi="Times New Roman" w:cs="Times New Roman"/>
          <w:sz w:val="20"/>
          <w:szCs w:val="20"/>
        </w:rPr>
        <w:object w:dxaOrig="960" w:dyaOrig="680" w14:anchorId="3D1DCFFD">
          <v:shape id="_x0000_i1032" type="#_x0000_t75" style="width:1in;height:31.5pt" o:ole="">
            <v:imagedata r:id="rId21" o:title=""/>
          </v:shape>
          <o:OLEObject Type="Embed" ProgID="Equation.3" ShapeID="_x0000_i1032" DrawAspect="Content" ObjectID="_1694867754" r:id="rId22"/>
        </w:object>
      </w:r>
      <w:r w:rsidRPr="0006721E">
        <w:rPr>
          <w:rFonts w:ascii="Times New Roman" w:hAnsi="Times New Roman" w:cs="Times New Roman"/>
          <w:sz w:val="24"/>
          <w:szCs w:val="24"/>
        </w:rPr>
        <w:tab/>
      </w:r>
      <w:r w:rsidR="00F83DBB" w:rsidRPr="0006721E">
        <w:rPr>
          <w:rFonts w:ascii="Times New Roman" w:hAnsi="Times New Roman" w:cs="Times New Roman"/>
          <w:sz w:val="24"/>
          <w:szCs w:val="24"/>
        </w:rPr>
        <w:object w:dxaOrig="1040" w:dyaOrig="380" w14:anchorId="3BC0E0CC">
          <v:shape id="_x0000_i1033" type="#_x0000_t75" style="width:51.5pt;height:20.5pt" o:ole="">
            <v:imagedata r:id="rId23" o:title=""/>
          </v:shape>
          <o:OLEObject Type="Embed" ProgID="Equation.3" ShapeID="_x0000_i1033" DrawAspect="Content" ObjectID="_1694867755" r:id="rId24"/>
        </w:object>
      </w:r>
      <w:r w:rsidRPr="0006721E">
        <w:rPr>
          <w:rFonts w:ascii="Times New Roman" w:hAnsi="Times New Roman" w:cs="Times New Roman"/>
          <w:sz w:val="24"/>
          <w:szCs w:val="24"/>
        </w:rPr>
        <w:t>k = 1,</w:t>
      </w:r>
      <w:proofErr w:type="gramStart"/>
      <w:r w:rsidRPr="0006721E">
        <w:rPr>
          <w:rFonts w:ascii="Times New Roman" w:hAnsi="Times New Roman" w:cs="Times New Roman"/>
          <w:sz w:val="24"/>
          <w:szCs w:val="24"/>
        </w:rPr>
        <w:t>2,3,…</w:t>
      </w:r>
      <w:proofErr w:type="gramEnd"/>
      <w:r w:rsidRPr="0006721E">
        <w:rPr>
          <w:rFonts w:ascii="Times New Roman" w:hAnsi="Times New Roman" w:cs="Times New Roman"/>
          <w:sz w:val="24"/>
          <w:szCs w:val="24"/>
        </w:rPr>
        <w:t xml:space="preserve">..,n </w:t>
      </w:r>
    </w:p>
    <w:p w14:paraId="74611587" w14:textId="43D7AB7E" w:rsidR="00F83DBB" w:rsidRDefault="006A1B07" w:rsidP="006A1B07">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t>To analyze the investment styles for Islamic and conventional equity funds, we use size (large, mid</w:t>
      </w:r>
      <w:r w:rsidR="002908DA">
        <w:rPr>
          <w:rFonts w:ascii="Times New Roman" w:hAnsi="Times New Roman" w:cs="Times New Roman"/>
          <w:sz w:val="24"/>
          <w:szCs w:val="24"/>
        </w:rPr>
        <w:t>,</w:t>
      </w:r>
      <w:r w:rsidRPr="0006721E">
        <w:rPr>
          <w:rFonts w:ascii="Times New Roman" w:hAnsi="Times New Roman" w:cs="Times New Roman"/>
          <w:sz w:val="24"/>
          <w:szCs w:val="24"/>
        </w:rPr>
        <w:t xml:space="preserve"> and small), </w:t>
      </w:r>
      <w:r w:rsidR="00253845">
        <w:rPr>
          <w:rFonts w:ascii="Times New Roman" w:hAnsi="Times New Roman" w:cs="Times New Roman"/>
          <w:sz w:val="24"/>
          <w:szCs w:val="24"/>
        </w:rPr>
        <w:t>factors</w:t>
      </w:r>
      <w:r w:rsidRPr="0006721E">
        <w:rPr>
          <w:rFonts w:ascii="Times New Roman" w:hAnsi="Times New Roman" w:cs="Times New Roman"/>
          <w:sz w:val="24"/>
          <w:szCs w:val="24"/>
        </w:rPr>
        <w:t xml:space="preserve"> (value, growth</w:t>
      </w:r>
      <w:r w:rsidR="002908DA">
        <w:rPr>
          <w:rFonts w:ascii="Times New Roman" w:hAnsi="Times New Roman" w:cs="Times New Roman"/>
          <w:sz w:val="24"/>
          <w:szCs w:val="24"/>
        </w:rPr>
        <w:t>,</w:t>
      </w:r>
      <w:r w:rsidRPr="0006721E">
        <w:rPr>
          <w:rFonts w:ascii="Times New Roman" w:hAnsi="Times New Roman" w:cs="Times New Roman"/>
          <w:sz w:val="24"/>
          <w:szCs w:val="24"/>
        </w:rPr>
        <w:t xml:space="preserve"> and momentum)</w:t>
      </w:r>
      <w:r w:rsidR="002908DA">
        <w:rPr>
          <w:rFonts w:ascii="Times New Roman" w:hAnsi="Times New Roman" w:cs="Times New Roman"/>
          <w:sz w:val="24"/>
          <w:szCs w:val="24"/>
        </w:rPr>
        <w:t>,</w:t>
      </w:r>
      <w:r w:rsidRPr="0006721E">
        <w:rPr>
          <w:rFonts w:ascii="Times New Roman" w:hAnsi="Times New Roman" w:cs="Times New Roman"/>
          <w:sz w:val="24"/>
          <w:szCs w:val="24"/>
        </w:rPr>
        <w:t xml:space="preserve"> and five sectoral benchmarks (MSCI). </w:t>
      </w:r>
      <w:r w:rsidR="002908DA">
        <w:rPr>
          <w:rFonts w:ascii="Times New Roman" w:hAnsi="Times New Roman" w:cs="Times New Roman"/>
          <w:sz w:val="24"/>
          <w:szCs w:val="24"/>
        </w:rPr>
        <w:t>This analysis aims to assess the possible drift in investment preferences during the outbreak. W</w:t>
      </w:r>
      <w:r w:rsidRPr="0006721E">
        <w:rPr>
          <w:rFonts w:ascii="Times New Roman" w:hAnsi="Times New Roman" w:cs="Times New Roman"/>
          <w:sz w:val="24"/>
          <w:szCs w:val="24"/>
        </w:rPr>
        <w:t xml:space="preserve">e conduct style analysis for </w:t>
      </w:r>
      <w:r w:rsidR="00FE1AC7">
        <w:rPr>
          <w:rFonts w:ascii="Times New Roman" w:hAnsi="Times New Roman" w:cs="Times New Roman"/>
          <w:sz w:val="24"/>
          <w:szCs w:val="24"/>
        </w:rPr>
        <w:t>all six</w:t>
      </w:r>
      <w:r w:rsidRPr="0006721E">
        <w:rPr>
          <w:rFonts w:ascii="Times New Roman" w:hAnsi="Times New Roman" w:cs="Times New Roman"/>
          <w:sz w:val="24"/>
          <w:szCs w:val="24"/>
        </w:rPr>
        <w:t xml:space="preserve"> stages and not for the </w:t>
      </w:r>
      <w:r w:rsidR="002908DA">
        <w:rPr>
          <w:rFonts w:ascii="Times New Roman" w:hAnsi="Times New Roman" w:cs="Times New Roman"/>
          <w:sz w:val="24"/>
          <w:szCs w:val="24"/>
        </w:rPr>
        <w:t>entir</w:t>
      </w:r>
      <w:r w:rsidRPr="0006721E">
        <w:rPr>
          <w:rFonts w:ascii="Times New Roman" w:hAnsi="Times New Roman" w:cs="Times New Roman"/>
          <w:sz w:val="24"/>
          <w:szCs w:val="24"/>
        </w:rPr>
        <w:t xml:space="preserve">e period.  </w:t>
      </w:r>
    </w:p>
    <w:p w14:paraId="4B83DBDF" w14:textId="77777777" w:rsidR="006A1B07" w:rsidRPr="0006721E" w:rsidRDefault="006A1B07" w:rsidP="006A1B07">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t xml:space="preserve"> </w:t>
      </w:r>
    </w:p>
    <w:p w14:paraId="1C96CF5C" w14:textId="77777777" w:rsidR="002C6BB5" w:rsidRPr="0006721E" w:rsidRDefault="00D85537" w:rsidP="002307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2C6BB5" w:rsidRPr="0006721E">
        <w:rPr>
          <w:rFonts w:ascii="Times New Roman" w:hAnsi="Times New Roman" w:cs="Times New Roman"/>
          <w:b/>
          <w:sz w:val="24"/>
          <w:szCs w:val="24"/>
        </w:rPr>
        <w:tab/>
        <w:t xml:space="preserve">Volatility Timing during Pandemic </w:t>
      </w:r>
    </w:p>
    <w:p w14:paraId="609DABA0" w14:textId="231CAED4" w:rsidR="009A1C02" w:rsidRPr="0006721E" w:rsidRDefault="009A1C02" w:rsidP="009A1C02">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t xml:space="preserve">The volatility timing is important for </w:t>
      </w:r>
      <w:r w:rsidR="002908DA">
        <w:rPr>
          <w:rFonts w:ascii="Times New Roman" w:hAnsi="Times New Roman" w:cs="Times New Roman"/>
          <w:sz w:val="24"/>
          <w:szCs w:val="24"/>
        </w:rPr>
        <w:t xml:space="preserve">the </w:t>
      </w:r>
      <w:r w:rsidRPr="0006721E">
        <w:rPr>
          <w:rFonts w:ascii="Times New Roman" w:hAnsi="Times New Roman" w:cs="Times New Roman"/>
          <w:sz w:val="24"/>
          <w:szCs w:val="24"/>
        </w:rPr>
        <w:t xml:space="preserve">robust performance of fund managers. </w:t>
      </w:r>
      <w:r w:rsidR="00492213" w:rsidRPr="00492213">
        <w:rPr>
          <w:rFonts w:ascii="Times New Roman" w:hAnsi="Times New Roman" w:cs="Times New Roman"/>
          <w:sz w:val="24"/>
          <w:szCs w:val="24"/>
        </w:rPr>
        <w:t>The volatility timing is aimed</w:t>
      </w:r>
      <w:r w:rsidR="00492213">
        <w:rPr>
          <w:rFonts w:ascii="Times New Roman" w:hAnsi="Times New Roman" w:cs="Times New Roman"/>
          <w:sz w:val="24"/>
          <w:szCs w:val="24"/>
        </w:rPr>
        <w:t xml:space="preserve"> to </w:t>
      </w:r>
      <w:r w:rsidR="00492213" w:rsidRPr="00492213">
        <w:rPr>
          <w:rFonts w:ascii="Times New Roman" w:hAnsi="Times New Roman" w:cs="Times New Roman"/>
          <w:sz w:val="24"/>
          <w:szCs w:val="24"/>
        </w:rPr>
        <w:t>optimiz</w:t>
      </w:r>
      <w:r w:rsidR="00492213">
        <w:rPr>
          <w:rFonts w:ascii="Times New Roman" w:hAnsi="Times New Roman" w:cs="Times New Roman"/>
          <w:sz w:val="24"/>
          <w:szCs w:val="24"/>
        </w:rPr>
        <w:t>e</w:t>
      </w:r>
      <w:r w:rsidR="00492213" w:rsidRPr="00492213">
        <w:rPr>
          <w:rFonts w:ascii="Times New Roman" w:hAnsi="Times New Roman" w:cs="Times New Roman"/>
          <w:sz w:val="24"/>
          <w:szCs w:val="24"/>
        </w:rPr>
        <w:t xml:space="preserve"> the risk</w:t>
      </w:r>
      <w:r w:rsidR="00492213">
        <w:rPr>
          <w:rFonts w:ascii="Times New Roman" w:hAnsi="Times New Roman" w:cs="Times New Roman"/>
          <w:sz w:val="24"/>
          <w:szCs w:val="24"/>
        </w:rPr>
        <w:t xml:space="preserve"> by</w:t>
      </w:r>
      <w:r w:rsidR="00492213" w:rsidRPr="00492213">
        <w:rPr>
          <w:rFonts w:ascii="Times New Roman" w:hAnsi="Times New Roman" w:cs="Times New Roman"/>
          <w:sz w:val="24"/>
          <w:szCs w:val="24"/>
        </w:rPr>
        <w:t xml:space="preserve"> increas</w:t>
      </w:r>
      <w:r w:rsidR="00492213">
        <w:rPr>
          <w:rFonts w:ascii="Times New Roman" w:hAnsi="Times New Roman" w:cs="Times New Roman"/>
          <w:sz w:val="24"/>
          <w:szCs w:val="24"/>
        </w:rPr>
        <w:t>ing allocations</w:t>
      </w:r>
      <w:r w:rsidR="00492213" w:rsidRPr="00492213">
        <w:rPr>
          <w:rFonts w:ascii="Times New Roman" w:hAnsi="Times New Roman" w:cs="Times New Roman"/>
          <w:sz w:val="24"/>
          <w:szCs w:val="24"/>
        </w:rPr>
        <w:t xml:space="preserve"> in less volatile asset classes</w:t>
      </w:r>
      <w:r w:rsidR="00492213">
        <w:rPr>
          <w:rFonts w:ascii="Times New Roman" w:hAnsi="Times New Roman" w:cs="Times New Roman"/>
          <w:sz w:val="24"/>
          <w:szCs w:val="24"/>
        </w:rPr>
        <w:t>, which</w:t>
      </w:r>
      <w:r w:rsidR="00492213" w:rsidRPr="00492213">
        <w:rPr>
          <w:rFonts w:ascii="Times New Roman" w:hAnsi="Times New Roman" w:cs="Times New Roman"/>
          <w:sz w:val="24"/>
          <w:szCs w:val="24"/>
        </w:rPr>
        <w:t xml:space="preserve"> results in an improvement in </w:t>
      </w:r>
      <w:r w:rsidR="00492213">
        <w:rPr>
          <w:rFonts w:ascii="Times New Roman" w:hAnsi="Times New Roman" w:cs="Times New Roman"/>
          <w:sz w:val="24"/>
          <w:szCs w:val="24"/>
        </w:rPr>
        <w:t xml:space="preserve">equity </w:t>
      </w:r>
      <w:r w:rsidR="00492213" w:rsidRPr="00492213">
        <w:rPr>
          <w:rFonts w:ascii="Times New Roman" w:hAnsi="Times New Roman" w:cs="Times New Roman"/>
          <w:sz w:val="24"/>
          <w:szCs w:val="24"/>
        </w:rPr>
        <w:t xml:space="preserve">funds’ performance. The fund managers that can manage volatility scaled investments tend to show better alphas and risk-adjusted metrics. </w:t>
      </w:r>
      <w:r w:rsidRPr="0006721E">
        <w:rPr>
          <w:rFonts w:ascii="Times New Roman" w:hAnsi="Times New Roman" w:cs="Times New Roman"/>
          <w:sz w:val="24"/>
          <w:szCs w:val="24"/>
        </w:rPr>
        <w:t xml:space="preserve">This becomes even more critical during periods of high volatility </w:t>
      </w:r>
      <w:r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{"citationItems":[{"id":"ITEM-1","itemData":{"DOI":"10.1016/j.frl.2017.05.014","ISSN":"15446123","abstract":"This study explores the role of investor attention impact on low-volatility strategy. Our evidence suggests that a low-volatility strategy for high investor attention stocks is more profitable than low investor attention stocks. Conditioned on high investor attention, the profitability of a low-volatility strategy significantly increases due to lower returns on higher idiosyncratic volatility stocks. Consistent with recent optimal beliefs theory, investors’ propensity for gambling-type strategies leads to negative returns with high idiosyncratic volatility stocks. Our results provide a behavioral support to explain the low-volatility strategy based on investors’ propensity to gamble.","author":[{"dropping-particle":"","family":"Hsu","given":"Ching Chi","non-dropping-particle":"","parse-names":false,"suffix":""},{"dropping-particle":"","family":"Chen","given":"Miao Ling","non-dropping-particle":"","parse-names":false,"suffix":""}],"container-title":"Finance Research Letters","id":"ITEM-1","issued":{"date-parts":[["2017","11","1"]]},"page":"114-120","publisher":"Elsevier Ltd","title":"The timing of low-volatility strategy","type":"article-journal","volume":"23"},"uris":["http://www.mendeley.com/documents/?uuid=bf64ecc7-6a61-32d8-a9e7-9cec23e1e524"]}],"mendeley":{"formattedCitation":"(Hsu &amp; Chen, 2017)","manualFormatting":"Hsu and  Chen(2017)","plainTextFormattedCitation":"(Hsu &amp; Chen, 2017)","previouslyFormattedCitation":"(Hsu &amp; Chen, 2017)"},"properties":{"noteIndex":0},"schema":"https://github.com/citation-style-language/schema/raw/master/csl-citation.json"}</w:instrText>
      </w:r>
      <w:r w:rsidRPr="0006721E">
        <w:rPr>
          <w:rFonts w:ascii="Times New Roman" w:hAnsi="Times New Roman" w:cs="Times New Roman"/>
          <w:sz w:val="24"/>
          <w:szCs w:val="24"/>
        </w:rPr>
        <w:fldChar w:fldCharType="separate"/>
      </w:r>
      <w:r w:rsidRPr="0006721E">
        <w:rPr>
          <w:rFonts w:ascii="Times New Roman" w:hAnsi="Times New Roman" w:cs="Times New Roman"/>
          <w:noProof/>
          <w:sz w:val="24"/>
          <w:szCs w:val="24"/>
        </w:rPr>
        <w:t xml:space="preserve">Hsu </w:t>
      </w:r>
      <w:r w:rsidR="00F83DBB">
        <w:rPr>
          <w:rFonts w:ascii="Times New Roman" w:hAnsi="Times New Roman" w:cs="Times New Roman"/>
          <w:noProof/>
          <w:sz w:val="24"/>
          <w:szCs w:val="24"/>
        </w:rPr>
        <w:t xml:space="preserve">and </w:t>
      </w:r>
      <w:r w:rsidR="00F83DBB" w:rsidRPr="0006721E">
        <w:rPr>
          <w:rFonts w:ascii="Times New Roman" w:hAnsi="Times New Roman" w:cs="Times New Roman"/>
          <w:noProof/>
          <w:sz w:val="24"/>
          <w:szCs w:val="24"/>
        </w:rPr>
        <w:t xml:space="preserve"> </w:t>
      </w:r>
      <w:r w:rsidRPr="0006721E">
        <w:rPr>
          <w:rFonts w:ascii="Times New Roman" w:hAnsi="Times New Roman" w:cs="Times New Roman"/>
          <w:noProof/>
          <w:sz w:val="24"/>
          <w:szCs w:val="24"/>
        </w:rPr>
        <w:t>Chen</w:t>
      </w:r>
      <w:r w:rsidR="00F83DBB">
        <w:rPr>
          <w:rFonts w:ascii="Times New Roman" w:hAnsi="Times New Roman" w:cs="Times New Roman"/>
          <w:noProof/>
          <w:sz w:val="24"/>
          <w:szCs w:val="24"/>
        </w:rPr>
        <w:t>(</w:t>
      </w:r>
      <w:r w:rsidRPr="0006721E">
        <w:rPr>
          <w:rFonts w:ascii="Times New Roman" w:hAnsi="Times New Roman" w:cs="Times New Roman"/>
          <w:noProof/>
          <w:sz w:val="24"/>
          <w:szCs w:val="24"/>
        </w:rPr>
        <w:t>2017)</w:t>
      </w:r>
      <w:r w:rsidRPr="0006721E">
        <w:rPr>
          <w:rFonts w:ascii="Times New Roman" w:hAnsi="Times New Roman" w:cs="Times New Roman"/>
          <w:sz w:val="24"/>
          <w:szCs w:val="24"/>
        </w:rPr>
        <w:fldChar w:fldCharType="end"/>
      </w:r>
      <w:r w:rsidRPr="0006721E">
        <w:rPr>
          <w:rFonts w:ascii="Times New Roman" w:hAnsi="Times New Roman" w:cs="Times New Roman"/>
          <w:sz w:val="24"/>
          <w:szCs w:val="24"/>
        </w:rPr>
        <w:t xml:space="preserve">. </w:t>
      </w:r>
      <w:r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{"citationItems":[{"id":"ITEM-1","itemData":{"DOI":"10.1016/j.jfineco.2018.09.011","ISSN":"0304405X","abstract":"A long-term investor who ignores variation in volatility gives up the equivalent of 2.4% of wealth per year. This result holds for a wide range of parameters that are consistent with US stock market data, and it is robust to estimation uncertainty. We propose and test a new channel, the volatility composition channel, for how investment horizon interacts with volatility timing. Investors respond substantially less to volatility variation if the amount of mean reversion in returns disproportionally increases with volatility and also if mean reversion happens quickly. We find that these conditions are unlikely to hold in the data.","author":[{"dropping-particle":"","family":"Moreira","given":"Alan","non-dropping-particle":"","parse-names":false,"suffix":""},{"dropping-particle":"","family":"Muir","given":"Tyler","non-dropping-particle":"","parse-names":false,"suffix":""}],"container-title":"Journal of Financial Economics","id":"ITEM-1","issue":"3","issued":{"date-parts":[["2019","3","1"]]},"page":"507-527","publisher":"Elsevier B.V.","title":"Should Long-Term Investors Time Volatility?","type":"article-journal","volume":"131"},"uris":["http://www.mendeley.com/documents/?uuid=c688e9aa-a0d4-3b36-8fb8-ab9e959c4cc3"]}],"mendeley":{"formattedCitation":"(Moreira &amp; Muir, 2019)","manualFormatting":"Moreira and Muir(2019)","plainTextFormattedCitation":"(Moreira &amp; Muir, 2019)","previouslyFormattedCitation":"(Moreira &amp; Muir, 2019)"},"properties":{"noteIndex":0},"schema":"https://github.com/citation-style-language/schema/raw/master/csl-citation.json"}</w:instrText>
      </w:r>
      <w:r w:rsidRPr="0006721E">
        <w:rPr>
          <w:rFonts w:ascii="Times New Roman" w:hAnsi="Times New Roman" w:cs="Times New Roman"/>
          <w:sz w:val="24"/>
          <w:szCs w:val="24"/>
        </w:rPr>
        <w:fldChar w:fldCharType="separate"/>
      </w:r>
      <w:r w:rsidRPr="0006721E">
        <w:rPr>
          <w:rFonts w:ascii="Times New Roman" w:hAnsi="Times New Roman" w:cs="Times New Roman"/>
          <w:noProof/>
          <w:sz w:val="24"/>
          <w:szCs w:val="24"/>
        </w:rPr>
        <w:t xml:space="preserve">Moreira </w:t>
      </w:r>
      <w:r w:rsidR="00F83DBB">
        <w:rPr>
          <w:rFonts w:ascii="Times New Roman" w:hAnsi="Times New Roman" w:cs="Times New Roman"/>
          <w:noProof/>
          <w:sz w:val="24"/>
          <w:szCs w:val="24"/>
        </w:rPr>
        <w:t>and</w:t>
      </w:r>
      <w:r w:rsidR="00F83DBB" w:rsidRPr="0006721E">
        <w:rPr>
          <w:rFonts w:ascii="Times New Roman" w:hAnsi="Times New Roman" w:cs="Times New Roman"/>
          <w:noProof/>
          <w:sz w:val="24"/>
          <w:szCs w:val="24"/>
        </w:rPr>
        <w:t xml:space="preserve"> </w:t>
      </w:r>
      <w:r w:rsidRPr="0006721E">
        <w:rPr>
          <w:rFonts w:ascii="Times New Roman" w:hAnsi="Times New Roman" w:cs="Times New Roman"/>
          <w:noProof/>
          <w:sz w:val="24"/>
          <w:szCs w:val="24"/>
        </w:rPr>
        <w:t>Muir</w:t>
      </w:r>
      <w:r w:rsidR="00F83DBB">
        <w:rPr>
          <w:rFonts w:ascii="Times New Roman" w:hAnsi="Times New Roman" w:cs="Times New Roman"/>
          <w:noProof/>
          <w:sz w:val="24"/>
          <w:szCs w:val="24"/>
        </w:rPr>
        <w:t>(</w:t>
      </w:r>
      <w:r w:rsidRPr="0006721E">
        <w:rPr>
          <w:rFonts w:ascii="Times New Roman" w:hAnsi="Times New Roman" w:cs="Times New Roman"/>
          <w:noProof/>
          <w:sz w:val="24"/>
          <w:szCs w:val="24"/>
        </w:rPr>
        <w:t>2019)</w:t>
      </w:r>
      <w:r w:rsidRPr="0006721E">
        <w:rPr>
          <w:rFonts w:ascii="Times New Roman" w:hAnsi="Times New Roman" w:cs="Times New Roman"/>
          <w:sz w:val="24"/>
          <w:szCs w:val="24"/>
        </w:rPr>
        <w:fldChar w:fldCharType="end"/>
      </w:r>
      <w:r w:rsidRPr="0006721E">
        <w:rPr>
          <w:rFonts w:ascii="Times New Roman" w:hAnsi="Times New Roman" w:cs="Times New Roman"/>
          <w:sz w:val="24"/>
          <w:szCs w:val="24"/>
        </w:rPr>
        <w:t xml:space="preserve"> suggested that funds managers who do not time volatility face </w:t>
      </w:r>
      <w:r w:rsidR="002908DA">
        <w:rPr>
          <w:rFonts w:ascii="Times New Roman" w:hAnsi="Times New Roman" w:cs="Times New Roman"/>
          <w:sz w:val="24"/>
          <w:szCs w:val="24"/>
        </w:rPr>
        <w:t xml:space="preserve">a </w:t>
      </w:r>
      <w:r w:rsidRPr="0006721E">
        <w:rPr>
          <w:rFonts w:ascii="Times New Roman" w:hAnsi="Times New Roman" w:cs="Times New Roman"/>
          <w:sz w:val="24"/>
          <w:szCs w:val="24"/>
        </w:rPr>
        <w:t>significant risk of los</w:t>
      </w:r>
      <w:r w:rsidR="002908DA">
        <w:rPr>
          <w:rFonts w:ascii="Times New Roman" w:hAnsi="Times New Roman" w:cs="Times New Roman"/>
          <w:sz w:val="24"/>
          <w:szCs w:val="24"/>
        </w:rPr>
        <w:t>ing</w:t>
      </w:r>
      <w:r w:rsidRPr="0006721E">
        <w:rPr>
          <w:rFonts w:ascii="Times New Roman" w:hAnsi="Times New Roman" w:cs="Times New Roman"/>
          <w:sz w:val="24"/>
          <w:szCs w:val="24"/>
        </w:rPr>
        <w:t xml:space="preserve"> funds’ value. To test for volatility timing, we use </w:t>
      </w:r>
      <w:r w:rsidR="004C2547">
        <w:rPr>
          <w:rFonts w:ascii="Times New Roman" w:hAnsi="Times New Roman" w:cs="Times New Roman"/>
          <w:sz w:val="24"/>
          <w:szCs w:val="24"/>
        </w:rPr>
        <w:t xml:space="preserve">the </w:t>
      </w:r>
      <w:r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{"citationItems":[{"id":"ITEM-1","itemData":{"DOI":"10.1093/rfs/12.5.1009","ISSN":"08939454","abstract":"I use daily mutual fund returns to shed new light on the question of whether or not mutual fund managers are successful market timers. Previous studies find that funds are unable to time the market return. I study the funds' ability to time market volatility. I show that volatility timing is an important factor in the returns of mutual funds and has led to higher risk-adjusted returns. The returns of surviving funds are especially sensitive to market volatility; those of nonsurvivors are not. © 1999 The Society for Financial Studies.","author":[{"dropping-particle":"","family":"Busse","given":"Jeffrey A.","non-dropping-particle":"","parse-names":false,"suffix":""}],"container-title":"Review of Financial Studies","id":"ITEM-1","issued":{"date-parts":[["1999"]]},"title":"Volatility timing in mutual funds: Evidence from daily returns","type":"article-journal"},"uris":["http://www.mendeley.com/documents/?uuid=e5ae89b4-8f1b-4fc9-abae-6cf89d911e08"]}],"mendeley":{"formattedCitation":"(Busse, 1999)","manualFormatting":"Busse(1999)","plainTextFormattedCitation":"(Busse, 1999)","previouslyFormattedCitation":"(Busse, 1999)"},"properties":{"noteIndex":0},"schema":"https://github.com/citation-style-language/schema/raw/master/csl-citation.json"}</w:instrText>
      </w:r>
      <w:r w:rsidRPr="0006721E">
        <w:rPr>
          <w:rFonts w:ascii="Times New Roman" w:hAnsi="Times New Roman" w:cs="Times New Roman"/>
          <w:sz w:val="24"/>
          <w:szCs w:val="24"/>
        </w:rPr>
        <w:fldChar w:fldCharType="separate"/>
      </w:r>
      <w:r w:rsidRPr="0006721E">
        <w:rPr>
          <w:rFonts w:ascii="Times New Roman" w:hAnsi="Times New Roman" w:cs="Times New Roman"/>
          <w:noProof/>
          <w:sz w:val="24"/>
          <w:szCs w:val="24"/>
        </w:rPr>
        <w:t>Busse</w:t>
      </w:r>
      <w:r w:rsidR="00F83DBB">
        <w:rPr>
          <w:rFonts w:ascii="Times New Roman" w:hAnsi="Times New Roman" w:cs="Times New Roman"/>
          <w:noProof/>
          <w:sz w:val="24"/>
          <w:szCs w:val="24"/>
        </w:rPr>
        <w:t>(1</w:t>
      </w:r>
      <w:r w:rsidRPr="0006721E">
        <w:rPr>
          <w:rFonts w:ascii="Times New Roman" w:hAnsi="Times New Roman" w:cs="Times New Roman"/>
          <w:noProof/>
          <w:sz w:val="24"/>
          <w:szCs w:val="24"/>
        </w:rPr>
        <w:t>999)</w:t>
      </w:r>
      <w:r w:rsidRPr="0006721E">
        <w:rPr>
          <w:rFonts w:ascii="Times New Roman" w:hAnsi="Times New Roman" w:cs="Times New Roman"/>
          <w:sz w:val="24"/>
          <w:szCs w:val="24"/>
        </w:rPr>
        <w:fldChar w:fldCharType="end"/>
      </w:r>
      <w:r w:rsidRPr="0006721E">
        <w:rPr>
          <w:rFonts w:ascii="Times New Roman" w:hAnsi="Times New Roman" w:cs="Times New Roman"/>
          <w:sz w:val="24"/>
          <w:szCs w:val="24"/>
        </w:rPr>
        <w:t xml:space="preserve"> framework as employed</w:t>
      </w:r>
      <w:r w:rsidR="00F83DBB">
        <w:rPr>
          <w:rFonts w:ascii="Times New Roman" w:hAnsi="Times New Roman" w:cs="Times New Roman"/>
          <w:sz w:val="24"/>
          <w:szCs w:val="24"/>
        </w:rPr>
        <w:t xml:space="preserve"> previously</w:t>
      </w:r>
      <w:r w:rsidRPr="0006721E">
        <w:rPr>
          <w:rFonts w:ascii="Times New Roman" w:hAnsi="Times New Roman" w:cs="Times New Roman"/>
          <w:sz w:val="24"/>
          <w:szCs w:val="24"/>
        </w:rPr>
        <w:t xml:space="preserve"> by </w:t>
      </w:r>
      <w:r w:rsidRPr="0006721E">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{"citationItems":[{"id":"ITEM-1","itemData":{"DOI":"10.3390/risks7040106","ISSN":"22279091","abstract":"The purpose of this study is to examine the volatility-timing performance of Singapore-based funds under the Central Provident Fund (CPF) Investment Scheme and non-CPF linked funds by taking into account the currency risk effect on internationally managed funds. In particular, we empirically assess whether the funds under the CPF Investment Scheme outperform non-CPF funds by examining the volatility-timing performance associated with these funds. The volatility-timing ability of CPF funds will provide the CPF board with a new method for risk classification. We employ the GARCH models and modified factor models to capture the response of funds to market abnormal conditional volatility including the weekday effect. The SMB and HML factors for non- US based funds are constructed from stock market data to exclude the contribution of the size effect and the BE/ME effect. The results show that volatility timing is one of the factors contributing to the excess return of funds. However, funds’ volatility-timing seems to be country-specific. Most of the Japanese equity funds and global equity funds under the CPF Investment Scheme are found to have the ability of volatility timing. This finding contrasts with the existing studies on Asian, ex-Japan funds and Greater China funds. Moreover, there is no evidence that funds under the CPF Investment Scheme show a better group performance of volatility timing.","author":[{"dropping-particle":"","family":"Shen","given":"Xiaoyi","non-dropping-particle":"","parse-names":false,"suffix":""},{"dropping-particle":"","family":"Tsui","given":"Albert K.","non-dropping-particle":"","parse-names":false,"suffix":""},{"dropping-particle":"","family":"Zhang","given":"Zhaoyong","non-dropping-particle":"","parse-names":false,"suffix":""}],"container-title":"Risks","id":"ITEM-1","issued":{"date-parts":[["2019"]]},"title":"Volatility timing in CPF investment funds in Singapore: Do they outperform non-CPF funds?","type":"article-journal"},"uris":["http://www.mendeley.com/documents/?uuid=7a81206c-87bf-4c0f-8289-582076c5077d"]}],"mendeley":{"formattedCitation":"(Shen et al., 2019)","manualFormatting":"Shen et al. (2019)","plainTextFormattedCitation":"(Shen et al., 2019)","previouslyFormattedCitation":"(Shen et al., 2019)"},"properties":{"noteIndex":0},"schema":"https://github.com/citation-style-language/schema/raw/master/csl-citation.json"}</w:instrText>
      </w:r>
      <w:r w:rsidRPr="0006721E">
        <w:rPr>
          <w:rFonts w:ascii="Times New Roman" w:hAnsi="Times New Roman" w:cs="Times New Roman"/>
          <w:sz w:val="24"/>
          <w:szCs w:val="24"/>
        </w:rPr>
        <w:fldChar w:fldCharType="separate"/>
      </w:r>
      <w:r w:rsidRPr="0006721E">
        <w:rPr>
          <w:rFonts w:ascii="Times New Roman" w:hAnsi="Times New Roman" w:cs="Times New Roman"/>
          <w:noProof/>
          <w:sz w:val="24"/>
          <w:szCs w:val="24"/>
        </w:rPr>
        <w:t>Shen et al.</w:t>
      </w:r>
      <w:r w:rsidR="00F83DBB">
        <w:rPr>
          <w:rFonts w:ascii="Times New Roman" w:hAnsi="Times New Roman" w:cs="Times New Roman"/>
          <w:noProof/>
          <w:sz w:val="24"/>
          <w:szCs w:val="24"/>
        </w:rPr>
        <w:t xml:space="preserve"> (</w:t>
      </w:r>
      <w:r w:rsidRPr="0006721E">
        <w:rPr>
          <w:rFonts w:ascii="Times New Roman" w:hAnsi="Times New Roman" w:cs="Times New Roman"/>
          <w:noProof/>
          <w:sz w:val="24"/>
          <w:szCs w:val="24"/>
        </w:rPr>
        <w:t>2019)</w:t>
      </w:r>
      <w:r w:rsidRPr="0006721E">
        <w:rPr>
          <w:rFonts w:ascii="Times New Roman" w:hAnsi="Times New Roman" w:cs="Times New Roman"/>
          <w:sz w:val="24"/>
          <w:szCs w:val="24"/>
        </w:rPr>
        <w:fldChar w:fldCharType="end"/>
      </w:r>
      <w:r w:rsidRPr="0006721E">
        <w:rPr>
          <w:rFonts w:ascii="Times New Roman" w:hAnsi="Times New Roman" w:cs="Times New Roman"/>
          <w:sz w:val="24"/>
          <w:szCs w:val="24"/>
        </w:rPr>
        <w:t>. We specify the functional form of volatility timing as below</w:t>
      </w:r>
      <w:r w:rsidR="00F83DBB">
        <w:rPr>
          <w:rFonts w:ascii="Times New Roman" w:hAnsi="Times New Roman" w:cs="Times New Roman"/>
          <w:sz w:val="24"/>
          <w:szCs w:val="24"/>
        </w:rPr>
        <w:t>:</w:t>
      </w:r>
    </w:p>
    <w:p w14:paraId="1BCE039A" w14:textId="7226B70D" w:rsidR="009A1C02" w:rsidRPr="0006721E" w:rsidRDefault="009A1C02" w:rsidP="00492213">
      <w:pPr>
        <w:spacing w:after="0" w:line="480" w:lineRule="auto"/>
        <w:ind w:firstLine="720"/>
        <w:jc w:val="both"/>
        <w:rPr>
          <w:rFonts w:ascii="Times New Roman" w:hAnsi="Times New Roman" w:cs="Times New Roman"/>
          <w:i/>
          <w:sz w:val="24"/>
          <w:szCs w:val="24"/>
        </w:rPr>
      </w:pPr>
      <w:r w:rsidRPr="0006721E">
        <w:rPr>
          <w:rFonts w:ascii="Times New Roman" w:hAnsi="Times New Roman" w:cs="Times New Roman"/>
          <w:sz w:val="24"/>
          <w:szCs w:val="24"/>
        </w:rPr>
        <w:object w:dxaOrig="3660" w:dyaOrig="400" w14:anchorId="717CBB50">
          <v:shape id="_x0000_i1034" type="#_x0000_t75" style="width:184.5pt;height:20.5pt" o:ole="">
            <v:imagedata r:id="rId25" o:title=""/>
          </v:shape>
          <o:OLEObject Type="Embed" ProgID="Equation.3" ShapeID="_x0000_i1034" DrawAspect="Content" ObjectID="_1694867756" r:id="rId26"/>
        </w:object>
      </w:r>
      <w:r w:rsidRPr="0006721E">
        <w:rPr>
          <w:rFonts w:ascii="Times New Roman" w:hAnsi="Times New Roman" w:cs="Times New Roman"/>
          <w:sz w:val="24"/>
          <w:szCs w:val="24"/>
        </w:rPr>
        <w:t xml:space="preserve">, with </w:t>
      </w:r>
      <w:proofErr w:type="spellStart"/>
      <w:r w:rsidRPr="0006721E">
        <w:rPr>
          <w:rFonts w:ascii="Times New Roman" w:hAnsi="Times New Roman" w:cs="Times New Roman"/>
          <w:i/>
          <w:sz w:val="24"/>
          <w:szCs w:val="24"/>
        </w:rPr>
        <w:t>R</w:t>
      </w:r>
      <w:r w:rsidRPr="0006721E">
        <w:rPr>
          <w:rFonts w:ascii="Times New Roman" w:hAnsi="Times New Roman" w:cs="Times New Roman"/>
          <w:i/>
          <w:sz w:val="24"/>
          <w:szCs w:val="24"/>
          <w:vertAlign w:val="subscript"/>
        </w:rPr>
        <w:t>xt</w:t>
      </w:r>
      <w:proofErr w:type="spellEnd"/>
      <w:r w:rsidRPr="0006721E">
        <w:rPr>
          <w:rFonts w:ascii="Times New Roman" w:hAnsi="Times New Roman" w:cs="Times New Roman"/>
          <w:i/>
          <w:sz w:val="24"/>
          <w:szCs w:val="24"/>
        </w:rPr>
        <w:t xml:space="preserve"> = </w:t>
      </w:r>
      <w:proofErr w:type="spellStart"/>
      <w:r w:rsidRPr="0006721E">
        <w:rPr>
          <w:rFonts w:ascii="Times New Roman" w:hAnsi="Times New Roman" w:cs="Times New Roman"/>
          <w:i/>
          <w:sz w:val="24"/>
          <w:szCs w:val="24"/>
        </w:rPr>
        <w:t>R</w:t>
      </w:r>
      <w:r w:rsidRPr="0006721E">
        <w:rPr>
          <w:rFonts w:ascii="Times New Roman" w:hAnsi="Times New Roman" w:cs="Times New Roman"/>
          <w:i/>
          <w:sz w:val="24"/>
          <w:szCs w:val="24"/>
          <w:vertAlign w:val="subscript"/>
        </w:rPr>
        <w:t>mt</w:t>
      </w:r>
      <w:proofErr w:type="spellEnd"/>
      <w:r w:rsidRPr="0006721E">
        <w:rPr>
          <w:rFonts w:ascii="Times New Roman" w:hAnsi="Times New Roman" w:cs="Times New Roman"/>
          <w:i/>
          <w:sz w:val="24"/>
          <w:szCs w:val="24"/>
        </w:rPr>
        <w:t xml:space="preserve"> - </w:t>
      </w:r>
      <w:proofErr w:type="spellStart"/>
      <w:r w:rsidRPr="0006721E">
        <w:rPr>
          <w:rFonts w:ascii="Times New Roman" w:hAnsi="Times New Roman" w:cs="Times New Roman"/>
          <w:i/>
          <w:sz w:val="24"/>
          <w:szCs w:val="24"/>
        </w:rPr>
        <w:t>R</w:t>
      </w:r>
      <w:r w:rsidRPr="0006721E">
        <w:rPr>
          <w:rFonts w:ascii="Times New Roman" w:hAnsi="Times New Roman" w:cs="Times New Roman"/>
          <w:i/>
          <w:sz w:val="24"/>
          <w:szCs w:val="24"/>
          <w:vertAlign w:val="subscript"/>
        </w:rPr>
        <w:t>ft</w:t>
      </w:r>
      <w:proofErr w:type="spellEnd"/>
      <w:r w:rsidRPr="0006721E">
        <w:rPr>
          <w:rFonts w:ascii="Times New Roman" w:hAnsi="Times New Roman" w:cs="Times New Roman"/>
          <w:i/>
          <w:sz w:val="24"/>
          <w:szCs w:val="24"/>
          <w:vertAlign w:val="subscript"/>
        </w:rPr>
        <w:t xml:space="preserve"> </w:t>
      </w:r>
      <w:r w:rsidRPr="0006721E">
        <w:rPr>
          <w:rFonts w:ascii="Times New Roman" w:hAnsi="Times New Roman" w:cs="Times New Roman"/>
          <w:i/>
          <w:sz w:val="24"/>
          <w:szCs w:val="24"/>
          <w:vertAlign w:val="subscript"/>
        </w:rPr>
        <w:tab/>
      </w:r>
      <w:r w:rsidRPr="0006721E">
        <w:rPr>
          <w:rFonts w:ascii="Times New Roman" w:hAnsi="Times New Roman" w:cs="Times New Roman"/>
          <w:i/>
          <w:sz w:val="24"/>
          <w:szCs w:val="24"/>
          <w:vertAlign w:val="subscript"/>
        </w:rPr>
        <w:tab/>
      </w:r>
      <w:r w:rsidRPr="0006721E">
        <w:rPr>
          <w:rFonts w:ascii="Times New Roman" w:hAnsi="Times New Roman" w:cs="Times New Roman"/>
          <w:i/>
          <w:sz w:val="24"/>
          <w:szCs w:val="24"/>
          <w:vertAlign w:val="subscript"/>
        </w:rPr>
        <w:tab/>
      </w:r>
      <w:r w:rsidRPr="0006721E">
        <w:rPr>
          <w:rFonts w:ascii="Times New Roman" w:hAnsi="Times New Roman" w:cs="Times New Roman"/>
          <w:i/>
          <w:sz w:val="24"/>
          <w:szCs w:val="24"/>
          <w:vertAlign w:val="subscript"/>
        </w:rPr>
        <w:tab/>
      </w:r>
      <w:r w:rsidRPr="0006721E">
        <w:rPr>
          <w:rFonts w:ascii="Times New Roman" w:hAnsi="Times New Roman" w:cs="Times New Roman"/>
          <w:i/>
          <w:sz w:val="24"/>
          <w:szCs w:val="24"/>
        </w:rPr>
        <w:t xml:space="preserve"> </w:t>
      </w:r>
      <w:r w:rsidR="00F83DBB">
        <w:rPr>
          <w:rFonts w:ascii="Times New Roman" w:hAnsi="Times New Roman" w:cs="Times New Roman"/>
          <w:i/>
          <w:sz w:val="24"/>
          <w:szCs w:val="24"/>
        </w:rPr>
        <w:t xml:space="preserve">   </w:t>
      </w:r>
      <w:proofErr w:type="gramStart"/>
      <w:r w:rsidR="00F83DBB">
        <w:rPr>
          <w:rFonts w:ascii="Times New Roman" w:hAnsi="Times New Roman" w:cs="Times New Roman"/>
          <w:i/>
          <w:sz w:val="24"/>
          <w:szCs w:val="24"/>
        </w:rPr>
        <w:t xml:space="preserve">  </w:t>
      </w:r>
      <w:r w:rsidRPr="0006721E">
        <w:rPr>
          <w:rFonts w:ascii="Times New Roman" w:hAnsi="Times New Roman" w:cs="Times New Roman"/>
          <w:i/>
          <w:sz w:val="24"/>
          <w:szCs w:val="24"/>
        </w:rPr>
        <w:t xml:space="preserve"> </w:t>
      </w:r>
      <w:r w:rsidRPr="00230BF6">
        <w:rPr>
          <w:rFonts w:ascii="Times New Roman" w:hAnsi="Times New Roman" w:cs="Times New Roman"/>
          <w:sz w:val="24"/>
          <w:szCs w:val="24"/>
        </w:rPr>
        <w:t>(</w:t>
      </w:r>
      <w:proofErr w:type="gramEnd"/>
      <w:r w:rsidR="00F83DBB">
        <w:rPr>
          <w:rFonts w:ascii="Times New Roman" w:hAnsi="Times New Roman" w:cs="Times New Roman"/>
          <w:sz w:val="24"/>
          <w:szCs w:val="24"/>
        </w:rPr>
        <w:t>9</w:t>
      </w:r>
      <w:r w:rsidRPr="00230BF6">
        <w:rPr>
          <w:rFonts w:ascii="Times New Roman" w:hAnsi="Times New Roman" w:cs="Times New Roman"/>
          <w:sz w:val="24"/>
          <w:szCs w:val="24"/>
        </w:rPr>
        <w:t>)</w:t>
      </w:r>
      <w:r w:rsidRPr="0006721E">
        <w:rPr>
          <w:rFonts w:ascii="Times New Roman" w:hAnsi="Times New Roman" w:cs="Times New Roman"/>
          <w:i/>
          <w:sz w:val="24"/>
          <w:szCs w:val="24"/>
        </w:rPr>
        <w:t xml:space="preserve"> </w:t>
      </w:r>
    </w:p>
    <w:p w14:paraId="71417F88" w14:textId="44DE2492" w:rsidR="009A1C02" w:rsidRPr="0006721E" w:rsidRDefault="009A1C02" w:rsidP="00492213">
      <w:pPr>
        <w:spacing w:after="0" w:line="480" w:lineRule="auto"/>
        <w:ind w:left="720"/>
        <w:jc w:val="both"/>
        <w:rPr>
          <w:rFonts w:ascii="Times New Roman" w:hAnsi="Times New Roman" w:cs="Times New Roman"/>
          <w:sz w:val="24"/>
          <w:szCs w:val="24"/>
        </w:rPr>
      </w:pPr>
      <w:r w:rsidRPr="0006721E">
        <w:rPr>
          <w:rFonts w:ascii="Times New Roman" w:hAnsi="Times New Roman" w:cs="Times New Roman"/>
          <w:sz w:val="24"/>
          <w:szCs w:val="24"/>
        </w:rPr>
        <w:object w:dxaOrig="3580" w:dyaOrig="720" w14:anchorId="592AD7A9">
          <v:shape id="_x0000_i1035" type="#_x0000_t75" style="width:180pt;height:36pt" o:ole="">
            <v:imagedata r:id="rId27" o:title=""/>
          </v:shape>
          <o:OLEObject Type="Embed" ProgID="Equation.3" ShapeID="_x0000_i1035" DrawAspect="Content" ObjectID="_1694867757" r:id="rId28"/>
        </w:object>
      </w:r>
      <w:r w:rsidRPr="0006721E">
        <w:rPr>
          <w:rFonts w:ascii="Times New Roman" w:hAnsi="Times New Roman" w:cs="Times New Roman"/>
          <w:sz w:val="24"/>
          <w:szCs w:val="24"/>
        </w:rPr>
        <w:t xml:space="preserve"> and </w:t>
      </w:r>
      <w:r w:rsidR="00492213">
        <w:rPr>
          <w:rFonts w:ascii="Times New Roman" w:hAnsi="Times New Roman" w:cs="Times New Roman"/>
          <w:sz w:val="24"/>
          <w:szCs w:val="24"/>
        </w:rPr>
        <w:t xml:space="preserve">       </w:t>
      </w:r>
      <w:r w:rsidRPr="0006721E">
        <w:rPr>
          <w:rFonts w:ascii="Times New Roman" w:hAnsi="Times New Roman" w:cs="Times New Roman"/>
          <w:sz w:val="24"/>
          <w:szCs w:val="24"/>
        </w:rPr>
        <w:object w:dxaOrig="3340" w:dyaOrig="700" w14:anchorId="5BA041F0">
          <v:shape id="_x0000_i1036" type="#_x0000_t75" style="width:169.5pt;height:36pt" o:ole="">
            <v:imagedata r:id="rId29" o:title=""/>
          </v:shape>
          <o:OLEObject Type="Embed" ProgID="Equation.3" ShapeID="_x0000_i1036" DrawAspect="Content" ObjectID="_1694867758" r:id="rId30"/>
        </w:object>
      </w:r>
    </w:p>
    <w:p w14:paraId="78C67F6F" w14:textId="67781F65" w:rsidR="009A1C02" w:rsidRDefault="009A1C02" w:rsidP="009A1C02">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If our sample</w:t>
      </w:r>
      <w:r w:rsidR="0001545F">
        <w:rPr>
          <w:rFonts w:ascii="Times New Roman" w:hAnsi="Times New Roman" w:cs="Times New Roman"/>
          <w:sz w:val="24"/>
          <w:szCs w:val="24"/>
        </w:rPr>
        <w:t xml:space="preserve"> </w:t>
      </w:r>
      <w:r w:rsidRPr="0006721E">
        <w:rPr>
          <w:rFonts w:ascii="Times New Roman" w:hAnsi="Times New Roman" w:cs="Times New Roman"/>
          <w:sz w:val="24"/>
          <w:szCs w:val="24"/>
        </w:rPr>
        <w:t xml:space="preserve">funds demonstrate volatility timing, the coefficient on volatility timing </w:t>
      </w:r>
      <w:proofErr w:type="spellStart"/>
      <w:r w:rsidRPr="0006721E">
        <w:rPr>
          <w:rFonts w:ascii="Times New Roman" w:hAnsi="Times New Roman" w:cs="Times New Roman"/>
          <w:sz w:val="24"/>
          <w:szCs w:val="24"/>
        </w:rPr>
        <w:t>γ</w:t>
      </w:r>
      <w:r w:rsidRPr="0006721E">
        <w:rPr>
          <w:rFonts w:ascii="Times New Roman" w:hAnsi="Times New Roman" w:cs="Times New Roman"/>
          <w:sz w:val="24"/>
          <w:szCs w:val="24"/>
          <w:vertAlign w:val="subscript"/>
        </w:rPr>
        <w:t>im</w:t>
      </w:r>
      <w:proofErr w:type="spellEnd"/>
      <w:r w:rsidRPr="0006721E">
        <w:rPr>
          <w:rFonts w:ascii="Times New Roman" w:hAnsi="Times New Roman" w:cs="Times New Roman"/>
          <w:sz w:val="24"/>
          <w:szCs w:val="24"/>
        </w:rPr>
        <w:t xml:space="preserve"> will be less than zero. We assess</w:t>
      </w:r>
      <w:r w:rsidR="0001545F">
        <w:rPr>
          <w:rFonts w:ascii="Times New Roman" w:hAnsi="Times New Roman" w:cs="Times New Roman"/>
          <w:sz w:val="24"/>
          <w:szCs w:val="24"/>
        </w:rPr>
        <w:t xml:space="preserve"> both</w:t>
      </w:r>
      <w:r w:rsidRPr="0006721E">
        <w:rPr>
          <w:rFonts w:ascii="Times New Roman" w:hAnsi="Times New Roman" w:cs="Times New Roman"/>
          <w:sz w:val="24"/>
          <w:szCs w:val="24"/>
        </w:rPr>
        <w:t xml:space="preserve"> </w:t>
      </w:r>
      <w:r w:rsidR="00D1204F">
        <w:rPr>
          <w:rFonts w:ascii="Times New Roman" w:hAnsi="Times New Roman" w:cs="Times New Roman"/>
          <w:sz w:val="24"/>
          <w:szCs w:val="24"/>
        </w:rPr>
        <w:t>Islamic and conventional funds' volatility timing</w:t>
      </w:r>
      <w:r w:rsidRPr="0006721E">
        <w:rPr>
          <w:rFonts w:ascii="Times New Roman" w:hAnsi="Times New Roman" w:cs="Times New Roman"/>
          <w:sz w:val="24"/>
          <w:szCs w:val="24"/>
        </w:rPr>
        <w:t xml:space="preserve"> for the </w:t>
      </w:r>
      <w:r w:rsidR="002908DA">
        <w:rPr>
          <w:rFonts w:ascii="Times New Roman" w:hAnsi="Times New Roman" w:cs="Times New Roman"/>
          <w:sz w:val="24"/>
          <w:szCs w:val="24"/>
        </w:rPr>
        <w:t>entir</w:t>
      </w:r>
      <w:r w:rsidRPr="0006721E">
        <w:rPr>
          <w:rFonts w:ascii="Times New Roman" w:hAnsi="Times New Roman" w:cs="Times New Roman"/>
          <w:sz w:val="24"/>
          <w:szCs w:val="24"/>
        </w:rPr>
        <w:t>e period a</w:t>
      </w:r>
      <w:r w:rsidR="002908DA">
        <w:rPr>
          <w:rFonts w:ascii="Times New Roman" w:hAnsi="Times New Roman" w:cs="Times New Roman"/>
          <w:sz w:val="24"/>
          <w:szCs w:val="24"/>
        </w:rPr>
        <w:t>nd</w:t>
      </w:r>
      <w:r w:rsidRPr="0006721E">
        <w:rPr>
          <w:rFonts w:ascii="Times New Roman" w:hAnsi="Times New Roman" w:cs="Times New Roman"/>
          <w:sz w:val="24"/>
          <w:szCs w:val="24"/>
        </w:rPr>
        <w:t xml:space="preserve"> during </w:t>
      </w:r>
      <w:r w:rsidR="00D9724D" w:rsidRPr="0006721E">
        <w:rPr>
          <w:rFonts w:ascii="Times New Roman" w:hAnsi="Times New Roman" w:cs="Times New Roman"/>
          <w:sz w:val="24"/>
          <w:szCs w:val="24"/>
        </w:rPr>
        <w:t xml:space="preserve">the </w:t>
      </w:r>
      <w:r w:rsidR="002530BC">
        <w:rPr>
          <w:rFonts w:ascii="Times New Roman" w:hAnsi="Times New Roman" w:cs="Times New Roman"/>
          <w:sz w:val="24"/>
          <w:szCs w:val="24"/>
        </w:rPr>
        <w:t>six</w:t>
      </w:r>
      <w:r w:rsidR="00D9724D" w:rsidRPr="0006721E">
        <w:rPr>
          <w:rFonts w:ascii="Times New Roman" w:hAnsi="Times New Roman" w:cs="Times New Roman"/>
          <w:sz w:val="24"/>
          <w:szCs w:val="24"/>
        </w:rPr>
        <w:t xml:space="preserve"> specified stages</w:t>
      </w:r>
      <w:r w:rsidR="0001545F">
        <w:rPr>
          <w:rFonts w:ascii="Times New Roman" w:hAnsi="Times New Roman" w:cs="Times New Roman"/>
          <w:sz w:val="24"/>
          <w:szCs w:val="24"/>
        </w:rPr>
        <w:t xml:space="preserve"> of the COVID-19 pandemic</w:t>
      </w:r>
      <w:r w:rsidRPr="0006721E">
        <w:rPr>
          <w:rFonts w:ascii="Times New Roman" w:hAnsi="Times New Roman" w:cs="Times New Roman"/>
          <w:sz w:val="24"/>
          <w:szCs w:val="24"/>
        </w:rPr>
        <w:t xml:space="preserve">.      </w:t>
      </w:r>
    </w:p>
    <w:p w14:paraId="4198E9B0" w14:textId="0AD3F6C2" w:rsidR="00507293" w:rsidRPr="0006721E" w:rsidRDefault="002A207E" w:rsidP="009A1C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417AD">
        <w:rPr>
          <w:rFonts w:ascii="Times New Roman" w:hAnsi="Times New Roman" w:cs="Times New Roman"/>
          <w:sz w:val="24"/>
          <w:szCs w:val="24"/>
          <w:highlight w:val="yellow"/>
        </w:rPr>
        <w:t xml:space="preserve">The data for this study is </w:t>
      </w:r>
      <w:r w:rsidR="007F2415" w:rsidRPr="00D417AD">
        <w:rPr>
          <w:rFonts w:ascii="Times New Roman" w:hAnsi="Times New Roman" w:cs="Times New Roman"/>
          <w:sz w:val="24"/>
          <w:szCs w:val="24"/>
          <w:highlight w:val="yellow"/>
        </w:rPr>
        <w:t xml:space="preserve">obtained </w:t>
      </w:r>
      <w:r w:rsidRPr="00D417AD">
        <w:rPr>
          <w:rFonts w:ascii="Times New Roman" w:hAnsi="Times New Roman" w:cs="Times New Roman"/>
          <w:sz w:val="24"/>
          <w:szCs w:val="24"/>
          <w:highlight w:val="yellow"/>
        </w:rPr>
        <w:t>from multiple sources. Wherever available, NAVs, Benchmark</w:t>
      </w:r>
      <w:r w:rsidR="00787621" w:rsidRPr="00D417AD">
        <w:rPr>
          <w:rFonts w:ascii="Times New Roman" w:hAnsi="Times New Roman" w:cs="Times New Roman"/>
          <w:sz w:val="24"/>
          <w:szCs w:val="24"/>
          <w:highlight w:val="yellow"/>
        </w:rPr>
        <w:t xml:space="preserve"> prices, risk-free rates, </w:t>
      </w:r>
      <w:r w:rsidR="007F2415" w:rsidRPr="00D417AD">
        <w:rPr>
          <w:rFonts w:ascii="Times New Roman" w:hAnsi="Times New Roman" w:cs="Times New Roman"/>
          <w:sz w:val="24"/>
          <w:szCs w:val="24"/>
          <w:highlight w:val="yellow"/>
        </w:rPr>
        <w:t>investment concentration, etc.</w:t>
      </w:r>
      <w:r w:rsidR="00D417AD" w:rsidRPr="00D417AD">
        <w:rPr>
          <w:rFonts w:ascii="Times New Roman" w:hAnsi="Times New Roman" w:cs="Times New Roman"/>
          <w:sz w:val="24"/>
          <w:szCs w:val="24"/>
          <w:highlight w:val="yellow"/>
        </w:rPr>
        <w:t>,</w:t>
      </w:r>
      <w:r w:rsidR="007F2415" w:rsidRPr="00D417AD">
        <w:rPr>
          <w:rFonts w:ascii="Times New Roman" w:hAnsi="Times New Roman" w:cs="Times New Roman"/>
          <w:sz w:val="24"/>
          <w:szCs w:val="24"/>
          <w:highlight w:val="yellow"/>
        </w:rPr>
        <w:t xml:space="preserve"> are extracted from Morningstar</w:t>
      </w:r>
      <w:r w:rsidR="00885FF8" w:rsidRPr="00D417AD">
        <w:rPr>
          <w:rFonts w:ascii="Times New Roman" w:hAnsi="Times New Roman" w:cs="Times New Roman"/>
          <w:sz w:val="24"/>
          <w:szCs w:val="24"/>
          <w:highlight w:val="yellow"/>
        </w:rPr>
        <w:t xml:space="preserve">, Thomson Reuters </w:t>
      </w:r>
      <w:proofErr w:type="spellStart"/>
      <w:r w:rsidR="00885FF8" w:rsidRPr="00D417AD">
        <w:rPr>
          <w:rFonts w:ascii="Times New Roman" w:hAnsi="Times New Roman" w:cs="Times New Roman"/>
          <w:sz w:val="24"/>
          <w:szCs w:val="24"/>
          <w:highlight w:val="yellow"/>
        </w:rPr>
        <w:t>Ekon</w:t>
      </w:r>
      <w:proofErr w:type="spellEnd"/>
      <w:r w:rsidR="00033836" w:rsidRPr="00D417AD">
        <w:rPr>
          <w:rFonts w:ascii="Times New Roman" w:hAnsi="Times New Roman" w:cs="Times New Roman"/>
          <w:sz w:val="24"/>
          <w:szCs w:val="24"/>
          <w:highlight w:val="yellow"/>
        </w:rPr>
        <w:t>,</w:t>
      </w:r>
      <w:r w:rsidR="00885FF8" w:rsidRPr="00D417AD">
        <w:rPr>
          <w:rFonts w:ascii="Times New Roman" w:hAnsi="Times New Roman" w:cs="Times New Roman"/>
          <w:sz w:val="24"/>
          <w:szCs w:val="24"/>
          <w:highlight w:val="yellow"/>
        </w:rPr>
        <w:t xml:space="preserve"> and Tr</w:t>
      </w:r>
      <w:r w:rsidR="00033836" w:rsidRPr="00D417AD">
        <w:rPr>
          <w:rFonts w:ascii="Times New Roman" w:hAnsi="Times New Roman" w:cs="Times New Roman"/>
          <w:sz w:val="24"/>
          <w:szCs w:val="24"/>
          <w:highlight w:val="yellow"/>
        </w:rPr>
        <w:t>a</w:t>
      </w:r>
      <w:r w:rsidR="00885FF8" w:rsidRPr="00D417AD">
        <w:rPr>
          <w:rFonts w:ascii="Times New Roman" w:hAnsi="Times New Roman" w:cs="Times New Roman"/>
          <w:sz w:val="24"/>
          <w:szCs w:val="24"/>
          <w:highlight w:val="yellow"/>
        </w:rPr>
        <w:t>ding Economics.</w:t>
      </w:r>
      <w:r w:rsidR="00033836" w:rsidRPr="00D417AD">
        <w:rPr>
          <w:rFonts w:ascii="Times New Roman" w:hAnsi="Times New Roman" w:cs="Times New Roman"/>
          <w:sz w:val="24"/>
          <w:szCs w:val="24"/>
          <w:highlight w:val="yellow"/>
        </w:rPr>
        <w:t xml:space="preserve"> </w:t>
      </w:r>
      <w:r w:rsidR="00512E33" w:rsidRPr="00D417AD">
        <w:rPr>
          <w:rFonts w:ascii="Times New Roman" w:hAnsi="Times New Roman" w:cs="Times New Roman"/>
          <w:sz w:val="24"/>
          <w:szCs w:val="24"/>
          <w:highlight w:val="yellow"/>
        </w:rPr>
        <w:t>However, for many funds, the information was downloaded from individual websites. Similarly, for some benchmarks, the data was</w:t>
      </w:r>
      <w:r w:rsidR="00D417AD" w:rsidRPr="00D417AD">
        <w:rPr>
          <w:rFonts w:ascii="Times New Roman" w:hAnsi="Times New Roman" w:cs="Times New Roman"/>
          <w:sz w:val="24"/>
          <w:szCs w:val="24"/>
          <w:highlight w:val="yellow"/>
        </w:rPr>
        <w:t xml:space="preserve"> obtained directly from the exchange source.</w:t>
      </w:r>
      <w:r w:rsidR="00D417AD">
        <w:rPr>
          <w:rFonts w:ascii="Times New Roman" w:hAnsi="Times New Roman" w:cs="Times New Roman"/>
          <w:sz w:val="24"/>
          <w:szCs w:val="24"/>
        </w:rPr>
        <w:t xml:space="preserve"> </w:t>
      </w:r>
    </w:p>
    <w:p w14:paraId="7213CF6A" w14:textId="77777777" w:rsidR="002C6BB5" w:rsidRPr="0006721E" w:rsidRDefault="007D5910" w:rsidP="002307D5">
      <w:pPr>
        <w:spacing w:after="0" w:line="480" w:lineRule="auto"/>
        <w:jc w:val="both"/>
        <w:rPr>
          <w:rFonts w:ascii="Times New Roman" w:hAnsi="Times New Roman" w:cs="Times New Roman"/>
          <w:b/>
          <w:sz w:val="24"/>
          <w:szCs w:val="24"/>
        </w:rPr>
      </w:pPr>
      <w:r w:rsidRPr="0006721E">
        <w:rPr>
          <w:rFonts w:ascii="Times New Roman" w:hAnsi="Times New Roman" w:cs="Times New Roman"/>
          <w:b/>
          <w:sz w:val="24"/>
          <w:szCs w:val="24"/>
        </w:rPr>
        <w:t xml:space="preserve">3. </w:t>
      </w:r>
      <w:r w:rsidRPr="0006721E">
        <w:rPr>
          <w:rFonts w:ascii="Times New Roman" w:hAnsi="Times New Roman" w:cs="Times New Roman"/>
          <w:b/>
          <w:sz w:val="24"/>
          <w:szCs w:val="24"/>
        </w:rPr>
        <w:tab/>
        <w:t>Results and Discussion</w:t>
      </w:r>
    </w:p>
    <w:p w14:paraId="7D090CB7" w14:textId="129444EB" w:rsidR="005D1A93" w:rsidRDefault="007D5910" w:rsidP="002307D5">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ab/>
      </w:r>
      <w:r w:rsidR="008205FF" w:rsidRPr="0006721E">
        <w:rPr>
          <w:rFonts w:ascii="Times New Roman" w:hAnsi="Times New Roman" w:cs="Times New Roman"/>
          <w:sz w:val="24"/>
          <w:szCs w:val="24"/>
        </w:rPr>
        <w:t>The results on risk</w:t>
      </w:r>
      <w:r w:rsidR="002908DA">
        <w:rPr>
          <w:rFonts w:ascii="Times New Roman" w:hAnsi="Times New Roman" w:cs="Times New Roman"/>
          <w:sz w:val="24"/>
          <w:szCs w:val="24"/>
        </w:rPr>
        <w:t>-</w:t>
      </w:r>
      <w:r w:rsidR="008205FF" w:rsidRPr="0006721E">
        <w:rPr>
          <w:rFonts w:ascii="Times New Roman" w:hAnsi="Times New Roman" w:cs="Times New Roman"/>
          <w:sz w:val="24"/>
          <w:szCs w:val="24"/>
        </w:rPr>
        <w:t xml:space="preserve">adjusted performance using adjusted Sharpe ratio, </w:t>
      </w:r>
      <w:proofErr w:type="spellStart"/>
      <w:r w:rsidR="008205FF" w:rsidRPr="0006721E">
        <w:rPr>
          <w:rFonts w:ascii="Times New Roman" w:hAnsi="Times New Roman" w:cs="Times New Roman"/>
          <w:sz w:val="24"/>
          <w:szCs w:val="24"/>
        </w:rPr>
        <w:t>Sortino</w:t>
      </w:r>
      <w:proofErr w:type="spellEnd"/>
      <w:r w:rsidR="008205FF" w:rsidRPr="0006721E">
        <w:rPr>
          <w:rFonts w:ascii="Times New Roman" w:hAnsi="Times New Roman" w:cs="Times New Roman"/>
          <w:sz w:val="24"/>
          <w:szCs w:val="24"/>
        </w:rPr>
        <w:t xml:space="preserve"> ratio</w:t>
      </w:r>
      <w:r w:rsidR="002908DA">
        <w:rPr>
          <w:rFonts w:ascii="Times New Roman" w:hAnsi="Times New Roman" w:cs="Times New Roman"/>
          <w:sz w:val="24"/>
          <w:szCs w:val="24"/>
        </w:rPr>
        <w:t>,</w:t>
      </w:r>
      <w:r w:rsidR="008205FF" w:rsidRPr="0006721E">
        <w:rPr>
          <w:rFonts w:ascii="Times New Roman" w:hAnsi="Times New Roman" w:cs="Times New Roman"/>
          <w:sz w:val="24"/>
          <w:szCs w:val="24"/>
        </w:rPr>
        <w:t xml:space="preserve"> and Jensen’s alpha are presented in </w:t>
      </w:r>
      <w:r w:rsidR="0001545F">
        <w:rPr>
          <w:rFonts w:ascii="Times New Roman" w:hAnsi="Times New Roman" w:cs="Times New Roman"/>
          <w:sz w:val="24"/>
          <w:szCs w:val="24"/>
        </w:rPr>
        <w:t>T</w:t>
      </w:r>
      <w:r w:rsidR="008205FF" w:rsidRPr="0006721E">
        <w:rPr>
          <w:rFonts w:ascii="Times New Roman" w:hAnsi="Times New Roman" w:cs="Times New Roman"/>
          <w:sz w:val="24"/>
          <w:szCs w:val="24"/>
        </w:rPr>
        <w:t xml:space="preserve">able </w:t>
      </w:r>
      <w:r w:rsidR="006F4339">
        <w:rPr>
          <w:rFonts w:ascii="Times New Roman" w:hAnsi="Times New Roman" w:cs="Times New Roman"/>
          <w:sz w:val="24"/>
          <w:szCs w:val="24"/>
        </w:rPr>
        <w:t>4</w:t>
      </w:r>
      <w:r w:rsidR="00633D6B" w:rsidRPr="0006721E">
        <w:rPr>
          <w:rFonts w:ascii="Times New Roman" w:hAnsi="Times New Roman" w:cs="Times New Roman"/>
          <w:sz w:val="24"/>
          <w:szCs w:val="24"/>
        </w:rPr>
        <w:t xml:space="preserve">. For the </w:t>
      </w:r>
      <w:r w:rsidR="002908DA">
        <w:rPr>
          <w:rFonts w:ascii="Times New Roman" w:hAnsi="Times New Roman" w:cs="Times New Roman"/>
          <w:sz w:val="24"/>
          <w:szCs w:val="24"/>
        </w:rPr>
        <w:t>entir</w:t>
      </w:r>
      <w:r w:rsidR="00633D6B" w:rsidRPr="0006721E">
        <w:rPr>
          <w:rFonts w:ascii="Times New Roman" w:hAnsi="Times New Roman" w:cs="Times New Roman"/>
          <w:sz w:val="24"/>
          <w:szCs w:val="24"/>
        </w:rPr>
        <w:t>e period</w:t>
      </w:r>
      <w:r w:rsidR="002908DA">
        <w:rPr>
          <w:rFonts w:ascii="Times New Roman" w:hAnsi="Times New Roman" w:cs="Times New Roman"/>
          <w:sz w:val="24"/>
          <w:szCs w:val="24"/>
        </w:rPr>
        <w:t>,</w:t>
      </w:r>
      <w:r w:rsidR="00633D6B" w:rsidRPr="0006721E">
        <w:rPr>
          <w:rFonts w:ascii="Times New Roman" w:hAnsi="Times New Roman" w:cs="Times New Roman"/>
          <w:sz w:val="24"/>
          <w:szCs w:val="24"/>
        </w:rPr>
        <w:t xml:space="preserve"> </w:t>
      </w:r>
      <w:r w:rsidR="00CE2111" w:rsidRPr="0006721E">
        <w:rPr>
          <w:rFonts w:ascii="Times New Roman" w:hAnsi="Times New Roman" w:cs="Times New Roman"/>
          <w:sz w:val="24"/>
          <w:szCs w:val="24"/>
        </w:rPr>
        <w:t xml:space="preserve">Islamic equity funds in all six countries demonstrated </w:t>
      </w:r>
      <w:r w:rsidR="002908DA">
        <w:rPr>
          <w:rFonts w:ascii="Times New Roman" w:hAnsi="Times New Roman" w:cs="Times New Roman"/>
          <w:sz w:val="24"/>
          <w:szCs w:val="24"/>
        </w:rPr>
        <w:t xml:space="preserve">a </w:t>
      </w:r>
      <w:r w:rsidR="00CE2111" w:rsidRPr="0006721E">
        <w:rPr>
          <w:rFonts w:ascii="Times New Roman" w:hAnsi="Times New Roman" w:cs="Times New Roman"/>
          <w:sz w:val="24"/>
          <w:szCs w:val="24"/>
        </w:rPr>
        <w:t>positive adjusted Sharpe ratio</w:t>
      </w:r>
      <w:r w:rsidR="002908DA">
        <w:rPr>
          <w:rFonts w:ascii="Times New Roman" w:hAnsi="Times New Roman" w:cs="Times New Roman"/>
          <w:sz w:val="24"/>
          <w:szCs w:val="24"/>
        </w:rPr>
        <w:t>. In contrast,</w:t>
      </w:r>
      <w:r w:rsidR="00CE2111" w:rsidRPr="0006721E">
        <w:rPr>
          <w:rFonts w:ascii="Times New Roman" w:hAnsi="Times New Roman" w:cs="Times New Roman"/>
          <w:sz w:val="24"/>
          <w:szCs w:val="24"/>
        </w:rPr>
        <w:t xml:space="preserve"> </w:t>
      </w:r>
      <w:r w:rsidR="002908DA">
        <w:rPr>
          <w:rFonts w:ascii="Times New Roman" w:hAnsi="Times New Roman" w:cs="Times New Roman"/>
          <w:sz w:val="24"/>
          <w:szCs w:val="24"/>
        </w:rPr>
        <w:t>we report negative adjusted Sharpe ratios for Malaysia, Pakistan, and Saudi Arabia for conventional funds</w:t>
      </w:r>
      <w:r w:rsidR="00CE2111" w:rsidRPr="0006721E">
        <w:rPr>
          <w:rFonts w:ascii="Times New Roman" w:hAnsi="Times New Roman" w:cs="Times New Roman"/>
          <w:sz w:val="24"/>
          <w:szCs w:val="24"/>
        </w:rPr>
        <w:t xml:space="preserve">. </w:t>
      </w:r>
      <w:r w:rsidR="00333E46" w:rsidRPr="0006721E">
        <w:rPr>
          <w:rFonts w:ascii="Times New Roman" w:hAnsi="Times New Roman" w:cs="Times New Roman"/>
          <w:sz w:val="24"/>
          <w:szCs w:val="24"/>
        </w:rPr>
        <w:t>The</w:t>
      </w:r>
      <w:r w:rsidR="00CE2111" w:rsidRPr="0006721E">
        <w:rPr>
          <w:rFonts w:ascii="Times New Roman" w:hAnsi="Times New Roman" w:cs="Times New Roman"/>
          <w:sz w:val="24"/>
          <w:szCs w:val="24"/>
        </w:rPr>
        <w:t xml:space="preserve"> equity funds in these countries cannot sustain the </w:t>
      </w:r>
      <w:r w:rsidR="0001545F" w:rsidRPr="0006721E">
        <w:rPr>
          <w:rFonts w:ascii="Times New Roman" w:hAnsi="Times New Roman" w:cs="Times New Roman"/>
          <w:sz w:val="24"/>
          <w:szCs w:val="24"/>
        </w:rPr>
        <w:t>C</w:t>
      </w:r>
      <w:r w:rsidR="0001545F">
        <w:rPr>
          <w:rFonts w:ascii="Times New Roman" w:hAnsi="Times New Roman" w:cs="Times New Roman"/>
          <w:sz w:val="24"/>
          <w:szCs w:val="24"/>
        </w:rPr>
        <w:t>OVID</w:t>
      </w:r>
      <w:r w:rsidR="00CE2111" w:rsidRPr="0006721E">
        <w:rPr>
          <w:rFonts w:ascii="Times New Roman" w:hAnsi="Times New Roman" w:cs="Times New Roman"/>
          <w:sz w:val="24"/>
          <w:szCs w:val="24"/>
        </w:rPr>
        <w:t>-19 pressure and plunged towards negative returns.</w:t>
      </w:r>
      <w:r w:rsidR="00C76818" w:rsidRPr="0006721E">
        <w:rPr>
          <w:rFonts w:ascii="Times New Roman" w:hAnsi="Times New Roman" w:cs="Times New Roman"/>
          <w:sz w:val="24"/>
          <w:szCs w:val="24"/>
        </w:rPr>
        <w:t xml:space="preserve"> For </w:t>
      </w:r>
      <w:r w:rsidR="002908DA">
        <w:rPr>
          <w:rFonts w:ascii="Times New Roman" w:hAnsi="Times New Roman" w:cs="Times New Roman"/>
          <w:sz w:val="24"/>
          <w:szCs w:val="24"/>
        </w:rPr>
        <w:t>tradi</w:t>
      </w:r>
      <w:r w:rsidR="00C76818" w:rsidRPr="0006721E">
        <w:rPr>
          <w:rFonts w:ascii="Times New Roman" w:hAnsi="Times New Roman" w:cs="Times New Roman"/>
          <w:sz w:val="24"/>
          <w:szCs w:val="24"/>
        </w:rPr>
        <w:t>tional funds in Qatar, Kuwait</w:t>
      </w:r>
      <w:r w:rsidR="002908DA">
        <w:rPr>
          <w:rFonts w:ascii="Times New Roman" w:hAnsi="Times New Roman" w:cs="Times New Roman"/>
          <w:sz w:val="24"/>
          <w:szCs w:val="24"/>
        </w:rPr>
        <w:t>,</w:t>
      </w:r>
      <w:r w:rsidR="00C76818" w:rsidRPr="0006721E">
        <w:rPr>
          <w:rFonts w:ascii="Times New Roman" w:hAnsi="Times New Roman" w:cs="Times New Roman"/>
          <w:sz w:val="24"/>
          <w:szCs w:val="24"/>
        </w:rPr>
        <w:t xml:space="preserve"> and UAE, the adjusted Sharpe ratio is positive but </w:t>
      </w:r>
      <w:r w:rsidR="000611CF">
        <w:rPr>
          <w:rFonts w:ascii="Times New Roman" w:hAnsi="Times New Roman" w:cs="Times New Roman"/>
          <w:sz w:val="24"/>
          <w:szCs w:val="24"/>
        </w:rPr>
        <w:t xml:space="preserve">still </w:t>
      </w:r>
      <w:r w:rsidR="00C76818" w:rsidRPr="0006721E">
        <w:rPr>
          <w:rFonts w:ascii="Times New Roman" w:hAnsi="Times New Roman" w:cs="Times New Roman"/>
          <w:sz w:val="24"/>
          <w:szCs w:val="24"/>
        </w:rPr>
        <w:t xml:space="preserve">less than their Islamic counterparts. Within Islamic funds, the ones domiciled in Malaysia show </w:t>
      </w:r>
      <w:r w:rsidR="002908DA">
        <w:rPr>
          <w:rFonts w:ascii="Times New Roman" w:hAnsi="Times New Roman" w:cs="Times New Roman"/>
          <w:sz w:val="24"/>
          <w:szCs w:val="24"/>
        </w:rPr>
        <w:t xml:space="preserve">a </w:t>
      </w:r>
      <w:r w:rsidR="00C76818" w:rsidRPr="0006721E">
        <w:rPr>
          <w:rFonts w:ascii="Times New Roman" w:hAnsi="Times New Roman" w:cs="Times New Roman"/>
          <w:sz w:val="24"/>
          <w:szCs w:val="24"/>
        </w:rPr>
        <w:t>maximum adjusted Sharpe ratio</w:t>
      </w:r>
      <w:r w:rsidR="004C2547">
        <w:rPr>
          <w:rFonts w:ascii="Times New Roman" w:hAnsi="Times New Roman" w:cs="Times New Roman"/>
          <w:sz w:val="24"/>
          <w:szCs w:val="24"/>
        </w:rPr>
        <w:t>,</w:t>
      </w:r>
      <w:r w:rsidR="00C76818" w:rsidRPr="0006721E">
        <w:rPr>
          <w:rFonts w:ascii="Times New Roman" w:hAnsi="Times New Roman" w:cs="Times New Roman"/>
          <w:sz w:val="24"/>
          <w:szCs w:val="24"/>
        </w:rPr>
        <w:t xml:space="preserve"> followed by those in Saudi Arabia.</w:t>
      </w:r>
      <w:r w:rsidR="002438C7" w:rsidRPr="0006721E">
        <w:rPr>
          <w:rFonts w:ascii="Times New Roman" w:hAnsi="Times New Roman" w:cs="Times New Roman"/>
          <w:sz w:val="24"/>
          <w:szCs w:val="24"/>
        </w:rPr>
        <w:t xml:space="preserve"> The results are similar for </w:t>
      </w:r>
      <w:r w:rsidR="002908DA">
        <w:rPr>
          <w:rFonts w:ascii="Times New Roman" w:hAnsi="Times New Roman" w:cs="Times New Roman"/>
          <w:sz w:val="24"/>
          <w:szCs w:val="24"/>
        </w:rPr>
        <w:t xml:space="preserve">the </w:t>
      </w:r>
      <w:proofErr w:type="spellStart"/>
      <w:r w:rsidR="002438C7" w:rsidRPr="0006721E">
        <w:rPr>
          <w:rFonts w:ascii="Times New Roman" w:hAnsi="Times New Roman" w:cs="Times New Roman"/>
          <w:sz w:val="24"/>
          <w:szCs w:val="24"/>
        </w:rPr>
        <w:t>Sortino</w:t>
      </w:r>
      <w:proofErr w:type="spellEnd"/>
      <w:r w:rsidR="002438C7" w:rsidRPr="0006721E">
        <w:rPr>
          <w:rFonts w:ascii="Times New Roman" w:hAnsi="Times New Roman" w:cs="Times New Roman"/>
          <w:sz w:val="24"/>
          <w:szCs w:val="24"/>
        </w:rPr>
        <w:t xml:space="preserve"> ratio</w:t>
      </w:r>
      <w:r w:rsidR="002908DA">
        <w:rPr>
          <w:rFonts w:ascii="Times New Roman" w:hAnsi="Times New Roman" w:cs="Times New Roman"/>
          <w:sz w:val="24"/>
          <w:szCs w:val="24"/>
        </w:rPr>
        <w:t>,</w:t>
      </w:r>
      <w:r w:rsidR="002438C7" w:rsidRPr="0006721E">
        <w:rPr>
          <w:rFonts w:ascii="Times New Roman" w:hAnsi="Times New Roman" w:cs="Times New Roman"/>
          <w:sz w:val="24"/>
          <w:szCs w:val="24"/>
        </w:rPr>
        <w:t xml:space="preserve"> where only </w:t>
      </w:r>
      <w:r w:rsidR="002908DA">
        <w:rPr>
          <w:rFonts w:ascii="Times New Roman" w:hAnsi="Times New Roman" w:cs="Times New Roman"/>
          <w:sz w:val="24"/>
          <w:szCs w:val="24"/>
        </w:rPr>
        <w:t xml:space="preserve">the </w:t>
      </w:r>
      <w:r w:rsidR="002438C7" w:rsidRPr="0006721E">
        <w:rPr>
          <w:rFonts w:ascii="Times New Roman" w:hAnsi="Times New Roman" w:cs="Times New Roman"/>
          <w:sz w:val="24"/>
          <w:szCs w:val="24"/>
        </w:rPr>
        <w:t>downside risk is considered. Our sample of Islamic funds demonstrate</w:t>
      </w:r>
      <w:r w:rsidR="002952D6">
        <w:rPr>
          <w:rFonts w:ascii="Times New Roman" w:hAnsi="Times New Roman" w:cs="Times New Roman"/>
          <w:sz w:val="24"/>
          <w:szCs w:val="24"/>
        </w:rPr>
        <w:t>s</w:t>
      </w:r>
      <w:r w:rsidR="002438C7" w:rsidRPr="0006721E">
        <w:rPr>
          <w:rFonts w:ascii="Times New Roman" w:hAnsi="Times New Roman" w:cs="Times New Roman"/>
          <w:sz w:val="24"/>
          <w:szCs w:val="24"/>
        </w:rPr>
        <w:t xml:space="preserve"> superior downside risk</w:t>
      </w:r>
      <w:r w:rsidR="002908DA">
        <w:rPr>
          <w:rFonts w:ascii="Times New Roman" w:hAnsi="Times New Roman" w:cs="Times New Roman"/>
          <w:sz w:val="24"/>
          <w:szCs w:val="24"/>
        </w:rPr>
        <w:t>-</w:t>
      </w:r>
      <w:r w:rsidR="002438C7" w:rsidRPr="0006721E">
        <w:rPr>
          <w:rFonts w:ascii="Times New Roman" w:hAnsi="Times New Roman" w:cs="Times New Roman"/>
          <w:sz w:val="24"/>
          <w:szCs w:val="24"/>
        </w:rPr>
        <w:t xml:space="preserve">adjusted performance compared to conventional funds. The Saudi Arabian funds ranked at the top with </w:t>
      </w:r>
      <w:r w:rsidR="002908DA">
        <w:rPr>
          <w:rFonts w:ascii="Times New Roman" w:hAnsi="Times New Roman" w:cs="Times New Roman"/>
          <w:sz w:val="24"/>
          <w:szCs w:val="24"/>
        </w:rPr>
        <w:t xml:space="preserve">a </w:t>
      </w:r>
      <w:proofErr w:type="spellStart"/>
      <w:r w:rsidR="002438C7" w:rsidRPr="0006721E">
        <w:rPr>
          <w:rFonts w:ascii="Times New Roman" w:hAnsi="Times New Roman" w:cs="Times New Roman"/>
          <w:sz w:val="24"/>
          <w:szCs w:val="24"/>
        </w:rPr>
        <w:t>Sortino</w:t>
      </w:r>
      <w:proofErr w:type="spellEnd"/>
      <w:r w:rsidR="002438C7" w:rsidRPr="0006721E">
        <w:rPr>
          <w:rFonts w:ascii="Times New Roman" w:hAnsi="Times New Roman" w:cs="Times New Roman"/>
          <w:sz w:val="24"/>
          <w:szCs w:val="24"/>
        </w:rPr>
        <w:t xml:space="preserve"> ratio of 0.6</w:t>
      </w:r>
      <w:r w:rsidR="00FF59F4">
        <w:rPr>
          <w:rFonts w:ascii="Times New Roman" w:hAnsi="Times New Roman" w:cs="Times New Roman"/>
          <w:sz w:val="24"/>
          <w:szCs w:val="24"/>
        </w:rPr>
        <w:t>3</w:t>
      </w:r>
      <w:r w:rsidR="002438C7" w:rsidRPr="0006721E">
        <w:rPr>
          <w:rFonts w:ascii="Times New Roman" w:hAnsi="Times New Roman" w:cs="Times New Roman"/>
          <w:sz w:val="24"/>
          <w:szCs w:val="24"/>
        </w:rPr>
        <w:t xml:space="preserve">. The least </w:t>
      </w:r>
      <w:proofErr w:type="spellStart"/>
      <w:r w:rsidR="002438C7" w:rsidRPr="0006721E">
        <w:rPr>
          <w:rFonts w:ascii="Times New Roman" w:hAnsi="Times New Roman" w:cs="Times New Roman"/>
          <w:sz w:val="24"/>
          <w:szCs w:val="24"/>
        </w:rPr>
        <w:t>Sortino</w:t>
      </w:r>
      <w:proofErr w:type="spellEnd"/>
      <w:r w:rsidR="002438C7" w:rsidRPr="0006721E">
        <w:rPr>
          <w:rFonts w:ascii="Times New Roman" w:hAnsi="Times New Roman" w:cs="Times New Roman"/>
          <w:sz w:val="24"/>
          <w:szCs w:val="24"/>
        </w:rPr>
        <w:t xml:space="preserve"> ratio among this category is for UAE (0.2). </w:t>
      </w:r>
      <w:r w:rsidR="002908DA">
        <w:rPr>
          <w:rFonts w:ascii="Times New Roman" w:hAnsi="Times New Roman" w:cs="Times New Roman"/>
          <w:sz w:val="24"/>
          <w:szCs w:val="24"/>
        </w:rPr>
        <w:t xml:space="preserve">Like the adjusted Sharpe ratio, </w:t>
      </w:r>
      <w:r w:rsidR="009D1077">
        <w:rPr>
          <w:rFonts w:ascii="Times New Roman" w:hAnsi="Times New Roman" w:cs="Times New Roman"/>
          <w:sz w:val="24"/>
          <w:szCs w:val="24"/>
        </w:rPr>
        <w:t xml:space="preserve">the </w:t>
      </w:r>
      <w:proofErr w:type="spellStart"/>
      <w:r w:rsidR="002908DA">
        <w:rPr>
          <w:rFonts w:ascii="Times New Roman" w:hAnsi="Times New Roman" w:cs="Times New Roman"/>
          <w:sz w:val="24"/>
          <w:szCs w:val="24"/>
        </w:rPr>
        <w:t>Sortino</w:t>
      </w:r>
      <w:proofErr w:type="spellEnd"/>
      <w:r w:rsidR="002908DA">
        <w:rPr>
          <w:rFonts w:ascii="Times New Roman" w:hAnsi="Times New Roman" w:cs="Times New Roman"/>
          <w:sz w:val="24"/>
          <w:szCs w:val="24"/>
        </w:rPr>
        <w:t xml:space="preserve"> ratio for conventional funds in Malaysia, Pakistan</w:t>
      </w:r>
      <w:r w:rsidR="009D1077">
        <w:rPr>
          <w:rFonts w:ascii="Times New Roman" w:hAnsi="Times New Roman" w:cs="Times New Roman"/>
          <w:sz w:val="24"/>
          <w:szCs w:val="24"/>
        </w:rPr>
        <w:t>,</w:t>
      </w:r>
      <w:r w:rsidR="002908DA">
        <w:rPr>
          <w:rFonts w:ascii="Times New Roman" w:hAnsi="Times New Roman" w:cs="Times New Roman"/>
          <w:sz w:val="24"/>
          <w:szCs w:val="24"/>
        </w:rPr>
        <w:t xml:space="preserve"> and Saudi Arabia are</w:t>
      </w:r>
      <w:r w:rsidR="002438C7" w:rsidRPr="0006721E">
        <w:rPr>
          <w:rFonts w:ascii="Times New Roman" w:hAnsi="Times New Roman" w:cs="Times New Roman"/>
          <w:sz w:val="24"/>
          <w:szCs w:val="24"/>
        </w:rPr>
        <w:t xml:space="preserve"> negative.</w:t>
      </w:r>
    </w:p>
    <w:p w14:paraId="5F39C862" w14:textId="77777777" w:rsidR="0001545F" w:rsidRPr="0006721E" w:rsidRDefault="0001545F" w:rsidP="006528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4 here]</w:t>
      </w:r>
    </w:p>
    <w:p w14:paraId="46C933D7" w14:textId="015BCC1F" w:rsidR="002C6BB5" w:rsidRPr="0006721E" w:rsidRDefault="005D1A93" w:rsidP="002307D5">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ab/>
        <w:t xml:space="preserve">The statistics on Jensen’s alpha </w:t>
      </w:r>
      <w:r w:rsidR="009E538C" w:rsidRPr="0006721E">
        <w:rPr>
          <w:rFonts w:ascii="Times New Roman" w:hAnsi="Times New Roman" w:cs="Times New Roman"/>
          <w:sz w:val="24"/>
          <w:szCs w:val="24"/>
        </w:rPr>
        <w:t xml:space="preserve">support our findings from adjusted Sharpe and </w:t>
      </w:r>
      <w:proofErr w:type="spellStart"/>
      <w:r w:rsidR="009E538C" w:rsidRPr="0006721E">
        <w:rPr>
          <w:rFonts w:ascii="Times New Roman" w:hAnsi="Times New Roman" w:cs="Times New Roman"/>
          <w:sz w:val="24"/>
          <w:szCs w:val="24"/>
        </w:rPr>
        <w:t>Sortino</w:t>
      </w:r>
      <w:proofErr w:type="spellEnd"/>
      <w:r w:rsidR="009E538C" w:rsidRPr="0006721E">
        <w:rPr>
          <w:rFonts w:ascii="Times New Roman" w:hAnsi="Times New Roman" w:cs="Times New Roman"/>
          <w:sz w:val="24"/>
          <w:szCs w:val="24"/>
        </w:rPr>
        <w:t xml:space="preserve"> ratios. </w:t>
      </w:r>
      <w:r w:rsidR="00580999" w:rsidRPr="0006721E">
        <w:rPr>
          <w:rFonts w:ascii="Times New Roman" w:hAnsi="Times New Roman" w:cs="Times New Roman"/>
          <w:sz w:val="24"/>
          <w:szCs w:val="24"/>
        </w:rPr>
        <w:t xml:space="preserve">For Islamic funds, we report a significant positive alpha across all countries. Contrary to this, conventional funds show a negative alpha for all countries except UAE. </w:t>
      </w:r>
      <w:r w:rsidR="007D21C5" w:rsidRPr="0006721E">
        <w:rPr>
          <w:rFonts w:ascii="Times New Roman" w:hAnsi="Times New Roman" w:cs="Times New Roman"/>
          <w:sz w:val="24"/>
          <w:szCs w:val="24"/>
        </w:rPr>
        <w:t xml:space="preserve">This represents that while Islamic funds </w:t>
      </w:r>
      <w:r w:rsidR="00AA1FC4">
        <w:rPr>
          <w:rFonts w:ascii="Times New Roman" w:hAnsi="Times New Roman" w:cs="Times New Roman"/>
          <w:sz w:val="24"/>
          <w:szCs w:val="24"/>
        </w:rPr>
        <w:t>could</w:t>
      </w:r>
      <w:r w:rsidR="007D21C5" w:rsidRPr="0006721E">
        <w:rPr>
          <w:rFonts w:ascii="Times New Roman" w:hAnsi="Times New Roman" w:cs="Times New Roman"/>
          <w:sz w:val="24"/>
          <w:szCs w:val="24"/>
        </w:rPr>
        <w:t xml:space="preserve"> dominate the local benchmarks during the outbreak, the c</w:t>
      </w:r>
      <w:r w:rsidR="005B1B12" w:rsidRPr="0006721E">
        <w:rPr>
          <w:rFonts w:ascii="Times New Roman" w:hAnsi="Times New Roman" w:cs="Times New Roman"/>
          <w:sz w:val="24"/>
          <w:szCs w:val="24"/>
        </w:rPr>
        <w:t>onventional funds struggled</w:t>
      </w:r>
      <w:r w:rsidR="000D3CE1" w:rsidRPr="0006721E">
        <w:rPr>
          <w:rFonts w:ascii="Times New Roman" w:hAnsi="Times New Roman" w:cs="Times New Roman"/>
          <w:sz w:val="24"/>
          <w:szCs w:val="24"/>
        </w:rPr>
        <w:t xml:space="preserve"> to do so.</w:t>
      </w:r>
      <w:r w:rsidR="009313EF" w:rsidRPr="0006721E">
        <w:rPr>
          <w:rFonts w:ascii="Times New Roman" w:hAnsi="Times New Roman" w:cs="Times New Roman"/>
          <w:sz w:val="24"/>
          <w:szCs w:val="24"/>
        </w:rPr>
        <w:t xml:space="preserve"> The Islamic funds in Pakistan have the maximum alpha (0.06)</w:t>
      </w:r>
      <w:r w:rsidR="002908DA">
        <w:rPr>
          <w:rFonts w:ascii="Times New Roman" w:hAnsi="Times New Roman" w:cs="Times New Roman"/>
          <w:sz w:val="24"/>
          <w:szCs w:val="24"/>
        </w:rPr>
        <w:t>,</w:t>
      </w:r>
      <w:r w:rsidR="009313EF" w:rsidRPr="0006721E">
        <w:rPr>
          <w:rFonts w:ascii="Times New Roman" w:hAnsi="Times New Roman" w:cs="Times New Roman"/>
          <w:sz w:val="24"/>
          <w:szCs w:val="24"/>
        </w:rPr>
        <w:t xml:space="preserve"> while those in Saudi Arabia report the least </w:t>
      </w:r>
      <w:r w:rsidR="002908DA">
        <w:rPr>
          <w:rFonts w:ascii="Times New Roman" w:hAnsi="Times New Roman" w:cs="Times New Roman"/>
          <w:sz w:val="24"/>
          <w:szCs w:val="24"/>
        </w:rPr>
        <w:t>favorabl</w:t>
      </w:r>
      <w:r w:rsidR="009313EF" w:rsidRPr="0006721E">
        <w:rPr>
          <w:rFonts w:ascii="Times New Roman" w:hAnsi="Times New Roman" w:cs="Times New Roman"/>
          <w:sz w:val="24"/>
          <w:szCs w:val="24"/>
        </w:rPr>
        <w:t xml:space="preserve">e (0.02) in this category. </w:t>
      </w:r>
      <w:r w:rsidR="00A6063C" w:rsidRPr="0006721E">
        <w:rPr>
          <w:rFonts w:ascii="Times New Roman" w:hAnsi="Times New Roman" w:cs="Times New Roman"/>
          <w:sz w:val="24"/>
          <w:szCs w:val="24"/>
        </w:rPr>
        <w:t xml:space="preserve">Therefore, for the </w:t>
      </w:r>
      <w:r w:rsidR="002908DA">
        <w:rPr>
          <w:rFonts w:ascii="Times New Roman" w:hAnsi="Times New Roman" w:cs="Times New Roman"/>
          <w:sz w:val="24"/>
          <w:szCs w:val="24"/>
        </w:rPr>
        <w:t>entir</w:t>
      </w:r>
      <w:r w:rsidR="00A6063C" w:rsidRPr="0006721E">
        <w:rPr>
          <w:rFonts w:ascii="Times New Roman" w:hAnsi="Times New Roman" w:cs="Times New Roman"/>
          <w:sz w:val="24"/>
          <w:szCs w:val="24"/>
        </w:rPr>
        <w:t xml:space="preserve">e </w:t>
      </w:r>
      <w:r w:rsidR="00C166EF" w:rsidRPr="0006721E">
        <w:rPr>
          <w:rFonts w:ascii="Times New Roman" w:hAnsi="Times New Roman" w:cs="Times New Roman"/>
          <w:sz w:val="24"/>
          <w:szCs w:val="24"/>
        </w:rPr>
        <w:t>C</w:t>
      </w:r>
      <w:r w:rsidR="00C166EF">
        <w:rPr>
          <w:rFonts w:ascii="Times New Roman" w:hAnsi="Times New Roman" w:cs="Times New Roman"/>
          <w:sz w:val="24"/>
          <w:szCs w:val="24"/>
        </w:rPr>
        <w:t>OVID</w:t>
      </w:r>
      <w:r w:rsidR="00A6063C" w:rsidRPr="0006721E">
        <w:rPr>
          <w:rFonts w:ascii="Times New Roman" w:hAnsi="Times New Roman" w:cs="Times New Roman"/>
          <w:sz w:val="24"/>
          <w:szCs w:val="24"/>
        </w:rPr>
        <w:t>-19 period</w:t>
      </w:r>
      <w:r w:rsidR="002908DA">
        <w:rPr>
          <w:rFonts w:ascii="Times New Roman" w:hAnsi="Times New Roman" w:cs="Times New Roman"/>
          <w:sz w:val="24"/>
          <w:szCs w:val="24"/>
        </w:rPr>
        <w:t>,</w:t>
      </w:r>
      <w:r w:rsidR="00A6063C" w:rsidRPr="0006721E">
        <w:rPr>
          <w:rFonts w:ascii="Times New Roman" w:hAnsi="Times New Roman" w:cs="Times New Roman"/>
          <w:sz w:val="24"/>
          <w:szCs w:val="24"/>
        </w:rPr>
        <w:t xml:space="preserve"> we can conclude that the Islamic funds</w:t>
      </w:r>
      <w:r w:rsidR="00083DA6" w:rsidRPr="0006721E">
        <w:rPr>
          <w:rFonts w:ascii="Times New Roman" w:hAnsi="Times New Roman" w:cs="Times New Roman"/>
          <w:sz w:val="24"/>
          <w:szCs w:val="24"/>
        </w:rPr>
        <w:t xml:space="preserve"> remained resilient during the outbreak </w:t>
      </w:r>
      <w:r w:rsidR="002908DA">
        <w:rPr>
          <w:rFonts w:ascii="Times New Roman" w:hAnsi="Times New Roman" w:cs="Times New Roman"/>
          <w:sz w:val="24"/>
          <w:szCs w:val="24"/>
        </w:rPr>
        <w:t>than</w:t>
      </w:r>
      <w:r w:rsidR="00083DA6" w:rsidRPr="0006721E">
        <w:rPr>
          <w:rFonts w:ascii="Times New Roman" w:hAnsi="Times New Roman" w:cs="Times New Roman"/>
          <w:sz w:val="24"/>
          <w:szCs w:val="24"/>
        </w:rPr>
        <w:t xml:space="preserve"> the</w:t>
      </w:r>
      <w:r w:rsidR="00AA1FC4">
        <w:rPr>
          <w:rFonts w:ascii="Times New Roman" w:hAnsi="Times New Roman" w:cs="Times New Roman"/>
          <w:sz w:val="24"/>
          <w:szCs w:val="24"/>
        </w:rPr>
        <w:t>ir</w:t>
      </w:r>
      <w:r w:rsidR="00083DA6" w:rsidRPr="0006721E">
        <w:rPr>
          <w:rFonts w:ascii="Times New Roman" w:hAnsi="Times New Roman" w:cs="Times New Roman"/>
          <w:sz w:val="24"/>
          <w:szCs w:val="24"/>
        </w:rPr>
        <w:t xml:space="preserve"> conventional counterparts. </w:t>
      </w:r>
      <w:r w:rsidR="00A6063C" w:rsidRPr="0006721E">
        <w:rPr>
          <w:rFonts w:ascii="Times New Roman" w:hAnsi="Times New Roman" w:cs="Times New Roman"/>
          <w:sz w:val="24"/>
          <w:szCs w:val="24"/>
        </w:rPr>
        <w:t xml:space="preserve">  </w:t>
      </w:r>
      <w:r w:rsidR="009313EF" w:rsidRPr="0006721E">
        <w:rPr>
          <w:rFonts w:ascii="Times New Roman" w:hAnsi="Times New Roman" w:cs="Times New Roman"/>
          <w:sz w:val="24"/>
          <w:szCs w:val="24"/>
        </w:rPr>
        <w:t xml:space="preserve"> </w:t>
      </w:r>
      <w:r w:rsidR="000D3CE1" w:rsidRPr="0006721E">
        <w:rPr>
          <w:rFonts w:ascii="Times New Roman" w:hAnsi="Times New Roman" w:cs="Times New Roman"/>
          <w:sz w:val="24"/>
          <w:szCs w:val="24"/>
        </w:rPr>
        <w:t xml:space="preserve"> </w:t>
      </w:r>
      <w:r w:rsidR="005B1B12" w:rsidRPr="0006721E">
        <w:rPr>
          <w:rFonts w:ascii="Times New Roman" w:hAnsi="Times New Roman" w:cs="Times New Roman"/>
          <w:sz w:val="24"/>
          <w:szCs w:val="24"/>
        </w:rPr>
        <w:t xml:space="preserve"> </w:t>
      </w:r>
      <w:r w:rsidR="002438C7" w:rsidRPr="0006721E">
        <w:rPr>
          <w:rFonts w:ascii="Times New Roman" w:hAnsi="Times New Roman" w:cs="Times New Roman"/>
          <w:sz w:val="24"/>
          <w:szCs w:val="24"/>
        </w:rPr>
        <w:t xml:space="preserve">    </w:t>
      </w:r>
      <w:r w:rsidR="00C76818" w:rsidRPr="0006721E">
        <w:rPr>
          <w:rFonts w:ascii="Times New Roman" w:hAnsi="Times New Roman" w:cs="Times New Roman"/>
          <w:sz w:val="24"/>
          <w:szCs w:val="24"/>
        </w:rPr>
        <w:t xml:space="preserve">  </w:t>
      </w:r>
      <w:r w:rsidR="00CE2111" w:rsidRPr="0006721E">
        <w:rPr>
          <w:rFonts w:ascii="Times New Roman" w:hAnsi="Times New Roman" w:cs="Times New Roman"/>
          <w:sz w:val="24"/>
          <w:szCs w:val="24"/>
        </w:rPr>
        <w:t xml:space="preserve">  </w:t>
      </w:r>
      <w:r w:rsidR="008205FF" w:rsidRPr="0006721E">
        <w:rPr>
          <w:rFonts w:ascii="Times New Roman" w:hAnsi="Times New Roman" w:cs="Times New Roman"/>
          <w:sz w:val="24"/>
          <w:szCs w:val="24"/>
        </w:rPr>
        <w:t xml:space="preserve">  </w:t>
      </w:r>
    </w:p>
    <w:p w14:paraId="54690819" w14:textId="6C8BF7B2" w:rsidR="003A2857" w:rsidRPr="0006721E" w:rsidRDefault="005945F7" w:rsidP="006528E4">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t xml:space="preserve">The results for the </w:t>
      </w:r>
      <w:r w:rsidR="00256C54">
        <w:rPr>
          <w:rFonts w:ascii="Times New Roman" w:hAnsi="Times New Roman" w:cs="Times New Roman"/>
          <w:sz w:val="24"/>
          <w:szCs w:val="24"/>
        </w:rPr>
        <w:t>six</w:t>
      </w:r>
      <w:r w:rsidRPr="0006721E">
        <w:rPr>
          <w:rFonts w:ascii="Times New Roman" w:hAnsi="Times New Roman" w:cs="Times New Roman"/>
          <w:sz w:val="24"/>
          <w:szCs w:val="24"/>
        </w:rPr>
        <w:t xml:space="preserve"> stages</w:t>
      </w:r>
      <w:r w:rsidR="00256C54">
        <w:rPr>
          <w:rFonts w:ascii="Times New Roman" w:hAnsi="Times New Roman" w:cs="Times New Roman"/>
          <w:sz w:val="24"/>
          <w:szCs w:val="24"/>
        </w:rPr>
        <w:t xml:space="preserve"> are </w:t>
      </w:r>
      <w:proofErr w:type="gramStart"/>
      <w:r w:rsidR="00256C54">
        <w:rPr>
          <w:rFonts w:ascii="Times New Roman" w:hAnsi="Times New Roman" w:cs="Times New Roman"/>
          <w:sz w:val="24"/>
          <w:szCs w:val="24"/>
        </w:rPr>
        <w:t>more or less similar</w:t>
      </w:r>
      <w:proofErr w:type="gramEnd"/>
      <w:r w:rsidR="00256C54">
        <w:rPr>
          <w:rFonts w:ascii="Times New Roman" w:hAnsi="Times New Roman" w:cs="Times New Roman"/>
          <w:sz w:val="24"/>
          <w:szCs w:val="24"/>
        </w:rPr>
        <w:t>.</w:t>
      </w:r>
      <w:r w:rsidRPr="0006721E">
        <w:rPr>
          <w:rFonts w:ascii="Times New Roman" w:hAnsi="Times New Roman" w:cs="Times New Roman"/>
          <w:sz w:val="24"/>
          <w:szCs w:val="24"/>
        </w:rPr>
        <w:t xml:space="preserve"> </w:t>
      </w:r>
      <w:r w:rsidR="00256C54">
        <w:rPr>
          <w:rFonts w:ascii="Times New Roman" w:hAnsi="Times New Roman" w:cs="Times New Roman"/>
          <w:sz w:val="24"/>
          <w:szCs w:val="24"/>
        </w:rPr>
        <w:t>D</w:t>
      </w:r>
      <w:r w:rsidR="00C166EF">
        <w:rPr>
          <w:rFonts w:ascii="Times New Roman" w:hAnsi="Times New Roman" w:cs="Times New Roman"/>
          <w:sz w:val="24"/>
          <w:szCs w:val="24"/>
        </w:rPr>
        <w:t xml:space="preserve">uring </w:t>
      </w:r>
      <w:r w:rsidR="00015EAC" w:rsidRPr="0006721E">
        <w:rPr>
          <w:rFonts w:ascii="Times New Roman" w:hAnsi="Times New Roman" w:cs="Times New Roman"/>
          <w:sz w:val="24"/>
          <w:szCs w:val="24"/>
        </w:rPr>
        <w:t xml:space="preserve">stage 1, while </w:t>
      </w:r>
      <w:r w:rsidR="00C166EF" w:rsidRPr="0006721E">
        <w:rPr>
          <w:rFonts w:ascii="Times New Roman" w:hAnsi="Times New Roman" w:cs="Times New Roman"/>
          <w:sz w:val="24"/>
          <w:szCs w:val="24"/>
        </w:rPr>
        <w:t>C</w:t>
      </w:r>
      <w:r w:rsidR="00C166EF">
        <w:rPr>
          <w:rFonts w:ascii="Times New Roman" w:hAnsi="Times New Roman" w:cs="Times New Roman"/>
          <w:sz w:val="24"/>
          <w:szCs w:val="24"/>
        </w:rPr>
        <w:t>OVID</w:t>
      </w:r>
      <w:r w:rsidR="00015EAC" w:rsidRPr="0006721E">
        <w:rPr>
          <w:rFonts w:ascii="Times New Roman" w:hAnsi="Times New Roman" w:cs="Times New Roman"/>
          <w:sz w:val="24"/>
          <w:szCs w:val="24"/>
        </w:rPr>
        <w:t xml:space="preserve">-19 was in </w:t>
      </w:r>
      <w:r w:rsidR="002908DA">
        <w:rPr>
          <w:rFonts w:ascii="Times New Roman" w:hAnsi="Times New Roman" w:cs="Times New Roman"/>
          <w:sz w:val="24"/>
          <w:szCs w:val="24"/>
        </w:rPr>
        <w:t xml:space="preserve">the </w:t>
      </w:r>
      <w:r w:rsidR="00015EAC" w:rsidRPr="0006721E">
        <w:rPr>
          <w:rFonts w:ascii="Times New Roman" w:hAnsi="Times New Roman" w:cs="Times New Roman"/>
          <w:sz w:val="24"/>
          <w:szCs w:val="24"/>
        </w:rPr>
        <w:t>emerging phase</w:t>
      </w:r>
      <w:r w:rsidR="002908DA">
        <w:rPr>
          <w:rFonts w:ascii="Times New Roman" w:hAnsi="Times New Roman" w:cs="Times New Roman"/>
          <w:sz w:val="24"/>
          <w:szCs w:val="24"/>
        </w:rPr>
        <w:t>,</w:t>
      </w:r>
      <w:r w:rsidR="00015EAC" w:rsidRPr="0006721E">
        <w:rPr>
          <w:rFonts w:ascii="Times New Roman" w:hAnsi="Times New Roman" w:cs="Times New Roman"/>
          <w:sz w:val="24"/>
          <w:szCs w:val="24"/>
        </w:rPr>
        <w:t xml:space="preserve"> both Islamic and conventional funds demonstrate positive adjusted Sharpe and </w:t>
      </w:r>
      <w:proofErr w:type="spellStart"/>
      <w:r w:rsidR="00015EAC" w:rsidRPr="0006721E">
        <w:rPr>
          <w:rFonts w:ascii="Times New Roman" w:hAnsi="Times New Roman" w:cs="Times New Roman"/>
          <w:sz w:val="24"/>
          <w:szCs w:val="24"/>
        </w:rPr>
        <w:t>Sortino</w:t>
      </w:r>
      <w:proofErr w:type="spellEnd"/>
      <w:r w:rsidR="00015EAC" w:rsidRPr="0006721E">
        <w:rPr>
          <w:rFonts w:ascii="Times New Roman" w:hAnsi="Times New Roman" w:cs="Times New Roman"/>
          <w:sz w:val="24"/>
          <w:szCs w:val="24"/>
        </w:rPr>
        <w:t xml:space="preserve"> ratios. </w:t>
      </w:r>
      <w:r w:rsidR="00C166EF">
        <w:rPr>
          <w:rFonts w:ascii="Times New Roman" w:hAnsi="Times New Roman" w:cs="Times New Roman"/>
          <w:sz w:val="24"/>
          <w:szCs w:val="24"/>
        </w:rPr>
        <w:t>Furthermore, d</w:t>
      </w:r>
      <w:r w:rsidR="00015EAC" w:rsidRPr="0006721E">
        <w:rPr>
          <w:rFonts w:ascii="Times New Roman" w:hAnsi="Times New Roman" w:cs="Times New Roman"/>
          <w:sz w:val="24"/>
          <w:szCs w:val="24"/>
        </w:rPr>
        <w:t>uring this period</w:t>
      </w:r>
      <w:r w:rsidR="002908DA">
        <w:rPr>
          <w:rFonts w:ascii="Times New Roman" w:hAnsi="Times New Roman" w:cs="Times New Roman"/>
          <w:sz w:val="24"/>
          <w:szCs w:val="24"/>
        </w:rPr>
        <w:t>,</w:t>
      </w:r>
      <w:r w:rsidR="00015EAC" w:rsidRPr="0006721E">
        <w:rPr>
          <w:rFonts w:ascii="Times New Roman" w:hAnsi="Times New Roman" w:cs="Times New Roman"/>
          <w:sz w:val="24"/>
          <w:szCs w:val="24"/>
        </w:rPr>
        <w:t xml:space="preserve"> Islamic funds dominate</w:t>
      </w:r>
      <w:r w:rsidR="00C166EF">
        <w:rPr>
          <w:rFonts w:ascii="Times New Roman" w:hAnsi="Times New Roman" w:cs="Times New Roman"/>
          <w:sz w:val="24"/>
          <w:szCs w:val="24"/>
        </w:rPr>
        <w:t>d the</w:t>
      </w:r>
      <w:r w:rsidR="00015EAC" w:rsidRPr="0006721E">
        <w:rPr>
          <w:rFonts w:ascii="Times New Roman" w:hAnsi="Times New Roman" w:cs="Times New Roman"/>
          <w:sz w:val="24"/>
          <w:szCs w:val="24"/>
        </w:rPr>
        <w:t xml:space="preserve"> </w:t>
      </w:r>
      <w:r w:rsidR="00C166EF">
        <w:rPr>
          <w:rFonts w:ascii="Times New Roman" w:hAnsi="Times New Roman" w:cs="Times New Roman"/>
          <w:sz w:val="24"/>
          <w:szCs w:val="24"/>
        </w:rPr>
        <w:t xml:space="preserve">selected </w:t>
      </w:r>
      <w:r w:rsidR="002908DA">
        <w:rPr>
          <w:rFonts w:ascii="Times New Roman" w:hAnsi="Times New Roman" w:cs="Times New Roman"/>
          <w:sz w:val="24"/>
          <w:szCs w:val="24"/>
        </w:rPr>
        <w:t>tradi</w:t>
      </w:r>
      <w:r w:rsidR="00015EAC" w:rsidRPr="0006721E">
        <w:rPr>
          <w:rFonts w:ascii="Times New Roman" w:hAnsi="Times New Roman" w:cs="Times New Roman"/>
          <w:sz w:val="24"/>
          <w:szCs w:val="24"/>
        </w:rPr>
        <w:t>tional funds</w:t>
      </w:r>
      <w:r w:rsidR="002908DA">
        <w:rPr>
          <w:rFonts w:ascii="Times New Roman" w:hAnsi="Times New Roman" w:cs="Times New Roman"/>
          <w:sz w:val="24"/>
          <w:szCs w:val="24"/>
        </w:rPr>
        <w:t>,</w:t>
      </w:r>
      <w:r w:rsidR="00015EAC" w:rsidRPr="0006721E">
        <w:rPr>
          <w:rFonts w:ascii="Times New Roman" w:hAnsi="Times New Roman" w:cs="Times New Roman"/>
          <w:sz w:val="24"/>
          <w:szCs w:val="24"/>
        </w:rPr>
        <w:t xml:space="preserve"> </w:t>
      </w:r>
      <w:r w:rsidR="004A4CF4">
        <w:rPr>
          <w:rFonts w:ascii="Times New Roman" w:hAnsi="Times New Roman" w:cs="Times New Roman"/>
          <w:sz w:val="24"/>
          <w:szCs w:val="24"/>
        </w:rPr>
        <w:t>which</w:t>
      </w:r>
      <w:r w:rsidR="00015EAC" w:rsidRPr="0006721E">
        <w:rPr>
          <w:rFonts w:ascii="Times New Roman" w:hAnsi="Times New Roman" w:cs="Times New Roman"/>
          <w:sz w:val="24"/>
          <w:szCs w:val="24"/>
        </w:rPr>
        <w:t xml:space="preserve"> was persistent across all countries. </w:t>
      </w:r>
      <w:r w:rsidR="004A4CF4">
        <w:rPr>
          <w:rFonts w:ascii="Times New Roman" w:hAnsi="Times New Roman" w:cs="Times New Roman"/>
          <w:sz w:val="24"/>
          <w:szCs w:val="24"/>
        </w:rPr>
        <w:t>Notab</w:t>
      </w:r>
      <w:r w:rsidR="00C166EF">
        <w:rPr>
          <w:rFonts w:ascii="Times New Roman" w:hAnsi="Times New Roman" w:cs="Times New Roman"/>
          <w:sz w:val="24"/>
          <w:szCs w:val="24"/>
        </w:rPr>
        <w:t>ly, i</w:t>
      </w:r>
      <w:r w:rsidR="00015EAC" w:rsidRPr="0006721E">
        <w:rPr>
          <w:rFonts w:ascii="Times New Roman" w:hAnsi="Times New Roman" w:cs="Times New Roman"/>
          <w:sz w:val="24"/>
          <w:szCs w:val="24"/>
        </w:rPr>
        <w:t xml:space="preserve">n stage 1, Islamic funds in Malaysia </w:t>
      </w:r>
      <w:r w:rsidR="00975056" w:rsidRPr="0006721E">
        <w:rPr>
          <w:rFonts w:ascii="Times New Roman" w:hAnsi="Times New Roman" w:cs="Times New Roman"/>
          <w:sz w:val="24"/>
          <w:szCs w:val="24"/>
        </w:rPr>
        <w:t xml:space="preserve">have maximum adjusted Sharpe (0.97) and </w:t>
      </w:r>
      <w:proofErr w:type="spellStart"/>
      <w:r w:rsidR="00975056" w:rsidRPr="0006721E">
        <w:rPr>
          <w:rFonts w:ascii="Times New Roman" w:hAnsi="Times New Roman" w:cs="Times New Roman"/>
          <w:sz w:val="24"/>
          <w:szCs w:val="24"/>
        </w:rPr>
        <w:t>Sortino</w:t>
      </w:r>
      <w:proofErr w:type="spellEnd"/>
      <w:r w:rsidR="00975056" w:rsidRPr="0006721E">
        <w:rPr>
          <w:rFonts w:ascii="Times New Roman" w:hAnsi="Times New Roman" w:cs="Times New Roman"/>
          <w:sz w:val="24"/>
          <w:szCs w:val="24"/>
        </w:rPr>
        <w:t xml:space="preserve"> (0.79) ratios. Among conventional funds, UAE</w:t>
      </w:r>
      <w:r w:rsidR="00C166EF">
        <w:rPr>
          <w:rFonts w:ascii="Times New Roman" w:hAnsi="Times New Roman" w:cs="Times New Roman"/>
          <w:sz w:val="24"/>
          <w:szCs w:val="24"/>
        </w:rPr>
        <w:t>-</w:t>
      </w:r>
      <w:r w:rsidR="00975056" w:rsidRPr="0006721E">
        <w:rPr>
          <w:rFonts w:ascii="Times New Roman" w:hAnsi="Times New Roman" w:cs="Times New Roman"/>
          <w:sz w:val="24"/>
          <w:szCs w:val="24"/>
        </w:rPr>
        <w:t xml:space="preserve">based funds are ranked at the top </w:t>
      </w:r>
      <w:r w:rsidR="00C166EF">
        <w:rPr>
          <w:rFonts w:ascii="Times New Roman" w:hAnsi="Times New Roman" w:cs="Times New Roman"/>
          <w:sz w:val="24"/>
          <w:szCs w:val="24"/>
        </w:rPr>
        <w:t xml:space="preserve">of our sample </w:t>
      </w:r>
      <w:r w:rsidR="00975056" w:rsidRPr="0006721E">
        <w:rPr>
          <w:rFonts w:ascii="Times New Roman" w:hAnsi="Times New Roman" w:cs="Times New Roman"/>
          <w:sz w:val="24"/>
          <w:szCs w:val="24"/>
        </w:rPr>
        <w:t xml:space="preserve">with </w:t>
      </w:r>
      <w:r w:rsidR="002908DA">
        <w:rPr>
          <w:rFonts w:ascii="Times New Roman" w:hAnsi="Times New Roman" w:cs="Times New Roman"/>
          <w:sz w:val="24"/>
          <w:szCs w:val="24"/>
        </w:rPr>
        <w:t xml:space="preserve">an </w:t>
      </w:r>
      <w:r w:rsidR="00975056" w:rsidRPr="0006721E">
        <w:rPr>
          <w:rFonts w:ascii="Times New Roman" w:hAnsi="Times New Roman" w:cs="Times New Roman"/>
          <w:sz w:val="24"/>
          <w:szCs w:val="24"/>
        </w:rPr>
        <w:t xml:space="preserve">adjusted Sharpe ratio of 0.14 and </w:t>
      </w:r>
      <w:proofErr w:type="spellStart"/>
      <w:r w:rsidR="00975056" w:rsidRPr="0006721E">
        <w:rPr>
          <w:rFonts w:ascii="Times New Roman" w:hAnsi="Times New Roman" w:cs="Times New Roman"/>
          <w:sz w:val="24"/>
          <w:szCs w:val="24"/>
        </w:rPr>
        <w:t>Sortino</w:t>
      </w:r>
      <w:proofErr w:type="spellEnd"/>
      <w:r w:rsidR="00975056" w:rsidRPr="0006721E">
        <w:rPr>
          <w:rFonts w:ascii="Times New Roman" w:hAnsi="Times New Roman" w:cs="Times New Roman"/>
          <w:sz w:val="24"/>
          <w:szCs w:val="24"/>
        </w:rPr>
        <w:t xml:space="preserve"> ratio of 0.10. </w:t>
      </w:r>
      <w:r w:rsidR="001B076B" w:rsidRPr="0006721E">
        <w:rPr>
          <w:rFonts w:ascii="Times New Roman" w:hAnsi="Times New Roman" w:cs="Times New Roman"/>
          <w:sz w:val="24"/>
          <w:szCs w:val="24"/>
        </w:rPr>
        <w:t xml:space="preserve">Jensen’s alpha presents a similar story with positive alphas across all funds. However, we observe higher alphas for Islamic funds vis-à-vis conventional </w:t>
      </w:r>
      <w:r w:rsidR="008C7D2B" w:rsidRPr="0006721E">
        <w:rPr>
          <w:rFonts w:ascii="Times New Roman" w:hAnsi="Times New Roman" w:cs="Times New Roman"/>
          <w:sz w:val="24"/>
          <w:szCs w:val="24"/>
        </w:rPr>
        <w:t>funds. The estimates for stage 1 are most</w:t>
      </w:r>
      <w:r w:rsidR="002908DA">
        <w:rPr>
          <w:rFonts w:ascii="Times New Roman" w:hAnsi="Times New Roman" w:cs="Times New Roman"/>
          <w:sz w:val="24"/>
          <w:szCs w:val="24"/>
        </w:rPr>
        <w:t>ly</w:t>
      </w:r>
      <w:r w:rsidR="008C7D2B" w:rsidRPr="0006721E">
        <w:rPr>
          <w:rFonts w:ascii="Times New Roman" w:hAnsi="Times New Roman" w:cs="Times New Roman"/>
          <w:sz w:val="24"/>
          <w:szCs w:val="24"/>
        </w:rPr>
        <w:t xml:space="preserve"> significant at 1% and 5%.</w:t>
      </w:r>
    </w:p>
    <w:p w14:paraId="5C68814B" w14:textId="1C46B5C6" w:rsidR="007064C5" w:rsidRPr="0006721E" w:rsidRDefault="003A2857" w:rsidP="002307D5">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ab/>
      </w:r>
      <w:r w:rsidR="00386C4C" w:rsidRPr="0006721E">
        <w:rPr>
          <w:rFonts w:ascii="Times New Roman" w:hAnsi="Times New Roman" w:cs="Times New Roman"/>
          <w:sz w:val="24"/>
          <w:szCs w:val="24"/>
        </w:rPr>
        <w:t xml:space="preserve">The transition to </w:t>
      </w:r>
      <w:r w:rsidR="000611CF">
        <w:rPr>
          <w:rFonts w:ascii="Times New Roman" w:hAnsi="Times New Roman" w:cs="Times New Roman"/>
          <w:sz w:val="24"/>
          <w:szCs w:val="24"/>
        </w:rPr>
        <w:t>stage</w:t>
      </w:r>
      <w:r w:rsidR="00386C4C" w:rsidRPr="0006721E">
        <w:rPr>
          <w:rFonts w:ascii="Times New Roman" w:hAnsi="Times New Roman" w:cs="Times New Roman"/>
          <w:sz w:val="24"/>
          <w:szCs w:val="24"/>
        </w:rPr>
        <w:t xml:space="preserve"> 2</w:t>
      </w:r>
      <w:r w:rsidR="00A12DD6" w:rsidRPr="0006721E">
        <w:rPr>
          <w:rFonts w:ascii="Times New Roman" w:hAnsi="Times New Roman" w:cs="Times New Roman"/>
          <w:sz w:val="24"/>
          <w:szCs w:val="24"/>
        </w:rPr>
        <w:t xml:space="preserve"> </w:t>
      </w:r>
      <w:r w:rsidR="00BC6782" w:rsidRPr="0006721E">
        <w:rPr>
          <w:rFonts w:ascii="Times New Roman" w:hAnsi="Times New Roman" w:cs="Times New Roman"/>
          <w:sz w:val="24"/>
          <w:szCs w:val="24"/>
        </w:rPr>
        <w:t xml:space="preserve">resulted in a performance rout. </w:t>
      </w:r>
      <w:r w:rsidR="00B94B99" w:rsidRPr="0006721E">
        <w:rPr>
          <w:rFonts w:ascii="Times New Roman" w:hAnsi="Times New Roman" w:cs="Times New Roman"/>
          <w:sz w:val="24"/>
          <w:szCs w:val="24"/>
        </w:rPr>
        <w:t xml:space="preserve">While the adjusted Sharpe and </w:t>
      </w:r>
      <w:proofErr w:type="spellStart"/>
      <w:r w:rsidR="00B94B99" w:rsidRPr="0006721E">
        <w:rPr>
          <w:rFonts w:ascii="Times New Roman" w:hAnsi="Times New Roman" w:cs="Times New Roman"/>
          <w:sz w:val="24"/>
          <w:szCs w:val="24"/>
        </w:rPr>
        <w:t>Sortino</w:t>
      </w:r>
      <w:proofErr w:type="spellEnd"/>
      <w:r w:rsidR="00B94B99" w:rsidRPr="0006721E">
        <w:rPr>
          <w:rFonts w:ascii="Times New Roman" w:hAnsi="Times New Roman" w:cs="Times New Roman"/>
          <w:sz w:val="24"/>
          <w:szCs w:val="24"/>
        </w:rPr>
        <w:t xml:space="preserve"> ratios are still positive, we observe a comprehensive drop from</w:t>
      </w:r>
      <w:r w:rsidR="00887936" w:rsidRPr="0006721E">
        <w:rPr>
          <w:rFonts w:ascii="Times New Roman" w:hAnsi="Times New Roman" w:cs="Times New Roman"/>
          <w:sz w:val="24"/>
          <w:szCs w:val="24"/>
        </w:rPr>
        <w:t xml:space="preserve"> the level of stage 1. </w:t>
      </w:r>
      <w:r w:rsidR="00320334" w:rsidRPr="0006721E">
        <w:rPr>
          <w:rFonts w:ascii="Times New Roman" w:hAnsi="Times New Roman" w:cs="Times New Roman"/>
          <w:sz w:val="24"/>
          <w:szCs w:val="24"/>
        </w:rPr>
        <w:t>Thi</w:t>
      </w:r>
      <w:r w:rsidR="009E7353" w:rsidRPr="0006721E">
        <w:rPr>
          <w:rFonts w:ascii="Times New Roman" w:hAnsi="Times New Roman" w:cs="Times New Roman"/>
          <w:sz w:val="24"/>
          <w:szCs w:val="24"/>
        </w:rPr>
        <w:t xml:space="preserve">s is plausible because the intensity of the spread of </w:t>
      </w:r>
      <w:r w:rsidR="00C166EF" w:rsidRPr="0006721E">
        <w:rPr>
          <w:rFonts w:ascii="Times New Roman" w:hAnsi="Times New Roman" w:cs="Times New Roman"/>
          <w:sz w:val="24"/>
          <w:szCs w:val="24"/>
        </w:rPr>
        <w:t>C</w:t>
      </w:r>
      <w:r w:rsidR="00C166EF">
        <w:rPr>
          <w:rFonts w:ascii="Times New Roman" w:hAnsi="Times New Roman" w:cs="Times New Roman"/>
          <w:sz w:val="24"/>
          <w:szCs w:val="24"/>
        </w:rPr>
        <w:t>OVID</w:t>
      </w:r>
      <w:r w:rsidR="009E7353" w:rsidRPr="0006721E">
        <w:rPr>
          <w:rFonts w:ascii="Times New Roman" w:hAnsi="Times New Roman" w:cs="Times New Roman"/>
          <w:sz w:val="24"/>
          <w:szCs w:val="24"/>
        </w:rPr>
        <w:t>-19 is resulting in an increase in uncertainty and</w:t>
      </w:r>
      <w:r w:rsidR="002908DA">
        <w:rPr>
          <w:rFonts w:ascii="Times New Roman" w:hAnsi="Times New Roman" w:cs="Times New Roman"/>
          <w:sz w:val="24"/>
          <w:szCs w:val="24"/>
        </w:rPr>
        <w:t>,</w:t>
      </w:r>
      <w:r w:rsidR="009E7353" w:rsidRPr="0006721E">
        <w:rPr>
          <w:rFonts w:ascii="Times New Roman" w:hAnsi="Times New Roman" w:cs="Times New Roman"/>
          <w:sz w:val="24"/>
          <w:szCs w:val="24"/>
        </w:rPr>
        <w:t xml:space="preserve"> consequently</w:t>
      </w:r>
      <w:r w:rsidR="002908DA">
        <w:rPr>
          <w:rFonts w:ascii="Times New Roman" w:hAnsi="Times New Roman" w:cs="Times New Roman"/>
          <w:sz w:val="24"/>
          <w:szCs w:val="24"/>
        </w:rPr>
        <w:t>,</w:t>
      </w:r>
      <w:r w:rsidR="009E7353" w:rsidRPr="0006721E">
        <w:rPr>
          <w:rFonts w:ascii="Times New Roman" w:hAnsi="Times New Roman" w:cs="Times New Roman"/>
          <w:sz w:val="24"/>
          <w:szCs w:val="24"/>
        </w:rPr>
        <w:t xml:space="preserve"> reflected in </w:t>
      </w:r>
      <w:r w:rsidR="003C42B8" w:rsidRPr="0006721E">
        <w:rPr>
          <w:rFonts w:ascii="Times New Roman" w:hAnsi="Times New Roman" w:cs="Times New Roman"/>
          <w:sz w:val="24"/>
          <w:szCs w:val="24"/>
        </w:rPr>
        <w:t xml:space="preserve">the </w:t>
      </w:r>
      <w:r w:rsidR="009E7353" w:rsidRPr="0006721E">
        <w:rPr>
          <w:rFonts w:ascii="Times New Roman" w:hAnsi="Times New Roman" w:cs="Times New Roman"/>
          <w:sz w:val="24"/>
          <w:szCs w:val="24"/>
        </w:rPr>
        <w:t>investment portfolios.</w:t>
      </w:r>
      <w:r w:rsidR="003C42B8" w:rsidRPr="0006721E">
        <w:rPr>
          <w:rFonts w:ascii="Times New Roman" w:hAnsi="Times New Roman" w:cs="Times New Roman"/>
          <w:sz w:val="24"/>
          <w:szCs w:val="24"/>
        </w:rPr>
        <w:t xml:space="preserve"> </w:t>
      </w:r>
      <w:r w:rsidR="002908DA">
        <w:rPr>
          <w:rFonts w:ascii="Times New Roman" w:hAnsi="Times New Roman" w:cs="Times New Roman"/>
          <w:sz w:val="24"/>
          <w:szCs w:val="24"/>
        </w:rPr>
        <w:t>We observe a maximum adjusted Sharpe ratio of 0.09 for UAE during this stage</w:t>
      </w:r>
      <w:r w:rsidR="003C42B8" w:rsidRPr="0006721E">
        <w:rPr>
          <w:rFonts w:ascii="Times New Roman" w:hAnsi="Times New Roman" w:cs="Times New Roman"/>
          <w:sz w:val="24"/>
          <w:szCs w:val="24"/>
        </w:rPr>
        <w:t xml:space="preserve">, while </w:t>
      </w:r>
      <w:r w:rsidR="002908DA">
        <w:rPr>
          <w:rFonts w:ascii="Times New Roman" w:hAnsi="Times New Roman" w:cs="Times New Roman"/>
          <w:sz w:val="24"/>
          <w:szCs w:val="24"/>
        </w:rPr>
        <w:t xml:space="preserve">the </w:t>
      </w:r>
      <w:proofErr w:type="spellStart"/>
      <w:r w:rsidR="003C42B8" w:rsidRPr="0006721E">
        <w:rPr>
          <w:rFonts w:ascii="Times New Roman" w:hAnsi="Times New Roman" w:cs="Times New Roman"/>
          <w:sz w:val="24"/>
          <w:szCs w:val="24"/>
        </w:rPr>
        <w:t>Sortino</w:t>
      </w:r>
      <w:proofErr w:type="spellEnd"/>
      <w:r w:rsidR="003C42B8" w:rsidRPr="0006721E">
        <w:rPr>
          <w:rFonts w:ascii="Times New Roman" w:hAnsi="Times New Roman" w:cs="Times New Roman"/>
          <w:sz w:val="24"/>
          <w:szCs w:val="24"/>
        </w:rPr>
        <w:t xml:space="preserve"> ratio was maximum for Saudi Arabia (0.07). </w:t>
      </w:r>
      <w:r w:rsidR="002908DA">
        <w:rPr>
          <w:rFonts w:ascii="Times New Roman" w:hAnsi="Times New Roman" w:cs="Times New Roman"/>
          <w:sz w:val="24"/>
          <w:szCs w:val="24"/>
        </w:rPr>
        <w:t>S</w:t>
      </w:r>
      <w:r w:rsidR="00D039BE" w:rsidRPr="0006721E">
        <w:rPr>
          <w:rFonts w:ascii="Times New Roman" w:hAnsi="Times New Roman" w:cs="Times New Roman"/>
          <w:sz w:val="24"/>
          <w:szCs w:val="24"/>
        </w:rPr>
        <w:t xml:space="preserve">tage 2 has been </w:t>
      </w:r>
      <w:r w:rsidR="00061594">
        <w:rPr>
          <w:rFonts w:ascii="Times New Roman" w:hAnsi="Times New Roman" w:cs="Times New Roman"/>
          <w:sz w:val="24"/>
          <w:szCs w:val="24"/>
        </w:rPr>
        <w:t>high</w:t>
      </w:r>
      <w:r w:rsidR="00D039BE" w:rsidRPr="0006721E">
        <w:rPr>
          <w:rFonts w:ascii="Times New Roman" w:hAnsi="Times New Roman" w:cs="Times New Roman"/>
          <w:sz w:val="24"/>
          <w:szCs w:val="24"/>
        </w:rPr>
        <w:t xml:space="preserve">ly devastating for the conventional funds that resulted in </w:t>
      </w:r>
      <w:r w:rsidR="002908DA">
        <w:rPr>
          <w:rFonts w:ascii="Times New Roman" w:hAnsi="Times New Roman" w:cs="Times New Roman"/>
          <w:sz w:val="24"/>
          <w:szCs w:val="24"/>
        </w:rPr>
        <w:t>advers</w:t>
      </w:r>
      <w:r w:rsidR="004B6CD0" w:rsidRPr="0006721E">
        <w:rPr>
          <w:rFonts w:ascii="Times New Roman" w:hAnsi="Times New Roman" w:cs="Times New Roman"/>
          <w:sz w:val="24"/>
          <w:szCs w:val="24"/>
        </w:rPr>
        <w:t>e risk</w:t>
      </w:r>
      <w:r w:rsidR="002908DA">
        <w:rPr>
          <w:rFonts w:ascii="Times New Roman" w:hAnsi="Times New Roman" w:cs="Times New Roman"/>
          <w:sz w:val="24"/>
          <w:szCs w:val="24"/>
        </w:rPr>
        <w:t>-</w:t>
      </w:r>
      <w:r w:rsidR="004B6CD0" w:rsidRPr="0006721E">
        <w:rPr>
          <w:rFonts w:ascii="Times New Roman" w:hAnsi="Times New Roman" w:cs="Times New Roman"/>
          <w:sz w:val="24"/>
          <w:szCs w:val="24"/>
        </w:rPr>
        <w:lastRenderedPageBreak/>
        <w:t>adjusted</w:t>
      </w:r>
      <w:r w:rsidR="00061594">
        <w:rPr>
          <w:rFonts w:ascii="Times New Roman" w:hAnsi="Times New Roman" w:cs="Times New Roman"/>
          <w:sz w:val="24"/>
          <w:szCs w:val="24"/>
        </w:rPr>
        <w:t xml:space="preserve"> </w:t>
      </w:r>
      <w:r w:rsidR="004B6CD0" w:rsidRPr="0006721E">
        <w:rPr>
          <w:rFonts w:ascii="Times New Roman" w:hAnsi="Times New Roman" w:cs="Times New Roman"/>
          <w:sz w:val="24"/>
          <w:szCs w:val="24"/>
        </w:rPr>
        <w:t xml:space="preserve">performance. </w:t>
      </w:r>
      <w:r w:rsidR="00AA1B93" w:rsidRPr="0006721E">
        <w:rPr>
          <w:rFonts w:ascii="Times New Roman" w:hAnsi="Times New Roman" w:cs="Times New Roman"/>
          <w:sz w:val="24"/>
          <w:szCs w:val="24"/>
        </w:rPr>
        <w:t xml:space="preserve">The results remained robust for Jensen’s alpha with significant positive alphas for all Islamic funds. The </w:t>
      </w:r>
      <w:r w:rsidR="002908DA">
        <w:rPr>
          <w:rFonts w:ascii="Times New Roman" w:hAnsi="Times New Roman" w:cs="Times New Roman"/>
          <w:sz w:val="24"/>
          <w:szCs w:val="24"/>
        </w:rPr>
        <w:t>tradi</w:t>
      </w:r>
      <w:r w:rsidR="00AA1B93" w:rsidRPr="0006721E">
        <w:rPr>
          <w:rFonts w:ascii="Times New Roman" w:hAnsi="Times New Roman" w:cs="Times New Roman"/>
          <w:sz w:val="24"/>
          <w:szCs w:val="24"/>
        </w:rPr>
        <w:t xml:space="preserve">tional funds have negative alphas </w:t>
      </w:r>
      <w:r w:rsidR="002908DA">
        <w:rPr>
          <w:rFonts w:ascii="Times New Roman" w:hAnsi="Times New Roman" w:cs="Times New Roman"/>
          <w:sz w:val="24"/>
          <w:szCs w:val="24"/>
        </w:rPr>
        <w:t>except for UAE-based funds with</w:t>
      </w:r>
      <w:r w:rsidR="00AA1B93" w:rsidRPr="0006721E">
        <w:rPr>
          <w:rFonts w:ascii="Times New Roman" w:hAnsi="Times New Roman" w:cs="Times New Roman"/>
          <w:sz w:val="24"/>
          <w:szCs w:val="24"/>
        </w:rPr>
        <w:t xml:space="preserve"> a positive alpha of 0.005 for stage 2. </w:t>
      </w:r>
      <w:r w:rsidR="006461D8" w:rsidRPr="0006721E">
        <w:rPr>
          <w:rFonts w:ascii="Times New Roman" w:hAnsi="Times New Roman" w:cs="Times New Roman"/>
          <w:sz w:val="24"/>
          <w:szCs w:val="24"/>
        </w:rPr>
        <w:t>The findings for stage 2 establish that Islamic funds are buoyant and can withstand turbulent market conditions.</w:t>
      </w:r>
    </w:p>
    <w:p w14:paraId="30350EC3" w14:textId="08954116" w:rsidR="00973027" w:rsidRDefault="007064C5" w:rsidP="002307D5">
      <w:pPr>
        <w:spacing w:after="0" w:line="480" w:lineRule="auto"/>
        <w:jc w:val="both"/>
        <w:rPr>
          <w:rFonts w:ascii="Times New Roman" w:hAnsi="Times New Roman" w:cs="Times New Roman"/>
          <w:sz w:val="24"/>
          <w:szCs w:val="24"/>
        </w:rPr>
      </w:pPr>
      <w:r w:rsidRPr="0006721E">
        <w:rPr>
          <w:rFonts w:ascii="Times New Roman" w:hAnsi="Times New Roman" w:cs="Times New Roman"/>
          <w:sz w:val="24"/>
          <w:szCs w:val="24"/>
        </w:rPr>
        <w:tab/>
      </w:r>
      <w:r w:rsidR="00D11F30" w:rsidRPr="0006721E">
        <w:rPr>
          <w:rFonts w:ascii="Times New Roman" w:hAnsi="Times New Roman" w:cs="Times New Roman"/>
          <w:sz w:val="24"/>
          <w:szCs w:val="24"/>
        </w:rPr>
        <w:t>In stage 3</w:t>
      </w:r>
      <w:r w:rsidR="00AC3964" w:rsidRPr="0006721E">
        <w:rPr>
          <w:rFonts w:ascii="Times New Roman" w:hAnsi="Times New Roman" w:cs="Times New Roman"/>
          <w:sz w:val="24"/>
          <w:szCs w:val="24"/>
        </w:rPr>
        <w:t xml:space="preserve">, </w:t>
      </w:r>
      <w:r w:rsidR="00917181" w:rsidRPr="0006721E">
        <w:rPr>
          <w:rFonts w:ascii="Times New Roman" w:hAnsi="Times New Roman" w:cs="Times New Roman"/>
          <w:sz w:val="24"/>
          <w:szCs w:val="24"/>
        </w:rPr>
        <w:t xml:space="preserve">we observe a slight improvement </w:t>
      </w:r>
      <w:r w:rsidR="005B5410" w:rsidRPr="0006721E">
        <w:rPr>
          <w:rFonts w:ascii="Times New Roman" w:hAnsi="Times New Roman" w:cs="Times New Roman"/>
          <w:sz w:val="24"/>
          <w:szCs w:val="24"/>
        </w:rPr>
        <w:t xml:space="preserve">in </w:t>
      </w:r>
      <w:r w:rsidR="002908DA">
        <w:rPr>
          <w:rFonts w:ascii="Times New Roman" w:hAnsi="Times New Roman" w:cs="Times New Roman"/>
          <w:sz w:val="24"/>
          <w:szCs w:val="24"/>
        </w:rPr>
        <w:t xml:space="preserve">the </w:t>
      </w:r>
      <w:r w:rsidR="005B5410" w:rsidRPr="0006721E">
        <w:rPr>
          <w:rFonts w:ascii="Times New Roman" w:hAnsi="Times New Roman" w:cs="Times New Roman"/>
          <w:sz w:val="24"/>
          <w:szCs w:val="24"/>
        </w:rPr>
        <w:t xml:space="preserve">performance of funds. The Islamic funds show better adjusted Sharpe and </w:t>
      </w:r>
      <w:proofErr w:type="spellStart"/>
      <w:r w:rsidR="005B5410" w:rsidRPr="0006721E">
        <w:rPr>
          <w:rFonts w:ascii="Times New Roman" w:hAnsi="Times New Roman" w:cs="Times New Roman"/>
          <w:sz w:val="24"/>
          <w:szCs w:val="24"/>
        </w:rPr>
        <w:t>Sortino</w:t>
      </w:r>
      <w:proofErr w:type="spellEnd"/>
      <w:r w:rsidR="005B5410" w:rsidRPr="0006721E">
        <w:rPr>
          <w:rFonts w:ascii="Times New Roman" w:hAnsi="Times New Roman" w:cs="Times New Roman"/>
          <w:sz w:val="24"/>
          <w:szCs w:val="24"/>
        </w:rPr>
        <w:t xml:space="preserve"> ratios compared to stage 2. The </w:t>
      </w:r>
      <w:r w:rsidR="002908DA">
        <w:rPr>
          <w:rFonts w:ascii="Times New Roman" w:hAnsi="Times New Roman" w:cs="Times New Roman"/>
          <w:sz w:val="24"/>
          <w:szCs w:val="24"/>
        </w:rPr>
        <w:t>UAE funds</w:t>
      </w:r>
      <w:r w:rsidR="005B5410" w:rsidRPr="0006721E">
        <w:rPr>
          <w:rFonts w:ascii="Times New Roman" w:hAnsi="Times New Roman" w:cs="Times New Roman"/>
          <w:sz w:val="24"/>
          <w:szCs w:val="24"/>
        </w:rPr>
        <w:t xml:space="preserve"> continue to dominate this stage with maximum adjusted Sharpe and </w:t>
      </w:r>
      <w:proofErr w:type="spellStart"/>
      <w:r w:rsidR="005B5410" w:rsidRPr="0006721E">
        <w:rPr>
          <w:rFonts w:ascii="Times New Roman" w:hAnsi="Times New Roman" w:cs="Times New Roman"/>
          <w:sz w:val="24"/>
          <w:szCs w:val="24"/>
        </w:rPr>
        <w:t>Sortino</w:t>
      </w:r>
      <w:proofErr w:type="spellEnd"/>
      <w:r w:rsidR="005B5410" w:rsidRPr="0006721E">
        <w:rPr>
          <w:rFonts w:ascii="Times New Roman" w:hAnsi="Times New Roman" w:cs="Times New Roman"/>
          <w:sz w:val="24"/>
          <w:szCs w:val="24"/>
        </w:rPr>
        <w:t xml:space="preserve"> ratios of 0.14 and 0.10</w:t>
      </w:r>
      <w:r w:rsidR="002908DA">
        <w:rPr>
          <w:rFonts w:ascii="Times New Roman" w:hAnsi="Times New Roman" w:cs="Times New Roman"/>
          <w:sz w:val="24"/>
          <w:szCs w:val="24"/>
        </w:rPr>
        <w:t>,</w:t>
      </w:r>
      <w:r w:rsidR="005B5410" w:rsidRPr="0006721E">
        <w:rPr>
          <w:rFonts w:ascii="Times New Roman" w:hAnsi="Times New Roman" w:cs="Times New Roman"/>
          <w:sz w:val="24"/>
          <w:szCs w:val="24"/>
        </w:rPr>
        <w:t xml:space="preserve"> respectively. </w:t>
      </w:r>
      <w:r w:rsidR="002908DA">
        <w:rPr>
          <w:rFonts w:ascii="Times New Roman" w:hAnsi="Times New Roman" w:cs="Times New Roman"/>
          <w:sz w:val="24"/>
          <w:szCs w:val="24"/>
        </w:rPr>
        <w:t xml:space="preserve">We see </w:t>
      </w:r>
      <w:r w:rsidR="00061594">
        <w:rPr>
          <w:rFonts w:ascii="Times New Roman" w:hAnsi="Times New Roman" w:cs="Times New Roman"/>
          <w:sz w:val="24"/>
          <w:szCs w:val="24"/>
        </w:rPr>
        <w:t xml:space="preserve">a </w:t>
      </w:r>
      <w:r w:rsidR="002908DA">
        <w:rPr>
          <w:rFonts w:ascii="Times New Roman" w:hAnsi="Times New Roman" w:cs="Times New Roman"/>
          <w:sz w:val="24"/>
          <w:szCs w:val="24"/>
        </w:rPr>
        <w:t xml:space="preserve">recovery in </w:t>
      </w:r>
      <w:r w:rsidR="00061594">
        <w:rPr>
          <w:rFonts w:ascii="Times New Roman" w:hAnsi="Times New Roman" w:cs="Times New Roman"/>
          <w:sz w:val="24"/>
          <w:szCs w:val="24"/>
        </w:rPr>
        <w:t xml:space="preserve">the </w:t>
      </w:r>
      <w:r w:rsidR="00C166EF">
        <w:rPr>
          <w:rFonts w:ascii="Times New Roman" w:hAnsi="Times New Roman" w:cs="Times New Roman"/>
          <w:sz w:val="24"/>
          <w:szCs w:val="24"/>
        </w:rPr>
        <w:t xml:space="preserve">performance of the </w:t>
      </w:r>
      <w:r w:rsidR="002908DA">
        <w:rPr>
          <w:rFonts w:ascii="Times New Roman" w:hAnsi="Times New Roman" w:cs="Times New Roman"/>
          <w:sz w:val="24"/>
          <w:szCs w:val="24"/>
        </w:rPr>
        <w:t>funds from Saudi Arabia, Qatar, and Kuwait with positive risk</w:t>
      </w:r>
      <w:r w:rsidR="00970AC0">
        <w:rPr>
          <w:rFonts w:ascii="Times New Roman" w:hAnsi="Times New Roman" w:cs="Times New Roman"/>
          <w:sz w:val="24"/>
          <w:szCs w:val="24"/>
        </w:rPr>
        <w:t>-</w:t>
      </w:r>
      <w:r w:rsidR="002908DA">
        <w:rPr>
          <w:rFonts w:ascii="Times New Roman" w:hAnsi="Times New Roman" w:cs="Times New Roman"/>
          <w:sz w:val="24"/>
          <w:szCs w:val="24"/>
        </w:rPr>
        <w:t>adjusted performance among the conventional category</w:t>
      </w:r>
      <w:r w:rsidR="00854DEA" w:rsidRPr="0006721E">
        <w:rPr>
          <w:rFonts w:ascii="Times New Roman" w:hAnsi="Times New Roman" w:cs="Times New Roman"/>
          <w:sz w:val="24"/>
          <w:szCs w:val="24"/>
        </w:rPr>
        <w:t xml:space="preserve">. The Malaysian and Pakistan’s funds continue to struggle in the negative zone. </w:t>
      </w:r>
      <w:r w:rsidR="002908DA">
        <w:rPr>
          <w:rFonts w:ascii="Times New Roman" w:hAnsi="Times New Roman" w:cs="Times New Roman"/>
          <w:sz w:val="24"/>
          <w:szCs w:val="24"/>
        </w:rPr>
        <w:t>Jensen’s alpha also supports these findings</w:t>
      </w:r>
      <w:r w:rsidR="00BA441C" w:rsidRPr="0006721E">
        <w:rPr>
          <w:rFonts w:ascii="Times New Roman" w:hAnsi="Times New Roman" w:cs="Times New Roman"/>
          <w:sz w:val="24"/>
          <w:szCs w:val="24"/>
        </w:rPr>
        <w:t xml:space="preserve"> with significantly higher alphas for Islamic funds </w:t>
      </w:r>
      <w:r w:rsidR="002908DA">
        <w:rPr>
          <w:rFonts w:ascii="Times New Roman" w:hAnsi="Times New Roman" w:cs="Times New Roman"/>
          <w:sz w:val="24"/>
          <w:szCs w:val="24"/>
        </w:rPr>
        <w:t>than</w:t>
      </w:r>
      <w:r w:rsidR="00BA441C" w:rsidRPr="0006721E">
        <w:rPr>
          <w:rFonts w:ascii="Times New Roman" w:hAnsi="Times New Roman" w:cs="Times New Roman"/>
          <w:sz w:val="24"/>
          <w:szCs w:val="24"/>
        </w:rPr>
        <w:t xml:space="preserve"> their conventional peers. </w:t>
      </w:r>
      <w:r w:rsidR="00126B03" w:rsidRPr="0006721E">
        <w:rPr>
          <w:rFonts w:ascii="Times New Roman" w:hAnsi="Times New Roman" w:cs="Times New Roman"/>
          <w:sz w:val="24"/>
          <w:szCs w:val="24"/>
        </w:rPr>
        <w:t>Our consolidated and stage</w:t>
      </w:r>
      <w:r w:rsidR="002908DA">
        <w:rPr>
          <w:rFonts w:ascii="Times New Roman" w:hAnsi="Times New Roman" w:cs="Times New Roman"/>
          <w:sz w:val="24"/>
          <w:szCs w:val="24"/>
        </w:rPr>
        <w:t>-</w:t>
      </w:r>
      <w:r w:rsidR="00126B03" w:rsidRPr="0006721E">
        <w:rPr>
          <w:rFonts w:ascii="Times New Roman" w:hAnsi="Times New Roman" w:cs="Times New Roman"/>
          <w:sz w:val="24"/>
          <w:szCs w:val="24"/>
        </w:rPr>
        <w:t xml:space="preserve">wise results </w:t>
      </w:r>
      <w:r w:rsidR="002154D6" w:rsidRPr="0006721E">
        <w:rPr>
          <w:rFonts w:ascii="Times New Roman" w:hAnsi="Times New Roman" w:cs="Times New Roman"/>
          <w:sz w:val="24"/>
          <w:szCs w:val="24"/>
        </w:rPr>
        <w:t>suggest a</w:t>
      </w:r>
      <w:r w:rsidR="002908DA">
        <w:rPr>
          <w:rFonts w:ascii="Times New Roman" w:hAnsi="Times New Roman" w:cs="Times New Roman"/>
          <w:sz w:val="24"/>
          <w:szCs w:val="24"/>
        </w:rPr>
        <w:t>n all-around</w:t>
      </w:r>
      <w:r w:rsidR="002154D6" w:rsidRPr="0006721E">
        <w:rPr>
          <w:rFonts w:ascii="Times New Roman" w:hAnsi="Times New Roman" w:cs="Times New Roman"/>
          <w:sz w:val="24"/>
          <w:szCs w:val="24"/>
        </w:rPr>
        <w:t xml:space="preserve"> superior performance of Islamic equity funds</w:t>
      </w:r>
      <w:r w:rsidR="00342B52" w:rsidRPr="0006721E">
        <w:rPr>
          <w:rFonts w:ascii="Times New Roman" w:hAnsi="Times New Roman" w:cs="Times New Roman"/>
          <w:sz w:val="24"/>
          <w:szCs w:val="24"/>
        </w:rPr>
        <w:t xml:space="preserve"> during C</w:t>
      </w:r>
      <w:r w:rsidR="00C166EF">
        <w:rPr>
          <w:rFonts w:ascii="Times New Roman" w:hAnsi="Times New Roman" w:cs="Times New Roman"/>
          <w:sz w:val="24"/>
          <w:szCs w:val="24"/>
        </w:rPr>
        <w:t>OVID-</w:t>
      </w:r>
      <w:r w:rsidR="00342B52" w:rsidRPr="0006721E">
        <w:rPr>
          <w:rFonts w:ascii="Times New Roman" w:hAnsi="Times New Roman" w:cs="Times New Roman"/>
          <w:sz w:val="24"/>
          <w:szCs w:val="24"/>
        </w:rPr>
        <w:t xml:space="preserve">19. </w:t>
      </w:r>
    </w:p>
    <w:p w14:paraId="60EEAEAC" w14:textId="32D00B06" w:rsidR="005D45D4" w:rsidRDefault="005D45D4" w:rsidP="002307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2496F" w:rsidRPr="00A311F2">
        <w:rPr>
          <w:rFonts w:ascii="Times New Roman" w:hAnsi="Times New Roman" w:cs="Times New Roman"/>
          <w:sz w:val="24"/>
          <w:szCs w:val="24"/>
          <w:highlight w:val="yellow"/>
        </w:rPr>
        <w:t>From stages 4 to 6, we report the persistent performance of Islamic funds.</w:t>
      </w:r>
      <w:r w:rsidR="006D0617" w:rsidRPr="00A311F2">
        <w:rPr>
          <w:rFonts w:ascii="Times New Roman" w:hAnsi="Times New Roman" w:cs="Times New Roman"/>
          <w:sz w:val="24"/>
          <w:szCs w:val="24"/>
          <w:highlight w:val="yellow"/>
        </w:rPr>
        <w:t xml:space="preserve"> </w:t>
      </w:r>
      <w:r w:rsidR="00835AC8" w:rsidRPr="00A311F2">
        <w:rPr>
          <w:rFonts w:ascii="Times New Roman" w:hAnsi="Times New Roman" w:cs="Times New Roman"/>
          <w:sz w:val="24"/>
          <w:szCs w:val="24"/>
          <w:highlight w:val="yellow"/>
        </w:rPr>
        <w:t xml:space="preserve">Across all the indicators, </w:t>
      </w:r>
      <w:r w:rsidR="00632BC1" w:rsidRPr="00A311F2">
        <w:rPr>
          <w:rFonts w:ascii="Times New Roman" w:hAnsi="Times New Roman" w:cs="Times New Roman"/>
          <w:sz w:val="24"/>
          <w:szCs w:val="24"/>
          <w:highlight w:val="yellow"/>
        </w:rPr>
        <w:t>we observe a</w:t>
      </w:r>
      <w:r w:rsidR="00C17DEB" w:rsidRPr="00A311F2">
        <w:rPr>
          <w:rFonts w:ascii="Times New Roman" w:hAnsi="Times New Roman" w:cs="Times New Roman"/>
          <w:sz w:val="24"/>
          <w:szCs w:val="24"/>
          <w:highlight w:val="yellow"/>
        </w:rPr>
        <w:t xml:space="preserve"> recovery</w:t>
      </w:r>
      <w:r w:rsidR="00E229CF" w:rsidRPr="00A311F2">
        <w:rPr>
          <w:rFonts w:ascii="Times New Roman" w:hAnsi="Times New Roman" w:cs="Times New Roman"/>
          <w:sz w:val="24"/>
          <w:szCs w:val="24"/>
          <w:highlight w:val="yellow"/>
        </w:rPr>
        <w:t xml:space="preserve"> in both conventional and Islami</w:t>
      </w:r>
      <w:r w:rsidR="007B30E2" w:rsidRPr="00A311F2">
        <w:rPr>
          <w:rFonts w:ascii="Times New Roman" w:hAnsi="Times New Roman" w:cs="Times New Roman"/>
          <w:sz w:val="24"/>
          <w:szCs w:val="24"/>
          <w:highlight w:val="yellow"/>
        </w:rPr>
        <w:t>c funds, although Islamic funds continue to dominate. The overall improvement is plausible as</w:t>
      </w:r>
      <w:r w:rsidR="00C17DEB" w:rsidRPr="00A311F2">
        <w:rPr>
          <w:rFonts w:ascii="Times New Roman" w:hAnsi="Times New Roman" w:cs="Times New Roman"/>
          <w:sz w:val="24"/>
          <w:szCs w:val="24"/>
          <w:highlight w:val="yellow"/>
        </w:rPr>
        <w:t xml:space="preserve"> </w:t>
      </w:r>
      <w:r w:rsidR="001518F3" w:rsidRPr="00A311F2">
        <w:rPr>
          <w:rFonts w:ascii="Times New Roman" w:hAnsi="Times New Roman" w:cs="Times New Roman"/>
          <w:sz w:val="24"/>
          <w:szCs w:val="24"/>
          <w:highlight w:val="yellow"/>
        </w:rPr>
        <w:t>six months into the health crisis</w:t>
      </w:r>
      <w:r w:rsidR="0020392F" w:rsidRPr="00A311F2">
        <w:rPr>
          <w:rFonts w:ascii="Times New Roman" w:hAnsi="Times New Roman" w:cs="Times New Roman"/>
          <w:sz w:val="24"/>
          <w:szCs w:val="24"/>
          <w:highlight w:val="yellow"/>
        </w:rPr>
        <w:t>,</w:t>
      </w:r>
      <w:r w:rsidR="00380013" w:rsidRPr="00A311F2">
        <w:rPr>
          <w:rFonts w:ascii="Times New Roman" w:hAnsi="Times New Roman" w:cs="Times New Roman"/>
          <w:sz w:val="24"/>
          <w:szCs w:val="24"/>
          <w:highlight w:val="yellow"/>
        </w:rPr>
        <w:t xml:space="preserve"> the markets </w:t>
      </w:r>
      <w:r w:rsidR="0020392F" w:rsidRPr="00A311F2">
        <w:rPr>
          <w:rFonts w:ascii="Times New Roman" w:hAnsi="Times New Roman" w:cs="Times New Roman"/>
          <w:sz w:val="24"/>
          <w:szCs w:val="24"/>
          <w:highlight w:val="yellow"/>
        </w:rPr>
        <w:t>adapted</w:t>
      </w:r>
      <w:r w:rsidR="00380013" w:rsidRPr="00A311F2">
        <w:rPr>
          <w:rFonts w:ascii="Times New Roman" w:hAnsi="Times New Roman" w:cs="Times New Roman"/>
          <w:sz w:val="24"/>
          <w:szCs w:val="24"/>
          <w:highlight w:val="yellow"/>
        </w:rPr>
        <w:t xml:space="preserve"> to the new normal</w:t>
      </w:r>
      <w:r w:rsidR="0020392F" w:rsidRPr="00A311F2">
        <w:rPr>
          <w:rFonts w:ascii="Times New Roman" w:hAnsi="Times New Roman" w:cs="Times New Roman"/>
          <w:sz w:val="24"/>
          <w:szCs w:val="24"/>
          <w:highlight w:val="yellow"/>
        </w:rPr>
        <w:t>,</w:t>
      </w:r>
      <w:r w:rsidR="00380013" w:rsidRPr="00A311F2">
        <w:rPr>
          <w:rFonts w:ascii="Times New Roman" w:hAnsi="Times New Roman" w:cs="Times New Roman"/>
          <w:sz w:val="24"/>
          <w:szCs w:val="24"/>
          <w:highlight w:val="yellow"/>
        </w:rPr>
        <w:t xml:space="preserve"> and </w:t>
      </w:r>
      <w:r w:rsidR="0020392F" w:rsidRPr="00A311F2">
        <w:rPr>
          <w:rFonts w:ascii="Times New Roman" w:hAnsi="Times New Roman" w:cs="Times New Roman"/>
          <w:sz w:val="24"/>
          <w:szCs w:val="24"/>
          <w:highlight w:val="yellow"/>
        </w:rPr>
        <w:t xml:space="preserve">various asset classes were reverting to their fair values. </w:t>
      </w:r>
      <w:r w:rsidR="00FB51A4" w:rsidRPr="00A311F2">
        <w:rPr>
          <w:rFonts w:ascii="Times New Roman" w:hAnsi="Times New Roman" w:cs="Times New Roman"/>
          <w:sz w:val="24"/>
          <w:szCs w:val="24"/>
          <w:highlight w:val="yellow"/>
        </w:rPr>
        <w:t>The same was true for the emerging markets</w:t>
      </w:r>
      <w:r w:rsidR="0037556B" w:rsidRPr="00A311F2">
        <w:rPr>
          <w:rFonts w:ascii="Times New Roman" w:hAnsi="Times New Roman" w:cs="Times New Roman"/>
          <w:sz w:val="24"/>
          <w:szCs w:val="24"/>
          <w:highlight w:val="yellow"/>
        </w:rPr>
        <w:t>,</w:t>
      </w:r>
      <w:r w:rsidR="00FB51A4" w:rsidRPr="00A311F2">
        <w:rPr>
          <w:rFonts w:ascii="Times New Roman" w:hAnsi="Times New Roman" w:cs="Times New Roman"/>
          <w:sz w:val="24"/>
          <w:szCs w:val="24"/>
          <w:highlight w:val="yellow"/>
        </w:rPr>
        <w:t xml:space="preserve"> and as noted by </w:t>
      </w:r>
      <w:r w:rsidR="00E2794C" w:rsidRPr="00A311F2">
        <w:rPr>
          <w:rFonts w:ascii="Times New Roman" w:hAnsi="Times New Roman" w:cs="Times New Roman"/>
          <w:sz w:val="24"/>
          <w:szCs w:val="24"/>
          <w:highlight w:val="yellow"/>
        </w:rPr>
        <w:fldChar w:fldCharType="begin" w:fldLock="1"/>
      </w:r>
      <w:r w:rsidR="008B112E">
        <w:rPr>
          <w:rFonts w:ascii="Times New Roman" w:hAnsi="Times New Roman" w:cs="Times New Roman"/>
          <w:sz w:val="24"/>
          <w:szCs w:val="24"/>
          <w:highlight w:val="yellow"/>
        </w:rPr>
        <w:instrText>ADDIN CSL_CITATION {"citationItems":[{"id":"ITEM-1","itemData":{"DOI":"10.1016/j.jbankfin.2021.106184","ISSN":"03784266","author":[{"dropping-particle":"","family":"Feyen","given":"Erik","non-dropping-particle":"","parse-names":false,"suffix":""},{"dropping-particle":"","family":"Alonso Gispert","given":"Tatiana","non-dropping-particle":"","parse-names":false,"suffix":""},{"dropping-particle":"","family":"Kliatskova","given":"Tatsiana","non-dropping-particle":"","parse-names":false,"suffix":""},{"dropping-particle":"","family":"Mare","given":"Davide S.","non-dropping-particle":"","parse-names":false,"suffix":""}],"container-title":"Journal of Banking &amp; Finance","id":"ITEM-1","issued":{"date-parts":[["2021","5","21"]]},"page":"106184","publisher":"North-Holland","title":"Financial Sector Policy Response to COVID-19 in Emerging Markets and Developing Economies","type":"article-journal"},"uris":["http://www.mendeley.com/documents/?uuid=73fd0eac-845a-3793-ae19-5f1f038774af"]}],"mendeley":{"formattedCitation":"(Feyen et al., 2021)","manualFormatting":"Feyen et al., (2021)","plainTextFormattedCitation":"(Feyen et al., 2021)","previouslyFormattedCitation":"(Feyen et al., 2021)"},"properties":{"noteIndex":0},"schema":"https://github.com/citation-style-language/schema/raw/master/csl-citation.json"}</w:instrText>
      </w:r>
      <w:r w:rsidR="00E2794C" w:rsidRPr="00A311F2">
        <w:rPr>
          <w:rFonts w:ascii="Times New Roman" w:hAnsi="Times New Roman" w:cs="Times New Roman"/>
          <w:sz w:val="24"/>
          <w:szCs w:val="24"/>
          <w:highlight w:val="yellow"/>
        </w:rPr>
        <w:fldChar w:fldCharType="separate"/>
      </w:r>
      <w:r w:rsidR="00E2794C" w:rsidRPr="00A311F2">
        <w:rPr>
          <w:rFonts w:ascii="Times New Roman" w:hAnsi="Times New Roman" w:cs="Times New Roman"/>
          <w:noProof/>
          <w:sz w:val="24"/>
          <w:szCs w:val="24"/>
          <w:highlight w:val="yellow"/>
        </w:rPr>
        <w:t>Feyen et al., (2021)</w:t>
      </w:r>
      <w:r w:rsidR="00E2794C" w:rsidRPr="00A311F2">
        <w:rPr>
          <w:rFonts w:ascii="Times New Roman" w:hAnsi="Times New Roman" w:cs="Times New Roman"/>
          <w:sz w:val="24"/>
          <w:szCs w:val="24"/>
          <w:highlight w:val="yellow"/>
        </w:rPr>
        <w:fldChar w:fldCharType="end"/>
      </w:r>
      <w:r w:rsidR="0073305F" w:rsidRPr="00A311F2">
        <w:rPr>
          <w:rFonts w:ascii="Times New Roman" w:hAnsi="Times New Roman" w:cs="Times New Roman"/>
          <w:sz w:val="24"/>
          <w:szCs w:val="24"/>
          <w:highlight w:val="yellow"/>
        </w:rPr>
        <w:t>, most of them introduced policy responses that helped</w:t>
      </w:r>
      <w:r w:rsidR="00B279D8" w:rsidRPr="00A311F2">
        <w:rPr>
          <w:rFonts w:ascii="Times New Roman" w:hAnsi="Times New Roman" w:cs="Times New Roman"/>
          <w:sz w:val="24"/>
          <w:szCs w:val="24"/>
          <w:highlight w:val="yellow"/>
        </w:rPr>
        <w:t xml:space="preserve"> reduce</w:t>
      </w:r>
      <w:r w:rsidR="0073305F" w:rsidRPr="00A311F2">
        <w:rPr>
          <w:rFonts w:ascii="Times New Roman" w:hAnsi="Times New Roman" w:cs="Times New Roman"/>
          <w:sz w:val="24"/>
          <w:szCs w:val="24"/>
          <w:highlight w:val="yellow"/>
        </w:rPr>
        <w:t xml:space="preserve"> the </w:t>
      </w:r>
      <w:r w:rsidR="00B279D8" w:rsidRPr="00A311F2">
        <w:rPr>
          <w:rFonts w:ascii="Times New Roman" w:hAnsi="Times New Roman" w:cs="Times New Roman"/>
          <w:sz w:val="24"/>
          <w:szCs w:val="24"/>
          <w:highlight w:val="yellow"/>
        </w:rPr>
        <w:t xml:space="preserve">economic </w:t>
      </w:r>
      <w:r w:rsidR="0073305F" w:rsidRPr="00A311F2">
        <w:rPr>
          <w:rFonts w:ascii="Times New Roman" w:hAnsi="Times New Roman" w:cs="Times New Roman"/>
          <w:sz w:val="24"/>
          <w:szCs w:val="24"/>
          <w:highlight w:val="yellow"/>
        </w:rPr>
        <w:t>pressures</w:t>
      </w:r>
      <w:r w:rsidR="00B279D8" w:rsidRPr="00A311F2">
        <w:rPr>
          <w:rFonts w:ascii="Times New Roman" w:hAnsi="Times New Roman" w:cs="Times New Roman"/>
          <w:sz w:val="24"/>
          <w:szCs w:val="24"/>
          <w:highlight w:val="yellow"/>
        </w:rPr>
        <w:t xml:space="preserve">. However, </w:t>
      </w:r>
      <w:r w:rsidR="00832942">
        <w:rPr>
          <w:rFonts w:ascii="Times New Roman" w:hAnsi="Times New Roman" w:cs="Times New Roman"/>
          <w:sz w:val="24"/>
          <w:szCs w:val="24"/>
          <w:highlight w:val="yellow"/>
        </w:rPr>
        <w:t>even during the later stages, the dominance of Islamic fund</w:t>
      </w:r>
      <w:r w:rsidR="00750F80" w:rsidRPr="00A311F2">
        <w:rPr>
          <w:rFonts w:ascii="Times New Roman" w:hAnsi="Times New Roman" w:cs="Times New Roman"/>
          <w:sz w:val="24"/>
          <w:szCs w:val="24"/>
          <w:highlight w:val="yellow"/>
        </w:rPr>
        <w:t xml:space="preserve">s </w:t>
      </w:r>
      <w:r w:rsidR="0017546B" w:rsidRPr="00A311F2">
        <w:rPr>
          <w:rFonts w:ascii="Times New Roman" w:hAnsi="Times New Roman" w:cs="Times New Roman"/>
          <w:sz w:val="24"/>
          <w:szCs w:val="24"/>
          <w:highlight w:val="yellow"/>
        </w:rPr>
        <w:t>signifies</w:t>
      </w:r>
      <w:r w:rsidR="00B279D8" w:rsidRPr="00A311F2">
        <w:rPr>
          <w:rFonts w:ascii="Times New Roman" w:hAnsi="Times New Roman" w:cs="Times New Roman"/>
          <w:sz w:val="24"/>
          <w:szCs w:val="24"/>
          <w:highlight w:val="yellow"/>
        </w:rPr>
        <w:t xml:space="preserve"> the</w:t>
      </w:r>
      <w:r w:rsidR="0017546B" w:rsidRPr="00A311F2">
        <w:rPr>
          <w:rFonts w:ascii="Times New Roman" w:hAnsi="Times New Roman" w:cs="Times New Roman"/>
          <w:sz w:val="24"/>
          <w:szCs w:val="24"/>
          <w:highlight w:val="yellow"/>
        </w:rPr>
        <w:t>ir</w:t>
      </w:r>
      <w:r w:rsidR="005461D6" w:rsidRPr="00A311F2">
        <w:rPr>
          <w:rFonts w:ascii="Times New Roman" w:hAnsi="Times New Roman" w:cs="Times New Roman"/>
          <w:sz w:val="24"/>
          <w:szCs w:val="24"/>
          <w:highlight w:val="yellow"/>
        </w:rPr>
        <w:t xml:space="preserve"> </w:t>
      </w:r>
      <w:r w:rsidR="0017546B" w:rsidRPr="00A311F2">
        <w:rPr>
          <w:rFonts w:ascii="Times New Roman" w:hAnsi="Times New Roman" w:cs="Times New Roman"/>
          <w:sz w:val="24"/>
          <w:szCs w:val="24"/>
          <w:highlight w:val="yellow"/>
        </w:rPr>
        <w:t xml:space="preserve">investment lucrativeness throughout </w:t>
      </w:r>
      <w:r w:rsidR="009E5187" w:rsidRPr="00A311F2">
        <w:rPr>
          <w:rFonts w:ascii="Times New Roman" w:hAnsi="Times New Roman" w:cs="Times New Roman"/>
          <w:sz w:val="24"/>
          <w:szCs w:val="24"/>
          <w:highlight w:val="yellow"/>
        </w:rPr>
        <w:t>the pandemic</w:t>
      </w:r>
      <w:r w:rsidR="00750F80" w:rsidRPr="00A311F2">
        <w:rPr>
          <w:rFonts w:ascii="Times New Roman" w:hAnsi="Times New Roman" w:cs="Times New Roman"/>
          <w:sz w:val="24"/>
          <w:szCs w:val="24"/>
          <w:highlight w:val="yellow"/>
        </w:rPr>
        <w:t>.</w:t>
      </w:r>
      <w:r w:rsidR="00750F80">
        <w:rPr>
          <w:rFonts w:ascii="Times New Roman" w:hAnsi="Times New Roman" w:cs="Times New Roman"/>
          <w:sz w:val="24"/>
          <w:szCs w:val="24"/>
        </w:rPr>
        <w:t xml:space="preserve"> </w:t>
      </w:r>
      <w:r w:rsidR="00B279D8">
        <w:rPr>
          <w:rFonts w:ascii="Times New Roman" w:hAnsi="Times New Roman" w:cs="Times New Roman"/>
          <w:sz w:val="24"/>
          <w:szCs w:val="24"/>
        </w:rPr>
        <w:t xml:space="preserve">  </w:t>
      </w:r>
      <w:r w:rsidR="0073305F">
        <w:rPr>
          <w:rFonts w:ascii="Times New Roman" w:hAnsi="Times New Roman" w:cs="Times New Roman"/>
          <w:sz w:val="24"/>
          <w:szCs w:val="24"/>
        </w:rPr>
        <w:t xml:space="preserve"> </w:t>
      </w:r>
      <w:r w:rsidR="0020392F">
        <w:rPr>
          <w:rFonts w:ascii="Times New Roman" w:hAnsi="Times New Roman" w:cs="Times New Roman"/>
          <w:sz w:val="24"/>
          <w:szCs w:val="24"/>
        </w:rPr>
        <w:t xml:space="preserve"> </w:t>
      </w:r>
      <w:r w:rsidR="007B30E2">
        <w:rPr>
          <w:rFonts w:ascii="Times New Roman" w:hAnsi="Times New Roman" w:cs="Times New Roman"/>
          <w:sz w:val="24"/>
          <w:szCs w:val="24"/>
        </w:rPr>
        <w:t xml:space="preserve"> </w:t>
      </w:r>
      <w:r w:rsidR="00C2496F">
        <w:rPr>
          <w:rFonts w:ascii="Times New Roman" w:hAnsi="Times New Roman" w:cs="Times New Roman"/>
          <w:sz w:val="24"/>
          <w:szCs w:val="24"/>
        </w:rPr>
        <w:t xml:space="preserve"> </w:t>
      </w:r>
    </w:p>
    <w:p w14:paraId="7E84139F" w14:textId="7B0531FB" w:rsidR="004C2A07" w:rsidRDefault="009D1077" w:rsidP="002307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results on stochastic dominance for SD1 to SD4 and across all countries are presented in </w:t>
      </w:r>
      <w:r w:rsidR="00C03D43">
        <w:rPr>
          <w:rFonts w:ascii="Times New Roman" w:hAnsi="Times New Roman" w:cs="Times New Roman"/>
          <w:sz w:val="24"/>
          <w:szCs w:val="24"/>
        </w:rPr>
        <w:t>T</w:t>
      </w:r>
      <w:r>
        <w:rPr>
          <w:rFonts w:ascii="Times New Roman" w:hAnsi="Times New Roman" w:cs="Times New Roman"/>
          <w:sz w:val="24"/>
          <w:szCs w:val="24"/>
        </w:rPr>
        <w:t xml:space="preserve">able 5. </w:t>
      </w:r>
      <w:r w:rsidR="00121EF2">
        <w:rPr>
          <w:rFonts w:ascii="Times New Roman" w:hAnsi="Times New Roman" w:cs="Times New Roman"/>
          <w:sz w:val="24"/>
          <w:szCs w:val="24"/>
        </w:rPr>
        <w:t xml:space="preserve">These are based on a 5% statistical inference </w:t>
      </w:r>
      <w:r w:rsidR="00121EF2">
        <w:rPr>
          <w:rFonts w:ascii="Times New Roman" w:hAnsi="Times New Roman" w:cs="Times New Roman"/>
          <w:sz w:val="24"/>
          <w:szCs w:val="24"/>
        </w:rPr>
        <w:fldChar w:fldCharType="begin" w:fldLock="1"/>
      </w:r>
      <w:r w:rsidR="00F774A3">
        <w:rPr>
          <w:rFonts w:ascii="Times New Roman" w:hAnsi="Times New Roman" w:cs="Times New Roman"/>
          <w:sz w:val="24"/>
          <w:szCs w:val="24"/>
        </w:rPr>
        <w:instrText>ADDIN CSL_CITATION {"citationItems":[{"id":"ITEM-1","itemData":{"DOI":"10.1016/j.econlet.2013.08.020","ISSN":"01651765","abstract":"Both the expected-utility maximization and the hierarchy property are very important properties in stochastic dominance. For almost stochastic dominance, Leshno and Levy (2002) propose a definition and Tzeng etal. (2013) modified it to give another definition. This note provides more information on the two definitions. The former has the hierarchy property but not the expected-utility maximization, whereas the latter has the expected-utility maximization but not the hierarchy property. © 2013 Elsevier B.V.","author":[{"dropping-particle":"","family":"Guo","given":"Xu","non-dropping-particle":"","parse-names":false,"suffix":""},{"dropping-particle":"","family":"Zhu","given":"Xuehu","non-dropping-particle":"","parse-names":false,"suffix":""},{"dropping-particle":"","family":"Wong","given":"Wing Keung","non-dropping-particle":"","parse-names":false,"suffix":""},{"dropping-particle":"","family":"Zhu","given":"Lixing","non-dropping-particle":"","parse-names":false,"suffix":""}],"container-title":"Economics Letters","id":"ITEM-1","issue":"2","issued":{"date-parts":[["2013","11","1"]]},"page":"252-256","publisher":"North-Holland","title":"A note on almost stochastic dominance","type":"article-journal","volume":"121"},"uris":["http://www.mendeley.com/documents/?uuid=0cb8853a-19b2-3d06-9cd6-760deef39032"]}],"mendeley":{"formattedCitation":"(Guo et al., 2013)","manualFormatting":"Guo et al. (2013)","plainTextFormattedCitation":"(Guo et al., 2013)","previouslyFormattedCitation":"(Guo et al., 2013)"},"properties":{"noteIndex":0},"schema":"https://github.com/citation-style-language/schema/raw/master/csl-citation.json"}</w:instrText>
      </w:r>
      <w:r w:rsidR="00121EF2">
        <w:rPr>
          <w:rFonts w:ascii="Times New Roman" w:hAnsi="Times New Roman" w:cs="Times New Roman"/>
          <w:sz w:val="24"/>
          <w:szCs w:val="24"/>
        </w:rPr>
        <w:fldChar w:fldCharType="separate"/>
      </w:r>
      <w:r w:rsidR="00121EF2">
        <w:rPr>
          <w:rFonts w:ascii="Times New Roman" w:hAnsi="Times New Roman" w:cs="Times New Roman"/>
          <w:noProof/>
          <w:sz w:val="24"/>
          <w:szCs w:val="24"/>
        </w:rPr>
        <w:t xml:space="preserve">Guo et al. </w:t>
      </w:r>
      <w:r w:rsidR="00C166EF">
        <w:rPr>
          <w:rFonts w:ascii="Times New Roman" w:hAnsi="Times New Roman" w:cs="Times New Roman"/>
          <w:noProof/>
          <w:sz w:val="24"/>
          <w:szCs w:val="24"/>
        </w:rPr>
        <w:t>(</w:t>
      </w:r>
      <w:r w:rsidR="00121EF2">
        <w:rPr>
          <w:rFonts w:ascii="Times New Roman" w:hAnsi="Times New Roman" w:cs="Times New Roman"/>
          <w:noProof/>
          <w:sz w:val="24"/>
          <w:szCs w:val="24"/>
        </w:rPr>
        <w:t>2013)</w:t>
      </w:r>
      <w:r w:rsidR="00121EF2">
        <w:rPr>
          <w:rFonts w:ascii="Times New Roman" w:hAnsi="Times New Roman" w:cs="Times New Roman"/>
          <w:sz w:val="24"/>
          <w:szCs w:val="24"/>
        </w:rPr>
        <w:fldChar w:fldCharType="end"/>
      </w:r>
      <w:r w:rsidR="00121EF2">
        <w:rPr>
          <w:rFonts w:ascii="Times New Roman" w:hAnsi="Times New Roman" w:cs="Times New Roman"/>
          <w:sz w:val="24"/>
          <w:szCs w:val="24"/>
        </w:rPr>
        <w:t xml:space="preserve">. The findings suggest that for the entire </w:t>
      </w:r>
      <w:r w:rsidR="00C166EF">
        <w:rPr>
          <w:rFonts w:ascii="Times New Roman" w:hAnsi="Times New Roman" w:cs="Times New Roman"/>
          <w:sz w:val="24"/>
          <w:szCs w:val="24"/>
        </w:rPr>
        <w:t xml:space="preserve">COVID-19 </w:t>
      </w:r>
      <w:r w:rsidR="00121EF2">
        <w:rPr>
          <w:rFonts w:ascii="Times New Roman" w:hAnsi="Times New Roman" w:cs="Times New Roman"/>
          <w:sz w:val="24"/>
          <w:szCs w:val="24"/>
        </w:rPr>
        <w:t xml:space="preserve">period, Islamic funds dominate their conventional counterparts. This </w:t>
      </w:r>
      <w:r w:rsidR="00121EF2">
        <w:rPr>
          <w:rFonts w:ascii="Times New Roman" w:hAnsi="Times New Roman" w:cs="Times New Roman"/>
          <w:sz w:val="24"/>
          <w:szCs w:val="24"/>
        </w:rPr>
        <w:lastRenderedPageBreak/>
        <w:t xml:space="preserve">is consistent with the four orders as well as for all the countries. During stage 1, we observe </w:t>
      </w:r>
      <w:r w:rsidR="004661B3">
        <w:rPr>
          <w:rFonts w:ascii="Times New Roman" w:hAnsi="Times New Roman" w:cs="Times New Roman"/>
          <w:sz w:val="24"/>
          <w:szCs w:val="24"/>
        </w:rPr>
        <w:t xml:space="preserve">a </w:t>
      </w:r>
      <w:r w:rsidR="00121EF2">
        <w:rPr>
          <w:rFonts w:ascii="Times New Roman" w:hAnsi="Times New Roman" w:cs="Times New Roman"/>
          <w:sz w:val="24"/>
          <w:szCs w:val="24"/>
        </w:rPr>
        <w:t xml:space="preserve">similar </w:t>
      </w:r>
      <w:r w:rsidR="007E31F1">
        <w:rPr>
          <w:rFonts w:ascii="Times New Roman" w:hAnsi="Times New Roman" w:cs="Times New Roman"/>
          <w:sz w:val="24"/>
          <w:szCs w:val="24"/>
        </w:rPr>
        <w:t>pattern</w:t>
      </w:r>
      <w:r w:rsidR="00121EF2">
        <w:rPr>
          <w:rFonts w:ascii="Times New Roman" w:hAnsi="Times New Roman" w:cs="Times New Roman"/>
          <w:sz w:val="24"/>
          <w:szCs w:val="24"/>
        </w:rPr>
        <w:t xml:space="preserve"> except for Malaysia and the UAE. In these two countries, conventional funds demonstrate superior performance utility. However, for stages 2 and 3, the observations are </w:t>
      </w:r>
      <w:proofErr w:type="gramStart"/>
      <w:r w:rsidR="00121EF2">
        <w:rPr>
          <w:rFonts w:ascii="Times New Roman" w:hAnsi="Times New Roman" w:cs="Times New Roman"/>
          <w:sz w:val="24"/>
          <w:szCs w:val="24"/>
        </w:rPr>
        <w:t>similar to</w:t>
      </w:r>
      <w:proofErr w:type="gramEnd"/>
      <w:r w:rsidR="00121EF2">
        <w:rPr>
          <w:rFonts w:ascii="Times New Roman" w:hAnsi="Times New Roman" w:cs="Times New Roman"/>
          <w:sz w:val="24"/>
          <w:szCs w:val="24"/>
        </w:rPr>
        <w:t xml:space="preserve"> the entire period, with Islamic funds stochastically dominating traditional equity funds.</w:t>
      </w:r>
      <w:r w:rsidR="00F91F1C">
        <w:rPr>
          <w:rFonts w:ascii="Times New Roman" w:hAnsi="Times New Roman" w:cs="Times New Roman"/>
          <w:sz w:val="24"/>
          <w:szCs w:val="24"/>
        </w:rPr>
        <w:t xml:space="preserve"> </w:t>
      </w:r>
      <w:r w:rsidR="00D260A1">
        <w:rPr>
          <w:rFonts w:ascii="Times New Roman" w:hAnsi="Times New Roman" w:cs="Times New Roman"/>
          <w:sz w:val="24"/>
          <w:szCs w:val="24"/>
        </w:rPr>
        <w:t>After that</w:t>
      </w:r>
      <w:r w:rsidR="00F91F1C">
        <w:rPr>
          <w:rFonts w:ascii="Times New Roman" w:hAnsi="Times New Roman" w:cs="Times New Roman"/>
          <w:sz w:val="24"/>
          <w:szCs w:val="24"/>
        </w:rPr>
        <w:t xml:space="preserve">, for stage 5, we </w:t>
      </w:r>
      <w:r w:rsidR="00D260A1">
        <w:rPr>
          <w:rFonts w:ascii="Times New Roman" w:hAnsi="Times New Roman" w:cs="Times New Roman"/>
          <w:sz w:val="24"/>
          <w:szCs w:val="24"/>
        </w:rPr>
        <w:t>report a dominance of conventional funds in Qatar</w:t>
      </w:r>
      <w:r w:rsidR="00A42F59">
        <w:rPr>
          <w:rFonts w:ascii="Times New Roman" w:hAnsi="Times New Roman" w:cs="Times New Roman"/>
          <w:sz w:val="24"/>
          <w:szCs w:val="24"/>
        </w:rPr>
        <w:t>.</w:t>
      </w:r>
      <w:r w:rsidR="00D260A1">
        <w:rPr>
          <w:rFonts w:ascii="Times New Roman" w:hAnsi="Times New Roman" w:cs="Times New Roman"/>
          <w:sz w:val="24"/>
          <w:szCs w:val="24"/>
        </w:rPr>
        <w:t xml:space="preserve"> </w:t>
      </w:r>
      <w:r w:rsidR="00335213">
        <w:rPr>
          <w:rFonts w:ascii="Times New Roman" w:hAnsi="Times New Roman" w:cs="Times New Roman"/>
          <w:sz w:val="24"/>
          <w:szCs w:val="24"/>
        </w:rPr>
        <w:t>While we see some anomalous observations for stage</w:t>
      </w:r>
      <w:r w:rsidR="00A42F59">
        <w:rPr>
          <w:rFonts w:ascii="Times New Roman" w:hAnsi="Times New Roman" w:cs="Times New Roman"/>
          <w:sz w:val="24"/>
          <w:szCs w:val="24"/>
        </w:rPr>
        <w:t>s</w:t>
      </w:r>
      <w:r w:rsidR="00335213">
        <w:rPr>
          <w:rFonts w:ascii="Times New Roman" w:hAnsi="Times New Roman" w:cs="Times New Roman"/>
          <w:sz w:val="24"/>
          <w:szCs w:val="24"/>
        </w:rPr>
        <w:t xml:space="preserve"> 1</w:t>
      </w:r>
      <w:r w:rsidR="00A42F59">
        <w:rPr>
          <w:rFonts w:ascii="Times New Roman" w:hAnsi="Times New Roman" w:cs="Times New Roman"/>
          <w:sz w:val="24"/>
          <w:szCs w:val="24"/>
        </w:rPr>
        <w:t xml:space="preserve"> and 5</w:t>
      </w:r>
      <w:r w:rsidR="00335213">
        <w:rPr>
          <w:rFonts w:ascii="Times New Roman" w:hAnsi="Times New Roman" w:cs="Times New Roman"/>
          <w:sz w:val="24"/>
          <w:szCs w:val="24"/>
        </w:rPr>
        <w:t>, it is stage 2</w:t>
      </w:r>
      <w:r w:rsidR="00A42F59">
        <w:rPr>
          <w:rFonts w:ascii="Times New Roman" w:hAnsi="Times New Roman" w:cs="Times New Roman"/>
          <w:sz w:val="24"/>
          <w:szCs w:val="24"/>
        </w:rPr>
        <w:t>, 3,</w:t>
      </w:r>
      <w:r w:rsidR="00335213">
        <w:rPr>
          <w:rFonts w:ascii="Times New Roman" w:hAnsi="Times New Roman" w:cs="Times New Roman"/>
          <w:sz w:val="24"/>
          <w:szCs w:val="24"/>
        </w:rPr>
        <w:t xml:space="preserve"> and </w:t>
      </w:r>
      <w:r w:rsidR="00A42F59">
        <w:rPr>
          <w:rFonts w:ascii="Times New Roman" w:hAnsi="Times New Roman" w:cs="Times New Roman"/>
          <w:sz w:val="24"/>
          <w:szCs w:val="24"/>
        </w:rPr>
        <w:t>4</w:t>
      </w:r>
      <w:r w:rsidR="003B321E">
        <w:rPr>
          <w:rFonts w:ascii="Times New Roman" w:hAnsi="Times New Roman" w:cs="Times New Roman"/>
          <w:sz w:val="24"/>
          <w:szCs w:val="24"/>
        </w:rPr>
        <w:t xml:space="preserve"> where the impact of </w:t>
      </w:r>
      <w:r w:rsidR="00C03D43">
        <w:rPr>
          <w:rFonts w:ascii="Times New Roman" w:hAnsi="Times New Roman" w:cs="Times New Roman"/>
          <w:sz w:val="24"/>
          <w:szCs w:val="24"/>
        </w:rPr>
        <w:t xml:space="preserve">COVID-19 </w:t>
      </w:r>
      <w:r w:rsidR="003B321E">
        <w:rPr>
          <w:rFonts w:ascii="Times New Roman" w:hAnsi="Times New Roman" w:cs="Times New Roman"/>
          <w:sz w:val="24"/>
          <w:szCs w:val="24"/>
        </w:rPr>
        <w:t xml:space="preserve">was </w:t>
      </w:r>
      <w:r w:rsidR="00335213">
        <w:rPr>
          <w:rFonts w:ascii="Times New Roman" w:hAnsi="Times New Roman" w:cs="Times New Roman"/>
          <w:sz w:val="24"/>
          <w:szCs w:val="24"/>
        </w:rPr>
        <w:t>more profound. Therefore</w:t>
      </w:r>
      <w:r w:rsidR="000611CF">
        <w:rPr>
          <w:rFonts w:ascii="Times New Roman" w:hAnsi="Times New Roman" w:cs="Times New Roman"/>
          <w:sz w:val="24"/>
          <w:szCs w:val="24"/>
        </w:rPr>
        <w:t>,</w:t>
      </w:r>
      <w:r w:rsidR="00335213">
        <w:rPr>
          <w:rFonts w:ascii="Times New Roman" w:hAnsi="Times New Roman" w:cs="Times New Roman"/>
          <w:sz w:val="24"/>
          <w:szCs w:val="24"/>
        </w:rPr>
        <w:t xml:space="preserve"> dominance during </w:t>
      </w:r>
      <w:r w:rsidR="00A42F59">
        <w:rPr>
          <w:rFonts w:ascii="Times New Roman" w:hAnsi="Times New Roman" w:cs="Times New Roman"/>
          <w:sz w:val="24"/>
          <w:szCs w:val="24"/>
        </w:rPr>
        <w:t>these specific</w:t>
      </w:r>
      <w:r w:rsidR="00335213">
        <w:rPr>
          <w:rFonts w:ascii="Times New Roman" w:hAnsi="Times New Roman" w:cs="Times New Roman"/>
          <w:sz w:val="24"/>
          <w:szCs w:val="24"/>
        </w:rPr>
        <w:t xml:space="preserve"> period</w:t>
      </w:r>
      <w:r w:rsidR="00A42F59">
        <w:rPr>
          <w:rFonts w:ascii="Times New Roman" w:hAnsi="Times New Roman" w:cs="Times New Roman"/>
          <w:sz w:val="24"/>
          <w:szCs w:val="24"/>
        </w:rPr>
        <w:t>s</w:t>
      </w:r>
      <w:r w:rsidR="00335213">
        <w:rPr>
          <w:rFonts w:ascii="Times New Roman" w:hAnsi="Times New Roman" w:cs="Times New Roman"/>
          <w:sz w:val="24"/>
          <w:szCs w:val="24"/>
        </w:rPr>
        <w:t xml:space="preserve"> reflects positively </w:t>
      </w:r>
      <w:r w:rsidR="00AD5818">
        <w:rPr>
          <w:rFonts w:ascii="Times New Roman" w:hAnsi="Times New Roman" w:cs="Times New Roman"/>
          <w:sz w:val="24"/>
          <w:szCs w:val="24"/>
        </w:rPr>
        <w:t>on</w:t>
      </w:r>
      <w:r w:rsidR="00335213">
        <w:rPr>
          <w:rFonts w:ascii="Times New Roman" w:hAnsi="Times New Roman" w:cs="Times New Roman"/>
          <w:sz w:val="24"/>
          <w:szCs w:val="24"/>
        </w:rPr>
        <w:t xml:space="preserve"> the resilience of Islamic funds.</w:t>
      </w:r>
    </w:p>
    <w:p w14:paraId="2BF1B13A" w14:textId="77777777" w:rsidR="009D1077" w:rsidRPr="0006721E" w:rsidRDefault="004C2A07" w:rsidP="000B7174">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[Table 5 here]</w:t>
      </w:r>
      <w:r w:rsidR="00335213">
        <w:rPr>
          <w:rFonts w:ascii="Times New Roman" w:hAnsi="Times New Roman" w:cs="Times New Roman"/>
          <w:sz w:val="24"/>
          <w:szCs w:val="24"/>
        </w:rPr>
        <w:t xml:space="preserve">  </w:t>
      </w:r>
      <w:r w:rsidR="00121EF2">
        <w:rPr>
          <w:rFonts w:ascii="Times New Roman" w:hAnsi="Times New Roman" w:cs="Times New Roman"/>
          <w:sz w:val="24"/>
          <w:szCs w:val="24"/>
        </w:rPr>
        <w:t xml:space="preserve">    </w:t>
      </w:r>
    </w:p>
    <w:p w14:paraId="7228B849" w14:textId="1992F3FA" w:rsidR="00586753" w:rsidRDefault="00973027" w:rsidP="002307D5">
      <w:pPr>
        <w:spacing w:after="0" w:line="480" w:lineRule="auto"/>
        <w:jc w:val="both"/>
        <w:rPr>
          <w:rFonts w:ascii="Times New Roman" w:hAnsi="Times New Roman" w:cs="Times New Roman"/>
          <w:bCs/>
          <w:color w:val="000000" w:themeColor="text1"/>
          <w:sz w:val="24"/>
          <w:szCs w:val="24"/>
        </w:rPr>
      </w:pPr>
      <w:r w:rsidRPr="0006721E">
        <w:rPr>
          <w:rFonts w:ascii="Times New Roman" w:hAnsi="Times New Roman" w:cs="Times New Roman"/>
          <w:sz w:val="24"/>
          <w:szCs w:val="24"/>
        </w:rPr>
        <w:tab/>
      </w:r>
      <w:r w:rsidR="00A600F1">
        <w:rPr>
          <w:rFonts w:ascii="Times New Roman" w:hAnsi="Times New Roman" w:cs="Times New Roman"/>
          <w:sz w:val="24"/>
          <w:szCs w:val="24"/>
        </w:rPr>
        <w:t>Table 6</w:t>
      </w:r>
      <w:r w:rsidR="0040727B">
        <w:rPr>
          <w:rFonts w:ascii="Times New Roman" w:hAnsi="Times New Roman" w:cs="Times New Roman"/>
          <w:sz w:val="24"/>
          <w:szCs w:val="24"/>
        </w:rPr>
        <w:t>a</w:t>
      </w:r>
      <w:r w:rsidR="00A600F1">
        <w:rPr>
          <w:rFonts w:ascii="Times New Roman" w:hAnsi="Times New Roman" w:cs="Times New Roman"/>
          <w:sz w:val="24"/>
          <w:szCs w:val="24"/>
        </w:rPr>
        <w:t xml:space="preserve"> presents</w:t>
      </w:r>
      <w:r w:rsidR="0063515B">
        <w:rPr>
          <w:rFonts w:ascii="Times New Roman" w:hAnsi="Times New Roman" w:cs="Times New Roman"/>
          <w:sz w:val="24"/>
          <w:szCs w:val="24"/>
        </w:rPr>
        <w:t xml:space="preserve"> statistics on ARCH LM that justify the use of GARCH (1,1) fo</w:t>
      </w:r>
      <w:r w:rsidR="00D76025">
        <w:rPr>
          <w:rFonts w:ascii="Times New Roman" w:hAnsi="Times New Roman" w:cs="Times New Roman"/>
          <w:sz w:val="24"/>
          <w:szCs w:val="24"/>
        </w:rPr>
        <w:t xml:space="preserve">r estimating equations </w:t>
      </w:r>
      <w:r w:rsidR="00795746">
        <w:rPr>
          <w:rFonts w:ascii="Times New Roman" w:hAnsi="Times New Roman" w:cs="Times New Roman"/>
          <w:sz w:val="24"/>
          <w:szCs w:val="24"/>
        </w:rPr>
        <w:t>5</w:t>
      </w:r>
      <w:r w:rsidR="00D76025">
        <w:rPr>
          <w:rFonts w:ascii="Times New Roman" w:hAnsi="Times New Roman" w:cs="Times New Roman"/>
          <w:sz w:val="24"/>
          <w:szCs w:val="24"/>
        </w:rPr>
        <w:t xml:space="preserve"> and </w:t>
      </w:r>
      <w:r w:rsidR="00795746">
        <w:rPr>
          <w:rFonts w:ascii="Times New Roman" w:hAnsi="Times New Roman" w:cs="Times New Roman"/>
          <w:sz w:val="24"/>
          <w:szCs w:val="24"/>
        </w:rPr>
        <w:t>6</w:t>
      </w:r>
      <w:r w:rsidR="00D76025">
        <w:rPr>
          <w:rFonts w:ascii="Times New Roman" w:hAnsi="Times New Roman" w:cs="Times New Roman"/>
          <w:sz w:val="24"/>
          <w:szCs w:val="24"/>
        </w:rPr>
        <w:t xml:space="preserve"> </w:t>
      </w:r>
      <w:r w:rsidR="00D76025" w:rsidRPr="00D76025">
        <w:rPr>
          <w:rFonts w:ascii="Times New Roman" w:hAnsi="Times New Roman" w:cs="Times New Roman"/>
          <w:bCs/>
          <w:color w:val="000000" w:themeColor="text1"/>
          <w:sz w:val="24"/>
          <w:szCs w:val="24"/>
        </w:rPr>
        <w:t>(</w:t>
      </w:r>
      <w:r w:rsidR="00D76025" w:rsidRPr="00D76025">
        <w:rPr>
          <w:rFonts w:ascii="Times New Roman" w:hAnsi="Times New Roman" w:cs="Times New Roman"/>
          <w:bCs/>
          <w:color w:val="000000" w:themeColor="text1"/>
          <w:sz w:val="24"/>
          <w:szCs w:val="24"/>
        </w:rPr>
        <w:fldChar w:fldCharType="begin" w:fldLock="1"/>
      </w:r>
      <w:r w:rsidR="00D76025" w:rsidRPr="00D76025">
        <w:rPr>
          <w:rFonts w:ascii="Times New Roman" w:hAnsi="Times New Roman" w:cs="Times New Roman"/>
          <w:bCs/>
          <w:color w:val="000000" w:themeColor="text1"/>
          <w:sz w:val="24"/>
          <w:szCs w:val="24"/>
        </w:rPr>
        <w:instrText>ADDIN CSL_CITATION {"citationItems":[{"id":"ITEM-1","itemData":{"DOI":"10.1002/jae.800","ISSN":"08837252","abstract":"We compare 330 ARCH-type models in terms of their ability to describe the conditional variance. The models are compared out-of-sample using DM-$ exchange rate data and IBM return data, where the latter is based on a new data set of realized variance. We find no evidence that a GARCH(1,1) is outperformed by more sophisticated models in our analysis of exchange rates, whereas the GARCH(1,1) is clearly inferior to models that can accommodate a leverage effect in our analysis of IBM returns. The models are compared with the test for superior predictive ability (SPA) and the reality check for data snooping (RC). Our empirical results show that the RC lacks power to an extent that makes it unable to distinguish 'good' and 'bad' models in our analysis. Copyright © 2005 John Wiley &amp; Sons, Ltd.","author":[{"dropping-particle":"","family":"Hansen","given":"Peter R.","non-dropping-particle":"","parse-names":false,"suffix":""},{"dropping-particle":"","family":"Lunde","given":"Asger","non-dropping-particle":"","parse-names":false,"suffix":""}],"container-title":"Journal of Applied Econometrics","id":"ITEM-1","issue":"7","issued":{"date-parts":[["2005","12"]]},"page":"873-889","publisher":"John Wiley &amp; Sons, Ltd","title":"A forecast comparison of volatility models: Does anything beat a GARCH(1,1)?","type":"article-journal","volume":"20"},"uris":["http://www.mendeley.com/documents/?uuid=cbceb9eb-e71e-47de-98df-67f8b313ce58"]}],"mendeley":{"formattedCitation":"(Hansen &amp; Lunde, 2005)","manualFormatting":"Hansen &amp; Lunde, 2005)","plainTextFormattedCitation":"(Hansen &amp; Lunde, 2005)","previouslyFormattedCitation":"(Hansen &amp; Lunde, 2005)"},"properties":{"noteIndex":0},"schema":"https://github.com/citation-style-language/schema/raw/master/csl-citation.json"}</w:instrText>
      </w:r>
      <w:r w:rsidR="00D76025" w:rsidRPr="00D76025">
        <w:rPr>
          <w:rFonts w:ascii="Times New Roman" w:hAnsi="Times New Roman" w:cs="Times New Roman"/>
          <w:bCs/>
          <w:color w:val="000000" w:themeColor="text1"/>
          <w:sz w:val="24"/>
          <w:szCs w:val="24"/>
        </w:rPr>
        <w:fldChar w:fldCharType="separate"/>
      </w:r>
      <w:r w:rsidR="00D76025" w:rsidRPr="00D76025">
        <w:rPr>
          <w:rFonts w:ascii="Times New Roman" w:hAnsi="Times New Roman" w:cs="Times New Roman"/>
          <w:bCs/>
          <w:noProof/>
          <w:color w:val="000000" w:themeColor="text1"/>
          <w:sz w:val="24"/>
          <w:szCs w:val="24"/>
        </w:rPr>
        <w:t>Hansen &amp; Lunde, 2005)</w:t>
      </w:r>
      <w:r w:rsidR="00D76025" w:rsidRPr="00D76025">
        <w:rPr>
          <w:rFonts w:ascii="Times New Roman" w:hAnsi="Times New Roman" w:cs="Times New Roman"/>
          <w:bCs/>
          <w:color w:val="000000" w:themeColor="text1"/>
          <w:sz w:val="24"/>
          <w:szCs w:val="24"/>
        </w:rPr>
        <w:fldChar w:fldCharType="end"/>
      </w:r>
      <w:r w:rsidR="00D76025" w:rsidRPr="00D76025">
        <w:rPr>
          <w:rFonts w:ascii="Times New Roman" w:hAnsi="Times New Roman" w:cs="Times New Roman"/>
          <w:bCs/>
          <w:color w:val="000000" w:themeColor="text1"/>
          <w:sz w:val="24"/>
          <w:szCs w:val="24"/>
        </w:rPr>
        <w:t>.</w:t>
      </w:r>
      <w:r w:rsidR="00586753">
        <w:rPr>
          <w:rFonts w:ascii="Times New Roman" w:hAnsi="Times New Roman" w:cs="Times New Roman"/>
          <w:bCs/>
          <w:color w:val="000000" w:themeColor="text1"/>
          <w:sz w:val="24"/>
          <w:szCs w:val="24"/>
        </w:rPr>
        <w:t xml:space="preserve"> The results for GARCH (1,1) based CARs are also reported in </w:t>
      </w:r>
      <w:r w:rsidR="00C03D43">
        <w:rPr>
          <w:rFonts w:ascii="Times New Roman" w:hAnsi="Times New Roman" w:cs="Times New Roman"/>
          <w:bCs/>
          <w:color w:val="000000" w:themeColor="text1"/>
          <w:sz w:val="24"/>
          <w:szCs w:val="24"/>
        </w:rPr>
        <w:t>T</w:t>
      </w:r>
      <w:r w:rsidR="00586753">
        <w:rPr>
          <w:rFonts w:ascii="Times New Roman" w:hAnsi="Times New Roman" w:cs="Times New Roman"/>
          <w:bCs/>
          <w:color w:val="000000" w:themeColor="text1"/>
          <w:sz w:val="24"/>
          <w:szCs w:val="24"/>
        </w:rPr>
        <w:t>able 6</w:t>
      </w:r>
      <w:r w:rsidR="00F55323">
        <w:rPr>
          <w:rFonts w:ascii="Times New Roman" w:hAnsi="Times New Roman" w:cs="Times New Roman"/>
          <w:bCs/>
          <w:color w:val="000000" w:themeColor="text1"/>
          <w:sz w:val="24"/>
          <w:szCs w:val="24"/>
        </w:rPr>
        <w:t>a</w:t>
      </w:r>
      <w:r w:rsidR="00586753">
        <w:rPr>
          <w:rFonts w:ascii="Times New Roman" w:hAnsi="Times New Roman" w:cs="Times New Roman"/>
          <w:bCs/>
          <w:color w:val="000000" w:themeColor="text1"/>
          <w:sz w:val="24"/>
          <w:szCs w:val="24"/>
        </w:rPr>
        <w:t>.</w:t>
      </w:r>
      <w:r w:rsidR="00D76025">
        <w:rPr>
          <w:rFonts w:ascii="Times New Roman" w:hAnsi="Times New Roman" w:cs="Times New Roman"/>
          <w:bCs/>
          <w:color w:val="000000" w:themeColor="text1"/>
          <w:sz w:val="24"/>
          <w:szCs w:val="24"/>
        </w:rPr>
        <w:t xml:space="preserve"> During the pre-</w:t>
      </w:r>
      <w:r w:rsidR="00C03D43">
        <w:rPr>
          <w:rFonts w:ascii="Times New Roman" w:hAnsi="Times New Roman" w:cs="Times New Roman"/>
          <w:bCs/>
          <w:color w:val="000000" w:themeColor="text1"/>
          <w:sz w:val="24"/>
          <w:szCs w:val="24"/>
        </w:rPr>
        <w:t xml:space="preserve">COVID </w:t>
      </w:r>
      <w:r w:rsidR="00D76025">
        <w:rPr>
          <w:rFonts w:ascii="Times New Roman" w:hAnsi="Times New Roman" w:cs="Times New Roman"/>
          <w:bCs/>
          <w:color w:val="000000" w:themeColor="text1"/>
          <w:sz w:val="24"/>
          <w:szCs w:val="24"/>
        </w:rPr>
        <w:t xml:space="preserve">period, we observe positive CARs for both Islamic and conventional funds. </w:t>
      </w:r>
      <w:r w:rsidR="008A61EF">
        <w:rPr>
          <w:rFonts w:ascii="Times New Roman" w:hAnsi="Times New Roman" w:cs="Times New Roman"/>
          <w:bCs/>
          <w:color w:val="000000" w:themeColor="text1"/>
          <w:sz w:val="24"/>
          <w:szCs w:val="24"/>
        </w:rPr>
        <w:t xml:space="preserve">It is interesting to note that during this period, </w:t>
      </w:r>
      <w:r w:rsidR="004C2547">
        <w:rPr>
          <w:rFonts w:ascii="Times New Roman" w:hAnsi="Times New Roman" w:cs="Times New Roman"/>
          <w:bCs/>
          <w:color w:val="000000" w:themeColor="text1"/>
          <w:sz w:val="24"/>
          <w:szCs w:val="24"/>
        </w:rPr>
        <w:t>tradi</w:t>
      </w:r>
      <w:r w:rsidR="008A61EF">
        <w:rPr>
          <w:rFonts w:ascii="Times New Roman" w:hAnsi="Times New Roman" w:cs="Times New Roman"/>
          <w:bCs/>
          <w:color w:val="000000" w:themeColor="text1"/>
          <w:sz w:val="24"/>
          <w:szCs w:val="24"/>
        </w:rPr>
        <w:t>tional funds from Malaysia, Pakistan, Saudi Arabia, and the UAE have higher CARs, while Islamic funds in Qatar and Kuwait demonstrated superior CARs</w:t>
      </w:r>
      <w:r w:rsidR="00586753">
        <w:rPr>
          <w:rFonts w:ascii="Times New Roman" w:hAnsi="Times New Roman" w:cs="Times New Roman"/>
          <w:bCs/>
          <w:color w:val="000000" w:themeColor="text1"/>
          <w:sz w:val="24"/>
          <w:szCs w:val="24"/>
        </w:rPr>
        <w:t xml:space="preserve"> compared to their counterparts</w:t>
      </w:r>
      <w:r w:rsidR="008A61EF">
        <w:rPr>
          <w:rFonts w:ascii="Times New Roman" w:hAnsi="Times New Roman" w:cs="Times New Roman"/>
          <w:bCs/>
          <w:color w:val="000000" w:themeColor="text1"/>
          <w:sz w:val="24"/>
          <w:szCs w:val="24"/>
        </w:rPr>
        <w:t>. However, this completely changed during the outbreak, with conventional funds showing negative CARs across all countries for the entire period. During this time, the abnormal returns for Islamic funds remained positive.</w:t>
      </w:r>
      <w:r w:rsidR="002A4EAC">
        <w:rPr>
          <w:rFonts w:ascii="Times New Roman" w:hAnsi="Times New Roman" w:cs="Times New Roman"/>
          <w:bCs/>
          <w:color w:val="000000" w:themeColor="text1"/>
          <w:sz w:val="24"/>
          <w:szCs w:val="24"/>
        </w:rPr>
        <w:t xml:space="preserve"> The results are similar for the </w:t>
      </w:r>
      <w:r w:rsidR="00606EDC">
        <w:rPr>
          <w:rFonts w:ascii="Times New Roman" w:hAnsi="Times New Roman" w:cs="Times New Roman"/>
          <w:bCs/>
          <w:color w:val="000000" w:themeColor="text1"/>
          <w:sz w:val="24"/>
          <w:szCs w:val="24"/>
        </w:rPr>
        <w:t>six</w:t>
      </w:r>
      <w:r w:rsidR="002A4EAC">
        <w:rPr>
          <w:rFonts w:ascii="Times New Roman" w:hAnsi="Times New Roman" w:cs="Times New Roman"/>
          <w:bCs/>
          <w:color w:val="000000" w:themeColor="text1"/>
          <w:sz w:val="24"/>
          <w:szCs w:val="24"/>
        </w:rPr>
        <w:t xml:space="preserve"> stages, with Islamic funds showing significantly positive CARs while conventional funds continue to plunge into the negative zone. Only in the UAE, we observe positive CARs for conventional funds in stage 3, but </w:t>
      </w:r>
      <w:r w:rsidR="00F55323">
        <w:rPr>
          <w:rFonts w:ascii="Times New Roman" w:hAnsi="Times New Roman" w:cs="Times New Roman"/>
          <w:bCs/>
          <w:color w:val="000000" w:themeColor="text1"/>
          <w:sz w:val="24"/>
          <w:szCs w:val="24"/>
        </w:rPr>
        <w:t>they</w:t>
      </w:r>
      <w:r w:rsidR="002A4EAC">
        <w:rPr>
          <w:rFonts w:ascii="Times New Roman" w:hAnsi="Times New Roman" w:cs="Times New Roman"/>
          <w:bCs/>
          <w:color w:val="000000" w:themeColor="text1"/>
          <w:sz w:val="24"/>
          <w:szCs w:val="24"/>
        </w:rPr>
        <w:t xml:space="preserve"> remained lower than their Islamic </w:t>
      </w:r>
      <w:r w:rsidR="00586753">
        <w:rPr>
          <w:rFonts w:ascii="Times New Roman" w:hAnsi="Times New Roman" w:cs="Times New Roman"/>
          <w:bCs/>
          <w:color w:val="000000" w:themeColor="text1"/>
          <w:sz w:val="24"/>
          <w:szCs w:val="24"/>
        </w:rPr>
        <w:t>peers</w:t>
      </w:r>
      <w:r w:rsidR="002A4EAC">
        <w:rPr>
          <w:rFonts w:ascii="Times New Roman" w:hAnsi="Times New Roman" w:cs="Times New Roman"/>
          <w:bCs/>
          <w:color w:val="000000" w:themeColor="text1"/>
          <w:sz w:val="24"/>
          <w:szCs w:val="24"/>
        </w:rPr>
        <w:t>.</w:t>
      </w:r>
      <w:r w:rsidR="00F55323">
        <w:rPr>
          <w:rFonts w:ascii="Times New Roman" w:hAnsi="Times New Roman" w:cs="Times New Roman"/>
          <w:bCs/>
          <w:color w:val="000000" w:themeColor="text1"/>
          <w:sz w:val="24"/>
          <w:szCs w:val="24"/>
        </w:rPr>
        <w:t xml:space="preserve"> Finally, in stage 6</w:t>
      </w:r>
      <w:r w:rsidR="00DD013A">
        <w:rPr>
          <w:rFonts w:ascii="Times New Roman" w:hAnsi="Times New Roman" w:cs="Times New Roman"/>
          <w:bCs/>
          <w:color w:val="000000" w:themeColor="text1"/>
          <w:sz w:val="24"/>
          <w:szCs w:val="24"/>
        </w:rPr>
        <w:t>,</w:t>
      </w:r>
      <w:r w:rsidR="00F55323">
        <w:rPr>
          <w:rFonts w:ascii="Times New Roman" w:hAnsi="Times New Roman" w:cs="Times New Roman"/>
          <w:bCs/>
          <w:color w:val="000000" w:themeColor="text1"/>
          <w:sz w:val="24"/>
          <w:szCs w:val="24"/>
        </w:rPr>
        <w:t xml:space="preserve"> we see </w:t>
      </w:r>
      <w:r w:rsidR="00DD013A">
        <w:rPr>
          <w:rFonts w:ascii="Times New Roman" w:hAnsi="Times New Roman" w:cs="Times New Roman"/>
          <w:bCs/>
          <w:color w:val="000000" w:themeColor="text1"/>
          <w:sz w:val="24"/>
          <w:szCs w:val="24"/>
        </w:rPr>
        <w:t>a reversal in</w:t>
      </w:r>
      <w:r w:rsidR="00F55323">
        <w:rPr>
          <w:rFonts w:ascii="Times New Roman" w:hAnsi="Times New Roman" w:cs="Times New Roman"/>
          <w:bCs/>
          <w:color w:val="000000" w:themeColor="text1"/>
          <w:sz w:val="24"/>
          <w:szCs w:val="24"/>
        </w:rPr>
        <w:t xml:space="preserve"> </w:t>
      </w:r>
      <w:r w:rsidR="00DD013A">
        <w:rPr>
          <w:rFonts w:ascii="Times New Roman" w:hAnsi="Times New Roman" w:cs="Times New Roman"/>
          <w:bCs/>
          <w:color w:val="000000" w:themeColor="text1"/>
          <w:sz w:val="24"/>
          <w:szCs w:val="24"/>
        </w:rPr>
        <w:t xml:space="preserve">conventional funds with CARs become positive despite remaining lower than Islamic funds. </w:t>
      </w:r>
      <w:r w:rsidR="00586753">
        <w:rPr>
          <w:rFonts w:ascii="Times New Roman" w:hAnsi="Times New Roman" w:cs="Times New Roman"/>
          <w:bCs/>
          <w:color w:val="000000" w:themeColor="text1"/>
          <w:sz w:val="24"/>
          <w:szCs w:val="24"/>
        </w:rPr>
        <w:t xml:space="preserve">These results support the superior performance of Islamic funds during the turbulent </w:t>
      </w:r>
      <w:r w:rsidR="00F71414">
        <w:rPr>
          <w:rFonts w:ascii="Times New Roman" w:hAnsi="Times New Roman" w:cs="Times New Roman"/>
          <w:bCs/>
          <w:color w:val="000000" w:themeColor="text1"/>
          <w:sz w:val="24"/>
          <w:szCs w:val="24"/>
        </w:rPr>
        <w:t>times</w:t>
      </w:r>
      <w:r w:rsidR="00586753">
        <w:rPr>
          <w:rFonts w:ascii="Times New Roman" w:hAnsi="Times New Roman" w:cs="Times New Roman"/>
          <w:bCs/>
          <w:color w:val="000000" w:themeColor="text1"/>
          <w:sz w:val="24"/>
          <w:szCs w:val="24"/>
        </w:rPr>
        <w:t xml:space="preserve"> of C</w:t>
      </w:r>
      <w:r w:rsidR="00C03D43">
        <w:rPr>
          <w:rFonts w:ascii="Times New Roman" w:hAnsi="Times New Roman" w:cs="Times New Roman"/>
          <w:bCs/>
          <w:color w:val="000000" w:themeColor="text1"/>
          <w:sz w:val="24"/>
          <w:szCs w:val="24"/>
        </w:rPr>
        <w:t>OVID-</w:t>
      </w:r>
      <w:r w:rsidR="00586753">
        <w:rPr>
          <w:rFonts w:ascii="Times New Roman" w:hAnsi="Times New Roman" w:cs="Times New Roman"/>
          <w:bCs/>
          <w:color w:val="000000" w:themeColor="text1"/>
          <w:sz w:val="24"/>
          <w:szCs w:val="24"/>
        </w:rPr>
        <w:t>19.</w:t>
      </w:r>
      <w:r w:rsidR="002A4EAC">
        <w:rPr>
          <w:rFonts w:ascii="Times New Roman" w:hAnsi="Times New Roman" w:cs="Times New Roman"/>
          <w:bCs/>
          <w:color w:val="000000" w:themeColor="text1"/>
          <w:sz w:val="24"/>
          <w:szCs w:val="24"/>
        </w:rPr>
        <w:t xml:space="preserve"> </w:t>
      </w:r>
    </w:p>
    <w:p w14:paraId="083EF8B1" w14:textId="77777777" w:rsidR="008A33C1" w:rsidRDefault="00586753" w:rsidP="00586753">
      <w:pPr>
        <w:spacing w:after="0" w:line="480" w:lineRule="auto"/>
        <w:ind w:left="360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[Table 6</w:t>
      </w:r>
      <w:r w:rsidR="00847C23">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here]</w:t>
      </w:r>
    </w:p>
    <w:p w14:paraId="7C43786E" w14:textId="63AC3E30" w:rsidR="007D1147" w:rsidRDefault="00D02EF4" w:rsidP="00D02EF4">
      <w:pPr>
        <w:spacing w:after="0" w:line="480" w:lineRule="auto"/>
        <w:ind w:firstLine="720"/>
        <w:jc w:val="both"/>
        <w:rPr>
          <w:rFonts w:ascii="Times New Roman" w:hAnsi="Times New Roman" w:cs="Times New Roman"/>
          <w:bCs/>
          <w:color w:val="000000" w:themeColor="text1"/>
          <w:sz w:val="24"/>
          <w:szCs w:val="24"/>
        </w:rPr>
      </w:pPr>
      <w:r w:rsidRPr="00096438">
        <w:rPr>
          <w:rFonts w:ascii="Times New Roman" w:hAnsi="Times New Roman" w:cs="Times New Roman"/>
          <w:bCs/>
          <w:color w:val="000000" w:themeColor="text1"/>
          <w:sz w:val="24"/>
          <w:szCs w:val="24"/>
          <w:highlight w:val="yellow"/>
        </w:rPr>
        <w:lastRenderedPageBreak/>
        <w:t xml:space="preserve">To substantiate the dependence on oil </w:t>
      </w:r>
      <w:r w:rsidR="003951A4" w:rsidRPr="00096438">
        <w:rPr>
          <w:rFonts w:ascii="Times New Roman" w:hAnsi="Times New Roman" w:cs="Times New Roman"/>
          <w:bCs/>
          <w:color w:val="000000" w:themeColor="text1"/>
          <w:sz w:val="24"/>
          <w:szCs w:val="24"/>
          <w:highlight w:val="yellow"/>
        </w:rPr>
        <w:t>rents across countries</w:t>
      </w:r>
      <w:r w:rsidRPr="00096438">
        <w:rPr>
          <w:rFonts w:ascii="Times New Roman" w:hAnsi="Times New Roman" w:cs="Times New Roman"/>
          <w:bCs/>
          <w:color w:val="000000" w:themeColor="text1"/>
          <w:sz w:val="24"/>
          <w:szCs w:val="24"/>
          <w:highlight w:val="yellow"/>
        </w:rPr>
        <w:t xml:space="preserve">, we report the coefficient </w:t>
      </w:r>
      <w:r w:rsidR="009B719B" w:rsidRPr="00096438">
        <w:rPr>
          <w:rFonts w:ascii="Times New Roman" w:hAnsi="Times New Roman" w:cs="Times New Roman"/>
          <w:bCs/>
          <w:color w:val="000000" w:themeColor="text1"/>
          <w:sz w:val="24"/>
          <w:szCs w:val="24"/>
          <w:highlight w:val="yellow"/>
        </w:rPr>
        <w:t xml:space="preserve">of </w:t>
      </w:r>
      <w:r w:rsidR="003951A4" w:rsidRPr="00096438">
        <w:rPr>
          <w:rFonts w:ascii="Times New Roman" w:hAnsi="Times New Roman" w:cs="Times New Roman"/>
          <w:bCs/>
          <w:color w:val="000000" w:themeColor="text1"/>
          <w:sz w:val="24"/>
          <w:szCs w:val="24"/>
          <w:highlight w:val="yellow"/>
        </w:rPr>
        <w:t xml:space="preserve">the </w:t>
      </w:r>
      <w:r w:rsidR="009B719B" w:rsidRPr="00096438">
        <w:rPr>
          <w:rFonts w:ascii="Times New Roman" w:hAnsi="Times New Roman" w:cs="Times New Roman"/>
          <w:bCs/>
          <w:color w:val="000000" w:themeColor="text1"/>
          <w:sz w:val="24"/>
          <w:szCs w:val="24"/>
          <w:highlight w:val="yellow"/>
        </w:rPr>
        <w:t>oil dependence dummy in table 6b.</w:t>
      </w:r>
      <w:r w:rsidR="00946E2D" w:rsidRPr="00096438">
        <w:rPr>
          <w:rFonts w:ascii="Times New Roman" w:hAnsi="Times New Roman" w:cs="Times New Roman"/>
          <w:bCs/>
          <w:color w:val="000000" w:themeColor="text1"/>
          <w:sz w:val="24"/>
          <w:szCs w:val="24"/>
          <w:highlight w:val="yellow"/>
        </w:rPr>
        <w:t xml:space="preserve"> The second column shows the oil rent to GDP ratio for our sample countries</w:t>
      </w:r>
      <w:r w:rsidR="008075EA" w:rsidRPr="00096438">
        <w:rPr>
          <w:rFonts w:ascii="Times New Roman" w:hAnsi="Times New Roman" w:cs="Times New Roman"/>
          <w:bCs/>
          <w:color w:val="000000" w:themeColor="text1"/>
          <w:sz w:val="24"/>
          <w:szCs w:val="24"/>
          <w:highlight w:val="yellow"/>
        </w:rPr>
        <w:t>,</w:t>
      </w:r>
      <w:r w:rsidR="00946E2D" w:rsidRPr="00096438">
        <w:rPr>
          <w:rFonts w:ascii="Times New Roman" w:hAnsi="Times New Roman" w:cs="Times New Roman"/>
          <w:bCs/>
          <w:color w:val="000000" w:themeColor="text1"/>
          <w:sz w:val="24"/>
          <w:szCs w:val="24"/>
          <w:highlight w:val="yellow"/>
        </w:rPr>
        <w:t xml:space="preserve"> and we can see</w:t>
      </w:r>
      <w:r w:rsidR="008075EA" w:rsidRPr="00096438">
        <w:rPr>
          <w:rFonts w:ascii="Times New Roman" w:hAnsi="Times New Roman" w:cs="Times New Roman"/>
          <w:bCs/>
          <w:color w:val="000000" w:themeColor="text1"/>
          <w:sz w:val="24"/>
          <w:szCs w:val="24"/>
          <w:highlight w:val="yellow"/>
        </w:rPr>
        <w:t xml:space="preserve"> a strong dependence in Kuwait</w:t>
      </w:r>
      <w:r w:rsidR="005D236E" w:rsidRPr="00096438">
        <w:rPr>
          <w:rFonts w:ascii="Times New Roman" w:hAnsi="Times New Roman" w:cs="Times New Roman"/>
          <w:bCs/>
          <w:color w:val="000000" w:themeColor="text1"/>
          <w:sz w:val="24"/>
          <w:szCs w:val="24"/>
          <w:highlight w:val="yellow"/>
        </w:rPr>
        <w:t xml:space="preserve"> (47.3%)</w:t>
      </w:r>
      <w:r w:rsidR="008075EA" w:rsidRPr="00096438">
        <w:rPr>
          <w:rFonts w:ascii="Times New Roman" w:hAnsi="Times New Roman" w:cs="Times New Roman"/>
          <w:bCs/>
          <w:color w:val="000000" w:themeColor="text1"/>
          <w:sz w:val="24"/>
          <w:szCs w:val="24"/>
          <w:highlight w:val="yellow"/>
        </w:rPr>
        <w:t xml:space="preserve"> and Saudi Arabia</w:t>
      </w:r>
      <w:r w:rsidR="005D236E" w:rsidRPr="00096438">
        <w:rPr>
          <w:rFonts w:ascii="Times New Roman" w:hAnsi="Times New Roman" w:cs="Times New Roman"/>
          <w:bCs/>
          <w:color w:val="000000" w:themeColor="text1"/>
          <w:sz w:val="24"/>
          <w:szCs w:val="24"/>
          <w:highlight w:val="yellow"/>
        </w:rPr>
        <w:t xml:space="preserve"> (</w:t>
      </w:r>
      <w:r w:rsidR="00016958" w:rsidRPr="00096438">
        <w:rPr>
          <w:rFonts w:ascii="Times New Roman" w:hAnsi="Times New Roman" w:cs="Times New Roman"/>
          <w:bCs/>
          <w:color w:val="000000" w:themeColor="text1"/>
          <w:sz w:val="24"/>
          <w:szCs w:val="24"/>
          <w:highlight w:val="yellow"/>
        </w:rPr>
        <w:t>39%)</w:t>
      </w:r>
      <w:r w:rsidR="008075EA" w:rsidRPr="00096438">
        <w:rPr>
          <w:rFonts w:ascii="Times New Roman" w:hAnsi="Times New Roman" w:cs="Times New Roman"/>
          <w:bCs/>
          <w:color w:val="000000" w:themeColor="text1"/>
          <w:sz w:val="24"/>
          <w:szCs w:val="24"/>
          <w:highlight w:val="yellow"/>
        </w:rPr>
        <w:t>.</w:t>
      </w:r>
      <w:r w:rsidR="00016958" w:rsidRPr="00096438">
        <w:rPr>
          <w:rFonts w:ascii="Times New Roman" w:hAnsi="Times New Roman" w:cs="Times New Roman"/>
          <w:bCs/>
          <w:color w:val="000000" w:themeColor="text1"/>
          <w:sz w:val="24"/>
          <w:szCs w:val="24"/>
          <w:highlight w:val="yellow"/>
        </w:rPr>
        <w:t xml:space="preserve"> For Qatar and the UAE, the o</w:t>
      </w:r>
      <w:r w:rsidR="005D3EF2" w:rsidRPr="00096438">
        <w:rPr>
          <w:rFonts w:ascii="Times New Roman" w:hAnsi="Times New Roman" w:cs="Times New Roman"/>
          <w:bCs/>
          <w:color w:val="000000" w:themeColor="text1"/>
          <w:sz w:val="24"/>
          <w:szCs w:val="24"/>
          <w:highlight w:val="yellow"/>
        </w:rPr>
        <w:t xml:space="preserve">il rent to GDP </w:t>
      </w:r>
      <w:r w:rsidR="00884143" w:rsidRPr="00096438">
        <w:rPr>
          <w:rFonts w:ascii="Times New Roman" w:hAnsi="Times New Roman" w:cs="Times New Roman"/>
          <w:bCs/>
          <w:color w:val="000000" w:themeColor="text1"/>
          <w:sz w:val="24"/>
          <w:szCs w:val="24"/>
          <w:highlight w:val="yellow"/>
        </w:rPr>
        <w:t>ratio is</w:t>
      </w:r>
      <w:r w:rsidR="005D3EF2" w:rsidRPr="00096438">
        <w:rPr>
          <w:rFonts w:ascii="Times New Roman" w:hAnsi="Times New Roman" w:cs="Times New Roman"/>
          <w:bCs/>
          <w:color w:val="000000" w:themeColor="text1"/>
          <w:sz w:val="24"/>
          <w:szCs w:val="24"/>
          <w:highlight w:val="yellow"/>
        </w:rPr>
        <w:t xml:space="preserve"> 27.3% a</w:t>
      </w:r>
      <w:r w:rsidR="003D68BD" w:rsidRPr="00096438">
        <w:rPr>
          <w:rFonts w:ascii="Times New Roman" w:hAnsi="Times New Roman" w:cs="Times New Roman"/>
          <w:bCs/>
          <w:color w:val="000000" w:themeColor="text1"/>
          <w:sz w:val="24"/>
          <w:szCs w:val="24"/>
          <w:highlight w:val="yellow"/>
        </w:rPr>
        <w:t xml:space="preserve">nd 20.4%. </w:t>
      </w:r>
      <w:r w:rsidR="008B112E">
        <w:rPr>
          <w:rFonts w:ascii="Times New Roman" w:hAnsi="Times New Roman" w:cs="Times New Roman"/>
          <w:bCs/>
          <w:color w:val="000000" w:themeColor="text1"/>
          <w:sz w:val="24"/>
          <w:szCs w:val="24"/>
          <w:highlight w:val="yellow"/>
        </w:rPr>
        <w:t xml:space="preserve">As noted by </w:t>
      </w:r>
      <w:r w:rsidR="008B112E">
        <w:rPr>
          <w:rFonts w:ascii="Times New Roman" w:hAnsi="Times New Roman" w:cs="Times New Roman"/>
          <w:bCs/>
          <w:color w:val="000000" w:themeColor="text1"/>
          <w:sz w:val="24"/>
          <w:szCs w:val="24"/>
          <w:highlight w:val="yellow"/>
        </w:rPr>
        <w:fldChar w:fldCharType="begin" w:fldLock="1"/>
      </w:r>
      <w:r w:rsidR="00B915DA">
        <w:rPr>
          <w:rFonts w:ascii="Times New Roman" w:hAnsi="Times New Roman" w:cs="Times New Roman"/>
          <w:bCs/>
          <w:color w:val="000000" w:themeColor="text1"/>
          <w:sz w:val="24"/>
          <w:szCs w:val="24"/>
          <w:highlight w:val="yellow"/>
        </w:rPr>
        <w:instrText>ADDIN CSL_CITATION {"citationItems":[{"id":"ITEM-1","itemData":{"DOI":"10.1016/j.resourpol.2021.102080","ISSN":"03014207","author":[{"dropping-particle":"","family":"Umar","given":"Muhammad","non-dropping-particle":"","parse-names":false,"suffix":""},{"dropping-particle":"","family":"Ji","given":"Xiangfeng","non-dropping-particle":"","parse-names":false,"suffix":""},{"dropping-particle":"","family":"Mirza","given":"Nawazish","non-dropping-particle":"","parse-names":false,"suffix":""},{"dropping-particle":"","family":"Rahat","given":"Birjees","non-dropping-particle":"","parse-names":false,"suffix":""}],"container-title":"Resources Policy","id":"ITEM-1","issued":{"date-parts":[["2021","8","1"]]},"page":"102080","publisher":"Pergamon","title":"The impact of resource curse on banking efficiency: Evidence from twelve oil producing countries","type":"article-journal","volume":"72"},"uris":["http://www.mendeley.com/documents/?uuid=01f2743c-e64b-35ae-a928-7c061ae638ed"]}],"mendeley":{"formattedCitation":"(M. Umar et al., 2021)","plainTextFormattedCitation":"(M. Umar et al., 2021)","previouslyFormattedCitation":"(M. Umar et al., 2021)"},"properties":{"noteIndex":0},"schema":"https://github.com/citation-style-language/schema/raw/master/csl-citation.json"}</w:instrText>
      </w:r>
      <w:r w:rsidR="008B112E">
        <w:rPr>
          <w:rFonts w:ascii="Times New Roman" w:hAnsi="Times New Roman" w:cs="Times New Roman"/>
          <w:bCs/>
          <w:color w:val="000000" w:themeColor="text1"/>
          <w:sz w:val="24"/>
          <w:szCs w:val="24"/>
          <w:highlight w:val="yellow"/>
        </w:rPr>
        <w:fldChar w:fldCharType="separate"/>
      </w:r>
      <w:r w:rsidR="00E475C8" w:rsidRPr="00E475C8">
        <w:rPr>
          <w:rFonts w:ascii="Times New Roman" w:hAnsi="Times New Roman" w:cs="Times New Roman"/>
          <w:bCs/>
          <w:noProof/>
          <w:color w:val="000000" w:themeColor="text1"/>
          <w:sz w:val="24"/>
          <w:szCs w:val="24"/>
          <w:highlight w:val="yellow"/>
        </w:rPr>
        <w:t>(M. Umar et al., 2021)</w:t>
      </w:r>
      <w:r w:rsidR="008B112E">
        <w:rPr>
          <w:rFonts w:ascii="Times New Roman" w:hAnsi="Times New Roman" w:cs="Times New Roman"/>
          <w:bCs/>
          <w:color w:val="000000" w:themeColor="text1"/>
          <w:sz w:val="24"/>
          <w:szCs w:val="24"/>
          <w:highlight w:val="yellow"/>
        </w:rPr>
        <w:fldChar w:fldCharType="end"/>
      </w:r>
      <w:r w:rsidR="0025703D">
        <w:rPr>
          <w:rFonts w:ascii="Times New Roman" w:hAnsi="Times New Roman" w:cs="Times New Roman"/>
          <w:bCs/>
          <w:color w:val="000000" w:themeColor="text1"/>
          <w:sz w:val="24"/>
          <w:szCs w:val="24"/>
          <w:highlight w:val="yellow"/>
        </w:rPr>
        <w:t xml:space="preserve">, the </w:t>
      </w:r>
      <w:r w:rsidR="00613907">
        <w:rPr>
          <w:rFonts w:ascii="Times New Roman" w:hAnsi="Times New Roman" w:cs="Times New Roman"/>
          <w:bCs/>
          <w:color w:val="000000" w:themeColor="text1"/>
          <w:sz w:val="24"/>
          <w:szCs w:val="24"/>
          <w:highlight w:val="yellow"/>
        </w:rPr>
        <w:t>economic reliance on natural resources may influence the performance of financial institutions. However, our</w:t>
      </w:r>
      <w:r w:rsidR="009D1EEE" w:rsidRPr="00096438">
        <w:rPr>
          <w:rFonts w:ascii="Times New Roman" w:hAnsi="Times New Roman" w:cs="Times New Roman"/>
          <w:bCs/>
          <w:color w:val="000000" w:themeColor="text1"/>
          <w:sz w:val="24"/>
          <w:szCs w:val="24"/>
          <w:highlight w:val="yellow"/>
        </w:rPr>
        <w:t xml:space="preserve"> results demonstrate that the oil dependence dummy is not significant </w:t>
      </w:r>
      <w:r w:rsidR="00D82F87" w:rsidRPr="00096438">
        <w:rPr>
          <w:rFonts w:ascii="Times New Roman" w:hAnsi="Times New Roman" w:cs="Times New Roman"/>
          <w:bCs/>
          <w:color w:val="000000" w:themeColor="text1"/>
          <w:sz w:val="24"/>
          <w:szCs w:val="24"/>
          <w:highlight w:val="yellow"/>
        </w:rPr>
        <w:t xml:space="preserve">throughout the sample. This is consistent for the </w:t>
      </w:r>
      <w:r w:rsidR="00E33A2A" w:rsidRPr="00096438">
        <w:rPr>
          <w:rFonts w:ascii="Times New Roman" w:hAnsi="Times New Roman" w:cs="Times New Roman"/>
          <w:bCs/>
          <w:color w:val="000000" w:themeColor="text1"/>
          <w:sz w:val="24"/>
          <w:szCs w:val="24"/>
          <w:highlight w:val="yellow"/>
        </w:rPr>
        <w:t>pre covid, the complete outbreak duration</w:t>
      </w:r>
      <w:r w:rsidR="00AA6FFD" w:rsidRPr="00096438">
        <w:rPr>
          <w:rFonts w:ascii="Times New Roman" w:hAnsi="Times New Roman" w:cs="Times New Roman"/>
          <w:bCs/>
          <w:color w:val="000000" w:themeColor="text1"/>
          <w:sz w:val="24"/>
          <w:szCs w:val="24"/>
          <w:highlight w:val="yellow"/>
        </w:rPr>
        <w:t>, and</w:t>
      </w:r>
      <w:r w:rsidR="00E33A2A" w:rsidRPr="00096438">
        <w:rPr>
          <w:rFonts w:ascii="Times New Roman" w:hAnsi="Times New Roman" w:cs="Times New Roman"/>
          <w:bCs/>
          <w:color w:val="000000" w:themeColor="text1"/>
          <w:sz w:val="24"/>
          <w:szCs w:val="24"/>
          <w:highlight w:val="yellow"/>
        </w:rPr>
        <w:t xml:space="preserve"> each of the </w:t>
      </w:r>
      <w:r w:rsidR="00AA6FFD" w:rsidRPr="00096438">
        <w:rPr>
          <w:rFonts w:ascii="Times New Roman" w:hAnsi="Times New Roman" w:cs="Times New Roman"/>
          <w:bCs/>
          <w:color w:val="000000" w:themeColor="text1"/>
          <w:sz w:val="24"/>
          <w:szCs w:val="24"/>
          <w:highlight w:val="yellow"/>
        </w:rPr>
        <w:t xml:space="preserve">six </w:t>
      </w:r>
      <w:r w:rsidR="00E33A2A" w:rsidRPr="00096438">
        <w:rPr>
          <w:rFonts w:ascii="Times New Roman" w:hAnsi="Times New Roman" w:cs="Times New Roman"/>
          <w:bCs/>
          <w:color w:val="000000" w:themeColor="text1"/>
          <w:sz w:val="24"/>
          <w:szCs w:val="24"/>
          <w:highlight w:val="yellow"/>
        </w:rPr>
        <w:t>stages.</w:t>
      </w:r>
      <w:r w:rsidR="005F3C67" w:rsidRPr="00096438">
        <w:rPr>
          <w:rFonts w:ascii="Times New Roman" w:hAnsi="Times New Roman" w:cs="Times New Roman"/>
          <w:bCs/>
          <w:color w:val="000000" w:themeColor="text1"/>
          <w:sz w:val="24"/>
          <w:szCs w:val="24"/>
          <w:highlight w:val="yellow"/>
        </w:rPr>
        <w:t xml:space="preserve"> Therefore, </w:t>
      </w:r>
      <w:r w:rsidR="0058656F" w:rsidRPr="00096438">
        <w:rPr>
          <w:rFonts w:ascii="Times New Roman" w:hAnsi="Times New Roman" w:cs="Times New Roman"/>
          <w:bCs/>
          <w:color w:val="000000" w:themeColor="text1"/>
          <w:sz w:val="24"/>
          <w:szCs w:val="24"/>
          <w:highlight w:val="yellow"/>
        </w:rPr>
        <w:t xml:space="preserve">we can confirm that </w:t>
      </w:r>
      <w:r w:rsidR="00A426AB" w:rsidRPr="00096438">
        <w:rPr>
          <w:rFonts w:ascii="Times New Roman" w:hAnsi="Times New Roman" w:cs="Times New Roman"/>
          <w:bCs/>
          <w:color w:val="000000" w:themeColor="text1"/>
          <w:sz w:val="24"/>
          <w:szCs w:val="24"/>
          <w:highlight w:val="yellow"/>
        </w:rPr>
        <w:t>the economic dependence on natural resources does not influence our findings</w:t>
      </w:r>
      <w:r w:rsidR="0058656F" w:rsidRPr="00096438">
        <w:rPr>
          <w:rFonts w:ascii="Times New Roman" w:hAnsi="Times New Roman" w:cs="Times New Roman"/>
          <w:bCs/>
          <w:color w:val="000000" w:themeColor="text1"/>
          <w:sz w:val="24"/>
          <w:szCs w:val="24"/>
          <w:highlight w:val="yellow"/>
        </w:rPr>
        <w:t>.</w:t>
      </w:r>
      <w:r w:rsidR="0058656F">
        <w:rPr>
          <w:rFonts w:ascii="Times New Roman" w:hAnsi="Times New Roman" w:cs="Times New Roman"/>
          <w:bCs/>
          <w:color w:val="000000" w:themeColor="text1"/>
          <w:sz w:val="24"/>
          <w:szCs w:val="24"/>
        </w:rPr>
        <w:t xml:space="preserve"> </w:t>
      </w:r>
    </w:p>
    <w:p w14:paraId="1F32CDE5" w14:textId="7C4760C9" w:rsidR="008A61EF" w:rsidRDefault="007D1147" w:rsidP="007D1147">
      <w:pPr>
        <w:spacing w:after="0" w:line="480" w:lineRule="auto"/>
        <w:ind w:left="360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[Table 6b here]</w:t>
      </w:r>
      <w:r w:rsidR="0058656F">
        <w:rPr>
          <w:rFonts w:ascii="Times New Roman" w:hAnsi="Times New Roman" w:cs="Times New Roman"/>
          <w:bCs/>
          <w:color w:val="000000" w:themeColor="text1"/>
          <w:sz w:val="24"/>
          <w:szCs w:val="24"/>
        </w:rPr>
        <w:t xml:space="preserve"> </w:t>
      </w:r>
      <w:r w:rsidR="00E33A2A">
        <w:rPr>
          <w:rFonts w:ascii="Times New Roman" w:hAnsi="Times New Roman" w:cs="Times New Roman"/>
          <w:bCs/>
          <w:color w:val="000000" w:themeColor="text1"/>
          <w:sz w:val="24"/>
          <w:szCs w:val="24"/>
        </w:rPr>
        <w:t xml:space="preserve">  </w:t>
      </w:r>
      <w:r w:rsidR="00016958">
        <w:rPr>
          <w:rFonts w:ascii="Times New Roman" w:hAnsi="Times New Roman" w:cs="Times New Roman"/>
          <w:bCs/>
          <w:color w:val="000000" w:themeColor="text1"/>
          <w:sz w:val="24"/>
          <w:szCs w:val="24"/>
        </w:rPr>
        <w:t xml:space="preserve"> </w:t>
      </w:r>
      <w:r w:rsidR="008075EA">
        <w:rPr>
          <w:rFonts w:ascii="Times New Roman" w:hAnsi="Times New Roman" w:cs="Times New Roman"/>
          <w:bCs/>
          <w:color w:val="000000" w:themeColor="text1"/>
          <w:sz w:val="24"/>
          <w:szCs w:val="24"/>
        </w:rPr>
        <w:t xml:space="preserve">  </w:t>
      </w:r>
      <w:r w:rsidR="00946E2D">
        <w:rPr>
          <w:rFonts w:ascii="Times New Roman" w:hAnsi="Times New Roman" w:cs="Times New Roman"/>
          <w:bCs/>
          <w:color w:val="000000" w:themeColor="text1"/>
          <w:sz w:val="24"/>
          <w:szCs w:val="24"/>
        </w:rPr>
        <w:t xml:space="preserve"> </w:t>
      </w:r>
      <w:r w:rsidR="009B719B">
        <w:rPr>
          <w:rFonts w:ascii="Times New Roman" w:hAnsi="Times New Roman" w:cs="Times New Roman"/>
          <w:bCs/>
          <w:color w:val="000000" w:themeColor="text1"/>
          <w:sz w:val="24"/>
          <w:szCs w:val="24"/>
        </w:rPr>
        <w:t xml:space="preserve"> </w:t>
      </w:r>
      <w:r w:rsidR="00D02EF4">
        <w:rPr>
          <w:rFonts w:ascii="Times New Roman" w:hAnsi="Times New Roman" w:cs="Times New Roman"/>
          <w:bCs/>
          <w:color w:val="000000" w:themeColor="text1"/>
          <w:sz w:val="24"/>
          <w:szCs w:val="24"/>
        </w:rPr>
        <w:t xml:space="preserve"> </w:t>
      </w:r>
      <w:r w:rsidR="008A33C1">
        <w:rPr>
          <w:rFonts w:ascii="Times New Roman" w:hAnsi="Times New Roman" w:cs="Times New Roman"/>
          <w:bCs/>
          <w:color w:val="000000" w:themeColor="text1"/>
          <w:sz w:val="24"/>
          <w:szCs w:val="24"/>
        </w:rPr>
        <w:tab/>
      </w:r>
      <w:r w:rsidR="002A4EAC">
        <w:rPr>
          <w:rFonts w:ascii="Times New Roman" w:hAnsi="Times New Roman" w:cs="Times New Roman"/>
          <w:bCs/>
          <w:color w:val="000000" w:themeColor="text1"/>
          <w:sz w:val="24"/>
          <w:szCs w:val="24"/>
        </w:rPr>
        <w:t xml:space="preserve"> </w:t>
      </w:r>
      <w:r w:rsidR="008A61EF">
        <w:rPr>
          <w:rFonts w:ascii="Times New Roman" w:hAnsi="Times New Roman" w:cs="Times New Roman"/>
          <w:bCs/>
          <w:color w:val="000000" w:themeColor="text1"/>
          <w:sz w:val="24"/>
          <w:szCs w:val="24"/>
        </w:rPr>
        <w:t xml:space="preserve"> </w:t>
      </w:r>
    </w:p>
    <w:p w14:paraId="7B1189F4" w14:textId="7FD943FE" w:rsidR="002908DA" w:rsidRDefault="008A61EF" w:rsidP="00FE12BC">
      <w:pPr>
        <w:spacing w:after="0" w:line="48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00D76025">
        <w:rPr>
          <w:rFonts w:ascii="Times New Roman" w:hAnsi="Times New Roman" w:cs="Times New Roman"/>
          <w:bCs/>
          <w:color w:val="000000" w:themeColor="text1"/>
          <w:sz w:val="24"/>
          <w:szCs w:val="24"/>
        </w:rPr>
        <w:t xml:space="preserve"> </w:t>
      </w:r>
      <w:r w:rsidR="00D76025" w:rsidRPr="00D76025">
        <w:rPr>
          <w:rFonts w:ascii="Times New Roman" w:hAnsi="Times New Roman" w:cs="Times New Roman"/>
          <w:bCs/>
          <w:color w:val="000000" w:themeColor="text1"/>
          <w:sz w:val="24"/>
          <w:szCs w:val="24"/>
        </w:rPr>
        <w:t xml:space="preserve"> </w:t>
      </w:r>
      <w:r w:rsidR="00036AE4" w:rsidRPr="005E15EF">
        <w:rPr>
          <w:rFonts w:ascii="Times New Roman" w:hAnsi="Times New Roman" w:cs="Times New Roman"/>
          <w:sz w:val="24"/>
          <w:szCs w:val="24"/>
        </w:rPr>
        <w:t>The stage</w:t>
      </w:r>
      <w:r w:rsidR="002908DA" w:rsidRPr="005E15EF">
        <w:rPr>
          <w:rFonts w:ascii="Times New Roman" w:hAnsi="Times New Roman" w:cs="Times New Roman"/>
          <w:sz w:val="24"/>
          <w:szCs w:val="24"/>
        </w:rPr>
        <w:t>-</w:t>
      </w:r>
      <w:r w:rsidR="00036AE4" w:rsidRPr="005E15EF">
        <w:rPr>
          <w:rFonts w:ascii="Times New Roman" w:hAnsi="Times New Roman" w:cs="Times New Roman"/>
          <w:sz w:val="24"/>
          <w:szCs w:val="24"/>
        </w:rPr>
        <w:t>wise</w:t>
      </w:r>
      <w:r w:rsidR="00036AE4" w:rsidRPr="0006721E">
        <w:rPr>
          <w:rFonts w:ascii="Times New Roman" w:hAnsi="Times New Roman" w:cs="Times New Roman"/>
          <w:sz w:val="24"/>
          <w:szCs w:val="24"/>
        </w:rPr>
        <w:t xml:space="preserve"> results on investment styles are presented in table</w:t>
      </w:r>
      <w:r w:rsidR="00FB3229">
        <w:rPr>
          <w:rFonts w:ascii="Times New Roman" w:hAnsi="Times New Roman" w:cs="Times New Roman"/>
          <w:sz w:val="24"/>
          <w:szCs w:val="24"/>
        </w:rPr>
        <w:t>s</w:t>
      </w:r>
      <w:r w:rsidR="00036AE4" w:rsidRPr="0006721E">
        <w:rPr>
          <w:rFonts w:ascii="Times New Roman" w:hAnsi="Times New Roman" w:cs="Times New Roman"/>
          <w:sz w:val="24"/>
          <w:szCs w:val="24"/>
        </w:rPr>
        <w:t xml:space="preserve"> </w:t>
      </w:r>
      <w:r w:rsidR="006F4339">
        <w:rPr>
          <w:rFonts w:ascii="Times New Roman" w:hAnsi="Times New Roman" w:cs="Times New Roman"/>
          <w:sz w:val="24"/>
          <w:szCs w:val="24"/>
        </w:rPr>
        <w:t>7, 8</w:t>
      </w:r>
      <w:r w:rsidR="00FB3229">
        <w:rPr>
          <w:rFonts w:ascii="Times New Roman" w:hAnsi="Times New Roman" w:cs="Times New Roman"/>
          <w:sz w:val="24"/>
          <w:szCs w:val="24"/>
        </w:rPr>
        <w:t>,</w:t>
      </w:r>
      <w:r w:rsidR="007D5AC2">
        <w:rPr>
          <w:rFonts w:ascii="Times New Roman" w:hAnsi="Times New Roman" w:cs="Times New Roman"/>
          <w:sz w:val="24"/>
          <w:szCs w:val="24"/>
        </w:rPr>
        <w:t xml:space="preserve"> 9, 10, 11,</w:t>
      </w:r>
      <w:r w:rsidR="00036AE4" w:rsidRPr="0006721E">
        <w:rPr>
          <w:rFonts w:ascii="Times New Roman" w:hAnsi="Times New Roman" w:cs="Times New Roman"/>
          <w:sz w:val="24"/>
          <w:szCs w:val="24"/>
        </w:rPr>
        <w:t xml:space="preserve"> </w:t>
      </w:r>
      <w:r w:rsidR="006F4339">
        <w:rPr>
          <w:rFonts w:ascii="Times New Roman" w:hAnsi="Times New Roman" w:cs="Times New Roman"/>
          <w:sz w:val="24"/>
          <w:szCs w:val="24"/>
        </w:rPr>
        <w:t>and</w:t>
      </w:r>
      <w:r w:rsidR="00036AE4" w:rsidRPr="0006721E">
        <w:rPr>
          <w:rFonts w:ascii="Times New Roman" w:hAnsi="Times New Roman" w:cs="Times New Roman"/>
          <w:sz w:val="24"/>
          <w:szCs w:val="24"/>
        </w:rPr>
        <w:t xml:space="preserve"> </w:t>
      </w:r>
      <w:r w:rsidR="007D5AC2">
        <w:rPr>
          <w:rFonts w:ascii="Times New Roman" w:hAnsi="Times New Roman" w:cs="Times New Roman"/>
          <w:sz w:val="24"/>
          <w:szCs w:val="24"/>
        </w:rPr>
        <w:t>12.</w:t>
      </w:r>
      <w:r w:rsidR="00036AE4" w:rsidRPr="0006721E">
        <w:rPr>
          <w:rFonts w:ascii="Times New Roman" w:hAnsi="Times New Roman" w:cs="Times New Roman"/>
          <w:sz w:val="24"/>
          <w:szCs w:val="24"/>
        </w:rPr>
        <w:t xml:space="preserve"> During stage 1, we observe a common investment trend across Islamic funds vis-à-vis </w:t>
      </w:r>
      <w:r w:rsidR="00464638">
        <w:rPr>
          <w:rFonts w:ascii="Times New Roman" w:hAnsi="Times New Roman" w:cs="Times New Roman"/>
          <w:sz w:val="24"/>
          <w:szCs w:val="24"/>
        </w:rPr>
        <w:t xml:space="preserve">the </w:t>
      </w:r>
      <w:r w:rsidR="00036AE4" w:rsidRPr="0006721E">
        <w:rPr>
          <w:rFonts w:ascii="Times New Roman" w:hAnsi="Times New Roman" w:cs="Times New Roman"/>
          <w:sz w:val="24"/>
          <w:szCs w:val="24"/>
        </w:rPr>
        <w:t xml:space="preserve">size factor. </w:t>
      </w:r>
      <w:r w:rsidR="006C4F3A" w:rsidRPr="0006721E">
        <w:rPr>
          <w:rFonts w:ascii="Times New Roman" w:hAnsi="Times New Roman" w:cs="Times New Roman"/>
          <w:sz w:val="24"/>
          <w:szCs w:val="24"/>
        </w:rPr>
        <w:t>The concentration of Islamic funds across all countries is towards large firms.</w:t>
      </w:r>
      <w:r w:rsidR="00271995" w:rsidRPr="0006721E">
        <w:rPr>
          <w:rFonts w:ascii="Times New Roman" w:hAnsi="Times New Roman" w:cs="Times New Roman"/>
          <w:sz w:val="24"/>
          <w:szCs w:val="24"/>
        </w:rPr>
        <w:t xml:space="preserve"> For example, Malaysian funds demonstrate </w:t>
      </w:r>
      <w:r w:rsidR="002908DA">
        <w:rPr>
          <w:rFonts w:ascii="Times New Roman" w:hAnsi="Times New Roman" w:cs="Times New Roman"/>
          <w:sz w:val="24"/>
          <w:szCs w:val="24"/>
        </w:rPr>
        <w:t xml:space="preserve">a </w:t>
      </w:r>
      <w:r w:rsidR="00271995" w:rsidRPr="0006721E">
        <w:rPr>
          <w:rFonts w:ascii="Times New Roman" w:hAnsi="Times New Roman" w:cs="Times New Roman"/>
          <w:sz w:val="24"/>
          <w:szCs w:val="24"/>
        </w:rPr>
        <w:t>45% investment in large companies</w:t>
      </w:r>
      <w:r w:rsidR="00DB5055">
        <w:rPr>
          <w:rFonts w:ascii="Times New Roman" w:hAnsi="Times New Roman" w:cs="Times New Roman"/>
          <w:sz w:val="24"/>
          <w:szCs w:val="24"/>
        </w:rPr>
        <w:t>,</w:t>
      </w:r>
      <w:r w:rsidR="00271995" w:rsidRPr="0006721E">
        <w:rPr>
          <w:rFonts w:ascii="Times New Roman" w:hAnsi="Times New Roman" w:cs="Times New Roman"/>
          <w:sz w:val="24"/>
          <w:szCs w:val="24"/>
        </w:rPr>
        <w:t xml:space="preserve"> followed by UAE and Kuwait funds with </w:t>
      </w:r>
      <w:r w:rsidR="002908DA">
        <w:rPr>
          <w:rFonts w:ascii="Times New Roman" w:hAnsi="Times New Roman" w:cs="Times New Roman"/>
          <w:sz w:val="24"/>
          <w:szCs w:val="24"/>
        </w:rPr>
        <w:t>43% and 40% exposure</w:t>
      </w:r>
      <w:r w:rsidR="00271995" w:rsidRPr="0006721E">
        <w:rPr>
          <w:rFonts w:ascii="Times New Roman" w:hAnsi="Times New Roman" w:cs="Times New Roman"/>
          <w:sz w:val="24"/>
          <w:szCs w:val="24"/>
        </w:rPr>
        <w:t xml:space="preserve">. </w:t>
      </w:r>
      <w:r w:rsidR="006C4F3A" w:rsidRPr="0006721E">
        <w:rPr>
          <w:rFonts w:ascii="Times New Roman" w:hAnsi="Times New Roman" w:cs="Times New Roman"/>
          <w:sz w:val="24"/>
          <w:szCs w:val="24"/>
        </w:rPr>
        <w:t xml:space="preserve"> On the contrary, the conventional funds </w:t>
      </w:r>
      <w:r w:rsidR="00D32B01" w:rsidRPr="0006721E">
        <w:rPr>
          <w:rFonts w:ascii="Times New Roman" w:hAnsi="Times New Roman" w:cs="Times New Roman"/>
          <w:sz w:val="24"/>
          <w:szCs w:val="24"/>
        </w:rPr>
        <w:t>represent</w:t>
      </w:r>
      <w:r w:rsidR="006C4F3A" w:rsidRPr="0006721E">
        <w:rPr>
          <w:rFonts w:ascii="Times New Roman" w:hAnsi="Times New Roman" w:cs="Times New Roman"/>
          <w:sz w:val="24"/>
          <w:szCs w:val="24"/>
        </w:rPr>
        <w:t xml:space="preserve"> higher i</w:t>
      </w:r>
      <w:r w:rsidR="00C96731" w:rsidRPr="0006721E">
        <w:rPr>
          <w:rFonts w:ascii="Times New Roman" w:hAnsi="Times New Roman" w:cs="Times New Roman"/>
          <w:sz w:val="24"/>
          <w:szCs w:val="24"/>
        </w:rPr>
        <w:t>nvestments in smaller companies</w:t>
      </w:r>
      <w:r w:rsidR="004C2547">
        <w:rPr>
          <w:rFonts w:ascii="Times New Roman" w:hAnsi="Times New Roman" w:cs="Times New Roman"/>
          <w:sz w:val="24"/>
          <w:szCs w:val="24"/>
        </w:rPr>
        <w:t>,</w:t>
      </w:r>
      <w:r w:rsidR="00C96731" w:rsidRPr="0006721E">
        <w:rPr>
          <w:rFonts w:ascii="Times New Roman" w:hAnsi="Times New Roman" w:cs="Times New Roman"/>
          <w:sz w:val="24"/>
          <w:szCs w:val="24"/>
        </w:rPr>
        <w:t xml:space="preserve"> with Malaysian funds having a </w:t>
      </w:r>
      <w:r w:rsidR="002908DA">
        <w:rPr>
          <w:rFonts w:ascii="Times New Roman" w:hAnsi="Times New Roman" w:cs="Times New Roman"/>
          <w:sz w:val="24"/>
          <w:szCs w:val="24"/>
        </w:rPr>
        <w:t>61% concentration,</w:t>
      </w:r>
      <w:r w:rsidR="00C96731" w:rsidRPr="0006721E">
        <w:rPr>
          <w:rFonts w:ascii="Times New Roman" w:hAnsi="Times New Roman" w:cs="Times New Roman"/>
          <w:sz w:val="24"/>
          <w:szCs w:val="24"/>
        </w:rPr>
        <w:t xml:space="preserve"> followed by UAE funds that show a 55% investment in small firms. </w:t>
      </w:r>
      <w:r w:rsidR="0008129B" w:rsidRPr="0006721E">
        <w:rPr>
          <w:rFonts w:ascii="Times New Roman" w:hAnsi="Times New Roman" w:cs="Times New Roman"/>
          <w:sz w:val="24"/>
          <w:szCs w:val="24"/>
        </w:rPr>
        <w:t>In terms of investment strategies</w:t>
      </w:r>
      <w:r w:rsidR="002908DA">
        <w:rPr>
          <w:rFonts w:ascii="Times New Roman" w:hAnsi="Times New Roman" w:cs="Times New Roman"/>
          <w:sz w:val="24"/>
          <w:szCs w:val="24"/>
        </w:rPr>
        <w:t>,</w:t>
      </w:r>
      <w:r w:rsidR="0008129B" w:rsidRPr="0006721E">
        <w:rPr>
          <w:rFonts w:ascii="Times New Roman" w:hAnsi="Times New Roman" w:cs="Times New Roman"/>
          <w:sz w:val="24"/>
          <w:szCs w:val="24"/>
        </w:rPr>
        <w:t xml:space="preserve"> </w:t>
      </w:r>
      <w:r w:rsidR="00CA1C37" w:rsidRPr="0006721E">
        <w:rPr>
          <w:rFonts w:ascii="Times New Roman" w:hAnsi="Times New Roman" w:cs="Times New Roman"/>
          <w:sz w:val="24"/>
          <w:szCs w:val="24"/>
        </w:rPr>
        <w:t xml:space="preserve">most Islamic funds prefer value investments. </w:t>
      </w:r>
      <w:r w:rsidR="002908DA">
        <w:rPr>
          <w:rFonts w:ascii="Times New Roman" w:hAnsi="Times New Roman" w:cs="Times New Roman"/>
          <w:sz w:val="24"/>
          <w:szCs w:val="24"/>
        </w:rPr>
        <w:t>Kuwait's funds</w:t>
      </w:r>
      <w:r w:rsidR="00CA1C37" w:rsidRPr="0006721E">
        <w:rPr>
          <w:rFonts w:ascii="Times New Roman" w:hAnsi="Times New Roman" w:cs="Times New Roman"/>
          <w:sz w:val="24"/>
          <w:szCs w:val="24"/>
        </w:rPr>
        <w:t xml:space="preserve"> have 55% investment in value firms</w:t>
      </w:r>
      <w:r w:rsidR="002908DA">
        <w:rPr>
          <w:rFonts w:ascii="Times New Roman" w:hAnsi="Times New Roman" w:cs="Times New Roman"/>
          <w:sz w:val="24"/>
          <w:szCs w:val="24"/>
        </w:rPr>
        <w:t>,</w:t>
      </w:r>
      <w:r w:rsidR="00CA1C37" w:rsidRPr="0006721E">
        <w:rPr>
          <w:rFonts w:ascii="Times New Roman" w:hAnsi="Times New Roman" w:cs="Times New Roman"/>
          <w:sz w:val="24"/>
          <w:szCs w:val="24"/>
        </w:rPr>
        <w:t xml:space="preserve"> followed by 52% of Pakistan’s funds. A notable exception among Islamic funds </w:t>
      </w:r>
      <w:r w:rsidR="00E7561C">
        <w:rPr>
          <w:rFonts w:ascii="Times New Roman" w:hAnsi="Times New Roman" w:cs="Times New Roman"/>
          <w:sz w:val="24"/>
          <w:szCs w:val="24"/>
        </w:rPr>
        <w:t xml:space="preserve">is </w:t>
      </w:r>
      <w:r w:rsidR="00CA1C37" w:rsidRPr="0006721E">
        <w:rPr>
          <w:rFonts w:ascii="Times New Roman" w:hAnsi="Times New Roman" w:cs="Times New Roman"/>
          <w:sz w:val="24"/>
          <w:szCs w:val="24"/>
        </w:rPr>
        <w:t>i</w:t>
      </w:r>
      <w:r w:rsidR="002908DA">
        <w:rPr>
          <w:rFonts w:ascii="Times New Roman" w:hAnsi="Times New Roman" w:cs="Times New Roman"/>
          <w:sz w:val="24"/>
          <w:szCs w:val="24"/>
        </w:rPr>
        <w:t>n</w:t>
      </w:r>
      <w:r w:rsidR="00CA1C37" w:rsidRPr="0006721E">
        <w:rPr>
          <w:rFonts w:ascii="Times New Roman" w:hAnsi="Times New Roman" w:cs="Times New Roman"/>
          <w:sz w:val="24"/>
          <w:szCs w:val="24"/>
        </w:rPr>
        <w:t xml:space="preserve"> </w:t>
      </w:r>
      <w:r w:rsidR="002908DA">
        <w:rPr>
          <w:rFonts w:ascii="Times New Roman" w:hAnsi="Times New Roman" w:cs="Times New Roman"/>
          <w:sz w:val="24"/>
          <w:szCs w:val="24"/>
        </w:rPr>
        <w:t>Saudi Arabia</w:t>
      </w:r>
      <w:r w:rsidR="00E7561C">
        <w:rPr>
          <w:rFonts w:ascii="Times New Roman" w:hAnsi="Times New Roman" w:cs="Times New Roman"/>
          <w:sz w:val="24"/>
          <w:szCs w:val="24"/>
        </w:rPr>
        <w:t>, where fund managers</w:t>
      </w:r>
      <w:r w:rsidR="0064342E">
        <w:rPr>
          <w:rFonts w:ascii="Times New Roman" w:hAnsi="Times New Roman" w:cs="Times New Roman"/>
          <w:sz w:val="24"/>
          <w:szCs w:val="24"/>
        </w:rPr>
        <w:t xml:space="preserve"> </w:t>
      </w:r>
      <w:r w:rsidR="00CA1C37" w:rsidRPr="0006721E">
        <w:rPr>
          <w:rFonts w:ascii="Times New Roman" w:hAnsi="Times New Roman" w:cs="Times New Roman"/>
          <w:sz w:val="24"/>
          <w:szCs w:val="24"/>
        </w:rPr>
        <w:t xml:space="preserve">prefer a momentum strategy with 44% investment in </w:t>
      </w:r>
      <w:r w:rsidR="00CA1C37" w:rsidRPr="0006721E">
        <w:rPr>
          <w:rFonts w:ascii="Times New Roman" w:hAnsi="Times New Roman" w:cs="Times New Roman"/>
          <w:i/>
          <w:sz w:val="24"/>
          <w:szCs w:val="24"/>
        </w:rPr>
        <w:t>winning</w:t>
      </w:r>
      <w:r w:rsidR="00CA1C37" w:rsidRPr="0006721E">
        <w:rPr>
          <w:rFonts w:ascii="Times New Roman" w:hAnsi="Times New Roman" w:cs="Times New Roman"/>
          <w:sz w:val="24"/>
          <w:szCs w:val="24"/>
        </w:rPr>
        <w:t xml:space="preserve"> firms.</w:t>
      </w:r>
    </w:p>
    <w:p w14:paraId="3AEEDA7F" w14:textId="4D126AB2" w:rsidR="00C03D43" w:rsidRDefault="00C03D43" w:rsidP="006528E4">
      <w:pPr>
        <w:spacing w:after="0" w:line="480" w:lineRule="auto"/>
        <w:jc w:val="center"/>
        <w:rPr>
          <w:rFonts w:ascii="Times New Roman" w:hAnsi="Times New Roman" w:cs="Times New Roman"/>
          <w:sz w:val="24"/>
          <w:szCs w:val="24"/>
        </w:rPr>
      </w:pPr>
      <w:r w:rsidRPr="00856801">
        <w:rPr>
          <w:rFonts w:ascii="Times New Roman" w:hAnsi="Times New Roman" w:cs="Times New Roman"/>
          <w:sz w:val="24"/>
          <w:szCs w:val="24"/>
          <w:highlight w:val="yellow"/>
        </w:rPr>
        <w:t>[Tables 7, 8</w:t>
      </w:r>
      <w:r w:rsidR="00E7561C" w:rsidRPr="00856801">
        <w:rPr>
          <w:rFonts w:ascii="Times New Roman" w:hAnsi="Times New Roman" w:cs="Times New Roman"/>
          <w:sz w:val="24"/>
          <w:szCs w:val="24"/>
          <w:highlight w:val="yellow"/>
        </w:rPr>
        <w:t>,</w:t>
      </w:r>
      <w:r w:rsidR="00856801" w:rsidRPr="00856801">
        <w:rPr>
          <w:rFonts w:ascii="Times New Roman" w:hAnsi="Times New Roman" w:cs="Times New Roman"/>
          <w:sz w:val="24"/>
          <w:szCs w:val="24"/>
          <w:highlight w:val="yellow"/>
        </w:rPr>
        <w:t xml:space="preserve"> 9, 10, 11,</w:t>
      </w:r>
      <w:r w:rsidRPr="00856801">
        <w:rPr>
          <w:rFonts w:ascii="Times New Roman" w:hAnsi="Times New Roman" w:cs="Times New Roman"/>
          <w:sz w:val="24"/>
          <w:szCs w:val="24"/>
          <w:highlight w:val="yellow"/>
        </w:rPr>
        <w:t xml:space="preserve"> and </w:t>
      </w:r>
      <w:r w:rsidR="00856801" w:rsidRPr="00856801">
        <w:rPr>
          <w:rFonts w:ascii="Times New Roman" w:hAnsi="Times New Roman" w:cs="Times New Roman"/>
          <w:sz w:val="24"/>
          <w:szCs w:val="24"/>
          <w:highlight w:val="yellow"/>
        </w:rPr>
        <w:t>12</w:t>
      </w:r>
      <w:r w:rsidRPr="00856801">
        <w:rPr>
          <w:rFonts w:ascii="Times New Roman" w:hAnsi="Times New Roman" w:cs="Times New Roman"/>
          <w:sz w:val="24"/>
          <w:szCs w:val="24"/>
          <w:highlight w:val="yellow"/>
        </w:rPr>
        <w:t xml:space="preserve"> here]</w:t>
      </w:r>
    </w:p>
    <w:p w14:paraId="1C8C6903" w14:textId="31339F49" w:rsidR="00362ABF" w:rsidRPr="0006721E" w:rsidRDefault="004517B2" w:rsidP="006528E4">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t xml:space="preserve">On the contrary, the conventional funds </w:t>
      </w:r>
      <w:r w:rsidR="002908DA">
        <w:rPr>
          <w:rFonts w:ascii="Times New Roman" w:hAnsi="Times New Roman" w:cs="Times New Roman"/>
          <w:sz w:val="24"/>
          <w:szCs w:val="24"/>
        </w:rPr>
        <w:t>focus</w:t>
      </w:r>
      <w:r w:rsidRPr="0006721E">
        <w:rPr>
          <w:rFonts w:ascii="Times New Roman" w:hAnsi="Times New Roman" w:cs="Times New Roman"/>
          <w:sz w:val="24"/>
          <w:szCs w:val="24"/>
        </w:rPr>
        <w:t xml:space="preserve"> on growth firms with Malaysian and Pakistan’s funds</w:t>
      </w:r>
      <w:r w:rsidR="002908DA">
        <w:rPr>
          <w:rFonts w:ascii="Times New Roman" w:hAnsi="Times New Roman" w:cs="Times New Roman"/>
          <w:sz w:val="24"/>
          <w:szCs w:val="24"/>
        </w:rPr>
        <w:t>,</w:t>
      </w:r>
      <w:r w:rsidRPr="0006721E">
        <w:rPr>
          <w:rFonts w:ascii="Times New Roman" w:hAnsi="Times New Roman" w:cs="Times New Roman"/>
          <w:sz w:val="24"/>
          <w:szCs w:val="24"/>
        </w:rPr>
        <w:t xml:space="preserve"> investing approximately 55% of their portfolio in growth stocks. </w:t>
      </w:r>
      <w:r w:rsidR="00544C75" w:rsidRPr="0006721E">
        <w:rPr>
          <w:rFonts w:ascii="Times New Roman" w:hAnsi="Times New Roman" w:cs="Times New Roman"/>
          <w:sz w:val="24"/>
          <w:szCs w:val="24"/>
        </w:rPr>
        <w:t>During stage 1, the sectoral concentration is similar for Islamic and conventional funds</w:t>
      </w:r>
      <w:r w:rsidR="002908DA">
        <w:rPr>
          <w:rFonts w:ascii="Times New Roman" w:hAnsi="Times New Roman" w:cs="Times New Roman"/>
          <w:sz w:val="24"/>
          <w:szCs w:val="24"/>
        </w:rPr>
        <w:t>,</w:t>
      </w:r>
      <w:r w:rsidR="00544C75" w:rsidRPr="0006721E">
        <w:rPr>
          <w:rFonts w:ascii="Times New Roman" w:hAnsi="Times New Roman" w:cs="Times New Roman"/>
          <w:sz w:val="24"/>
          <w:szCs w:val="24"/>
        </w:rPr>
        <w:t xml:space="preserve"> with most of their </w:t>
      </w:r>
      <w:r w:rsidR="00544C75" w:rsidRPr="0006721E">
        <w:rPr>
          <w:rFonts w:ascii="Times New Roman" w:hAnsi="Times New Roman" w:cs="Times New Roman"/>
          <w:sz w:val="24"/>
          <w:szCs w:val="24"/>
        </w:rPr>
        <w:lastRenderedPageBreak/>
        <w:t>investments channeled towards manufacturing, wholesale</w:t>
      </w:r>
      <w:r w:rsidR="002908DA">
        <w:rPr>
          <w:rFonts w:ascii="Times New Roman" w:hAnsi="Times New Roman" w:cs="Times New Roman"/>
          <w:sz w:val="24"/>
          <w:szCs w:val="24"/>
        </w:rPr>
        <w:t>,</w:t>
      </w:r>
      <w:r w:rsidR="00544C75" w:rsidRPr="0006721E">
        <w:rPr>
          <w:rFonts w:ascii="Times New Roman" w:hAnsi="Times New Roman" w:cs="Times New Roman"/>
          <w:sz w:val="24"/>
          <w:szCs w:val="24"/>
        </w:rPr>
        <w:t xml:space="preserve"> and retail.</w:t>
      </w:r>
      <w:r w:rsidR="005D7D38" w:rsidRPr="0006721E">
        <w:rPr>
          <w:rFonts w:ascii="Times New Roman" w:hAnsi="Times New Roman" w:cs="Times New Roman"/>
          <w:sz w:val="24"/>
          <w:szCs w:val="24"/>
        </w:rPr>
        <w:t xml:space="preserve"> We report minimal tracking error across size, factors</w:t>
      </w:r>
      <w:r w:rsidR="002908DA">
        <w:rPr>
          <w:rFonts w:ascii="Times New Roman" w:hAnsi="Times New Roman" w:cs="Times New Roman"/>
          <w:sz w:val="24"/>
          <w:szCs w:val="24"/>
        </w:rPr>
        <w:t>,</w:t>
      </w:r>
      <w:r w:rsidR="005D7D38" w:rsidRPr="0006721E">
        <w:rPr>
          <w:rFonts w:ascii="Times New Roman" w:hAnsi="Times New Roman" w:cs="Times New Roman"/>
          <w:sz w:val="24"/>
          <w:szCs w:val="24"/>
        </w:rPr>
        <w:t xml:space="preserve"> and sectoral specification</w:t>
      </w:r>
      <w:r w:rsidR="002908DA">
        <w:rPr>
          <w:rFonts w:ascii="Times New Roman" w:hAnsi="Times New Roman" w:cs="Times New Roman"/>
          <w:sz w:val="24"/>
          <w:szCs w:val="24"/>
        </w:rPr>
        <w:t>s, demonstrating our findings' robustnes</w:t>
      </w:r>
      <w:r w:rsidR="005D7D38" w:rsidRPr="0006721E">
        <w:rPr>
          <w:rFonts w:ascii="Times New Roman" w:hAnsi="Times New Roman" w:cs="Times New Roman"/>
          <w:sz w:val="24"/>
          <w:szCs w:val="24"/>
        </w:rPr>
        <w:t>s</w:t>
      </w:r>
      <w:r w:rsidR="006528E4">
        <w:rPr>
          <w:rFonts w:ascii="Times New Roman" w:hAnsi="Times New Roman" w:cs="Times New Roman"/>
          <w:sz w:val="24"/>
          <w:szCs w:val="24"/>
        </w:rPr>
        <w:t>.</w:t>
      </w:r>
      <w:r w:rsidR="0021084E" w:rsidRPr="0006721E">
        <w:rPr>
          <w:rFonts w:ascii="Times New Roman" w:hAnsi="Times New Roman" w:cs="Times New Roman"/>
          <w:sz w:val="24"/>
          <w:szCs w:val="24"/>
        </w:rPr>
        <w:tab/>
      </w:r>
      <w:r w:rsidR="0021084E" w:rsidRPr="0006721E">
        <w:rPr>
          <w:rFonts w:ascii="Times New Roman" w:hAnsi="Times New Roman" w:cs="Times New Roman"/>
          <w:sz w:val="24"/>
          <w:szCs w:val="24"/>
        </w:rPr>
        <w:tab/>
      </w:r>
      <w:r w:rsidR="005D4DC9" w:rsidRPr="0006721E">
        <w:rPr>
          <w:rFonts w:ascii="Times New Roman" w:hAnsi="Times New Roman" w:cs="Times New Roman"/>
          <w:sz w:val="24"/>
          <w:szCs w:val="24"/>
        </w:rPr>
        <w:t>The results of stage</w:t>
      </w:r>
      <w:r w:rsidR="002908DA">
        <w:rPr>
          <w:rFonts w:ascii="Times New Roman" w:hAnsi="Times New Roman" w:cs="Times New Roman"/>
          <w:sz w:val="24"/>
          <w:szCs w:val="24"/>
        </w:rPr>
        <w:t>s</w:t>
      </w:r>
      <w:r w:rsidR="005D4DC9" w:rsidRPr="0006721E">
        <w:rPr>
          <w:rFonts w:ascii="Times New Roman" w:hAnsi="Times New Roman" w:cs="Times New Roman"/>
          <w:sz w:val="24"/>
          <w:szCs w:val="24"/>
        </w:rPr>
        <w:t xml:space="preserve"> 2</w:t>
      </w:r>
      <w:r w:rsidR="0021084E" w:rsidRPr="0006721E">
        <w:rPr>
          <w:rFonts w:ascii="Times New Roman" w:hAnsi="Times New Roman" w:cs="Times New Roman"/>
          <w:sz w:val="24"/>
          <w:szCs w:val="24"/>
        </w:rPr>
        <w:t xml:space="preserve"> and 3</w:t>
      </w:r>
      <w:r w:rsidR="005D4DC9" w:rsidRPr="0006721E">
        <w:rPr>
          <w:rFonts w:ascii="Times New Roman" w:hAnsi="Times New Roman" w:cs="Times New Roman"/>
          <w:sz w:val="24"/>
          <w:szCs w:val="24"/>
        </w:rPr>
        <w:t xml:space="preserve"> </w:t>
      </w:r>
      <w:r w:rsidR="00497B4F" w:rsidRPr="0006721E">
        <w:rPr>
          <w:rFonts w:ascii="Times New Roman" w:hAnsi="Times New Roman" w:cs="Times New Roman"/>
          <w:sz w:val="24"/>
          <w:szCs w:val="24"/>
        </w:rPr>
        <w:t>signify</w:t>
      </w:r>
      <w:r w:rsidR="0021084E" w:rsidRPr="0006721E">
        <w:rPr>
          <w:rFonts w:ascii="Times New Roman" w:hAnsi="Times New Roman" w:cs="Times New Roman"/>
          <w:sz w:val="24"/>
          <w:szCs w:val="24"/>
        </w:rPr>
        <w:t xml:space="preserve"> a variation in investment styles for</w:t>
      </w:r>
      <w:r w:rsidR="0008494C" w:rsidRPr="0006721E">
        <w:rPr>
          <w:rFonts w:ascii="Times New Roman" w:hAnsi="Times New Roman" w:cs="Times New Roman"/>
          <w:sz w:val="24"/>
          <w:szCs w:val="24"/>
        </w:rPr>
        <w:t xml:space="preserve"> Islamic funds</w:t>
      </w:r>
      <w:r w:rsidR="002908DA">
        <w:rPr>
          <w:rFonts w:ascii="Times New Roman" w:hAnsi="Times New Roman" w:cs="Times New Roman"/>
          <w:sz w:val="24"/>
          <w:szCs w:val="24"/>
        </w:rPr>
        <w:t>,</w:t>
      </w:r>
      <w:r w:rsidR="0008494C" w:rsidRPr="0006721E">
        <w:rPr>
          <w:rFonts w:ascii="Times New Roman" w:hAnsi="Times New Roman" w:cs="Times New Roman"/>
          <w:sz w:val="24"/>
          <w:szCs w:val="24"/>
        </w:rPr>
        <w:t xml:space="preserve"> while </w:t>
      </w:r>
      <w:r w:rsidR="0031755E">
        <w:rPr>
          <w:rFonts w:ascii="Times New Roman" w:hAnsi="Times New Roman" w:cs="Times New Roman"/>
          <w:sz w:val="24"/>
          <w:szCs w:val="24"/>
        </w:rPr>
        <w:t>we do not observe a significant drift for conventional funds</w:t>
      </w:r>
      <w:r w:rsidR="003F1B85" w:rsidRPr="0006721E">
        <w:rPr>
          <w:rFonts w:ascii="Times New Roman" w:hAnsi="Times New Roman" w:cs="Times New Roman"/>
          <w:sz w:val="24"/>
          <w:szCs w:val="24"/>
        </w:rPr>
        <w:t>.</w:t>
      </w:r>
      <w:r w:rsidR="004B0904" w:rsidRPr="0006721E">
        <w:rPr>
          <w:rFonts w:ascii="Times New Roman" w:hAnsi="Times New Roman" w:cs="Times New Roman"/>
          <w:sz w:val="24"/>
          <w:szCs w:val="24"/>
        </w:rPr>
        <w:t xml:space="preserve"> The Islamic funds reduced their exposure in small firms and strengthened their concentration in large firms. The Malaysian funds increased their investment in large firms to 54% in stage and 67% during stage 3. </w:t>
      </w:r>
      <w:r w:rsidR="002908DA">
        <w:rPr>
          <w:rFonts w:ascii="Times New Roman" w:hAnsi="Times New Roman" w:cs="Times New Roman"/>
          <w:sz w:val="24"/>
          <w:szCs w:val="24"/>
        </w:rPr>
        <w:t>A s</w:t>
      </w:r>
      <w:r w:rsidR="004B0904" w:rsidRPr="0006721E">
        <w:rPr>
          <w:rFonts w:ascii="Times New Roman" w:hAnsi="Times New Roman" w:cs="Times New Roman"/>
          <w:sz w:val="24"/>
          <w:szCs w:val="24"/>
        </w:rPr>
        <w:t xml:space="preserve">imilar increase is witnessed in </w:t>
      </w:r>
      <w:r w:rsidR="002908DA">
        <w:rPr>
          <w:rFonts w:ascii="Times New Roman" w:hAnsi="Times New Roman" w:cs="Times New Roman"/>
          <w:sz w:val="24"/>
          <w:szCs w:val="24"/>
        </w:rPr>
        <w:t>UAE funds</w:t>
      </w:r>
      <w:r w:rsidR="0031755E">
        <w:rPr>
          <w:rFonts w:ascii="Times New Roman" w:hAnsi="Times New Roman" w:cs="Times New Roman"/>
          <w:sz w:val="24"/>
          <w:szCs w:val="24"/>
        </w:rPr>
        <w:t>,</w:t>
      </w:r>
      <w:r w:rsidR="004B0904" w:rsidRPr="0006721E">
        <w:rPr>
          <w:rFonts w:ascii="Times New Roman" w:hAnsi="Times New Roman" w:cs="Times New Roman"/>
          <w:sz w:val="24"/>
          <w:szCs w:val="24"/>
        </w:rPr>
        <w:t xml:space="preserve"> </w:t>
      </w:r>
      <w:r w:rsidR="002908DA">
        <w:rPr>
          <w:rFonts w:ascii="Times New Roman" w:hAnsi="Times New Roman" w:cs="Times New Roman"/>
          <w:sz w:val="24"/>
          <w:szCs w:val="24"/>
        </w:rPr>
        <w:t>with</w:t>
      </w:r>
      <w:r w:rsidR="004B0904" w:rsidRPr="0006721E">
        <w:rPr>
          <w:rFonts w:ascii="Times New Roman" w:hAnsi="Times New Roman" w:cs="Times New Roman"/>
          <w:sz w:val="24"/>
          <w:szCs w:val="24"/>
        </w:rPr>
        <w:t xml:space="preserve"> </w:t>
      </w:r>
      <w:r w:rsidR="002908DA">
        <w:rPr>
          <w:rFonts w:ascii="Times New Roman" w:hAnsi="Times New Roman" w:cs="Times New Roman"/>
          <w:sz w:val="24"/>
          <w:szCs w:val="24"/>
        </w:rPr>
        <w:t>considerabl</w:t>
      </w:r>
      <w:r w:rsidR="004B0904" w:rsidRPr="0006721E">
        <w:rPr>
          <w:rFonts w:ascii="Times New Roman" w:hAnsi="Times New Roman" w:cs="Times New Roman"/>
          <w:sz w:val="24"/>
          <w:szCs w:val="24"/>
        </w:rPr>
        <w:t xml:space="preserve">e firm exposure of 53% during stage 2 and 71% in stage 3. </w:t>
      </w:r>
      <w:r w:rsidR="00F04992" w:rsidRPr="0006721E">
        <w:rPr>
          <w:rFonts w:ascii="Times New Roman" w:hAnsi="Times New Roman" w:cs="Times New Roman"/>
          <w:sz w:val="24"/>
          <w:szCs w:val="24"/>
        </w:rPr>
        <w:t xml:space="preserve">This is conceivable because </w:t>
      </w:r>
      <w:r w:rsidR="006673EA" w:rsidRPr="0006721E">
        <w:rPr>
          <w:rFonts w:ascii="Times New Roman" w:hAnsi="Times New Roman" w:cs="Times New Roman"/>
          <w:sz w:val="24"/>
          <w:szCs w:val="24"/>
        </w:rPr>
        <w:t xml:space="preserve">as the </w:t>
      </w:r>
      <w:r w:rsidR="007E31F1">
        <w:rPr>
          <w:rFonts w:ascii="Times New Roman" w:hAnsi="Times New Roman" w:cs="Times New Roman"/>
          <w:sz w:val="24"/>
          <w:szCs w:val="24"/>
        </w:rPr>
        <w:t>COVID-</w:t>
      </w:r>
      <w:r w:rsidR="006673EA" w:rsidRPr="0006721E">
        <w:rPr>
          <w:rFonts w:ascii="Times New Roman" w:hAnsi="Times New Roman" w:cs="Times New Roman"/>
          <w:sz w:val="24"/>
          <w:szCs w:val="24"/>
        </w:rPr>
        <w:t>19 deepens, the drag on small firms increases</w:t>
      </w:r>
      <w:r w:rsidR="002908DA">
        <w:rPr>
          <w:rFonts w:ascii="Times New Roman" w:hAnsi="Times New Roman" w:cs="Times New Roman"/>
          <w:sz w:val="24"/>
          <w:szCs w:val="24"/>
        </w:rPr>
        <w:t>, leading</w:t>
      </w:r>
      <w:r w:rsidR="006673EA" w:rsidRPr="0006721E">
        <w:rPr>
          <w:rFonts w:ascii="Times New Roman" w:hAnsi="Times New Roman" w:cs="Times New Roman"/>
          <w:sz w:val="24"/>
          <w:szCs w:val="24"/>
        </w:rPr>
        <w:t xml:space="preserve"> to lower portfolio performance. </w:t>
      </w:r>
      <w:r w:rsidR="003B1287">
        <w:rPr>
          <w:rFonts w:ascii="Times New Roman" w:hAnsi="Times New Roman" w:cs="Times New Roman"/>
          <w:sz w:val="24"/>
          <w:szCs w:val="24"/>
        </w:rPr>
        <w:t xml:space="preserve">This continues for the later stages as well. </w:t>
      </w:r>
    </w:p>
    <w:p w14:paraId="51A56078" w14:textId="09F645A8" w:rsidR="00302A55" w:rsidRPr="0006721E" w:rsidRDefault="006673EA" w:rsidP="00362ABF">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t xml:space="preserve">We observe similar transitions for factors strategies where Islamic funds continue to allocate more investment towards stable value firms while reducing their </w:t>
      </w:r>
      <w:r w:rsidR="002908DA">
        <w:rPr>
          <w:rFonts w:ascii="Times New Roman" w:hAnsi="Times New Roman" w:cs="Times New Roman"/>
          <w:sz w:val="24"/>
          <w:szCs w:val="24"/>
        </w:rPr>
        <w:t>growth stocks exposure</w:t>
      </w:r>
      <w:r w:rsidRPr="0006721E">
        <w:rPr>
          <w:rFonts w:ascii="Times New Roman" w:hAnsi="Times New Roman" w:cs="Times New Roman"/>
          <w:sz w:val="24"/>
          <w:szCs w:val="24"/>
        </w:rPr>
        <w:t xml:space="preserve">. </w:t>
      </w:r>
      <w:r w:rsidR="00483B03" w:rsidRPr="0006721E">
        <w:rPr>
          <w:rFonts w:ascii="Times New Roman" w:hAnsi="Times New Roman" w:cs="Times New Roman"/>
          <w:sz w:val="24"/>
          <w:szCs w:val="24"/>
        </w:rPr>
        <w:t xml:space="preserve">The funds based in Kuwait </w:t>
      </w:r>
      <w:r w:rsidR="0026392A" w:rsidRPr="0006721E">
        <w:rPr>
          <w:rFonts w:ascii="Times New Roman" w:hAnsi="Times New Roman" w:cs="Times New Roman"/>
          <w:sz w:val="24"/>
          <w:szCs w:val="24"/>
        </w:rPr>
        <w:t xml:space="preserve">represent 73.5% exposure towards value stocks in stage 2 and 78% in stage 3. </w:t>
      </w:r>
      <w:r w:rsidR="002908DA">
        <w:rPr>
          <w:rFonts w:ascii="Times New Roman" w:hAnsi="Times New Roman" w:cs="Times New Roman"/>
          <w:sz w:val="24"/>
          <w:szCs w:val="24"/>
        </w:rPr>
        <w:t>With the momentum strategy's dominance during stage 1, the funds from Saudi Arabia</w:t>
      </w:r>
      <w:r w:rsidR="0026392A" w:rsidRPr="0006721E">
        <w:rPr>
          <w:rFonts w:ascii="Times New Roman" w:hAnsi="Times New Roman" w:cs="Times New Roman"/>
          <w:sz w:val="24"/>
          <w:szCs w:val="24"/>
        </w:rPr>
        <w:t xml:space="preserve"> reduced their winning exposure to 36% in stage 2 and 29% in stage 3. </w:t>
      </w:r>
      <w:r w:rsidR="00E34868" w:rsidRPr="0006721E">
        <w:rPr>
          <w:rFonts w:ascii="Times New Roman" w:hAnsi="Times New Roman" w:cs="Times New Roman"/>
          <w:sz w:val="24"/>
          <w:szCs w:val="24"/>
        </w:rPr>
        <w:t xml:space="preserve">We also observe a gradual </w:t>
      </w:r>
      <w:r w:rsidR="00362ABF" w:rsidRPr="0006721E">
        <w:rPr>
          <w:rFonts w:ascii="Times New Roman" w:hAnsi="Times New Roman" w:cs="Times New Roman"/>
          <w:sz w:val="24"/>
          <w:szCs w:val="24"/>
        </w:rPr>
        <w:t xml:space="preserve">decline in </w:t>
      </w:r>
      <w:r w:rsidR="002908DA">
        <w:rPr>
          <w:rFonts w:ascii="Times New Roman" w:hAnsi="Times New Roman" w:cs="Times New Roman"/>
          <w:sz w:val="24"/>
          <w:szCs w:val="24"/>
        </w:rPr>
        <w:t>mining, construction, and manufacturing sectors,</w:t>
      </w:r>
      <w:r w:rsidR="00362ABF" w:rsidRPr="0006721E">
        <w:rPr>
          <w:rFonts w:ascii="Times New Roman" w:hAnsi="Times New Roman" w:cs="Times New Roman"/>
          <w:sz w:val="24"/>
          <w:szCs w:val="24"/>
        </w:rPr>
        <w:t xml:space="preserve"> increasing concentration towards relatively resistant wholesale and retail. For conventional funds</w:t>
      </w:r>
      <w:r w:rsidR="002908DA">
        <w:rPr>
          <w:rFonts w:ascii="Times New Roman" w:hAnsi="Times New Roman" w:cs="Times New Roman"/>
          <w:sz w:val="24"/>
          <w:szCs w:val="24"/>
        </w:rPr>
        <w:t>,</w:t>
      </w:r>
      <w:r w:rsidR="00362ABF" w:rsidRPr="0006721E">
        <w:rPr>
          <w:rFonts w:ascii="Times New Roman" w:hAnsi="Times New Roman" w:cs="Times New Roman"/>
          <w:sz w:val="24"/>
          <w:szCs w:val="24"/>
        </w:rPr>
        <w:t xml:space="preserve"> we </w:t>
      </w:r>
      <w:r w:rsidR="004C2547">
        <w:rPr>
          <w:rFonts w:ascii="Times New Roman" w:hAnsi="Times New Roman" w:cs="Times New Roman"/>
          <w:sz w:val="24"/>
          <w:szCs w:val="24"/>
        </w:rPr>
        <w:t>note</w:t>
      </w:r>
      <w:r w:rsidR="00362ABF" w:rsidRPr="0006721E">
        <w:rPr>
          <w:rFonts w:ascii="Times New Roman" w:hAnsi="Times New Roman" w:cs="Times New Roman"/>
          <w:sz w:val="24"/>
          <w:szCs w:val="24"/>
        </w:rPr>
        <w:t xml:space="preserve"> a marginal change in size, factors</w:t>
      </w:r>
      <w:r w:rsidR="002908DA">
        <w:rPr>
          <w:rFonts w:ascii="Times New Roman" w:hAnsi="Times New Roman" w:cs="Times New Roman"/>
          <w:sz w:val="24"/>
          <w:szCs w:val="24"/>
        </w:rPr>
        <w:t>,</w:t>
      </w:r>
      <w:r w:rsidR="00362ABF" w:rsidRPr="0006721E">
        <w:rPr>
          <w:rFonts w:ascii="Times New Roman" w:hAnsi="Times New Roman" w:cs="Times New Roman"/>
          <w:sz w:val="24"/>
          <w:szCs w:val="24"/>
        </w:rPr>
        <w:t xml:space="preserve"> and sectoral strategies only in stage 3. This shows that Islamic fund managers are more conscious of the changing environment</w:t>
      </w:r>
      <w:r w:rsidR="002908DA">
        <w:rPr>
          <w:rFonts w:ascii="Times New Roman" w:hAnsi="Times New Roman" w:cs="Times New Roman"/>
          <w:sz w:val="24"/>
          <w:szCs w:val="24"/>
        </w:rPr>
        <w:t>,</w:t>
      </w:r>
      <w:r w:rsidR="00362ABF" w:rsidRPr="0006721E">
        <w:rPr>
          <w:rFonts w:ascii="Times New Roman" w:hAnsi="Times New Roman" w:cs="Times New Roman"/>
          <w:sz w:val="24"/>
          <w:szCs w:val="24"/>
        </w:rPr>
        <w:t xml:space="preserve"> and in part</w:t>
      </w:r>
      <w:r w:rsidR="002908DA">
        <w:rPr>
          <w:rFonts w:ascii="Times New Roman" w:hAnsi="Times New Roman" w:cs="Times New Roman"/>
          <w:sz w:val="24"/>
          <w:szCs w:val="24"/>
        </w:rPr>
        <w:t>,</w:t>
      </w:r>
      <w:r w:rsidR="00362ABF" w:rsidRPr="0006721E">
        <w:rPr>
          <w:rFonts w:ascii="Times New Roman" w:hAnsi="Times New Roman" w:cs="Times New Roman"/>
          <w:sz w:val="24"/>
          <w:szCs w:val="24"/>
        </w:rPr>
        <w:t xml:space="preserve"> their superior performance is attributed to the drift in their investment styles.</w:t>
      </w:r>
      <w:r w:rsidR="008B29F3">
        <w:rPr>
          <w:rFonts w:ascii="Times New Roman" w:hAnsi="Times New Roman" w:cs="Times New Roman"/>
          <w:sz w:val="24"/>
          <w:szCs w:val="24"/>
        </w:rPr>
        <w:t xml:space="preserve"> These observations remain consistent for stages 4, 5, and 6, highlighting that </w:t>
      </w:r>
      <w:r w:rsidR="00804260">
        <w:rPr>
          <w:rFonts w:ascii="Times New Roman" w:hAnsi="Times New Roman" w:cs="Times New Roman"/>
          <w:sz w:val="24"/>
          <w:szCs w:val="24"/>
        </w:rPr>
        <w:t xml:space="preserve">Islamic fund managers remained proactive </w:t>
      </w:r>
      <w:r w:rsidR="00F33C17">
        <w:rPr>
          <w:rFonts w:ascii="Times New Roman" w:hAnsi="Times New Roman" w:cs="Times New Roman"/>
          <w:sz w:val="24"/>
          <w:szCs w:val="24"/>
        </w:rPr>
        <w:t>throughout these turbulent times</w:t>
      </w:r>
      <w:r w:rsidR="009700D8">
        <w:rPr>
          <w:rFonts w:ascii="Times New Roman" w:hAnsi="Times New Roman" w:cs="Times New Roman"/>
          <w:sz w:val="24"/>
          <w:szCs w:val="24"/>
        </w:rPr>
        <w:t xml:space="preserve"> by continuously updating their investment exposures. </w:t>
      </w:r>
      <w:r w:rsidR="00F33C17">
        <w:rPr>
          <w:rFonts w:ascii="Times New Roman" w:hAnsi="Times New Roman" w:cs="Times New Roman"/>
          <w:sz w:val="24"/>
          <w:szCs w:val="24"/>
        </w:rPr>
        <w:t xml:space="preserve"> </w:t>
      </w:r>
    </w:p>
    <w:p w14:paraId="1F384022" w14:textId="77777777" w:rsidR="00223272" w:rsidRDefault="00302A55" w:rsidP="007E31F1">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t xml:space="preserve">We present our results on volatility timing in </w:t>
      </w:r>
      <w:r w:rsidR="00C03D43">
        <w:rPr>
          <w:rFonts w:ascii="Times New Roman" w:hAnsi="Times New Roman" w:cs="Times New Roman"/>
          <w:sz w:val="24"/>
          <w:szCs w:val="24"/>
        </w:rPr>
        <w:t>T</w:t>
      </w:r>
      <w:r w:rsidR="00C03D43" w:rsidRPr="0006721E">
        <w:rPr>
          <w:rFonts w:ascii="Times New Roman" w:hAnsi="Times New Roman" w:cs="Times New Roman"/>
          <w:sz w:val="24"/>
          <w:szCs w:val="24"/>
        </w:rPr>
        <w:t xml:space="preserve">able </w:t>
      </w:r>
      <w:r w:rsidR="00FB3229">
        <w:rPr>
          <w:rFonts w:ascii="Times New Roman" w:hAnsi="Times New Roman" w:cs="Times New Roman"/>
          <w:sz w:val="24"/>
          <w:szCs w:val="24"/>
        </w:rPr>
        <w:t>1</w:t>
      </w:r>
      <w:r w:rsidR="00FF4FF6">
        <w:rPr>
          <w:rFonts w:ascii="Times New Roman" w:hAnsi="Times New Roman" w:cs="Times New Roman"/>
          <w:sz w:val="24"/>
          <w:szCs w:val="24"/>
        </w:rPr>
        <w:t>3</w:t>
      </w:r>
      <w:r w:rsidRPr="0006721E">
        <w:rPr>
          <w:rFonts w:ascii="Times New Roman" w:hAnsi="Times New Roman" w:cs="Times New Roman"/>
          <w:sz w:val="24"/>
          <w:szCs w:val="24"/>
        </w:rPr>
        <w:t xml:space="preserve">. </w:t>
      </w:r>
      <w:r w:rsidR="00532F41" w:rsidRPr="0006721E">
        <w:rPr>
          <w:rFonts w:ascii="Times New Roman" w:hAnsi="Times New Roman" w:cs="Times New Roman"/>
          <w:sz w:val="24"/>
          <w:szCs w:val="24"/>
        </w:rPr>
        <w:t xml:space="preserve">Our findings suggest that </w:t>
      </w:r>
      <w:r w:rsidR="00E62205">
        <w:rPr>
          <w:rFonts w:ascii="Times New Roman" w:hAnsi="Times New Roman" w:cs="Times New Roman"/>
          <w:sz w:val="24"/>
          <w:szCs w:val="24"/>
        </w:rPr>
        <w:t xml:space="preserve">Islamic funds </w:t>
      </w:r>
      <w:r w:rsidR="00697987">
        <w:rPr>
          <w:rFonts w:ascii="Times New Roman" w:hAnsi="Times New Roman" w:cs="Times New Roman"/>
          <w:sz w:val="24"/>
          <w:szCs w:val="24"/>
        </w:rPr>
        <w:t>successfully time</w:t>
      </w:r>
      <w:r w:rsidR="00E62205">
        <w:rPr>
          <w:rFonts w:ascii="Times New Roman" w:hAnsi="Times New Roman" w:cs="Times New Roman"/>
          <w:sz w:val="24"/>
          <w:szCs w:val="24"/>
        </w:rPr>
        <w:t xml:space="preserve"> the volatility for the entire period and during each stage</w:t>
      </w:r>
      <w:r w:rsidR="00532F41" w:rsidRPr="0006721E">
        <w:rPr>
          <w:rFonts w:ascii="Times New Roman" w:hAnsi="Times New Roman" w:cs="Times New Roman"/>
          <w:sz w:val="24"/>
          <w:szCs w:val="24"/>
        </w:rPr>
        <w:t xml:space="preserve">. </w:t>
      </w:r>
      <w:r w:rsidR="002908DA">
        <w:rPr>
          <w:rFonts w:ascii="Times New Roman" w:hAnsi="Times New Roman" w:cs="Times New Roman"/>
          <w:sz w:val="24"/>
          <w:szCs w:val="24"/>
        </w:rPr>
        <w:t>Funds demonstrate the maximum ability of volatility timing</w:t>
      </w:r>
      <w:r w:rsidR="0038159A" w:rsidRPr="0006721E">
        <w:rPr>
          <w:rFonts w:ascii="Times New Roman" w:hAnsi="Times New Roman" w:cs="Times New Roman"/>
          <w:sz w:val="24"/>
          <w:szCs w:val="24"/>
        </w:rPr>
        <w:t xml:space="preserve"> in Malaysia</w:t>
      </w:r>
      <w:r w:rsidR="002908DA">
        <w:rPr>
          <w:rFonts w:ascii="Times New Roman" w:hAnsi="Times New Roman" w:cs="Times New Roman"/>
          <w:sz w:val="24"/>
          <w:szCs w:val="24"/>
        </w:rPr>
        <w:t>,</w:t>
      </w:r>
      <w:r w:rsidR="0038159A" w:rsidRPr="0006721E">
        <w:rPr>
          <w:rFonts w:ascii="Times New Roman" w:hAnsi="Times New Roman" w:cs="Times New Roman"/>
          <w:sz w:val="24"/>
          <w:szCs w:val="24"/>
        </w:rPr>
        <w:t xml:space="preserve"> followed by those in Kuwait. The varying </w:t>
      </w:r>
      <w:r w:rsidR="0038159A" w:rsidRPr="0006721E">
        <w:rPr>
          <w:rFonts w:ascii="Times New Roman" w:hAnsi="Times New Roman" w:cs="Times New Roman"/>
          <w:sz w:val="24"/>
          <w:szCs w:val="24"/>
        </w:rPr>
        <w:lastRenderedPageBreak/>
        <w:t>magnitude of the coefficient suggest</w:t>
      </w:r>
      <w:r w:rsidR="002908DA">
        <w:rPr>
          <w:rFonts w:ascii="Times New Roman" w:hAnsi="Times New Roman" w:cs="Times New Roman"/>
          <w:sz w:val="24"/>
          <w:szCs w:val="24"/>
        </w:rPr>
        <w:t>s</w:t>
      </w:r>
      <w:r w:rsidR="0038159A" w:rsidRPr="0006721E">
        <w:rPr>
          <w:rFonts w:ascii="Times New Roman" w:hAnsi="Times New Roman" w:cs="Times New Roman"/>
          <w:sz w:val="24"/>
          <w:szCs w:val="24"/>
        </w:rPr>
        <w:t xml:space="preserve"> that as </w:t>
      </w:r>
      <w:r w:rsidR="00C03D43">
        <w:rPr>
          <w:rFonts w:ascii="Times New Roman" w:hAnsi="Times New Roman" w:cs="Times New Roman"/>
          <w:sz w:val="24"/>
          <w:szCs w:val="24"/>
        </w:rPr>
        <w:t xml:space="preserve">the first wave of </w:t>
      </w:r>
      <w:r w:rsidR="00C6356C">
        <w:rPr>
          <w:rFonts w:ascii="Times New Roman" w:hAnsi="Times New Roman" w:cs="Times New Roman"/>
          <w:sz w:val="24"/>
          <w:szCs w:val="24"/>
        </w:rPr>
        <w:t xml:space="preserve">the </w:t>
      </w:r>
      <w:r w:rsidR="00C03D43" w:rsidRPr="0006721E">
        <w:rPr>
          <w:rFonts w:ascii="Times New Roman" w:hAnsi="Times New Roman" w:cs="Times New Roman"/>
          <w:sz w:val="24"/>
          <w:szCs w:val="24"/>
        </w:rPr>
        <w:t>C</w:t>
      </w:r>
      <w:r w:rsidR="00C03D43">
        <w:rPr>
          <w:rFonts w:ascii="Times New Roman" w:hAnsi="Times New Roman" w:cs="Times New Roman"/>
          <w:sz w:val="24"/>
          <w:szCs w:val="24"/>
        </w:rPr>
        <w:t>OVID</w:t>
      </w:r>
      <w:r w:rsidR="0038159A" w:rsidRPr="0006721E">
        <w:rPr>
          <w:rFonts w:ascii="Times New Roman" w:hAnsi="Times New Roman" w:cs="Times New Roman"/>
          <w:sz w:val="24"/>
          <w:szCs w:val="24"/>
        </w:rPr>
        <w:t>-19</w:t>
      </w:r>
      <w:r w:rsidR="00C03D43">
        <w:rPr>
          <w:rFonts w:ascii="Times New Roman" w:hAnsi="Times New Roman" w:cs="Times New Roman"/>
          <w:sz w:val="24"/>
          <w:szCs w:val="24"/>
        </w:rPr>
        <w:t xml:space="preserve"> crisis</w:t>
      </w:r>
      <w:r w:rsidR="0038159A" w:rsidRPr="0006721E">
        <w:rPr>
          <w:rFonts w:ascii="Times New Roman" w:hAnsi="Times New Roman" w:cs="Times New Roman"/>
          <w:sz w:val="24"/>
          <w:szCs w:val="24"/>
        </w:rPr>
        <w:t xml:space="preserve"> progressed from stage</w:t>
      </w:r>
      <w:r w:rsidR="00223272">
        <w:rPr>
          <w:rFonts w:ascii="Times New Roman" w:hAnsi="Times New Roman" w:cs="Times New Roman"/>
          <w:sz w:val="24"/>
          <w:szCs w:val="24"/>
        </w:rPr>
        <w:t>s</w:t>
      </w:r>
      <w:r w:rsidR="0038159A" w:rsidRPr="0006721E">
        <w:rPr>
          <w:rFonts w:ascii="Times New Roman" w:hAnsi="Times New Roman" w:cs="Times New Roman"/>
          <w:sz w:val="24"/>
          <w:szCs w:val="24"/>
        </w:rPr>
        <w:t xml:space="preserve"> 1 to 2 and 3, </w:t>
      </w:r>
      <w:r w:rsidR="002908DA">
        <w:rPr>
          <w:rFonts w:ascii="Times New Roman" w:hAnsi="Times New Roman" w:cs="Times New Roman"/>
          <w:sz w:val="24"/>
          <w:szCs w:val="24"/>
        </w:rPr>
        <w:t>Islamic funds' volatility timing</w:t>
      </w:r>
      <w:r w:rsidR="0038159A" w:rsidRPr="0006721E">
        <w:rPr>
          <w:rFonts w:ascii="Times New Roman" w:hAnsi="Times New Roman" w:cs="Times New Roman"/>
          <w:sz w:val="24"/>
          <w:szCs w:val="24"/>
        </w:rPr>
        <w:t xml:space="preserve"> </w:t>
      </w:r>
      <w:r w:rsidR="002908DA">
        <w:rPr>
          <w:rFonts w:ascii="Times New Roman" w:hAnsi="Times New Roman" w:cs="Times New Roman"/>
          <w:sz w:val="24"/>
          <w:szCs w:val="24"/>
        </w:rPr>
        <w:t>increased</w:t>
      </w:r>
      <w:r w:rsidR="0038159A" w:rsidRPr="0006721E">
        <w:rPr>
          <w:rFonts w:ascii="Times New Roman" w:hAnsi="Times New Roman" w:cs="Times New Roman"/>
          <w:sz w:val="24"/>
          <w:szCs w:val="24"/>
        </w:rPr>
        <w:t>.</w:t>
      </w:r>
      <w:r w:rsidR="009B07AF">
        <w:rPr>
          <w:rFonts w:ascii="Times New Roman" w:hAnsi="Times New Roman" w:cs="Times New Roman"/>
          <w:sz w:val="24"/>
          <w:szCs w:val="24"/>
        </w:rPr>
        <w:t xml:space="preserve"> This continued for stages 4, 5</w:t>
      </w:r>
      <w:r w:rsidR="00223272">
        <w:rPr>
          <w:rFonts w:ascii="Times New Roman" w:hAnsi="Times New Roman" w:cs="Times New Roman"/>
          <w:sz w:val="24"/>
          <w:szCs w:val="24"/>
        </w:rPr>
        <w:t>,</w:t>
      </w:r>
      <w:r w:rsidR="009B07AF">
        <w:rPr>
          <w:rFonts w:ascii="Times New Roman" w:hAnsi="Times New Roman" w:cs="Times New Roman"/>
          <w:sz w:val="24"/>
          <w:szCs w:val="24"/>
        </w:rPr>
        <w:t xml:space="preserve"> and 6</w:t>
      </w:r>
      <w:r w:rsidR="00223272">
        <w:rPr>
          <w:rFonts w:ascii="Times New Roman" w:hAnsi="Times New Roman" w:cs="Times New Roman"/>
          <w:sz w:val="24"/>
          <w:szCs w:val="24"/>
        </w:rPr>
        <w:t>.</w:t>
      </w:r>
    </w:p>
    <w:p w14:paraId="2D6ADE95" w14:textId="135A7A92" w:rsidR="006528E4" w:rsidRDefault="0038159A" w:rsidP="007E31F1">
      <w:pPr>
        <w:spacing w:after="0" w:line="480" w:lineRule="auto"/>
        <w:ind w:firstLine="720"/>
        <w:jc w:val="both"/>
        <w:rPr>
          <w:rFonts w:ascii="Times New Roman" w:hAnsi="Times New Roman" w:cs="Times New Roman"/>
          <w:sz w:val="24"/>
          <w:szCs w:val="24"/>
        </w:rPr>
      </w:pPr>
      <w:r w:rsidRPr="0006721E">
        <w:rPr>
          <w:rFonts w:ascii="Times New Roman" w:hAnsi="Times New Roman" w:cs="Times New Roman"/>
          <w:sz w:val="24"/>
          <w:szCs w:val="24"/>
        </w:rPr>
        <w:t>On the contrary, for conventional funds</w:t>
      </w:r>
      <w:r w:rsidR="002908DA">
        <w:rPr>
          <w:rFonts w:ascii="Times New Roman" w:hAnsi="Times New Roman" w:cs="Times New Roman"/>
          <w:sz w:val="24"/>
          <w:szCs w:val="24"/>
        </w:rPr>
        <w:t>,</w:t>
      </w:r>
      <w:r w:rsidRPr="0006721E">
        <w:rPr>
          <w:rFonts w:ascii="Times New Roman" w:hAnsi="Times New Roman" w:cs="Times New Roman"/>
          <w:sz w:val="24"/>
          <w:szCs w:val="24"/>
        </w:rPr>
        <w:t xml:space="preserve"> we only observe evidence of volatility timing during stage 3.</w:t>
      </w:r>
      <w:r w:rsidR="001A34B4" w:rsidRPr="0006721E">
        <w:rPr>
          <w:rFonts w:ascii="Times New Roman" w:hAnsi="Times New Roman" w:cs="Times New Roman"/>
          <w:sz w:val="24"/>
          <w:szCs w:val="24"/>
        </w:rPr>
        <w:t xml:space="preserve"> This is possibly the reason why some of </w:t>
      </w:r>
      <w:r w:rsidR="002908DA">
        <w:rPr>
          <w:rFonts w:ascii="Times New Roman" w:hAnsi="Times New Roman" w:cs="Times New Roman"/>
          <w:sz w:val="24"/>
          <w:szCs w:val="24"/>
        </w:rPr>
        <w:t xml:space="preserve">the </w:t>
      </w:r>
      <w:r w:rsidR="001A34B4" w:rsidRPr="0006721E">
        <w:rPr>
          <w:rFonts w:ascii="Times New Roman" w:hAnsi="Times New Roman" w:cs="Times New Roman"/>
          <w:sz w:val="24"/>
          <w:szCs w:val="24"/>
        </w:rPr>
        <w:t xml:space="preserve">Islamic funds in our sample have positive Jensen’s alpha in stage 3. </w:t>
      </w:r>
      <w:r w:rsidR="00223272">
        <w:rPr>
          <w:rFonts w:ascii="Times New Roman" w:hAnsi="Times New Roman" w:cs="Times New Roman"/>
          <w:sz w:val="24"/>
          <w:szCs w:val="24"/>
        </w:rPr>
        <w:t>However, we could not deduc</w:t>
      </w:r>
      <w:r w:rsidR="003845D4">
        <w:rPr>
          <w:rFonts w:ascii="Times New Roman" w:hAnsi="Times New Roman" w:cs="Times New Roman"/>
          <w:sz w:val="24"/>
          <w:szCs w:val="24"/>
        </w:rPr>
        <w:t xml:space="preserve">e evidence of volatility timing for stages 4, 5, and 6. </w:t>
      </w:r>
      <w:r w:rsidRPr="0006721E">
        <w:rPr>
          <w:rFonts w:ascii="Times New Roman" w:hAnsi="Times New Roman" w:cs="Times New Roman"/>
          <w:sz w:val="24"/>
          <w:szCs w:val="24"/>
        </w:rPr>
        <w:t xml:space="preserve"> </w:t>
      </w:r>
      <w:r w:rsidR="001A34B4" w:rsidRPr="0006721E">
        <w:rPr>
          <w:rFonts w:ascii="Times New Roman" w:hAnsi="Times New Roman" w:cs="Times New Roman"/>
          <w:sz w:val="24"/>
          <w:szCs w:val="24"/>
        </w:rPr>
        <w:t xml:space="preserve">Nevertheless, we believe that </w:t>
      </w:r>
      <w:r w:rsidR="002908DA">
        <w:rPr>
          <w:rFonts w:ascii="Times New Roman" w:hAnsi="Times New Roman" w:cs="Times New Roman"/>
          <w:sz w:val="24"/>
          <w:szCs w:val="24"/>
        </w:rPr>
        <w:t>Islamic funds' ability</w:t>
      </w:r>
      <w:r w:rsidR="000175AF" w:rsidRPr="0006721E">
        <w:rPr>
          <w:rFonts w:ascii="Times New Roman" w:hAnsi="Times New Roman" w:cs="Times New Roman"/>
          <w:sz w:val="24"/>
          <w:szCs w:val="24"/>
        </w:rPr>
        <w:t xml:space="preserve"> to adequately time the volatility</w:t>
      </w:r>
      <w:r w:rsidR="008C6AD2" w:rsidRPr="0006721E">
        <w:rPr>
          <w:rFonts w:ascii="Times New Roman" w:hAnsi="Times New Roman" w:cs="Times New Roman"/>
          <w:sz w:val="24"/>
          <w:szCs w:val="24"/>
        </w:rPr>
        <w:t xml:space="preserve"> and optimizing portfolio risk</w:t>
      </w:r>
      <w:r w:rsidR="000175AF" w:rsidRPr="0006721E">
        <w:rPr>
          <w:rFonts w:ascii="Times New Roman" w:hAnsi="Times New Roman" w:cs="Times New Roman"/>
          <w:sz w:val="24"/>
          <w:szCs w:val="24"/>
        </w:rPr>
        <w:t xml:space="preserve"> resulted in the</w:t>
      </w:r>
      <w:r w:rsidR="001A34B4" w:rsidRPr="0006721E">
        <w:rPr>
          <w:rFonts w:ascii="Times New Roman" w:hAnsi="Times New Roman" w:cs="Times New Roman"/>
          <w:sz w:val="24"/>
          <w:szCs w:val="24"/>
        </w:rPr>
        <w:t>ir</w:t>
      </w:r>
      <w:r w:rsidR="000175AF" w:rsidRPr="0006721E">
        <w:rPr>
          <w:rFonts w:ascii="Times New Roman" w:hAnsi="Times New Roman" w:cs="Times New Roman"/>
          <w:sz w:val="24"/>
          <w:szCs w:val="24"/>
        </w:rPr>
        <w:t xml:space="preserve"> superior comparative performance</w:t>
      </w:r>
      <w:r w:rsidR="001A34B4" w:rsidRPr="0006721E">
        <w:rPr>
          <w:rFonts w:ascii="Times New Roman" w:hAnsi="Times New Roman" w:cs="Times New Roman"/>
          <w:sz w:val="24"/>
          <w:szCs w:val="24"/>
        </w:rPr>
        <w:t xml:space="preserve"> against conventional funds.</w:t>
      </w:r>
    </w:p>
    <w:p w14:paraId="51FB360E" w14:textId="192F927B" w:rsidR="00507293" w:rsidRDefault="00FB3229" w:rsidP="00F10D87">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[Table 1</w:t>
      </w:r>
      <w:r w:rsidR="00B0552A">
        <w:rPr>
          <w:rFonts w:ascii="Times New Roman" w:hAnsi="Times New Roman" w:cs="Times New Roman"/>
          <w:sz w:val="24"/>
          <w:szCs w:val="24"/>
        </w:rPr>
        <w:t>3</w:t>
      </w:r>
      <w:r>
        <w:rPr>
          <w:rFonts w:ascii="Times New Roman" w:hAnsi="Times New Roman" w:cs="Times New Roman"/>
          <w:sz w:val="24"/>
          <w:szCs w:val="24"/>
        </w:rPr>
        <w:t xml:space="preserve"> here]</w:t>
      </w:r>
    </w:p>
    <w:p w14:paraId="51132591" w14:textId="3820C1D2" w:rsidR="001A6CFE" w:rsidRDefault="001A6CFE" w:rsidP="00A11F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50A40" w:rsidRPr="004A0F59">
        <w:rPr>
          <w:rFonts w:ascii="Times New Roman" w:hAnsi="Times New Roman" w:cs="Times New Roman"/>
          <w:sz w:val="24"/>
          <w:szCs w:val="24"/>
          <w:highlight w:val="yellow"/>
        </w:rPr>
        <w:t xml:space="preserve">Our results demonstrate that Islamic funds </w:t>
      </w:r>
      <w:r w:rsidR="00277688" w:rsidRPr="004A0F59">
        <w:rPr>
          <w:rFonts w:ascii="Times New Roman" w:hAnsi="Times New Roman" w:cs="Times New Roman"/>
          <w:sz w:val="24"/>
          <w:szCs w:val="24"/>
          <w:highlight w:val="yellow"/>
        </w:rPr>
        <w:t>dominate their counterparts in terms of performance, abnormal returns</w:t>
      </w:r>
      <w:r w:rsidR="004C78EF" w:rsidRPr="004A0F59">
        <w:rPr>
          <w:rFonts w:ascii="Times New Roman" w:hAnsi="Times New Roman" w:cs="Times New Roman"/>
          <w:sz w:val="24"/>
          <w:szCs w:val="24"/>
          <w:highlight w:val="yellow"/>
        </w:rPr>
        <w:t>, and</w:t>
      </w:r>
      <w:r w:rsidR="0072372F" w:rsidRPr="004A0F59">
        <w:rPr>
          <w:rFonts w:ascii="Times New Roman" w:hAnsi="Times New Roman" w:cs="Times New Roman"/>
          <w:sz w:val="24"/>
          <w:szCs w:val="24"/>
          <w:highlight w:val="yellow"/>
        </w:rPr>
        <w:t xml:space="preserve"> volatility timing. </w:t>
      </w:r>
      <w:r w:rsidR="004C78EF" w:rsidRPr="004A0F59">
        <w:rPr>
          <w:rFonts w:ascii="Times New Roman" w:hAnsi="Times New Roman" w:cs="Times New Roman"/>
          <w:sz w:val="24"/>
          <w:szCs w:val="24"/>
          <w:highlight w:val="yellow"/>
        </w:rPr>
        <w:t xml:space="preserve">While the findings are mainly concentrated around the COVID-19 outbreak, </w:t>
      </w:r>
      <w:r w:rsidR="00D26250" w:rsidRPr="004A0F59">
        <w:rPr>
          <w:rFonts w:ascii="Times New Roman" w:hAnsi="Times New Roman" w:cs="Times New Roman"/>
          <w:sz w:val="24"/>
          <w:szCs w:val="24"/>
          <w:highlight w:val="yellow"/>
        </w:rPr>
        <w:t>the pattern is consistent even for 2019. The dominance of Islamic funds can be attributed to multiple factors.</w:t>
      </w:r>
      <w:r w:rsidR="003D6D88" w:rsidRPr="004A0F59">
        <w:rPr>
          <w:rFonts w:ascii="Times New Roman" w:hAnsi="Times New Roman" w:cs="Times New Roman"/>
          <w:sz w:val="24"/>
          <w:szCs w:val="24"/>
          <w:highlight w:val="yellow"/>
        </w:rPr>
        <w:t xml:space="preserve"> Foremost, as highlighted by </w:t>
      </w:r>
      <w:r w:rsidR="00BE2BE5" w:rsidRPr="004A0F59">
        <w:rPr>
          <w:rFonts w:ascii="Times New Roman" w:hAnsi="Times New Roman" w:cs="Times New Roman"/>
          <w:sz w:val="24"/>
          <w:szCs w:val="24"/>
          <w:highlight w:val="yellow"/>
        </w:rPr>
        <w:fldChar w:fldCharType="begin" w:fldLock="1"/>
      </w:r>
      <w:r w:rsidR="00923366" w:rsidRPr="004A0F59">
        <w:rPr>
          <w:rFonts w:ascii="Times New Roman" w:hAnsi="Times New Roman" w:cs="Times New Roman"/>
          <w:sz w:val="24"/>
          <w:szCs w:val="24"/>
          <w:highlight w:val="yellow"/>
        </w:rPr>
        <w:instrText>ADDIN CSL_CITATION {"citationItems":[{"id":"ITEM-1","itemData":{"DOI":"10.1016/j.rfe.2017.09.003","ISSN":"10583300","abstract":"Internationally-investing Islamic equity funds from developed Islamic and non-Islamic markets perform in general similar to the market. However, analyzing different market conditions, we provide evidence that funds domiciled in Islamic markets outperform their peers and funds from non-Islamic markets during market turmoil, irrespective of the applied performance measurement model. We suggest that this outperformance is owed to the expertise of fund managers from developed Islamic markets who operate in a financial environment that is driven by Islamic principles. Our results are robust with respect to the standard Fama-French three-factor and four-factor models as well as to the novel five-factor model.","author":[{"dropping-particle":"","family":"Lesser","given":"Kathrin","non-dropping-particle":"","parse-names":false,"suffix":""},{"dropping-particle":"","family":"Walkshäusl","given":"Christian","non-dropping-particle":"","parse-names":false,"suffix":""}],"container-title":"Review of Financial Economics","id":"ITEM-1","issue":"1","issued":{"date-parts":[["2018","9","29"]]},"publisher":"Wiley-Blackwell","title":"International islamic funds","type":"article-journal","volume":"36"},"uris":["http://www.mendeley.com/documents/?uuid=8175bd56-8f25-3363-8e05-2e4fffd21e63"]}],"mendeley":{"formattedCitation":"(Lesser &amp; Walkshäusl, 2018)","plainTextFormattedCitation":"(Lesser &amp; Walkshäusl, 2018)","previouslyFormattedCitation":"(Lesser &amp; Walkshäusl, 2018)"},"properties":{"noteIndex":0},"schema":"https://github.com/citation-style-language/schema/raw/master/csl-citation.json"}</w:instrText>
      </w:r>
      <w:r w:rsidR="00BE2BE5" w:rsidRPr="004A0F59">
        <w:rPr>
          <w:rFonts w:ascii="Times New Roman" w:hAnsi="Times New Roman" w:cs="Times New Roman"/>
          <w:sz w:val="24"/>
          <w:szCs w:val="24"/>
          <w:highlight w:val="yellow"/>
        </w:rPr>
        <w:fldChar w:fldCharType="separate"/>
      </w:r>
      <w:r w:rsidR="00BE2BE5" w:rsidRPr="004A0F59">
        <w:rPr>
          <w:rFonts w:ascii="Times New Roman" w:hAnsi="Times New Roman" w:cs="Times New Roman"/>
          <w:noProof/>
          <w:sz w:val="24"/>
          <w:szCs w:val="24"/>
          <w:highlight w:val="yellow"/>
        </w:rPr>
        <w:t>(Lesser &amp; Walkshäusl, 2018)</w:t>
      </w:r>
      <w:r w:rsidR="00BE2BE5" w:rsidRPr="004A0F59">
        <w:rPr>
          <w:rFonts w:ascii="Times New Roman" w:hAnsi="Times New Roman" w:cs="Times New Roman"/>
          <w:sz w:val="24"/>
          <w:szCs w:val="24"/>
          <w:highlight w:val="yellow"/>
        </w:rPr>
        <w:fldChar w:fldCharType="end"/>
      </w:r>
      <w:r w:rsidR="00BE2BE5" w:rsidRPr="004A0F59">
        <w:rPr>
          <w:rFonts w:ascii="Times New Roman" w:hAnsi="Times New Roman" w:cs="Times New Roman"/>
          <w:sz w:val="24"/>
          <w:szCs w:val="24"/>
          <w:highlight w:val="yellow"/>
        </w:rPr>
        <w:t>, the super</w:t>
      </w:r>
      <w:r w:rsidR="007D7241" w:rsidRPr="004A0F59">
        <w:rPr>
          <w:rFonts w:ascii="Times New Roman" w:hAnsi="Times New Roman" w:cs="Times New Roman"/>
          <w:sz w:val="24"/>
          <w:szCs w:val="24"/>
          <w:highlight w:val="yellow"/>
        </w:rPr>
        <w:t xml:space="preserve">ior performance stems from the expertise of fund managers </w:t>
      </w:r>
      <w:r w:rsidR="00E809D4" w:rsidRPr="004A0F59">
        <w:rPr>
          <w:rFonts w:ascii="Times New Roman" w:hAnsi="Times New Roman" w:cs="Times New Roman"/>
          <w:sz w:val="24"/>
          <w:szCs w:val="24"/>
          <w:highlight w:val="yellow"/>
        </w:rPr>
        <w:t>about</w:t>
      </w:r>
      <w:r w:rsidR="007D7241" w:rsidRPr="004A0F59">
        <w:rPr>
          <w:rFonts w:ascii="Times New Roman" w:hAnsi="Times New Roman" w:cs="Times New Roman"/>
          <w:sz w:val="24"/>
          <w:szCs w:val="24"/>
          <w:highlight w:val="yellow"/>
        </w:rPr>
        <w:t xml:space="preserve"> </w:t>
      </w:r>
      <w:r w:rsidR="00E809D4" w:rsidRPr="004A0F59">
        <w:rPr>
          <w:rFonts w:ascii="Times New Roman" w:hAnsi="Times New Roman" w:cs="Times New Roman"/>
          <w:sz w:val="24"/>
          <w:szCs w:val="24"/>
          <w:highlight w:val="yellow"/>
        </w:rPr>
        <w:t>Sharia</w:t>
      </w:r>
      <w:r w:rsidR="00C44E10" w:rsidRPr="004A0F59">
        <w:rPr>
          <w:rFonts w:ascii="Times New Roman" w:hAnsi="Times New Roman" w:cs="Times New Roman"/>
          <w:sz w:val="24"/>
          <w:szCs w:val="24"/>
          <w:highlight w:val="yellow"/>
        </w:rPr>
        <w:t>-</w:t>
      </w:r>
      <w:r w:rsidR="00E809D4" w:rsidRPr="004A0F59">
        <w:rPr>
          <w:rFonts w:ascii="Times New Roman" w:hAnsi="Times New Roman" w:cs="Times New Roman"/>
          <w:sz w:val="24"/>
          <w:szCs w:val="24"/>
          <w:highlight w:val="yellow"/>
        </w:rPr>
        <w:t>compl</w:t>
      </w:r>
      <w:r w:rsidR="00C44E10" w:rsidRPr="004A0F59">
        <w:rPr>
          <w:rFonts w:ascii="Times New Roman" w:hAnsi="Times New Roman" w:cs="Times New Roman"/>
          <w:sz w:val="24"/>
          <w:szCs w:val="24"/>
          <w:highlight w:val="yellow"/>
        </w:rPr>
        <w:t>ia</w:t>
      </w:r>
      <w:r w:rsidR="00E809D4" w:rsidRPr="004A0F59">
        <w:rPr>
          <w:rFonts w:ascii="Times New Roman" w:hAnsi="Times New Roman" w:cs="Times New Roman"/>
          <w:sz w:val="24"/>
          <w:szCs w:val="24"/>
          <w:highlight w:val="yellow"/>
        </w:rPr>
        <w:t>nt</w:t>
      </w:r>
      <w:r w:rsidR="00C44E10" w:rsidRPr="004A0F59">
        <w:rPr>
          <w:rFonts w:ascii="Times New Roman" w:hAnsi="Times New Roman" w:cs="Times New Roman"/>
          <w:sz w:val="24"/>
          <w:szCs w:val="24"/>
          <w:highlight w:val="yellow"/>
        </w:rPr>
        <w:t xml:space="preserve"> investments</w:t>
      </w:r>
      <w:r w:rsidR="00E773BF" w:rsidRPr="004A0F59">
        <w:rPr>
          <w:rFonts w:ascii="Times New Roman" w:hAnsi="Times New Roman" w:cs="Times New Roman"/>
          <w:sz w:val="24"/>
          <w:szCs w:val="24"/>
          <w:highlight w:val="yellow"/>
        </w:rPr>
        <w:t xml:space="preserve"> in countries with influential Islamic financial environments.</w:t>
      </w:r>
      <w:r w:rsidR="008E5FEB" w:rsidRPr="004A0F59">
        <w:rPr>
          <w:rFonts w:ascii="Times New Roman" w:hAnsi="Times New Roman" w:cs="Times New Roman"/>
          <w:sz w:val="24"/>
          <w:szCs w:val="24"/>
          <w:highlight w:val="yellow"/>
        </w:rPr>
        <w:t xml:space="preserve"> </w:t>
      </w:r>
      <w:r w:rsidR="005E6D8A" w:rsidRPr="004A0F59">
        <w:rPr>
          <w:rFonts w:ascii="Times New Roman" w:hAnsi="Times New Roman" w:cs="Times New Roman"/>
          <w:sz w:val="24"/>
          <w:szCs w:val="24"/>
          <w:highlight w:val="yellow"/>
        </w:rPr>
        <w:t xml:space="preserve">Furthermore, </w:t>
      </w:r>
      <w:r w:rsidR="008C3162" w:rsidRPr="004A0F59">
        <w:rPr>
          <w:rFonts w:ascii="Times New Roman" w:hAnsi="Times New Roman" w:cs="Times New Roman"/>
          <w:sz w:val="24"/>
          <w:szCs w:val="24"/>
          <w:highlight w:val="yellow"/>
        </w:rPr>
        <w:t>findings</w:t>
      </w:r>
      <w:r w:rsidR="009169C5" w:rsidRPr="004A0F59">
        <w:rPr>
          <w:rFonts w:ascii="Times New Roman" w:hAnsi="Times New Roman" w:cs="Times New Roman"/>
          <w:sz w:val="24"/>
          <w:szCs w:val="24"/>
          <w:highlight w:val="yellow"/>
        </w:rPr>
        <w:t xml:space="preserve"> </w:t>
      </w:r>
      <w:r w:rsidR="008C3162" w:rsidRPr="004A0F59">
        <w:rPr>
          <w:rFonts w:ascii="Times New Roman" w:hAnsi="Times New Roman" w:cs="Times New Roman"/>
          <w:sz w:val="24"/>
          <w:szCs w:val="24"/>
          <w:highlight w:val="yellow"/>
        </w:rPr>
        <w:t>of</w:t>
      </w:r>
      <w:r w:rsidR="00923366" w:rsidRPr="004A0F59">
        <w:rPr>
          <w:rFonts w:ascii="Times New Roman" w:hAnsi="Times New Roman" w:cs="Times New Roman"/>
          <w:sz w:val="24"/>
          <w:szCs w:val="24"/>
          <w:highlight w:val="yellow"/>
        </w:rPr>
        <w:t xml:space="preserve"> </w:t>
      </w:r>
      <w:r w:rsidR="00923366" w:rsidRPr="004A0F59">
        <w:rPr>
          <w:rFonts w:ascii="Times New Roman" w:hAnsi="Times New Roman" w:cs="Times New Roman"/>
          <w:sz w:val="24"/>
          <w:szCs w:val="24"/>
          <w:highlight w:val="yellow"/>
        </w:rPr>
        <w:fldChar w:fldCharType="begin" w:fldLock="1"/>
      </w:r>
      <w:r w:rsidR="00790C34" w:rsidRPr="004A0F59">
        <w:rPr>
          <w:rFonts w:ascii="Times New Roman" w:hAnsi="Times New Roman" w:cs="Times New Roman"/>
          <w:sz w:val="24"/>
          <w:szCs w:val="24"/>
          <w:highlight w:val="yellow"/>
        </w:rPr>
        <w:instrText>ADDIN CSL_CITATION {"citationItems":[{"id":"ITEM-1","itemData":{"DOI":"10.1016/j.frl.2019.101313","ISSN":"15446123","abstract":"This paper analyses the increasing practice of considering environmental, social, and governance (ESG) factors by conventional pension funds. We study whether the SRI (Social Responsible Investing) concerns are affecting traditional management. In an initial sample of 22 SRI and 221 conventional UK domestic equity pension funds from 2016 to 2018, we apply the nearest-neighbour matching to account for fund-characteristic differences, selecting 20 matched conventional funds. We then analyse the influence of fund characteristics on ESG fund scores, and the ESG-score impact on performance and flows with linear models. Our results show that the ESG scores of conventional and SRI funds are influenced by some common characteristics (age/turnover and expenses negatively/positively influence ESG scores), which are consistent with SRI features. Additionally, a higher ESG screening intensity provides greater return and larger flows. Nonetheless, SRI funds do not lose their identity, positively influencing into ESG scores to a greater extent and outperforming.","author":[{"dropping-particle":"","family":"Alda","given":"Mercedes","non-dropping-particle":"","parse-names":false,"suffix":""}],"container-title":"Finance Research Letters","id":"ITEM-1","issued":{"date-parts":[["2019","10","10"]]},"page":"101313","publisher":"Elsevier Ltd","title":"ESG fund scores in UK SRI and conventional pension funds: Are the ESG concerns of the SRI niche affecting the conventional mainstream?","type":"article-journal"},"uris":["http://www.mendeley.com/documents/?uuid=95b269f7-ab54-3529-8641-d6c794273c5d"]}],"mendeley":{"formattedCitation":"(Alda, 2019)","plainTextFormattedCitation":"(Alda, 2019)","previouslyFormattedCitation":"(Alda, 2019)"},"properties":{"noteIndex":0},"schema":"https://github.com/citation-style-language/schema/raw/master/csl-citation.json"}</w:instrText>
      </w:r>
      <w:r w:rsidR="00923366" w:rsidRPr="004A0F59">
        <w:rPr>
          <w:rFonts w:ascii="Times New Roman" w:hAnsi="Times New Roman" w:cs="Times New Roman"/>
          <w:sz w:val="24"/>
          <w:szCs w:val="24"/>
          <w:highlight w:val="yellow"/>
        </w:rPr>
        <w:fldChar w:fldCharType="separate"/>
      </w:r>
      <w:r w:rsidR="00923366" w:rsidRPr="004A0F59">
        <w:rPr>
          <w:rFonts w:ascii="Times New Roman" w:hAnsi="Times New Roman" w:cs="Times New Roman"/>
          <w:noProof/>
          <w:sz w:val="24"/>
          <w:szCs w:val="24"/>
          <w:highlight w:val="yellow"/>
        </w:rPr>
        <w:t>(Alda, 2019)</w:t>
      </w:r>
      <w:r w:rsidR="00923366" w:rsidRPr="004A0F59">
        <w:rPr>
          <w:rFonts w:ascii="Times New Roman" w:hAnsi="Times New Roman" w:cs="Times New Roman"/>
          <w:sz w:val="24"/>
          <w:szCs w:val="24"/>
          <w:highlight w:val="yellow"/>
        </w:rPr>
        <w:fldChar w:fldCharType="end"/>
      </w:r>
      <w:r w:rsidR="00790C34" w:rsidRPr="004A0F59">
        <w:rPr>
          <w:rFonts w:ascii="Times New Roman" w:hAnsi="Times New Roman" w:cs="Times New Roman"/>
          <w:sz w:val="24"/>
          <w:szCs w:val="24"/>
          <w:highlight w:val="yellow"/>
        </w:rPr>
        <w:t xml:space="preserve">, </w:t>
      </w:r>
      <w:r w:rsidR="00790C34" w:rsidRPr="004A0F59">
        <w:rPr>
          <w:rFonts w:ascii="Times New Roman" w:hAnsi="Times New Roman" w:cs="Times New Roman"/>
          <w:sz w:val="24"/>
          <w:szCs w:val="24"/>
          <w:highlight w:val="yellow"/>
        </w:rPr>
        <w:fldChar w:fldCharType="begin" w:fldLock="1"/>
      </w:r>
      <w:r w:rsidR="008C3162" w:rsidRPr="004A0F59">
        <w:rPr>
          <w:rFonts w:ascii="Times New Roman" w:hAnsi="Times New Roman" w:cs="Times New Roman"/>
          <w:sz w:val="24"/>
          <w:szCs w:val="24"/>
          <w:highlight w:val="yellow"/>
        </w:rPr>
        <w:instrText>ADDIN CSL_CITATION {"citationItems":[{"id":"ITEM-1","itemData":{"DOI":"10.1016/j.jbusres.2020.10.015","ISSN":"01482963","abstract":"Investors use ratings to make their investment decisions. In this paper we analyze whether the combination of qualitative and quantitative information allows the mutual funds to be identified that are able to beat their peers’. Our results show just a little evidence when we use ratings in isolation. The selection of mutual funds improves when we choose those with a positive Parent, Process and Price. Finally, the combination of Star (quantitative) and Analyst (qualitative) information as well as their pillars improves the screening of mutual funds.","author":[{"dropping-particle":"","family":"Otero-González","given":"Luis","non-dropping-particle":"","parse-names":false,"suffix":""},{"dropping-particle":"","family":"Durán-Santomil","given":"Pablo","non-dropping-particle":"","parse-names":false,"suffix":""}],"container-title":"Journal of Business Research","id":"ITEM-1","issued":{"date-parts":[["2021","2","1"]]},"page":"476-488","publisher":"Elsevier Inc.","title":"Is quantitative and qualitative information relevant for choosing mutual funds?","type":"article-journal","volume":"123"},"uris":["http://www.mendeley.com/documents/?uuid=c21b1fc7-fa85-3726-9ef9-52e11409808d"]}],"mendeley":{"formattedCitation":"(Otero-González &amp; Durán-Santomil, 2021)","plainTextFormattedCitation":"(Otero-González &amp; Durán-Santomil, 2021)","previouslyFormattedCitation":"(Otero-González &amp; Durán-Santomil, 2021)"},"properties":{"noteIndex":0},"schema":"https://github.com/citation-style-language/schema/raw/master/csl-citation.json"}</w:instrText>
      </w:r>
      <w:r w:rsidR="00790C34" w:rsidRPr="004A0F59">
        <w:rPr>
          <w:rFonts w:ascii="Times New Roman" w:hAnsi="Times New Roman" w:cs="Times New Roman"/>
          <w:sz w:val="24"/>
          <w:szCs w:val="24"/>
          <w:highlight w:val="yellow"/>
        </w:rPr>
        <w:fldChar w:fldCharType="separate"/>
      </w:r>
      <w:r w:rsidR="00790C34" w:rsidRPr="004A0F59">
        <w:rPr>
          <w:rFonts w:ascii="Times New Roman" w:hAnsi="Times New Roman" w:cs="Times New Roman"/>
          <w:noProof/>
          <w:sz w:val="24"/>
          <w:szCs w:val="24"/>
          <w:highlight w:val="yellow"/>
        </w:rPr>
        <w:t>(Otero-González &amp; Durán-Santomil, 2021)</w:t>
      </w:r>
      <w:r w:rsidR="00790C34" w:rsidRPr="004A0F59">
        <w:rPr>
          <w:rFonts w:ascii="Times New Roman" w:hAnsi="Times New Roman" w:cs="Times New Roman"/>
          <w:sz w:val="24"/>
          <w:szCs w:val="24"/>
          <w:highlight w:val="yellow"/>
        </w:rPr>
        <w:fldChar w:fldCharType="end"/>
      </w:r>
      <w:r w:rsidR="005A18BD" w:rsidRPr="004A0F59">
        <w:rPr>
          <w:rFonts w:ascii="Times New Roman" w:hAnsi="Times New Roman" w:cs="Times New Roman"/>
          <w:sz w:val="24"/>
          <w:szCs w:val="24"/>
          <w:highlight w:val="yellow"/>
        </w:rPr>
        <w:t xml:space="preserve"> and </w:t>
      </w:r>
      <w:r w:rsidR="008C3162" w:rsidRPr="004A0F59">
        <w:rPr>
          <w:rFonts w:ascii="Times New Roman" w:hAnsi="Times New Roman" w:cs="Times New Roman"/>
          <w:sz w:val="24"/>
          <w:szCs w:val="24"/>
          <w:highlight w:val="yellow"/>
        </w:rPr>
        <w:fldChar w:fldCharType="begin" w:fldLock="1"/>
      </w:r>
      <w:r w:rsidR="00433820" w:rsidRPr="004A0F59">
        <w:rPr>
          <w:rFonts w:ascii="Times New Roman" w:hAnsi="Times New Roman" w:cs="Times New Roman"/>
          <w:sz w:val="24"/>
          <w:szCs w:val="24"/>
          <w:highlight w:val="yellow"/>
        </w:rPr>
        <w:instrText>ADDIN CSL_CITATION {"citationItems":[{"id":"ITEM-1","itemData":{"DOI":"10.1016/j.econmod.2017.07.007","ISSN":"02649993","abstract":"© 2017 Elsevier Ltd This study investigates the risk and return characteristics of Islamic funds in comparison with SRI and the conventional open-end mutual funds for the UK, which, having attracted over £11.7 billion in Islamic investment in the past decade has emerged as the largest financial market for Islamic funds in the west. In addition, contrasting with previous literature, this research categorizes SRI and Islamic funds into two distinct types in order to allow a fair comparison. Our findings demonstrate that Islamic and SRI funds in general perform close to the conventional funds with significantly better risk-return tradeoff in US focused funds. Results further indicate that the UK-based Islamic and SRI funds were less effected during financial crisis as the magnitude of loss was significantly lower for them when compared to conventional funds. The research suggests that Islamic and SRI funds do provide a rational substitute and investors can benefit from investing in these funds as ethic and faith-based screening criteria do not affect the returns of Islamic and SRI funds adversely. This was also substantiated by our findings on investment behavior of these funds.","author":[{"dropping-particle":"","family":"Reddy","given":"K.","non-dropping-particle":"","parse-names":false,"suffix":""},{"dropping-particle":"","family":"Mirza","given":"N.","non-dropping-particle":"","parse-names":false,"suffix":""},{"dropping-particle":"","family":"Naqvi","given":"B.","non-dropping-particle":"","parse-names":false,"suffix":""},{"dropping-particle":"","family":"Fu","given":"M.","non-dropping-particle":"","parse-names":false,"suffix":""}],"container-title":"Economic Modelling","id":"ITEM-1","issued":{"date-parts":[["2017"]]},"title":"Comparative risk adjusted performance of Islamic, socially responsible and conventional funds: Evidence from United Kingdom","type":"article-journal","volume":"66"},"uris":["http://www.mendeley.com/documents/?uuid=68aa89b8-68bb-31fe-af7c-519a6aa74db1"]}],"mendeley":{"formattedCitation":"(K. Reddy et al., 2017)","plainTextFormattedCitation":"(K. Reddy et al., 2017)","previouslyFormattedCitation":"(K. Reddy et al., 2017)"},"properties":{"noteIndex":0},"schema":"https://github.com/citation-style-language/schema/raw/master/csl-citation.json"}</w:instrText>
      </w:r>
      <w:r w:rsidR="008C3162" w:rsidRPr="004A0F59">
        <w:rPr>
          <w:rFonts w:ascii="Times New Roman" w:hAnsi="Times New Roman" w:cs="Times New Roman"/>
          <w:sz w:val="24"/>
          <w:szCs w:val="24"/>
          <w:highlight w:val="yellow"/>
        </w:rPr>
        <w:fldChar w:fldCharType="separate"/>
      </w:r>
      <w:r w:rsidR="008C3162" w:rsidRPr="004A0F59">
        <w:rPr>
          <w:rFonts w:ascii="Times New Roman" w:hAnsi="Times New Roman" w:cs="Times New Roman"/>
          <w:noProof/>
          <w:sz w:val="24"/>
          <w:szCs w:val="24"/>
          <w:highlight w:val="yellow"/>
        </w:rPr>
        <w:t>(K. Reddy et al., 2017)</w:t>
      </w:r>
      <w:r w:rsidR="008C3162" w:rsidRPr="004A0F59">
        <w:rPr>
          <w:rFonts w:ascii="Times New Roman" w:hAnsi="Times New Roman" w:cs="Times New Roman"/>
          <w:sz w:val="24"/>
          <w:szCs w:val="24"/>
          <w:highlight w:val="yellow"/>
        </w:rPr>
        <w:fldChar w:fldCharType="end"/>
      </w:r>
      <w:r w:rsidR="008C3162" w:rsidRPr="004A0F59">
        <w:rPr>
          <w:rFonts w:ascii="Times New Roman" w:hAnsi="Times New Roman" w:cs="Times New Roman"/>
          <w:sz w:val="24"/>
          <w:szCs w:val="24"/>
          <w:highlight w:val="yellow"/>
        </w:rPr>
        <w:t xml:space="preserve"> associated </w:t>
      </w:r>
      <w:proofErr w:type="spellStart"/>
      <w:r w:rsidR="008C3162" w:rsidRPr="004A0F59">
        <w:rPr>
          <w:rFonts w:ascii="Times New Roman" w:hAnsi="Times New Roman" w:cs="Times New Roman"/>
          <w:sz w:val="24"/>
          <w:szCs w:val="24"/>
          <w:highlight w:val="yellow"/>
        </w:rPr>
        <w:t>funds</w:t>
      </w:r>
      <w:proofErr w:type="spellEnd"/>
      <w:r w:rsidR="008C3162" w:rsidRPr="004A0F59">
        <w:rPr>
          <w:rFonts w:ascii="Times New Roman" w:hAnsi="Times New Roman" w:cs="Times New Roman"/>
          <w:sz w:val="24"/>
          <w:szCs w:val="24"/>
          <w:highlight w:val="yellow"/>
        </w:rPr>
        <w:t xml:space="preserve"> performance with the screening mechanism. This is where Islamic funds </w:t>
      </w:r>
      <w:r w:rsidR="00355A8E" w:rsidRPr="004A0F59">
        <w:rPr>
          <w:rFonts w:ascii="Times New Roman" w:hAnsi="Times New Roman" w:cs="Times New Roman"/>
          <w:sz w:val="24"/>
          <w:szCs w:val="24"/>
          <w:highlight w:val="yellow"/>
        </w:rPr>
        <w:t xml:space="preserve">stand out </w:t>
      </w:r>
      <w:r w:rsidR="00F022BE" w:rsidRPr="004A0F59">
        <w:rPr>
          <w:rFonts w:ascii="Times New Roman" w:hAnsi="Times New Roman" w:cs="Times New Roman"/>
          <w:sz w:val="24"/>
          <w:szCs w:val="24"/>
          <w:highlight w:val="yellow"/>
        </w:rPr>
        <w:t xml:space="preserve">from </w:t>
      </w:r>
      <w:r w:rsidR="00355A8E" w:rsidRPr="004A0F59">
        <w:rPr>
          <w:rFonts w:ascii="Times New Roman" w:hAnsi="Times New Roman" w:cs="Times New Roman"/>
          <w:sz w:val="24"/>
          <w:szCs w:val="24"/>
          <w:highlight w:val="yellow"/>
        </w:rPr>
        <w:t>their counterparts, given</w:t>
      </w:r>
      <w:r w:rsidR="008C3162" w:rsidRPr="004A0F59">
        <w:rPr>
          <w:rFonts w:ascii="Times New Roman" w:hAnsi="Times New Roman" w:cs="Times New Roman"/>
          <w:sz w:val="24"/>
          <w:szCs w:val="24"/>
          <w:highlight w:val="yellow"/>
        </w:rPr>
        <w:t xml:space="preserve"> </w:t>
      </w:r>
      <w:r w:rsidR="005E6D8A" w:rsidRPr="004A0F59">
        <w:rPr>
          <w:rFonts w:ascii="Times New Roman" w:hAnsi="Times New Roman" w:cs="Times New Roman"/>
          <w:sz w:val="24"/>
          <w:szCs w:val="24"/>
          <w:highlight w:val="yellow"/>
        </w:rPr>
        <w:t xml:space="preserve">the intense screening process </w:t>
      </w:r>
      <w:r w:rsidR="00355A8E" w:rsidRPr="004A0F59">
        <w:rPr>
          <w:rFonts w:ascii="Times New Roman" w:hAnsi="Times New Roman" w:cs="Times New Roman"/>
          <w:sz w:val="24"/>
          <w:szCs w:val="24"/>
          <w:highlight w:val="yellow"/>
        </w:rPr>
        <w:t xml:space="preserve">for compliance. </w:t>
      </w:r>
      <w:r w:rsidR="00433820" w:rsidRPr="004A0F59">
        <w:rPr>
          <w:rFonts w:ascii="Times New Roman" w:hAnsi="Times New Roman" w:cs="Times New Roman"/>
          <w:sz w:val="24"/>
          <w:szCs w:val="24"/>
          <w:highlight w:val="yellow"/>
        </w:rPr>
        <w:fldChar w:fldCharType="begin" w:fldLock="1"/>
      </w:r>
      <w:r w:rsidR="00445197" w:rsidRPr="004A0F59">
        <w:rPr>
          <w:rFonts w:ascii="Times New Roman" w:hAnsi="Times New Roman" w:cs="Times New Roman"/>
          <w:sz w:val="24"/>
          <w:szCs w:val="24"/>
          <w:highlight w:val="yellow"/>
        </w:rPr>
        <w:instrText>ADDIN CSL_CITATION {"citationItems":[{"id":"ITEM-1","itemData":{"DOI":"10.1016/j.qref.2018.03.013","ISSN":"10629769","abstract":"Where the performance of Islamic equity funds (IEFs) comes from? Is it from market movements, asset allocation policy or from active portfolio management? Our study is the first to tackle this question in the Islamic funds context. We use a database covering 281 IEFs for the period 2007-2016, and we test the role of each factor in explaining their returns. We find that market movements dominate the others components explaining nearly 50% of the monthly return variability and that, taking together, asset allocation policy and active management explain approximately the second half of IEFs returns. We argue that the IEFs underperformance observed by the existing literature could come from an inefficient and too important active portfolio management.","author":[{"dropping-particle":"","family":"Peillex","given":"Jonathan","non-dropping-particle":"","parse-names":false,"suffix":""},{"dropping-particle":"","family":"Erragragui","given":"Elias","non-dropping-particle":"","parse-names":false,"suffix":""},{"dropping-particle":"","family":"Bitar","given":"Mohammad","non-dropping-particle":"","parse-names":false,"suffix":""},{"dropping-particle":"","family":"Benlemlih","given":"Mohammed","non-dropping-particle":"","parse-names":false,"suffix":""}],"container-title":"Quarterly Review of Economics and Finance","id":"ITEM-1","issued":{"date-parts":[["2019","11","1"]]},"page":"32-38","publisher":"Elsevier B.V.","title":"The contribution of market movements, asset allocation and active management to Islamic equity funds’ performance","type":"article-journal","volume":"74"},"uris":["http://www.mendeley.com/documents/?uuid=f054f393-6636-3bd7-b774-d12f7327d2d7"]}],"mendeley":{"formattedCitation":"(Peillex et al., 2019)","plainTextFormattedCitation":"(Peillex et al., 2019)","previouslyFormattedCitation":"(Peillex et al., 2019)"},"properties":{"noteIndex":0},"schema":"https://github.com/citation-style-language/schema/raw/master/csl-citation.json"}</w:instrText>
      </w:r>
      <w:r w:rsidR="00433820" w:rsidRPr="004A0F59">
        <w:rPr>
          <w:rFonts w:ascii="Times New Roman" w:hAnsi="Times New Roman" w:cs="Times New Roman"/>
          <w:sz w:val="24"/>
          <w:szCs w:val="24"/>
          <w:highlight w:val="yellow"/>
        </w:rPr>
        <w:fldChar w:fldCharType="separate"/>
      </w:r>
      <w:r w:rsidR="00433820" w:rsidRPr="004A0F59">
        <w:rPr>
          <w:rFonts w:ascii="Times New Roman" w:hAnsi="Times New Roman" w:cs="Times New Roman"/>
          <w:noProof/>
          <w:sz w:val="24"/>
          <w:szCs w:val="24"/>
          <w:highlight w:val="yellow"/>
        </w:rPr>
        <w:t>(Peillex et al., 2019)</w:t>
      </w:r>
      <w:r w:rsidR="00433820" w:rsidRPr="004A0F59">
        <w:rPr>
          <w:rFonts w:ascii="Times New Roman" w:hAnsi="Times New Roman" w:cs="Times New Roman"/>
          <w:sz w:val="24"/>
          <w:szCs w:val="24"/>
          <w:highlight w:val="yellow"/>
        </w:rPr>
        <w:fldChar w:fldCharType="end"/>
      </w:r>
      <w:r w:rsidR="00485BB0" w:rsidRPr="004A0F59">
        <w:rPr>
          <w:rFonts w:ascii="Times New Roman" w:hAnsi="Times New Roman" w:cs="Times New Roman"/>
          <w:sz w:val="24"/>
          <w:szCs w:val="24"/>
          <w:highlight w:val="yellow"/>
        </w:rPr>
        <w:t xml:space="preserve"> attributed the performance of Islamic funds to </w:t>
      </w:r>
      <w:r w:rsidR="00C557EC" w:rsidRPr="004A0F59">
        <w:rPr>
          <w:rFonts w:ascii="Times New Roman" w:hAnsi="Times New Roman" w:cs="Times New Roman"/>
          <w:sz w:val="24"/>
          <w:szCs w:val="24"/>
          <w:highlight w:val="yellow"/>
        </w:rPr>
        <w:t xml:space="preserve">their asset </w:t>
      </w:r>
      <w:r w:rsidR="0083359D" w:rsidRPr="004A0F59">
        <w:rPr>
          <w:rFonts w:ascii="Times New Roman" w:hAnsi="Times New Roman" w:cs="Times New Roman"/>
          <w:sz w:val="24"/>
          <w:szCs w:val="24"/>
          <w:highlight w:val="yellow"/>
        </w:rPr>
        <w:t>distribution</w:t>
      </w:r>
      <w:r w:rsidR="00C557EC" w:rsidRPr="004A0F59">
        <w:rPr>
          <w:rFonts w:ascii="Times New Roman" w:hAnsi="Times New Roman" w:cs="Times New Roman"/>
          <w:sz w:val="24"/>
          <w:szCs w:val="24"/>
          <w:highlight w:val="yellow"/>
        </w:rPr>
        <w:t>. Our findings on style analysis confirm th</w:t>
      </w:r>
      <w:r w:rsidR="0083359D" w:rsidRPr="004A0F59">
        <w:rPr>
          <w:rFonts w:ascii="Times New Roman" w:hAnsi="Times New Roman" w:cs="Times New Roman"/>
          <w:sz w:val="24"/>
          <w:szCs w:val="24"/>
          <w:highlight w:val="yellow"/>
        </w:rPr>
        <w:t>is, and we observe a proactive transition across sectoral allocation throughout the sample period.</w:t>
      </w:r>
      <w:r w:rsidR="00445197" w:rsidRPr="004A0F59">
        <w:rPr>
          <w:rFonts w:ascii="Times New Roman" w:hAnsi="Times New Roman" w:cs="Times New Roman"/>
          <w:sz w:val="24"/>
          <w:szCs w:val="24"/>
          <w:highlight w:val="yellow"/>
        </w:rPr>
        <w:t xml:space="preserve"> </w:t>
      </w:r>
      <w:r w:rsidR="00445197" w:rsidRPr="004A0F59">
        <w:rPr>
          <w:rFonts w:ascii="Times New Roman" w:hAnsi="Times New Roman" w:cs="Times New Roman"/>
          <w:sz w:val="24"/>
          <w:szCs w:val="24"/>
          <w:highlight w:val="yellow"/>
        </w:rPr>
        <w:fldChar w:fldCharType="begin" w:fldLock="1"/>
      </w:r>
      <w:r w:rsidR="00E475C8" w:rsidRPr="004A0F59">
        <w:rPr>
          <w:rFonts w:ascii="Times New Roman" w:hAnsi="Times New Roman" w:cs="Times New Roman"/>
          <w:sz w:val="24"/>
          <w:szCs w:val="24"/>
          <w:highlight w:val="yellow"/>
        </w:rPr>
        <w:instrText>ADDIN CSL_CITATION {"citationItems":[{"id":"ITEM-1","itemData":{"DOI":"10.1016/j.pacfin.2016.01.004","ISSN":"0927538X","abstract":"Contradictory results are documented in the literature regarding which type of mutual fund has superior performance; an Islamic or conventional mutual fund. Due to the relative short history of the Islamic mutual funds’ industry, prior literature has inevitably relied on a small sample size with a short sample period. With the longest applicable sample period, this study represents one of the most recent attempts to address this conflicting evidence. We find there is no clear cut over performance by Islamic mutual funds against their conventional peers across the three financial crises in our sample period, with the exception of the most recent global financial crisis, where Islamic mutual funds generally outperformed their conventional counterparts. We further find that Islamic funds significantly outperformed conventional funds in the riskiest asset class, equity, one year before and during the global financial crisis. We further reveal that the modified value at risk for Islamic mutual funds was significantly lower than their conventional peers during the global financial crisis. This seems to indicate that Islamic mutual funds have better risk management compared to conventional peers.","author":[{"dropping-particle":"","family":"Boo","given":"Yee Ling","non-dropping-particle":"","parse-names":false,"suffix":""},{"dropping-particle":"","family":"Ee","given":"Mong Shan","non-dropping-particle":"","parse-names":false,"suffix":""},{"dropping-particle":"","family":"Li","given":"Bob","non-dropping-particle":"","parse-names":false,"suffix":""},{"dropping-particle":"","family":"Rashid","given":"Mamunur","non-dropping-particle":"","parse-names":false,"suffix":""}],"container-title":"Pacific Basin Finance Journal","id":"ITEM-1","issued":{"date-parts":[["2017","4","1"]]},"page":"183-192","publisher":"Elsevier B.V.","title":"Islamic or conventional mutual funds: Who has the upper hand? Evidence from Malaysia","type":"article-journal","volume":"42"},"uris":["http://www.mendeley.com/documents/?uuid=c368f1e8-6bc2-3234-94a5-abd3de1f7c90"]}],"mendeley":{"formattedCitation":"(Boo et al., 2017)","plainTextFormattedCitation":"(Boo et al., 2017)","previouslyFormattedCitation":"(Boo et al., 2017)"},"properties":{"noteIndex":0},"schema":"https://github.com/citation-style-language/schema/raw/master/csl-citation.json"}</w:instrText>
      </w:r>
      <w:r w:rsidR="00445197" w:rsidRPr="004A0F59">
        <w:rPr>
          <w:rFonts w:ascii="Times New Roman" w:hAnsi="Times New Roman" w:cs="Times New Roman"/>
          <w:sz w:val="24"/>
          <w:szCs w:val="24"/>
          <w:highlight w:val="yellow"/>
        </w:rPr>
        <w:fldChar w:fldCharType="separate"/>
      </w:r>
      <w:r w:rsidR="00445197" w:rsidRPr="004A0F59">
        <w:rPr>
          <w:rFonts w:ascii="Times New Roman" w:hAnsi="Times New Roman" w:cs="Times New Roman"/>
          <w:noProof/>
          <w:sz w:val="24"/>
          <w:szCs w:val="24"/>
          <w:highlight w:val="yellow"/>
        </w:rPr>
        <w:t>(Boo et al., 2017)</w:t>
      </w:r>
      <w:r w:rsidR="00445197" w:rsidRPr="004A0F59">
        <w:rPr>
          <w:rFonts w:ascii="Times New Roman" w:hAnsi="Times New Roman" w:cs="Times New Roman"/>
          <w:sz w:val="24"/>
          <w:szCs w:val="24"/>
          <w:highlight w:val="yellow"/>
        </w:rPr>
        <w:fldChar w:fldCharType="end"/>
      </w:r>
      <w:r w:rsidR="005A7A4C" w:rsidRPr="004A0F59">
        <w:rPr>
          <w:rFonts w:ascii="Times New Roman" w:hAnsi="Times New Roman" w:cs="Times New Roman"/>
          <w:sz w:val="24"/>
          <w:szCs w:val="24"/>
          <w:highlight w:val="yellow"/>
        </w:rPr>
        <w:t xml:space="preserve"> and </w:t>
      </w:r>
      <w:r w:rsidR="00B915DA" w:rsidRPr="004A0F59">
        <w:rPr>
          <w:rFonts w:ascii="Times New Roman" w:hAnsi="Times New Roman" w:cs="Times New Roman"/>
          <w:sz w:val="24"/>
          <w:szCs w:val="24"/>
          <w:highlight w:val="yellow"/>
        </w:rPr>
        <w:fldChar w:fldCharType="begin" w:fldLock="1"/>
      </w:r>
      <w:r w:rsidR="006843B0" w:rsidRPr="004A0F59">
        <w:rPr>
          <w:rFonts w:ascii="Times New Roman" w:hAnsi="Times New Roman" w:cs="Times New Roman"/>
          <w:sz w:val="24"/>
          <w:szCs w:val="24"/>
          <w:highlight w:val="yellow"/>
        </w:rPr>
        <w:instrText>ADDIN CSL_CITATION {"citationItems":[{"id":"ITEM-1","itemData":{"DOI":"10.1016/j.jebo.2016.10.015","ISSN":"01672681","abstract":"Islamic funds are increasingly seen as an alternative to conventional funds, in part due to the growing prominence of Islamic finance. In contrast to most previous literature, this paper focuses on the countries of the Middle East and North African region (MENA), and compares the performance of Islamic and conventional funds during crisis and recovery periods. Results show that the relative performance of Islamic and conventional funds seem to be conditioned by several factors such as the (geographical) context in which the investment is made. Considering the entire MENA region, Islamic funds perform, on average, slightly worse than conventional funds. However, if the analysis is restricted to Gulf Cooperation Council (GCC) countries, the result opposite is found. In addition, the performance gap between the two types of funds either widens or shrinks when considering recovery or crisis times, providing evidence that Islamic funds are more stable in times of distress.","author":[{"dropping-particle":"","family":"El-Masry","given":"Ahmed A.","non-dropping-particle":"","parse-names":false,"suffix":""},{"dropping-particle":"","family":"Mingo-López","given":"Diego Víctor","non-dropping-particle":"de","parse-names":false,"suffix":""},{"dropping-particle":"","family":"Matallín-Sáez","given":"Juan Carlos","non-dropping-particle":"","parse-names":false,"suffix":""},{"dropping-particle":"","family":"Tortosa-Ausina","given":"Emili","non-dropping-particle":"","parse-names":false,"suffix":""}],"container-title":"Journal of Economic Behavior and Organization","id":"ITEM-1","issued":{"date-parts":[["2016","12","1"]]},"page":"174-197","publisher":"Elsevier B.V.","title":"Environmental conditions, fund characteristics, and Islamic orientation: An analysis of mutual fund performance for the MENA region","type":"article-journal","volume":"132"},"uris":["http://www.mendeley.com/documents/?uuid=d5df2298-51af-355e-aa8a-302b3793f4c4"]}],"mendeley":{"formattedCitation":"(El-Masry et al., 2016)","plainTextFormattedCitation":"(El-Masry et al., 2016)","previouslyFormattedCitation":"(El-Masry et al., 2016)"},"properties":{"noteIndex":0},"schema":"https://github.com/citation-style-language/schema/raw/master/csl-citation.json"}</w:instrText>
      </w:r>
      <w:r w:rsidR="00B915DA" w:rsidRPr="004A0F59">
        <w:rPr>
          <w:rFonts w:ascii="Times New Roman" w:hAnsi="Times New Roman" w:cs="Times New Roman"/>
          <w:sz w:val="24"/>
          <w:szCs w:val="24"/>
          <w:highlight w:val="yellow"/>
        </w:rPr>
        <w:fldChar w:fldCharType="separate"/>
      </w:r>
      <w:r w:rsidR="00B915DA" w:rsidRPr="004A0F59">
        <w:rPr>
          <w:rFonts w:ascii="Times New Roman" w:hAnsi="Times New Roman" w:cs="Times New Roman"/>
          <w:noProof/>
          <w:sz w:val="24"/>
          <w:szCs w:val="24"/>
          <w:highlight w:val="yellow"/>
        </w:rPr>
        <w:t>(El-Masry et al., 2016)</w:t>
      </w:r>
      <w:r w:rsidR="00B915DA" w:rsidRPr="004A0F59">
        <w:rPr>
          <w:rFonts w:ascii="Times New Roman" w:hAnsi="Times New Roman" w:cs="Times New Roman"/>
          <w:sz w:val="24"/>
          <w:szCs w:val="24"/>
          <w:highlight w:val="yellow"/>
        </w:rPr>
        <w:fldChar w:fldCharType="end"/>
      </w:r>
      <w:r w:rsidR="006778B8" w:rsidRPr="004A0F59">
        <w:rPr>
          <w:rFonts w:ascii="Times New Roman" w:hAnsi="Times New Roman" w:cs="Times New Roman"/>
          <w:sz w:val="24"/>
          <w:szCs w:val="24"/>
          <w:highlight w:val="yellow"/>
        </w:rPr>
        <w:t xml:space="preserve"> posit that </w:t>
      </w:r>
      <w:r w:rsidR="003B2F89" w:rsidRPr="004A0F59">
        <w:rPr>
          <w:rFonts w:ascii="Times New Roman" w:hAnsi="Times New Roman" w:cs="Times New Roman"/>
          <w:sz w:val="24"/>
          <w:szCs w:val="24"/>
          <w:highlight w:val="yellow"/>
        </w:rPr>
        <w:t xml:space="preserve">the Islamic funds are likely to do better during the financial crisis due to lower risk. Our evidence </w:t>
      </w:r>
      <w:r w:rsidR="00B43866" w:rsidRPr="004A0F59">
        <w:rPr>
          <w:rFonts w:ascii="Times New Roman" w:hAnsi="Times New Roman" w:cs="Times New Roman"/>
          <w:sz w:val="24"/>
          <w:szCs w:val="24"/>
          <w:highlight w:val="yellow"/>
        </w:rPr>
        <w:t>suggests that the lower risk is a function of volatility timing</w:t>
      </w:r>
      <w:r w:rsidR="00B45984" w:rsidRPr="004A0F59">
        <w:rPr>
          <w:rFonts w:ascii="Times New Roman" w:hAnsi="Times New Roman" w:cs="Times New Roman"/>
          <w:sz w:val="24"/>
          <w:szCs w:val="24"/>
          <w:highlight w:val="yellow"/>
        </w:rPr>
        <w:t xml:space="preserve"> and it was largely absent for conventional funds. </w:t>
      </w:r>
      <w:r w:rsidR="00382503" w:rsidRPr="004A0F59">
        <w:rPr>
          <w:rFonts w:ascii="Times New Roman" w:hAnsi="Times New Roman" w:cs="Times New Roman"/>
          <w:sz w:val="24"/>
          <w:szCs w:val="24"/>
          <w:highlight w:val="yellow"/>
        </w:rPr>
        <w:t xml:space="preserve">Finally, </w:t>
      </w:r>
      <w:r w:rsidR="00330A7B" w:rsidRPr="004A0F59">
        <w:rPr>
          <w:rFonts w:ascii="Times New Roman" w:hAnsi="Times New Roman" w:cs="Times New Roman"/>
          <w:sz w:val="24"/>
          <w:szCs w:val="24"/>
          <w:highlight w:val="yellow"/>
        </w:rPr>
        <w:t xml:space="preserve">the </w:t>
      </w:r>
      <w:r w:rsidR="00A02878" w:rsidRPr="004A0F59">
        <w:rPr>
          <w:rFonts w:ascii="Times New Roman" w:hAnsi="Times New Roman" w:cs="Times New Roman"/>
          <w:sz w:val="24"/>
          <w:szCs w:val="24"/>
          <w:highlight w:val="yellow"/>
        </w:rPr>
        <w:t xml:space="preserve">performance of the Islamic funds </w:t>
      </w:r>
      <w:r w:rsidR="00AD247D" w:rsidRPr="004A0F59">
        <w:rPr>
          <w:rFonts w:ascii="Times New Roman" w:hAnsi="Times New Roman" w:cs="Times New Roman"/>
          <w:sz w:val="24"/>
          <w:szCs w:val="24"/>
          <w:highlight w:val="yellow"/>
        </w:rPr>
        <w:t xml:space="preserve">can be explained by the </w:t>
      </w:r>
      <w:proofErr w:type="spellStart"/>
      <w:r w:rsidR="00AD247D" w:rsidRPr="004A0F59">
        <w:rPr>
          <w:rFonts w:ascii="Times New Roman" w:hAnsi="Times New Roman" w:cs="Times New Roman"/>
          <w:sz w:val="24"/>
          <w:szCs w:val="24"/>
          <w:highlight w:val="yellow"/>
        </w:rPr>
        <w:t>clientle</w:t>
      </w:r>
      <w:proofErr w:type="spellEnd"/>
      <w:r w:rsidR="00AD247D" w:rsidRPr="004A0F59">
        <w:rPr>
          <w:rFonts w:ascii="Times New Roman" w:hAnsi="Times New Roman" w:cs="Times New Roman"/>
          <w:sz w:val="24"/>
          <w:szCs w:val="24"/>
          <w:highlight w:val="yellow"/>
        </w:rPr>
        <w:t xml:space="preserve"> effect </w:t>
      </w:r>
      <w:r w:rsidR="00E475C8" w:rsidRPr="004A0F59">
        <w:rPr>
          <w:rFonts w:ascii="Times New Roman" w:hAnsi="Times New Roman" w:cs="Times New Roman"/>
          <w:sz w:val="24"/>
          <w:szCs w:val="24"/>
          <w:highlight w:val="yellow"/>
        </w:rPr>
        <w:fldChar w:fldCharType="begin" w:fldLock="1"/>
      </w:r>
      <w:r w:rsidR="00B915DA" w:rsidRPr="004A0F59">
        <w:rPr>
          <w:rFonts w:ascii="Times New Roman" w:hAnsi="Times New Roman" w:cs="Times New Roman"/>
          <w:sz w:val="24"/>
          <w:szCs w:val="24"/>
          <w:highlight w:val="yellow"/>
        </w:rPr>
        <w:instrText>ADDIN CSL_CITATION {"citationItems":[{"id":"ITEM-1","itemData":{"DOI":"10.1016/j.pacfin.2015.10.006","ISSN":"0927538X","abstract":"This paper extends the existing literature by analysing the performance of Islamic vs conventional equities in a strategic asset allocation framework. I consider two types of investors: a faith-based investor and a conventional investor. The faith-based investor invests in shariah complaint equities only and excludes conventional equities from the asset menu. The conventional investor's asset menu comprises of both Islamic and conventional equities. The findings show that on a standalone basis Islamic equities exhibit both short-run and long-run desirable attributes for the faith-based investor. However, the results for the conventional investor show that the inclusion of conventional equities in the asset menu reduces the desirability of Islamic equities for short-run only. Thus, conventional equities are more desirable for long-run investors. The results are consistent for various levels of risk aversion. Another important finding is that exclusion of conventional equities from the asset menu of faith based investor results in substantial welfare losses.","author":[{"dropping-particle":"","family":"Umar","given":"Zaghum","non-dropping-particle":"","parse-names":false,"suffix":""}],"container-title":"Pacific Basin Finance Journal","id":"ITEM-1","issued":{"date-parts":[["2017","4","1"]]},"page":"1-10","publisher":"Elsevier B.V.","title":"Islamic vs conventional equities in a strategic asset allocation framework","type":"article-journal","volume":"42"},"uris":["http://www.mendeley.com/documents/?uuid=aa2744de-6811-3221-ab0c-165d424200be"]}],"mendeley":{"formattedCitation":"(Z. Umar, 2017)","plainTextFormattedCitation":"(Z. Umar, 2017)","previouslyFormattedCitation":"(Z. Umar, 2017)"},"properties":{"noteIndex":0},"schema":"https://github.com/citation-style-language/schema/raw/master/csl-citation.json"}</w:instrText>
      </w:r>
      <w:r w:rsidR="00E475C8" w:rsidRPr="004A0F59">
        <w:rPr>
          <w:rFonts w:ascii="Times New Roman" w:hAnsi="Times New Roman" w:cs="Times New Roman"/>
          <w:sz w:val="24"/>
          <w:szCs w:val="24"/>
          <w:highlight w:val="yellow"/>
        </w:rPr>
        <w:fldChar w:fldCharType="separate"/>
      </w:r>
      <w:r w:rsidR="00E475C8" w:rsidRPr="004A0F59">
        <w:rPr>
          <w:rFonts w:ascii="Times New Roman" w:hAnsi="Times New Roman" w:cs="Times New Roman"/>
          <w:noProof/>
          <w:sz w:val="24"/>
          <w:szCs w:val="24"/>
          <w:highlight w:val="yellow"/>
        </w:rPr>
        <w:t>(Z. Umar, 2017)</w:t>
      </w:r>
      <w:r w:rsidR="00E475C8" w:rsidRPr="004A0F59">
        <w:rPr>
          <w:rFonts w:ascii="Times New Roman" w:hAnsi="Times New Roman" w:cs="Times New Roman"/>
          <w:sz w:val="24"/>
          <w:szCs w:val="24"/>
          <w:highlight w:val="yellow"/>
        </w:rPr>
        <w:fldChar w:fldCharType="end"/>
      </w:r>
      <w:r w:rsidR="00E475C8" w:rsidRPr="004A0F59">
        <w:rPr>
          <w:rFonts w:ascii="Times New Roman" w:hAnsi="Times New Roman" w:cs="Times New Roman"/>
          <w:sz w:val="24"/>
          <w:szCs w:val="24"/>
          <w:highlight w:val="yellow"/>
        </w:rPr>
        <w:t xml:space="preserve">, especially in the short </w:t>
      </w:r>
      <w:r w:rsidR="00E475C8" w:rsidRPr="004A0F59">
        <w:rPr>
          <w:rFonts w:ascii="Times New Roman" w:hAnsi="Times New Roman" w:cs="Times New Roman"/>
          <w:sz w:val="24"/>
          <w:szCs w:val="24"/>
          <w:highlight w:val="yellow"/>
        </w:rPr>
        <w:lastRenderedPageBreak/>
        <w:t>term.</w:t>
      </w:r>
      <w:r w:rsidR="00B915DA" w:rsidRPr="004A0F59">
        <w:rPr>
          <w:rFonts w:ascii="Times New Roman" w:hAnsi="Times New Roman" w:cs="Times New Roman"/>
          <w:sz w:val="24"/>
          <w:szCs w:val="24"/>
          <w:highlight w:val="yellow"/>
        </w:rPr>
        <w:t xml:space="preserve"> </w:t>
      </w:r>
      <w:r w:rsidR="008C67F8" w:rsidRPr="004A0F59">
        <w:rPr>
          <w:rFonts w:ascii="Times New Roman" w:hAnsi="Times New Roman" w:cs="Times New Roman"/>
          <w:sz w:val="24"/>
          <w:szCs w:val="24"/>
          <w:highlight w:val="yellow"/>
        </w:rPr>
        <w:t xml:space="preserve">Therefore, investment in Islamic funds is </w:t>
      </w:r>
      <w:r w:rsidR="00C67B67" w:rsidRPr="004A0F59">
        <w:rPr>
          <w:rFonts w:ascii="Times New Roman" w:hAnsi="Times New Roman" w:cs="Times New Roman"/>
          <w:sz w:val="24"/>
          <w:szCs w:val="24"/>
          <w:highlight w:val="yellow"/>
        </w:rPr>
        <w:t>beneficial for faith-based investors and</w:t>
      </w:r>
      <w:r w:rsidR="00BD43DB" w:rsidRPr="004A0F59">
        <w:rPr>
          <w:rFonts w:ascii="Times New Roman" w:hAnsi="Times New Roman" w:cs="Times New Roman"/>
          <w:sz w:val="24"/>
          <w:szCs w:val="24"/>
          <w:highlight w:val="yellow"/>
        </w:rPr>
        <w:t xml:space="preserve"> </w:t>
      </w:r>
      <w:r w:rsidR="00B915DA" w:rsidRPr="004A0F59">
        <w:rPr>
          <w:rFonts w:ascii="Times New Roman" w:hAnsi="Times New Roman" w:cs="Times New Roman"/>
          <w:sz w:val="24"/>
          <w:szCs w:val="24"/>
          <w:highlight w:val="yellow"/>
        </w:rPr>
        <w:t>should</w:t>
      </w:r>
      <w:r w:rsidR="00BD43DB" w:rsidRPr="004A0F59">
        <w:rPr>
          <w:rFonts w:ascii="Times New Roman" w:hAnsi="Times New Roman" w:cs="Times New Roman"/>
          <w:sz w:val="24"/>
          <w:szCs w:val="24"/>
          <w:highlight w:val="yellow"/>
        </w:rPr>
        <w:t xml:space="preserve"> be considered by conventional participants </w:t>
      </w:r>
      <w:r w:rsidR="004E7797" w:rsidRPr="004A0F59">
        <w:rPr>
          <w:rFonts w:ascii="Times New Roman" w:hAnsi="Times New Roman" w:cs="Times New Roman"/>
          <w:sz w:val="24"/>
          <w:szCs w:val="24"/>
          <w:highlight w:val="yellow"/>
        </w:rPr>
        <w:t>as shock absorbers.</w:t>
      </w:r>
      <w:r w:rsidR="00B915DA" w:rsidRPr="004A0F59">
        <w:rPr>
          <w:rFonts w:ascii="Times New Roman" w:hAnsi="Times New Roman" w:cs="Times New Roman"/>
          <w:sz w:val="24"/>
          <w:szCs w:val="24"/>
          <w:highlight w:val="yellow"/>
        </w:rPr>
        <w:t xml:space="preserve"> </w:t>
      </w:r>
      <w:r w:rsidR="004E59EA" w:rsidRPr="004A0F59">
        <w:rPr>
          <w:rFonts w:ascii="Times New Roman" w:hAnsi="Times New Roman" w:cs="Times New Roman"/>
          <w:sz w:val="24"/>
          <w:szCs w:val="24"/>
          <w:highlight w:val="yellow"/>
        </w:rPr>
        <w:t>This is where we would like to caution our readers</w:t>
      </w:r>
      <w:r w:rsidR="00B14C15" w:rsidRPr="004A0F59">
        <w:rPr>
          <w:rFonts w:ascii="Times New Roman" w:hAnsi="Times New Roman" w:cs="Times New Roman"/>
          <w:sz w:val="24"/>
          <w:szCs w:val="24"/>
          <w:highlight w:val="yellow"/>
        </w:rPr>
        <w:t xml:space="preserve"> about a limitation of this study</w:t>
      </w:r>
      <w:r w:rsidR="004E59EA" w:rsidRPr="004A0F59">
        <w:rPr>
          <w:rFonts w:ascii="Times New Roman" w:hAnsi="Times New Roman" w:cs="Times New Roman"/>
          <w:sz w:val="24"/>
          <w:szCs w:val="24"/>
          <w:highlight w:val="yellow"/>
        </w:rPr>
        <w:t xml:space="preserve">. </w:t>
      </w:r>
      <w:r w:rsidR="002E7540" w:rsidRPr="004A0F59">
        <w:rPr>
          <w:rFonts w:ascii="Times New Roman" w:hAnsi="Times New Roman" w:cs="Times New Roman"/>
          <w:sz w:val="24"/>
          <w:szCs w:val="24"/>
          <w:highlight w:val="yellow"/>
        </w:rPr>
        <w:t>As our study is in the context of the COVID-19 outbreak, o</w:t>
      </w:r>
      <w:r w:rsidR="00755E9F" w:rsidRPr="004A0F59">
        <w:rPr>
          <w:rFonts w:ascii="Times New Roman" w:hAnsi="Times New Roman" w:cs="Times New Roman"/>
          <w:sz w:val="24"/>
          <w:szCs w:val="24"/>
          <w:highlight w:val="yellow"/>
        </w:rPr>
        <w:t xml:space="preserve">ur assessment is primarily </w:t>
      </w:r>
      <w:r w:rsidR="002E7540" w:rsidRPr="004A0F59">
        <w:rPr>
          <w:rFonts w:ascii="Times New Roman" w:hAnsi="Times New Roman" w:cs="Times New Roman"/>
          <w:sz w:val="24"/>
          <w:szCs w:val="24"/>
          <w:highlight w:val="yellow"/>
        </w:rPr>
        <w:t>limited to equity funds. This is because</w:t>
      </w:r>
      <w:r w:rsidR="006843B0" w:rsidRPr="004A0F59">
        <w:rPr>
          <w:rFonts w:ascii="Times New Roman" w:hAnsi="Times New Roman" w:cs="Times New Roman"/>
          <w:sz w:val="24"/>
          <w:szCs w:val="24"/>
          <w:highlight w:val="yellow"/>
        </w:rPr>
        <w:t>,</w:t>
      </w:r>
      <w:r w:rsidR="002E7540" w:rsidRPr="004A0F59">
        <w:rPr>
          <w:rFonts w:ascii="Times New Roman" w:hAnsi="Times New Roman" w:cs="Times New Roman"/>
          <w:sz w:val="24"/>
          <w:szCs w:val="24"/>
          <w:highlight w:val="yellow"/>
        </w:rPr>
        <w:t xml:space="preserve"> </w:t>
      </w:r>
      <w:r w:rsidR="001F34CC" w:rsidRPr="004A0F59">
        <w:rPr>
          <w:rFonts w:ascii="Times New Roman" w:hAnsi="Times New Roman" w:cs="Times New Roman"/>
          <w:sz w:val="24"/>
          <w:szCs w:val="24"/>
          <w:highlight w:val="yellow"/>
        </w:rPr>
        <w:t xml:space="preserve">as noted by </w:t>
      </w:r>
      <w:r w:rsidR="006843B0" w:rsidRPr="004A0F59">
        <w:rPr>
          <w:rFonts w:ascii="Times New Roman" w:hAnsi="Times New Roman" w:cs="Times New Roman"/>
          <w:sz w:val="24"/>
          <w:szCs w:val="24"/>
          <w:highlight w:val="yellow"/>
        </w:rPr>
        <w:fldChar w:fldCharType="begin" w:fldLock="1"/>
      </w:r>
      <w:r w:rsidR="009D29E6" w:rsidRPr="004A0F59">
        <w:rPr>
          <w:rFonts w:ascii="Times New Roman" w:hAnsi="Times New Roman" w:cs="Times New Roman"/>
          <w:sz w:val="24"/>
          <w:szCs w:val="24"/>
          <w:highlight w:val="yellow"/>
        </w:rPr>
        <w:instrText>ADDIN CSL_CITATION {"citationItems":[{"id":"ITEM-1","itemData":{"DOI":"10.1016/j.frl.2020.101853","ISSN":"15446123","abstract":"Using a drifting spillover index approach (Diebold and Yilmaz, 2012) and a continuous time-frequency tool (Torrence and Webster, 1999), this paper attempts an empirical investigation of the spillovers and co-movements among commodity and stock prices in the major oil-producing and consuming countries. While our results point to the existence of a significant interdependence among the markets considered, Chinese and Saudi Arabian stock markets seem to be weakly integrated into the world market. Moreover, the spillovers are time-varying and reached their highest levels during the COVID-19 medical shock.","author":[{"dropping-particle":"Ben","family":"Amar","given":"Amine","non-dropping-particle":"","parse-names":false,"suffix":""},{"dropping-particle":"","family":"Belaid","given":"Fateh","non-dropping-particle":"","parse-names":false,"suffix":""},{"dropping-particle":"Ben","family":"Youssef","given":"Adel","non-dropping-particle":"","parse-names":false,"suffix":""},{"dropping-particle":"","family":"Chiao","given":"Benjamin","non-dropping-particle":"","parse-names":false,"suffix":""},{"dropping-particle":"","family":"Guesmi","given":"Khaled","non-dropping-particle":"","parse-names":false,"suffix":""}],"container-title":"Finance Research Letters","id":"ITEM-1","issued":{"date-parts":[["2021","1","1"]]},"page":"101853","publisher":"Elsevier Ltd","title":"The unprecedented reaction of equity and commodity markets to COVID-19","type":"article-journal","volume":"38"},"uris":["http://www.mendeley.com/documents/?uuid=91d1dec3-bd19-3608-95a2-3b5504f677e1"]}],"mendeley":{"formattedCitation":"(Amar et al., 2021)","plainTextFormattedCitation":"(Amar et al., 2021)","previouslyFormattedCitation":"(Amar et al., 2021)"},"properties":{"noteIndex":0},"schema":"https://github.com/citation-style-language/schema/raw/master/csl-citation.json"}</w:instrText>
      </w:r>
      <w:r w:rsidR="006843B0" w:rsidRPr="004A0F59">
        <w:rPr>
          <w:rFonts w:ascii="Times New Roman" w:hAnsi="Times New Roman" w:cs="Times New Roman"/>
          <w:sz w:val="24"/>
          <w:szCs w:val="24"/>
          <w:highlight w:val="yellow"/>
        </w:rPr>
        <w:fldChar w:fldCharType="separate"/>
      </w:r>
      <w:r w:rsidR="006843B0" w:rsidRPr="004A0F59">
        <w:rPr>
          <w:rFonts w:ascii="Times New Roman" w:hAnsi="Times New Roman" w:cs="Times New Roman"/>
          <w:noProof/>
          <w:sz w:val="24"/>
          <w:szCs w:val="24"/>
          <w:highlight w:val="yellow"/>
        </w:rPr>
        <w:t>(Amar et al., 2021)</w:t>
      </w:r>
      <w:r w:rsidR="006843B0" w:rsidRPr="004A0F59">
        <w:rPr>
          <w:rFonts w:ascii="Times New Roman" w:hAnsi="Times New Roman" w:cs="Times New Roman"/>
          <w:sz w:val="24"/>
          <w:szCs w:val="24"/>
          <w:highlight w:val="yellow"/>
        </w:rPr>
        <w:fldChar w:fldCharType="end"/>
      </w:r>
      <w:r w:rsidR="006843B0" w:rsidRPr="004A0F59">
        <w:rPr>
          <w:rFonts w:ascii="Times New Roman" w:hAnsi="Times New Roman" w:cs="Times New Roman"/>
          <w:sz w:val="24"/>
          <w:szCs w:val="24"/>
          <w:highlight w:val="yellow"/>
        </w:rPr>
        <w:t xml:space="preserve"> and </w:t>
      </w:r>
      <w:r w:rsidR="009D29E6" w:rsidRPr="004A0F59">
        <w:rPr>
          <w:rFonts w:ascii="Times New Roman" w:hAnsi="Times New Roman" w:cs="Times New Roman"/>
          <w:sz w:val="24"/>
          <w:szCs w:val="24"/>
          <w:highlight w:val="yellow"/>
        </w:rPr>
        <w:fldChar w:fldCharType="begin" w:fldLock="1"/>
      </w:r>
      <w:r w:rsidR="002A27B0" w:rsidRPr="004A0F59">
        <w:rPr>
          <w:rFonts w:ascii="Times New Roman" w:hAnsi="Times New Roman" w:cs="Times New Roman"/>
          <w:sz w:val="24"/>
          <w:szCs w:val="24"/>
          <w:highlight w:val="yellow"/>
        </w:rPr>
        <w:instrText>ADDIN CSL_CITATION {"citationItems":[{"id":"ITEM-1","itemData":{"DOI":"10.1016/j.frl.2021.102150","ISSN":"15446123","author":[{"dropping-particle":"","family":"Fry-McKibbin","given":"Renée","non-dropping-particle":"","parse-names":false,"suffix":""},{"dropping-particle":"","family":"Greenwood-Nimmo","given":"Matthew","non-dropping-particle":"","parse-names":false,"suffix":""},{"dropping-particle":"","family":"Hsiao","given":"Cody Yu-Ling","non-dropping-particle":"","parse-names":false,"suffix":""},{"dropping-particle":"","family":"Qi","given":"Lin","non-dropping-particle":"","parse-names":false,"suffix":""}],"container-title":"Finance Research Letters","id":"ITEM-1","issued":{"date-parts":[["2021","5","25"]]},"page":"102150","publisher":"Elsevier","title":"Higher-order comoment contagion among G20 equity markets during the COVID-19 pandemic","type":"article-journal"},"uris":["http://www.mendeley.com/documents/?uuid=bc3f3439-e7db-3ad2-98d2-5339204cddc4"]}],"mendeley":{"formattedCitation":"(Fry-McKibbin et al., 2021)","plainTextFormattedCitation":"(Fry-McKibbin et al., 2021)","previouslyFormattedCitation":"(Fry-McKibbin et al., 2021)"},"properties":{"noteIndex":0},"schema":"https://github.com/citation-style-language/schema/raw/master/csl-citation.json"}</w:instrText>
      </w:r>
      <w:r w:rsidR="009D29E6" w:rsidRPr="004A0F59">
        <w:rPr>
          <w:rFonts w:ascii="Times New Roman" w:hAnsi="Times New Roman" w:cs="Times New Roman"/>
          <w:sz w:val="24"/>
          <w:szCs w:val="24"/>
          <w:highlight w:val="yellow"/>
        </w:rPr>
        <w:fldChar w:fldCharType="separate"/>
      </w:r>
      <w:r w:rsidR="009D29E6" w:rsidRPr="004A0F59">
        <w:rPr>
          <w:rFonts w:ascii="Times New Roman" w:hAnsi="Times New Roman" w:cs="Times New Roman"/>
          <w:noProof/>
          <w:sz w:val="24"/>
          <w:szCs w:val="24"/>
          <w:highlight w:val="yellow"/>
        </w:rPr>
        <w:t>(Fry-McKibbin et al., 2021)</w:t>
      </w:r>
      <w:r w:rsidR="009D29E6" w:rsidRPr="004A0F59">
        <w:rPr>
          <w:rFonts w:ascii="Times New Roman" w:hAnsi="Times New Roman" w:cs="Times New Roman"/>
          <w:sz w:val="24"/>
          <w:szCs w:val="24"/>
          <w:highlight w:val="yellow"/>
        </w:rPr>
        <w:fldChar w:fldCharType="end"/>
      </w:r>
      <w:r w:rsidR="002F63FC" w:rsidRPr="004A0F59">
        <w:rPr>
          <w:rFonts w:ascii="Times New Roman" w:hAnsi="Times New Roman" w:cs="Times New Roman"/>
          <w:sz w:val="24"/>
          <w:szCs w:val="24"/>
          <w:highlight w:val="yellow"/>
        </w:rPr>
        <w:t>,</w:t>
      </w:r>
      <w:r w:rsidR="009D29E6" w:rsidRPr="004A0F59">
        <w:rPr>
          <w:rFonts w:ascii="Times New Roman" w:hAnsi="Times New Roman" w:cs="Times New Roman"/>
          <w:sz w:val="24"/>
          <w:szCs w:val="24"/>
          <w:highlight w:val="yellow"/>
        </w:rPr>
        <w:t xml:space="preserve"> the impact of COVID-19 was much more profound for equity markets</w:t>
      </w:r>
      <w:r w:rsidR="00685225" w:rsidRPr="004A0F59">
        <w:rPr>
          <w:rFonts w:ascii="Times New Roman" w:hAnsi="Times New Roman" w:cs="Times New Roman"/>
          <w:sz w:val="24"/>
          <w:szCs w:val="24"/>
          <w:highlight w:val="yellow"/>
        </w:rPr>
        <w:t xml:space="preserve"> than others, for example, fixed income </w:t>
      </w:r>
      <w:r w:rsidR="002A27B0" w:rsidRPr="004A0F59">
        <w:rPr>
          <w:rFonts w:ascii="Times New Roman" w:hAnsi="Times New Roman" w:cs="Times New Roman"/>
          <w:sz w:val="24"/>
          <w:szCs w:val="24"/>
          <w:highlight w:val="yellow"/>
        </w:rPr>
        <w:fldChar w:fldCharType="begin" w:fldLock="1"/>
      </w:r>
      <w:r w:rsidR="008E4646">
        <w:rPr>
          <w:rFonts w:ascii="Times New Roman" w:hAnsi="Times New Roman" w:cs="Times New Roman"/>
          <w:sz w:val="24"/>
          <w:szCs w:val="24"/>
          <w:highlight w:val="yellow"/>
        </w:rPr>
        <w:instrText>ADDIN CSL_CITATION {"citationItems":[{"id":"ITEM-1","itemData":{"DOI":"10.1016/j.frl.2020.101826","ISSN":"15446123","abstract":"We analyze liquidity of the emerging market (EM) bonds during the Covid-19 fueled uncertainty. Using bid/offer spreads we demonstrate that the apogee of both, liquidity and credit stresses is reached in late-March, and that although liquidity has improved since then, it has not yet returned to the pre-Covid levels. In particular, we find that the EM financials are more resilient to liquidity shocks than the EM corporates and sovereigns. Moreover, we observe a decoupling in the dynamics of the liquidity and credit risk metrics, as credit spreads have been tightening very slowly due to the Covid-19-triggered repricing of default risk.","author":[{"dropping-particle":"","family":"Gubareva","given":"Mariya","non-dropping-particle":"","parse-names":false,"suffix":""}],"container-title":"Finance Research Letters","id":"ITEM-1","issued":{"date-parts":[["2020","11","2"]]},"page":"101826","publisher":"Elsevier Ltd","title":"The impact of Covid-19 on liquidity of emerging market bonds","type":"article-journal"},"uris":["http://www.mendeley.com/documents/?uuid=67a7b2e1-6996-3dd3-be5c-0e592414e94c"]}],"mendeley":{"formattedCitation":"(Gubareva, 2020)","plainTextFormattedCitation":"(Gubareva, 2020)","previouslyFormattedCitation":"(Gubareva, 2020)"},"properties":{"noteIndex":0},"schema":"https://github.com/citation-style-language/schema/raw/master/csl-citation.json"}</w:instrText>
      </w:r>
      <w:r w:rsidR="002A27B0" w:rsidRPr="004A0F59">
        <w:rPr>
          <w:rFonts w:ascii="Times New Roman" w:hAnsi="Times New Roman" w:cs="Times New Roman"/>
          <w:sz w:val="24"/>
          <w:szCs w:val="24"/>
          <w:highlight w:val="yellow"/>
        </w:rPr>
        <w:fldChar w:fldCharType="separate"/>
      </w:r>
      <w:r w:rsidR="002A27B0" w:rsidRPr="004A0F59">
        <w:rPr>
          <w:rFonts w:ascii="Times New Roman" w:hAnsi="Times New Roman" w:cs="Times New Roman"/>
          <w:noProof/>
          <w:sz w:val="24"/>
          <w:szCs w:val="24"/>
          <w:highlight w:val="yellow"/>
        </w:rPr>
        <w:t>(Gubareva, 2020)</w:t>
      </w:r>
      <w:r w:rsidR="002A27B0" w:rsidRPr="004A0F59">
        <w:rPr>
          <w:rFonts w:ascii="Times New Roman" w:hAnsi="Times New Roman" w:cs="Times New Roman"/>
          <w:sz w:val="24"/>
          <w:szCs w:val="24"/>
          <w:highlight w:val="yellow"/>
        </w:rPr>
        <w:fldChar w:fldCharType="end"/>
      </w:r>
      <w:r w:rsidR="002A27B0" w:rsidRPr="004A0F59">
        <w:rPr>
          <w:rFonts w:ascii="Times New Roman" w:hAnsi="Times New Roman" w:cs="Times New Roman"/>
          <w:sz w:val="24"/>
          <w:szCs w:val="24"/>
          <w:highlight w:val="yellow"/>
        </w:rPr>
        <w:t>.</w:t>
      </w:r>
      <w:r w:rsidR="00067365" w:rsidRPr="004A0F59">
        <w:rPr>
          <w:rFonts w:ascii="Times New Roman" w:hAnsi="Times New Roman" w:cs="Times New Roman"/>
          <w:sz w:val="24"/>
          <w:szCs w:val="24"/>
          <w:highlight w:val="yellow"/>
        </w:rPr>
        <w:t xml:space="preserve"> Therefore, a possible extension of this study can be to assess the performance of </w:t>
      </w:r>
      <w:r w:rsidR="00552815" w:rsidRPr="004A0F59">
        <w:rPr>
          <w:rFonts w:ascii="Times New Roman" w:hAnsi="Times New Roman" w:cs="Times New Roman"/>
          <w:sz w:val="24"/>
          <w:szCs w:val="24"/>
          <w:highlight w:val="yellow"/>
        </w:rPr>
        <w:t xml:space="preserve">faith-based and conventional funds for other categories like </w:t>
      </w:r>
      <w:r w:rsidR="00A11F99" w:rsidRPr="004A0F59">
        <w:rPr>
          <w:rFonts w:ascii="Times New Roman" w:hAnsi="Times New Roman" w:cs="Times New Roman"/>
          <w:sz w:val="24"/>
          <w:szCs w:val="24"/>
          <w:highlight w:val="yellow"/>
        </w:rPr>
        <w:t>money market, fixed income, hybrids, etc.</w:t>
      </w:r>
      <w:r w:rsidR="00A11F99">
        <w:rPr>
          <w:rFonts w:ascii="Times New Roman" w:hAnsi="Times New Roman" w:cs="Times New Roman"/>
          <w:sz w:val="24"/>
          <w:szCs w:val="24"/>
        </w:rPr>
        <w:t xml:space="preserve"> </w:t>
      </w:r>
      <w:r w:rsidR="00552815">
        <w:rPr>
          <w:rFonts w:ascii="Times New Roman" w:hAnsi="Times New Roman" w:cs="Times New Roman"/>
          <w:sz w:val="24"/>
          <w:szCs w:val="24"/>
        </w:rPr>
        <w:t xml:space="preserve"> </w:t>
      </w:r>
      <w:r w:rsidR="002A27B0">
        <w:rPr>
          <w:rFonts w:ascii="Times New Roman" w:hAnsi="Times New Roman" w:cs="Times New Roman"/>
          <w:sz w:val="24"/>
          <w:szCs w:val="24"/>
        </w:rPr>
        <w:t xml:space="preserve"> </w:t>
      </w:r>
      <w:r w:rsidR="00BD43DB">
        <w:rPr>
          <w:rFonts w:ascii="Times New Roman" w:hAnsi="Times New Roman" w:cs="Times New Roman"/>
          <w:sz w:val="24"/>
          <w:szCs w:val="24"/>
        </w:rPr>
        <w:t xml:space="preserve"> </w:t>
      </w:r>
      <w:r w:rsidR="009B2BB2">
        <w:rPr>
          <w:rFonts w:ascii="Times New Roman" w:hAnsi="Times New Roman" w:cs="Times New Roman"/>
          <w:sz w:val="24"/>
          <w:szCs w:val="24"/>
        </w:rPr>
        <w:t xml:space="preserve"> </w:t>
      </w:r>
      <w:r w:rsidR="00E475C8">
        <w:rPr>
          <w:rFonts w:ascii="Times New Roman" w:hAnsi="Times New Roman" w:cs="Times New Roman"/>
          <w:sz w:val="24"/>
          <w:szCs w:val="24"/>
        </w:rPr>
        <w:t xml:space="preserve"> </w:t>
      </w:r>
      <w:r w:rsidR="0083359D">
        <w:rPr>
          <w:rFonts w:ascii="Times New Roman" w:hAnsi="Times New Roman" w:cs="Times New Roman"/>
          <w:sz w:val="24"/>
          <w:szCs w:val="24"/>
        </w:rPr>
        <w:t xml:space="preserve"> </w:t>
      </w:r>
      <w:r w:rsidR="00C557EC">
        <w:rPr>
          <w:rFonts w:ascii="Times New Roman" w:hAnsi="Times New Roman" w:cs="Times New Roman"/>
          <w:sz w:val="24"/>
          <w:szCs w:val="24"/>
        </w:rPr>
        <w:t xml:space="preserve"> </w:t>
      </w:r>
      <w:r w:rsidR="009169C5">
        <w:rPr>
          <w:rFonts w:ascii="Times New Roman" w:hAnsi="Times New Roman" w:cs="Times New Roman"/>
          <w:sz w:val="24"/>
          <w:szCs w:val="24"/>
        </w:rPr>
        <w:t xml:space="preserve"> </w:t>
      </w:r>
      <w:r w:rsidR="00E773BF">
        <w:rPr>
          <w:rFonts w:ascii="Times New Roman" w:hAnsi="Times New Roman" w:cs="Times New Roman"/>
          <w:sz w:val="24"/>
          <w:szCs w:val="24"/>
        </w:rPr>
        <w:t xml:space="preserve"> </w:t>
      </w:r>
      <w:r w:rsidR="00C44E10">
        <w:rPr>
          <w:rFonts w:ascii="Times New Roman" w:hAnsi="Times New Roman" w:cs="Times New Roman"/>
          <w:sz w:val="24"/>
          <w:szCs w:val="24"/>
        </w:rPr>
        <w:t xml:space="preserve">  </w:t>
      </w:r>
      <w:r w:rsidR="00E809D4">
        <w:rPr>
          <w:rFonts w:ascii="Times New Roman" w:hAnsi="Times New Roman" w:cs="Times New Roman"/>
          <w:sz w:val="24"/>
          <w:szCs w:val="24"/>
        </w:rPr>
        <w:t xml:space="preserve"> </w:t>
      </w:r>
      <w:r w:rsidR="00D26250">
        <w:rPr>
          <w:rFonts w:ascii="Times New Roman" w:hAnsi="Times New Roman" w:cs="Times New Roman"/>
          <w:sz w:val="24"/>
          <w:szCs w:val="24"/>
        </w:rPr>
        <w:t xml:space="preserve"> </w:t>
      </w:r>
      <w:r w:rsidR="004C78EF">
        <w:rPr>
          <w:rFonts w:ascii="Times New Roman" w:hAnsi="Times New Roman" w:cs="Times New Roman"/>
          <w:sz w:val="24"/>
          <w:szCs w:val="24"/>
        </w:rPr>
        <w:t xml:space="preserve"> </w:t>
      </w:r>
    </w:p>
    <w:p w14:paraId="55990F07" w14:textId="77777777" w:rsidR="00936C52" w:rsidRPr="00F00136" w:rsidRDefault="00FC4480" w:rsidP="00FC4480">
      <w:pPr>
        <w:spacing w:after="0" w:line="480" w:lineRule="auto"/>
        <w:jc w:val="both"/>
        <w:rPr>
          <w:rFonts w:ascii="Times New Roman" w:hAnsi="Times New Roman" w:cs="Times New Roman"/>
          <w:b/>
          <w:sz w:val="24"/>
          <w:szCs w:val="24"/>
        </w:rPr>
      </w:pPr>
      <w:r w:rsidRPr="00F00136">
        <w:rPr>
          <w:rFonts w:ascii="Times New Roman" w:hAnsi="Times New Roman" w:cs="Times New Roman"/>
          <w:b/>
          <w:sz w:val="24"/>
          <w:szCs w:val="24"/>
        </w:rPr>
        <w:t xml:space="preserve">4. </w:t>
      </w:r>
      <w:r w:rsidRPr="00F00136">
        <w:rPr>
          <w:rFonts w:ascii="Times New Roman" w:hAnsi="Times New Roman" w:cs="Times New Roman"/>
          <w:b/>
          <w:sz w:val="24"/>
          <w:szCs w:val="24"/>
        </w:rPr>
        <w:tab/>
        <w:t>Conclusion</w:t>
      </w:r>
    </w:p>
    <w:p w14:paraId="6531E81B" w14:textId="77777777" w:rsidR="006600D4" w:rsidRPr="00ED439E" w:rsidRDefault="00541DF5" w:rsidP="009D1310">
      <w:pPr>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rPr>
        <w:tab/>
      </w:r>
      <w:r w:rsidR="000E6A52" w:rsidRPr="00ED439E">
        <w:rPr>
          <w:rFonts w:ascii="Times New Roman" w:hAnsi="Times New Roman" w:cs="Times New Roman"/>
          <w:sz w:val="24"/>
          <w:szCs w:val="24"/>
          <w:highlight w:val="yellow"/>
        </w:rPr>
        <w:t>This paper compares</w:t>
      </w:r>
      <w:r w:rsidR="00C03D43" w:rsidRPr="00ED439E">
        <w:rPr>
          <w:rFonts w:ascii="Times New Roman" w:hAnsi="Times New Roman" w:cs="Times New Roman"/>
          <w:sz w:val="24"/>
          <w:szCs w:val="24"/>
          <w:highlight w:val="yellow"/>
        </w:rPr>
        <w:t xml:space="preserve"> </w:t>
      </w:r>
      <w:r w:rsidR="000E6A52" w:rsidRPr="00ED439E">
        <w:rPr>
          <w:rFonts w:ascii="Times New Roman" w:hAnsi="Times New Roman" w:cs="Times New Roman"/>
          <w:sz w:val="24"/>
          <w:szCs w:val="24"/>
          <w:highlight w:val="yellow"/>
        </w:rPr>
        <w:t>Islamic and conventional equity fund performance</w:t>
      </w:r>
      <w:r w:rsidR="00C03D43" w:rsidRPr="00ED439E">
        <w:rPr>
          <w:rFonts w:ascii="Times New Roman" w:hAnsi="Times New Roman" w:cs="Times New Roman"/>
          <w:sz w:val="24"/>
          <w:szCs w:val="24"/>
          <w:highlight w:val="yellow"/>
        </w:rPr>
        <w:t xml:space="preserve"> in Malaysia, Pakistan, Saudi Arabia, Qatar, Kuwait, and the UAE during the COVI</w:t>
      </w:r>
      <w:r w:rsidR="00024E54" w:rsidRPr="00ED439E">
        <w:rPr>
          <w:rFonts w:ascii="Times New Roman" w:hAnsi="Times New Roman" w:cs="Times New Roman"/>
          <w:sz w:val="24"/>
          <w:szCs w:val="24"/>
          <w:highlight w:val="yellow"/>
        </w:rPr>
        <w:t xml:space="preserve">D-19 pandemic. </w:t>
      </w:r>
      <w:r w:rsidR="009D1310" w:rsidRPr="00ED439E">
        <w:rPr>
          <w:rFonts w:ascii="Times New Roman" w:hAnsi="Times New Roman" w:cs="Times New Roman"/>
          <w:sz w:val="24"/>
          <w:szCs w:val="24"/>
          <w:highlight w:val="yellow"/>
        </w:rPr>
        <w:t>Although Islamic finance is experiencing similar challenges</w:t>
      </w:r>
      <w:r w:rsidR="00024E54" w:rsidRPr="00ED439E">
        <w:rPr>
          <w:rFonts w:ascii="Times New Roman" w:hAnsi="Times New Roman" w:cs="Times New Roman"/>
          <w:sz w:val="24"/>
          <w:szCs w:val="24"/>
          <w:highlight w:val="yellow"/>
        </w:rPr>
        <w:t xml:space="preserve"> brought by </w:t>
      </w:r>
      <w:r w:rsidR="000E6A52" w:rsidRPr="00ED439E">
        <w:rPr>
          <w:rFonts w:ascii="Times New Roman" w:hAnsi="Times New Roman" w:cs="Times New Roman"/>
          <w:sz w:val="24"/>
          <w:szCs w:val="24"/>
          <w:highlight w:val="yellow"/>
        </w:rPr>
        <w:t>economic</w:t>
      </w:r>
      <w:r w:rsidR="00CF49B2" w:rsidRPr="00ED439E">
        <w:rPr>
          <w:rFonts w:ascii="Times New Roman" w:hAnsi="Times New Roman" w:cs="Times New Roman"/>
          <w:sz w:val="24"/>
          <w:szCs w:val="24"/>
          <w:highlight w:val="yellow"/>
        </w:rPr>
        <w:t xml:space="preserve"> pressures, </w:t>
      </w:r>
      <w:r w:rsidR="000E6A52" w:rsidRPr="00ED439E">
        <w:rPr>
          <w:rFonts w:ascii="Times New Roman" w:hAnsi="Times New Roman" w:cs="Times New Roman"/>
          <w:sz w:val="24"/>
          <w:szCs w:val="24"/>
          <w:highlight w:val="yellow"/>
        </w:rPr>
        <w:t>social distancing measures</w:t>
      </w:r>
      <w:r w:rsidR="00CF49B2" w:rsidRPr="00ED439E">
        <w:rPr>
          <w:rFonts w:ascii="Times New Roman" w:hAnsi="Times New Roman" w:cs="Times New Roman"/>
          <w:sz w:val="24"/>
          <w:szCs w:val="24"/>
          <w:highlight w:val="yellow"/>
        </w:rPr>
        <w:t>,</w:t>
      </w:r>
      <w:r w:rsidR="000E6A52" w:rsidRPr="00ED439E">
        <w:rPr>
          <w:rFonts w:ascii="Times New Roman" w:hAnsi="Times New Roman" w:cs="Times New Roman"/>
          <w:sz w:val="24"/>
          <w:szCs w:val="24"/>
          <w:highlight w:val="yellow"/>
        </w:rPr>
        <w:t xml:space="preserve"> and travel restrictions, the Sharia products' underlying principles might help resist</w:t>
      </w:r>
      <w:r w:rsidR="00024E54" w:rsidRPr="00ED439E">
        <w:rPr>
          <w:rFonts w:ascii="Times New Roman" w:hAnsi="Times New Roman" w:cs="Times New Roman"/>
          <w:sz w:val="24"/>
          <w:szCs w:val="24"/>
          <w:highlight w:val="yellow"/>
        </w:rPr>
        <w:t xml:space="preserve"> the crisis shock</w:t>
      </w:r>
      <w:r w:rsidR="009D1310" w:rsidRPr="00ED439E">
        <w:rPr>
          <w:rFonts w:ascii="Times New Roman" w:hAnsi="Times New Roman" w:cs="Times New Roman"/>
          <w:sz w:val="24"/>
          <w:szCs w:val="24"/>
          <w:highlight w:val="yellow"/>
        </w:rPr>
        <w:t>. The United Nations Development Program (UNDP) ha</w:t>
      </w:r>
      <w:r w:rsidR="002908DA" w:rsidRPr="00ED439E">
        <w:rPr>
          <w:rFonts w:ascii="Times New Roman" w:hAnsi="Times New Roman" w:cs="Times New Roman"/>
          <w:sz w:val="24"/>
          <w:szCs w:val="24"/>
          <w:highlight w:val="yellow"/>
        </w:rPr>
        <w:t>s</w:t>
      </w:r>
      <w:r w:rsidR="009D1310" w:rsidRPr="00ED439E">
        <w:rPr>
          <w:rFonts w:ascii="Times New Roman" w:hAnsi="Times New Roman" w:cs="Times New Roman"/>
          <w:sz w:val="24"/>
          <w:szCs w:val="24"/>
          <w:highlight w:val="yellow"/>
        </w:rPr>
        <w:t xml:space="preserve"> highlighted several sharia-compliant financing instruments that could be part of the integrated pandemic response plan</w:t>
      </w:r>
      <w:r w:rsidR="002908DA" w:rsidRPr="00ED439E">
        <w:rPr>
          <w:rFonts w:ascii="Times New Roman" w:hAnsi="Times New Roman" w:cs="Times New Roman"/>
          <w:sz w:val="24"/>
          <w:szCs w:val="24"/>
          <w:highlight w:val="yellow"/>
        </w:rPr>
        <w:t>,</w:t>
      </w:r>
      <w:r w:rsidR="009D1310" w:rsidRPr="00ED439E">
        <w:rPr>
          <w:rFonts w:ascii="Times New Roman" w:hAnsi="Times New Roman" w:cs="Times New Roman"/>
          <w:sz w:val="24"/>
          <w:szCs w:val="24"/>
          <w:highlight w:val="yellow"/>
        </w:rPr>
        <w:t xml:space="preserve"> including zakat (charity) and Sukuk (Islamic bonds)</w:t>
      </w:r>
      <w:r w:rsidR="002908DA" w:rsidRPr="00ED439E">
        <w:rPr>
          <w:rFonts w:ascii="Times New Roman" w:hAnsi="Times New Roman" w:cs="Times New Roman"/>
          <w:sz w:val="24"/>
          <w:szCs w:val="24"/>
          <w:highlight w:val="yellow"/>
        </w:rPr>
        <w:t>,</w:t>
      </w:r>
      <w:r w:rsidR="009D1310" w:rsidRPr="00ED439E">
        <w:rPr>
          <w:rFonts w:ascii="Times New Roman" w:hAnsi="Times New Roman" w:cs="Times New Roman"/>
          <w:sz w:val="24"/>
          <w:szCs w:val="24"/>
          <w:highlight w:val="yellow"/>
        </w:rPr>
        <w:t xml:space="preserve"> to help countries prepare, respond, and recover from this pandemic. </w:t>
      </w:r>
    </w:p>
    <w:p w14:paraId="6BE25123" w14:textId="6EB32987" w:rsidR="005B34D5" w:rsidRPr="00ED439E" w:rsidRDefault="006600D4" w:rsidP="006600D4">
      <w:pPr>
        <w:spacing w:after="0" w:line="480" w:lineRule="auto"/>
        <w:ind w:firstLine="720"/>
        <w:jc w:val="both"/>
        <w:rPr>
          <w:rFonts w:ascii="Times New Roman" w:hAnsi="Times New Roman" w:cs="Times New Roman"/>
          <w:sz w:val="24"/>
          <w:szCs w:val="24"/>
          <w:highlight w:val="yellow"/>
        </w:rPr>
      </w:pPr>
      <w:r w:rsidRPr="00ED439E">
        <w:rPr>
          <w:rFonts w:ascii="Times New Roman" w:hAnsi="Times New Roman" w:cs="Times New Roman"/>
          <w:sz w:val="24"/>
          <w:szCs w:val="24"/>
          <w:highlight w:val="yellow"/>
        </w:rPr>
        <w:t>In this context,</w:t>
      </w:r>
      <w:r w:rsidR="004E59E3" w:rsidRPr="00ED439E">
        <w:rPr>
          <w:rFonts w:ascii="Times New Roman" w:hAnsi="Times New Roman" w:cs="Times New Roman"/>
          <w:sz w:val="24"/>
          <w:szCs w:val="24"/>
          <w:highlight w:val="yellow"/>
        </w:rPr>
        <w:t xml:space="preserve"> </w:t>
      </w:r>
      <w:r w:rsidR="00024E54" w:rsidRPr="00ED439E">
        <w:rPr>
          <w:rFonts w:ascii="Times New Roman" w:hAnsi="Times New Roman" w:cs="Times New Roman"/>
          <w:sz w:val="24"/>
          <w:szCs w:val="24"/>
          <w:highlight w:val="yellow"/>
        </w:rPr>
        <w:t>we provide</w:t>
      </w:r>
      <w:r w:rsidR="004E59E3" w:rsidRPr="00ED439E">
        <w:rPr>
          <w:rFonts w:ascii="Times New Roman" w:hAnsi="Times New Roman" w:cs="Times New Roman"/>
          <w:sz w:val="24"/>
          <w:szCs w:val="24"/>
          <w:highlight w:val="yellow"/>
        </w:rPr>
        <w:t xml:space="preserve"> </w:t>
      </w:r>
      <w:r w:rsidR="00CF49B2" w:rsidRPr="00ED439E">
        <w:rPr>
          <w:rFonts w:ascii="Times New Roman" w:hAnsi="Times New Roman" w:cs="Times New Roman"/>
          <w:sz w:val="24"/>
          <w:szCs w:val="24"/>
          <w:highlight w:val="yellow"/>
        </w:rPr>
        <w:t xml:space="preserve">a </w:t>
      </w:r>
      <w:r w:rsidR="004E59E3" w:rsidRPr="00ED439E">
        <w:rPr>
          <w:rFonts w:ascii="Times New Roman" w:hAnsi="Times New Roman" w:cs="Times New Roman"/>
          <w:sz w:val="24"/>
          <w:szCs w:val="24"/>
          <w:highlight w:val="yellow"/>
        </w:rPr>
        <w:t xml:space="preserve">timely and relevant </w:t>
      </w:r>
      <w:r w:rsidR="00024E54" w:rsidRPr="00ED439E">
        <w:rPr>
          <w:rFonts w:ascii="Times New Roman" w:hAnsi="Times New Roman" w:cs="Times New Roman"/>
          <w:sz w:val="24"/>
          <w:szCs w:val="24"/>
          <w:highlight w:val="yellow"/>
        </w:rPr>
        <w:t xml:space="preserve">assessment of the core investment </w:t>
      </w:r>
      <w:r w:rsidR="00461588" w:rsidRPr="00ED439E">
        <w:rPr>
          <w:rFonts w:ascii="Times New Roman" w:hAnsi="Times New Roman" w:cs="Times New Roman"/>
          <w:sz w:val="24"/>
          <w:szCs w:val="24"/>
          <w:highlight w:val="yellow"/>
        </w:rPr>
        <w:t>vehicle</w:t>
      </w:r>
      <w:r w:rsidR="00024E54" w:rsidRPr="00ED439E">
        <w:rPr>
          <w:rFonts w:ascii="Times New Roman" w:hAnsi="Times New Roman" w:cs="Times New Roman"/>
          <w:sz w:val="24"/>
          <w:szCs w:val="24"/>
          <w:highlight w:val="yellow"/>
        </w:rPr>
        <w:t xml:space="preserve"> of Islamic finance, i.e.</w:t>
      </w:r>
      <w:r w:rsidRPr="00ED439E">
        <w:rPr>
          <w:rFonts w:ascii="Times New Roman" w:hAnsi="Times New Roman" w:cs="Times New Roman"/>
          <w:sz w:val="24"/>
          <w:szCs w:val="24"/>
          <w:highlight w:val="yellow"/>
        </w:rPr>
        <w:t>,</w:t>
      </w:r>
      <w:r w:rsidR="00461588" w:rsidRPr="00ED439E">
        <w:rPr>
          <w:rFonts w:ascii="Times New Roman" w:hAnsi="Times New Roman" w:cs="Times New Roman"/>
          <w:sz w:val="24"/>
          <w:szCs w:val="24"/>
          <w:highlight w:val="yellow"/>
        </w:rPr>
        <w:t xml:space="preserve"> </w:t>
      </w:r>
      <w:r w:rsidR="004E59E3" w:rsidRPr="00ED439E">
        <w:rPr>
          <w:rFonts w:ascii="Times New Roman" w:hAnsi="Times New Roman" w:cs="Times New Roman"/>
          <w:sz w:val="24"/>
          <w:szCs w:val="24"/>
          <w:highlight w:val="yellow"/>
        </w:rPr>
        <w:t>Islamic equity funds</w:t>
      </w:r>
      <w:r w:rsidR="00024E54" w:rsidRPr="00ED439E">
        <w:rPr>
          <w:rFonts w:ascii="Times New Roman" w:hAnsi="Times New Roman" w:cs="Times New Roman"/>
          <w:sz w:val="24"/>
          <w:szCs w:val="24"/>
          <w:highlight w:val="yellow"/>
        </w:rPr>
        <w:t xml:space="preserve">, </w:t>
      </w:r>
      <w:r w:rsidRPr="00ED439E">
        <w:rPr>
          <w:rFonts w:ascii="Times New Roman" w:hAnsi="Times New Roman" w:cs="Times New Roman"/>
          <w:sz w:val="24"/>
          <w:szCs w:val="24"/>
          <w:highlight w:val="yellow"/>
        </w:rPr>
        <w:t xml:space="preserve">by reporting </w:t>
      </w:r>
      <w:r w:rsidR="00024E54" w:rsidRPr="00ED439E">
        <w:rPr>
          <w:rFonts w:ascii="Times New Roman" w:hAnsi="Times New Roman" w:cs="Times New Roman"/>
          <w:sz w:val="24"/>
          <w:szCs w:val="24"/>
          <w:highlight w:val="yellow"/>
        </w:rPr>
        <w:t xml:space="preserve">novel evidence of their performance during the different stages of the COVID-19 </w:t>
      </w:r>
      <w:r w:rsidRPr="00ED439E">
        <w:rPr>
          <w:rFonts w:ascii="Times New Roman" w:hAnsi="Times New Roman" w:cs="Times New Roman"/>
          <w:sz w:val="24"/>
          <w:szCs w:val="24"/>
          <w:highlight w:val="yellow"/>
        </w:rPr>
        <w:t>compared</w:t>
      </w:r>
      <w:r w:rsidR="00024E54" w:rsidRPr="00ED439E">
        <w:rPr>
          <w:rFonts w:ascii="Times New Roman" w:hAnsi="Times New Roman" w:cs="Times New Roman"/>
          <w:sz w:val="24"/>
          <w:szCs w:val="24"/>
          <w:highlight w:val="yellow"/>
        </w:rPr>
        <w:t xml:space="preserve"> to the conventional counterparts. </w:t>
      </w:r>
      <w:r w:rsidR="0026258A" w:rsidRPr="00ED439E">
        <w:rPr>
          <w:rFonts w:ascii="Times New Roman" w:hAnsi="Times New Roman" w:cs="Times New Roman"/>
          <w:sz w:val="24"/>
          <w:szCs w:val="24"/>
          <w:highlight w:val="yellow"/>
        </w:rPr>
        <w:t>We do this by using a mu</w:t>
      </w:r>
      <w:r w:rsidR="00235AC6" w:rsidRPr="00ED439E">
        <w:rPr>
          <w:rFonts w:ascii="Times New Roman" w:hAnsi="Times New Roman" w:cs="Times New Roman"/>
          <w:sz w:val="24"/>
          <w:szCs w:val="24"/>
          <w:highlight w:val="yellow"/>
        </w:rPr>
        <w:t>ltifaceted</w:t>
      </w:r>
      <w:r w:rsidR="0026258A" w:rsidRPr="00ED439E">
        <w:rPr>
          <w:rFonts w:ascii="Times New Roman" w:hAnsi="Times New Roman" w:cs="Times New Roman"/>
          <w:sz w:val="24"/>
          <w:szCs w:val="24"/>
          <w:highlight w:val="yellow"/>
        </w:rPr>
        <w:t xml:space="preserve"> methodology t</w:t>
      </w:r>
      <w:r w:rsidR="009918F5" w:rsidRPr="00ED439E">
        <w:rPr>
          <w:rFonts w:ascii="Times New Roman" w:hAnsi="Times New Roman" w:cs="Times New Roman"/>
          <w:sz w:val="24"/>
          <w:szCs w:val="24"/>
          <w:highlight w:val="yellow"/>
        </w:rPr>
        <w:t>o evaluate</w:t>
      </w:r>
      <w:r w:rsidR="0026258A" w:rsidRPr="00ED439E">
        <w:rPr>
          <w:rFonts w:ascii="Times New Roman" w:hAnsi="Times New Roman" w:cs="Times New Roman"/>
          <w:sz w:val="24"/>
          <w:szCs w:val="24"/>
          <w:highlight w:val="yellow"/>
        </w:rPr>
        <w:t xml:space="preserve"> the risk</w:t>
      </w:r>
      <w:r w:rsidR="00235AC6" w:rsidRPr="00ED439E">
        <w:rPr>
          <w:rFonts w:ascii="Times New Roman" w:hAnsi="Times New Roman" w:cs="Times New Roman"/>
          <w:sz w:val="24"/>
          <w:szCs w:val="24"/>
          <w:highlight w:val="yellow"/>
        </w:rPr>
        <w:t>-</w:t>
      </w:r>
      <w:r w:rsidR="0026258A" w:rsidRPr="00ED439E">
        <w:rPr>
          <w:rFonts w:ascii="Times New Roman" w:hAnsi="Times New Roman" w:cs="Times New Roman"/>
          <w:sz w:val="24"/>
          <w:szCs w:val="24"/>
          <w:highlight w:val="yellow"/>
        </w:rPr>
        <w:t>adjusted performance, a</w:t>
      </w:r>
      <w:r w:rsidR="00235AC6" w:rsidRPr="00ED439E">
        <w:rPr>
          <w:rFonts w:ascii="Times New Roman" w:hAnsi="Times New Roman" w:cs="Times New Roman"/>
          <w:sz w:val="24"/>
          <w:szCs w:val="24"/>
          <w:highlight w:val="yellow"/>
        </w:rPr>
        <w:t>bnormal returns, investment styles</w:t>
      </w:r>
      <w:r w:rsidR="009918F5" w:rsidRPr="00ED439E">
        <w:rPr>
          <w:rFonts w:ascii="Times New Roman" w:hAnsi="Times New Roman" w:cs="Times New Roman"/>
          <w:sz w:val="24"/>
          <w:szCs w:val="24"/>
          <w:highlight w:val="yellow"/>
        </w:rPr>
        <w:t>,</w:t>
      </w:r>
      <w:r w:rsidR="00235AC6" w:rsidRPr="00ED439E">
        <w:rPr>
          <w:rFonts w:ascii="Times New Roman" w:hAnsi="Times New Roman" w:cs="Times New Roman"/>
          <w:sz w:val="24"/>
          <w:szCs w:val="24"/>
          <w:highlight w:val="yellow"/>
        </w:rPr>
        <w:t xml:space="preserve"> and volatility timing. </w:t>
      </w:r>
    </w:p>
    <w:p w14:paraId="7E77E106" w14:textId="042BB2C0" w:rsidR="00461588" w:rsidRPr="00ED439E" w:rsidRDefault="005B34D5" w:rsidP="00024E54">
      <w:pPr>
        <w:spacing w:after="0" w:line="480" w:lineRule="auto"/>
        <w:jc w:val="both"/>
        <w:rPr>
          <w:rFonts w:ascii="Times New Roman" w:hAnsi="Times New Roman" w:cs="Times New Roman"/>
          <w:sz w:val="24"/>
          <w:szCs w:val="24"/>
          <w:highlight w:val="yellow"/>
        </w:rPr>
      </w:pPr>
      <w:r w:rsidRPr="00ED439E">
        <w:rPr>
          <w:rFonts w:ascii="Times New Roman" w:hAnsi="Times New Roman" w:cs="Times New Roman"/>
          <w:sz w:val="24"/>
          <w:szCs w:val="24"/>
          <w:highlight w:val="yellow"/>
        </w:rPr>
        <w:tab/>
      </w:r>
      <w:r w:rsidR="009C17CF" w:rsidRPr="00ED439E">
        <w:rPr>
          <w:rFonts w:ascii="Times New Roman" w:hAnsi="Times New Roman" w:cs="Times New Roman"/>
          <w:sz w:val="24"/>
          <w:szCs w:val="24"/>
          <w:highlight w:val="yellow"/>
        </w:rPr>
        <w:t xml:space="preserve">Our findings show that Islamic funds across six countries outperformed their conventional counterparts. These results remained consistent for the </w:t>
      </w:r>
      <w:r w:rsidR="002908DA" w:rsidRPr="00ED439E">
        <w:rPr>
          <w:rFonts w:ascii="Times New Roman" w:hAnsi="Times New Roman" w:cs="Times New Roman"/>
          <w:sz w:val="24"/>
          <w:szCs w:val="24"/>
          <w:highlight w:val="yellow"/>
        </w:rPr>
        <w:t>entir</w:t>
      </w:r>
      <w:r w:rsidR="009C17CF" w:rsidRPr="00ED439E">
        <w:rPr>
          <w:rFonts w:ascii="Times New Roman" w:hAnsi="Times New Roman" w:cs="Times New Roman"/>
          <w:sz w:val="24"/>
          <w:szCs w:val="24"/>
          <w:highlight w:val="yellow"/>
        </w:rPr>
        <w:t>e period a</w:t>
      </w:r>
      <w:r w:rsidR="002908DA" w:rsidRPr="00ED439E">
        <w:rPr>
          <w:rFonts w:ascii="Times New Roman" w:hAnsi="Times New Roman" w:cs="Times New Roman"/>
          <w:sz w:val="24"/>
          <w:szCs w:val="24"/>
          <w:highlight w:val="yellow"/>
        </w:rPr>
        <w:t>nd</w:t>
      </w:r>
      <w:r w:rsidR="009C17CF" w:rsidRPr="00ED439E">
        <w:rPr>
          <w:rFonts w:ascii="Times New Roman" w:hAnsi="Times New Roman" w:cs="Times New Roman"/>
          <w:sz w:val="24"/>
          <w:szCs w:val="24"/>
          <w:highlight w:val="yellow"/>
        </w:rPr>
        <w:t xml:space="preserve"> sub</w:t>
      </w:r>
      <w:r w:rsidR="002908DA" w:rsidRPr="00ED439E">
        <w:rPr>
          <w:rFonts w:ascii="Times New Roman" w:hAnsi="Times New Roman" w:cs="Times New Roman"/>
          <w:sz w:val="24"/>
          <w:szCs w:val="24"/>
          <w:highlight w:val="yellow"/>
        </w:rPr>
        <w:t>-</w:t>
      </w:r>
      <w:r w:rsidR="009C17CF" w:rsidRPr="00ED439E">
        <w:rPr>
          <w:rFonts w:ascii="Times New Roman" w:hAnsi="Times New Roman" w:cs="Times New Roman"/>
          <w:sz w:val="24"/>
          <w:szCs w:val="24"/>
          <w:highlight w:val="yellow"/>
        </w:rPr>
        <w:t xml:space="preserve">periods that we </w:t>
      </w:r>
      <w:r w:rsidR="009C17CF" w:rsidRPr="00ED439E">
        <w:rPr>
          <w:rFonts w:ascii="Times New Roman" w:hAnsi="Times New Roman" w:cs="Times New Roman"/>
          <w:sz w:val="24"/>
          <w:szCs w:val="24"/>
          <w:highlight w:val="yellow"/>
        </w:rPr>
        <w:lastRenderedPageBreak/>
        <w:t xml:space="preserve">introduced to mimic the </w:t>
      </w:r>
      <w:r w:rsidR="002908DA" w:rsidRPr="00ED439E">
        <w:rPr>
          <w:rFonts w:ascii="Times New Roman" w:hAnsi="Times New Roman" w:cs="Times New Roman"/>
          <w:sz w:val="24"/>
          <w:szCs w:val="24"/>
          <w:highlight w:val="yellow"/>
        </w:rPr>
        <w:t>outbreak's evolution</w:t>
      </w:r>
      <w:r w:rsidR="009C17CF" w:rsidRPr="00ED439E">
        <w:rPr>
          <w:rFonts w:ascii="Times New Roman" w:hAnsi="Times New Roman" w:cs="Times New Roman"/>
          <w:sz w:val="24"/>
          <w:szCs w:val="24"/>
          <w:highlight w:val="yellow"/>
        </w:rPr>
        <w:t xml:space="preserve">. </w:t>
      </w:r>
      <w:r w:rsidR="00E6478B" w:rsidRPr="00ED439E">
        <w:rPr>
          <w:rFonts w:ascii="Times New Roman" w:hAnsi="Times New Roman" w:cs="Times New Roman"/>
          <w:sz w:val="24"/>
          <w:szCs w:val="24"/>
          <w:highlight w:val="yellow"/>
        </w:rPr>
        <w:t>The style analysis reveal</w:t>
      </w:r>
      <w:r w:rsidR="002908DA" w:rsidRPr="00ED439E">
        <w:rPr>
          <w:rFonts w:ascii="Times New Roman" w:hAnsi="Times New Roman" w:cs="Times New Roman"/>
          <w:sz w:val="24"/>
          <w:szCs w:val="24"/>
          <w:highlight w:val="yellow"/>
        </w:rPr>
        <w:t>s</w:t>
      </w:r>
      <w:r w:rsidR="00E6478B" w:rsidRPr="00ED439E">
        <w:rPr>
          <w:rFonts w:ascii="Times New Roman" w:hAnsi="Times New Roman" w:cs="Times New Roman"/>
          <w:sz w:val="24"/>
          <w:szCs w:val="24"/>
          <w:highlight w:val="yellow"/>
        </w:rPr>
        <w:t xml:space="preserve"> investment drift in response to the uncertainties underlying each stage. We observe significant movement for size, factors</w:t>
      </w:r>
      <w:r w:rsidR="002908DA" w:rsidRPr="00ED439E">
        <w:rPr>
          <w:rFonts w:ascii="Times New Roman" w:hAnsi="Times New Roman" w:cs="Times New Roman"/>
          <w:sz w:val="24"/>
          <w:szCs w:val="24"/>
          <w:highlight w:val="yellow"/>
        </w:rPr>
        <w:t>,</w:t>
      </w:r>
      <w:r w:rsidR="00E6478B" w:rsidRPr="00ED439E">
        <w:rPr>
          <w:rFonts w:ascii="Times New Roman" w:hAnsi="Times New Roman" w:cs="Times New Roman"/>
          <w:sz w:val="24"/>
          <w:szCs w:val="24"/>
          <w:highlight w:val="yellow"/>
        </w:rPr>
        <w:t xml:space="preserve"> and sectoral consider</w:t>
      </w:r>
      <w:r w:rsidR="009C4619" w:rsidRPr="00ED439E">
        <w:rPr>
          <w:rFonts w:ascii="Times New Roman" w:hAnsi="Times New Roman" w:cs="Times New Roman"/>
          <w:sz w:val="24"/>
          <w:szCs w:val="24"/>
          <w:highlight w:val="yellow"/>
        </w:rPr>
        <w:t>ations. The drift was from riskier styles to more prudent options. This was robust for all Islamic funds in all six countries that we considered.</w:t>
      </w:r>
      <w:r w:rsidR="00024E54" w:rsidRPr="00ED439E">
        <w:rPr>
          <w:rFonts w:ascii="Times New Roman" w:hAnsi="Times New Roman" w:cs="Times New Roman"/>
          <w:sz w:val="24"/>
          <w:szCs w:val="24"/>
          <w:highlight w:val="yellow"/>
        </w:rPr>
        <w:t xml:space="preserve"> These results are </w:t>
      </w:r>
      <w:r w:rsidR="009918F5" w:rsidRPr="00ED439E">
        <w:rPr>
          <w:rFonts w:ascii="Times New Roman" w:hAnsi="Times New Roman" w:cs="Times New Roman"/>
          <w:sz w:val="24"/>
          <w:szCs w:val="24"/>
          <w:highlight w:val="yellow"/>
        </w:rPr>
        <w:t>signific</w:t>
      </w:r>
      <w:r w:rsidR="00024E54" w:rsidRPr="00ED439E">
        <w:rPr>
          <w:rFonts w:ascii="Times New Roman" w:hAnsi="Times New Roman" w:cs="Times New Roman"/>
          <w:sz w:val="24"/>
          <w:szCs w:val="24"/>
          <w:highlight w:val="yellow"/>
        </w:rPr>
        <w:t>ant for investors seeking to hedge</w:t>
      </w:r>
      <w:r w:rsidR="002C7403" w:rsidRPr="00ED439E">
        <w:rPr>
          <w:rFonts w:ascii="Times New Roman" w:hAnsi="Times New Roman" w:cs="Times New Roman"/>
          <w:sz w:val="24"/>
          <w:szCs w:val="24"/>
          <w:highlight w:val="yellow"/>
        </w:rPr>
        <w:t xml:space="preserve"> against</w:t>
      </w:r>
      <w:r w:rsidR="00024E54" w:rsidRPr="00ED439E">
        <w:rPr>
          <w:rFonts w:ascii="Times New Roman" w:hAnsi="Times New Roman" w:cs="Times New Roman"/>
          <w:sz w:val="24"/>
          <w:szCs w:val="24"/>
          <w:highlight w:val="yellow"/>
        </w:rPr>
        <w:t xml:space="preserve"> the pandemic risk</w:t>
      </w:r>
      <w:r w:rsidR="002C7403" w:rsidRPr="00ED439E">
        <w:rPr>
          <w:rFonts w:ascii="Times New Roman" w:hAnsi="Times New Roman" w:cs="Times New Roman"/>
          <w:sz w:val="24"/>
          <w:szCs w:val="24"/>
          <w:highlight w:val="yellow"/>
        </w:rPr>
        <w:t>s</w:t>
      </w:r>
      <w:r w:rsidR="00024E54" w:rsidRPr="00ED439E">
        <w:rPr>
          <w:rFonts w:ascii="Times New Roman" w:hAnsi="Times New Roman" w:cs="Times New Roman"/>
          <w:sz w:val="24"/>
          <w:szCs w:val="24"/>
          <w:highlight w:val="yellow"/>
        </w:rPr>
        <w:t xml:space="preserve"> and considering the Shariah</w:t>
      </w:r>
      <w:r w:rsidR="009918F5" w:rsidRPr="00ED439E">
        <w:rPr>
          <w:rFonts w:ascii="Times New Roman" w:hAnsi="Times New Roman" w:cs="Times New Roman"/>
          <w:sz w:val="24"/>
          <w:szCs w:val="24"/>
          <w:highlight w:val="yellow"/>
        </w:rPr>
        <w:t>-</w:t>
      </w:r>
      <w:r w:rsidR="00024E54" w:rsidRPr="00ED439E">
        <w:rPr>
          <w:rFonts w:ascii="Times New Roman" w:hAnsi="Times New Roman" w:cs="Times New Roman"/>
          <w:sz w:val="24"/>
          <w:szCs w:val="24"/>
          <w:highlight w:val="yellow"/>
        </w:rPr>
        <w:t xml:space="preserve">compliant assets. </w:t>
      </w:r>
    </w:p>
    <w:p w14:paraId="0AA7415B" w14:textId="77777777" w:rsidR="009312B0" w:rsidRPr="00ED439E" w:rsidRDefault="00024E54" w:rsidP="009312B0">
      <w:pPr>
        <w:spacing w:after="0" w:line="480" w:lineRule="auto"/>
        <w:ind w:firstLine="720"/>
        <w:jc w:val="both"/>
        <w:rPr>
          <w:rFonts w:ascii="Times New Roman" w:hAnsi="Times New Roman" w:cs="Times New Roman"/>
          <w:sz w:val="24"/>
          <w:szCs w:val="24"/>
          <w:highlight w:val="yellow"/>
        </w:rPr>
      </w:pPr>
      <w:r w:rsidRPr="00ED439E">
        <w:rPr>
          <w:rFonts w:ascii="Times New Roman" w:hAnsi="Times New Roman" w:cs="Times New Roman"/>
          <w:sz w:val="24"/>
          <w:szCs w:val="24"/>
          <w:highlight w:val="yellow"/>
        </w:rPr>
        <w:t xml:space="preserve">The Islamic funds </w:t>
      </w:r>
      <w:r w:rsidR="00CE38E7" w:rsidRPr="00ED439E">
        <w:rPr>
          <w:rFonts w:ascii="Times New Roman" w:hAnsi="Times New Roman" w:cs="Times New Roman"/>
          <w:sz w:val="24"/>
          <w:szCs w:val="24"/>
          <w:highlight w:val="yellow"/>
        </w:rPr>
        <w:t>dominated</w:t>
      </w:r>
      <w:r w:rsidRPr="00ED439E">
        <w:rPr>
          <w:rFonts w:ascii="Times New Roman" w:hAnsi="Times New Roman" w:cs="Times New Roman"/>
          <w:sz w:val="24"/>
          <w:szCs w:val="24"/>
          <w:highlight w:val="yellow"/>
        </w:rPr>
        <w:t xml:space="preserve"> </w:t>
      </w:r>
      <w:r w:rsidR="00CE38E7" w:rsidRPr="00ED439E">
        <w:rPr>
          <w:rFonts w:ascii="Times New Roman" w:hAnsi="Times New Roman" w:cs="Times New Roman"/>
          <w:sz w:val="24"/>
          <w:szCs w:val="24"/>
          <w:highlight w:val="yellow"/>
        </w:rPr>
        <w:t>explicit</w:t>
      </w:r>
      <w:r w:rsidRPr="00ED439E">
        <w:rPr>
          <w:rFonts w:ascii="Times New Roman" w:hAnsi="Times New Roman" w:cs="Times New Roman"/>
          <w:sz w:val="24"/>
          <w:szCs w:val="24"/>
          <w:highlight w:val="yellow"/>
        </w:rPr>
        <w:t>ly during the peak months of the pandemic, which confirms the safe</w:t>
      </w:r>
      <w:r w:rsidR="00D855CC" w:rsidRPr="00ED439E">
        <w:rPr>
          <w:rFonts w:ascii="Times New Roman" w:hAnsi="Times New Roman" w:cs="Times New Roman"/>
          <w:sz w:val="24"/>
          <w:szCs w:val="24"/>
          <w:highlight w:val="yellow"/>
        </w:rPr>
        <w:t>-</w:t>
      </w:r>
      <w:r w:rsidRPr="00ED439E">
        <w:rPr>
          <w:rFonts w:ascii="Times New Roman" w:hAnsi="Times New Roman" w:cs="Times New Roman"/>
          <w:sz w:val="24"/>
          <w:szCs w:val="24"/>
          <w:highlight w:val="yellow"/>
        </w:rPr>
        <w:t>haven properties of the Islamic assets.</w:t>
      </w:r>
      <w:r w:rsidR="0050528F" w:rsidRPr="00ED439E">
        <w:rPr>
          <w:rFonts w:ascii="Times New Roman" w:hAnsi="Times New Roman" w:cs="Times New Roman"/>
          <w:sz w:val="24"/>
          <w:szCs w:val="24"/>
          <w:highlight w:val="yellow"/>
        </w:rPr>
        <w:t xml:space="preserve"> The trend continues till the very recent period considered in this paper. </w:t>
      </w:r>
      <w:r w:rsidR="00461588" w:rsidRPr="00ED439E">
        <w:rPr>
          <w:rFonts w:ascii="Times New Roman" w:hAnsi="Times New Roman" w:cs="Times New Roman"/>
          <w:sz w:val="24"/>
          <w:szCs w:val="24"/>
          <w:highlight w:val="yellow"/>
        </w:rPr>
        <w:t xml:space="preserve"> In contrast</w:t>
      </w:r>
      <w:r w:rsidR="009C4619" w:rsidRPr="00ED439E">
        <w:rPr>
          <w:rFonts w:ascii="Times New Roman" w:hAnsi="Times New Roman" w:cs="Times New Roman"/>
          <w:sz w:val="24"/>
          <w:szCs w:val="24"/>
          <w:highlight w:val="yellow"/>
        </w:rPr>
        <w:t>, conventional funds only showed an ad hoc drift during the outbreak</w:t>
      </w:r>
      <w:r w:rsidR="00321398" w:rsidRPr="00ED439E">
        <w:rPr>
          <w:rFonts w:ascii="Times New Roman" w:hAnsi="Times New Roman" w:cs="Times New Roman"/>
          <w:sz w:val="24"/>
          <w:szCs w:val="24"/>
          <w:highlight w:val="yellow"/>
        </w:rPr>
        <w:t>.</w:t>
      </w:r>
      <w:r w:rsidR="006373B4" w:rsidRPr="00ED439E">
        <w:rPr>
          <w:rFonts w:ascii="Times New Roman" w:hAnsi="Times New Roman" w:cs="Times New Roman"/>
          <w:sz w:val="24"/>
          <w:szCs w:val="24"/>
          <w:highlight w:val="yellow"/>
        </w:rPr>
        <w:t xml:space="preserve"> This asset allocation (and reallocation) </w:t>
      </w:r>
      <w:r w:rsidR="00507463" w:rsidRPr="00ED439E">
        <w:rPr>
          <w:rFonts w:ascii="Times New Roman" w:hAnsi="Times New Roman" w:cs="Times New Roman"/>
          <w:sz w:val="24"/>
          <w:szCs w:val="24"/>
          <w:highlight w:val="yellow"/>
        </w:rPr>
        <w:t>explains the robust performance of Islamic fund managers</w:t>
      </w:r>
      <w:r w:rsidR="00F53BB4" w:rsidRPr="00ED439E">
        <w:rPr>
          <w:rFonts w:ascii="Times New Roman" w:hAnsi="Times New Roman" w:cs="Times New Roman"/>
          <w:sz w:val="24"/>
          <w:szCs w:val="24"/>
          <w:highlight w:val="yellow"/>
        </w:rPr>
        <w:t xml:space="preserve">. There are important implications of this </w:t>
      </w:r>
      <w:proofErr w:type="gramStart"/>
      <w:r w:rsidR="00F53BB4" w:rsidRPr="00ED439E">
        <w:rPr>
          <w:rFonts w:ascii="Times New Roman" w:hAnsi="Times New Roman" w:cs="Times New Roman"/>
          <w:sz w:val="24"/>
          <w:szCs w:val="24"/>
          <w:highlight w:val="yellow"/>
        </w:rPr>
        <w:t>particular finding</w:t>
      </w:r>
      <w:proofErr w:type="gramEnd"/>
      <w:r w:rsidR="00F53BB4" w:rsidRPr="00ED439E">
        <w:rPr>
          <w:rFonts w:ascii="Times New Roman" w:hAnsi="Times New Roman" w:cs="Times New Roman"/>
          <w:sz w:val="24"/>
          <w:szCs w:val="24"/>
          <w:highlight w:val="yellow"/>
        </w:rPr>
        <w:t xml:space="preserve">. The fund managers and regulators </w:t>
      </w:r>
      <w:r w:rsidR="00345020" w:rsidRPr="00ED439E">
        <w:rPr>
          <w:rFonts w:ascii="Times New Roman" w:hAnsi="Times New Roman" w:cs="Times New Roman"/>
          <w:sz w:val="24"/>
          <w:szCs w:val="24"/>
          <w:highlight w:val="yellow"/>
        </w:rPr>
        <w:t>should be conscious of the importance of fund screening</w:t>
      </w:r>
      <w:r w:rsidR="006E7580" w:rsidRPr="00ED439E">
        <w:rPr>
          <w:rFonts w:ascii="Times New Roman" w:hAnsi="Times New Roman" w:cs="Times New Roman"/>
          <w:sz w:val="24"/>
          <w:szCs w:val="24"/>
          <w:highlight w:val="yellow"/>
        </w:rPr>
        <w:t xml:space="preserve"> which is the core differential factor of the two types of funds</w:t>
      </w:r>
      <w:r w:rsidR="00B9069D" w:rsidRPr="00ED439E">
        <w:rPr>
          <w:rFonts w:ascii="Times New Roman" w:hAnsi="Times New Roman" w:cs="Times New Roman"/>
          <w:sz w:val="24"/>
          <w:szCs w:val="24"/>
          <w:highlight w:val="yellow"/>
        </w:rPr>
        <w:t xml:space="preserve">. The investment styles help in devising a robust strategy during periods of financial turbulence. While the pandemic is still far from over, these strategies can </w:t>
      </w:r>
      <w:r w:rsidR="00790545" w:rsidRPr="00ED439E">
        <w:rPr>
          <w:rFonts w:ascii="Times New Roman" w:hAnsi="Times New Roman" w:cs="Times New Roman"/>
          <w:sz w:val="24"/>
          <w:szCs w:val="24"/>
          <w:highlight w:val="yellow"/>
        </w:rPr>
        <w:t>assist</w:t>
      </w:r>
      <w:r w:rsidR="00B9069D" w:rsidRPr="00ED439E">
        <w:rPr>
          <w:rFonts w:ascii="Times New Roman" w:hAnsi="Times New Roman" w:cs="Times New Roman"/>
          <w:sz w:val="24"/>
          <w:szCs w:val="24"/>
          <w:highlight w:val="yellow"/>
        </w:rPr>
        <w:t xml:space="preserve"> in limiting investment </w:t>
      </w:r>
      <w:r w:rsidR="00A04D6A" w:rsidRPr="00ED439E">
        <w:rPr>
          <w:rFonts w:ascii="Times New Roman" w:hAnsi="Times New Roman" w:cs="Times New Roman"/>
          <w:sz w:val="24"/>
          <w:szCs w:val="24"/>
          <w:highlight w:val="yellow"/>
        </w:rPr>
        <w:t xml:space="preserve">losses. </w:t>
      </w:r>
      <w:r w:rsidR="009312B0" w:rsidRPr="00ED439E">
        <w:rPr>
          <w:rFonts w:ascii="Times New Roman" w:hAnsi="Times New Roman" w:cs="Times New Roman"/>
          <w:sz w:val="24"/>
          <w:szCs w:val="24"/>
          <w:highlight w:val="yellow"/>
        </w:rPr>
        <w:t xml:space="preserve">Finally, we document the evidence of volatility timing for Islamic equity funds while it was absent for conventional funds. In short, Islamic equity funds demonstrated differentials in risk-adjusted performance, investment styles, and volatility timing compared to their conventional counterparts.   </w:t>
      </w:r>
    </w:p>
    <w:p w14:paraId="20691436" w14:textId="0769BA6E" w:rsidR="00487FAA" w:rsidRDefault="002908DA" w:rsidP="003B1B88">
      <w:pPr>
        <w:spacing w:after="0" w:line="480" w:lineRule="auto"/>
        <w:ind w:firstLine="720"/>
        <w:jc w:val="both"/>
        <w:rPr>
          <w:rFonts w:ascii="Times New Roman" w:hAnsi="Times New Roman" w:cs="Times New Roman"/>
          <w:sz w:val="24"/>
          <w:szCs w:val="24"/>
        </w:rPr>
      </w:pPr>
      <w:r w:rsidRPr="00ED439E">
        <w:rPr>
          <w:rFonts w:ascii="Times New Roman" w:hAnsi="Times New Roman" w:cs="Times New Roman"/>
          <w:sz w:val="24"/>
          <w:szCs w:val="24"/>
          <w:highlight w:val="yellow"/>
        </w:rPr>
        <w:t>P</w:t>
      </w:r>
      <w:r w:rsidR="00487FAA" w:rsidRPr="00ED439E">
        <w:rPr>
          <w:rFonts w:ascii="Times New Roman" w:hAnsi="Times New Roman" w:cs="Times New Roman"/>
          <w:sz w:val="24"/>
          <w:szCs w:val="24"/>
          <w:highlight w:val="yellow"/>
        </w:rPr>
        <w:t>andemics like C</w:t>
      </w:r>
      <w:r w:rsidR="002C7403" w:rsidRPr="00ED439E">
        <w:rPr>
          <w:rFonts w:ascii="Times New Roman" w:hAnsi="Times New Roman" w:cs="Times New Roman"/>
          <w:sz w:val="24"/>
          <w:szCs w:val="24"/>
          <w:highlight w:val="yellow"/>
        </w:rPr>
        <w:t>OVID</w:t>
      </w:r>
      <w:r w:rsidR="00487FAA" w:rsidRPr="00ED439E">
        <w:rPr>
          <w:rFonts w:ascii="Times New Roman" w:hAnsi="Times New Roman" w:cs="Times New Roman"/>
          <w:sz w:val="24"/>
          <w:szCs w:val="24"/>
          <w:highlight w:val="yellow"/>
        </w:rPr>
        <w:t xml:space="preserve">-19 </w:t>
      </w:r>
      <w:r w:rsidR="002C7403" w:rsidRPr="00ED439E">
        <w:rPr>
          <w:rFonts w:ascii="Times New Roman" w:hAnsi="Times New Roman" w:cs="Times New Roman"/>
          <w:sz w:val="24"/>
          <w:szCs w:val="24"/>
          <w:highlight w:val="yellow"/>
        </w:rPr>
        <w:t>are</w:t>
      </w:r>
      <w:r w:rsidR="00487FAA" w:rsidRPr="00ED439E">
        <w:rPr>
          <w:rFonts w:ascii="Times New Roman" w:hAnsi="Times New Roman" w:cs="Times New Roman"/>
          <w:sz w:val="24"/>
          <w:szCs w:val="24"/>
          <w:highlight w:val="yellow"/>
        </w:rPr>
        <w:t xml:space="preserve"> rare</w:t>
      </w:r>
      <w:r w:rsidR="00A04D6A" w:rsidRPr="00ED439E">
        <w:rPr>
          <w:rFonts w:ascii="Times New Roman" w:hAnsi="Times New Roman" w:cs="Times New Roman"/>
          <w:sz w:val="24"/>
          <w:szCs w:val="24"/>
          <w:highlight w:val="yellow"/>
        </w:rPr>
        <w:t>,</w:t>
      </w:r>
      <w:r w:rsidR="00487FAA" w:rsidRPr="00ED439E">
        <w:rPr>
          <w:rFonts w:ascii="Times New Roman" w:hAnsi="Times New Roman" w:cs="Times New Roman"/>
          <w:sz w:val="24"/>
          <w:szCs w:val="24"/>
          <w:highlight w:val="yellow"/>
        </w:rPr>
        <w:t xml:space="preserve"> and therefore our research provides some unique comparative assessment of Islamic and conventional funds during this turbulent period. However, we would like to caution the readers about the</w:t>
      </w:r>
      <w:r w:rsidR="005E15EF" w:rsidRPr="00ED439E">
        <w:rPr>
          <w:rFonts w:ascii="Times New Roman" w:hAnsi="Times New Roman" w:cs="Times New Roman"/>
          <w:sz w:val="24"/>
          <w:szCs w:val="24"/>
          <w:highlight w:val="yellow"/>
        </w:rPr>
        <w:t>se findings' preliminary nature</w:t>
      </w:r>
      <w:r w:rsidR="00487FAA" w:rsidRPr="00ED439E">
        <w:rPr>
          <w:rFonts w:ascii="Times New Roman" w:hAnsi="Times New Roman" w:cs="Times New Roman"/>
          <w:sz w:val="24"/>
          <w:szCs w:val="24"/>
          <w:highlight w:val="yellow"/>
        </w:rPr>
        <w:t xml:space="preserve"> </w:t>
      </w:r>
      <w:r w:rsidR="00DF4F8B" w:rsidRPr="00ED439E">
        <w:rPr>
          <w:rFonts w:ascii="Times New Roman" w:hAnsi="Times New Roman" w:cs="Times New Roman"/>
          <w:sz w:val="24"/>
          <w:szCs w:val="24"/>
          <w:highlight w:val="yellow"/>
        </w:rPr>
        <w:t xml:space="preserve">that is </w:t>
      </w:r>
      <w:r w:rsidR="00487FAA" w:rsidRPr="00ED439E">
        <w:rPr>
          <w:rFonts w:ascii="Times New Roman" w:hAnsi="Times New Roman" w:cs="Times New Roman"/>
          <w:sz w:val="24"/>
          <w:szCs w:val="24"/>
          <w:highlight w:val="yellow"/>
        </w:rPr>
        <w:t>based</w:t>
      </w:r>
      <w:r w:rsidR="003B1B88" w:rsidRPr="00ED439E">
        <w:rPr>
          <w:rFonts w:ascii="Times New Roman" w:hAnsi="Times New Roman" w:cs="Times New Roman"/>
          <w:sz w:val="24"/>
          <w:szCs w:val="24"/>
          <w:highlight w:val="yellow"/>
        </w:rPr>
        <w:t xml:space="preserve"> on</w:t>
      </w:r>
      <w:r w:rsidR="00487FAA" w:rsidRPr="00ED439E">
        <w:rPr>
          <w:rFonts w:ascii="Times New Roman" w:hAnsi="Times New Roman" w:cs="Times New Roman"/>
          <w:sz w:val="24"/>
          <w:szCs w:val="24"/>
          <w:highlight w:val="yellow"/>
        </w:rPr>
        <w:t xml:space="preserve"> </w:t>
      </w:r>
      <w:r w:rsidR="003B1B88" w:rsidRPr="00ED439E">
        <w:rPr>
          <w:rFonts w:ascii="Times New Roman" w:hAnsi="Times New Roman" w:cs="Times New Roman"/>
          <w:sz w:val="24"/>
          <w:szCs w:val="24"/>
          <w:highlight w:val="yellow"/>
        </w:rPr>
        <w:t>the data available for the seventeen months of the outbreak</w:t>
      </w:r>
      <w:r w:rsidR="00487FAA" w:rsidRPr="00ED439E">
        <w:rPr>
          <w:rFonts w:ascii="Times New Roman" w:hAnsi="Times New Roman" w:cs="Times New Roman"/>
          <w:sz w:val="24"/>
          <w:szCs w:val="24"/>
          <w:highlight w:val="yellow"/>
        </w:rPr>
        <w:t xml:space="preserve">. </w:t>
      </w:r>
      <w:r w:rsidR="00E34F20" w:rsidRPr="00ED439E">
        <w:rPr>
          <w:rFonts w:ascii="Times New Roman" w:hAnsi="Times New Roman" w:cs="Times New Roman"/>
          <w:sz w:val="24"/>
          <w:szCs w:val="24"/>
          <w:highlight w:val="yellow"/>
        </w:rPr>
        <w:t>Also</w:t>
      </w:r>
      <w:r w:rsidR="003B1B88" w:rsidRPr="00ED439E">
        <w:rPr>
          <w:rFonts w:ascii="Times New Roman" w:hAnsi="Times New Roman" w:cs="Times New Roman"/>
          <w:sz w:val="24"/>
          <w:szCs w:val="24"/>
          <w:highlight w:val="yellow"/>
        </w:rPr>
        <w:t xml:space="preserve">, our inferences are </w:t>
      </w:r>
      <w:r w:rsidR="00545D38" w:rsidRPr="00ED439E">
        <w:rPr>
          <w:rFonts w:ascii="Times New Roman" w:hAnsi="Times New Roman" w:cs="Times New Roman"/>
          <w:sz w:val="24"/>
          <w:szCs w:val="24"/>
          <w:highlight w:val="yellow"/>
        </w:rPr>
        <w:t>drawn f</w:t>
      </w:r>
      <w:r w:rsidR="00123B6C" w:rsidRPr="00ED439E">
        <w:rPr>
          <w:rFonts w:ascii="Times New Roman" w:hAnsi="Times New Roman" w:cs="Times New Roman"/>
          <w:sz w:val="24"/>
          <w:szCs w:val="24"/>
          <w:highlight w:val="yellow"/>
        </w:rPr>
        <w:t>rom</w:t>
      </w:r>
      <w:r w:rsidR="00545D38" w:rsidRPr="00ED439E">
        <w:rPr>
          <w:rFonts w:ascii="Times New Roman" w:hAnsi="Times New Roman" w:cs="Times New Roman"/>
          <w:sz w:val="24"/>
          <w:szCs w:val="24"/>
          <w:highlight w:val="yellow"/>
        </w:rPr>
        <w:t xml:space="preserve"> </w:t>
      </w:r>
      <w:r w:rsidR="005E7560" w:rsidRPr="00ED439E">
        <w:rPr>
          <w:rFonts w:ascii="Times New Roman" w:hAnsi="Times New Roman" w:cs="Times New Roman"/>
          <w:sz w:val="24"/>
          <w:szCs w:val="24"/>
          <w:highlight w:val="yellow"/>
        </w:rPr>
        <w:t xml:space="preserve">equity </w:t>
      </w:r>
      <w:r w:rsidR="004B4D00" w:rsidRPr="00ED439E">
        <w:rPr>
          <w:rFonts w:ascii="Times New Roman" w:hAnsi="Times New Roman" w:cs="Times New Roman"/>
          <w:sz w:val="24"/>
          <w:szCs w:val="24"/>
          <w:highlight w:val="yellow"/>
        </w:rPr>
        <w:t>funds</w:t>
      </w:r>
      <w:r w:rsidR="00E34F20" w:rsidRPr="00ED439E">
        <w:rPr>
          <w:rFonts w:ascii="Times New Roman" w:hAnsi="Times New Roman" w:cs="Times New Roman"/>
          <w:sz w:val="24"/>
          <w:szCs w:val="24"/>
          <w:highlight w:val="yellow"/>
        </w:rPr>
        <w:t xml:space="preserve"> only. Further research can include fixed income, money market,</w:t>
      </w:r>
      <w:r w:rsidR="00DC49E8" w:rsidRPr="00ED439E">
        <w:rPr>
          <w:rFonts w:ascii="Times New Roman" w:hAnsi="Times New Roman" w:cs="Times New Roman"/>
          <w:sz w:val="24"/>
          <w:szCs w:val="24"/>
          <w:highlight w:val="yellow"/>
        </w:rPr>
        <w:t xml:space="preserve"> hybrid funds</w:t>
      </w:r>
      <w:r w:rsidR="00E34F20" w:rsidRPr="00ED439E">
        <w:rPr>
          <w:rFonts w:ascii="Times New Roman" w:hAnsi="Times New Roman" w:cs="Times New Roman"/>
          <w:sz w:val="24"/>
          <w:szCs w:val="24"/>
          <w:highlight w:val="yellow"/>
        </w:rPr>
        <w:t>,</w:t>
      </w:r>
      <w:r w:rsidR="00DC49E8" w:rsidRPr="00ED439E">
        <w:rPr>
          <w:rFonts w:ascii="Times New Roman" w:hAnsi="Times New Roman" w:cs="Times New Roman"/>
          <w:sz w:val="24"/>
          <w:szCs w:val="24"/>
          <w:highlight w:val="yellow"/>
        </w:rPr>
        <w:t xml:space="preserve"> etc.</w:t>
      </w:r>
      <w:r w:rsidR="00E34F20" w:rsidRPr="00ED439E">
        <w:rPr>
          <w:rFonts w:ascii="Times New Roman" w:hAnsi="Times New Roman" w:cs="Times New Roman"/>
          <w:sz w:val="24"/>
          <w:szCs w:val="24"/>
          <w:highlight w:val="yellow"/>
        </w:rPr>
        <w:t>,</w:t>
      </w:r>
      <w:r w:rsidR="00DC49E8" w:rsidRPr="00ED439E">
        <w:rPr>
          <w:rFonts w:ascii="Times New Roman" w:hAnsi="Times New Roman" w:cs="Times New Roman"/>
          <w:sz w:val="24"/>
          <w:szCs w:val="24"/>
          <w:highlight w:val="yellow"/>
        </w:rPr>
        <w:t xml:space="preserve"> to</w:t>
      </w:r>
      <w:r w:rsidR="00E34F20" w:rsidRPr="00ED439E">
        <w:rPr>
          <w:rFonts w:ascii="Times New Roman" w:hAnsi="Times New Roman" w:cs="Times New Roman"/>
          <w:sz w:val="24"/>
          <w:szCs w:val="24"/>
          <w:highlight w:val="yellow"/>
        </w:rPr>
        <w:t xml:space="preserve"> </w:t>
      </w:r>
      <w:r w:rsidR="00624CB7" w:rsidRPr="00ED439E">
        <w:rPr>
          <w:rFonts w:ascii="Times New Roman" w:hAnsi="Times New Roman" w:cs="Times New Roman"/>
          <w:sz w:val="24"/>
          <w:szCs w:val="24"/>
          <w:highlight w:val="yellow"/>
        </w:rPr>
        <w:t>assess the resilience of Sharia</w:t>
      </w:r>
      <w:r w:rsidR="00ED439E" w:rsidRPr="00ED439E">
        <w:rPr>
          <w:rFonts w:ascii="Times New Roman" w:hAnsi="Times New Roman" w:cs="Times New Roman"/>
          <w:sz w:val="24"/>
          <w:szCs w:val="24"/>
          <w:highlight w:val="yellow"/>
        </w:rPr>
        <w:t>-</w:t>
      </w:r>
      <w:r w:rsidR="00624CB7" w:rsidRPr="00ED439E">
        <w:rPr>
          <w:rFonts w:ascii="Times New Roman" w:hAnsi="Times New Roman" w:cs="Times New Roman"/>
          <w:sz w:val="24"/>
          <w:szCs w:val="24"/>
          <w:highlight w:val="yellow"/>
        </w:rPr>
        <w:t>compl</w:t>
      </w:r>
      <w:r w:rsidR="00ED439E" w:rsidRPr="00ED439E">
        <w:rPr>
          <w:rFonts w:ascii="Times New Roman" w:hAnsi="Times New Roman" w:cs="Times New Roman"/>
          <w:sz w:val="24"/>
          <w:szCs w:val="24"/>
          <w:highlight w:val="yellow"/>
        </w:rPr>
        <w:t>ia</w:t>
      </w:r>
      <w:r w:rsidR="00624CB7" w:rsidRPr="00ED439E">
        <w:rPr>
          <w:rFonts w:ascii="Times New Roman" w:hAnsi="Times New Roman" w:cs="Times New Roman"/>
          <w:sz w:val="24"/>
          <w:szCs w:val="24"/>
          <w:highlight w:val="yellow"/>
        </w:rPr>
        <w:t xml:space="preserve">nt funds in </w:t>
      </w:r>
      <w:r w:rsidR="00ED439E" w:rsidRPr="00ED439E">
        <w:rPr>
          <w:rFonts w:ascii="Times New Roman" w:hAnsi="Times New Roman" w:cs="Times New Roman"/>
          <w:sz w:val="24"/>
          <w:szCs w:val="24"/>
          <w:highlight w:val="yellow"/>
        </w:rPr>
        <w:t xml:space="preserve">the </w:t>
      </w:r>
      <w:r w:rsidR="00624CB7" w:rsidRPr="00ED439E">
        <w:rPr>
          <w:rFonts w:ascii="Times New Roman" w:hAnsi="Times New Roman" w:cs="Times New Roman"/>
          <w:sz w:val="24"/>
          <w:szCs w:val="24"/>
          <w:highlight w:val="yellow"/>
        </w:rPr>
        <w:t>medium to long term.</w:t>
      </w:r>
      <w:r w:rsidR="00624CB7">
        <w:rPr>
          <w:rFonts w:ascii="Times New Roman" w:hAnsi="Times New Roman" w:cs="Times New Roman"/>
          <w:sz w:val="24"/>
          <w:szCs w:val="24"/>
        </w:rPr>
        <w:t xml:space="preserve"> </w:t>
      </w:r>
      <w:r w:rsidR="004B4D00">
        <w:rPr>
          <w:rFonts w:ascii="Times New Roman" w:hAnsi="Times New Roman" w:cs="Times New Roman"/>
          <w:sz w:val="24"/>
          <w:szCs w:val="24"/>
        </w:rPr>
        <w:t xml:space="preserve"> </w:t>
      </w:r>
    </w:p>
    <w:p w14:paraId="7A392B1D" w14:textId="77777777" w:rsidR="00487FAA" w:rsidRDefault="00487FAA">
      <w:pPr>
        <w:rPr>
          <w:rFonts w:ascii="Times New Roman" w:hAnsi="Times New Roman" w:cs="Times New Roman"/>
          <w:sz w:val="24"/>
          <w:szCs w:val="24"/>
        </w:rPr>
      </w:pPr>
    </w:p>
    <w:p w14:paraId="7E37ED05" w14:textId="77777777" w:rsidR="00A70C4A" w:rsidRDefault="00A70C4A">
      <w:pPr>
        <w:rPr>
          <w:rFonts w:ascii="Times New Roman" w:hAnsi="Times New Roman" w:cs="Times New Roman"/>
          <w:sz w:val="24"/>
          <w:szCs w:val="24"/>
        </w:rPr>
      </w:pPr>
      <w:r>
        <w:rPr>
          <w:rFonts w:ascii="Times New Roman" w:hAnsi="Times New Roman" w:cs="Times New Roman"/>
          <w:sz w:val="24"/>
          <w:szCs w:val="24"/>
        </w:rPr>
        <w:br w:type="page"/>
      </w:r>
    </w:p>
    <w:p w14:paraId="428CD1D3" w14:textId="77777777" w:rsidR="008928E6" w:rsidRPr="00DB7F78" w:rsidRDefault="008928E6" w:rsidP="009D1310">
      <w:pPr>
        <w:spacing w:after="0" w:line="480" w:lineRule="auto"/>
        <w:jc w:val="both"/>
        <w:rPr>
          <w:rFonts w:ascii="Times New Roman" w:hAnsi="Times New Roman" w:cs="Times New Roman"/>
          <w:b/>
          <w:sz w:val="24"/>
          <w:szCs w:val="24"/>
        </w:rPr>
      </w:pPr>
      <w:r w:rsidRPr="00DB7F78">
        <w:rPr>
          <w:rFonts w:ascii="Times New Roman" w:hAnsi="Times New Roman" w:cs="Times New Roman"/>
          <w:b/>
          <w:sz w:val="24"/>
          <w:szCs w:val="24"/>
        </w:rPr>
        <w:lastRenderedPageBreak/>
        <w:t>References</w:t>
      </w:r>
    </w:p>
    <w:p w14:paraId="4F9E3152" w14:textId="30EAC488" w:rsidR="002C68B6" w:rsidRPr="002C68B6" w:rsidRDefault="00A45AB7"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2C68B6" w:rsidRPr="002C68B6">
        <w:rPr>
          <w:rFonts w:ascii="Times New Roman" w:hAnsi="Times New Roman" w:cs="Times New Roman"/>
          <w:noProof/>
          <w:sz w:val="24"/>
          <w:szCs w:val="24"/>
        </w:rPr>
        <w:t xml:space="preserve">Al-Khazali, O., Lean, H. H., &amp; Samet, A. (2014). Do Islamic stock indexes outperform conventional stock indexes? A stochastic dominance approach. </w:t>
      </w:r>
      <w:r w:rsidR="002C68B6" w:rsidRPr="002C68B6">
        <w:rPr>
          <w:rFonts w:ascii="Times New Roman" w:hAnsi="Times New Roman" w:cs="Times New Roman"/>
          <w:i/>
          <w:iCs/>
          <w:noProof/>
          <w:sz w:val="24"/>
          <w:szCs w:val="24"/>
        </w:rPr>
        <w:t>Pacific Basin Finance Journal</w:t>
      </w:r>
      <w:r w:rsidR="002C68B6" w:rsidRPr="002C68B6">
        <w:rPr>
          <w:rFonts w:ascii="Times New Roman" w:hAnsi="Times New Roman" w:cs="Times New Roman"/>
          <w:noProof/>
          <w:sz w:val="24"/>
          <w:szCs w:val="24"/>
        </w:rPr>
        <w:t xml:space="preserve">, </w:t>
      </w:r>
      <w:r w:rsidR="002C68B6" w:rsidRPr="002C68B6">
        <w:rPr>
          <w:rFonts w:ascii="Times New Roman" w:hAnsi="Times New Roman" w:cs="Times New Roman"/>
          <w:i/>
          <w:iCs/>
          <w:noProof/>
          <w:sz w:val="24"/>
          <w:szCs w:val="24"/>
        </w:rPr>
        <w:t>28</w:t>
      </w:r>
      <w:r w:rsidR="002C68B6" w:rsidRPr="002C68B6">
        <w:rPr>
          <w:rFonts w:ascii="Times New Roman" w:hAnsi="Times New Roman" w:cs="Times New Roman"/>
          <w:noProof/>
          <w:sz w:val="24"/>
          <w:szCs w:val="24"/>
        </w:rPr>
        <w:t>, 29–46. https://doi.org/10.1016/j.pacfin.2013.09.003</w:t>
      </w:r>
    </w:p>
    <w:p w14:paraId="02D6F3C7"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Alam, N., Arshad, S., &amp; Rizvi, S. A. R. (2016). Do Islamic stock indices perform better than conventional counterparts? An empirical investigation of sectoral efficiency. </w:t>
      </w:r>
      <w:r w:rsidRPr="002C68B6">
        <w:rPr>
          <w:rFonts w:ascii="Times New Roman" w:hAnsi="Times New Roman" w:cs="Times New Roman"/>
          <w:i/>
          <w:iCs/>
          <w:noProof/>
          <w:sz w:val="24"/>
          <w:szCs w:val="24"/>
        </w:rPr>
        <w:t>Review of Financial Economics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31</w:t>
      </w:r>
      <w:r w:rsidRPr="002C68B6">
        <w:rPr>
          <w:rFonts w:ascii="Times New Roman" w:hAnsi="Times New Roman" w:cs="Times New Roman"/>
          <w:noProof/>
          <w:sz w:val="24"/>
          <w:szCs w:val="24"/>
        </w:rPr>
        <w:t>, 108–114. https://doi.org/10.1016/j.rfe.2016.06.003</w:t>
      </w:r>
    </w:p>
    <w:p w14:paraId="0B52DCBB"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Alda, M. (2019). ESG fund scores in UK SRI and conventional pension funds: Are the ESG concerns of the SRI niche affecting the conventional mainstream? </w:t>
      </w:r>
      <w:r w:rsidRPr="002C68B6">
        <w:rPr>
          <w:rFonts w:ascii="Times New Roman" w:hAnsi="Times New Roman" w:cs="Times New Roman"/>
          <w:i/>
          <w:iCs/>
          <w:noProof/>
          <w:sz w:val="24"/>
          <w:szCs w:val="24"/>
        </w:rPr>
        <w:t>Finance Research Letters</w:t>
      </w:r>
      <w:r w:rsidRPr="002C68B6">
        <w:rPr>
          <w:rFonts w:ascii="Times New Roman" w:hAnsi="Times New Roman" w:cs="Times New Roman"/>
          <w:noProof/>
          <w:sz w:val="24"/>
          <w:szCs w:val="24"/>
        </w:rPr>
        <w:t>, 101313. https://doi.org/10.1016/j.frl.2019.101313</w:t>
      </w:r>
    </w:p>
    <w:p w14:paraId="04EAB7B3"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Amar, A. Ben, Belaid, F., Youssef, A. Ben, Chiao, B., &amp; Guesmi, K. (2021). The unprecedented reaction of equity and commodity markets to COVID-19. </w:t>
      </w:r>
      <w:r w:rsidRPr="002C68B6">
        <w:rPr>
          <w:rFonts w:ascii="Times New Roman" w:hAnsi="Times New Roman" w:cs="Times New Roman"/>
          <w:i/>
          <w:iCs/>
          <w:noProof/>
          <w:sz w:val="24"/>
          <w:szCs w:val="24"/>
        </w:rPr>
        <w:t>Finance Research Letters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38</w:t>
      </w:r>
      <w:r w:rsidRPr="002C68B6">
        <w:rPr>
          <w:rFonts w:ascii="Times New Roman" w:hAnsi="Times New Roman" w:cs="Times New Roman"/>
          <w:noProof/>
          <w:sz w:val="24"/>
          <w:szCs w:val="24"/>
        </w:rPr>
        <w:t>, 101853. https://doi.org/10.1016/j.frl.2020.101853</w:t>
      </w:r>
    </w:p>
    <w:p w14:paraId="3B95F641"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Bellalah, M., &amp; Chayeh, Z. (2015). Advanced risk profile analysis of Islamic equity investment: Evidence from the American, Asian and European markets. </w:t>
      </w:r>
      <w:r w:rsidRPr="002C68B6">
        <w:rPr>
          <w:rFonts w:ascii="Times New Roman" w:hAnsi="Times New Roman" w:cs="Times New Roman"/>
          <w:i/>
          <w:iCs/>
          <w:noProof/>
          <w:sz w:val="24"/>
          <w:szCs w:val="24"/>
        </w:rPr>
        <w:t>Journal of Risk</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17</w:t>
      </w:r>
      <w:r w:rsidRPr="002C68B6">
        <w:rPr>
          <w:rFonts w:ascii="Times New Roman" w:hAnsi="Times New Roman" w:cs="Times New Roman"/>
          <w:noProof/>
          <w:sz w:val="24"/>
          <w:szCs w:val="24"/>
        </w:rPr>
        <w:t>(6), 73–99. https://doi.org/10.21314/JOR.2015.305</w:t>
      </w:r>
    </w:p>
    <w:p w14:paraId="0314FAF4"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Boo, Y. L., Ee, M. S., Li, B., &amp; Rashid, M. (2017). Islamic or conventional mutual funds: Who has the upper hand? Evidence from Malaysia. </w:t>
      </w:r>
      <w:r w:rsidRPr="002C68B6">
        <w:rPr>
          <w:rFonts w:ascii="Times New Roman" w:hAnsi="Times New Roman" w:cs="Times New Roman"/>
          <w:i/>
          <w:iCs/>
          <w:noProof/>
          <w:sz w:val="24"/>
          <w:szCs w:val="24"/>
        </w:rPr>
        <w:t>Pacific Basin Finance Journal</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42</w:t>
      </w:r>
      <w:r w:rsidRPr="002C68B6">
        <w:rPr>
          <w:rFonts w:ascii="Times New Roman" w:hAnsi="Times New Roman" w:cs="Times New Roman"/>
          <w:noProof/>
          <w:sz w:val="24"/>
          <w:szCs w:val="24"/>
        </w:rPr>
        <w:t>, 183–192. https://doi.org/10.1016/j.pacfin.2016.01.004</w:t>
      </w:r>
    </w:p>
    <w:p w14:paraId="56EC1F55"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Busse, J. A. (1999). Volatility timing in mutual funds: Evidence from daily returns. </w:t>
      </w:r>
      <w:r w:rsidRPr="002C68B6">
        <w:rPr>
          <w:rFonts w:ascii="Times New Roman" w:hAnsi="Times New Roman" w:cs="Times New Roman"/>
          <w:i/>
          <w:iCs/>
          <w:noProof/>
          <w:sz w:val="24"/>
          <w:szCs w:val="24"/>
        </w:rPr>
        <w:t>Review of Financial Studies</w:t>
      </w:r>
      <w:r w:rsidRPr="002C68B6">
        <w:rPr>
          <w:rFonts w:ascii="Times New Roman" w:hAnsi="Times New Roman" w:cs="Times New Roman"/>
          <w:noProof/>
          <w:sz w:val="24"/>
          <w:szCs w:val="24"/>
        </w:rPr>
        <w:t>. https://doi.org/10.1093/rfs/12.5.1009</w:t>
      </w:r>
    </w:p>
    <w:p w14:paraId="3B7ADEAB"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Cao, C., Iliev, P., &amp; Velthuis, R. (2017). Style drift: Evidence from small-cap mutual funds. </w:t>
      </w:r>
      <w:r w:rsidRPr="002C68B6">
        <w:rPr>
          <w:rFonts w:ascii="Times New Roman" w:hAnsi="Times New Roman" w:cs="Times New Roman"/>
          <w:i/>
          <w:iCs/>
          <w:noProof/>
          <w:sz w:val="24"/>
          <w:szCs w:val="24"/>
        </w:rPr>
        <w:t>Journal of Banking and Finance</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78</w:t>
      </w:r>
      <w:r w:rsidRPr="002C68B6">
        <w:rPr>
          <w:rFonts w:ascii="Times New Roman" w:hAnsi="Times New Roman" w:cs="Times New Roman"/>
          <w:noProof/>
          <w:sz w:val="24"/>
          <w:szCs w:val="24"/>
        </w:rPr>
        <w:t>, 42–57. https://doi.org/10.1016/j.jbankfin.2017.01.009</w:t>
      </w:r>
    </w:p>
    <w:p w14:paraId="73BD07FB"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Cheema, M. A., &amp; Nartea, G. V. (2018). Cross-sectional and time-series momentum returns: are Islamic stocks different? </w:t>
      </w:r>
      <w:r w:rsidRPr="002C68B6">
        <w:rPr>
          <w:rFonts w:ascii="Times New Roman" w:hAnsi="Times New Roman" w:cs="Times New Roman"/>
          <w:i/>
          <w:iCs/>
          <w:noProof/>
          <w:sz w:val="24"/>
          <w:szCs w:val="24"/>
        </w:rPr>
        <w:t>Applied Economics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50</w:t>
      </w:r>
      <w:r w:rsidRPr="002C68B6">
        <w:rPr>
          <w:rFonts w:ascii="Times New Roman" w:hAnsi="Times New Roman" w:cs="Times New Roman"/>
          <w:noProof/>
          <w:sz w:val="24"/>
          <w:szCs w:val="24"/>
        </w:rPr>
        <w:t>(54), 5830–5845. https://doi.org/10.1080/00036846.2018.1488068</w:t>
      </w:r>
    </w:p>
    <w:p w14:paraId="35E81B6D"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Damianov, D. S., &amp; Elsayed, A. H. (2020). Does Bitcoin add value to global industry portfolios? </w:t>
      </w:r>
      <w:r w:rsidRPr="002C68B6">
        <w:rPr>
          <w:rFonts w:ascii="Times New Roman" w:hAnsi="Times New Roman" w:cs="Times New Roman"/>
          <w:i/>
          <w:iCs/>
          <w:noProof/>
          <w:sz w:val="24"/>
          <w:szCs w:val="24"/>
        </w:rPr>
        <w:t>Economics Letters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191</w:t>
      </w:r>
      <w:r w:rsidRPr="002C68B6">
        <w:rPr>
          <w:rFonts w:ascii="Times New Roman" w:hAnsi="Times New Roman" w:cs="Times New Roman"/>
          <w:noProof/>
          <w:sz w:val="24"/>
          <w:szCs w:val="24"/>
        </w:rPr>
        <w:t>, 108935. https://doi.org/10.1016/j.econlet.2019.108935</w:t>
      </w:r>
    </w:p>
    <w:p w14:paraId="2470E629"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El-Masry, A. A., de Mingo-López, D. V., Matallín-Sáez, J. C., &amp; Tortosa-Ausina, E. (2016). Environmental conditions, fund characteristics, and Islamic orientation: An analysis of mutual fund performance for the MENA region. </w:t>
      </w:r>
      <w:r w:rsidRPr="002C68B6">
        <w:rPr>
          <w:rFonts w:ascii="Times New Roman" w:hAnsi="Times New Roman" w:cs="Times New Roman"/>
          <w:i/>
          <w:iCs/>
          <w:noProof/>
          <w:sz w:val="24"/>
          <w:szCs w:val="24"/>
        </w:rPr>
        <w:t>Journal of Economic Behavior and Organization</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132</w:t>
      </w:r>
      <w:r w:rsidRPr="002C68B6">
        <w:rPr>
          <w:rFonts w:ascii="Times New Roman" w:hAnsi="Times New Roman" w:cs="Times New Roman"/>
          <w:noProof/>
          <w:sz w:val="24"/>
          <w:szCs w:val="24"/>
        </w:rPr>
        <w:t>, 174–197. https://doi.org/10.1016/j.jebo.2016.10.015</w:t>
      </w:r>
    </w:p>
    <w:p w14:paraId="1A3A8A43"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Feyen, E., Alonso Gispert, T., Kliatskova, T., &amp; Mare, D. S. (2021). Financial Sector Policy Response to COVID-19 in Emerging Markets and Developing Economies. </w:t>
      </w:r>
      <w:r w:rsidRPr="002C68B6">
        <w:rPr>
          <w:rFonts w:ascii="Times New Roman" w:hAnsi="Times New Roman" w:cs="Times New Roman"/>
          <w:i/>
          <w:iCs/>
          <w:noProof/>
          <w:sz w:val="24"/>
          <w:szCs w:val="24"/>
        </w:rPr>
        <w:t>Journal of Banking &amp; Finance</w:t>
      </w:r>
      <w:r w:rsidRPr="002C68B6">
        <w:rPr>
          <w:rFonts w:ascii="Times New Roman" w:hAnsi="Times New Roman" w:cs="Times New Roman"/>
          <w:noProof/>
          <w:sz w:val="24"/>
          <w:szCs w:val="24"/>
        </w:rPr>
        <w:t>, 106184. https://doi.org/10.1016/j.jbankfin.2021.106184</w:t>
      </w:r>
    </w:p>
    <w:p w14:paraId="52D6FE3C"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Fry-McKibbin, R., Greenwood-Nimmo, M., Hsiao, C. Y.-L., &amp; Qi, L. (2021). Higher-order comoment contagion among G20 equity markets during the COVID-19 pandemic. </w:t>
      </w:r>
      <w:r w:rsidRPr="002C68B6">
        <w:rPr>
          <w:rFonts w:ascii="Times New Roman" w:hAnsi="Times New Roman" w:cs="Times New Roman"/>
          <w:i/>
          <w:iCs/>
          <w:noProof/>
          <w:sz w:val="24"/>
          <w:szCs w:val="24"/>
        </w:rPr>
        <w:t>Finance Research Letters</w:t>
      </w:r>
      <w:r w:rsidRPr="002C68B6">
        <w:rPr>
          <w:rFonts w:ascii="Times New Roman" w:hAnsi="Times New Roman" w:cs="Times New Roman"/>
          <w:noProof/>
          <w:sz w:val="24"/>
          <w:szCs w:val="24"/>
        </w:rPr>
        <w:t>, 102150. https://doi.org/10.1016/j.frl.2021.102150</w:t>
      </w:r>
    </w:p>
    <w:p w14:paraId="1CE43218"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Gubareva, M. (2020). The impact of Covid-19 on liquidity of emerging market bonds. </w:t>
      </w:r>
      <w:r w:rsidRPr="002C68B6">
        <w:rPr>
          <w:rFonts w:ascii="Times New Roman" w:hAnsi="Times New Roman" w:cs="Times New Roman"/>
          <w:i/>
          <w:iCs/>
          <w:noProof/>
          <w:sz w:val="24"/>
          <w:szCs w:val="24"/>
        </w:rPr>
        <w:t>Finance Research Letters</w:t>
      </w:r>
      <w:r w:rsidRPr="002C68B6">
        <w:rPr>
          <w:rFonts w:ascii="Times New Roman" w:hAnsi="Times New Roman" w:cs="Times New Roman"/>
          <w:noProof/>
          <w:sz w:val="24"/>
          <w:szCs w:val="24"/>
        </w:rPr>
        <w:t>, 101826. https://doi.org/10.1016/j.frl.2020.101826</w:t>
      </w:r>
    </w:p>
    <w:p w14:paraId="79628494"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lastRenderedPageBreak/>
        <w:t xml:space="preserve">Guo, X., Zhu, X., Wong, W. K., &amp; Zhu, L. (2013). A note on almost stochastic dominance. </w:t>
      </w:r>
      <w:r w:rsidRPr="002C68B6">
        <w:rPr>
          <w:rFonts w:ascii="Times New Roman" w:hAnsi="Times New Roman" w:cs="Times New Roman"/>
          <w:i/>
          <w:iCs/>
          <w:noProof/>
          <w:sz w:val="24"/>
          <w:szCs w:val="24"/>
        </w:rPr>
        <w:t>Economics Letters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121</w:t>
      </w:r>
      <w:r w:rsidRPr="002C68B6">
        <w:rPr>
          <w:rFonts w:ascii="Times New Roman" w:hAnsi="Times New Roman" w:cs="Times New Roman"/>
          <w:noProof/>
          <w:sz w:val="24"/>
          <w:szCs w:val="24"/>
        </w:rPr>
        <w:t>(2), 252–256. https://doi.org/10.1016/j.econlet.2013.08.020</w:t>
      </w:r>
    </w:p>
    <w:p w14:paraId="53851501"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Hansen, P. R., &amp; Lunde, A. (2005). A forecast comparison of volatility models: Does anything beat a GARCH(1,1)? </w:t>
      </w:r>
      <w:r w:rsidRPr="002C68B6">
        <w:rPr>
          <w:rFonts w:ascii="Times New Roman" w:hAnsi="Times New Roman" w:cs="Times New Roman"/>
          <w:i/>
          <w:iCs/>
          <w:noProof/>
          <w:sz w:val="24"/>
          <w:szCs w:val="24"/>
        </w:rPr>
        <w:t>Journal of Applied Econometrics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20</w:t>
      </w:r>
      <w:r w:rsidRPr="002C68B6">
        <w:rPr>
          <w:rFonts w:ascii="Times New Roman" w:hAnsi="Times New Roman" w:cs="Times New Roman"/>
          <w:noProof/>
          <w:sz w:val="24"/>
          <w:szCs w:val="24"/>
        </w:rPr>
        <w:t>(7), 873–889. https://doi.org/10.1002/jae.800</w:t>
      </w:r>
    </w:p>
    <w:p w14:paraId="3383AF4A"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Hayat, R., &amp; Kraeussl, R. (2011). Risk and return characteristics of Islamic equity funds. </w:t>
      </w:r>
      <w:r w:rsidRPr="002C68B6">
        <w:rPr>
          <w:rFonts w:ascii="Times New Roman" w:hAnsi="Times New Roman" w:cs="Times New Roman"/>
          <w:i/>
          <w:iCs/>
          <w:noProof/>
          <w:sz w:val="24"/>
          <w:szCs w:val="24"/>
        </w:rPr>
        <w:t>Emerging Markets Review</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12</w:t>
      </w:r>
      <w:r w:rsidRPr="002C68B6">
        <w:rPr>
          <w:rFonts w:ascii="Times New Roman" w:hAnsi="Times New Roman" w:cs="Times New Roman"/>
          <w:noProof/>
          <w:sz w:val="24"/>
          <w:szCs w:val="24"/>
        </w:rPr>
        <w:t>(2), 189–203. https://doi.org/10.1016/j.ememar.2011.02.002</w:t>
      </w:r>
    </w:p>
    <w:p w14:paraId="5DE8813F"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Hoepner, A. G. F., Rammal, H. G., &amp; Rezec, M. (2011). Islamic mutual funds’ financial performance and international investment style: Evidence from 20 countries. </w:t>
      </w:r>
      <w:r w:rsidRPr="002C68B6">
        <w:rPr>
          <w:rFonts w:ascii="Times New Roman" w:hAnsi="Times New Roman" w:cs="Times New Roman"/>
          <w:i/>
          <w:iCs/>
          <w:noProof/>
          <w:sz w:val="24"/>
          <w:szCs w:val="24"/>
        </w:rPr>
        <w:t>European Journal of Finance</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17</w:t>
      </w:r>
      <w:r w:rsidRPr="002C68B6">
        <w:rPr>
          <w:rFonts w:ascii="Times New Roman" w:hAnsi="Times New Roman" w:cs="Times New Roman"/>
          <w:noProof/>
          <w:sz w:val="24"/>
          <w:szCs w:val="24"/>
        </w:rPr>
        <w:t>(9–10), 829–850. https://doi.org/10.1080/1351847X.2010.538521</w:t>
      </w:r>
    </w:p>
    <w:p w14:paraId="3BB34626"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Hsu, C. C., &amp; Chen, M. L. (2017). The timing of low-volatility strategy. </w:t>
      </w:r>
      <w:r w:rsidRPr="002C68B6">
        <w:rPr>
          <w:rFonts w:ascii="Times New Roman" w:hAnsi="Times New Roman" w:cs="Times New Roman"/>
          <w:i/>
          <w:iCs/>
          <w:noProof/>
          <w:sz w:val="24"/>
          <w:szCs w:val="24"/>
        </w:rPr>
        <w:t>Finance Research Letters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23</w:t>
      </w:r>
      <w:r w:rsidRPr="002C68B6">
        <w:rPr>
          <w:rFonts w:ascii="Times New Roman" w:hAnsi="Times New Roman" w:cs="Times New Roman"/>
          <w:noProof/>
          <w:sz w:val="24"/>
          <w:szCs w:val="24"/>
        </w:rPr>
        <w:t>, 114–120. https://doi.org/10.1016/j.frl.2017.05.014</w:t>
      </w:r>
    </w:p>
    <w:p w14:paraId="6796E7BC"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Jensen, M. C. (1968). The Performance of Mutual Funds in the Period 1945-1964. </w:t>
      </w:r>
      <w:r w:rsidRPr="002C68B6">
        <w:rPr>
          <w:rFonts w:ascii="Times New Roman" w:hAnsi="Times New Roman" w:cs="Times New Roman"/>
          <w:i/>
          <w:iCs/>
          <w:noProof/>
          <w:sz w:val="24"/>
          <w:szCs w:val="24"/>
        </w:rPr>
        <w:t>The Journal of Finance</w:t>
      </w:r>
      <w:r w:rsidRPr="002C68B6">
        <w:rPr>
          <w:rFonts w:ascii="Times New Roman" w:hAnsi="Times New Roman" w:cs="Times New Roman"/>
          <w:noProof/>
          <w:sz w:val="24"/>
          <w:szCs w:val="24"/>
        </w:rPr>
        <w:t>. https://doi.org/10.2307/2325404</w:t>
      </w:r>
    </w:p>
    <w:p w14:paraId="2344FF86"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Kaiser, L. (2020). ESG integration: value, growth and momentum. </w:t>
      </w:r>
      <w:r w:rsidRPr="002C68B6">
        <w:rPr>
          <w:rFonts w:ascii="Times New Roman" w:hAnsi="Times New Roman" w:cs="Times New Roman"/>
          <w:i/>
          <w:iCs/>
          <w:noProof/>
          <w:sz w:val="24"/>
          <w:szCs w:val="24"/>
        </w:rPr>
        <w:t>Journal of Asset Management</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21</w:t>
      </w:r>
      <w:r w:rsidRPr="002C68B6">
        <w:rPr>
          <w:rFonts w:ascii="Times New Roman" w:hAnsi="Times New Roman" w:cs="Times New Roman"/>
          <w:noProof/>
          <w:sz w:val="24"/>
          <w:szCs w:val="24"/>
        </w:rPr>
        <w:t>(1), 32–51. https://doi.org/10.1057/s41260-019-00148-y</w:t>
      </w:r>
    </w:p>
    <w:p w14:paraId="290B848F"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Lesser, K., &amp; Walkshäusl, C. (2018). International islamic funds. </w:t>
      </w:r>
      <w:r w:rsidRPr="002C68B6">
        <w:rPr>
          <w:rFonts w:ascii="Times New Roman" w:hAnsi="Times New Roman" w:cs="Times New Roman"/>
          <w:i/>
          <w:iCs/>
          <w:noProof/>
          <w:sz w:val="24"/>
          <w:szCs w:val="24"/>
        </w:rPr>
        <w:t>Review of Financial Economics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36</w:t>
      </w:r>
      <w:r w:rsidRPr="002C68B6">
        <w:rPr>
          <w:rFonts w:ascii="Times New Roman" w:hAnsi="Times New Roman" w:cs="Times New Roman"/>
          <w:noProof/>
          <w:sz w:val="24"/>
          <w:szCs w:val="24"/>
        </w:rPr>
        <w:t>(1). https://doi.org/10.1016/j.rfe.2017.09.003</w:t>
      </w:r>
    </w:p>
    <w:p w14:paraId="39E9235D"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Moreira, A., &amp; Muir, T. (2019). Should Long-Term Investors Time Volatility? </w:t>
      </w:r>
      <w:r w:rsidRPr="002C68B6">
        <w:rPr>
          <w:rFonts w:ascii="Times New Roman" w:hAnsi="Times New Roman" w:cs="Times New Roman"/>
          <w:i/>
          <w:iCs/>
          <w:noProof/>
          <w:sz w:val="24"/>
          <w:szCs w:val="24"/>
        </w:rPr>
        <w:t>Journal of Financial Economics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131</w:t>
      </w:r>
      <w:r w:rsidRPr="002C68B6">
        <w:rPr>
          <w:rFonts w:ascii="Times New Roman" w:hAnsi="Times New Roman" w:cs="Times New Roman"/>
          <w:noProof/>
          <w:sz w:val="24"/>
          <w:szCs w:val="24"/>
        </w:rPr>
        <w:t>(3), 507–527. https://doi.org/10.1016/j.jfineco.2018.09.011</w:t>
      </w:r>
    </w:p>
    <w:p w14:paraId="3FFE7037"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Otero-González, L., &amp; Durán-Santomil, P. (2021). Is quantitative and qualitative information relevant for choosing mutual funds? </w:t>
      </w:r>
      <w:r w:rsidRPr="002C68B6">
        <w:rPr>
          <w:rFonts w:ascii="Times New Roman" w:hAnsi="Times New Roman" w:cs="Times New Roman"/>
          <w:i/>
          <w:iCs/>
          <w:noProof/>
          <w:sz w:val="24"/>
          <w:szCs w:val="24"/>
        </w:rPr>
        <w:t>Journal of Business Research</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123</w:t>
      </w:r>
      <w:r w:rsidRPr="002C68B6">
        <w:rPr>
          <w:rFonts w:ascii="Times New Roman" w:hAnsi="Times New Roman" w:cs="Times New Roman"/>
          <w:noProof/>
          <w:sz w:val="24"/>
          <w:szCs w:val="24"/>
        </w:rPr>
        <w:t>, 476–488. https://doi.org/10.1016/j.jbusres.2020.10.015</w:t>
      </w:r>
    </w:p>
    <w:p w14:paraId="1F23C81F"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Parikh, H. (2019). Emerging market equity benchmarks for Japanese investors: countries, sectors or styles? </w:t>
      </w:r>
      <w:r w:rsidRPr="002C68B6">
        <w:rPr>
          <w:rFonts w:ascii="Times New Roman" w:hAnsi="Times New Roman" w:cs="Times New Roman"/>
          <w:i/>
          <w:iCs/>
          <w:noProof/>
          <w:sz w:val="24"/>
          <w:szCs w:val="24"/>
        </w:rPr>
        <w:t>Journal of Asset Management</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20</w:t>
      </w:r>
      <w:r w:rsidRPr="002C68B6">
        <w:rPr>
          <w:rFonts w:ascii="Times New Roman" w:hAnsi="Times New Roman" w:cs="Times New Roman"/>
          <w:noProof/>
          <w:sz w:val="24"/>
          <w:szCs w:val="24"/>
        </w:rPr>
        <w:t>(4), 289–300. https://doi.org/10.1057/s41260-019-00123-7</w:t>
      </w:r>
    </w:p>
    <w:p w14:paraId="3AC11472"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Peillex, J., Erragragui, E., Bitar, M., &amp; Benlemlih, M. (2019). The contribution of market movements, asset allocation and active management to Islamic equity funds’ performance. </w:t>
      </w:r>
      <w:r w:rsidRPr="002C68B6">
        <w:rPr>
          <w:rFonts w:ascii="Times New Roman" w:hAnsi="Times New Roman" w:cs="Times New Roman"/>
          <w:i/>
          <w:iCs/>
          <w:noProof/>
          <w:sz w:val="24"/>
          <w:szCs w:val="24"/>
        </w:rPr>
        <w:t>Quarterly Review of Economics and Finance</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74</w:t>
      </w:r>
      <w:r w:rsidRPr="002C68B6">
        <w:rPr>
          <w:rFonts w:ascii="Times New Roman" w:hAnsi="Times New Roman" w:cs="Times New Roman"/>
          <w:noProof/>
          <w:sz w:val="24"/>
          <w:szCs w:val="24"/>
        </w:rPr>
        <w:t>, 32–38. https://doi.org/10.1016/j.qref.2018.03.013</w:t>
      </w:r>
    </w:p>
    <w:p w14:paraId="1C3A2252"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Pezier, J., &amp; White, A. (2006). The Relative Merits of Investable Hedge Fund Indices and of Funds of Hedge Funds in Optimal Passive Portfolios. </w:t>
      </w:r>
      <w:r w:rsidRPr="002C68B6">
        <w:rPr>
          <w:rFonts w:ascii="Times New Roman" w:hAnsi="Times New Roman" w:cs="Times New Roman"/>
          <w:i/>
          <w:iCs/>
          <w:noProof/>
          <w:sz w:val="24"/>
          <w:szCs w:val="24"/>
        </w:rPr>
        <w:t>ICMA Centre Discussion Papers in Finance</w:t>
      </w:r>
      <w:r w:rsidRPr="002C68B6">
        <w:rPr>
          <w:rFonts w:ascii="Times New Roman" w:hAnsi="Times New Roman" w:cs="Times New Roman"/>
          <w:noProof/>
          <w:sz w:val="24"/>
          <w:szCs w:val="24"/>
        </w:rPr>
        <w:t>, 1–32.</w:t>
      </w:r>
    </w:p>
    <w:p w14:paraId="7D437382"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Reddy, K., Mirza, N., Naqvi, B., &amp; Fu, M. (2017). Comparative risk adjusted performance of Islamic, socially responsible and conventional funds: Evidence from United Kingdom. </w:t>
      </w:r>
      <w:r w:rsidRPr="002C68B6">
        <w:rPr>
          <w:rFonts w:ascii="Times New Roman" w:hAnsi="Times New Roman" w:cs="Times New Roman"/>
          <w:i/>
          <w:iCs/>
          <w:noProof/>
          <w:sz w:val="24"/>
          <w:szCs w:val="24"/>
        </w:rPr>
        <w:t>Economic Modelling</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66</w:t>
      </w:r>
      <w:r w:rsidRPr="002C68B6">
        <w:rPr>
          <w:rFonts w:ascii="Times New Roman" w:hAnsi="Times New Roman" w:cs="Times New Roman"/>
          <w:noProof/>
          <w:sz w:val="24"/>
          <w:szCs w:val="24"/>
        </w:rPr>
        <w:t>. https://doi.org/10.1016/j.econmod.2017.07.007</w:t>
      </w:r>
    </w:p>
    <w:p w14:paraId="1FB34C9F"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Reddy, Krishna, Mirza, N., Naqvi, B., &amp; Fu, M. (2017). Comparative risk adjusted performance of Islamic, socially responsible and conventional funds: Evidence from United Kingdom. </w:t>
      </w:r>
      <w:r w:rsidRPr="002C68B6">
        <w:rPr>
          <w:rFonts w:ascii="Times New Roman" w:hAnsi="Times New Roman" w:cs="Times New Roman"/>
          <w:i/>
          <w:iCs/>
          <w:noProof/>
          <w:sz w:val="24"/>
          <w:szCs w:val="24"/>
        </w:rPr>
        <w:t>Economic Modelling</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66</w:t>
      </w:r>
      <w:r w:rsidRPr="002C68B6">
        <w:rPr>
          <w:rFonts w:ascii="Times New Roman" w:hAnsi="Times New Roman" w:cs="Times New Roman"/>
          <w:noProof/>
          <w:sz w:val="24"/>
          <w:szCs w:val="24"/>
        </w:rPr>
        <w:t>, 233–243. https://doi.org/10.1016/j.econmod.2017.07.007</w:t>
      </w:r>
    </w:p>
    <w:p w14:paraId="3C8F361F"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Rizvi, S. K. A., Mirza, N., Naqvi, B., &amp; Rahat, B. (2020). Covid-19 and asset management in EU: a preliminary assessment of performance and investment styles. </w:t>
      </w:r>
      <w:r w:rsidRPr="002C68B6">
        <w:rPr>
          <w:rFonts w:ascii="Times New Roman" w:hAnsi="Times New Roman" w:cs="Times New Roman"/>
          <w:i/>
          <w:iCs/>
          <w:noProof/>
          <w:sz w:val="24"/>
          <w:szCs w:val="24"/>
        </w:rPr>
        <w:t xml:space="preserve">Journal of Asset </w:t>
      </w:r>
      <w:r w:rsidRPr="002C68B6">
        <w:rPr>
          <w:rFonts w:ascii="Times New Roman" w:hAnsi="Times New Roman" w:cs="Times New Roman"/>
          <w:i/>
          <w:iCs/>
          <w:noProof/>
          <w:sz w:val="24"/>
          <w:szCs w:val="24"/>
        </w:rPr>
        <w:lastRenderedPageBreak/>
        <w:t>Management</w:t>
      </w:r>
      <w:r w:rsidRPr="002C68B6">
        <w:rPr>
          <w:rFonts w:ascii="Times New Roman" w:hAnsi="Times New Roman" w:cs="Times New Roman"/>
          <w:noProof/>
          <w:sz w:val="24"/>
          <w:szCs w:val="24"/>
        </w:rPr>
        <w:t>, 1–11. https://doi.org/10.1057/s41260-020-00172-3</w:t>
      </w:r>
    </w:p>
    <w:p w14:paraId="5D1C0C3E"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Sha, Y. (2020). The devil in the style: Mutual fund style drift, performance and common risk factors. </w:t>
      </w:r>
      <w:r w:rsidRPr="002C68B6">
        <w:rPr>
          <w:rFonts w:ascii="Times New Roman" w:hAnsi="Times New Roman" w:cs="Times New Roman"/>
          <w:i/>
          <w:iCs/>
          <w:noProof/>
          <w:sz w:val="24"/>
          <w:szCs w:val="24"/>
        </w:rPr>
        <w:t>Economic Modelling</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86</w:t>
      </w:r>
      <w:r w:rsidRPr="002C68B6">
        <w:rPr>
          <w:rFonts w:ascii="Times New Roman" w:hAnsi="Times New Roman" w:cs="Times New Roman"/>
          <w:noProof/>
          <w:sz w:val="24"/>
          <w:szCs w:val="24"/>
        </w:rPr>
        <w:t>, 264–273. https://doi.org/10.1016/j.econmod.2019.10.004</w:t>
      </w:r>
    </w:p>
    <w:p w14:paraId="180E7D38"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Sharpe, W. (1992). Asset allocation: Management style and performance measurement. </w:t>
      </w:r>
      <w:r w:rsidRPr="002C68B6">
        <w:rPr>
          <w:rFonts w:ascii="Times New Roman" w:hAnsi="Times New Roman" w:cs="Times New Roman"/>
          <w:i/>
          <w:iCs/>
          <w:noProof/>
          <w:sz w:val="24"/>
          <w:szCs w:val="24"/>
        </w:rPr>
        <w:t>The Journal of Portfolio Management</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18</w:t>
      </w:r>
      <w:r w:rsidRPr="002C68B6">
        <w:rPr>
          <w:rFonts w:ascii="Times New Roman" w:hAnsi="Times New Roman" w:cs="Times New Roman"/>
          <w:noProof/>
          <w:sz w:val="24"/>
          <w:szCs w:val="24"/>
        </w:rPr>
        <w:t>(2), 7–19. https://doi.org/10.3905/jpm.1992.409394</w:t>
      </w:r>
    </w:p>
    <w:p w14:paraId="7EE686E3"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Sharpe, W. F. (1966). Mutual Fund Performance. </w:t>
      </w:r>
      <w:r w:rsidRPr="002C68B6">
        <w:rPr>
          <w:rFonts w:ascii="Times New Roman" w:hAnsi="Times New Roman" w:cs="Times New Roman"/>
          <w:i/>
          <w:iCs/>
          <w:noProof/>
          <w:sz w:val="24"/>
          <w:szCs w:val="24"/>
        </w:rPr>
        <w:t>The Journal of Business</w:t>
      </w:r>
      <w:r w:rsidRPr="002C68B6">
        <w:rPr>
          <w:rFonts w:ascii="Times New Roman" w:hAnsi="Times New Roman" w:cs="Times New Roman"/>
          <w:noProof/>
          <w:sz w:val="24"/>
          <w:szCs w:val="24"/>
        </w:rPr>
        <w:t>. https://doi.org/10.1086/294846</w:t>
      </w:r>
    </w:p>
    <w:p w14:paraId="6CD19F7C"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Shen, X., Tsui, A. K., &amp; Zhang, Z. (2019). Volatility timing in CPF investment funds in Singapore: Do they outperform non-CPF funds? </w:t>
      </w:r>
      <w:r w:rsidRPr="002C68B6">
        <w:rPr>
          <w:rFonts w:ascii="Times New Roman" w:hAnsi="Times New Roman" w:cs="Times New Roman"/>
          <w:i/>
          <w:iCs/>
          <w:noProof/>
          <w:sz w:val="24"/>
          <w:szCs w:val="24"/>
        </w:rPr>
        <w:t>Risks</w:t>
      </w:r>
      <w:r w:rsidRPr="002C68B6">
        <w:rPr>
          <w:rFonts w:ascii="Times New Roman" w:hAnsi="Times New Roman" w:cs="Times New Roman"/>
          <w:noProof/>
          <w:sz w:val="24"/>
          <w:szCs w:val="24"/>
        </w:rPr>
        <w:t>. https://doi.org/10.3390/risks7040106</w:t>
      </w:r>
    </w:p>
    <w:p w14:paraId="40E03CFA"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Sortino, F. A., &amp; Price, L. N. (1994). Performance Measurement in a Downside Risk Framework. </w:t>
      </w:r>
      <w:r w:rsidRPr="002C68B6">
        <w:rPr>
          <w:rFonts w:ascii="Times New Roman" w:hAnsi="Times New Roman" w:cs="Times New Roman"/>
          <w:i/>
          <w:iCs/>
          <w:noProof/>
          <w:sz w:val="24"/>
          <w:szCs w:val="24"/>
        </w:rPr>
        <w:t>The Journal of Investing</w:t>
      </w:r>
      <w:r w:rsidRPr="002C68B6">
        <w:rPr>
          <w:rFonts w:ascii="Times New Roman" w:hAnsi="Times New Roman" w:cs="Times New Roman"/>
          <w:noProof/>
          <w:sz w:val="24"/>
          <w:szCs w:val="24"/>
        </w:rPr>
        <w:t>. https://doi.org/10.3905/joi.3.3.59</w:t>
      </w:r>
    </w:p>
    <w:p w14:paraId="75901012"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Tee, L. T., Kew, S. R., &amp; Low, S. W. (2019). Do momentum strategies perform better for Islamic stocks than for conventional stocks across market states? </w:t>
      </w:r>
      <w:r w:rsidRPr="002C68B6">
        <w:rPr>
          <w:rFonts w:ascii="Times New Roman" w:hAnsi="Times New Roman" w:cs="Times New Roman"/>
          <w:i/>
          <w:iCs/>
          <w:noProof/>
          <w:sz w:val="24"/>
          <w:szCs w:val="24"/>
        </w:rPr>
        <w:t>Economic Annals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64</w:t>
      </w:r>
      <w:r w:rsidRPr="002C68B6">
        <w:rPr>
          <w:rFonts w:ascii="Times New Roman" w:hAnsi="Times New Roman" w:cs="Times New Roman"/>
          <w:noProof/>
          <w:sz w:val="24"/>
          <w:szCs w:val="24"/>
        </w:rPr>
        <w:t>(221), 107–129. https://doi.org/10.2298/EKA1921107T</w:t>
      </w:r>
    </w:p>
    <w:p w14:paraId="32C566CB"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Uddin, G. S., Arreola Hernandez, J., Labidi, C., Troster, V., &amp; Yoon, S. M. (2019). The impact of financial and economic factors on Islamic mutual fund performance: Evidence from multiple fund categories. </w:t>
      </w:r>
      <w:r w:rsidRPr="002C68B6">
        <w:rPr>
          <w:rFonts w:ascii="Times New Roman" w:hAnsi="Times New Roman" w:cs="Times New Roman"/>
          <w:i/>
          <w:iCs/>
          <w:noProof/>
          <w:sz w:val="24"/>
          <w:szCs w:val="24"/>
        </w:rPr>
        <w:t>Journal of Multinational Financial Management</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52</w:t>
      </w:r>
      <w:r w:rsidRPr="002C68B6">
        <w:rPr>
          <w:rFonts w:ascii="Times New Roman" w:hAnsi="Times New Roman" w:cs="Times New Roman"/>
          <w:noProof/>
          <w:sz w:val="24"/>
          <w:szCs w:val="24"/>
        </w:rPr>
        <w:t>–</w:t>
      </w:r>
      <w:r w:rsidRPr="002C68B6">
        <w:rPr>
          <w:rFonts w:ascii="Times New Roman" w:hAnsi="Times New Roman" w:cs="Times New Roman"/>
          <w:i/>
          <w:iCs/>
          <w:noProof/>
          <w:sz w:val="24"/>
          <w:szCs w:val="24"/>
        </w:rPr>
        <w:t>53</w:t>
      </w:r>
      <w:r w:rsidRPr="002C68B6">
        <w:rPr>
          <w:rFonts w:ascii="Times New Roman" w:hAnsi="Times New Roman" w:cs="Times New Roman"/>
          <w:noProof/>
          <w:sz w:val="24"/>
          <w:szCs w:val="24"/>
        </w:rPr>
        <w:t>, 100607. https://doi.org/10.1016/j.mulfin.2019.100607</w:t>
      </w:r>
    </w:p>
    <w:p w14:paraId="5A055515"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Uddin, G. S., Hernandez, J. A., Shahzad, S. J. H., &amp; Yoon, S. M. (2018). Time-varying evidence of efficiency, decoupling, and diversification of conventional and Islamic stocks. </w:t>
      </w:r>
      <w:r w:rsidRPr="002C68B6">
        <w:rPr>
          <w:rFonts w:ascii="Times New Roman" w:hAnsi="Times New Roman" w:cs="Times New Roman"/>
          <w:i/>
          <w:iCs/>
          <w:noProof/>
          <w:sz w:val="24"/>
          <w:szCs w:val="24"/>
        </w:rPr>
        <w:t>International Review of Financial Analysis</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56</w:t>
      </w:r>
      <w:r w:rsidRPr="002C68B6">
        <w:rPr>
          <w:rFonts w:ascii="Times New Roman" w:hAnsi="Times New Roman" w:cs="Times New Roman"/>
          <w:noProof/>
          <w:sz w:val="24"/>
          <w:szCs w:val="24"/>
        </w:rPr>
        <w:t>, 167–180. https://doi.org/10.1016/j.irfa.2018.01.008</w:t>
      </w:r>
    </w:p>
    <w:p w14:paraId="199DF095"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Umar, M., Ji, X., Mirza, N., &amp; Rahat, B. (2021). The impact of resource curse on banking efficiency: Evidence from twelve oil producing countries. </w:t>
      </w:r>
      <w:r w:rsidRPr="002C68B6">
        <w:rPr>
          <w:rFonts w:ascii="Times New Roman" w:hAnsi="Times New Roman" w:cs="Times New Roman"/>
          <w:i/>
          <w:iCs/>
          <w:noProof/>
          <w:sz w:val="24"/>
          <w:szCs w:val="24"/>
        </w:rPr>
        <w:t>Resources Policy</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72</w:t>
      </w:r>
      <w:r w:rsidRPr="002C68B6">
        <w:rPr>
          <w:rFonts w:ascii="Times New Roman" w:hAnsi="Times New Roman" w:cs="Times New Roman"/>
          <w:noProof/>
          <w:sz w:val="24"/>
          <w:szCs w:val="24"/>
        </w:rPr>
        <w:t>, 102080. https://doi.org/10.1016/j.resourpol.2021.102080</w:t>
      </w:r>
    </w:p>
    <w:p w14:paraId="5B233176"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Umar, Z. (2017). Islamic vs conventional equities in a strategic asset allocation framework. </w:t>
      </w:r>
      <w:r w:rsidRPr="002C68B6">
        <w:rPr>
          <w:rFonts w:ascii="Times New Roman" w:hAnsi="Times New Roman" w:cs="Times New Roman"/>
          <w:i/>
          <w:iCs/>
          <w:noProof/>
          <w:sz w:val="24"/>
          <w:szCs w:val="24"/>
        </w:rPr>
        <w:t>Pacific Basin Finance Journal</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42</w:t>
      </w:r>
      <w:r w:rsidRPr="002C68B6">
        <w:rPr>
          <w:rFonts w:ascii="Times New Roman" w:hAnsi="Times New Roman" w:cs="Times New Roman"/>
          <w:noProof/>
          <w:sz w:val="24"/>
          <w:szCs w:val="24"/>
        </w:rPr>
        <w:t>, 1–10. https://doi.org/10.1016/j.pacfin.2015.10.006</w:t>
      </w:r>
    </w:p>
    <w:p w14:paraId="702D5195"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C68B6">
        <w:rPr>
          <w:rFonts w:ascii="Times New Roman" w:hAnsi="Times New Roman" w:cs="Times New Roman"/>
          <w:noProof/>
          <w:sz w:val="24"/>
          <w:szCs w:val="24"/>
        </w:rPr>
        <w:t xml:space="preserve">Vinod, H. D. (2004). Ranking mutual funds using unconventional utility theory and stochastic dominance. </w:t>
      </w:r>
      <w:r w:rsidRPr="002C68B6">
        <w:rPr>
          <w:rFonts w:ascii="Times New Roman" w:hAnsi="Times New Roman" w:cs="Times New Roman"/>
          <w:i/>
          <w:iCs/>
          <w:noProof/>
          <w:sz w:val="24"/>
          <w:szCs w:val="24"/>
        </w:rPr>
        <w:t>Journal of Empirical Finance</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11</w:t>
      </w:r>
      <w:r w:rsidRPr="002C68B6">
        <w:rPr>
          <w:rFonts w:ascii="Times New Roman" w:hAnsi="Times New Roman" w:cs="Times New Roman"/>
          <w:noProof/>
          <w:sz w:val="24"/>
          <w:szCs w:val="24"/>
        </w:rPr>
        <w:t>(3), 353–377. https://doi.org/10.1016/j.jempfin.2003.06.002</w:t>
      </w:r>
    </w:p>
    <w:p w14:paraId="159FB98B" w14:textId="77777777" w:rsidR="002C68B6" w:rsidRPr="002C68B6" w:rsidRDefault="002C68B6" w:rsidP="002C68B6">
      <w:pPr>
        <w:widowControl w:val="0"/>
        <w:autoSpaceDE w:val="0"/>
        <w:autoSpaceDN w:val="0"/>
        <w:adjustRightInd w:val="0"/>
        <w:spacing w:after="120" w:line="240" w:lineRule="auto"/>
        <w:ind w:left="480" w:hanging="480"/>
        <w:rPr>
          <w:rFonts w:ascii="Times New Roman" w:hAnsi="Times New Roman" w:cs="Times New Roman"/>
          <w:noProof/>
          <w:sz w:val="24"/>
        </w:rPr>
      </w:pPr>
      <w:r w:rsidRPr="002C68B6">
        <w:rPr>
          <w:rFonts w:ascii="Times New Roman" w:hAnsi="Times New Roman" w:cs="Times New Roman"/>
          <w:noProof/>
          <w:sz w:val="24"/>
          <w:szCs w:val="24"/>
        </w:rPr>
        <w:t xml:space="preserve">Wong, W. K., Phoon, K. F., &amp; Lean, H. H. (2008). Stochastic dominance analysis of Asian hedge funds. </w:t>
      </w:r>
      <w:r w:rsidRPr="002C68B6">
        <w:rPr>
          <w:rFonts w:ascii="Times New Roman" w:hAnsi="Times New Roman" w:cs="Times New Roman"/>
          <w:i/>
          <w:iCs/>
          <w:noProof/>
          <w:sz w:val="24"/>
          <w:szCs w:val="24"/>
        </w:rPr>
        <w:t>Pacific Basin Finance Journal</w:t>
      </w:r>
      <w:r w:rsidRPr="002C68B6">
        <w:rPr>
          <w:rFonts w:ascii="Times New Roman" w:hAnsi="Times New Roman" w:cs="Times New Roman"/>
          <w:noProof/>
          <w:sz w:val="24"/>
          <w:szCs w:val="24"/>
        </w:rPr>
        <w:t xml:space="preserve">, </w:t>
      </w:r>
      <w:r w:rsidRPr="002C68B6">
        <w:rPr>
          <w:rFonts w:ascii="Times New Roman" w:hAnsi="Times New Roman" w:cs="Times New Roman"/>
          <w:i/>
          <w:iCs/>
          <w:noProof/>
          <w:sz w:val="24"/>
          <w:szCs w:val="24"/>
        </w:rPr>
        <w:t>16</w:t>
      </w:r>
      <w:r w:rsidRPr="002C68B6">
        <w:rPr>
          <w:rFonts w:ascii="Times New Roman" w:hAnsi="Times New Roman" w:cs="Times New Roman"/>
          <w:noProof/>
          <w:sz w:val="24"/>
          <w:szCs w:val="24"/>
        </w:rPr>
        <w:t>(3), 204–223. https://doi.org/10.1016/j.pacfin.2007.07.001</w:t>
      </w:r>
    </w:p>
    <w:p w14:paraId="40ECBA64" w14:textId="628C1389" w:rsidR="009D1310" w:rsidRDefault="00A45AB7" w:rsidP="00A45AB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r w:rsidR="009C4619">
        <w:rPr>
          <w:rFonts w:ascii="Times New Roman" w:hAnsi="Times New Roman" w:cs="Times New Roman"/>
          <w:sz w:val="24"/>
          <w:szCs w:val="24"/>
        </w:rPr>
        <w:t xml:space="preserve">   </w:t>
      </w:r>
      <w:r w:rsidR="005B34D5">
        <w:rPr>
          <w:rFonts w:ascii="Times New Roman" w:hAnsi="Times New Roman" w:cs="Times New Roman"/>
          <w:sz w:val="24"/>
          <w:szCs w:val="24"/>
        </w:rPr>
        <w:t xml:space="preserve"> </w:t>
      </w:r>
    </w:p>
    <w:p w14:paraId="32D66A1A" w14:textId="66B14088" w:rsidR="00BF64D7" w:rsidRDefault="00BF64D7" w:rsidP="00A45AB7">
      <w:pPr>
        <w:spacing w:after="120" w:line="240" w:lineRule="auto"/>
        <w:jc w:val="both"/>
        <w:rPr>
          <w:rFonts w:ascii="Times New Roman" w:hAnsi="Times New Roman" w:cs="Times New Roman"/>
          <w:sz w:val="24"/>
          <w:szCs w:val="24"/>
        </w:rPr>
      </w:pPr>
    </w:p>
    <w:p w14:paraId="3905A07C" w14:textId="27EA9149" w:rsidR="00BF64D7" w:rsidRDefault="00BF64D7" w:rsidP="00A45AB7">
      <w:pPr>
        <w:spacing w:after="120" w:line="240" w:lineRule="auto"/>
        <w:jc w:val="both"/>
        <w:rPr>
          <w:rFonts w:ascii="Times New Roman" w:hAnsi="Times New Roman" w:cs="Times New Roman"/>
          <w:sz w:val="24"/>
          <w:szCs w:val="24"/>
        </w:rPr>
      </w:pPr>
    </w:p>
    <w:p w14:paraId="6CD467FF" w14:textId="03BEE41C" w:rsidR="00BF64D7" w:rsidRDefault="00BF64D7" w:rsidP="00A45AB7">
      <w:pPr>
        <w:spacing w:after="120" w:line="240" w:lineRule="auto"/>
        <w:jc w:val="both"/>
        <w:rPr>
          <w:rFonts w:ascii="Times New Roman" w:hAnsi="Times New Roman" w:cs="Times New Roman"/>
          <w:sz w:val="24"/>
          <w:szCs w:val="24"/>
        </w:rPr>
      </w:pPr>
    </w:p>
    <w:p w14:paraId="4D41B560" w14:textId="6CD80E58" w:rsidR="000602D0" w:rsidRDefault="000602D0" w:rsidP="00A45AB7">
      <w:pPr>
        <w:spacing w:after="120" w:line="240" w:lineRule="auto"/>
        <w:jc w:val="both"/>
        <w:rPr>
          <w:rFonts w:ascii="Times New Roman" w:hAnsi="Times New Roman" w:cs="Times New Roman"/>
          <w:sz w:val="24"/>
          <w:szCs w:val="24"/>
        </w:rPr>
      </w:pPr>
    </w:p>
    <w:p w14:paraId="37AB4A71" w14:textId="77777777" w:rsidR="000602D0" w:rsidRPr="009D1310" w:rsidRDefault="000602D0" w:rsidP="00A45AB7">
      <w:pPr>
        <w:spacing w:after="120" w:line="240" w:lineRule="auto"/>
        <w:jc w:val="both"/>
        <w:rPr>
          <w:rFonts w:ascii="Times New Roman" w:hAnsi="Times New Roman" w:cs="Times New Roman"/>
          <w:sz w:val="24"/>
          <w:szCs w:val="24"/>
        </w:rPr>
      </w:pPr>
    </w:p>
    <w:p w14:paraId="7614D2A5" w14:textId="3A5A52C9" w:rsidR="004B3DBE" w:rsidRPr="000602D0" w:rsidRDefault="000602D0" w:rsidP="000602D0">
      <w:pPr>
        <w:spacing w:after="0" w:line="240" w:lineRule="auto"/>
        <w:jc w:val="center"/>
        <w:rPr>
          <w:rFonts w:ascii="Times New Roman" w:hAnsi="Times New Roman" w:cs="Times New Roman"/>
          <w:b/>
          <w:bCs/>
          <w:sz w:val="24"/>
          <w:szCs w:val="24"/>
        </w:rPr>
      </w:pPr>
      <w:r w:rsidRPr="000602D0">
        <w:rPr>
          <w:rFonts w:ascii="Times New Roman" w:hAnsi="Times New Roman" w:cs="Times New Roman"/>
          <w:b/>
          <w:bCs/>
          <w:sz w:val="24"/>
          <w:szCs w:val="24"/>
        </w:rPr>
        <w:lastRenderedPageBreak/>
        <w:t>Tables and Figures</w:t>
      </w:r>
    </w:p>
    <w:p w14:paraId="150B4C66" w14:textId="6D7E9B60" w:rsidR="000602D0" w:rsidRDefault="000602D0" w:rsidP="000602D0">
      <w:pPr>
        <w:spacing w:after="0" w:line="240" w:lineRule="auto"/>
        <w:jc w:val="center"/>
        <w:rPr>
          <w:rFonts w:ascii="Times New Roman" w:hAnsi="Times New Roman" w:cs="Times New Roman"/>
          <w:sz w:val="24"/>
          <w:szCs w:val="24"/>
        </w:rPr>
      </w:pPr>
    </w:p>
    <w:tbl>
      <w:tblPr>
        <w:tblW w:w="10485" w:type="dxa"/>
        <w:tblInd w:w="-875" w:type="dxa"/>
        <w:tblLook w:val="04A0" w:firstRow="1" w:lastRow="0" w:firstColumn="1" w:lastColumn="0" w:noHBand="0" w:noVBand="1"/>
      </w:tblPr>
      <w:tblGrid>
        <w:gridCol w:w="681"/>
        <w:gridCol w:w="878"/>
        <w:gridCol w:w="3211"/>
        <w:gridCol w:w="1444"/>
        <w:gridCol w:w="1586"/>
        <w:gridCol w:w="1335"/>
        <w:gridCol w:w="1366"/>
      </w:tblGrid>
      <w:tr w:rsidR="000602D0" w:rsidRPr="00942942" w14:paraId="763C5DF5" w14:textId="77777777" w:rsidTr="000602D0">
        <w:trPr>
          <w:trHeight w:val="406"/>
        </w:trPr>
        <w:tc>
          <w:tcPr>
            <w:tcW w:w="10485" w:type="dxa"/>
            <w:gridSpan w:val="7"/>
            <w:tcBorders>
              <w:top w:val="nil"/>
              <w:left w:val="nil"/>
              <w:bottom w:val="nil"/>
              <w:right w:val="nil"/>
            </w:tcBorders>
            <w:shd w:val="clear" w:color="000000" w:fill="FFFF00"/>
            <w:noWrap/>
            <w:vAlign w:val="center"/>
            <w:hideMark/>
          </w:tcPr>
          <w:p w14:paraId="18C26F81" w14:textId="77777777" w:rsidR="000602D0" w:rsidRPr="00942942" w:rsidRDefault="000602D0" w:rsidP="000602D0">
            <w:pPr>
              <w:spacing w:after="0" w:line="240" w:lineRule="auto"/>
              <w:jc w:val="center"/>
              <w:rPr>
                <w:rFonts w:ascii="Times New Roman" w:eastAsia="Times New Roman" w:hAnsi="Times New Roman" w:cs="Times New Roman"/>
                <w:b/>
                <w:bCs/>
                <w:color w:val="000000"/>
                <w:lang w:eastAsia="en-GB"/>
              </w:rPr>
            </w:pPr>
            <w:r w:rsidRPr="00942942">
              <w:rPr>
                <w:rFonts w:ascii="Times New Roman" w:eastAsia="Times New Roman" w:hAnsi="Times New Roman" w:cs="Times New Roman"/>
                <w:b/>
                <w:bCs/>
                <w:color w:val="000000"/>
                <w:lang w:eastAsia="en-GB"/>
              </w:rPr>
              <w:t>Table 1: Covid-19 Stages for Funds' Comparison</w:t>
            </w:r>
          </w:p>
        </w:tc>
      </w:tr>
      <w:tr w:rsidR="000602D0" w:rsidRPr="00942942" w14:paraId="5118C938" w14:textId="77777777" w:rsidTr="000602D0">
        <w:trPr>
          <w:trHeight w:val="322"/>
        </w:trPr>
        <w:tc>
          <w:tcPr>
            <w:tcW w:w="662" w:type="dxa"/>
            <w:tcBorders>
              <w:top w:val="single" w:sz="4" w:space="0" w:color="auto"/>
              <w:left w:val="nil"/>
              <w:bottom w:val="single" w:sz="4" w:space="0" w:color="auto"/>
              <w:right w:val="nil"/>
            </w:tcBorders>
            <w:shd w:val="clear" w:color="auto" w:fill="auto"/>
            <w:noWrap/>
            <w:vAlign w:val="bottom"/>
            <w:hideMark/>
          </w:tcPr>
          <w:p w14:paraId="04ED85C1" w14:textId="77777777" w:rsidR="000602D0" w:rsidRPr="00942942" w:rsidRDefault="000602D0" w:rsidP="000602D0">
            <w:pPr>
              <w:spacing w:after="0" w:line="240" w:lineRule="auto"/>
              <w:jc w:val="center"/>
              <w:rPr>
                <w:rFonts w:ascii="Times New Roman" w:eastAsia="Times New Roman" w:hAnsi="Times New Roman" w:cs="Times New Roman"/>
                <w:b/>
                <w:bCs/>
                <w:color w:val="000000"/>
                <w:lang w:eastAsia="en-GB"/>
              </w:rPr>
            </w:pPr>
            <w:r w:rsidRPr="00942942">
              <w:rPr>
                <w:rFonts w:ascii="Times New Roman" w:eastAsia="Times New Roman" w:hAnsi="Times New Roman" w:cs="Times New Roman"/>
                <w:b/>
                <w:bCs/>
                <w:color w:val="000000"/>
                <w:lang w:eastAsia="en-GB"/>
              </w:rPr>
              <w:t>Year</w:t>
            </w:r>
          </w:p>
        </w:tc>
        <w:tc>
          <w:tcPr>
            <w:tcW w:w="878" w:type="dxa"/>
            <w:tcBorders>
              <w:top w:val="single" w:sz="4" w:space="0" w:color="auto"/>
              <w:left w:val="nil"/>
              <w:bottom w:val="single" w:sz="4" w:space="0" w:color="auto"/>
              <w:right w:val="nil"/>
            </w:tcBorders>
            <w:shd w:val="clear" w:color="auto" w:fill="auto"/>
            <w:noWrap/>
            <w:vAlign w:val="bottom"/>
            <w:hideMark/>
          </w:tcPr>
          <w:p w14:paraId="2730F96F" w14:textId="77777777" w:rsidR="000602D0" w:rsidRPr="00942942" w:rsidRDefault="000602D0" w:rsidP="000602D0">
            <w:pPr>
              <w:spacing w:after="0" w:line="240" w:lineRule="auto"/>
              <w:jc w:val="center"/>
              <w:rPr>
                <w:rFonts w:ascii="Times New Roman" w:eastAsia="Times New Roman" w:hAnsi="Times New Roman" w:cs="Times New Roman"/>
                <w:b/>
                <w:bCs/>
                <w:color w:val="000000"/>
                <w:lang w:eastAsia="en-GB"/>
              </w:rPr>
            </w:pPr>
            <w:r w:rsidRPr="00942942">
              <w:rPr>
                <w:rFonts w:ascii="Times New Roman" w:eastAsia="Times New Roman" w:hAnsi="Times New Roman" w:cs="Times New Roman"/>
                <w:b/>
                <w:bCs/>
                <w:color w:val="000000"/>
                <w:lang w:eastAsia="en-GB"/>
              </w:rPr>
              <w:t>Stage</w:t>
            </w:r>
          </w:p>
        </w:tc>
        <w:tc>
          <w:tcPr>
            <w:tcW w:w="3211" w:type="dxa"/>
            <w:tcBorders>
              <w:top w:val="single" w:sz="4" w:space="0" w:color="auto"/>
              <w:left w:val="nil"/>
              <w:bottom w:val="single" w:sz="4" w:space="0" w:color="auto"/>
              <w:right w:val="nil"/>
            </w:tcBorders>
            <w:shd w:val="clear" w:color="auto" w:fill="auto"/>
            <w:noWrap/>
            <w:vAlign w:val="bottom"/>
            <w:hideMark/>
          </w:tcPr>
          <w:p w14:paraId="1CDDD345" w14:textId="77777777" w:rsidR="000602D0" w:rsidRPr="00942942" w:rsidRDefault="000602D0" w:rsidP="000602D0">
            <w:pPr>
              <w:spacing w:after="0" w:line="240" w:lineRule="auto"/>
              <w:jc w:val="center"/>
              <w:rPr>
                <w:rFonts w:ascii="Times New Roman" w:eastAsia="Times New Roman" w:hAnsi="Times New Roman" w:cs="Times New Roman"/>
                <w:b/>
                <w:bCs/>
                <w:color w:val="000000"/>
                <w:lang w:eastAsia="en-GB"/>
              </w:rPr>
            </w:pPr>
            <w:r w:rsidRPr="00942942">
              <w:rPr>
                <w:rFonts w:ascii="Times New Roman" w:eastAsia="Times New Roman" w:hAnsi="Times New Roman" w:cs="Times New Roman"/>
                <w:b/>
                <w:bCs/>
                <w:color w:val="000000"/>
                <w:lang w:eastAsia="en-GB"/>
              </w:rPr>
              <w:t>Period</w:t>
            </w:r>
          </w:p>
        </w:tc>
        <w:tc>
          <w:tcPr>
            <w:tcW w:w="1444" w:type="dxa"/>
            <w:tcBorders>
              <w:top w:val="single" w:sz="4" w:space="0" w:color="auto"/>
              <w:left w:val="nil"/>
              <w:bottom w:val="single" w:sz="4" w:space="0" w:color="auto"/>
              <w:right w:val="nil"/>
            </w:tcBorders>
            <w:shd w:val="clear" w:color="auto" w:fill="auto"/>
            <w:noWrap/>
            <w:vAlign w:val="bottom"/>
            <w:hideMark/>
          </w:tcPr>
          <w:p w14:paraId="04FEBD89" w14:textId="77777777" w:rsidR="000602D0" w:rsidRPr="00942942" w:rsidRDefault="000602D0" w:rsidP="000602D0">
            <w:pPr>
              <w:spacing w:after="0" w:line="240" w:lineRule="auto"/>
              <w:jc w:val="center"/>
              <w:rPr>
                <w:rFonts w:ascii="Times New Roman" w:eastAsia="Times New Roman" w:hAnsi="Times New Roman" w:cs="Times New Roman"/>
                <w:b/>
                <w:bCs/>
                <w:color w:val="000000"/>
                <w:lang w:eastAsia="en-GB"/>
              </w:rPr>
            </w:pPr>
            <w:r w:rsidRPr="00942942">
              <w:rPr>
                <w:rFonts w:ascii="Times New Roman" w:eastAsia="Times New Roman" w:hAnsi="Times New Roman" w:cs="Times New Roman"/>
                <w:b/>
                <w:bCs/>
                <w:color w:val="000000"/>
                <w:lang w:eastAsia="en-GB"/>
              </w:rPr>
              <w:t>Total Cases</w:t>
            </w:r>
          </w:p>
        </w:tc>
        <w:tc>
          <w:tcPr>
            <w:tcW w:w="1586" w:type="dxa"/>
            <w:tcBorders>
              <w:top w:val="single" w:sz="4" w:space="0" w:color="auto"/>
              <w:left w:val="nil"/>
              <w:bottom w:val="single" w:sz="4" w:space="0" w:color="auto"/>
              <w:right w:val="nil"/>
            </w:tcBorders>
            <w:shd w:val="clear" w:color="auto" w:fill="auto"/>
            <w:noWrap/>
            <w:vAlign w:val="bottom"/>
            <w:hideMark/>
          </w:tcPr>
          <w:p w14:paraId="3BB9DE7A" w14:textId="77777777" w:rsidR="000602D0" w:rsidRPr="00942942" w:rsidRDefault="000602D0" w:rsidP="000602D0">
            <w:pPr>
              <w:spacing w:after="0" w:line="240" w:lineRule="auto"/>
              <w:jc w:val="center"/>
              <w:rPr>
                <w:rFonts w:ascii="Times New Roman" w:eastAsia="Times New Roman" w:hAnsi="Times New Roman" w:cs="Times New Roman"/>
                <w:b/>
                <w:bCs/>
                <w:color w:val="000000"/>
                <w:lang w:eastAsia="en-GB"/>
              </w:rPr>
            </w:pPr>
            <w:r w:rsidRPr="00942942">
              <w:rPr>
                <w:rFonts w:ascii="Times New Roman" w:eastAsia="Times New Roman" w:hAnsi="Times New Roman" w:cs="Times New Roman"/>
                <w:b/>
                <w:bCs/>
                <w:color w:val="000000"/>
                <w:lang w:eastAsia="en-GB"/>
              </w:rPr>
              <w:t>Total Deaths</w:t>
            </w:r>
          </w:p>
        </w:tc>
        <w:tc>
          <w:tcPr>
            <w:tcW w:w="1335" w:type="dxa"/>
            <w:tcBorders>
              <w:top w:val="single" w:sz="4" w:space="0" w:color="auto"/>
              <w:left w:val="nil"/>
              <w:bottom w:val="single" w:sz="4" w:space="0" w:color="auto"/>
              <w:right w:val="nil"/>
            </w:tcBorders>
            <w:shd w:val="clear" w:color="auto" w:fill="auto"/>
            <w:noWrap/>
            <w:vAlign w:val="bottom"/>
            <w:hideMark/>
          </w:tcPr>
          <w:p w14:paraId="6498C084" w14:textId="77777777" w:rsidR="000602D0" w:rsidRPr="00942942" w:rsidRDefault="000602D0" w:rsidP="000602D0">
            <w:pPr>
              <w:spacing w:after="0" w:line="240" w:lineRule="auto"/>
              <w:jc w:val="center"/>
              <w:rPr>
                <w:rFonts w:ascii="Times New Roman" w:eastAsia="Times New Roman" w:hAnsi="Times New Roman" w:cs="Times New Roman"/>
                <w:b/>
                <w:bCs/>
                <w:color w:val="000000"/>
                <w:lang w:eastAsia="en-GB"/>
              </w:rPr>
            </w:pPr>
            <w:r w:rsidRPr="00942942">
              <w:rPr>
                <w:rFonts w:ascii="Times New Roman" w:eastAsia="Times New Roman" w:hAnsi="Times New Roman" w:cs="Times New Roman"/>
                <w:b/>
                <w:bCs/>
                <w:color w:val="000000"/>
                <w:lang w:eastAsia="en-GB"/>
              </w:rPr>
              <w:t>New Cases</w:t>
            </w:r>
          </w:p>
        </w:tc>
        <w:tc>
          <w:tcPr>
            <w:tcW w:w="1366" w:type="dxa"/>
            <w:tcBorders>
              <w:top w:val="single" w:sz="4" w:space="0" w:color="auto"/>
              <w:left w:val="nil"/>
              <w:bottom w:val="single" w:sz="4" w:space="0" w:color="auto"/>
              <w:right w:val="nil"/>
            </w:tcBorders>
            <w:shd w:val="clear" w:color="auto" w:fill="auto"/>
            <w:noWrap/>
            <w:vAlign w:val="bottom"/>
            <w:hideMark/>
          </w:tcPr>
          <w:p w14:paraId="531E6BC2" w14:textId="77777777" w:rsidR="000602D0" w:rsidRPr="00942942" w:rsidRDefault="000602D0" w:rsidP="000602D0">
            <w:pPr>
              <w:spacing w:after="0" w:line="240" w:lineRule="auto"/>
              <w:jc w:val="center"/>
              <w:rPr>
                <w:rFonts w:ascii="Times New Roman" w:eastAsia="Times New Roman" w:hAnsi="Times New Roman" w:cs="Times New Roman"/>
                <w:b/>
                <w:bCs/>
                <w:color w:val="000000"/>
                <w:lang w:eastAsia="en-GB"/>
              </w:rPr>
            </w:pPr>
            <w:r w:rsidRPr="00942942">
              <w:rPr>
                <w:rFonts w:ascii="Times New Roman" w:eastAsia="Times New Roman" w:hAnsi="Times New Roman" w:cs="Times New Roman"/>
                <w:b/>
                <w:bCs/>
                <w:color w:val="000000"/>
                <w:lang w:eastAsia="en-GB"/>
              </w:rPr>
              <w:t>New Death</w:t>
            </w:r>
          </w:p>
        </w:tc>
      </w:tr>
      <w:tr w:rsidR="000602D0" w:rsidRPr="00942942" w14:paraId="2E31B7F9" w14:textId="77777777" w:rsidTr="000602D0">
        <w:trPr>
          <w:trHeight w:val="418"/>
        </w:trPr>
        <w:tc>
          <w:tcPr>
            <w:tcW w:w="662" w:type="dxa"/>
            <w:tcBorders>
              <w:top w:val="nil"/>
              <w:left w:val="nil"/>
              <w:bottom w:val="nil"/>
              <w:right w:val="nil"/>
            </w:tcBorders>
            <w:shd w:val="clear" w:color="auto" w:fill="auto"/>
            <w:noWrap/>
            <w:vAlign w:val="center"/>
            <w:hideMark/>
          </w:tcPr>
          <w:p w14:paraId="3EEC37B8"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2020</w:t>
            </w:r>
          </w:p>
        </w:tc>
        <w:tc>
          <w:tcPr>
            <w:tcW w:w="878" w:type="dxa"/>
            <w:tcBorders>
              <w:top w:val="nil"/>
              <w:left w:val="nil"/>
              <w:bottom w:val="nil"/>
              <w:right w:val="nil"/>
            </w:tcBorders>
            <w:shd w:val="clear" w:color="auto" w:fill="auto"/>
            <w:noWrap/>
            <w:vAlign w:val="center"/>
            <w:hideMark/>
          </w:tcPr>
          <w:p w14:paraId="07226789"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Stage 1</w:t>
            </w:r>
          </w:p>
        </w:tc>
        <w:tc>
          <w:tcPr>
            <w:tcW w:w="3211" w:type="dxa"/>
            <w:tcBorders>
              <w:top w:val="nil"/>
              <w:left w:val="nil"/>
              <w:bottom w:val="nil"/>
              <w:right w:val="nil"/>
            </w:tcBorders>
            <w:shd w:val="clear" w:color="auto" w:fill="auto"/>
            <w:noWrap/>
            <w:vAlign w:val="center"/>
            <w:hideMark/>
          </w:tcPr>
          <w:p w14:paraId="4DEAB681"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January 1 - March 19</w:t>
            </w:r>
          </w:p>
        </w:tc>
        <w:tc>
          <w:tcPr>
            <w:tcW w:w="1444" w:type="dxa"/>
            <w:tcBorders>
              <w:top w:val="nil"/>
              <w:left w:val="nil"/>
              <w:bottom w:val="nil"/>
              <w:right w:val="nil"/>
            </w:tcBorders>
            <w:shd w:val="clear" w:color="auto" w:fill="auto"/>
            <w:noWrap/>
            <w:vAlign w:val="center"/>
            <w:hideMark/>
          </w:tcPr>
          <w:p w14:paraId="4068547F"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317201</w:t>
            </w:r>
          </w:p>
        </w:tc>
        <w:tc>
          <w:tcPr>
            <w:tcW w:w="1586" w:type="dxa"/>
            <w:tcBorders>
              <w:top w:val="nil"/>
              <w:left w:val="nil"/>
              <w:bottom w:val="nil"/>
              <w:right w:val="nil"/>
            </w:tcBorders>
            <w:shd w:val="clear" w:color="auto" w:fill="auto"/>
            <w:noWrap/>
            <w:vAlign w:val="center"/>
            <w:hideMark/>
          </w:tcPr>
          <w:p w14:paraId="7D7E599C"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10196</w:t>
            </w:r>
          </w:p>
        </w:tc>
        <w:tc>
          <w:tcPr>
            <w:tcW w:w="1335" w:type="dxa"/>
            <w:tcBorders>
              <w:top w:val="nil"/>
              <w:left w:val="nil"/>
              <w:bottom w:val="nil"/>
              <w:right w:val="nil"/>
            </w:tcBorders>
            <w:shd w:val="clear" w:color="auto" w:fill="auto"/>
            <w:noWrap/>
            <w:vAlign w:val="center"/>
            <w:hideMark/>
          </w:tcPr>
          <w:p w14:paraId="7340AED4"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317201</w:t>
            </w:r>
          </w:p>
        </w:tc>
        <w:tc>
          <w:tcPr>
            <w:tcW w:w="1366" w:type="dxa"/>
            <w:tcBorders>
              <w:top w:val="nil"/>
              <w:left w:val="nil"/>
              <w:bottom w:val="nil"/>
              <w:right w:val="nil"/>
            </w:tcBorders>
            <w:shd w:val="clear" w:color="auto" w:fill="auto"/>
            <w:noWrap/>
            <w:vAlign w:val="center"/>
            <w:hideMark/>
          </w:tcPr>
          <w:p w14:paraId="137FF048"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10196</w:t>
            </w:r>
          </w:p>
        </w:tc>
      </w:tr>
      <w:tr w:rsidR="000602D0" w:rsidRPr="00942942" w14:paraId="10713626" w14:textId="77777777" w:rsidTr="000602D0">
        <w:trPr>
          <w:trHeight w:val="418"/>
        </w:trPr>
        <w:tc>
          <w:tcPr>
            <w:tcW w:w="662" w:type="dxa"/>
            <w:tcBorders>
              <w:top w:val="nil"/>
              <w:left w:val="nil"/>
              <w:bottom w:val="nil"/>
              <w:right w:val="nil"/>
            </w:tcBorders>
            <w:shd w:val="clear" w:color="auto" w:fill="auto"/>
            <w:noWrap/>
            <w:vAlign w:val="center"/>
            <w:hideMark/>
          </w:tcPr>
          <w:p w14:paraId="446B9FAD"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2020</w:t>
            </w:r>
          </w:p>
        </w:tc>
        <w:tc>
          <w:tcPr>
            <w:tcW w:w="878" w:type="dxa"/>
            <w:tcBorders>
              <w:top w:val="nil"/>
              <w:left w:val="nil"/>
              <w:bottom w:val="nil"/>
              <w:right w:val="nil"/>
            </w:tcBorders>
            <w:shd w:val="clear" w:color="auto" w:fill="auto"/>
            <w:noWrap/>
            <w:vAlign w:val="center"/>
            <w:hideMark/>
          </w:tcPr>
          <w:p w14:paraId="6FD98FFA"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Stage 2</w:t>
            </w:r>
          </w:p>
        </w:tc>
        <w:tc>
          <w:tcPr>
            <w:tcW w:w="3211" w:type="dxa"/>
            <w:tcBorders>
              <w:top w:val="nil"/>
              <w:left w:val="nil"/>
              <w:bottom w:val="nil"/>
              <w:right w:val="nil"/>
            </w:tcBorders>
            <w:shd w:val="clear" w:color="auto" w:fill="auto"/>
            <w:noWrap/>
            <w:vAlign w:val="center"/>
            <w:hideMark/>
          </w:tcPr>
          <w:p w14:paraId="08756BC0"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March 20 - May 11</w:t>
            </w:r>
          </w:p>
        </w:tc>
        <w:tc>
          <w:tcPr>
            <w:tcW w:w="1444" w:type="dxa"/>
            <w:tcBorders>
              <w:top w:val="nil"/>
              <w:left w:val="nil"/>
              <w:bottom w:val="nil"/>
              <w:right w:val="nil"/>
            </w:tcBorders>
            <w:shd w:val="clear" w:color="auto" w:fill="auto"/>
            <w:noWrap/>
            <w:vAlign w:val="center"/>
            <w:hideMark/>
          </w:tcPr>
          <w:p w14:paraId="1BB35708"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4436288</w:t>
            </w:r>
          </w:p>
        </w:tc>
        <w:tc>
          <w:tcPr>
            <w:tcW w:w="1586" w:type="dxa"/>
            <w:tcBorders>
              <w:top w:val="nil"/>
              <w:left w:val="nil"/>
              <w:bottom w:val="nil"/>
              <w:right w:val="nil"/>
            </w:tcBorders>
            <w:shd w:val="clear" w:color="auto" w:fill="auto"/>
            <w:noWrap/>
            <w:vAlign w:val="center"/>
            <w:hideMark/>
          </w:tcPr>
          <w:p w14:paraId="4A1E7CD0"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308936</w:t>
            </w:r>
          </w:p>
        </w:tc>
        <w:tc>
          <w:tcPr>
            <w:tcW w:w="1335" w:type="dxa"/>
            <w:tcBorders>
              <w:top w:val="nil"/>
              <w:left w:val="nil"/>
              <w:bottom w:val="nil"/>
              <w:right w:val="nil"/>
            </w:tcBorders>
            <w:shd w:val="clear" w:color="auto" w:fill="auto"/>
            <w:noWrap/>
            <w:vAlign w:val="center"/>
            <w:hideMark/>
          </w:tcPr>
          <w:p w14:paraId="0EA7062A"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4119087</w:t>
            </w:r>
          </w:p>
        </w:tc>
        <w:tc>
          <w:tcPr>
            <w:tcW w:w="1366" w:type="dxa"/>
            <w:tcBorders>
              <w:top w:val="nil"/>
              <w:left w:val="nil"/>
              <w:bottom w:val="nil"/>
              <w:right w:val="nil"/>
            </w:tcBorders>
            <w:shd w:val="clear" w:color="auto" w:fill="auto"/>
            <w:noWrap/>
            <w:vAlign w:val="center"/>
            <w:hideMark/>
          </w:tcPr>
          <w:p w14:paraId="38A4417D"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298740</w:t>
            </w:r>
          </w:p>
        </w:tc>
      </w:tr>
      <w:tr w:rsidR="000602D0" w:rsidRPr="00942942" w14:paraId="72C00C29" w14:textId="77777777" w:rsidTr="000602D0">
        <w:trPr>
          <w:trHeight w:val="418"/>
        </w:trPr>
        <w:tc>
          <w:tcPr>
            <w:tcW w:w="662" w:type="dxa"/>
            <w:tcBorders>
              <w:top w:val="nil"/>
              <w:left w:val="nil"/>
              <w:bottom w:val="nil"/>
              <w:right w:val="nil"/>
            </w:tcBorders>
            <w:shd w:val="clear" w:color="auto" w:fill="auto"/>
            <w:noWrap/>
            <w:vAlign w:val="center"/>
            <w:hideMark/>
          </w:tcPr>
          <w:p w14:paraId="62370C32"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2020</w:t>
            </w:r>
          </w:p>
        </w:tc>
        <w:tc>
          <w:tcPr>
            <w:tcW w:w="878" w:type="dxa"/>
            <w:tcBorders>
              <w:top w:val="nil"/>
              <w:left w:val="nil"/>
              <w:bottom w:val="nil"/>
              <w:right w:val="nil"/>
            </w:tcBorders>
            <w:shd w:val="clear" w:color="auto" w:fill="auto"/>
            <w:noWrap/>
            <w:vAlign w:val="center"/>
            <w:hideMark/>
          </w:tcPr>
          <w:p w14:paraId="74DBC36F"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Stage 3</w:t>
            </w:r>
          </w:p>
        </w:tc>
        <w:tc>
          <w:tcPr>
            <w:tcW w:w="3211" w:type="dxa"/>
            <w:tcBorders>
              <w:top w:val="nil"/>
              <w:left w:val="nil"/>
              <w:bottom w:val="nil"/>
              <w:right w:val="nil"/>
            </w:tcBorders>
            <w:shd w:val="clear" w:color="auto" w:fill="auto"/>
            <w:noWrap/>
            <w:vAlign w:val="center"/>
            <w:hideMark/>
          </w:tcPr>
          <w:p w14:paraId="2DE58165"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May 12 - June 14</w:t>
            </w:r>
          </w:p>
        </w:tc>
        <w:tc>
          <w:tcPr>
            <w:tcW w:w="1444" w:type="dxa"/>
            <w:tcBorders>
              <w:top w:val="nil"/>
              <w:left w:val="nil"/>
              <w:bottom w:val="nil"/>
              <w:right w:val="nil"/>
            </w:tcBorders>
            <w:shd w:val="clear" w:color="auto" w:fill="auto"/>
            <w:noWrap/>
            <w:vAlign w:val="center"/>
            <w:hideMark/>
          </w:tcPr>
          <w:p w14:paraId="58A1D422"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8295482</w:t>
            </w:r>
          </w:p>
        </w:tc>
        <w:tc>
          <w:tcPr>
            <w:tcW w:w="1586" w:type="dxa"/>
            <w:tcBorders>
              <w:top w:val="nil"/>
              <w:left w:val="nil"/>
              <w:bottom w:val="nil"/>
              <w:right w:val="nil"/>
            </w:tcBorders>
            <w:shd w:val="clear" w:color="auto" w:fill="auto"/>
            <w:noWrap/>
            <w:vAlign w:val="center"/>
            <w:hideMark/>
          </w:tcPr>
          <w:p w14:paraId="53541164"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483383</w:t>
            </w:r>
          </w:p>
        </w:tc>
        <w:tc>
          <w:tcPr>
            <w:tcW w:w="1335" w:type="dxa"/>
            <w:tcBorders>
              <w:top w:val="nil"/>
              <w:left w:val="nil"/>
              <w:bottom w:val="nil"/>
              <w:right w:val="nil"/>
            </w:tcBorders>
            <w:shd w:val="clear" w:color="auto" w:fill="auto"/>
            <w:noWrap/>
            <w:vAlign w:val="center"/>
            <w:hideMark/>
          </w:tcPr>
          <w:p w14:paraId="5B2BF887"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3859194</w:t>
            </w:r>
          </w:p>
        </w:tc>
        <w:tc>
          <w:tcPr>
            <w:tcW w:w="1366" w:type="dxa"/>
            <w:tcBorders>
              <w:top w:val="nil"/>
              <w:left w:val="nil"/>
              <w:bottom w:val="nil"/>
              <w:right w:val="nil"/>
            </w:tcBorders>
            <w:shd w:val="clear" w:color="auto" w:fill="auto"/>
            <w:noWrap/>
            <w:vAlign w:val="center"/>
            <w:hideMark/>
          </w:tcPr>
          <w:p w14:paraId="40EA2CA8"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174447</w:t>
            </w:r>
          </w:p>
        </w:tc>
      </w:tr>
      <w:tr w:rsidR="000602D0" w:rsidRPr="00942942" w14:paraId="46FDD32E" w14:textId="77777777" w:rsidTr="000602D0">
        <w:trPr>
          <w:trHeight w:val="346"/>
        </w:trPr>
        <w:tc>
          <w:tcPr>
            <w:tcW w:w="662" w:type="dxa"/>
            <w:tcBorders>
              <w:top w:val="nil"/>
              <w:left w:val="nil"/>
              <w:bottom w:val="nil"/>
              <w:right w:val="nil"/>
            </w:tcBorders>
            <w:shd w:val="clear" w:color="auto" w:fill="auto"/>
            <w:noWrap/>
            <w:vAlign w:val="center"/>
            <w:hideMark/>
          </w:tcPr>
          <w:p w14:paraId="4C9F66A6"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2020</w:t>
            </w:r>
          </w:p>
        </w:tc>
        <w:tc>
          <w:tcPr>
            <w:tcW w:w="878" w:type="dxa"/>
            <w:tcBorders>
              <w:top w:val="nil"/>
              <w:left w:val="nil"/>
              <w:bottom w:val="nil"/>
              <w:right w:val="nil"/>
            </w:tcBorders>
            <w:shd w:val="clear" w:color="auto" w:fill="auto"/>
            <w:noWrap/>
            <w:vAlign w:val="center"/>
            <w:hideMark/>
          </w:tcPr>
          <w:p w14:paraId="1A31BB8F"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Stage 4</w:t>
            </w:r>
          </w:p>
        </w:tc>
        <w:tc>
          <w:tcPr>
            <w:tcW w:w="3211" w:type="dxa"/>
            <w:tcBorders>
              <w:top w:val="nil"/>
              <w:left w:val="nil"/>
              <w:bottom w:val="nil"/>
              <w:right w:val="nil"/>
            </w:tcBorders>
            <w:shd w:val="clear" w:color="auto" w:fill="auto"/>
            <w:noWrap/>
            <w:vAlign w:val="bottom"/>
            <w:hideMark/>
          </w:tcPr>
          <w:p w14:paraId="00F51AD8"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June 15 - September 1</w:t>
            </w:r>
          </w:p>
        </w:tc>
        <w:tc>
          <w:tcPr>
            <w:tcW w:w="1444" w:type="dxa"/>
            <w:tcBorders>
              <w:top w:val="nil"/>
              <w:left w:val="nil"/>
              <w:bottom w:val="nil"/>
              <w:right w:val="nil"/>
            </w:tcBorders>
            <w:shd w:val="clear" w:color="auto" w:fill="auto"/>
            <w:noWrap/>
            <w:vAlign w:val="bottom"/>
            <w:hideMark/>
          </w:tcPr>
          <w:p w14:paraId="5613854B"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26534561</w:t>
            </w:r>
          </w:p>
        </w:tc>
        <w:tc>
          <w:tcPr>
            <w:tcW w:w="1586" w:type="dxa"/>
            <w:tcBorders>
              <w:top w:val="nil"/>
              <w:left w:val="nil"/>
              <w:bottom w:val="nil"/>
              <w:right w:val="nil"/>
            </w:tcBorders>
            <w:shd w:val="clear" w:color="auto" w:fill="auto"/>
            <w:noWrap/>
            <w:vAlign w:val="bottom"/>
            <w:hideMark/>
          </w:tcPr>
          <w:p w14:paraId="45ED6A42"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942270</w:t>
            </w:r>
          </w:p>
        </w:tc>
        <w:tc>
          <w:tcPr>
            <w:tcW w:w="1335" w:type="dxa"/>
            <w:tcBorders>
              <w:top w:val="nil"/>
              <w:left w:val="nil"/>
              <w:bottom w:val="nil"/>
              <w:right w:val="nil"/>
            </w:tcBorders>
            <w:shd w:val="clear" w:color="auto" w:fill="auto"/>
            <w:noWrap/>
            <w:vAlign w:val="center"/>
            <w:hideMark/>
          </w:tcPr>
          <w:p w14:paraId="40124D61"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18239079</w:t>
            </w:r>
          </w:p>
        </w:tc>
        <w:tc>
          <w:tcPr>
            <w:tcW w:w="1366" w:type="dxa"/>
            <w:tcBorders>
              <w:top w:val="nil"/>
              <w:left w:val="nil"/>
              <w:bottom w:val="nil"/>
              <w:right w:val="nil"/>
            </w:tcBorders>
            <w:shd w:val="clear" w:color="auto" w:fill="auto"/>
            <w:noWrap/>
            <w:vAlign w:val="center"/>
            <w:hideMark/>
          </w:tcPr>
          <w:p w14:paraId="192F4F31"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458887</w:t>
            </w:r>
          </w:p>
        </w:tc>
      </w:tr>
      <w:tr w:rsidR="000602D0" w:rsidRPr="00942942" w14:paraId="5C4673D2" w14:textId="77777777" w:rsidTr="000602D0">
        <w:trPr>
          <w:trHeight w:val="287"/>
        </w:trPr>
        <w:tc>
          <w:tcPr>
            <w:tcW w:w="662" w:type="dxa"/>
            <w:tcBorders>
              <w:top w:val="nil"/>
              <w:left w:val="nil"/>
              <w:bottom w:val="nil"/>
              <w:right w:val="nil"/>
            </w:tcBorders>
            <w:shd w:val="clear" w:color="auto" w:fill="auto"/>
            <w:noWrap/>
            <w:vAlign w:val="center"/>
            <w:hideMark/>
          </w:tcPr>
          <w:p w14:paraId="129B7763"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2020</w:t>
            </w:r>
          </w:p>
        </w:tc>
        <w:tc>
          <w:tcPr>
            <w:tcW w:w="878" w:type="dxa"/>
            <w:tcBorders>
              <w:top w:val="nil"/>
              <w:left w:val="nil"/>
              <w:bottom w:val="nil"/>
              <w:right w:val="nil"/>
            </w:tcBorders>
            <w:shd w:val="clear" w:color="auto" w:fill="auto"/>
            <w:noWrap/>
            <w:vAlign w:val="center"/>
            <w:hideMark/>
          </w:tcPr>
          <w:p w14:paraId="713FC51D"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Stage 5</w:t>
            </w:r>
          </w:p>
        </w:tc>
        <w:tc>
          <w:tcPr>
            <w:tcW w:w="3211" w:type="dxa"/>
            <w:tcBorders>
              <w:top w:val="nil"/>
              <w:left w:val="nil"/>
              <w:bottom w:val="nil"/>
              <w:right w:val="nil"/>
            </w:tcBorders>
            <w:shd w:val="clear" w:color="auto" w:fill="auto"/>
            <w:noWrap/>
            <w:vAlign w:val="bottom"/>
            <w:hideMark/>
          </w:tcPr>
          <w:p w14:paraId="3679D38F"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September 2 - December 31</w:t>
            </w:r>
          </w:p>
        </w:tc>
        <w:tc>
          <w:tcPr>
            <w:tcW w:w="1444" w:type="dxa"/>
            <w:tcBorders>
              <w:top w:val="nil"/>
              <w:left w:val="nil"/>
              <w:bottom w:val="nil"/>
              <w:right w:val="nil"/>
            </w:tcBorders>
            <w:shd w:val="clear" w:color="auto" w:fill="auto"/>
            <w:noWrap/>
            <w:vAlign w:val="bottom"/>
            <w:hideMark/>
          </w:tcPr>
          <w:p w14:paraId="7AB5EFAF"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83876749</w:t>
            </w:r>
          </w:p>
        </w:tc>
        <w:tc>
          <w:tcPr>
            <w:tcW w:w="1586" w:type="dxa"/>
            <w:tcBorders>
              <w:top w:val="nil"/>
              <w:left w:val="nil"/>
              <w:bottom w:val="nil"/>
              <w:right w:val="nil"/>
            </w:tcBorders>
            <w:shd w:val="clear" w:color="auto" w:fill="auto"/>
            <w:noWrap/>
            <w:vAlign w:val="bottom"/>
            <w:hideMark/>
          </w:tcPr>
          <w:p w14:paraId="30B90B81"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1920805</w:t>
            </w:r>
          </w:p>
        </w:tc>
        <w:tc>
          <w:tcPr>
            <w:tcW w:w="1335" w:type="dxa"/>
            <w:tcBorders>
              <w:top w:val="nil"/>
              <w:left w:val="nil"/>
              <w:bottom w:val="nil"/>
              <w:right w:val="nil"/>
            </w:tcBorders>
            <w:shd w:val="clear" w:color="auto" w:fill="auto"/>
            <w:noWrap/>
            <w:vAlign w:val="center"/>
            <w:hideMark/>
          </w:tcPr>
          <w:p w14:paraId="45FB2250"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57342188</w:t>
            </w:r>
          </w:p>
        </w:tc>
        <w:tc>
          <w:tcPr>
            <w:tcW w:w="1366" w:type="dxa"/>
            <w:tcBorders>
              <w:top w:val="nil"/>
              <w:left w:val="nil"/>
              <w:bottom w:val="nil"/>
              <w:right w:val="nil"/>
            </w:tcBorders>
            <w:shd w:val="clear" w:color="auto" w:fill="auto"/>
            <w:noWrap/>
            <w:vAlign w:val="center"/>
            <w:hideMark/>
          </w:tcPr>
          <w:p w14:paraId="4E6037B8"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978535</w:t>
            </w:r>
          </w:p>
        </w:tc>
      </w:tr>
      <w:tr w:rsidR="000602D0" w:rsidRPr="00942942" w14:paraId="056E0CBC" w14:textId="77777777" w:rsidTr="000602D0">
        <w:trPr>
          <w:trHeight w:val="287"/>
        </w:trPr>
        <w:tc>
          <w:tcPr>
            <w:tcW w:w="662" w:type="dxa"/>
            <w:tcBorders>
              <w:top w:val="nil"/>
              <w:left w:val="nil"/>
              <w:bottom w:val="single" w:sz="4" w:space="0" w:color="auto"/>
              <w:right w:val="nil"/>
            </w:tcBorders>
            <w:shd w:val="clear" w:color="auto" w:fill="auto"/>
            <w:noWrap/>
            <w:vAlign w:val="center"/>
            <w:hideMark/>
          </w:tcPr>
          <w:p w14:paraId="15D6214C"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2021</w:t>
            </w:r>
          </w:p>
        </w:tc>
        <w:tc>
          <w:tcPr>
            <w:tcW w:w="878" w:type="dxa"/>
            <w:tcBorders>
              <w:top w:val="nil"/>
              <w:left w:val="nil"/>
              <w:bottom w:val="single" w:sz="4" w:space="0" w:color="auto"/>
              <w:right w:val="nil"/>
            </w:tcBorders>
            <w:shd w:val="clear" w:color="auto" w:fill="auto"/>
            <w:noWrap/>
            <w:vAlign w:val="center"/>
            <w:hideMark/>
          </w:tcPr>
          <w:p w14:paraId="52C82A90"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Stage 6</w:t>
            </w:r>
          </w:p>
        </w:tc>
        <w:tc>
          <w:tcPr>
            <w:tcW w:w="3211" w:type="dxa"/>
            <w:tcBorders>
              <w:top w:val="nil"/>
              <w:left w:val="nil"/>
              <w:bottom w:val="single" w:sz="4" w:space="0" w:color="auto"/>
              <w:right w:val="nil"/>
            </w:tcBorders>
            <w:shd w:val="clear" w:color="auto" w:fill="auto"/>
            <w:noWrap/>
            <w:vAlign w:val="bottom"/>
            <w:hideMark/>
          </w:tcPr>
          <w:p w14:paraId="6415BADD"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January 1 - May 31</w:t>
            </w:r>
          </w:p>
        </w:tc>
        <w:tc>
          <w:tcPr>
            <w:tcW w:w="1444" w:type="dxa"/>
            <w:tcBorders>
              <w:top w:val="nil"/>
              <w:left w:val="nil"/>
              <w:bottom w:val="single" w:sz="4" w:space="0" w:color="auto"/>
              <w:right w:val="nil"/>
            </w:tcBorders>
            <w:shd w:val="clear" w:color="auto" w:fill="auto"/>
            <w:noWrap/>
            <w:vAlign w:val="bottom"/>
            <w:hideMark/>
          </w:tcPr>
          <w:p w14:paraId="30AEA759"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171477735</w:t>
            </w:r>
          </w:p>
        </w:tc>
        <w:tc>
          <w:tcPr>
            <w:tcW w:w="1586" w:type="dxa"/>
            <w:tcBorders>
              <w:top w:val="nil"/>
              <w:left w:val="nil"/>
              <w:bottom w:val="single" w:sz="4" w:space="0" w:color="auto"/>
              <w:right w:val="nil"/>
            </w:tcBorders>
            <w:shd w:val="clear" w:color="auto" w:fill="auto"/>
            <w:noWrap/>
            <w:vAlign w:val="bottom"/>
            <w:hideMark/>
          </w:tcPr>
          <w:p w14:paraId="3756CCDC"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3684156</w:t>
            </w:r>
          </w:p>
        </w:tc>
        <w:tc>
          <w:tcPr>
            <w:tcW w:w="1335" w:type="dxa"/>
            <w:tcBorders>
              <w:top w:val="nil"/>
              <w:left w:val="nil"/>
              <w:bottom w:val="single" w:sz="4" w:space="0" w:color="auto"/>
              <w:right w:val="nil"/>
            </w:tcBorders>
            <w:shd w:val="clear" w:color="auto" w:fill="auto"/>
            <w:noWrap/>
            <w:vAlign w:val="center"/>
            <w:hideMark/>
          </w:tcPr>
          <w:p w14:paraId="17FDF15C"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87600986</w:t>
            </w:r>
          </w:p>
        </w:tc>
        <w:tc>
          <w:tcPr>
            <w:tcW w:w="1366" w:type="dxa"/>
            <w:tcBorders>
              <w:top w:val="nil"/>
              <w:left w:val="nil"/>
              <w:bottom w:val="single" w:sz="4" w:space="0" w:color="auto"/>
              <w:right w:val="nil"/>
            </w:tcBorders>
            <w:shd w:val="clear" w:color="auto" w:fill="auto"/>
            <w:noWrap/>
            <w:vAlign w:val="center"/>
            <w:hideMark/>
          </w:tcPr>
          <w:p w14:paraId="04211D4F" w14:textId="77777777" w:rsidR="000602D0" w:rsidRPr="00942942" w:rsidRDefault="000602D0" w:rsidP="000602D0">
            <w:pPr>
              <w:spacing w:after="0" w:line="240" w:lineRule="auto"/>
              <w:jc w:val="center"/>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1763351</w:t>
            </w:r>
          </w:p>
        </w:tc>
      </w:tr>
      <w:tr w:rsidR="000602D0" w:rsidRPr="00942942" w14:paraId="0155419D" w14:textId="77777777" w:rsidTr="000602D0">
        <w:trPr>
          <w:trHeight w:val="287"/>
        </w:trPr>
        <w:tc>
          <w:tcPr>
            <w:tcW w:w="10485" w:type="dxa"/>
            <w:gridSpan w:val="7"/>
            <w:tcBorders>
              <w:top w:val="single" w:sz="4" w:space="0" w:color="auto"/>
              <w:left w:val="nil"/>
              <w:bottom w:val="nil"/>
              <w:right w:val="nil"/>
            </w:tcBorders>
            <w:shd w:val="clear" w:color="auto" w:fill="auto"/>
            <w:noWrap/>
            <w:vAlign w:val="bottom"/>
            <w:hideMark/>
          </w:tcPr>
          <w:p w14:paraId="69EB4224" w14:textId="77777777" w:rsidR="000602D0" w:rsidRPr="00942942" w:rsidRDefault="000602D0" w:rsidP="000602D0">
            <w:pPr>
              <w:spacing w:after="0" w:line="240" w:lineRule="auto"/>
              <w:rPr>
                <w:rFonts w:ascii="Times New Roman" w:eastAsia="Times New Roman" w:hAnsi="Times New Roman" w:cs="Times New Roman"/>
                <w:i/>
                <w:iCs/>
                <w:color w:val="000000"/>
                <w:lang w:eastAsia="en-GB"/>
              </w:rPr>
            </w:pPr>
            <w:r w:rsidRPr="00942942">
              <w:rPr>
                <w:rFonts w:ascii="Times New Roman" w:eastAsia="Times New Roman" w:hAnsi="Times New Roman" w:cs="Times New Roman"/>
                <w:i/>
                <w:iCs/>
                <w:color w:val="000000"/>
                <w:lang w:eastAsia="en-GB"/>
              </w:rPr>
              <w:t>Source: https://www.worldometers.info/coronavirus/ as on June 5, 2021</w:t>
            </w:r>
          </w:p>
        </w:tc>
      </w:tr>
      <w:tr w:rsidR="000602D0" w:rsidRPr="00942942" w14:paraId="5300B7B4" w14:textId="77777777" w:rsidTr="000602D0">
        <w:trPr>
          <w:trHeight w:val="287"/>
        </w:trPr>
        <w:tc>
          <w:tcPr>
            <w:tcW w:w="10485" w:type="dxa"/>
            <w:gridSpan w:val="7"/>
            <w:tcBorders>
              <w:top w:val="nil"/>
              <w:left w:val="nil"/>
              <w:bottom w:val="nil"/>
              <w:right w:val="nil"/>
            </w:tcBorders>
            <w:shd w:val="clear" w:color="auto" w:fill="auto"/>
            <w:noWrap/>
            <w:vAlign w:val="bottom"/>
            <w:hideMark/>
          </w:tcPr>
          <w:p w14:paraId="3EC2D20B" w14:textId="77777777" w:rsidR="000602D0" w:rsidRPr="00942942" w:rsidRDefault="000602D0" w:rsidP="000602D0">
            <w:pPr>
              <w:spacing w:after="0" w:line="240" w:lineRule="auto"/>
              <w:rPr>
                <w:rFonts w:ascii="Times New Roman" w:eastAsia="Times New Roman" w:hAnsi="Times New Roman" w:cs="Times New Roman"/>
                <w:color w:val="000000"/>
                <w:lang w:eastAsia="en-GB"/>
              </w:rPr>
            </w:pPr>
            <w:r w:rsidRPr="00942942">
              <w:rPr>
                <w:rFonts w:ascii="Times New Roman" w:eastAsia="Times New Roman" w:hAnsi="Times New Roman" w:cs="Times New Roman"/>
                <w:color w:val="000000"/>
                <w:lang w:eastAsia="en-GB"/>
              </w:rPr>
              <w:t>Total Cases and Total Deaths are Cumulative as of the last date during each stage</w:t>
            </w:r>
          </w:p>
        </w:tc>
      </w:tr>
    </w:tbl>
    <w:p w14:paraId="2D1BA62A" w14:textId="77777777" w:rsidR="000602D0" w:rsidRPr="000602D0" w:rsidRDefault="000602D0" w:rsidP="000602D0">
      <w:pPr>
        <w:spacing w:after="0" w:line="240" w:lineRule="auto"/>
        <w:jc w:val="center"/>
        <w:rPr>
          <w:rFonts w:ascii="Times New Roman" w:hAnsi="Times New Roman" w:cs="Times New Roman"/>
          <w:b/>
          <w:sz w:val="24"/>
          <w:szCs w:val="24"/>
        </w:rPr>
      </w:pPr>
    </w:p>
    <w:p w14:paraId="1ACAC6D0" w14:textId="29E73907" w:rsidR="004B3DBE" w:rsidRDefault="004B3DBE" w:rsidP="004B3DBE">
      <w:pPr>
        <w:spacing w:after="0" w:line="240" w:lineRule="auto"/>
        <w:rPr>
          <w:rFonts w:ascii="Times New Roman" w:hAnsi="Times New Roman" w:cs="Times New Roman"/>
          <w:sz w:val="24"/>
          <w:szCs w:val="24"/>
        </w:rPr>
      </w:pPr>
    </w:p>
    <w:p w14:paraId="268382E2" w14:textId="1E40F191" w:rsidR="000602D0" w:rsidRDefault="000602D0" w:rsidP="004B3DBE">
      <w:pPr>
        <w:spacing w:after="0" w:line="240" w:lineRule="auto"/>
        <w:rPr>
          <w:rFonts w:ascii="Times New Roman" w:hAnsi="Times New Roman" w:cs="Times New Roman"/>
          <w:sz w:val="24"/>
          <w:szCs w:val="24"/>
        </w:rPr>
      </w:pPr>
    </w:p>
    <w:tbl>
      <w:tblPr>
        <w:tblW w:w="9861" w:type="dxa"/>
        <w:jc w:val="center"/>
        <w:tblLook w:val="04A0" w:firstRow="1" w:lastRow="0" w:firstColumn="1" w:lastColumn="0" w:noHBand="0" w:noVBand="1"/>
      </w:tblPr>
      <w:tblGrid>
        <w:gridCol w:w="1630"/>
        <w:gridCol w:w="983"/>
        <w:gridCol w:w="1774"/>
        <w:gridCol w:w="732"/>
        <w:gridCol w:w="2218"/>
        <w:gridCol w:w="2524"/>
      </w:tblGrid>
      <w:tr w:rsidR="000602D0" w:rsidRPr="00370357" w14:paraId="4FFEA101" w14:textId="77777777" w:rsidTr="000602D0">
        <w:trPr>
          <w:trHeight w:val="288"/>
          <w:jc w:val="center"/>
        </w:trPr>
        <w:tc>
          <w:tcPr>
            <w:tcW w:w="9861" w:type="dxa"/>
            <w:gridSpan w:val="6"/>
            <w:tcBorders>
              <w:top w:val="nil"/>
              <w:left w:val="nil"/>
              <w:bottom w:val="single" w:sz="4" w:space="0" w:color="auto"/>
              <w:right w:val="nil"/>
            </w:tcBorders>
            <w:shd w:val="clear" w:color="000000" w:fill="FFFF00"/>
            <w:noWrap/>
            <w:vAlign w:val="bottom"/>
            <w:hideMark/>
          </w:tcPr>
          <w:p w14:paraId="5B867335"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Table 2: Sample Distribution</w:t>
            </w:r>
          </w:p>
        </w:tc>
      </w:tr>
      <w:tr w:rsidR="000602D0" w:rsidRPr="00370357" w14:paraId="3616FD13" w14:textId="77777777" w:rsidTr="000602D0">
        <w:trPr>
          <w:trHeight w:val="564"/>
          <w:jc w:val="center"/>
        </w:trPr>
        <w:tc>
          <w:tcPr>
            <w:tcW w:w="1630" w:type="dxa"/>
            <w:tcBorders>
              <w:top w:val="nil"/>
              <w:left w:val="nil"/>
              <w:bottom w:val="single" w:sz="4" w:space="0" w:color="auto"/>
              <w:right w:val="nil"/>
            </w:tcBorders>
            <w:shd w:val="clear" w:color="auto" w:fill="auto"/>
            <w:noWrap/>
            <w:vAlign w:val="bottom"/>
            <w:hideMark/>
          </w:tcPr>
          <w:p w14:paraId="76737AA7" w14:textId="77777777" w:rsidR="000602D0" w:rsidRPr="00370357" w:rsidRDefault="000602D0" w:rsidP="000602D0">
            <w:pPr>
              <w:spacing w:after="0" w:line="240" w:lineRule="auto"/>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Country</w:t>
            </w:r>
          </w:p>
        </w:tc>
        <w:tc>
          <w:tcPr>
            <w:tcW w:w="983" w:type="dxa"/>
            <w:tcBorders>
              <w:top w:val="nil"/>
              <w:left w:val="nil"/>
              <w:bottom w:val="single" w:sz="4" w:space="0" w:color="auto"/>
              <w:right w:val="nil"/>
            </w:tcBorders>
            <w:shd w:val="clear" w:color="auto" w:fill="auto"/>
            <w:noWrap/>
            <w:vAlign w:val="bottom"/>
            <w:hideMark/>
          </w:tcPr>
          <w:p w14:paraId="473549F6"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Islamic</w:t>
            </w:r>
          </w:p>
        </w:tc>
        <w:tc>
          <w:tcPr>
            <w:tcW w:w="1774" w:type="dxa"/>
            <w:tcBorders>
              <w:top w:val="nil"/>
              <w:left w:val="nil"/>
              <w:bottom w:val="single" w:sz="4" w:space="0" w:color="auto"/>
              <w:right w:val="nil"/>
            </w:tcBorders>
            <w:shd w:val="clear" w:color="auto" w:fill="auto"/>
            <w:noWrap/>
            <w:vAlign w:val="bottom"/>
            <w:hideMark/>
          </w:tcPr>
          <w:p w14:paraId="62632E6B"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Conventional</w:t>
            </w:r>
          </w:p>
        </w:tc>
        <w:tc>
          <w:tcPr>
            <w:tcW w:w="732" w:type="dxa"/>
            <w:tcBorders>
              <w:top w:val="nil"/>
              <w:left w:val="nil"/>
              <w:bottom w:val="single" w:sz="4" w:space="0" w:color="auto"/>
              <w:right w:val="nil"/>
            </w:tcBorders>
            <w:shd w:val="clear" w:color="auto" w:fill="auto"/>
            <w:noWrap/>
            <w:vAlign w:val="bottom"/>
            <w:hideMark/>
          </w:tcPr>
          <w:p w14:paraId="11F8A6BA"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Total</w:t>
            </w:r>
          </w:p>
        </w:tc>
        <w:tc>
          <w:tcPr>
            <w:tcW w:w="2218" w:type="dxa"/>
            <w:tcBorders>
              <w:top w:val="nil"/>
              <w:left w:val="nil"/>
              <w:bottom w:val="single" w:sz="4" w:space="0" w:color="auto"/>
              <w:right w:val="nil"/>
            </w:tcBorders>
            <w:shd w:val="clear" w:color="auto" w:fill="auto"/>
            <w:vAlign w:val="bottom"/>
            <w:hideMark/>
          </w:tcPr>
          <w:p w14:paraId="0B20D79C"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 AUM within Country - Islamic</w:t>
            </w:r>
          </w:p>
        </w:tc>
        <w:tc>
          <w:tcPr>
            <w:tcW w:w="2524" w:type="dxa"/>
            <w:tcBorders>
              <w:top w:val="nil"/>
              <w:left w:val="nil"/>
              <w:bottom w:val="single" w:sz="4" w:space="0" w:color="auto"/>
              <w:right w:val="nil"/>
            </w:tcBorders>
            <w:shd w:val="clear" w:color="auto" w:fill="auto"/>
            <w:vAlign w:val="bottom"/>
            <w:hideMark/>
          </w:tcPr>
          <w:p w14:paraId="05FC2B55"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 AUM within Country - Conventional</w:t>
            </w:r>
          </w:p>
        </w:tc>
      </w:tr>
      <w:tr w:rsidR="000602D0" w:rsidRPr="00370357" w14:paraId="1D20B3A3" w14:textId="77777777" w:rsidTr="000602D0">
        <w:trPr>
          <w:trHeight w:val="288"/>
          <w:jc w:val="center"/>
        </w:trPr>
        <w:tc>
          <w:tcPr>
            <w:tcW w:w="1630" w:type="dxa"/>
            <w:tcBorders>
              <w:top w:val="nil"/>
              <w:left w:val="nil"/>
              <w:bottom w:val="nil"/>
              <w:right w:val="nil"/>
            </w:tcBorders>
            <w:shd w:val="clear" w:color="auto" w:fill="auto"/>
            <w:noWrap/>
            <w:vAlign w:val="bottom"/>
            <w:hideMark/>
          </w:tcPr>
          <w:p w14:paraId="2AF7874A" w14:textId="77777777" w:rsidR="000602D0" w:rsidRPr="00370357" w:rsidRDefault="000602D0" w:rsidP="000602D0">
            <w:pPr>
              <w:spacing w:after="0" w:line="240" w:lineRule="auto"/>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Malaysia</w:t>
            </w:r>
          </w:p>
        </w:tc>
        <w:tc>
          <w:tcPr>
            <w:tcW w:w="983" w:type="dxa"/>
            <w:tcBorders>
              <w:top w:val="nil"/>
              <w:left w:val="nil"/>
              <w:bottom w:val="nil"/>
              <w:right w:val="nil"/>
            </w:tcBorders>
            <w:shd w:val="clear" w:color="auto" w:fill="auto"/>
            <w:noWrap/>
            <w:vAlign w:val="bottom"/>
            <w:hideMark/>
          </w:tcPr>
          <w:p w14:paraId="750DDD00"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170</w:t>
            </w:r>
          </w:p>
        </w:tc>
        <w:tc>
          <w:tcPr>
            <w:tcW w:w="1774" w:type="dxa"/>
            <w:tcBorders>
              <w:top w:val="nil"/>
              <w:left w:val="nil"/>
              <w:bottom w:val="nil"/>
              <w:right w:val="nil"/>
            </w:tcBorders>
            <w:shd w:val="clear" w:color="auto" w:fill="auto"/>
            <w:noWrap/>
            <w:vAlign w:val="bottom"/>
            <w:hideMark/>
          </w:tcPr>
          <w:p w14:paraId="2FE42EE7"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207</w:t>
            </w:r>
          </w:p>
        </w:tc>
        <w:tc>
          <w:tcPr>
            <w:tcW w:w="732" w:type="dxa"/>
            <w:tcBorders>
              <w:top w:val="nil"/>
              <w:left w:val="nil"/>
              <w:bottom w:val="nil"/>
              <w:right w:val="nil"/>
            </w:tcBorders>
            <w:shd w:val="clear" w:color="auto" w:fill="auto"/>
            <w:noWrap/>
            <w:vAlign w:val="bottom"/>
            <w:hideMark/>
          </w:tcPr>
          <w:p w14:paraId="5FE82EF4"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377</w:t>
            </w:r>
          </w:p>
        </w:tc>
        <w:tc>
          <w:tcPr>
            <w:tcW w:w="2218" w:type="dxa"/>
            <w:tcBorders>
              <w:top w:val="nil"/>
              <w:left w:val="nil"/>
              <w:bottom w:val="nil"/>
              <w:right w:val="nil"/>
            </w:tcBorders>
            <w:shd w:val="clear" w:color="auto" w:fill="auto"/>
            <w:noWrap/>
            <w:vAlign w:val="bottom"/>
            <w:hideMark/>
          </w:tcPr>
          <w:p w14:paraId="695E3B14"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85%</w:t>
            </w:r>
          </w:p>
        </w:tc>
        <w:tc>
          <w:tcPr>
            <w:tcW w:w="2524" w:type="dxa"/>
            <w:tcBorders>
              <w:top w:val="nil"/>
              <w:left w:val="nil"/>
              <w:bottom w:val="nil"/>
              <w:right w:val="nil"/>
            </w:tcBorders>
            <w:shd w:val="clear" w:color="auto" w:fill="auto"/>
            <w:noWrap/>
            <w:vAlign w:val="bottom"/>
            <w:hideMark/>
          </w:tcPr>
          <w:p w14:paraId="5F0D5271"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90%</w:t>
            </w:r>
          </w:p>
        </w:tc>
      </w:tr>
      <w:tr w:rsidR="000602D0" w:rsidRPr="00370357" w14:paraId="62B2DC82" w14:textId="77777777" w:rsidTr="000602D0">
        <w:trPr>
          <w:trHeight w:val="288"/>
          <w:jc w:val="center"/>
        </w:trPr>
        <w:tc>
          <w:tcPr>
            <w:tcW w:w="1630" w:type="dxa"/>
            <w:tcBorders>
              <w:top w:val="nil"/>
              <w:left w:val="nil"/>
              <w:bottom w:val="nil"/>
              <w:right w:val="nil"/>
            </w:tcBorders>
            <w:shd w:val="clear" w:color="auto" w:fill="auto"/>
            <w:noWrap/>
            <w:vAlign w:val="bottom"/>
            <w:hideMark/>
          </w:tcPr>
          <w:p w14:paraId="0A982DFD" w14:textId="77777777" w:rsidR="000602D0" w:rsidRPr="00370357" w:rsidRDefault="000602D0" w:rsidP="000602D0">
            <w:pPr>
              <w:spacing w:after="0" w:line="240" w:lineRule="auto"/>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Pakistan</w:t>
            </w:r>
          </w:p>
        </w:tc>
        <w:tc>
          <w:tcPr>
            <w:tcW w:w="983" w:type="dxa"/>
            <w:tcBorders>
              <w:top w:val="nil"/>
              <w:left w:val="nil"/>
              <w:bottom w:val="nil"/>
              <w:right w:val="nil"/>
            </w:tcBorders>
            <w:shd w:val="clear" w:color="auto" w:fill="auto"/>
            <w:noWrap/>
            <w:vAlign w:val="bottom"/>
            <w:hideMark/>
          </w:tcPr>
          <w:p w14:paraId="0B28F81D"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70</w:t>
            </w:r>
          </w:p>
        </w:tc>
        <w:tc>
          <w:tcPr>
            <w:tcW w:w="1774" w:type="dxa"/>
            <w:tcBorders>
              <w:top w:val="nil"/>
              <w:left w:val="nil"/>
              <w:bottom w:val="nil"/>
              <w:right w:val="nil"/>
            </w:tcBorders>
            <w:shd w:val="clear" w:color="auto" w:fill="auto"/>
            <w:noWrap/>
            <w:vAlign w:val="bottom"/>
            <w:hideMark/>
          </w:tcPr>
          <w:p w14:paraId="3DC322AA"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85</w:t>
            </w:r>
          </w:p>
        </w:tc>
        <w:tc>
          <w:tcPr>
            <w:tcW w:w="732" w:type="dxa"/>
            <w:tcBorders>
              <w:top w:val="nil"/>
              <w:left w:val="nil"/>
              <w:bottom w:val="nil"/>
              <w:right w:val="nil"/>
            </w:tcBorders>
            <w:shd w:val="clear" w:color="auto" w:fill="auto"/>
            <w:noWrap/>
            <w:vAlign w:val="bottom"/>
            <w:hideMark/>
          </w:tcPr>
          <w:p w14:paraId="02159B18"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155</w:t>
            </w:r>
          </w:p>
        </w:tc>
        <w:tc>
          <w:tcPr>
            <w:tcW w:w="2218" w:type="dxa"/>
            <w:tcBorders>
              <w:top w:val="nil"/>
              <w:left w:val="nil"/>
              <w:bottom w:val="nil"/>
              <w:right w:val="nil"/>
            </w:tcBorders>
            <w:shd w:val="clear" w:color="auto" w:fill="auto"/>
            <w:noWrap/>
            <w:vAlign w:val="bottom"/>
            <w:hideMark/>
          </w:tcPr>
          <w:p w14:paraId="11EB9833"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93%</w:t>
            </w:r>
          </w:p>
        </w:tc>
        <w:tc>
          <w:tcPr>
            <w:tcW w:w="2524" w:type="dxa"/>
            <w:tcBorders>
              <w:top w:val="nil"/>
              <w:left w:val="nil"/>
              <w:bottom w:val="nil"/>
              <w:right w:val="nil"/>
            </w:tcBorders>
            <w:shd w:val="clear" w:color="auto" w:fill="auto"/>
            <w:noWrap/>
            <w:vAlign w:val="bottom"/>
            <w:hideMark/>
          </w:tcPr>
          <w:p w14:paraId="163AA404"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89%</w:t>
            </w:r>
          </w:p>
        </w:tc>
      </w:tr>
      <w:tr w:rsidR="000602D0" w:rsidRPr="00370357" w14:paraId="62ED66B7" w14:textId="77777777" w:rsidTr="000602D0">
        <w:trPr>
          <w:trHeight w:val="288"/>
          <w:jc w:val="center"/>
        </w:trPr>
        <w:tc>
          <w:tcPr>
            <w:tcW w:w="1630" w:type="dxa"/>
            <w:tcBorders>
              <w:top w:val="nil"/>
              <w:left w:val="nil"/>
              <w:bottom w:val="nil"/>
              <w:right w:val="nil"/>
            </w:tcBorders>
            <w:shd w:val="clear" w:color="auto" w:fill="auto"/>
            <w:noWrap/>
            <w:vAlign w:val="bottom"/>
            <w:hideMark/>
          </w:tcPr>
          <w:p w14:paraId="02C243C4" w14:textId="77777777" w:rsidR="000602D0" w:rsidRPr="00370357" w:rsidRDefault="000602D0" w:rsidP="000602D0">
            <w:pPr>
              <w:spacing w:after="0" w:line="240" w:lineRule="auto"/>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Saudi Arabia</w:t>
            </w:r>
          </w:p>
        </w:tc>
        <w:tc>
          <w:tcPr>
            <w:tcW w:w="983" w:type="dxa"/>
            <w:tcBorders>
              <w:top w:val="nil"/>
              <w:left w:val="nil"/>
              <w:bottom w:val="nil"/>
              <w:right w:val="nil"/>
            </w:tcBorders>
            <w:shd w:val="clear" w:color="auto" w:fill="auto"/>
            <w:noWrap/>
            <w:vAlign w:val="bottom"/>
            <w:hideMark/>
          </w:tcPr>
          <w:p w14:paraId="71AE7630"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80</w:t>
            </w:r>
          </w:p>
        </w:tc>
        <w:tc>
          <w:tcPr>
            <w:tcW w:w="1774" w:type="dxa"/>
            <w:tcBorders>
              <w:top w:val="nil"/>
              <w:left w:val="nil"/>
              <w:bottom w:val="nil"/>
              <w:right w:val="nil"/>
            </w:tcBorders>
            <w:shd w:val="clear" w:color="auto" w:fill="auto"/>
            <w:noWrap/>
            <w:vAlign w:val="bottom"/>
            <w:hideMark/>
          </w:tcPr>
          <w:p w14:paraId="4CF9144A"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103</w:t>
            </w:r>
          </w:p>
        </w:tc>
        <w:tc>
          <w:tcPr>
            <w:tcW w:w="732" w:type="dxa"/>
            <w:tcBorders>
              <w:top w:val="nil"/>
              <w:left w:val="nil"/>
              <w:bottom w:val="nil"/>
              <w:right w:val="nil"/>
            </w:tcBorders>
            <w:shd w:val="clear" w:color="auto" w:fill="auto"/>
            <w:noWrap/>
            <w:vAlign w:val="bottom"/>
            <w:hideMark/>
          </w:tcPr>
          <w:p w14:paraId="0A8C273D"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183</w:t>
            </w:r>
          </w:p>
        </w:tc>
        <w:tc>
          <w:tcPr>
            <w:tcW w:w="2218" w:type="dxa"/>
            <w:tcBorders>
              <w:top w:val="nil"/>
              <w:left w:val="nil"/>
              <w:bottom w:val="nil"/>
              <w:right w:val="nil"/>
            </w:tcBorders>
            <w:shd w:val="clear" w:color="auto" w:fill="auto"/>
            <w:noWrap/>
            <w:vAlign w:val="bottom"/>
            <w:hideMark/>
          </w:tcPr>
          <w:p w14:paraId="3DCA0628"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86%</w:t>
            </w:r>
          </w:p>
        </w:tc>
        <w:tc>
          <w:tcPr>
            <w:tcW w:w="2524" w:type="dxa"/>
            <w:tcBorders>
              <w:top w:val="nil"/>
              <w:left w:val="nil"/>
              <w:bottom w:val="nil"/>
              <w:right w:val="nil"/>
            </w:tcBorders>
            <w:shd w:val="clear" w:color="auto" w:fill="auto"/>
            <w:noWrap/>
            <w:vAlign w:val="bottom"/>
            <w:hideMark/>
          </w:tcPr>
          <w:p w14:paraId="0A5B12D0"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87%</w:t>
            </w:r>
          </w:p>
        </w:tc>
      </w:tr>
      <w:tr w:rsidR="000602D0" w:rsidRPr="00370357" w14:paraId="463A40E3" w14:textId="77777777" w:rsidTr="000602D0">
        <w:trPr>
          <w:trHeight w:val="288"/>
          <w:jc w:val="center"/>
        </w:trPr>
        <w:tc>
          <w:tcPr>
            <w:tcW w:w="1630" w:type="dxa"/>
            <w:tcBorders>
              <w:top w:val="nil"/>
              <w:left w:val="nil"/>
              <w:bottom w:val="nil"/>
              <w:right w:val="nil"/>
            </w:tcBorders>
            <w:shd w:val="clear" w:color="auto" w:fill="auto"/>
            <w:noWrap/>
            <w:vAlign w:val="bottom"/>
            <w:hideMark/>
          </w:tcPr>
          <w:p w14:paraId="488A5A50" w14:textId="77777777" w:rsidR="000602D0" w:rsidRPr="00370357" w:rsidRDefault="000602D0" w:rsidP="000602D0">
            <w:pPr>
              <w:spacing w:after="0" w:line="240" w:lineRule="auto"/>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Qatar</w:t>
            </w:r>
          </w:p>
        </w:tc>
        <w:tc>
          <w:tcPr>
            <w:tcW w:w="983" w:type="dxa"/>
            <w:tcBorders>
              <w:top w:val="nil"/>
              <w:left w:val="nil"/>
              <w:bottom w:val="nil"/>
              <w:right w:val="nil"/>
            </w:tcBorders>
            <w:shd w:val="clear" w:color="auto" w:fill="auto"/>
            <w:noWrap/>
            <w:vAlign w:val="bottom"/>
            <w:hideMark/>
          </w:tcPr>
          <w:p w14:paraId="7EB7951D"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69</w:t>
            </w:r>
          </w:p>
        </w:tc>
        <w:tc>
          <w:tcPr>
            <w:tcW w:w="1774" w:type="dxa"/>
            <w:tcBorders>
              <w:top w:val="nil"/>
              <w:left w:val="nil"/>
              <w:bottom w:val="nil"/>
              <w:right w:val="nil"/>
            </w:tcBorders>
            <w:shd w:val="clear" w:color="auto" w:fill="auto"/>
            <w:noWrap/>
            <w:vAlign w:val="bottom"/>
            <w:hideMark/>
          </w:tcPr>
          <w:p w14:paraId="63E06282"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82</w:t>
            </w:r>
          </w:p>
        </w:tc>
        <w:tc>
          <w:tcPr>
            <w:tcW w:w="732" w:type="dxa"/>
            <w:tcBorders>
              <w:top w:val="nil"/>
              <w:left w:val="nil"/>
              <w:bottom w:val="nil"/>
              <w:right w:val="nil"/>
            </w:tcBorders>
            <w:shd w:val="clear" w:color="auto" w:fill="auto"/>
            <w:noWrap/>
            <w:vAlign w:val="bottom"/>
            <w:hideMark/>
          </w:tcPr>
          <w:p w14:paraId="32300180"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151</w:t>
            </w:r>
          </w:p>
        </w:tc>
        <w:tc>
          <w:tcPr>
            <w:tcW w:w="2218" w:type="dxa"/>
            <w:tcBorders>
              <w:top w:val="nil"/>
              <w:left w:val="nil"/>
              <w:bottom w:val="nil"/>
              <w:right w:val="nil"/>
            </w:tcBorders>
            <w:shd w:val="clear" w:color="auto" w:fill="auto"/>
            <w:noWrap/>
            <w:vAlign w:val="bottom"/>
            <w:hideMark/>
          </w:tcPr>
          <w:p w14:paraId="76B65108"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89%</w:t>
            </w:r>
          </w:p>
        </w:tc>
        <w:tc>
          <w:tcPr>
            <w:tcW w:w="2524" w:type="dxa"/>
            <w:tcBorders>
              <w:top w:val="nil"/>
              <w:left w:val="nil"/>
              <w:bottom w:val="nil"/>
              <w:right w:val="nil"/>
            </w:tcBorders>
            <w:shd w:val="clear" w:color="auto" w:fill="auto"/>
            <w:noWrap/>
            <w:vAlign w:val="bottom"/>
            <w:hideMark/>
          </w:tcPr>
          <w:p w14:paraId="4B4F8F53"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88%</w:t>
            </w:r>
          </w:p>
        </w:tc>
      </w:tr>
      <w:tr w:rsidR="000602D0" w:rsidRPr="00370357" w14:paraId="01B8B03F" w14:textId="77777777" w:rsidTr="000602D0">
        <w:trPr>
          <w:trHeight w:val="288"/>
          <w:jc w:val="center"/>
        </w:trPr>
        <w:tc>
          <w:tcPr>
            <w:tcW w:w="1630" w:type="dxa"/>
            <w:tcBorders>
              <w:top w:val="nil"/>
              <w:left w:val="nil"/>
              <w:bottom w:val="nil"/>
              <w:right w:val="nil"/>
            </w:tcBorders>
            <w:shd w:val="clear" w:color="auto" w:fill="auto"/>
            <w:noWrap/>
            <w:vAlign w:val="bottom"/>
            <w:hideMark/>
          </w:tcPr>
          <w:p w14:paraId="43D82738" w14:textId="77777777" w:rsidR="000602D0" w:rsidRPr="00370357" w:rsidRDefault="000602D0" w:rsidP="000602D0">
            <w:pPr>
              <w:spacing w:after="0" w:line="240" w:lineRule="auto"/>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Kuwait</w:t>
            </w:r>
          </w:p>
        </w:tc>
        <w:tc>
          <w:tcPr>
            <w:tcW w:w="983" w:type="dxa"/>
            <w:tcBorders>
              <w:top w:val="nil"/>
              <w:left w:val="nil"/>
              <w:bottom w:val="nil"/>
              <w:right w:val="nil"/>
            </w:tcBorders>
            <w:shd w:val="clear" w:color="auto" w:fill="auto"/>
            <w:noWrap/>
            <w:vAlign w:val="bottom"/>
            <w:hideMark/>
          </w:tcPr>
          <w:p w14:paraId="5665789E"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52</w:t>
            </w:r>
          </w:p>
        </w:tc>
        <w:tc>
          <w:tcPr>
            <w:tcW w:w="1774" w:type="dxa"/>
            <w:tcBorders>
              <w:top w:val="nil"/>
              <w:left w:val="nil"/>
              <w:bottom w:val="nil"/>
              <w:right w:val="nil"/>
            </w:tcBorders>
            <w:shd w:val="clear" w:color="auto" w:fill="auto"/>
            <w:noWrap/>
            <w:vAlign w:val="bottom"/>
            <w:hideMark/>
          </w:tcPr>
          <w:p w14:paraId="0DD1271C"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69</w:t>
            </w:r>
          </w:p>
        </w:tc>
        <w:tc>
          <w:tcPr>
            <w:tcW w:w="732" w:type="dxa"/>
            <w:tcBorders>
              <w:top w:val="nil"/>
              <w:left w:val="nil"/>
              <w:bottom w:val="nil"/>
              <w:right w:val="nil"/>
            </w:tcBorders>
            <w:shd w:val="clear" w:color="auto" w:fill="auto"/>
            <w:noWrap/>
            <w:vAlign w:val="bottom"/>
            <w:hideMark/>
          </w:tcPr>
          <w:p w14:paraId="2BD60B41"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121</w:t>
            </w:r>
          </w:p>
        </w:tc>
        <w:tc>
          <w:tcPr>
            <w:tcW w:w="2218" w:type="dxa"/>
            <w:tcBorders>
              <w:top w:val="nil"/>
              <w:left w:val="nil"/>
              <w:bottom w:val="nil"/>
              <w:right w:val="nil"/>
            </w:tcBorders>
            <w:shd w:val="clear" w:color="auto" w:fill="auto"/>
            <w:noWrap/>
            <w:vAlign w:val="bottom"/>
            <w:hideMark/>
          </w:tcPr>
          <w:p w14:paraId="4D7A8B4A"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86%</w:t>
            </w:r>
          </w:p>
        </w:tc>
        <w:tc>
          <w:tcPr>
            <w:tcW w:w="2524" w:type="dxa"/>
            <w:tcBorders>
              <w:top w:val="nil"/>
              <w:left w:val="nil"/>
              <w:bottom w:val="nil"/>
              <w:right w:val="nil"/>
            </w:tcBorders>
            <w:shd w:val="clear" w:color="auto" w:fill="auto"/>
            <w:noWrap/>
            <w:vAlign w:val="bottom"/>
            <w:hideMark/>
          </w:tcPr>
          <w:p w14:paraId="713E6514"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90%</w:t>
            </w:r>
          </w:p>
        </w:tc>
      </w:tr>
      <w:tr w:rsidR="000602D0" w:rsidRPr="00370357" w14:paraId="023EEEC4" w14:textId="77777777" w:rsidTr="000602D0">
        <w:trPr>
          <w:trHeight w:val="288"/>
          <w:jc w:val="center"/>
        </w:trPr>
        <w:tc>
          <w:tcPr>
            <w:tcW w:w="1630" w:type="dxa"/>
            <w:tcBorders>
              <w:top w:val="nil"/>
              <w:left w:val="nil"/>
              <w:bottom w:val="nil"/>
              <w:right w:val="nil"/>
            </w:tcBorders>
            <w:shd w:val="clear" w:color="auto" w:fill="auto"/>
            <w:noWrap/>
            <w:vAlign w:val="bottom"/>
            <w:hideMark/>
          </w:tcPr>
          <w:p w14:paraId="254E1DA8" w14:textId="77777777" w:rsidR="000602D0" w:rsidRPr="00370357" w:rsidRDefault="000602D0" w:rsidP="000602D0">
            <w:pPr>
              <w:spacing w:after="0" w:line="240" w:lineRule="auto"/>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UAE</w:t>
            </w:r>
          </w:p>
        </w:tc>
        <w:tc>
          <w:tcPr>
            <w:tcW w:w="983" w:type="dxa"/>
            <w:tcBorders>
              <w:top w:val="nil"/>
              <w:left w:val="nil"/>
              <w:bottom w:val="nil"/>
              <w:right w:val="nil"/>
            </w:tcBorders>
            <w:shd w:val="clear" w:color="auto" w:fill="auto"/>
            <w:noWrap/>
            <w:vAlign w:val="bottom"/>
            <w:hideMark/>
          </w:tcPr>
          <w:p w14:paraId="40D4756C"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35</w:t>
            </w:r>
          </w:p>
        </w:tc>
        <w:tc>
          <w:tcPr>
            <w:tcW w:w="1774" w:type="dxa"/>
            <w:tcBorders>
              <w:top w:val="nil"/>
              <w:left w:val="nil"/>
              <w:bottom w:val="nil"/>
              <w:right w:val="nil"/>
            </w:tcBorders>
            <w:shd w:val="clear" w:color="auto" w:fill="auto"/>
            <w:noWrap/>
            <w:vAlign w:val="bottom"/>
            <w:hideMark/>
          </w:tcPr>
          <w:p w14:paraId="31A99457"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45</w:t>
            </w:r>
          </w:p>
        </w:tc>
        <w:tc>
          <w:tcPr>
            <w:tcW w:w="732" w:type="dxa"/>
            <w:tcBorders>
              <w:top w:val="nil"/>
              <w:left w:val="nil"/>
              <w:bottom w:val="nil"/>
              <w:right w:val="nil"/>
            </w:tcBorders>
            <w:shd w:val="clear" w:color="auto" w:fill="auto"/>
            <w:noWrap/>
            <w:vAlign w:val="bottom"/>
            <w:hideMark/>
          </w:tcPr>
          <w:p w14:paraId="51AC9ADB"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80</w:t>
            </w:r>
          </w:p>
        </w:tc>
        <w:tc>
          <w:tcPr>
            <w:tcW w:w="2218" w:type="dxa"/>
            <w:tcBorders>
              <w:top w:val="nil"/>
              <w:left w:val="nil"/>
              <w:bottom w:val="nil"/>
              <w:right w:val="nil"/>
            </w:tcBorders>
            <w:shd w:val="clear" w:color="auto" w:fill="auto"/>
            <w:noWrap/>
            <w:vAlign w:val="bottom"/>
            <w:hideMark/>
          </w:tcPr>
          <w:p w14:paraId="65BDA7D0"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90%</w:t>
            </w:r>
          </w:p>
        </w:tc>
        <w:tc>
          <w:tcPr>
            <w:tcW w:w="2524" w:type="dxa"/>
            <w:tcBorders>
              <w:top w:val="nil"/>
              <w:left w:val="nil"/>
              <w:bottom w:val="nil"/>
              <w:right w:val="nil"/>
            </w:tcBorders>
            <w:shd w:val="clear" w:color="auto" w:fill="auto"/>
            <w:noWrap/>
            <w:vAlign w:val="bottom"/>
            <w:hideMark/>
          </w:tcPr>
          <w:p w14:paraId="37DBB1C0" w14:textId="77777777" w:rsidR="000602D0" w:rsidRPr="00370357" w:rsidRDefault="000602D0" w:rsidP="000602D0">
            <w:pPr>
              <w:spacing w:after="0" w:line="240" w:lineRule="auto"/>
              <w:jc w:val="center"/>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91%</w:t>
            </w:r>
          </w:p>
        </w:tc>
      </w:tr>
      <w:tr w:rsidR="000602D0" w:rsidRPr="00370357" w14:paraId="508B75BC" w14:textId="77777777" w:rsidTr="000602D0">
        <w:trPr>
          <w:trHeight w:val="288"/>
          <w:jc w:val="center"/>
        </w:trPr>
        <w:tc>
          <w:tcPr>
            <w:tcW w:w="1630" w:type="dxa"/>
            <w:tcBorders>
              <w:top w:val="nil"/>
              <w:left w:val="nil"/>
              <w:bottom w:val="single" w:sz="4" w:space="0" w:color="auto"/>
              <w:right w:val="nil"/>
            </w:tcBorders>
            <w:shd w:val="clear" w:color="auto" w:fill="auto"/>
            <w:noWrap/>
            <w:vAlign w:val="bottom"/>
            <w:hideMark/>
          </w:tcPr>
          <w:p w14:paraId="435A8AC7" w14:textId="77777777" w:rsidR="000602D0" w:rsidRPr="00370357" w:rsidRDefault="000602D0" w:rsidP="000602D0">
            <w:pPr>
              <w:spacing w:after="0" w:line="240" w:lineRule="auto"/>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Total</w:t>
            </w:r>
          </w:p>
        </w:tc>
        <w:tc>
          <w:tcPr>
            <w:tcW w:w="983" w:type="dxa"/>
            <w:tcBorders>
              <w:top w:val="nil"/>
              <w:left w:val="nil"/>
              <w:bottom w:val="single" w:sz="4" w:space="0" w:color="auto"/>
              <w:right w:val="nil"/>
            </w:tcBorders>
            <w:shd w:val="clear" w:color="auto" w:fill="auto"/>
            <w:noWrap/>
            <w:vAlign w:val="bottom"/>
            <w:hideMark/>
          </w:tcPr>
          <w:p w14:paraId="038AC945"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476</w:t>
            </w:r>
          </w:p>
        </w:tc>
        <w:tc>
          <w:tcPr>
            <w:tcW w:w="1774" w:type="dxa"/>
            <w:tcBorders>
              <w:top w:val="nil"/>
              <w:left w:val="nil"/>
              <w:bottom w:val="single" w:sz="4" w:space="0" w:color="auto"/>
              <w:right w:val="nil"/>
            </w:tcBorders>
            <w:shd w:val="clear" w:color="auto" w:fill="auto"/>
            <w:noWrap/>
            <w:vAlign w:val="bottom"/>
            <w:hideMark/>
          </w:tcPr>
          <w:p w14:paraId="7E57FF6E"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591</w:t>
            </w:r>
          </w:p>
        </w:tc>
        <w:tc>
          <w:tcPr>
            <w:tcW w:w="732" w:type="dxa"/>
            <w:tcBorders>
              <w:top w:val="nil"/>
              <w:left w:val="nil"/>
              <w:bottom w:val="single" w:sz="4" w:space="0" w:color="auto"/>
              <w:right w:val="nil"/>
            </w:tcBorders>
            <w:shd w:val="clear" w:color="auto" w:fill="auto"/>
            <w:noWrap/>
            <w:vAlign w:val="bottom"/>
            <w:hideMark/>
          </w:tcPr>
          <w:p w14:paraId="10EF14FA" w14:textId="77777777" w:rsidR="000602D0" w:rsidRPr="00370357" w:rsidRDefault="000602D0" w:rsidP="000602D0">
            <w:pPr>
              <w:spacing w:after="0" w:line="240" w:lineRule="auto"/>
              <w:jc w:val="center"/>
              <w:rPr>
                <w:rFonts w:ascii="Times New Roman" w:eastAsia="Times New Roman" w:hAnsi="Times New Roman" w:cs="Times New Roman"/>
                <w:b/>
                <w:bCs/>
                <w:color w:val="000000"/>
                <w:lang w:eastAsia="en-GB"/>
              </w:rPr>
            </w:pPr>
            <w:r w:rsidRPr="00370357">
              <w:rPr>
                <w:rFonts w:ascii="Times New Roman" w:eastAsia="Times New Roman" w:hAnsi="Times New Roman" w:cs="Times New Roman"/>
                <w:b/>
                <w:bCs/>
                <w:color w:val="000000"/>
                <w:lang w:eastAsia="en-GB"/>
              </w:rPr>
              <w:t>1067</w:t>
            </w:r>
          </w:p>
        </w:tc>
        <w:tc>
          <w:tcPr>
            <w:tcW w:w="2218" w:type="dxa"/>
            <w:tcBorders>
              <w:top w:val="nil"/>
              <w:left w:val="nil"/>
              <w:bottom w:val="single" w:sz="4" w:space="0" w:color="auto"/>
              <w:right w:val="nil"/>
            </w:tcBorders>
            <w:shd w:val="clear" w:color="auto" w:fill="auto"/>
            <w:noWrap/>
            <w:vAlign w:val="bottom"/>
            <w:hideMark/>
          </w:tcPr>
          <w:p w14:paraId="3F047198" w14:textId="77777777" w:rsidR="000602D0" w:rsidRPr="00370357" w:rsidRDefault="000602D0" w:rsidP="000602D0">
            <w:pPr>
              <w:spacing w:after="0" w:line="240" w:lineRule="auto"/>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 </w:t>
            </w:r>
          </w:p>
        </w:tc>
        <w:tc>
          <w:tcPr>
            <w:tcW w:w="2524" w:type="dxa"/>
            <w:tcBorders>
              <w:top w:val="nil"/>
              <w:left w:val="nil"/>
              <w:bottom w:val="single" w:sz="4" w:space="0" w:color="auto"/>
              <w:right w:val="nil"/>
            </w:tcBorders>
            <w:shd w:val="clear" w:color="auto" w:fill="auto"/>
            <w:noWrap/>
            <w:vAlign w:val="bottom"/>
            <w:hideMark/>
          </w:tcPr>
          <w:p w14:paraId="2886A598" w14:textId="77777777" w:rsidR="000602D0" w:rsidRPr="00370357" w:rsidRDefault="000602D0" w:rsidP="000602D0">
            <w:pPr>
              <w:spacing w:after="0" w:line="240" w:lineRule="auto"/>
              <w:rPr>
                <w:rFonts w:ascii="Times New Roman" w:eastAsia="Times New Roman" w:hAnsi="Times New Roman" w:cs="Times New Roman"/>
                <w:color w:val="000000"/>
                <w:lang w:eastAsia="en-GB"/>
              </w:rPr>
            </w:pPr>
            <w:r w:rsidRPr="00370357">
              <w:rPr>
                <w:rFonts w:ascii="Times New Roman" w:eastAsia="Times New Roman" w:hAnsi="Times New Roman" w:cs="Times New Roman"/>
                <w:color w:val="000000"/>
                <w:lang w:eastAsia="en-GB"/>
              </w:rPr>
              <w:t> </w:t>
            </w:r>
          </w:p>
        </w:tc>
      </w:tr>
    </w:tbl>
    <w:p w14:paraId="23C10EDE" w14:textId="77777777" w:rsidR="004B3DBE" w:rsidRDefault="004B3DBE" w:rsidP="004B3DBE">
      <w:pPr>
        <w:spacing w:after="0" w:line="240" w:lineRule="auto"/>
        <w:rPr>
          <w:rFonts w:ascii="Times New Roman" w:hAnsi="Times New Roman" w:cs="Times New Roman"/>
          <w:sz w:val="24"/>
          <w:szCs w:val="24"/>
        </w:rPr>
      </w:pPr>
    </w:p>
    <w:p w14:paraId="4064249A" w14:textId="77777777" w:rsidR="004B3DBE" w:rsidRDefault="004B3DBE" w:rsidP="004B3DBE">
      <w:pPr>
        <w:spacing w:after="0" w:line="240" w:lineRule="auto"/>
        <w:rPr>
          <w:rFonts w:ascii="Times New Roman" w:hAnsi="Times New Roman" w:cs="Times New Roman"/>
          <w:sz w:val="24"/>
          <w:szCs w:val="24"/>
        </w:rPr>
      </w:pPr>
    </w:p>
    <w:tbl>
      <w:tblPr>
        <w:tblW w:w="8443" w:type="dxa"/>
        <w:tblLook w:val="04A0" w:firstRow="1" w:lastRow="0" w:firstColumn="1" w:lastColumn="0" w:noHBand="0" w:noVBand="1"/>
      </w:tblPr>
      <w:tblGrid>
        <w:gridCol w:w="1531"/>
        <w:gridCol w:w="3270"/>
        <w:gridCol w:w="3642"/>
      </w:tblGrid>
      <w:tr w:rsidR="004B3DBE" w:rsidRPr="00461BB5" w14:paraId="27355B33" w14:textId="77777777" w:rsidTr="004B3DBE">
        <w:trPr>
          <w:trHeight w:val="304"/>
        </w:trPr>
        <w:tc>
          <w:tcPr>
            <w:tcW w:w="8443" w:type="dxa"/>
            <w:gridSpan w:val="3"/>
            <w:tcBorders>
              <w:top w:val="nil"/>
              <w:left w:val="nil"/>
              <w:bottom w:val="single" w:sz="4" w:space="0" w:color="auto"/>
              <w:right w:val="nil"/>
            </w:tcBorders>
            <w:shd w:val="clear" w:color="auto" w:fill="auto"/>
            <w:noWrap/>
            <w:vAlign w:val="bottom"/>
            <w:hideMark/>
          </w:tcPr>
          <w:p w14:paraId="5CDD0C7F" w14:textId="77777777" w:rsidR="004B3DBE" w:rsidRPr="00461BB5" w:rsidRDefault="004B3DBE" w:rsidP="004B3DBE">
            <w:pPr>
              <w:spacing w:after="0" w:line="240" w:lineRule="auto"/>
              <w:rPr>
                <w:rFonts w:ascii="Times New Roman" w:eastAsia="Times New Roman" w:hAnsi="Times New Roman" w:cs="Times New Roman"/>
                <w:b/>
                <w:bCs/>
                <w:color w:val="000000"/>
              </w:rPr>
            </w:pPr>
            <w:r w:rsidRPr="00461BB5">
              <w:rPr>
                <w:rFonts w:ascii="Times New Roman" w:eastAsia="Times New Roman" w:hAnsi="Times New Roman" w:cs="Times New Roman"/>
                <w:b/>
                <w:bCs/>
                <w:color w:val="000000"/>
              </w:rPr>
              <w:t>Table 3: Market Indices and Risk Free for selected Countries</w:t>
            </w:r>
          </w:p>
        </w:tc>
      </w:tr>
      <w:tr w:rsidR="004B3DBE" w:rsidRPr="00461BB5" w14:paraId="540397B5" w14:textId="77777777" w:rsidTr="004B3DBE">
        <w:trPr>
          <w:trHeight w:val="304"/>
        </w:trPr>
        <w:tc>
          <w:tcPr>
            <w:tcW w:w="1531" w:type="dxa"/>
            <w:tcBorders>
              <w:top w:val="nil"/>
              <w:left w:val="nil"/>
              <w:bottom w:val="single" w:sz="4" w:space="0" w:color="auto"/>
              <w:right w:val="nil"/>
            </w:tcBorders>
            <w:shd w:val="clear" w:color="auto" w:fill="auto"/>
            <w:noWrap/>
            <w:vAlign w:val="bottom"/>
            <w:hideMark/>
          </w:tcPr>
          <w:p w14:paraId="44F87F0E"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 </w:t>
            </w:r>
          </w:p>
        </w:tc>
        <w:tc>
          <w:tcPr>
            <w:tcW w:w="3270" w:type="dxa"/>
            <w:tcBorders>
              <w:top w:val="nil"/>
              <w:left w:val="nil"/>
              <w:bottom w:val="single" w:sz="4" w:space="0" w:color="auto"/>
              <w:right w:val="nil"/>
            </w:tcBorders>
            <w:shd w:val="clear" w:color="auto" w:fill="auto"/>
            <w:noWrap/>
            <w:vAlign w:val="bottom"/>
            <w:hideMark/>
          </w:tcPr>
          <w:p w14:paraId="0C2F1986" w14:textId="77777777" w:rsidR="004B3DBE" w:rsidRPr="00461BB5" w:rsidRDefault="004B3DBE" w:rsidP="004B3DBE">
            <w:pPr>
              <w:spacing w:after="0" w:line="240" w:lineRule="auto"/>
              <w:jc w:val="center"/>
              <w:rPr>
                <w:rFonts w:ascii="Times New Roman" w:eastAsia="Times New Roman" w:hAnsi="Times New Roman" w:cs="Times New Roman"/>
                <w:b/>
                <w:bCs/>
                <w:color w:val="000000"/>
              </w:rPr>
            </w:pPr>
            <w:r w:rsidRPr="00461BB5">
              <w:rPr>
                <w:rFonts w:ascii="Times New Roman" w:eastAsia="Times New Roman" w:hAnsi="Times New Roman" w:cs="Times New Roman"/>
                <w:b/>
                <w:bCs/>
                <w:color w:val="000000"/>
              </w:rPr>
              <w:t>Market Index</w:t>
            </w:r>
          </w:p>
        </w:tc>
        <w:tc>
          <w:tcPr>
            <w:tcW w:w="3641" w:type="dxa"/>
            <w:tcBorders>
              <w:top w:val="nil"/>
              <w:left w:val="nil"/>
              <w:bottom w:val="single" w:sz="4" w:space="0" w:color="auto"/>
              <w:right w:val="nil"/>
            </w:tcBorders>
            <w:shd w:val="clear" w:color="auto" w:fill="auto"/>
            <w:noWrap/>
            <w:vAlign w:val="bottom"/>
            <w:hideMark/>
          </w:tcPr>
          <w:p w14:paraId="05F2F091" w14:textId="77777777" w:rsidR="004B3DBE" w:rsidRPr="00461BB5" w:rsidRDefault="004B3DBE" w:rsidP="004B3DBE">
            <w:pPr>
              <w:spacing w:after="0" w:line="240" w:lineRule="auto"/>
              <w:jc w:val="center"/>
              <w:rPr>
                <w:rFonts w:ascii="Times New Roman" w:eastAsia="Times New Roman" w:hAnsi="Times New Roman" w:cs="Times New Roman"/>
                <w:b/>
                <w:bCs/>
                <w:color w:val="000000"/>
              </w:rPr>
            </w:pPr>
            <w:r w:rsidRPr="00461BB5">
              <w:rPr>
                <w:rFonts w:ascii="Times New Roman" w:eastAsia="Times New Roman" w:hAnsi="Times New Roman" w:cs="Times New Roman"/>
                <w:b/>
                <w:bCs/>
                <w:color w:val="000000"/>
              </w:rPr>
              <w:t>Risk Free Rate</w:t>
            </w:r>
          </w:p>
        </w:tc>
      </w:tr>
      <w:tr w:rsidR="004B3DBE" w:rsidRPr="00461BB5" w14:paraId="7241C3CD" w14:textId="77777777" w:rsidTr="004B3DBE">
        <w:trPr>
          <w:trHeight w:val="304"/>
        </w:trPr>
        <w:tc>
          <w:tcPr>
            <w:tcW w:w="1531" w:type="dxa"/>
            <w:tcBorders>
              <w:top w:val="nil"/>
              <w:left w:val="nil"/>
              <w:bottom w:val="nil"/>
              <w:right w:val="nil"/>
            </w:tcBorders>
            <w:shd w:val="clear" w:color="auto" w:fill="auto"/>
            <w:noWrap/>
            <w:vAlign w:val="bottom"/>
            <w:hideMark/>
          </w:tcPr>
          <w:p w14:paraId="28DFDAF7"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Malaysia</w:t>
            </w:r>
          </w:p>
        </w:tc>
        <w:tc>
          <w:tcPr>
            <w:tcW w:w="3270" w:type="dxa"/>
            <w:tcBorders>
              <w:top w:val="nil"/>
              <w:left w:val="nil"/>
              <w:bottom w:val="nil"/>
              <w:right w:val="nil"/>
            </w:tcBorders>
            <w:shd w:val="clear" w:color="auto" w:fill="auto"/>
            <w:noWrap/>
            <w:vAlign w:val="bottom"/>
            <w:hideMark/>
          </w:tcPr>
          <w:p w14:paraId="2EDFF1E6" w14:textId="77777777" w:rsidR="004B3DBE" w:rsidRPr="00461BB5" w:rsidRDefault="004B3DBE" w:rsidP="004B3DBE">
            <w:pPr>
              <w:spacing w:after="0" w:line="240" w:lineRule="auto"/>
              <w:rPr>
                <w:rFonts w:ascii="Times New Roman" w:eastAsia="Times New Roman" w:hAnsi="Times New Roman" w:cs="Times New Roman"/>
                <w:color w:val="202122"/>
              </w:rPr>
            </w:pPr>
            <w:r w:rsidRPr="00461BB5">
              <w:rPr>
                <w:rFonts w:ascii="Times New Roman" w:eastAsia="Times New Roman" w:hAnsi="Times New Roman" w:cs="Times New Roman"/>
                <w:color w:val="202122"/>
              </w:rPr>
              <w:t>FTSE Bursa Malaysia Index</w:t>
            </w:r>
          </w:p>
        </w:tc>
        <w:tc>
          <w:tcPr>
            <w:tcW w:w="3641" w:type="dxa"/>
            <w:tcBorders>
              <w:top w:val="nil"/>
              <w:left w:val="nil"/>
              <w:bottom w:val="nil"/>
              <w:right w:val="nil"/>
            </w:tcBorders>
            <w:shd w:val="clear" w:color="auto" w:fill="auto"/>
            <w:noWrap/>
            <w:vAlign w:val="bottom"/>
            <w:hideMark/>
          </w:tcPr>
          <w:p w14:paraId="604FD8EC"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Malaysian Govt Bond 10 Years</w:t>
            </w:r>
          </w:p>
        </w:tc>
      </w:tr>
      <w:tr w:rsidR="004B3DBE" w:rsidRPr="00461BB5" w14:paraId="571BF056" w14:textId="77777777" w:rsidTr="004B3DBE">
        <w:trPr>
          <w:trHeight w:val="304"/>
        </w:trPr>
        <w:tc>
          <w:tcPr>
            <w:tcW w:w="1531" w:type="dxa"/>
            <w:tcBorders>
              <w:top w:val="nil"/>
              <w:left w:val="nil"/>
              <w:bottom w:val="nil"/>
              <w:right w:val="nil"/>
            </w:tcBorders>
            <w:shd w:val="clear" w:color="auto" w:fill="auto"/>
            <w:noWrap/>
            <w:vAlign w:val="bottom"/>
            <w:hideMark/>
          </w:tcPr>
          <w:p w14:paraId="60018928"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Pakistan</w:t>
            </w:r>
          </w:p>
        </w:tc>
        <w:tc>
          <w:tcPr>
            <w:tcW w:w="3270" w:type="dxa"/>
            <w:tcBorders>
              <w:top w:val="nil"/>
              <w:left w:val="nil"/>
              <w:bottom w:val="nil"/>
              <w:right w:val="nil"/>
            </w:tcBorders>
            <w:shd w:val="clear" w:color="auto" w:fill="auto"/>
            <w:noWrap/>
            <w:vAlign w:val="bottom"/>
            <w:hideMark/>
          </w:tcPr>
          <w:p w14:paraId="35F79CC6"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KSE 100</w:t>
            </w:r>
          </w:p>
        </w:tc>
        <w:tc>
          <w:tcPr>
            <w:tcW w:w="3641" w:type="dxa"/>
            <w:tcBorders>
              <w:top w:val="nil"/>
              <w:left w:val="nil"/>
              <w:bottom w:val="nil"/>
              <w:right w:val="nil"/>
            </w:tcBorders>
            <w:shd w:val="clear" w:color="auto" w:fill="auto"/>
            <w:noWrap/>
            <w:vAlign w:val="bottom"/>
            <w:hideMark/>
          </w:tcPr>
          <w:p w14:paraId="77461837"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Pakistan Govt Bond 10 Years</w:t>
            </w:r>
          </w:p>
        </w:tc>
      </w:tr>
      <w:tr w:rsidR="004B3DBE" w:rsidRPr="00461BB5" w14:paraId="41DFE57E" w14:textId="77777777" w:rsidTr="004B3DBE">
        <w:trPr>
          <w:trHeight w:val="304"/>
        </w:trPr>
        <w:tc>
          <w:tcPr>
            <w:tcW w:w="1531" w:type="dxa"/>
            <w:tcBorders>
              <w:top w:val="nil"/>
              <w:left w:val="nil"/>
              <w:bottom w:val="nil"/>
              <w:right w:val="nil"/>
            </w:tcBorders>
            <w:shd w:val="clear" w:color="auto" w:fill="auto"/>
            <w:noWrap/>
            <w:vAlign w:val="bottom"/>
            <w:hideMark/>
          </w:tcPr>
          <w:p w14:paraId="65E004E8"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Saudi Arabia</w:t>
            </w:r>
          </w:p>
        </w:tc>
        <w:tc>
          <w:tcPr>
            <w:tcW w:w="3270" w:type="dxa"/>
            <w:tcBorders>
              <w:top w:val="nil"/>
              <w:left w:val="nil"/>
              <w:bottom w:val="nil"/>
              <w:right w:val="nil"/>
            </w:tcBorders>
            <w:shd w:val="clear" w:color="auto" w:fill="auto"/>
            <w:noWrap/>
            <w:vAlign w:val="bottom"/>
            <w:hideMark/>
          </w:tcPr>
          <w:p w14:paraId="5E29272C"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Tadawul All Share Index</w:t>
            </w:r>
          </w:p>
        </w:tc>
        <w:tc>
          <w:tcPr>
            <w:tcW w:w="3641" w:type="dxa"/>
            <w:tcBorders>
              <w:top w:val="nil"/>
              <w:left w:val="nil"/>
              <w:bottom w:val="nil"/>
              <w:right w:val="nil"/>
            </w:tcBorders>
            <w:shd w:val="clear" w:color="auto" w:fill="auto"/>
            <w:noWrap/>
            <w:vAlign w:val="bottom"/>
            <w:hideMark/>
          </w:tcPr>
          <w:p w14:paraId="6BD0BC97"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KSA Govt Bond 10 Years</w:t>
            </w:r>
          </w:p>
        </w:tc>
      </w:tr>
      <w:tr w:rsidR="004B3DBE" w:rsidRPr="00461BB5" w14:paraId="7B098914" w14:textId="77777777" w:rsidTr="004B3DBE">
        <w:trPr>
          <w:trHeight w:val="304"/>
        </w:trPr>
        <w:tc>
          <w:tcPr>
            <w:tcW w:w="1531" w:type="dxa"/>
            <w:tcBorders>
              <w:top w:val="nil"/>
              <w:left w:val="nil"/>
              <w:bottom w:val="nil"/>
              <w:right w:val="nil"/>
            </w:tcBorders>
            <w:shd w:val="clear" w:color="auto" w:fill="auto"/>
            <w:noWrap/>
            <w:vAlign w:val="bottom"/>
            <w:hideMark/>
          </w:tcPr>
          <w:p w14:paraId="4573D755"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Qatar</w:t>
            </w:r>
          </w:p>
        </w:tc>
        <w:tc>
          <w:tcPr>
            <w:tcW w:w="3270" w:type="dxa"/>
            <w:tcBorders>
              <w:top w:val="nil"/>
              <w:left w:val="nil"/>
              <w:bottom w:val="nil"/>
              <w:right w:val="nil"/>
            </w:tcBorders>
            <w:shd w:val="clear" w:color="auto" w:fill="auto"/>
            <w:noWrap/>
            <w:vAlign w:val="bottom"/>
            <w:hideMark/>
          </w:tcPr>
          <w:p w14:paraId="0818B970"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QE Index</w:t>
            </w:r>
          </w:p>
        </w:tc>
        <w:tc>
          <w:tcPr>
            <w:tcW w:w="3641" w:type="dxa"/>
            <w:tcBorders>
              <w:top w:val="nil"/>
              <w:left w:val="nil"/>
              <w:bottom w:val="nil"/>
              <w:right w:val="nil"/>
            </w:tcBorders>
            <w:shd w:val="clear" w:color="auto" w:fill="auto"/>
            <w:noWrap/>
            <w:vAlign w:val="bottom"/>
            <w:hideMark/>
          </w:tcPr>
          <w:p w14:paraId="378EC432"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Qatar Govt Bond 10 Years</w:t>
            </w:r>
          </w:p>
        </w:tc>
      </w:tr>
      <w:tr w:rsidR="004B3DBE" w:rsidRPr="00461BB5" w14:paraId="6ED99D03" w14:textId="77777777" w:rsidTr="004B3DBE">
        <w:trPr>
          <w:trHeight w:val="304"/>
        </w:trPr>
        <w:tc>
          <w:tcPr>
            <w:tcW w:w="1531" w:type="dxa"/>
            <w:tcBorders>
              <w:top w:val="nil"/>
              <w:left w:val="nil"/>
              <w:bottom w:val="nil"/>
              <w:right w:val="nil"/>
            </w:tcBorders>
            <w:shd w:val="clear" w:color="auto" w:fill="auto"/>
            <w:noWrap/>
            <w:vAlign w:val="bottom"/>
            <w:hideMark/>
          </w:tcPr>
          <w:p w14:paraId="37DCB914"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Kuwait</w:t>
            </w:r>
          </w:p>
        </w:tc>
        <w:tc>
          <w:tcPr>
            <w:tcW w:w="3270" w:type="dxa"/>
            <w:tcBorders>
              <w:top w:val="nil"/>
              <w:left w:val="nil"/>
              <w:bottom w:val="nil"/>
              <w:right w:val="nil"/>
            </w:tcBorders>
            <w:shd w:val="clear" w:color="auto" w:fill="auto"/>
            <w:noWrap/>
            <w:vAlign w:val="bottom"/>
            <w:hideMark/>
          </w:tcPr>
          <w:p w14:paraId="29B51500"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BKA All Share Index</w:t>
            </w:r>
          </w:p>
        </w:tc>
        <w:tc>
          <w:tcPr>
            <w:tcW w:w="3641" w:type="dxa"/>
            <w:tcBorders>
              <w:top w:val="nil"/>
              <w:left w:val="nil"/>
              <w:bottom w:val="nil"/>
              <w:right w:val="nil"/>
            </w:tcBorders>
            <w:shd w:val="clear" w:color="auto" w:fill="auto"/>
            <w:noWrap/>
            <w:vAlign w:val="bottom"/>
            <w:hideMark/>
          </w:tcPr>
          <w:p w14:paraId="22F36796"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Kuwait Govt Bond 10 Years</w:t>
            </w:r>
          </w:p>
        </w:tc>
      </w:tr>
      <w:tr w:rsidR="004B3DBE" w:rsidRPr="00461BB5" w14:paraId="6D736717" w14:textId="77777777" w:rsidTr="004B3DBE">
        <w:trPr>
          <w:trHeight w:val="304"/>
        </w:trPr>
        <w:tc>
          <w:tcPr>
            <w:tcW w:w="1531" w:type="dxa"/>
            <w:tcBorders>
              <w:top w:val="nil"/>
              <w:left w:val="nil"/>
              <w:bottom w:val="single" w:sz="4" w:space="0" w:color="auto"/>
              <w:right w:val="nil"/>
            </w:tcBorders>
            <w:shd w:val="clear" w:color="auto" w:fill="auto"/>
            <w:noWrap/>
            <w:vAlign w:val="bottom"/>
            <w:hideMark/>
          </w:tcPr>
          <w:p w14:paraId="2D696CC9"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UAE</w:t>
            </w:r>
          </w:p>
        </w:tc>
        <w:tc>
          <w:tcPr>
            <w:tcW w:w="3270" w:type="dxa"/>
            <w:tcBorders>
              <w:top w:val="nil"/>
              <w:left w:val="nil"/>
              <w:bottom w:val="single" w:sz="4" w:space="0" w:color="auto"/>
              <w:right w:val="nil"/>
            </w:tcBorders>
            <w:shd w:val="clear" w:color="auto" w:fill="auto"/>
            <w:noWrap/>
            <w:vAlign w:val="bottom"/>
            <w:hideMark/>
          </w:tcPr>
          <w:p w14:paraId="407F15B0"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ADX General</w:t>
            </w:r>
          </w:p>
        </w:tc>
        <w:tc>
          <w:tcPr>
            <w:tcW w:w="3641" w:type="dxa"/>
            <w:tcBorders>
              <w:top w:val="nil"/>
              <w:left w:val="nil"/>
              <w:bottom w:val="single" w:sz="4" w:space="0" w:color="auto"/>
              <w:right w:val="nil"/>
            </w:tcBorders>
            <w:shd w:val="clear" w:color="auto" w:fill="auto"/>
            <w:noWrap/>
            <w:vAlign w:val="bottom"/>
            <w:hideMark/>
          </w:tcPr>
          <w:p w14:paraId="666FE364" w14:textId="77777777" w:rsidR="004B3DBE" w:rsidRPr="00461BB5" w:rsidRDefault="004B3DBE" w:rsidP="004B3DBE">
            <w:pPr>
              <w:spacing w:after="0" w:line="240" w:lineRule="auto"/>
              <w:rPr>
                <w:rFonts w:ascii="Times New Roman" w:eastAsia="Times New Roman" w:hAnsi="Times New Roman" w:cs="Times New Roman"/>
                <w:color w:val="000000"/>
              </w:rPr>
            </w:pPr>
            <w:r w:rsidRPr="00461BB5">
              <w:rPr>
                <w:rFonts w:ascii="Times New Roman" w:eastAsia="Times New Roman" w:hAnsi="Times New Roman" w:cs="Times New Roman"/>
                <w:color w:val="000000"/>
              </w:rPr>
              <w:t>UAE Govt Bond 10 Years</w:t>
            </w:r>
          </w:p>
        </w:tc>
      </w:tr>
    </w:tbl>
    <w:p w14:paraId="356F0182" w14:textId="1F7378D6" w:rsidR="004B3DBE" w:rsidRDefault="004B3DBE" w:rsidP="004B3DBE">
      <w:pPr>
        <w:rPr>
          <w:rFonts w:ascii="Times New Roman" w:hAnsi="Times New Roman" w:cs="Times New Roman"/>
          <w:sz w:val="24"/>
          <w:szCs w:val="24"/>
        </w:rPr>
        <w:sectPr w:rsidR="004B3DBE" w:rsidSect="004B3DBE">
          <w:footerReference w:type="default" r:id="rId31"/>
          <w:pgSz w:w="12240" w:h="15840"/>
          <w:pgMar w:top="1276" w:right="1417" w:bottom="1417" w:left="1417" w:header="708" w:footer="708" w:gutter="0"/>
          <w:cols w:space="708"/>
          <w:docGrid w:linePitch="360"/>
        </w:sectPr>
      </w:pPr>
    </w:p>
    <w:p w14:paraId="17C89159" w14:textId="098981A3" w:rsidR="004B3DBE" w:rsidRDefault="004B3DBE" w:rsidP="004B3DBE">
      <w:pPr>
        <w:jc w:val="center"/>
        <w:rPr>
          <w:rFonts w:ascii="Times New Roman" w:hAnsi="Times New Roman" w:cs="Times New Roman"/>
          <w:sz w:val="24"/>
          <w:szCs w:val="24"/>
        </w:rPr>
      </w:pPr>
      <w:r w:rsidRPr="000602D0">
        <w:rPr>
          <w:rFonts w:ascii="Times New Roman" w:eastAsia="Times New Roman" w:hAnsi="Times New Roman" w:cs="Times New Roman"/>
          <w:b/>
          <w:bCs/>
          <w:color w:val="000000"/>
          <w:highlight w:val="yellow"/>
        </w:rPr>
        <w:lastRenderedPageBreak/>
        <w:t>Table 4: Risk Adjusted Performance Islamic vs. Conventional Funds</w:t>
      </w:r>
    </w:p>
    <w:tbl>
      <w:tblPr>
        <w:tblW w:w="5000" w:type="pct"/>
        <w:tblLook w:val="04A0" w:firstRow="1" w:lastRow="0" w:firstColumn="1" w:lastColumn="0" w:noHBand="0" w:noVBand="1"/>
      </w:tblPr>
      <w:tblGrid>
        <w:gridCol w:w="1721"/>
        <w:gridCol w:w="1059"/>
        <w:gridCol w:w="671"/>
        <w:gridCol w:w="1189"/>
        <w:gridCol w:w="814"/>
        <w:gridCol w:w="1059"/>
        <w:gridCol w:w="671"/>
        <w:gridCol w:w="1269"/>
        <w:gridCol w:w="671"/>
        <w:gridCol w:w="1059"/>
        <w:gridCol w:w="671"/>
        <w:gridCol w:w="1248"/>
        <w:gridCol w:w="902"/>
      </w:tblGrid>
      <w:tr w:rsidR="00316A5C" w:rsidRPr="00DB4C32" w14:paraId="4B926D6C" w14:textId="77777777" w:rsidTr="00306401">
        <w:trPr>
          <w:trHeight w:val="170"/>
        </w:trPr>
        <w:tc>
          <w:tcPr>
            <w:tcW w:w="5000" w:type="pct"/>
            <w:gridSpan w:val="13"/>
            <w:tcBorders>
              <w:top w:val="single" w:sz="4" w:space="0" w:color="auto"/>
              <w:left w:val="nil"/>
              <w:bottom w:val="single" w:sz="4" w:space="0" w:color="auto"/>
              <w:right w:val="nil"/>
            </w:tcBorders>
            <w:shd w:val="clear" w:color="auto" w:fill="auto"/>
            <w:noWrap/>
            <w:vAlign w:val="bottom"/>
            <w:hideMark/>
          </w:tcPr>
          <w:p w14:paraId="5B8655B2" w14:textId="7B37704D" w:rsidR="00316A5C" w:rsidRPr="00DB4C32" w:rsidRDefault="00316A5C" w:rsidP="00316A5C">
            <w:pPr>
              <w:spacing w:after="0" w:line="240" w:lineRule="auto"/>
              <w:jc w:val="center"/>
              <w:rPr>
                <w:rFonts w:ascii="Times New Roman" w:eastAsia="Times New Roman" w:hAnsi="Times New Roman" w:cs="Times New Roman"/>
                <w:b/>
                <w:bCs/>
                <w:color w:val="000000"/>
              </w:rPr>
            </w:pPr>
            <w:r w:rsidRPr="00DD34C4">
              <w:rPr>
                <w:rFonts w:ascii="Times New Roman" w:eastAsia="Times New Roman" w:hAnsi="Times New Roman" w:cs="Times New Roman"/>
                <w:b/>
                <w:bCs/>
                <w:color w:val="000000"/>
                <w:lang w:eastAsia="en-GB"/>
              </w:rPr>
              <w:t xml:space="preserve">Complete Period (Jan 1, 2020 - </w:t>
            </w:r>
            <w:r w:rsidRPr="00316A5C">
              <w:rPr>
                <w:rFonts w:ascii="Times New Roman" w:eastAsia="Times New Roman" w:hAnsi="Times New Roman" w:cs="Times New Roman"/>
                <w:b/>
                <w:bCs/>
                <w:color w:val="000000"/>
                <w:highlight w:val="yellow"/>
                <w:lang w:eastAsia="en-GB"/>
              </w:rPr>
              <w:t>May 31, 2021)</w:t>
            </w:r>
            <w:r w:rsidRPr="00DD34C4">
              <w:rPr>
                <w:rFonts w:ascii="Times New Roman" w:eastAsia="Times New Roman" w:hAnsi="Times New Roman" w:cs="Times New Roman"/>
                <w:b/>
                <w:bCs/>
                <w:color w:val="000000"/>
                <w:lang w:eastAsia="en-GB"/>
              </w:rPr>
              <w:t xml:space="preserve"> </w:t>
            </w:r>
          </w:p>
        </w:tc>
      </w:tr>
      <w:tr w:rsidR="004B3DBE" w:rsidRPr="00DB4C32" w14:paraId="0EA4400C" w14:textId="77777777" w:rsidTr="00306401">
        <w:trPr>
          <w:trHeight w:val="170"/>
        </w:trPr>
        <w:tc>
          <w:tcPr>
            <w:tcW w:w="662" w:type="pct"/>
            <w:tcBorders>
              <w:top w:val="nil"/>
              <w:left w:val="nil"/>
              <w:bottom w:val="nil"/>
              <w:right w:val="nil"/>
            </w:tcBorders>
            <w:shd w:val="clear" w:color="auto" w:fill="auto"/>
            <w:noWrap/>
            <w:vAlign w:val="bottom"/>
            <w:hideMark/>
          </w:tcPr>
          <w:p w14:paraId="4B7CA751"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p>
        </w:tc>
        <w:tc>
          <w:tcPr>
            <w:tcW w:w="1435" w:type="pct"/>
            <w:gridSpan w:val="4"/>
            <w:tcBorders>
              <w:top w:val="nil"/>
              <w:left w:val="nil"/>
              <w:bottom w:val="nil"/>
              <w:right w:val="nil"/>
            </w:tcBorders>
            <w:shd w:val="clear" w:color="auto" w:fill="auto"/>
            <w:noWrap/>
            <w:vAlign w:val="bottom"/>
            <w:hideMark/>
          </w:tcPr>
          <w:p w14:paraId="082BBB86"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r w:rsidRPr="00DB4C32">
              <w:rPr>
                <w:rFonts w:ascii="Times New Roman" w:eastAsia="Times New Roman" w:hAnsi="Times New Roman" w:cs="Times New Roman"/>
                <w:b/>
                <w:bCs/>
                <w:color w:val="000000"/>
              </w:rPr>
              <w:t>Adjusted Share Ratio</w:t>
            </w:r>
          </w:p>
        </w:tc>
        <w:tc>
          <w:tcPr>
            <w:tcW w:w="1153" w:type="pct"/>
            <w:gridSpan w:val="3"/>
            <w:tcBorders>
              <w:top w:val="nil"/>
              <w:left w:val="nil"/>
              <w:bottom w:val="nil"/>
              <w:right w:val="nil"/>
            </w:tcBorders>
            <w:shd w:val="clear" w:color="auto" w:fill="auto"/>
            <w:noWrap/>
            <w:vAlign w:val="bottom"/>
            <w:hideMark/>
          </w:tcPr>
          <w:p w14:paraId="10C5C924"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proofErr w:type="spellStart"/>
            <w:r w:rsidRPr="00DB4C32">
              <w:rPr>
                <w:rFonts w:ascii="Times New Roman" w:eastAsia="Times New Roman" w:hAnsi="Times New Roman" w:cs="Times New Roman"/>
                <w:b/>
                <w:bCs/>
                <w:color w:val="000000"/>
              </w:rPr>
              <w:t>Sortino</w:t>
            </w:r>
            <w:proofErr w:type="spellEnd"/>
            <w:r w:rsidRPr="00DB4C32">
              <w:rPr>
                <w:rFonts w:ascii="Times New Roman" w:eastAsia="Times New Roman" w:hAnsi="Times New Roman" w:cs="Times New Roman"/>
                <w:b/>
                <w:bCs/>
                <w:color w:val="000000"/>
              </w:rPr>
              <w:t xml:space="preserve"> Ratio</w:t>
            </w:r>
          </w:p>
        </w:tc>
        <w:tc>
          <w:tcPr>
            <w:tcW w:w="258" w:type="pct"/>
            <w:tcBorders>
              <w:top w:val="nil"/>
              <w:left w:val="nil"/>
              <w:bottom w:val="nil"/>
              <w:right w:val="nil"/>
            </w:tcBorders>
            <w:shd w:val="clear" w:color="auto" w:fill="auto"/>
            <w:noWrap/>
            <w:vAlign w:val="bottom"/>
            <w:hideMark/>
          </w:tcPr>
          <w:p w14:paraId="0EC22C2B"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p>
        </w:tc>
        <w:tc>
          <w:tcPr>
            <w:tcW w:w="1492" w:type="pct"/>
            <w:gridSpan w:val="4"/>
            <w:tcBorders>
              <w:top w:val="nil"/>
              <w:left w:val="nil"/>
              <w:bottom w:val="nil"/>
              <w:right w:val="nil"/>
            </w:tcBorders>
            <w:shd w:val="clear" w:color="auto" w:fill="auto"/>
            <w:noWrap/>
            <w:vAlign w:val="bottom"/>
            <w:hideMark/>
          </w:tcPr>
          <w:p w14:paraId="4A25290A"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r w:rsidRPr="00DB4C32">
              <w:rPr>
                <w:rFonts w:ascii="Times New Roman" w:eastAsia="Times New Roman" w:hAnsi="Times New Roman" w:cs="Times New Roman"/>
                <w:b/>
                <w:bCs/>
                <w:color w:val="000000"/>
              </w:rPr>
              <w:t>Jensen's Alpha</w:t>
            </w:r>
          </w:p>
        </w:tc>
      </w:tr>
      <w:tr w:rsidR="004B3DBE" w:rsidRPr="00DB4C32" w14:paraId="4EFE029D" w14:textId="77777777" w:rsidTr="00306401">
        <w:trPr>
          <w:trHeight w:val="170"/>
        </w:trPr>
        <w:tc>
          <w:tcPr>
            <w:tcW w:w="662" w:type="pct"/>
            <w:tcBorders>
              <w:top w:val="nil"/>
              <w:left w:val="nil"/>
              <w:bottom w:val="nil"/>
              <w:right w:val="nil"/>
            </w:tcBorders>
            <w:shd w:val="clear" w:color="auto" w:fill="auto"/>
            <w:noWrap/>
            <w:vAlign w:val="bottom"/>
            <w:hideMark/>
          </w:tcPr>
          <w:p w14:paraId="4E39D6EA"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p>
        </w:tc>
        <w:tc>
          <w:tcPr>
            <w:tcW w:w="407" w:type="pct"/>
            <w:tcBorders>
              <w:top w:val="nil"/>
              <w:left w:val="nil"/>
              <w:bottom w:val="nil"/>
              <w:right w:val="nil"/>
            </w:tcBorders>
            <w:shd w:val="clear" w:color="auto" w:fill="auto"/>
            <w:noWrap/>
            <w:vAlign w:val="bottom"/>
            <w:hideMark/>
          </w:tcPr>
          <w:p w14:paraId="1BF69E96"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5F2E9038"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57" w:type="pct"/>
            <w:tcBorders>
              <w:top w:val="nil"/>
              <w:left w:val="nil"/>
              <w:bottom w:val="nil"/>
              <w:right w:val="nil"/>
            </w:tcBorders>
            <w:shd w:val="clear" w:color="auto" w:fill="auto"/>
            <w:noWrap/>
            <w:vAlign w:val="bottom"/>
            <w:hideMark/>
          </w:tcPr>
          <w:p w14:paraId="185FA93C"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13" w:type="pct"/>
            <w:tcBorders>
              <w:top w:val="nil"/>
              <w:left w:val="nil"/>
              <w:bottom w:val="nil"/>
              <w:right w:val="nil"/>
            </w:tcBorders>
            <w:shd w:val="clear" w:color="auto" w:fill="auto"/>
            <w:noWrap/>
            <w:vAlign w:val="bottom"/>
            <w:hideMark/>
          </w:tcPr>
          <w:p w14:paraId="28EC2410"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0630354F"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0279D3B9"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88" w:type="pct"/>
            <w:tcBorders>
              <w:top w:val="nil"/>
              <w:left w:val="nil"/>
              <w:bottom w:val="nil"/>
              <w:right w:val="nil"/>
            </w:tcBorders>
            <w:shd w:val="clear" w:color="auto" w:fill="auto"/>
            <w:noWrap/>
            <w:vAlign w:val="bottom"/>
            <w:hideMark/>
          </w:tcPr>
          <w:p w14:paraId="16BC0047"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258" w:type="pct"/>
            <w:tcBorders>
              <w:top w:val="nil"/>
              <w:left w:val="nil"/>
              <w:bottom w:val="nil"/>
              <w:right w:val="nil"/>
            </w:tcBorders>
            <w:shd w:val="clear" w:color="auto" w:fill="auto"/>
            <w:noWrap/>
            <w:vAlign w:val="bottom"/>
            <w:hideMark/>
          </w:tcPr>
          <w:p w14:paraId="456373BE"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135C299A"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51B4A9CC"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80" w:type="pct"/>
            <w:tcBorders>
              <w:top w:val="nil"/>
              <w:left w:val="nil"/>
              <w:bottom w:val="nil"/>
              <w:right w:val="nil"/>
            </w:tcBorders>
            <w:shd w:val="clear" w:color="auto" w:fill="auto"/>
            <w:noWrap/>
            <w:vAlign w:val="bottom"/>
            <w:hideMark/>
          </w:tcPr>
          <w:p w14:paraId="1AE2E16F"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47" w:type="pct"/>
            <w:tcBorders>
              <w:top w:val="nil"/>
              <w:left w:val="nil"/>
              <w:bottom w:val="nil"/>
              <w:right w:val="nil"/>
            </w:tcBorders>
            <w:shd w:val="clear" w:color="auto" w:fill="auto"/>
            <w:noWrap/>
            <w:vAlign w:val="bottom"/>
            <w:hideMark/>
          </w:tcPr>
          <w:p w14:paraId="0CEF2F80"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r>
      <w:tr w:rsidR="000602D0" w:rsidRPr="00DB4C32" w14:paraId="343B4DEE" w14:textId="77777777" w:rsidTr="00306401">
        <w:trPr>
          <w:trHeight w:val="170"/>
        </w:trPr>
        <w:tc>
          <w:tcPr>
            <w:tcW w:w="662" w:type="pct"/>
            <w:tcBorders>
              <w:top w:val="nil"/>
              <w:left w:val="nil"/>
              <w:bottom w:val="nil"/>
              <w:right w:val="nil"/>
            </w:tcBorders>
            <w:shd w:val="clear" w:color="auto" w:fill="auto"/>
            <w:noWrap/>
            <w:vAlign w:val="bottom"/>
            <w:hideMark/>
          </w:tcPr>
          <w:p w14:paraId="01B714F5" w14:textId="77777777" w:rsidR="000602D0" w:rsidRPr="00DB4C32" w:rsidRDefault="000602D0" w:rsidP="000602D0">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Malaysia</w:t>
            </w:r>
          </w:p>
        </w:tc>
        <w:tc>
          <w:tcPr>
            <w:tcW w:w="407" w:type="pct"/>
            <w:tcBorders>
              <w:top w:val="nil"/>
              <w:left w:val="nil"/>
              <w:bottom w:val="nil"/>
              <w:right w:val="nil"/>
            </w:tcBorders>
            <w:shd w:val="clear" w:color="auto" w:fill="auto"/>
            <w:noWrap/>
            <w:vAlign w:val="bottom"/>
            <w:hideMark/>
          </w:tcPr>
          <w:p w14:paraId="67ABBF43" w14:textId="4608D4EA"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0.7326</w:t>
            </w:r>
          </w:p>
        </w:tc>
        <w:tc>
          <w:tcPr>
            <w:tcW w:w="258" w:type="pct"/>
            <w:tcBorders>
              <w:top w:val="nil"/>
              <w:left w:val="nil"/>
              <w:bottom w:val="nil"/>
              <w:right w:val="nil"/>
            </w:tcBorders>
            <w:shd w:val="clear" w:color="auto" w:fill="auto"/>
            <w:noWrap/>
            <w:vAlign w:val="bottom"/>
            <w:hideMark/>
          </w:tcPr>
          <w:p w14:paraId="42D55964"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0DD318F7" w14:textId="4D382CA5"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-0.1200</w:t>
            </w:r>
          </w:p>
        </w:tc>
        <w:tc>
          <w:tcPr>
            <w:tcW w:w="313" w:type="pct"/>
            <w:tcBorders>
              <w:top w:val="nil"/>
              <w:left w:val="nil"/>
              <w:bottom w:val="nil"/>
              <w:right w:val="nil"/>
            </w:tcBorders>
            <w:shd w:val="clear" w:color="auto" w:fill="auto"/>
            <w:noWrap/>
            <w:vAlign w:val="bottom"/>
            <w:hideMark/>
          </w:tcPr>
          <w:p w14:paraId="767161B7"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76BEAD34" w14:textId="69AC2568"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0.5799</w:t>
            </w:r>
          </w:p>
        </w:tc>
        <w:tc>
          <w:tcPr>
            <w:tcW w:w="258" w:type="pct"/>
            <w:tcBorders>
              <w:top w:val="nil"/>
              <w:left w:val="nil"/>
              <w:bottom w:val="nil"/>
              <w:right w:val="nil"/>
            </w:tcBorders>
            <w:shd w:val="clear" w:color="auto" w:fill="auto"/>
            <w:noWrap/>
            <w:vAlign w:val="bottom"/>
            <w:hideMark/>
          </w:tcPr>
          <w:p w14:paraId="0C078A52" w14:textId="5966EEAC"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18522AF5" w14:textId="75E0FA64"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-0.0170</w:t>
            </w:r>
          </w:p>
        </w:tc>
        <w:tc>
          <w:tcPr>
            <w:tcW w:w="258" w:type="pct"/>
            <w:tcBorders>
              <w:top w:val="nil"/>
              <w:left w:val="nil"/>
              <w:bottom w:val="nil"/>
              <w:right w:val="nil"/>
            </w:tcBorders>
            <w:shd w:val="clear" w:color="auto" w:fill="auto"/>
            <w:noWrap/>
            <w:vAlign w:val="bottom"/>
            <w:hideMark/>
          </w:tcPr>
          <w:p w14:paraId="2346B134" w14:textId="44E7ABD0"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6A08D435" w14:textId="3ABFF7CE"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0.0283</w:t>
            </w:r>
          </w:p>
        </w:tc>
        <w:tc>
          <w:tcPr>
            <w:tcW w:w="258" w:type="pct"/>
            <w:tcBorders>
              <w:top w:val="nil"/>
              <w:left w:val="nil"/>
              <w:bottom w:val="nil"/>
              <w:right w:val="nil"/>
            </w:tcBorders>
            <w:shd w:val="clear" w:color="auto" w:fill="auto"/>
            <w:noWrap/>
            <w:vAlign w:val="bottom"/>
            <w:hideMark/>
          </w:tcPr>
          <w:p w14:paraId="6FC1D78F" w14:textId="1BD3D55B"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7A776EC6" w14:textId="0845AF33"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-0.0273</w:t>
            </w:r>
          </w:p>
        </w:tc>
        <w:tc>
          <w:tcPr>
            <w:tcW w:w="347" w:type="pct"/>
            <w:tcBorders>
              <w:top w:val="nil"/>
              <w:left w:val="nil"/>
              <w:bottom w:val="nil"/>
              <w:right w:val="nil"/>
            </w:tcBorders>
            <w:shd w:val="clear" w:color="auto" w:fill="auto"/>
            <w:noWrap/>
            <w:vAlign w:val="bottom"/>
            <w:hideMark/>
          </w:tcPr>
          <w:p w14:paraId="52E19C70" w14:textId="78B513AB"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0602D0" w:rsidRPr="00DB4C32" w14:paraId="592392A9" w14:textId="77777777" w:rsidTr="00306401">
        <w:trPr>
          <w:trHeight w:val="170"/>
        </w:trPr>
        <w:tc>
          <w:tcPr>
            <w:tcW w:w="662" w:type="pct"/>
            <w:tcBorders>
              <w:top w:val="nil"/>
              <w:left w:val="nil"/>
              <w:bottom w:val="nil"/>
              <w:right w:val="nil"/>
            </w:tcBorders>
            <w:shd w:val="clear" w:color="auto" w:fill="auto"/>
            <w:noWrap/>
            <w:vAlign w:val="bottom"/>
            <w:hideMark/>
          </w:tcPr>
          <w:p w14:paraId="622963BF" w14:textId="77777777" w:rsidR="000602D0" w:rsidRPr="00DB4C32" w:rsidRDefault="000602D0" w:rsidP="000602D0">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Pakistan</w:t>
            </w:r>
          </w:p>
        </w:tc>
        <w:tc>
          <w:tcPr>
            <w:tcW w:w="407" w:type="pct"/>
            <w:tcBorders>
              <w:top w:val="nil"/>
              <w:left w:val="nil"/>
              <w:bottom w:val="nil"/>
              <w:right w:val="nil"/>
            </w:tcBorders>
            <w:shd w:val="clear" w:color="auto" w:fill="auto"/>
            <w:noWrap/>
            <w:vAlign w:val="bottom"/>
            <w:hideMark/>
          </w:tcPr>
          <w:p w14:paraId="68E490BE" w14:textId="480B5240"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0.5576</w:t>
            </w:r>
          </w:p>
        </w:tc>
        <w:tc>
          <w:tcPr>
            <w:tcW w:w="258" w:type="pct"/>
            <w:tcBorders>
              <w:top w:val="nil"/>
              <w:left w:val="nil"/>
              <w:bottom w:val="nil"/>
              <w:right w:val="nil"/>
            </w:tcBorders>
            <w:shd w:val="clear" w:color="auto" w:fill="auto"/>
            <w:noWrap/>
            <w:vAlign w:val="bottom"/>
            <w:hideMark/>
          </w:tcPr>
          <w:p w14:paraId="2391BA9E"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28B100F6" w14:textId="798FF972"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-0.3566</w:t>
            </w:r>
          </w:p>
        </w:tc>
        <w:tc>
          <w:tcPr>
            <w:tcW w:w="313" w:type="pct"/>
            <w:tcBorders>
              <w:top w:val="nil"/>
              <w:left w:val="nil"/>
              <w:bottom w:val="nil"/>
              <w:right w:val="nil"/>
            </w:tcBorders>
            <w:shd w:val="clear" w:color="auto" w:fill="auto"/>
            <w:noWrap/>
            <w:vAlign w:val="bottom"/>
            <w:hideMark/>
          </w:tcPr>
          <w:p w14:paraId="297EB4BC"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7CE86231" w14:textId="5733BFF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0.3641</w:t>
            </w:r>
          </w:p>
        </w:tc>
        <w:tc>
          <w:tcPr>
            <w:tcW w:w="258" w:type="pct"/>
            <w:tcBorders>
              <w:top w:val="nil"/>
              <w:left w:val="nil"/>
              <w:bottom w:val="nil"/>
              <w:right w:val="nil"/>
            </w:tcBorders>
            <w:shd w:val="clear" w:color="auto" w:fill="auto"/>
            <w:noWrap/>
            <w:vAlign w:val="bottom"/>
            <w:hideMark/>
          </w:tcPr>
          <w:p w14:paraId="7A0BE018" w14:textId="12277664"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34A0E0F2" w14:textId="7FFA0ABA"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-0.1589</w:t>
            </w:r>
          </w:p>
        </w:tc>
        <w:tc>
          <w:tcPr>
            <w:tcW w:w="258" w:type="pct"/>
            <w:tcBorders>
              <w:top w:val="nil"/>
              <w:left w:val="nil"/>
              <w:bottom w:val="nil"/>
              <w:right w:val="nil"/>
            </w:tcBorders>
            <w:shd w:val="clear" w:color="auto" w:fill="auto"/>
            <w:noWrap/>
            <w:vAlign w:val="bottom"/>
            <w:hideMark/>
          </w:tcPr>
          <w:p w14:paraId="1AE270DE" w14:textId="117E80F6"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C10BD07" w14:textId="78302256"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0.0568</w:t>
            </w:r>
          </w:p>
        </w:tc>
        <w:tc>
          <w:tcPr>
            <w:tcW w:w="258" w:type="pct"/>
            <w:tcBorders>
              <w:top w:val="nil"/>
              <w:left w:val="nil"/>
              <w:bottom w:val="nil"/>
              <w:right w:val="nil"/>
            </w:tcBorders>
            <w:shd w:val="clear" w:color="auto" w:fill="auto"/>
            <w:noWrap/>
            <w:vAlign w:val="bottom"/>
            <w:hideMark/>
          </w:tcPr>
          <w:p w14:paraId="2930A137" w14:textId="0F0AFC60"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49A59592" w14:textId="69FDBB90"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-0.0122</w:t>
            </w:r>
          </w:p>
        </w:tc>
        <w:tc>
          <w:tcPr>
            <w:tcW w:w="347" w:type="pct"/>
            <w:tcBorders>
              <w:top w:val="nil"/>
              <w:left w:val="nil"/>
              <w:bottom w:val="nil"/>
              <w:right w:val="nil"/>
            </w:tcBorders>
            <w:shd w:val="clear" w:color="auto" w:fill="auto"/>
            <w:noWrap/>
            <w:vAlign w:val="bottom"/>
            <w:hideMark/>
          </w:tcPr>
          <w:p w14:paraId="7067CCAA" w14:textId="2537BB6F"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0602D0" w:rsidRPr="00DB4C32" w14:paraId="5B6DB6BD" w14:textId="77777777" w:rsidTr="00306401">
        <w:trPr>
          <w:trHeight w:val="170"/>
        </w:trPr>
        <w:tc>
          <w:tcPr>
            <w:tcW w:w="662" w:type="pct"/>
            <w:tcBorders>
              <w:top w:val="nil"/>
              <w:left w:val="nil"/>
              <w:bottom w:val="nil"/>
              <w:right w:val="nil"/>
            </w:tcBorders>
            <w:shd w:val="clear" w:color="auto" w:fill="auto"/>
            <w:noWrap/>
            <w:vAlign w:val="bottom"/>
            <w:hideMark/>
          </w:tcPr>
          <w:p w14:paraId="44BE55CE" w14:textId="77777777" w:rsidR="000602D0" w:rsidRPr="00DB4C32" w:rsidRDefault="000602D0" w:rsidP="000602D0">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Saudi Arabia</w:t>
            </w:r>
          </w:p>
        </w:tc>
        <w:tc>
          <w:tcPr>
            <w:tcW w:w="407" w:type="pct"/>
            <w:tcBorders>
              <w:top w:val="nil"/>
              <w:left w:val="nil"/>
              <w:bottom w:val="nil"/>
              <w:right w:val="nil"/>
            </w:tcBorders>
            <w:shd w:val="clear" w:color="auto" w:fill="auto"/>
            <w:noWrap/>
            <w:vAlign w:val="bottom"/>
            <w:hideMark/>
          </w:tcPr>
          <w:p w14:paraId="54EE95B4" w14:textId="62760700"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0.6453</w:t>
            </w:r>
          </w:p>
        </w:tc>
        <w:tc>
          <w:tcPr>
            <w:tcW w:w="258" w:type="pct"/>
            <w:tcBorders>
              <w:top w:val="nil"/>
              <w:left w:val="nil"/>
              <w:bottom w:val="nil"/>
              <w:right w:val="nil"/>
            </w:tcBorders>
            <w:shd w:val="clear" w:color="auto" w:fill="auto"/>
            <w:noWrap/>
            <w:vAlign w:val="bottom"/>
            <w:hideMark/>
          </w:tcPr>
          <w:p w14:paraId="5FF1FA5F"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611F0280" w14:textId="6EB6B0A9"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-0.0191</w:t>
            </w:r>
          </w:p>
        </w:tc>
        <w:tc>
          <w:tcPr>
            <w:tcW w:w="313" w:type="pct"/>
            <w:tcBorders>
              <w:top w:val="nil"/>
              <w:left w:val="nil"/>
              <w:bottom w:val="nil"/>
              <w:right w:val="nil"/>
            </w:tcBorders>
            <w:shd w:val="clear" w:color="auto" w:fill="auto"/>
            <w:noWrap/>
            <w:vAlign w:val="bottom"/>
            <w:hideMark/>
          </w:tcPr>
          <w:p w14:paraId="7DAFC93B"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5BC7C961" w14:textId="35643A10"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0.6274</w:t>
            </w:r>
          </w:p>
        </w:tc>
        <w:tc>
          <w:tcPr>
            <w:tcW w:w="258" w:type="pct"/>
            <w:tcBorders>
              <w:top w:val="nil"/>
              <w:left w:val="nil"/>
              <w:bottom w:val="nil"/>
              <w:right w:val="nil"/>
            </w:tcBorders>
            <w:shd w:val="clear" w:color="auto" w:fill="auto"/>
            <w:noWrap/>
            <w:vAlign w:val="bottom"/>
            <w:hideMark/>
          </w:tcPr>
          <w:p w14:paraId="1A856C47" w14:textId="63A7242D"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0B9791B3" w14:textId="59B11DAF"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-0.0163</w:t>
            </w:r>
          </w:p>
        </w:tc>
        <w:tc>
          <w:tcPr>
            <w:tcW w:w="258" w:type="pct"/>
            <w:tcBorders>
              <w:top w:val="nil"/>
              <w:left w:val="nil"/>
              <w:bottom w:val="nil"/>
              <w:right w:val="nil"/>
            </w:tcBorders>
            <w:shd w:val="clear" w:color="auto" w:fill="auto"/>
            <w:noWrap/>
            <w:vAlign w:val="bottom"/>
            <w:hideMark/>
          </w:tcPr>
          <w:p w14:paraId="50BD3274" w14:textId="1B3C8AC5"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05456F59" w14:textId="4BDD5D49"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0.0246</w:t>
            </w:r>
          </w:p>
        </w:tc>
        <w:tc>
          <w:tcPr>
            <w:tcW w:w="258" w:type="pct"/>
            <w:tcBorders>
              <w:top w:val="nil"/>
              <w:left w:val="nil"/>
              <w:bottom w:val="nil"/>
              <w:right w:val="nil"/>
            </w:tcBorders>
            <w:shd w:val="clear" w:color="auto" w:fill="auto"/>
            <w:noWrap/>
            <w:vAlign w:val="bottom"/>
            <w:hideMark/>
          </w:tcPr>
          <w:p w14:paraId="53CD6FB0" w14:textId="59FE9B71"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0B42A249" w14:textId="274694A8"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-0.0514</w:t>
            </w:r>
          </w:p>
        </w:tc>
        <w:tc>
          <w:tcPr>
            <w:tcW w:w="347" w:type="pct"/>
            <w:tcBorders>
              <w:top w:val="nil"/>
              <w:left w:val="nil"/>
              <w:bottom w:val="nil"/>
              <w:right w:val="nil"/>
            </w:tcBorders>
            <w:shd w:val="clear" w:color="auto" w:fill="auto"/>
            <w:noWrap/>
            <w:vAlign w:val="bottom"/>
            <w:hideMark/>
          </w:tcPr>
          <w:p w14:paraId="16587ADA" w14:textId="7868B783"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0602D0" w:rsidRPr="00DB4C32" w14:paraId="6C21ED2C" w14:textId="77777777" w:rsidTr="00306401">
        <w:trPr>
          <w:trHeight w:val="170"/>
        </w:trPr>
        <w:tc>
          <w:tcPr>
            <w:tcW w:w="662" w:type="pct"/>
            <w:tcBorders>
              <w:top w:val="nil"/>
              <w:left w:val="nil"/>
              <w:bottom w:val="nil"/>
              <w:right w:val="nil"/>
            </w:tcBorders>
            <w:shd w:val="clear" w:color="auto" w:fill="auto"/>
            <w:noWrap/>
            <w:vAlign w:val="bottom"/>
            <w:hideMark/>
          </w:tcPr>
          <w:p w14:paraId="1B085DAF" w14:textId="77777777" w:rsidR="000602D0" w:rsidRPr="00DB4C32" w:rsidRDefault="000602D0" w:rsidP="000602D0">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Qatar</w:t>
            </w:r>
          </w:p>
        </w:tc>
        <w:tc>
          <w:tcPr>
            <w:tcW w:w="407" w:type="pct"/>
            <w:tcBorders>
              <w:top w:val="nil"/>
              <w:left w:val="nil"/>
              <w:bottom w:val="nil"/>
              <w:right w:val="nil"/>
            </w:tcBorders>
            <w:shd w:val="clear" w:color="auto" w:fill="auto"/>
            <w:noWrap/>
            <w:vAlign w:val="bottom"/>
            <w:hideMark/>
          </w:tcPr>
          <w:p w14:paraId="2AFEC111" w14:textId="01E45DC8"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0.4811</w:t>
            </w:r>
          </w:p>
        </w:tc>
        <w:tc>
          <w:tcPr>
            <w:tcW w:w="258" w:type="pct"/>
            <w:tcBorders>
              <w:top w:val="nil"/>
              <w:left w:val="nil"/>
              <w:bottom w:val="nil"/>
              <w:right w:val="nil"/>
            </w:tcBorders>
            <w:shd w:val="clear" w:color="auto" w:fill="auto"/>
            <w:noWrap/>
            <w:vAlign w:val="bottom"/>
            <w:hideMark/>
          </w:tcPr>
          <w:p w14:paraId="0A416F63"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0B5AE403" w14:textId="461B3265"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0.0155</w:t>
            </w:r>
          </w:p>
        </w:tc>
        <w:tc>
          <w:tcPr>
            <w:tcW w:w="313" w:type="pct"/>
            <w:tcBorders>
              <w:top w:val="nil"/>
              <w:left w:val="nil"/>
              <w:bottom w:val="nil"/>
              <w:right w:val="nil"/>
            </w:tcBorders>
            <w:shd w:val="clear" w:color="auto" w:fill="auto"/>
            <w:noWrap/>
            <w:vAlign w:val="bottom"/>
            <w:hideMark/>
          </w:tcPr>
          <w:p w14:paraId="38E9FFA9"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0401D58F" w14:textId="2E05431A"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0.3539</w:t>
            </w:r>
          </w:p>
        </w:tc>
        <w:tc>
          <w:tcPr>
            <w:tcW w:w="258" w:type="pct"/>
            <w:tcBorders>
              <w:top w:val="nil"/>
              <w:left w:val="nil"/>
              <w:bottom w:val="nil"/>
              <w:right w:val="nil"/>
            </w:tcBorders>
            <w:shd w:val="clear" w:color="auto" w:fill="auto"/>
            <w:noWrap/>
            <w:vAlign w:val="bottom"/>
            <w:hideMark/>
          </w:tcPr>
          <w:p w14:paraId="556A7649" w14:textId="6AE6C54E"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7048B638" w14:textId="65CFC8FB"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0.0035</w:t>
            </w:r>
          </w:p>
        </w:tc>
        <w:tc>
          <w:tcPr>
            <w:tcW w:w="258" w:type="pct"/>
            <w:tcBorders>
              <w:top w:val="nil"/>
              <w:left w:val="nil"/>
              <w:bottom w:val="nil"/>
              <w:right w:val="nil"/>
            </w:tcBorders>
            <w:shd w:val="clear" w:color="auto" w:fill="auto"/>
            <w:noWrap/>
            <w:vAlign w:val="bottom"/>
            <w:hideMark/>
          </w:tcPr>
          <w:p w14:paraId="30836B2B" w14:textId="0AD00439"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3CB32EF5" w14:textId="26603A13"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0.0374</w:t>
            </w:r>
          </w:p>
        </w:tc>
        <w:tc>
          <w:tcPr>
            <w:tcW w:w="258" w:type="pct"/>
            <w:tcBorders>
              <w:top w:val="nil"/>
              <w:left w:val="nil"/>
              <w:bottom w:val="nil"/>
              <w:right w:val="nil"/>
            </w:tcBorders>
            <w:shd w:val="clear" w:color="auto" w:fill="auto"/>
            <w:noWrap/>
            <w:vAlign w:val="bottom"/>
            <w:hideMark/>
          </w:tcPr>
          <w:p w14:paraId="411D3AC8" w14:textId="338F2264"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1964D2F7" w14:textId="19590B5A"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-0.0289</w:t>
            </w:r>
          </w:p>
        </w:tc>
        <w:tc>
          <w:tcPr>
            <w:tcW w:w="347" w:type="pct"/>
            <w:tcBorders>
              <w:top w:val="nil"/>
              <w:left w:val="nil"/>
              <w:bottom w:val="nil"/>
              <w:right w:val="nil"/>
            </w:tcBorders>
            <w:shd w:val="clear" w:color="auto" w:fill="auto"/>
            <w:noWrap/>
            <w:vAlign w:val="bottom"/>
            <w:hideMark/>
          </w:tcPr>
          <w:p w14:paraId="4BFE0C12" w14:textId="2F917EBA"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0602D0" w:rsidRPr="00DB4C32" w14:paraId="7668B41A" w14:textId="77777777" w:rsidTr="00306401">
        <w:trPr>
          <w:trHeight w:val="170"/>
        </w:trPr>
        <w:tc>
          <w:tcPr>
            <w:tcW w:w="662" w:type="pct"/>
            <w:tcBorders>
              <w:top w:val="nil"/>
              <w:left w:val="nil"/>
              <w:bottom w:val="nil"/>
              <w:right w:val="nil"/>
            </w:tcBorders>
            <w:shd w:val="clear" w:color="auto" w:fill="auto"/>
            <w:noWrap/>
            <w:vAlign w:val="bottom"/>
            <w:hideMark/>
          </w:tcPr>
          <w:p w14:paraId="6C949AA2" w14:textId="77777777" w:rsidR="000602D0" w:rsidRPr="00DB4C32" w:rsidRDefault="000602D0" w:rsidP="000602D0">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Kuwait</w:t>
            </w:r>
          </w:p>
        </w:tc>
        <w:tc>
          <w:tcPr>
            <w:tcW w:w="407" w:type="pct"/>
            <w:tcBorders>
              <w:top w:val="nil"/>
              <w:left w:val="nil"/>
              <w:bottom w:val="nil"/>
              <w:right w:val="nil"/>
            </w:tcBorders>
            <w:shd w:val="clear" w:color="auto" w:fill="auto"/>
            <w:noWrap/>
            <w:vAlign w:val="bottom"/>
            <w:hideMark/>
          </w:tcPr>
          <w:p w14:paraId="1BFD1730" w14:textId="46FF2BCD"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0.5684</w:t>
            </w:r>
          </w:p>
        </w:tc>
        <w:tc>
          <w:tcPr>
            <w:tcW w:w="258" w:type="pct"/>
            <w:tcBorders>
              <w:top w:val="nil"/>
              <w:left w:val="nil"/>
              <w:bottom w:val="nil"/>
              <w:right w:val="nil"/>
            </w:tcBorders>
            <w:shd w:val="clear" w:color="auto" w:fill="auto"/>
            <w:noWrap/>
            <w:vAlign w:val="bottom"/>
            <w:hideMark/>
          </w:tcPr>
          <w:p w14:paraId="576F5A49"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65E79828" w14:textId="091A7F88"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0.1496</w:t>
            </w:r>
          </w:p>
        </w:tc>
        <w:tc>
          <w:tcPr>
            <w:tcW w:w="313" w:type="pct"/>
            <w:tcBorders>
              <w:top w:val="nil"/>
              <w:left w:val="nil"/>
              <w:bottom w:val="nil"/>
              <w:right w:val="nil"/>
            </w:tcBorders>
            <w:shd w:val="clear" w:color="auto" w:fill="auto"/>
            <w:noWrap/>
            <w:vAlign w:val="bottom"/>
            <w:hideMark/>
          </w:tcPr>
          <w:p w14:paraId="00C5171E"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2414928C" w14:textId="47F0843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0.2819</w:t>
            </w:r>
          </w:p>
        </w:tc>
        <w:tc>
          <w:tcPr>
            <w:tcW w:w="258" w:type="pct"/>
            <w:tcBorders>
              <w:top w:val="nil"/>
              <w:left w:val="nil"/>
              <w:bottom w:val="nil"/>
              <w:right w:val="nil"/>
            </w:tcBorders>
            <w:shd w:val="clear" w:color="auto" w:fill="auto"/>
            <w:noWrap/>
            <w:vAlign w:val="bottom"/>
            <w:hideMark/>
          </w:tcPr>
          <w:p w14:paraId="4446C4A0" w14:textId="1D20C23D"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69F20334" w14:textId="7E4690FC"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0.0465</w:t>
            </w:r>
          </w:p>
        </w:tc>
        <w:tc>
          <w:tcPr>
            <w:tcW w:w="258" w:type="pct"/>
            <w:tcBorders>
              <w:top w:val="nil"/>
              <w:left w:val="nil"/>
              <w:bottom w:val="nil"/>
              <w:right w:val="nil"/>
            </w:tcBorders>
            <w:shd w:val="clear" w:color="auto" w:fill="auto"/>
            <w:noWrap/>
            <w:vAlign w:val="bottom"/>
            <w:hideMark/>
          </w:tcPr>
          <w:p w14:paraId="0471D895" w14:textId="31385609"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1E8E74D1" w14:textId="6FECE335"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0.0515</w:t>
            </w:r>
          </w:p>
        </w:tc>
        <w:tc>
          <w:tcPr>
            <w:tcW w:w="258" w:type="pct"/>
            <w:tcBorders>
              <w:top w:val="nil"/>
              <w:left w:val="nil"/>
              <w:bottom w:val="nil"/>
              <w:right w:val="nil"/>
            </w:tcBorders>
            <w:shd w:val="clear" w:color="auto" w:fill="auto"/>
            <w:noWrap/>
            <w:vAlign w:val="bottom"/>
            <w:hideMark/>
          </w:tcPr>
          <w:p w14:paraId="5A24419A" w14:textId="2AB9D46E"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3BF59C51" w14:textId="380268F9"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-0.0105</w:t>
            </w:r>
          </w:p>
        </w:tc>
        <w:tc>
          <w:tcPr>
            <w:tcW w:w="347" w:type="pct"/>
            <w:tcBorders>
              <w:top w:val="nil"/>
              <w:left w:val="nil"/>
              <w:bottom w:val="nil"/>
              <w:right w:val="nil"/>
            </w:tcBorders>
            <w:shd w:val="clear" w:color="auto" w:fill="auto"/>
            <w:noWrap/>
            <w:vAlign w:val="bottom"/>
            <w:hideMark/>
          </w:tcPr>
          <w:p w14:paraId="587AB46E" w14:textId="48195532"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0602D0" w:rsidRPr="00DB4C32" w14:paraId="0FCB5DC2" w14:textId="77777777" w:rsidTr="00306401">
        <w:trPr>
          <w:trHeight w:val="170"/>
        </w:trPr>
        <w:tc>
          <w:tcPr>
            <w:tcW w:w="662" w:type="pct"/>
            <w:tcBorders>
              <w:top w:val="nil"/>
              <w:left w:val="nil"/>
              <w:bottom w:val="nil"/>
              <w:right w:val="nil"/>
            </w:tcBorders>
            <w:shd w:val="clear" w:color="auto" w:fill="auto"/>
            <w:noWrap/>
            <w:vAlign w:val="bottom"/>
            <w:hideMark/>
          </w:tcPr>
          <w:p w14:paraId="29D248FA" w14:textId="77777777" w:rsidR="000602D0" w:rsidRPr="00DB4C32" w:rsidRDefault="000602D0" w:rsidP="000602D0">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UAE</w:t>
            </w:r>
          </w:p>
        </w:tc>
        <w:tc>
          <w:tcPr>
            <w:tcW w:w="407" w:type="pct"/>
            <w:tcBorders>
              <w:top w:val="nil"/>
              <w:left w:val="nil"/>
              <w:bottom w:val="nil"/>
              <w:right w:val="nil"/>
            </w:tcBorders>
            <w:shd w:val="clear" w:color="auto" w:fill="auto"/>
            <w:noWrap/>
            <w:vAlign w:val="bottom"/>
            <w:hideMark/>
          </w:tcPr>
          <w:p w14:paraId="0346584B" w14:textId="2906AC59"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0.3811</w:t>
            </w:r>
          </w:p>
        </w:tc>
        <w:tc>
          <w:tcPr>
            <w:tcW w:w="258" w:type="pct"/>
            <w:tcBorders>
              <w:top w:val="nil"/>
              <w:left w:val="nil"/>
              <w:bottom w:val="nil"/>
              <w:right w:val="nil"/>
            </w:tcBorders>
            <w:shd w:val="clear" w:color="auto" w:fill="auto"/>
            <w:noWrap/>
            <w:vAlign w:val="bottom"/>
            <w:hideMark/>
          </w:tcPr>
          <w:p w14:paraId="3CB5F4F0"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2B825DCD" w14:textId="5400FEB0"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0.1391</w:t>
            </w:r>
          </w:p>
        </w:tc>
        <w:tc>
          <w:tcPr>
            <w:tcW w:w="313" w:type="pct"/>
            <w:tcBorders>
              <w:top w:val="nil"/>
              <w:left w:val="nil"/>
              <w:bottom w:val="nil"/>
              <w:right w:val="nil"/>
            </w:tcBorders>
            <w:shd w:val="clear" w:color="auto" w:fill="auto"/>
            <w:noWrap/>
            <w:vAlign w:val="bottom"/>
            <w:hideMark/>
          </w:tcPr>
          <w:p w14:paraId="43555E4F"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3D0FD890" w14:textId="2EE6C6E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0.2601</w:t>
            </w:r>
          </w:p>
        </w:tc>
        <w:tc>
          <w:tcPr>
            <w:tcW w:w="258" w:type="pct"/>
            <w:tcBorders>
              <w:top w:val="nil"/>
              <w:left w:val="nil"/>
              <w:bottom w:val="nil"/>
              <w:right w:val="nil"/>
            </w:tcBorders>
            <w:shd w:val="clear" w:color="auto" w:fill="auto"/>
            <w:noWrap/>
            <w:vAlign w:val="bottom"/>
            <w:hideMark/>
          </w:tcPr>
          <w:p w14:paraId="23F3DA51" w14:textId="71697810"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5D0B0C46" w14:textId="2A2531B8"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0.0073</w:t>
            </w:r>
          </w:p>
        </w:tc>
        <w:tc>
          <w:tcPr>
            <w:tcW w:w="258" w:type="pct"/>
            <w:tcBorders>
              <w:top w:val="nil"/>
              <w:left w:val="nil"/>
              <w:bottom w:val="nil"/>
              <w:right w:val="nil"/>
            </w:tcBorders>
            <w:shd w:val="clear" w:color="auto" w:fill="auto"/>
            <w:noWrap/>
            <w:vAlign w:val="bottom"/>
            <w:hideMark/>
          </w:tcPr>
          <w:p w14:paraId="0BE2B1C6" w14:textId="11F45AA2"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12CAB254" w14:textId="1966EA66"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0.0509</w:t>
            </w:r>
          </w:p>
        </w:tc>
        <w:tc>
          <w:tcPr>
            <w:tcW w:w="258" w:type="pct"/>
            <w:tcBorders>
              <w:top w:val="nil"/>
              <w:left w:val="nil"/>
              <w:bottom w:val="nil"/>
              <w:right w:val="nil"/>
            </w:tcBorders>
            <w:shd w:val="clear" w:color="auto" w:fill="auto"/>
            <w:noWrap/>
            <w:vAlign w:val="bottom"/>
            <w:hideMark/>
          </w:tcPr>
          <w:p w14:paraId="0527F93E" w14:textId="1F182F83"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69915FE4" w14:textId="1855A344"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0.0128</w:t>
            </w:r>
          </w:p>
        </w:tc>
        <w:tc>
          <w:tcPr>
            <w:tcW w:w="347" w:type="pct"/>
            <w:tcBorders>
              <w:top w:val="nil"/>
              <w:left w:val="nil"/>
              <w:bottom w:val="nil"/>
              <w:right w:val="nil"/>
            </w:tcBorders>
            <w:shd w:val="clear" w:color="auto" w:fill="auto"/>
            <w:noWrap/>
            <w:vAlign w:val="bottom"/>
            <w:hideMark/>
          </w:tcPr>
          <w:p w14:paraId="091899A7" w14:textId="48EA8FBB"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4B3DBE" w:rsidRPr="00DB4C32" w14:paraId="1B21AA9B" w14:textId="77777777" w:rsidTr="00306401">
        <w:trPr>
          <w:trHeight w:val="170"/>
        </w:trPr>
        <w:tc>
          <w:tcPr>
            <w:tcW w:w="5000" w:type="pct"/>
            <w:gridSpan w:val="13"/>
            <w:tcBorders>
              <w:top w:val="single" w:sz="4" w:space="0" w:color="auto"/>
              <w:left w:val="nil"/>
              <w:bottom w:val="single" w:sz="4" w:space="0" w:color="auto"/>
              <w:right w:val="nil"/>
            </w:tcBorders>
            <w:shd w:val="clear" w:color="auto" w:fill="auto"/>
            <w:noWrap/>
            <w:vAlign w:val="bottom"/>
            <w:hideMark/>
          </w:tcPr>
          <w:p w14:paraId="07D896E6"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r w:rsidRPr="00DB4C32">
              <w:rPr>
                <w:rFonts w:ascii="Times New Roman" w:eastAsia="Times New Roman" w:hAnsi="Times New Roman" w:cs="Times New Roman"/>
                <w:b/>
                <w:bCs/>
                <w:color w:val="000000"/>
              </w:rPr>
              <w:t xml:space="preserve"> Stage 1 (Jan 1st - March 19) </w:t>
            </w:r>
          </w:p>
        </w:tc>
      </w:tr>
      <w:tr w:rsidR="004B3DBE" w:rsidRPr="00DB4C32" w14:paraId="49689344" w14:textId="77777777" w:rsidTr="00306401">
        <w:trPr>
          <w:trHeight w:val="170"/>
        </w:trPr>
        <w:tc>
          <w:tcPr>
            <w:tcW w:w="662" w:type="pct"/>
            <w:tcBorders>
              <w:top w:val="nil"/>
              <w:left w:val="nil"/>
              <w:bottom w:val="nil"/>
              <w:right w:val="nil"/>
            </w:tcBorders>
            <w:shd w:val="clear" w:color="auto" w:fill="auto"/>
            <w:noWrap/>
            <w:vAlign w:val="bottom"/>
            <w:hideMark/>
          </w:tcPr>
          <w:p w14:paraId="7867612F"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p>
        </w:tc>
        <w:tc>
          <w:tcPr>
            <w:tcW w:w="407" w:type="pct"/>
            <w:tcBorders>
              <w:top w:val="nil"/>
              <w:left w:val="nil"/>
              <w:bottom w:val="nil"/>
              <w:right w:val="nil"/>
            </w:tcBorders>
            <w:shd w:val="clear" w:color="auto" w:fill="auto"/>
            <w:noWrap/>
            <w:vAlign w:val="bottom"/>
            <w:hideMark/>
          </w:tcPr>
          <w:p w14:paraId="31083219"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2276C3D3"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57" w:type="pct"/>
            <w:tcBorders>
              <w:top w:val="nil"/>
              <w:left w:val="nil"/>
              <w:bottom w:val="nil"/>
              <w:right w:val="nil"/>
            </w:tcBorders>
            <w:shd w:val="clear" w:color="auto" w:fill="auto"/>
            <w:noWrap/>
            <w:vAlign w:val="bottom"/>
            <w:hideMark/>
          </w:tcPr>
          <w:p w14:paraId="414327DB"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13" w:type="pct"/>
            <w:tcBorders>
              <w:top w:val="nil"/>
              <w:left w:val="nil"/>
              <w:bottom w:val="nil"/>
              <w:right w:val="nil"/>
            </w:tcBorders>
            <w:shd w:val="clear" w:color="auto" w:fill="auto"/>
            <w:noWrap/>
            <w:vAlign w:val="bottom"/>
            <w:hideMark/>
          </w:tcPr>
          <w:p w14:paraId="485CCADC"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2ADF2CA5"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4EC07DCC"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88" w:type="pct"/>
            <w:tcBorders>
              <w:top w:val="nil"/>
              <w:left w:val="nil"/>
              <w:bottom w:val="nil"/>
              <w:right w:val="nil"/>
            </w:tcBorders>
            <w:shd w:val="clear" w:color="auto" w:fill="auto"/>
            <w:noWrap/>
            <w:vAlign w:val="bottom"/>
            <w:hideMark/>
          </w:tcPr>
          <w:p w14:paraId="49A6DC5E"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258" w:type="pct"/>
            <w:tcBorders>
              <w:top w:val="nil"/>
              <w:left w:val="nil"/>
              <w:bottom w:val="nil"/>
              <w:right w:val="nil"/>
            </w:tcBorders>
            <w:shd w:val="clear" w:color="auto" w:fill="auto"/>
            <w:noWrap/>
            <w:vAlign w:val="bottom"/>
            <w:hideMark/>
          </w:tcPr>
          <w:p w14:paraId="2160D326"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1A9119D8"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4B99406B"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80" w:type="pct"/>
            <w:tcBorders>
              <w:top w:val="nil"/>
              <w:left w:val="nil"/>
              <w:bottom w:val="nil"/>
              <w:right w:val="nil"/>
            </w:tcBorders>
            <w:shd w:val="clear" w:color="auto" w:fill="auto"/>
            <w:noWrap/>
            <w:vAlign w:val="bottom"/>
            <w:hideMark/>
          </w:tcPr>
          <w:p w14:paraId="5149379D"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47" w:type="pct"/>
            <w:tcBorders>
              <w:top w:val="nil"/>
              <w:left w:val="nil"/>
              <w:bottom w:val="nil"/>
              <w:right w:val="nil"/>
            </w:tcBorders>
            <w:shd w:val="clear" w:color="auto" w:fill="auto"/>
            <w:noWrap/>
            <w:vAlign w:val="bottom"/>
            <w:hideMark/>
          </w:tcPr>
          <w:p w14:paraId="00E76DB6"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r>
      <w:tr w:rsidR="004B3DBE" w:rsidRPr="00DB4C32" w14:paraId="4C6FBD97" w14:textId="77777777" w:rsidTr="00306401">
        <w:trPr>
          <w:trHeight w:val="170"/>
        </w:trPr>
        <w:tc>
          <w:tcPr>
            <w:tcW w:w="662" w:type="pct"/>
            <w:tcBorders>
              <w:top w:val="nil"/>
              <w:left w:val="nil"/>
              <w:bottom w:val="nil"/>
              <w:right w:val="nil"/>
            </w:tcBorders>
            <w:shd w:val="clear" w:color="auto" w:fill="auto"/>
            <w:noWrap/>
            <w:vAlign w:val="bottom"/>
            <w:hideMark/>
          </w:tcPr>
          <w:p w14:paraId="4BE681BA"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Malaysia</w:t>
            </w:r>
          </w:p>
        </w:tc>
        <w:tc>
          <w:tcPr>
            <w:tcW w:w="407" w:type="pct"/>
            <w:tcBorders>
              <w:top w:val="nil"/>
              <w:left w:val="nil"/>
              <w:bottom w:val="nil"/>
              <w:right w:val="nil"/>
            </w:tcBorders>
            <w:shd w:val="clear" w:color="auto" w:fill="auto"/>
            <w:noWrap/>
            <w:vAlign w:val="bottom"/>
            <w:hideMark/>
          </w:tcPr>
          <w:p w14:paraId="650BA2B2" w14:textId="71DD1308"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9783</w:t>
            </w:r>
          </w:p>
        </w:tc>
        <w:tc>
          <w:tcPr>
            <w:tcW w:w="258" w:type="pct"/>
            <w:tcBorders>
              <w:top w:val="nil"/>
              <w:left w:val="nil"/>
              <w:bottom w:val="nil"/>
              <w:right w:val="nil"/>
            </w:tcBorders>
            <w:shd w:val="clear" w:color="auto" w:fill="auto"/>
            <w:noWrap/>
            <w:vAlign w:val="bottom"/>
            <w:hideMark/>
          </w:tcPr>
          <w:p w14:paraId="0A6D769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246C0063" w14:textId="52641894"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0266</w:t>
            </w:r>
          </w:p>
        </w:tc>
        <w:tc>
          <w:tcPr>
            <w:tcW w:w="313" w:type="pct"/>
            <w:tcBorders>
              <w:top w:val="nil"/>
              <w:left w:val="nil"/>
              <w:bottom w:val="nil"/>
              <w:right w:val="nil"/>
            </w:tcBorders>
            <w:shd w:val="clear" w:color="auto" w:fill="auto"/>
            <w:noWrap/>
            <w:vAlign w:val="bottom"/>
            <w:hideMark/>
          </w:tcPr>
          <w:p w14:paraId="5E5794E7"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60F851EF" w14:textId="27FA11B3"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7975</w:t>
            </w:r>
          </w:p>
        </w:tc>
        <w:tc>
          <w:tcPr>
            <w:tcW w:w="258" w:type="pct"/>
            <w:tcBorders>
              <w:top w:val="nil"/>
              <w:left w:val="nil"/>
              <w:bottom w:val="nil"/>
              <w:right w:val="nil"/>
            </w:tcBorders>
            <w:shd w:val="clear" w:color="auto" w:fill="auto"/>
            <w:noWrap/>
            <w:vAlign w:val="bottom"/>
            <w:hideMark/>
          </w:tcPr>
          <w:p w14:paraId="316C2CDF"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1E0221D5" w14:textId="08AB7D6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0164</w:t>
            </w:r>
          </w:p>
        </w:tc>
        <w:tc>
          <w:tcPr>
            <w:tcW w:w="258" w:type="pct"/>
            <w:tcBorders>
              <w:top w:val="nil"/>
              <w:left w:val="nil"/>
              <w:bottom w:val="nil"/>
              <w:right w:val="nil"/>
            </w:tcBorders>
            <w:shd w:val="clear" w:color="auto" w:fill="auto"/>
            <w:noWrap/>
            <w:vAlign w:val="bottom"/>
            <w:hideMark/>
          </w:tcPr>
          <w:p w14:paraId="52D8B26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5E412B4D" w14:textId="239CAE78"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0592</w:t>
            </w:r>
          </w:p>
        </w:tc>
        <w:tc>
          <w:tcPr>
            <w:tcW w:w="258" w:type="pct"/>
            <w:tcBorders>
              <w:top w:val="nil"/>
              <w:left w:val="nil"/>
              <w:bottom w:val="nil"/>
              <w:right w:val="nil"/>
            </w:tcBorders>
            <w:shd w:val="clear" w:color="auto" w:fill="auto"/>
            <w:noWrap/>
            <w:vAlign w:val="bottom"/>
            <w:hideMark/>
          </w:tcPr>
          <w:p w14:paraId="05271BEB"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4866ABE9" w14:textId="78928ABB"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0381</w:t>
            </w:r>
          </w:p>
        </w:tc>
        <w:tc>
          <w:tcPr>
            <w:tcW w:w="347" w:type="pct"/>
            <w:tcBorders>
              <w:top w:val="nil"/>
              <w:left w:val="nil"/>
              <w:bottom w:val="nil"/>
              <w:right w:val="nil"/>
            </w:tcBorders>
            <w:shd w:val="clear" w:color="auto" w:fill="auto"/>
            <w:noWrap/>
            <w:vAlign w:val="bottom"/>
            <w:hideMark/>
          </w:tcPr>
          <w:p w14:paraId="25DDE38F"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117A5ACA" w14:textId="77777777" w:rsidTr="00306401">
        <w:trPr>
          <w:trHeight w:val="170"/>
        </w:trPr>
        <w:tc>
          <w:tcPr>
            <w:tcW w:w="662" w:type="pct"/>
            <w:tcBorders>
              <w:top w:val="nil"/>
              <w:left w:val="nil"/>
              <w:bottom w:val="nil"/>
              <w:right w:val="nil"/>
            </w:tcBorders>
            <w:shd w:val="clear" w:color="auto" w:fill="auto"/>
            <w:noWrap/>
            <w:vAlign w:val="bottom"/>
            <w:hideMark/>
          </w:tcPr>
          <w:p w14:paraId="75C91F1F"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Pakistan</w:t>
            </w:r>
          </w:p>
        </w:tc>
        <w:tc>
          <w:tcPr>
            <w:tcW w:w="407" w:type="pct"/>
            <w:tcBorders>
              <w:top w:val="nil"/>
              <w:left w:val="nil"/>
              <w:bottom w:val="nil"/>
              <w:right w:val="nil"/>
            </w:tcBorders>
            <w:shd w:val="clear" w:color="auto" w:fill="auto"/>
            <w:noWrap/>
            <w:vAlign w:val="bottom"/>
            <w:hideMark/>
          </w:tcPr>
          <w:p w14:paraId="3FBBDD3A" w14:textId="62742586"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7432</w:t>
            </w:r>
          </w:p>
        </w:tc>
        <w:tc>
          <w:tcPr>
            <w:tcW w:w="258" w:type="pct"/>
            <w:tcBorders>
              <w:top w:val="nil"/>
              <w:left w:val="nil"/>
              <w:bottom w:val="nil"/>
              <w:right w:val="nil"/>
            </w:tcBorders>
            <w:shd w:val="clear" w:color="auto" w:fill="auto"/>
            <w:noWrap/>
            <w:vAlign w:val="bottom"/>
            <w:hideMark/>
          </w:tcPr>
          <w:p w14:paraId="2522C261"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4187C194" w14:textId="04263DE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0817</w:t>
            </w:r>
          </w:p>
        </w:tc>
        <w:tc>
          <w:tcPr>
            <w:tcW w:w="313" w:type="pct"/>
            <w:tcBorders>
              <w:top w:val="nil"/>
              <w:left w:val="nil"/>
              <w:bottom w:val="nil"/>
              <w:right w:val="nil"/>
            </w:tcBorders>
            <w:shd w:val="clear" w:color="auto" w:fill="auto"/>
            <w:noWrap/>
            <w:vAlign w:val="bottom"/>
            <w:hideMark/>
          </w:tcPr>
          <w:p w14:paraId="101A2967"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56B317B4" w14:textId="5A0BEB64"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4682</w:t>
            </w:r>
          </w:p>
        </w:tc>
        <w:tc>
          <w:tcPr>
            <w:tcW w:w="258" w:type="pct"/>
            <w:tcBorders>
              <w:top w:val="nil"/>
              <w:left w:val="nil"/>
              <w:bottom w:val="nil"/>
              <w:right w:val="nil"/>
            </w:tcBorders>
            <w:shd w:val="clear" w:color="auto" w:fill="auto"/>
            <w:noWrap/>
            <w:vAlign w:val="bottom"/>
            <w:hideMark/>
          </w:tcPr>
          <w:p w14:paraId="2FA1329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561E179A" w14:textId="6C751148"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0574</w:t>
            </w:r>
          </w:p>
        </w:tc>
        <w:tc>
          <w:tcPr>
            <w:tcW w:w="258" w:type="pct"/>
            <w:tcBorders>
              <w:top w:val="nil"/>
              <w:left w:val="nil"/>
              <w:bottom w:val="nil"/>
              <w:right w:val="nil"/>
            </w:tcBorders>
            <w:shd w:val="clear" w:color="auto" w:fill="auto"/>
            <w:noWrap/>
            <w:vAlign w:val="bottom"/>
            <w:hideMark/>
          </w:tcPr>
          <w:p w14:paraId="5B7C65DB"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4E5C6683" w14:textId="3A94EB3F"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0740</w:t>
            </w:r>
          </w:p>
        </w:tc>
        <w:tc>
          <w:tcPr>
            <w:tcW w:w="258" w:type="pct"/>
            <w:tcBorders>
              <w:top w:val="nil"/>
              <w:left w:val="nil"/>
              <w:bottom w:val="nil"/>
              <w:right w:val="nil"/>
            </w:tcBorders>
            <w:shd w:val="clear" w:color="auto" w:fill="auto"/>
            <w:noWrap/>
            <w:vAlign w:val="bottom"/>
            <w:hideMark/>
          </w:tcPr>
          <w:p w14:paraId="49D5954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21CC3E34" w14:textId="07752D1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0021</w:t>
            </w:r>
          </w:p>
        </w:tc>
        <w:tc>
          <w:tcPr>
            <w:tcW w:w="347" w:type="pct"/>
            <w:tcBorders>
              <w:top w:val="nil"/>
              <w:left w:val="nil"/>
              <w:bottom w:val="nil"/>
              <w:right w:val="nil"/>
            </w:tcBorders>
            <w:shd w:val="clear" w:color="auto" w:fill="auto"/>
            <w:noWrap/>
            <w:vAlign w:val="bottom"/>
            <w:hideMark/>
          </w:tcPr>
          <w:p w14:paraId="337B04F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75824D58" w14:textId="77777777" w:rsidTr="00306401">
        <w:trPr>
          <w:trHeight w:val="170"/>
        </w:trPr>
        <w:tc>
          <w:tcPr>
            <w:tcW w:w="662" w:type="pct"/>
            <w:tcBorders>
              <w:top w:val="nil"/>
              <w:left w:val="nil"/>
              <w:bottom w:val="nil"/>
              <w:right w:val="nil"/>
            </w:tcBorders>
            <w:shd w:val="clear" w:color="auto" w:fill="auto"/>
            <w:noWrap/>
            <w:vAlign w:val="bottom"/>
            <w:hideMark/>
          </w:tcPr>
          <w:p w14:paraId="1DF9AFCE"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Saudi Arabia</w:t>
            </w:r>
          </w:p>
        </w:tc>
        <w:tc>
          <w:tcPr>
            <w:tcW w:w="407" w:type="pct"/>
            <w:tcBorders>
              <w:top w:val="nil"/>
              <w:left w:val="nil"/>
              <w:bottom w:val="nil"/>
              <w:right w:val="nil"/>
            </w:tcBorders>
            <w:shd w:val="clear" w:color="auto" w:fill="auto"/>
            <w:noWrap/>
            <w:vAlign w:val="bottom"/>
            <w:hideMark/>
          </w:tcPr>
          <w:p w14:paraId="0EDA4310" w14:textId="1F99FA81"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8342</w:t>
            </w:r>
          </w:p>
        </w:tc>
        <w:tc>
          <w:tcPr>
            <w:tcW w:w="258" w:type="pct"/>
            <w:tcBorders>
              <w:top w:val="nil"/>
              <w:left w:val="nil"/>
              <w:bottom w:val="nil"/>
              <w:right w:val="nil"/>
            </w:tcBorders>
            <w:shd w:val="clear" w:color="auto" w:fill="auto"/>
            <w:noWrap/>
            <w:vAlign w:val="bottom"/>
            <w:hideMark/>
          </w:tcPr>
          <w:p w14:paraId="664B6C6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768A1F47" w14:textId="3A6F8CC3"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0321</w:t>
            </w:r>
          </w:p>
        </w:tc>
        <w:tc>
          <w:tcPr>
            <w:tcW w:w="313" w:type="pct"/>
            <w:tcBorders>
              <w:top w:val="nil"/>
              <w:left w:val="nil"/>
              <w:bottom w:val="nil"/>
              <w:right w:val="nil"/>
            </w:tcBorders>
            <w:shd w:val="clear" w:color="auto" w:fill="auto"/>
            <w:noWrap/>
            <w:vAlign w:val="bottom"/>
            <w:hideMark/>
          </w:tcPr>
          <w:p w14:paraId="2BDED6A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1EDDF294" w14:textId="658877DA"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6717</w:t>
            </w:r>
          </w:p>
        </w:tc>
        <w:tc>
          <w:tcPr>
            <w:tcW w:w="258" w:type="pct"/>
            <w:tcBorders>
              <w:top w:val="nil"/>
              <w:left w:val="nil"/>
              <w:bottom w:val="nil"/>
              <w:right w:val="nil"/>
            </w:tcBorders>
            <w:shd w:val="clear" w:color="auto" w:fill="auto"/>
            <w:noWrap/>
            <w:vAlign w:val="bottom"/>
            <w:hideMark/>
          </w:tcPr>
          <w:p w14:paraId="43AFE1CB"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4D761445" w14:textId="7DA0A793"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0293</w:t>
            </w:r>
          </w:p>
        </w:tc>
        <w:tc>
          <w:tcPr>
            <w:tcW w:w="258" w:type="pct"/>
            <w:tcBorders>
              <w:top w:val="nil"/>
              <w:left w:val="nil"/>
              <w:bottom w:val="nil"/>
              <w:right w:val="nil"/>
            </w:tcBorders>
            <w:shd w:val="clear" w:color="auto" w:fill="auto"/>
            <w:noWrap/>
            <w:vAlign w:val="bottom"/>
            <w:hideMark/>
          </w:tcPr>
          <w:p w14:paraId="45F467A5"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4C38F0D8" w14:textId="0275292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0648</w:t>
            </w:r>
          </w:p>
        </w:tc>
        <w:tc>
          <w:tcPr>
            <w:tcW w:w="258" w:type="pct"/>
            <w:tcBorders>
              <w:top w:val="nil"/>
              <w:left w:val="nil"/>
              <w:bottom w:val="nil"/>
              <w:right w:val="nil"/>
            </w:tcBorders>
            <w:shd w:val="clear" w:color="auto" w:fill="auto"/>
            <w:noWrap/>
            <w:vAlign w:val="bottom"/>
            <w:hideMark/>
          </w:tcPr>
          <w:p w14:paraId="3F7C6862"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22BD503E" w14:textId="0FFD8ECD"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0492</w:t>
            </w:r>
          </w:p>
        </w:tc>
        <w:tc>
          <w:tcPr>
            <w:tcW w:w="347" w:type="pct"/>
            <w:tcBorders>
              <w:top w:val="nil"/>
              <w:left w:val="nil"/>
              <w:bottom w:val="nil"/>
              <w:right w:val="nil"/>
            </w:tcBorders>
            <w:shd w:val="clear" w:color="auto" w:fill="auto"/>
            <w:noWrap/>
            <w:vAlign w:val="bottom"/>
            <w:hideMark/>
          </w:tcPr>
          <w:p w14:paraId="53BC2FC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1CD7368E" w14:textId="77777777" w:rsidTr="00306401">
        <w:trPr>
          <w:trHeight w:val="170"/>
        </w:trPr>
        <w:tc>
          <w:tcPr>
            <w:tcW w:w="662" w:type="pct"/>
            <w:tcBorders>
              <w:top w:val="nil"/>
              <w:left w:val="nil"/>
              <w:bottom w:val="nil"/>
              <w:right w:val="nil"/>
            </w:tcBorders>
            <w:shd w:val="clear" w:color="auto" w:fill="auto"/>
            <w:noWrap/>
            <w:vAlign w:val="bottom"/>
            <w:hideMark/>
          </w:tcPr>
          <w:p w14:paraId="22DE1791"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Qatar</w:t>
            </w:r>
          </w:p>
        </w:tc>
        <w:tc>
          <w:tcPr>
            <w:tcW w:w="407" w:type="pct"/>
            <w:tcBorders>
              <w:top w:val="nil"/>
              <w:left w:val="nil"/>
              <w:bottom w:val="nil"/>
              <w:right w:val="nil"/>
            </w:tcBorders>
            <w:shd w:val="clear" w:color="auto" w:fill="auto"/>
            <w:noWrap/>
            <w:vAlign w:val="bottom"/>
            <w:hideMark/>
          </w:tcPr>
          <w:p w14:paraId="3D3ACD0C" w14:textId="1E1F94D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6050</w:t>
            </w:r>
          </w:p>
        </w:tc>
        <w:tc>
          <w:tcPr>
            <w:tcW w:w="258" w:type="pct"/>
            <w:tcBorders>
              <w:top w:val="nil"/>
              <w:left w:val="nil"/>
              <w:bottom w:val="nil"/>
              <w:right w:val="nil"/>
            </w:tcBorders>
            <w:shd w:val="clear" w:color="auto" w:fill="auto"/>
            <w:noWrap/>
            <w:vAlign w:val="bottom"/>
            <w:hideMark/>
          </w:tcPr>
          <w:p w14:paraId="13D9281E"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0CE4C9D0" w14:textId="635223D5"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0136</w:t>
            </w:r>
          </w:p>
        </w:tc>
        <w:tc>
          <w:tcPr>
            <w:tcW w:w="313" w:type="pct"/>
            <w:tcBorders>
              <w:top w:val="nil"/>
              <w:left w:val="nil"/>
              <w:bottom w:val="nil"/>
              <w:right w:val="nil"/>
            </w:tcBorders>
            <w:shd w:val="clear" w:color="auto" w:fill="auto"/>
            <w:noWrap/>
            <w:vAlign w:val="bottom"/>
            <w:hideMark/>
          </w:tcPr>
          <w:p w14:paraId="401EEBE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7D4CF7B9" w14:textId="5FEA93F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4257</w:t>
            </w:r>
          </w:p>
        </w:tc>
        <w:tc>
          <w:tcPr>
            <w:tcW w:w="258" w:type="pct"/>
            <w:tcBorders>
              <w:top w:val="nil"/>
              <w:left w:val="nil"/>
              <w:bottom w:val="nil"/>
              <w:right w:val="nil"/>
            </w:tcBorders>
            <w:shd w:val="clear" w:color="auto" w:fill="auto"/>
            <w:noWrap/>
            <w:vAlign w:val="bottom"/>
            <w:hideMark/>
          </w:tcPr>
          <w:p w14:paraId="0CC86940"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7F7A653B" w14:textId="1D8BF0E2"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0103</w:t>
            </w:r>
          </w:p>
        </w:tc>
        <w:tc>
          <w:tcPr>
            <w:tcW w:w="258" w:type="pct"/>
            <w:tcBorders>
              <w:top w:val="nil"/>
              <w:left w:val="nil"/>
              <w:bottom w:val="nil"/>
              <w:right w:val="nil"/>
            </w:tcBorders>
            <w:shd w:val="clear" w:color="auto" w:fill="auto"/>
            <w:noWrap/>
            <w:vAlign w:val="bottom"/>
            <w:hideMark/>
          </w:tcPr>
          <w:p w14:paraId="158A965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00B6AF60" w14:textId="775E1F8A"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0472</w:t>
            </w:r>
          </w:p>
        </w:tc>
        <w:tc>
          <w:tcPr>
            <w:tcW w:w="258" w:type="pct"/>
            <w:tcBorders>
              <w:top w:val="nil"/>
              <w:left w:val="nil"/>
              <w:bottom w:val="nil"/>
              <w:right w:val="nil"/>
            </w:tcBorders>
            <w:shd w:val="clear" w:color="auto" w:fill="auto"/>
            <w:noWrap/>
            <w:vAlign w:val="bottom"/>
            <w:hideMark/>
          </w:tcPr>
          <w:p w14:paraId="7B729D95"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771467AB" w14:textId="4A751EB3"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0215</w:t>
            </w:r>
          </w:p>
        </w:tc>
        <w:tc>
          <w:tcPr>
            <w:tcW w:w="347" w:type="pct"/>
            <w:tcBorders>
              <w:top w:val="nil"/>
              <w:left w:val="nil"/>
              <w:bottom w:val="nil"/>
              <w:right w:val="nil"/>
            </w:tcBorders>
            <w:shd w:val="clear" w:color="auto" w:fill="auto"/>
            <w:noWrap/>
            <w:vAlign w:val="bottom"/>
            <w:hideMark/>
          </w:tcPr>
          <w:p w14:paraId="64DA1151"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59D0B069" w14:textId="77777777" w:rsidTr="00306401">
        <w:trPr>
          <w:trHeight w:val="170"/>
        </w:trPr>
        <w:tc>
          <w:tcPr>
            <w:tcW w:w="662" w:type="pct"/>
            <w:tcBorders>
              <w:top w:val="nil"/>
              <w:left w:val="nil"/>
              <w:bottom w:val="nil"/>
              <w:right w:val="nil"/>
            </w:tcBorders>
            <w:shd w:val="clear" w:color="auto" w:fill="auto"/>
            <w:noWrap/>
            <w:vAlign w:val="bottom"/>
            <w:hideMark/>
          </w:tcPr>
          <w:p w14:paraId="0754AF2B"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Kuwait</w:t>
            </w:r>
          </w:p>
        </w:tc>
        <w:tc>
          <w:tcPr>
            <w:tcW w:w="407" w:type="pct"/>
            <w:tcBorders>
              <w:top w:val="nil"/>
              <w:left w:val="nil"/>
              <w:bottom w:val="nil"/>
              <w:right w:val="nil"/>
            </w:tcBorders>
            <w:shd w:val="clear" w:color="auto" w:fill="auto"/>
            <w:noWrap/>
            <w:vAlign w:val="bottom"/>
            <w:hideMark/>
          </w:tcPr>
          <w:p w14:paraId="56D0C655" w14:textId="2B56DF0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7319</w:t>
            </w:r>
          </w:p>
        </w:tc>
        <w:tc>
          <w:tcPr>
            <w:tcW w:w="258" w:type="pct"/>
            <w:tcBorders>
              <w:top w:val="nil"/>
              <w:left w:val="nil"/>
              <w:bottom w:val="nil"/>
              <w:right w:val="nil"/>
            </w:tcBorders>
            <w:shd w:val="clear" w:color="auto" w:fill="auto"/>
            <w:noWrap/>
            <w:vAlign w:val="bottom"/>
            <w:hideMark/>
          </w:tcPr>
          <w:p w14:paraId="2255902F"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478924BB" w14:textId="09A5ABF8"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1018</w:t>
            </w:r>
          </w:p>
        </w:tc>
        <w:tc>
          <w:tcPr>
            <w:tcW w:w="313" w:type="pct"/>
            <w:tcBorders>
              <w:top w:val="nil"/>
              <w:left w:val="nil"/>
              <w:bottom w:val="nil"/>
              <w:right w:val="nil"/>
            </w:tcBorders>
            <w:shd w:val="clear" w:color="auto" w:fill="auto"/>
            <w:noWrap/>
            <w:vAlign w:val="bottom"/>
            <w:hideMark/>
          </w:tcPr>
          <w:p w14:paraId="7352E29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4DCC8237" w14:textId="58BC919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4503</w:t>
            </w:r>
          </w:p>
        </w:tc>
        <w:tc>
          <w:tcPr>
            <w:tcW w:w="258" w:type="pct"/>
            <w:tcBorders>
              <w:top w:val="nil"/>
              <w:left w:val="nil"/>
              <w:bottom w:val="nil"/>
              <w:right w:val="nil"/>
            </w:tcBorders>
            <w:shd w:val="clear" w:color="auto" w:fill="auto"/>
            <w:noWrap/>
            <w:vAlign w:val="bottom"/>
            <w:hideMark/>
          </w:tcPr>
          <w:p w14:paraId="39AC6873"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262FCFE8" w14:textId="511E7CD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0626</w:t>
            </w:r>
          </w:p>
        </w:tc>
        <w:tc>
          <w:tcPr>
            <w:tcW w:w="258" w:type="pct"/>
            <w:tcBorders>
              <w:top w:val="nil"/>
              <w:left w:val="nil"/>
              <w:bottom w:val="nil"/>
              <w:right w:val="nil"/>
            </w:tcBorders>
            <w:shd w:val="clear" w:color="auto" w:fill="auto"/>
            <w:noWrap/>
            <w:vAlign w:val="bottom"/>
            <w:hideMark/>
          </w:tcPr>
          <w:p w14:paraId="1347BFBD"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429381F0" w14:textId="6D44D7D3"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0729</w:t>
            </w:r>
          </w:p>
        </w:tc>
        <w:tc>
          <w:tcPr>
            <w:tcW w:w="258" w:type="pct"/>
            <w:tcBorders>
              <w:top w:val="nil"/>
              <w:left w:val="nil"/>
              <w:bottom w:val="nil"/>
              <w:right w:val="nil"/>
            </w:tcBorders>
            <w:shd w:val="clear" w:color="auto" w:fill="auto"/>
            <w:noWrap/>
            <w:vAlign w:val="bottom"/>
            <w:hideMark/>
          </w:tcPr>
          <w:p w14:paraId="2FECAA95"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2558DA2A" w14:textId="20EF54B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0330</w:t>
            </w:r>
          </w:p>
        </w:tc>
        <w:tc>
          <w:tcPr>
            <w:tcW w:w="347" w:type="pct"/>
            <w:tcBorders>
              <w:top w:val="nil"/>
              <w:left w:val="nil"/>
              <w:bottom w:val="nil"/>
              <w:right w:val="nil"/>
            </w:tcBorders>
            <w:shd w:val="clear" w:color="auto" w:fill="auto"/>
            <w:noWrap/>
            <w:vAlign w:val="bottom"/>
            <w:hideMark/>
          </w:tcPr>
          <w:p w14:paraId="5CB65466"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2CC1BF24" w14:textId="77777777" w:rsidTr="00306401">
        <w:trPr>
          <w:trHeight w:val="170"/>
        </w:trPr>
        <w:tc>
          <w:tcPr>
            <w:tcW w:w="662" w:type="pct"/>
            <w:tcBorders>
              <w:top w:val="nil"/>
              <w:left w:val="nil"/>
              <w:bottom w:val="nil"/>
              <w:right w:val="nil"/>
            </w:tcBorders>
            <w:shd w:val="clear" w:color="auto" w:fill="auto"/>
            <w:noWrap/>
            <w:vAlign w:val="bottom"/>
            <w:hideMark/>
          </w:tcPr>
          <w:p w14:paraId="360C8071"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UAE</w:t>
            </w:r>
          </w:p>
        </w:tc>
        <w:tc>
          <w:tcPr>
            <w:tcW w:w="407" w:type="pct"/>
            <w:tcBorders>
              <w:top w:val="nil"/>
              <w:left w:val="nil"/>
              <w:bottom w:val="nil"/>
              <w:right w:val="nil"/>
            </w:tcBorders>
            <w:shd w:val="clear" w:color="auto" w:fill="auto"/>
            <w:noWrap/>
            <w:vAlign w:val="bottom"/>
            <w:hideMark/>
          </w:tcPr>
          <w:p w14:paraId="18A82FCB" w14:textId="7EFC2471"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6668</w:t>
            </w:r>
          </w:p>
        </w:tc>
        <w:tc>
          <w:tcPr>
            <w:tcW w:w="258" w:type="pct"/>
            <w:tcBorders>
              <w:top w:val="nil"/>
              <w:left w:val="nil"/>
              <w:bottom w:val="nil"/>
              <w:right w:val="nil"/>
            </w:tcBorders>
            <w:shd w:val="clear" w:color="auto" w:fill="auto"/>
            <w:noWrap/>
            <w:vAlign w:val="bottom"/>
            <w:hideMark/>
          </w:tcPr>
          <w:p w14:paraId="073E2FD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77BD8A84" w14:textId="1D670181"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1446</w:t>
            </w:r>
          </w:p>
        </w:tc>
        <w:tc>
          <w:tcPr>
            <w:tcW w:w="313" w:type="pct"/>
            <w:tcBorders>
              <w:top w:val="nil"/>
              <w:left w:val="nil"/>
              <w:bottom w:val="nil"/>
              <w:right w:val="nil"/>
            </w:tcBorders>
            <w:shd w:val="clear" w:color="auto" w:fill="auto"/>
            <w:noWrap/>
            <w:vAlign w:val="bottom"/>
            <w:hideMark/>
          </w:tcPr>
          <w:p w14:paraId="3D77D421"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3911B84D" w14:textId="179DAB6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4354</w:t>
            </w:r>
          </w:p>
        </w:tc>
        <w:tc>
          <w:tcPr>
            <w:tcW w:w="258" w:type="pct"/>
            <w:tcBorders>
              <w:top w:val="nil"/>
              <w:left w:val="nil"/>
              <w:bottom w:val="nil"/>
              <w:right w:val="nil"/>
            </w:tcBorders>
            <w:shd w:val="clear" w:color="auto" w:fill="auto"/>
            <w:noWrap/>
            <w:vAlign w:val="bottom"/>
            <w:hideMark/>
          </w:tcPr>
          <w:p w14:paraId="77D8324B"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3C0E5CA9" w14:textId="019B5FB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1001</w:t>
            </w:r>
          </w:p>
        </w:tc>
        <w:tc>
          <w:tcPr>
            <w:tcW w:w="258" w:type="pct"/>
            <w:tcBorders>
              <w:top w:val="nil"/>
              <w:left w:val="nil"/>
              <w:bottom w:val="nil"/>
              <w:right w:val="nil"/>
            </w:tcBorders>
            <w:shd w:val="clear" w:color="auto" w:fill="auto"/>
            <w:noWrap/>
            <w:vAlign w:val="bottom"/>
            <w:hideMark/>
          </w:tcPr>
          <w:p w14:paraId="0E058B27"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05B7FCC9" w14:textId="51F07EE5"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0569</w:t>
            </w:r>
          </w:p>
        </w:tc>
        <w:tc>
          <w:tcPr>
            <w:tcW w:w="258" w:type="pct"/>
            <w:tcBorders>
              <w:top w:val="nil"/>
              <w:left w:val="nil"/>
              <w:bottom w:val="nil"/>
              <w:right w:val="nil"/>
            </w:tcBorders>
            <w:shd w:val="clear" w:color="auto" w:fill="auto"/>
            <w:noWrap/>
            <w:vAlign w:val="bottom"/>
            <w:hideMark/>
          </w:tcPr>
          <w:p w14:paraId="7E696589"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2C6933A7" w14:textId="5F68DD3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0231</w:t>
            </w:r>
          </w:p>
        </w:tc>
        <w:tc>
          <w:tcPr>
            <w:tcW w:w="347" w:type="pct"/>
            <w:tcBorders>
              <w:top w:val="nil"/>
              <w:left w:val="nil"/>
              <w:bottom w:val="nil"/>
              <w:right w:val="nil"/>
            </w:tcBorders>
            <w:shd w:val="clear" w:color="auto" w:fill="auto"/>
            <w:noWrap/>
            <w:vAlign w:val="bottom"/>
            <w:hideMark/>
          </w:tcPr>
          <w:p w14:paraId="5AEF634F"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552C45C9" w14:textId="77777777" w:rsidTr="00306401">
        <w:trPr>
          <w:trHeight w:val="170"/>
        </w:trPr>
        <w:tc>
          <w:tcPr>
            <w:tcW w:w="5000" w:type="pct"/>
            <w:gridSpan w:val="13"/>
            <w:tcBorders>
              <w:top w:val="single" w:sz="4" w:space="0" w:color="auto"/>
              <w:left w:val="nil"/>
              <w:bottom w:val="single" w:sz="4" w:space="0" w:color="auto"/>
              <w:right w:val="nil"/>
            </w:tcBorders>
            <w:shd w:val="clear" w:color="auto" w:fill="auto"/>
            <w:noWrap/>
            <w:vAlign w:val="bottom"/>
            <w:hideMark/>
          </w:tcPr>
          <w:p w14:paraId="1FCEA212"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r w:rsidRPr="00DB4C32">
              <w:rPr>
                <w:rFonts w:ascii="Times New Roman" w:eastAsia="Times New Roman" w:hAnsi="Times New Roman" w:cs="Times New Roman"/>
                <w:b/>
                <w:bCs/>
                <w:color w:val="000000"/>
              </w:rPr>
              <w:t xml:space="preserve">Stage </w:t>
            </w:r>
            <w:proofErr w:type="gramStart"/>
            <w:r w:rsidRPr="00DB4C32">
              <w:rPr>
                <w:rFonts w:ascii="Times New Roman" w:eastAsia="Times New Roman" w:hAnsi="Times New Roman" w:cs="Times New Roman"/>
                <w:b/>
                <w:bCs/>
                <w:color w:val="000000"/>
              </w:rPr>
              <w:t>2  (</w:t>
            </w:r>
            <w:proofErr w:type="gramEnd"/>
            <w:r w:rsidRPr="00DB4C32">
              <w:rPr>
                <w:rFonts w:ascii="Times New Roman" w:eastAsia="Times New Roman" w:hAnsi="Times New Roman" w:cs="Times New Roman"/>
                <w:b/>
                <w:bCs/>
                <w:color w:val="000000"/>
              </w:rPr>
              <w:t xml:space="preserve">March 20 - May 11) </w:t>
            </w:r>
          </w:p>
        </w:tc>
      </w:tr>
      <w:tr w:rsidR="004B3DBE" w:rsidRPr="00DB4C32" w14:paraId="66BE0EC6" w14:textId="77777777" w:rsidTr="00306401">
        <w:trPr>
          <w:trHeight w:val="170"/>
        </w:trPr>
        <w:tc>
          <w:tcPr>
            <w:tcW w:w="662" w:type="pct"/>
            <w:tcBorders>
              <w:top w:val="nil"/>
              <w:left w:val="nil"/>
              <w:bottom w:val="nil"/>
              <w:right w:val="nil"/>
            </w:tcBorders>
            <w:shd w:val="clear" w:color="auto" w:fill="auto"/>
            <w:noWrap/>
            <w:vAlign w:val="bottom"/>
            <w:hideMark/>
          </w:tcPr>
          <w:p w14:paraId="3B7C251C"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p>
        </w:tc>
        <w:tc>
          <w:tcPr>
            <w:tcW w:w="407" w:type="pct"/>
            <w:tcBorders>
              <w:top w:val="nil"/>
              <w:left w:val="nil"/>
              <w:bottom w:val="nil"/>
              <w:right w:val="nil"/>
            </w:tcBorders>
            <w:shd w:val="clear" w:color="auto" w:fill="auto"/>
            <w:noWrap/>
            <w:vAlign w:val="bottom"/>
            <w:hideMark/>
          </w:tcPr>
          <w:p w14:paraId="24A881CF"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6F88A57B"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57" w:type="pct"/>
            <w:tcBorders>
              <w:top w:val="nil"/>
              <w:left w:val="nil"/>
              <w:bottom w:val="nil"/>
              <w:right w:val="nil"/>
            </w:tcBorders>
            <w:shd w:val="clear" w:color="auto" w:fill="auto"/>
            <w:noWrap/>
            <w:vAlign w:val="bottom"/>
            <w:hideMark/>
          </w:tcPr>
          <w:p w14:paraId="6841643B"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13" w:type="pct"/>
            <w:tcBorders>
              <w:top w:val="nil"/>
              <w:left w:val="nil"/>
              <w:bottom w:val="nil"/>
              <w:right w:val="nil"/>
            </w:tcBorders>
            <w:shd w:val="clear" w:color="auto" w:fill="auto"/>
            <w:noWrap/>
            <w:vAlign w:val="bottom"/>
            <w:hideMark/>
          </w:tcPr>
          <w:p w14:paraId="2FAF11B6"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6A474AA2"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4C0708AF"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88" w:type="pct"/>
            <w:tcBorders>
              <w:top w:val="nil"/>
              <w:left w:val="nil"/>
              <w:bottom w:val="nil"/>
              <w:right w:val="nil"/>
            </w:tcBorders>
            <w:shd w:val="clear" w:color="auto" w:fill="auto"/>
            <w:noWrap/>
            <w:vAlign w:val="bottom"/>
            <w:hideMark/>
          </w:tcPr>
          <w:p w14:paraId="44E507A0"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258" w:type="pct"/>
            <w:tcBorders>
              <w:top w:val="nil"/>
              <w:left w:val="nil"/>
              <w:bottom w:val="nil"/>
              <w:right w:val="nil"/>
            </w:tcBorders>
            <w:shd w:val="clear" w:color="auto" w:fill="auto"/>
            <w:noWrap/>
            <w:vAlign w:val="bottom"/>
            <w:hideMark/>
          </w:tcPr>
          <w:p w14:paraId="21626E1A"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5826A147"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5D0605B8"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80" w:type="pct"/>
            <w:tcBorders>
              <w:top w:val="nil"/>
              <w:left w:val="nil"/>
              <w:bottom w:val="nil"/>
              <w:right w:val="nil"/>
            </w:tcBorders>
            <w:shd w:val="clear" w:color="auto" w:fill="auto"/>
            <w:noWrap/>
            <w:vAlign w:val="bottom"/>
            <w:hideMark/>
          </w:tcPr>
          <w:p w14:paraId="4B165762"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47" w:type="pct"/>
            <w:tcBorders>
              <w:top w:val="nil"/>
              <w:left w:val="nil"/>
              <w:bottom w:val="nil"/>
              <w:right w:val="nil"/>
            </w:tcBorders>
            <w:shd w:val="clear" w:color="auto" w:fill="auto"/>
            <w:noWrap/>
            <w:vAlign w:val="bottom"/>
            <w:hideMark/>
          </w:tcPr>
          <w:p w14:paraId="332327E3"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r>
      <w:tr w:rsidR="004B3DBE" w:rsidRPr="00DB4C32" w14:paraId="24DC8F22" w14:textId="77777777" w:rsidTr="00306401">
        <w:trPr>
          <w:trHeight w:val="170"/>
        </w:trPr>
        <w:tc>
          <w:tcPr>
            <w:tcW w:w="662" w:type="pct"/>
            <w:tcBorders>
              <w:top w:val="nil"/>
              <w:left w:val="nil"/>
              <w:bottom w:val="nil"/>
              <w:right w:val="nil"/>
            </w:tcBorders>
            <w:shd w:val="clear" w:color="auto" w:fill="auto"/>
            <w:noWrap/>
            <w:vAlign w:val="bottom"/>
            <w:hideMark/>
          </w:tcPr>
          <w:p w14:paraId="24499D92"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Malaysia</w:t>
            </w:r>
          </w:p>
        </w:tc>
        <w:tc>
          <w:tcPr>
            <w:tcW w:w="407" w:type="pct"/>
            <w:tcBorders>
              <w:top w:val="nil"/>
              <w:left w:val="nil"/>
              <w:bottom w:val="nil"/>
              <w:right w:val="nil"/>
            </w:tcBorders>
            <w:shd w:val="clear" w:color="auto" w:fill="auto"/>
            <w:noWrap/>
            <w:vAlign w:val="bottom"/>
            <w:hideMark/>
          </w:tcPr>
          <w:p w14:paraId="372EA323" w14:textId="4E83FE82"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0174</w:t>
            </w:r>
          </w:p>
        </w:tc>
        <w:tc>
          <w:tcPr>
            <w:tcW w:w="258" w:type="pct"/>
            <w:tcBorders>
              <w:top w:val="nil"/>
              <w:left w:val="nil"/>
              <w:bottom w:val="nil"/>
              <w:right w:val="nil"/>
            </w:tcBorders>
            <w:shd w:val="clear" w:color="auto" w:fill="auto"/>
            <w:noWrap/>
            <w:vAlign w:val="bottom"/>
            <w:hideMark/>
          </w:tcPr>
          <w:p w14:paraId="133538EE"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7BD5B350" w14:textId="5BF973D4"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3053</w:t>
            </w:r>
          </w:p>
        </w:tc>
        <w:tc>
          <w:tcPr>
            <w:tcW w:w="313" w:type="pct"/>
            <w:tcBorders>
              <w:top w:val="nil"/>
              <w:left w:val="nil"/>
              <w:bottom w:val="nil"/>
              <w:right w:val="nil"/>
            </w:tcBorders>
            <w:shd w:val="clear" w:color="auto" w:fill="auto"/>
            <w:noWrap/>
            <w:vAlign w:val="bottom"/>
            <w:hideMark/>
          </w:tcPr>
          <w:p w14:paraId="504CEE63"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32621C37" w14:textId="4C229FFB"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0159</w:t>
            </w:r>
          </w:p>
        </w:tc>
        <w:tc>
          <w:tcPr>
            <w:tcW w:w="258" w:type="pct"/>
            <w:tcBorders>
              <w:top w:val="nil"/>
              <w:left w:val="nil"/>
              <w:bottom w:val="nil"/>
              <w:right w:val="nil"/>
            </w:tcBorders>
            <w:shd w:val="clear" w:color="auto" w:fill="auto"/>
            <w:noWrap/>
            <w:vAlign w:val="bottom"/>
            <w:hideMark/>
          </w:tcPr>
          <w:p w14:paraId="78E1320F"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724A5F9C" w14:textId="7502E2CB"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2297</w:t>
            </w:r>
          </w:p>
        </w:tc>
        <w:tc>
          <w:tcPr>
            <w:tcW w:w="258" w:type="pct"/>
            <w:tcBorders>
              <w:top w:val="nil"/>
              <w:left w:val="nil"/>
              <w:bottom w:val="nil"/>
              <w:right w:val="nil"/>
            </w:tcBorders>
            <w:shd w:val="clear" w:color="auto" w:fill="auto"/>
            <w:noWrap/>
            <w:vAlign w:val="bottom"/>
            <w:hideMark/>
          </w:tcPr>
          <w:p w14:paraId="2A42CEBF"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60023E97" w14:textId="075BAB08"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0477</w:t>
            </w:r>
          </w:p>
        </w:tc>
        <w:tc>
          <w:tcPr>
            <w:tcW w:w="258" w:type="pct"/>
            <w:tcBorders>
              <w:top w:val="nil"/>
              <w:left w:val="nil"/>
              <w:bottom w:val="nil"/>
              <w:right w:val="nil"/>
            </w:tcBorders>
            <w:shd w:val="clear" w:color="auto" w:fill="auto"/>
            <w:noWrap/>
            <w:vAlign w:val="bottom"/>
            <w:hideMark/>
          </w:tcPr>
          <w:p w14:paraId="5128127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0958BFB0" w14:textId="090B6C33"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0327</w:t>
            </w:r>
          </w:p>
        </w:tc>
        <w:tc>
          <w:tcPr>
            <w:tcW w:w="347" w:type="pct"/>
            <w:tcBorders>
              <w:top w:val="nil"/>
              <w:left w:val="nil"/>
              <w:bottom w:val="nil"/>
              <w:right w:val="nil"/>
            </w:tcBorders>
            <w:shd w:val="clear" w:color="auto" w:fill="auto"/>
            <w:noWrap/>
            <w:vAlign w:val="bottom"/>
            <w:hideMark/>
          </w:tcPr>
          <w:p w14:paraId="2CBE8AB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34DE6643" w14:textId="77777777" w:rsidTr="00306401">
        <w:trPr>
          <w:trHeight w:val="170"/>
        </w:trPr>
        <w:tc>
          <w:tcPr>
            <w:tcW w:w="662" w:type="pct"/>
            <w:tcBorders>
              <w:top w:val="nil"/>
              <w:left w:val="nil"/>
              <w:bottom w:val="nil"/>
              <w:right w:val="nil"/>
            </w:tcBorders>
            <w:shd w:val="clear" w:color="auto" w:fill="auto"/>
            <w:noWrap/>
            <w:vAlign w:val="bottom"/>
            <w:hideMark/>
          </w:tcPr>
          <w:p w14:paraId="3C6BE078"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Pakistan</w:t>
            </w:r>
          </w:p>
        </w:tc>
        <w:tc>
          <w:tcPr>
            <w:tcW w:w="407" w:type="pct"/>
            <w:tcBorders>
              <w:top w:val="nil"/>
              <w:left w:val="nil"/>
              <w:bottom w:val="nil"/>
              <w:right w:val="nil"/>
            </w:tcBorders>
            <w:shd w:val="clear" w:color="auto" w:fill="auto"/>
            <w:noWrap/>
            <w:vAlign w:val="bottom"/>
            <w:hideMark/>
          </w:tcPr>
          <w:p w14:paraId="118F42A0" w14:textId="12DBA00C"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0422</w:t>
            </w:r>
          </w:p>
        </w:tc>
        <w:tc>
          <w:tcPr>
            <w:tcW w:w="258" w:type="pct"/>
            <w:tcBorders>
              <w:top w:val="nil"/>
              <w:left w:val="nil"/>
              <w:bottom w:val="nil"/>
              <w:right w:val="nil"/>
            </w:tcBorders>
            <w:shd w:val="clear" w:color="auto" w:fill="auto"/>
            <w:noWrap/>
            <w:vAlign w:val="bottom"/>
            <w:hideMark/>
          </w:tcPr>
          <w:p w14:paraId="3FFB9E3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32F240C9" w14:textId="6BB03155"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3633</w:t>
            </w:r>
          </w:p>
        </w:tc>
        <w:tc>
          <w:tcPr>
            <w:tcW w:w="313" w:type="pct"/>
            <w:tcBorders>
              <w:top w:val="nil"/>
              <w:left w:val="nil"/>
              <w:bottom w:val="nil"/>
              <w:right w:val="nil"/>
            </w:tcBorders>
            <w:shd w:val="clear" w:color="auto" w:fill="auto"/>
            <w:noWrap/>
            <w:vAlign w:val="bottom"/>
            <w:hideMark/>
          </w:tcPr>
          <w:p w14:paraId="12AC2275"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70B2A842" w14:textId="72FB9BD4"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0300</w:t>
            </w:r>
          </w:p>
        </w:tc>
        <w:tc>
          <w:tcPr>
            <w:tcW w:w="258" w:type="pct"/>
            <w:tcBorders>
              <w:top w:val="nil"/>
              <w:left w:val="nil"/>
              <w:bottom w:val="nil"/>
              <w:right w:val="nil"/>
            </w:tcBorders>
            <w:shd w:val="clear" w:color="auto" w:fill="auto"/>
            <w:noWrap/>
            <w:vAlign w:val="bottom"/>
            <w:hideMark/>
          </w:tcPr>
          <w:p w14:paraId="10EDF04E"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13288B6C" w14:textId="4BACB005"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2293</w:t>
            </w:r>
          </w:p>
        </w:tc>
        <w:tc>
          <w:tcPr>
            <w:tcW w:w="258" w:type="pct"/>
            <w:tcBorders>
              <w:top w:val="nil"/>
              <w:left w:val="nil"/>
              <w:bottom w:val="nil"/>
              <w:right w:val="nil"/>
            </w:tcBorders>
            <w:shd w:val="clear" w:color="auto" w:fill="auto"/>
            <w:noWrap/>
            <w:vAlign w:val="bottom"/>
            <w:hideMark/>
          </w:tcPr>
          <w:p w14:paraId="157972B9"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6F32D76E" w14:textId="2F3B4236"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0507</w:t>
            </w:r>
          </w:p>
        </w:tc>
        <w:tc>
          <w:tcPr>
            <w:tcW w:w="258" w:type="pct"/>
            <w:tcBorders>
              <w:top w:val="nil"/>
              <w:left w:val="nil"/>
              <w:bottom w:val="nil"/>
              <w:right w:val="nil"/>
            </w:tcBorders>
            <w:shd w:val="clear" w:color="auto" w:fill="auto"/>
            <w:noWrap/>
            <w:vAlign w:val="bottom"/>
            <w:hideMark/>
          </w:tcPr>
          <w:p w14:paraId="0C7F87F5"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138F7230" w14:textId="1BF5506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0144</w:t>
            </w:r>
          </w:p>
        </w:tc>
        <w:tc>
          <w:tcPr>
            <w:tcW w:w="347" w:type="pct"/>
            <w:tcBorders>
              <w:top w:val="nil"/>
              <w:left w:val="nil"/>
              <w:bottom w:val="nil"/>
              <w:right w:val="nil"/>
            </w:tcBorders>
            <w:shd w:val="clear" w:color="auto" w:fill="auto"/>
            <w:noWrap/>
            <w:vAlign w:val="bottom"/>
            <w:hideMark/>
          </w:tcPr>
          <w:p w14:paraId="011C470D"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580C2A5F" w14:textId="77777777" w:rsidTr="00306401">
        <w:trPr>
          <w:trHeight w:val="170"/>
        </w:trPr>
        <w:tc>
          <w:tcPr>
            <w:tcW w:w="662" w:type="pct"/>
            <w:tcBorders>
              <w:top w:val="nil"/>
              <w:left w:val="nil"/>
              <w:bottom w:val="nil"/>
              <w:right w:val="nil"/>
            </w:tcBorders>
            <w:shd w:val="clear" w:color="auto" w:fill="auto"/>
            <w:noWrap/>
            <w:vAlign w:val="bottom"/>
            <w:hideMark/>
          </w:tcPr>
          <w:p w14:paraId="5305D615"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Saudi Arabia</w:t>
            </w:r>
          </w:p>
        </w:tc>
        <w:tc>
          <w:tcPr>
            <w:tcW w:w="407" w:type="pct"/>
            <w:tcBorders>
              <w:top w:val="nil"/>
              <w:left w:val="nil"/>
              <w:bottom w:val="nil"/>
              <w:right w:val="nil"/>
            </w:tcBorders>
            <w:shd w:val="clear" w:color="auto" w:fill="auto"/>
            <w:noWrap/>
            <w:vAlign w:val="bottom"/>
            <w:hideMark/>
          </w:tcPr>
          <w:p w14:paraId="21F2BC62" w14:textId="604D764D"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0919</w:t>
            </w:r>
          </w:p>
        </w:tc>
        <w:tc>
          <w:tcPr>
            <w:tcW w:w="258" w:type="pct"/>
            <w:tcBorders>
              <w:top w:val="nil"/>
              <w:left w:val="nil"/>
              <w:bottom w:val="nil"/>
              <w:right w:val="nil"/>
            </w:tcBorders>
            <w:shd w:val="clear" w:color="auto" w:fill="auto"/>
            <w:noWrap/>
            <w:vAlign w:val="bottom"/>
            <w:hideMark/>
          </w:tcPr>
          <w:p w14:paraId="7831C82D"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28D9589D" w14:textId="6D6F4345"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8749</w:t>
            </w:r>
          </w:p>
        </w:tc>
        <w:tc>
          <w:tcPr>
            <w:tcW w:w="313" w:type="pct"/>
            <w:tcBorders>
              <w:top w:val="nil"/>
              <w:left w:val="nil"/>
              <w:bottom w:val="nil"/>
              <w:right w:val="nil"/>
            </w:tcBorders>
            <w:shd w:val="clear" w:color="auto" w:fill="auto"/>
            <w:noWrap/>
            <w:vAlign w:val="bottom"/>
            <w:hideMark/>
          </w:tcPr>
          <w:p w14:paraId="35295906"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0E491ACB" w14:textId="737A2AFC"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0759</w:t>
            </w:r>
          </w:p>
        </w:tc>
        <w:tc>
          <w:tcPr>
            <w:tcW w:w="258" w:type="pct"/>
            <w:tcBorders>
              <w:top w:val="nil"/>
              <w:left w:val="nil"/>
              <w:bottom w:val="nil"/>
              <w:right w:val="nil"/>
            </w:tcBorders>
            <w:shd w:val="clear" w:color="auto" w:fill="auto"/>
            <w:noWrap/>
            <w:vAlign w:val="bottom"/>
            <w:hideMark/>
          </w:tcPr>
          <w:p w14:paraId="2595888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74A39861" w14:textId="375F89BD"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5381</w:t>
            </w:r>
          </w:p>
        </w:tc>
        <w:tc>
          <w:tcPr>
            <w:tcW w:w="258" w:type="pct"/>
            <w:tcBorders>
              <w:top w:val="nil"/>
              <w:left w:val="nil"/>
              <w:bottom w:val="nil"/>
              <w:right w:val="nil"/>
            </w:tcBorders>
            <w:shd w:val="clear" w:color="auto" w:fill="auto"/>
            <w:noWrap/>
            <w:vAlign w:val="bottom"/>
            <w:hideMark/>
          </w:tcPr>
          <w:p w14:paraId="4319AC50"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4AF44244" w14:textId="4AD95A4E"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0434</w:t>
            </w:r>
          </w:p>
        </w:tc>
        <w:tc>
          <w:tcPr>
            <w:tcW w:w="258" w:type="pct"/>
            <w:tcBorders>
              <w:top w:val="nil"/>
              <w:left w:val="nil"/>
              <w:bottom w:val="nil"/>
              <w:right w:val="nil"/>
            </w:tcBorders>
            <w:shd w:val="clear" w:color="auto" w:fill="auto"/>
            <w:noWrap/>
            <w:vAlign w:val="bottom"/>
            <w:hideMark/>
          </w:tcPr>
          <w:p w14:paraId="179F164E"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4D275B84" w14:textId="7C539C55"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0609</w:t>
            </w:r>
          </w:p>
        </w:tc>
        <w:tc>
          <w:tcPr>
            <w:tcW w:w="347" w:type="pct"/>
            <w:tcBorders>
              <w:top w:val="nil"/>
              <w:left w:val="nil"/>
              <w:bottom w:val="nil"/>
              <w:right w:val="nil"/>
            </w:tcBorders>
            <w:shd w:val="clear" w:color="auto" w:fill="auto"/>
            <w:noWrap/>
            <w:vAlign w:val="bottom"/>
            <w:hideMark/>
          </w:tcPr>
          <w:p w14:paraId="79EEC51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4113ACF2" w14:textId="77777777" w:rsidTr="00306401">
        <w:trPr>
          <w:trHeight w:val="170"/>
        </w:trPr>
        <w:tc>
          <w:tcPr>
            <w:tcW w:w="662" w:type="pct"/>
            <w:tcBorders>
              <w:top w:val="nil"/>
              <w:left w:val="nil"/>
              <w:bottom w:val="nil"/>
              <w:right w:val="nil"/>
            </w:tcBorders>
            <w:shd w:val="clear" w:color="auto" w:fill="auto"/>
            <w:noWrap/>
            <w:vAlign w:val="bottom"/>
            <w:hideMark/>
          </w:tcPr>
          <w:p w14:paraId="65C253B4"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Qatar</w:t>
            </w:r>
          </w:p>
        </w:tc>
        <w:tc>
          <w:tcPr>
            <w:tcW w:w="407" w:type="pct"/>
            <w:tcBorders>
              <w:top w:val="nil"/>
              <w:left w:val="nil"/>
              <w:bottom w:val="nil"/>
              <w:right w:val="nil"/>
            </w:tcBorders>
            <w:shd w:val="clear" w:color="auto" w:fill="auto"/>
            <w:noWrap/>
            <w:vAlign w:val="bottom"/>
            <w:hideMark/>
          </w:tcPr>
          <w:p w14:paraId="6B120E62" w14:textId="7F63524E"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0764</w:t>
            </w:r>
          </w:p>
        </w:tc>
        <w:tc>
          <w:tcPr>
            <w:tcW w:w="258" w:type="pct"/>
            <w:tcBorders>
              <w:top w:val="nil"/>
              <w:left w:val="nil"/>
              <w:bottom w:val="nil"/>
              <w:right w:val="nil"/>
            </w:tcBorders>
            <w:shd w:val="clear" w:color="auto" w:fill="auto"/>
            <w:noWrap/>
            <w:vAlign w:val="bottom"/>
            <w:hideMark/>
          </w:tcPr>
          <w:p w14:paraId="2EBEB851"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65B1D8DC" w14:textId="20E792AD"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0717</w:t>
            </w:r>
          </w:p>
        </w:tc>
        <w:tc>
          <w:tcPr>
            <w:tcW w:w="313" w:type="pct"/>
            <w:tcBorders>
              <w:top w:val="nil"/>
              <w:left w:val="nil"/>
              <w:bottom w:val="nil"/>
              <w:right w:val="nil"/>
            </w:tcBorders>
            <w:shd w:val="clear" w:color="auto" w:fill="auto"/>
            <w:noWrap/>
            <w:vAlign w:val="bottom"/>
            <w:hideMark/>
          </w:tcPr>
          <w:p w14:paraId="72D95D2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17D80E05" w14:textId="718800C6"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0629</w:t>
            </w:r>
          </w:p>
        </w:tc>
        <w:tc>
          <w:tcPr>
            <w:tcW w:w="258" w:type="pct"/>
            <w:tcBorders>
              <w:top w:val="nil"/>
              <w:left w:val="nil"/>
              <w:bottom w:val="nil"/>
              <w:right w:val="nil"/>
            </w:tcBorders>
            <w:shd w:val="clear" w:color="auto" w:fill="auto"/>
            <w:noWrap/>
            <w:vAlign w:val="bottom"/>
            <w:hideMark/>
          </w:tcPr>
          <w:p w14:paraId="569E8FB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1BFD08CC" w14:textId="5A302E1E"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0497</w:t>
            </w:r>
          </w:p>
        </w:tc>
        <w:tc>
          <w:tcPr>
            <w:tcW w:w="258" w:type="pct"/>
            <w:tcBorders>
              <w:top w:val="nil"/>
              <w:left w:val="nil"/>
              <w:bottom w:val="nil"/>
              <w:right w:val="nil"/>
            </w:tcBorders>
            <w:shd w:val="clear" w:color="auto" w:fill="auto"/>
            <w:noWrap/>
            <w:vAlign w:val="bottom"/>
            <w:hideMark/>
          </w:tcPr>
          <w:p w14:paraId="55474A5B"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2AFC7381" w14:textId="36562596"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0353</w:t>
            </w:r>
          </w:p>
        </w:tc>
        <w:tc>
          <w:tcPr>
            <w:tcW w:w="258" w:type="pct"/>
            <w:tcBorders>
              <w:top w:val="nil"/>
              <w:left w:val="nil"/>
              <w:bottom w:val="nil"/>
              <w:right w:val="nil"/>
            </w:tcBorders>
            <w:shd w:val="clear" w:color="auto" w:fill="auto"/>
            <w:noWrap/>
            <w:vAlign w:val="bottom"/>
            <w:hideMark/>
          </w:tcPr>
          <w:p w14:paraId="31E7EBA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29489D65" w14:textId="0F86EBA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0345</w:t>
            </w:r>
          </w:p>
        </w:tc>
        <w:tc>
          <w:tcPr>
            <w:tcW w:w="347" w:type="pct"/>
            <w:tcBorders>
              <w:top w:val="nil"/>
              <w:left w:val="nil"/>
              <w:bottom w:val="nil"/>
              <w:right w:val="nil"/>
            </w:tcBorders>
            <w:shd w:val="clear" w:color="auto" w:fill="auto"/>
            <w:noWrap/>
            <w:vAlign w:val="bottom"/>
            <w:hideMark/>
          </w:tcPr>
          <w:p w14:paraId="61CAEDD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2B8D9BF3" w14:textId="77777777" w:rsidTr="00306401">
        <w:trPr>
          <w:trHeight w:val="170"/>
        </w:trPr>
        <w:tc>
          <w:tcPr>
            <w:tcW w:w="662" w:type="pct"/>
            <w:tcBorders>
              <w:top w:val="nil"/>
              <w:left w:val="nil"/>
              <w:bottom w:val="nil"/>
              <w:right w:val="nil"/>
            </w:tcBorders>
            <w:shd w:val="clear" w:color="auto" w:fill="auto"/>
            <w:noWrap/>
            <w:vAlign w:val="bottom"/>
            <w:hideMark/>
          </w:tcPr>
          <w:p w14:paraId="2ADE9735"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Kuwait</w:t>
            </w:r>
          </w:p>
        </w:tc>
        <w:tc>
          <w:tcPr>
            <w:tcW w:w="407" w:type="pct"/>
            <w:tcBorders>
              <w:top w:val="nil"/>
              <w:left w:val="nil"/>
              <w:bottom w:val="nil"/>
              <w:right w:val="nil"/>
            </w:tcBorders>
            <w:shd w:val="clear" w:color="auto" w:fill="auto"/>
            <w:noWrap/>
            <w:vAlign w:val="bottom"/>
            <w:hideMark/>
          </w:tcPr>
          <w:p w14:paraId="385B972F" w14:textId="365FA91E"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0816</w:t>
            </w:r>
          </w:p>
        </w:tc>
        <w:tc>
          <w:tcPr>
            <w:tcW w:w="258" w:type="pct"/>
            <w:tcBorders>
              <w:top w:val="nil"/>
              <w:left w:val="nil"/>
              <w:bottom w:val="nil"/>
              <w:right w:val="nil"/>
            </w:tcBorders>
            <w:shd w:val="clear" w:color="auto" w:fill="auto"/>
            <w:noWrap/>
            <w:vAlign w:val="bottom"/>
            <w:hideMark/>
          </w:tcPr>
          <w:p w14:paraId="2CC3B221"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6A955D79" w14:textId="6B07F19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0741</w:t>
            </w:r>
          </w:p>
        </w:tc>
        <w:tc>
          <w:tcPr>
            <w:tcW w:w="313" w:type="pct"/>
            <w:tcBorders>
              <w:top w:val="nil"/>
              <w:left w:val="nil"/>
              <w:bottom w:val="nil"/>
              <w:right w:val="nil"/>
            </w:tcBorders>
            <w:shd w:val="clear" w:color="auto" w:fill="auto"/>
            <w:noWrap/>
            <w:vAlign w:val="bottom"/>
            <w:hideMark/>
          </w:tcPr>
          <w:p w14:paraId="7F2FE1B7"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6AF325DC" w14:textId="7EE0419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0654</w:t>
            </w:r>
          </w:p>
        </w:tc>
        <w:tc>
          <w:tcPr>
            <w:tcW w:w="258" w:type="pct"/>
            <w:tcBorders>
              <w:top w:val="nil"/>
              <w:left w:val="nil"/>
              <w:bottom w:val="nil"/>
              <w:right w:val="nil"/>
            </w:tcBorders>
            <w:shd w:val="clear" w:color="auto" w:fill="auto"/>
            <w:noWrap/>
            <w:vAlign w:val="bottom"/>
            <w:hideMark/>
          </w:tcPr>
          <w:p w14:paraId="0D0056D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611061ED" w14:textId="7784C936"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0368</w:t>
            </w:r>
          </w:p>
        </w:tc>
        <w:tc>
          <w:tcPr>
            <w:tcW w:w="258" w:type="pct"/>
            <w:tcBorders>
              <w:top w:val="nil"/>
              <w:left w:val="nil"/>
              <w:bottom w:val="nil"/>
              <w:right w:val="nil"/>
            </w:tcBorders>
            <w:shd w:val="clear" w:color="auto" w:fill="auto"/>
            <w:noWrap/>
            <w:vAlign w:val="bottom"/>
            <w:hideMark/>
          </w:tcPr>
          <w:p w14:paraId="4C89A98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583A41A4" w14:textId="698A7A2C"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0401</w:t>
            </w:r>
          </w:p>
        </w:tc>
        <w:tc>
          <w:tcPr>
            <w:tcW w:w="258" w:type="pct"/>
            <w:tcBorders>
              <w:top w:val="nil"/>
              <w:left w:val="nil"/>
              <w:bottom w:val="nil"/>
              <w:right w:val="nil"/>
            </w:tcBorders>
            <w:shd w:val="clear" w:color="auto" w:fill="auto"/>
            <w:noWrap/>
            <w:vAlign w:val="bottom"/>
            <w:hideMark/>
          </w:tcPr>
          <w:p w14:paraId="4DF50BFD"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4CD9D9D4" w14:textId="774C3F1A"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0123</w:t>
            </w:r>
          </w:p>
        </w:tc>
        <w:tc>
          <w:tcPr>
            <w:tcW w:w="347" w:type="pct"/>
            <w:tcBorders>
              <w:top w:val="nil"/>
              <w:left w:val="nil"/>
              <w:bottom w:val="nil"/>
              <w:right w:val="nil"/>
            </w:tcBorders>
            <w:shd w:val="clear" w:color="auto" w:fill="auto"/>
            <w:noWrap/>
            <w:vAlign w:val="bottom"/>
            <w:hideMark/>
          </w:tcPr>
          <w:p w14:paraId="5C866997"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55187AB9" w14:textId="77777777" w:rsidTr="00306401">
        <w:trPr>
          <w:trHeight w:val="170"/>
        </w:trPr>
        <w:tc>
          <w:tcPr>
            <w:tcW w:w="662" w:type="pct"/>
            <w:tcBorders>
              <w:top w:val="nil"/>
              <w:left w:val="nil"/>
              <w:bottom w:val="nil"/>
              <w:right w:val="nil"/>
            </w:tcBorders>
            <w:shd w:val="clear" w:color="auto" w:fill="auto"/>
            <w:noWrap/>
            <w:vAlign w:val="bottom"/>
            <w:hideMark/>
          </w:tcPr>
          <w:p w14:paraId="72A487CD"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UAE</w:t>
            </w:r>
          </w:p>
        </w:tc>
        <w:tc>
          <w:tcPr>
            <w:tcW w:w="407" w:type="pct"/>
            <w:tcBorders>
              <w:top w:val="nil"/>
              <w:left w:val="nil"/>
              <w:bottom w:val="nil"/>
              <w:right w:val="nil"/>
            </w:tcBorders>
            <w:shd w:val="clear" w:color="auto" w:fill="auto"/>
            <w:noWrap/>
            <w:vAlign w:val="bottom"/>
            <w:hideMark/>
          </w:tcPr>
          <w:p w14:paraId="2CFAAB1A" w14:textId="663D6152"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0991</w:t>
            </w:r>
          </w:p>
        </w:tc>
        <w:tc>
          <w:tcPr>
            <w:tcW w:w="258" w:type="pct"/>
            <w:tcBorders>
              <w:top w:val="nil"/>
              <w:left w:val="nil"/>
              <w:bottom w:val="nil"/>
              <w:right w:val="nil"/>
            </w:tcBorders>
            <w:shd w:val="clear" w:color="auto" w:fill="auto"/>
            <w:noWrap/>
            <w:vAlign w:val="bottom"/>
            <w:hideMark/>
          </w:tcPr>
          <w:p w14:paraId="2782C00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5E0D1C70" w14:textId="249A2E6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0424</w:t>
            </w:r>
          </w:p>
        </w:tc>
        <w:tc>
          <w:tcPr>
            <w:tcW w:w="313" w:type="pct"/>
            <w:tcBorders>
              <w:top w:val="nil"/>
              <w:left w:val="nil"/>
              <w:bottom w:val="nil"/>
              <w:right w:val="nil"/>
            </w:tcBorders>
            <w:shd w:val="clear" w:color="auto" w:fill="auto"/>
            <w:noWrap/>
            <w:vAlign w:val="bottom"/>
            <w:hideMark/>
          </w:tcPr>
          <w:p w14:paraId="3808DD5D"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4721091C" w14:textId="14FBFCA1"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0610</w:t>
            </w:r>
          </w:p>
        </w:tc>
        <w:tc>
          <w:tcPr>
            <w:tcW w:w="258" w:type="pct"/>
            <w:tcBorders>
              <w:top w:val="nil"/>
              <w:left w:val="nil"/>
              <w:bottom w:val="nil"/>
              <w:right w:val="nil"/>
            </w:tcBorders>
            <w:shd w:val="clear" w:color="auto" w:fill="auto"/>
            <w:noWrap/>
            <w:vAlign w:val="bottom"/>
            <w:hideMark/>
          </w:tcPr>
          <w:p w14:paraId="5967463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69FDC462" w14:textId="759E3A5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0298</w:t>
            </w:r>
          </w:p>
        </w:tc>
        <w:tc>
          <w:tcPr>
            <w:tcW w:w="258" w:type="pct"/>
            <w:tcBorders>
              <w:top w:val="nil"/>
              <w:left w:val="nil"/>
              <w:bottom w:val="nil"/>
              <w:right w:val="nil"/>
            </w:tcBorders>
            <w:shd w:val="clear" w:color="auto" w:fill="auto"/>
            <w:noWrap/>
            <w:vAlign w:val="bottom"/>
            <w:hideMark/>
          </w:tcPr>
          <w:p w14:paraId="4763CEF9"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5B080B76" w14:textId="3EB76088"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0432</w:t>
            </w:r>
          </w:p>
        </w:tc>
        <w:tc>
          <w:tcPr>
            <w:tcW w:w="258" w:type="pct"/>
            <w:tcBorders>
              <w:top w:val="nil"/>
              <w:left w:val="nil"/>
              <w:bottom w:val="nil"/>
              <w:right w:val="nil"/>
            </w:tcBorders>
            <w:shd w:val="clear" w:color="auto" w:fill="auto"/>
            <w:noWrap/>
            <w:vAlign w:val="bottom"/>
            <w:hideMark/>
          </w:tcPr>
          <w:p w14:paraId="5EAC8203"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1B048642" w14:textId="26EA18DC"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0053</w:t>
            </w:r>
          </w:p>
        </w:tc>
        <w:tc>
          <w:tcPr>
            <w:tcW w:w="347" w:type="pct"/>
            <w:tcBorders>
              <w:top w:val="nil"/>
              <w:left w:val="nil"/>
              <w:bottom w:val="nil"/>
              <w:right w:val="nil"/>
            </w:tcBorders>
            <w:shd w:val="clear" w:color="auto" w:fill="auto"/>
            <w:noWrap/>
            <w:vAlign w:val="bottom"/>
            <w:hideMark/>
          </w:tcPr>
          <w:p w14:paraId="179F4B4D"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6A68A6AE" w14:textId="77777777" w:rsidTr="00306401">
        <w:trPr>
          <w:trHeight w:val="170"/>
        </w:trPr>
        <w:tc>
          <w:tcPr>
            <w:tcW w:w="5000" w:type="pct"/>
            <w:gridSpan w:val="13"/>
            <w:tcBorders>
              <w:top w:val="single" w:sz="4" w:space="0" w:color="auto"/>
              <w:left w:val="nil"/>
              <w:bottom w:val="single" w:sz="4" w:space="0" w:color="auto"/>
              <w:right w:val="nil"/>
            </w:tcBorders>
            <w:shd w:val="clear" w:color="auto" w:fill="auto"/>
            <w:noWrap/>
            <w:vAlign w:val="bottom"/>
            <w:hideMark/>
          </w:tcPr>
          <w:p w14:paraId="2728FC6D"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bookmarkStart w:id="0" w:name="_Hlk77873576"/>
            <w:r w:rsidRPr="00DB4C32">
              <w:rPr>
                <w:rFonts w:ascii="Times New Roman" w:eastAsia="Times New Roman" w:hAnsi="Times New Roman" w:cs="Times New Roman"/>
                <w:b/>
                <w:bCs/>
                <w:color w:val="000000"/>
              </w:rPr>
              <w:t xml:space="preserve">Stage 3 (May 12 - June 14) </w:t>
            </w:r>
          </w:p>
        </w:tc>
      </w:tr>
      <w:tr w:rsidR="004B3DBE" w:rsidRPr="00DB4C32" w14:paraId="1298B4F4" w14:textId="77777777" w:rsidTr="00306401">
        <w:trPr>
          <w:trHeight w:val="170"/>
        </w:trPr>
        <w:tc>
          <w:tcPr>
            <w:tcW w:w="662" w:type="pct"/>
            <w:tcBorders>
              <w:top w:val="nil"/>
              <w:left w:val="nil"/>
              <w:bottom w:val="nil"/>
              <w:right w:val="nil"/>
            </w:tcBorders>
            <w:shd w:val="clear" w:color="auto" w:fill="auto"/>
            <w:noWrap/>
            <w:vAlign w:val="bottom"/>
            <w:hideMark/>
          </w:tcPr>
          <w:p w14:paraId="59B55218" w14:textId="77777777" w:rsidR="004B3DBE" w:rsidRPr="00DB4C32" w:rsidRDefault="004B3DBE" w:rsidP="00306401">
            <w:pPr>
              <w:spacing w:after="0" w:line="240" w:lineRule="auto"/>
              <w:jc w:val="center"/>
              <w:rPr>
                <w:rFonts w:ascii="Times New Roman" w:eastAsia="Times New Roman" w:hAnsi="Times New Roman" w:cs="Times New Roman"/>
                <w:b/>
                <w:bCs/>
                <w:color w:val="000000"/>
              </w:rPr>
            </w:pPr>
          </w:p>
        </w:tc>
        <w:tc>
          <w:tcPr>
            <w:tcW w:w="407" w:type="pct"/>
            <w:tcBorders>
              <w:top w:val="nil"/>
              <w:left w:val="nil"/>
              <w:bottom w:val="nil"/>
              <w:right w:val="nil"/>
            </w:tcBorders>
            <w:shd w:val="clear" w:color="auto" w:fill="auto"/>
            <w:noWrap/>
            <w:vAlign w:val="bottom"/>
            <w:hideMark/>
          </w:tcPr>
          <w:p w14:paraId="1C1B573C"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5FEE5D94"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57" w:type="pct"/>
            <w:tcBorders>
              <w:top w:val="nil"/>
              <w:left w:val="nil"/>
              <w:bottom w:val="nil"/>
              <w:right w:val="nil"/>
            </w:tcBorders>
            <w:shd w:val="clear" w:color="auto" w:fill="auto"/>
            <w:noWrap/>
            <w:vAlign w:val="bottom"/>
            <w:hideMark/>
          </w:tcPr>
          <w:p w14:paraId="5688ED3A"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13" w:type="pct"/>
            <w:tcBorders>
              <w:top w:val="nil"/>
              <w:left w:val="nil"/>
              <w:bottom w:val="nil"/>
              <w:right w:val="nil"/>
            </w:tcBorders>
            <w:shd w:val="clear" w:color="auto" w:fill="auto"/>
            <w:noWrap/>
            <w:vAlign w:val="bottom"/>
            <w:hideMark/>
          </w:tcPr>
          <w:p w14:paraId="5E01AA94"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00F9C7CF"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09731417"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88" w:type="pct"/>
            <w:tcBorders>
              <w:top w:val="nil"/>
              <w:left w:val="nil"/>
              <w:bottom w:val="nil"/>
              <w:right w:val="nil"/>
            </w:tcBorders>
            <w:shd w:val="clear" w:color="auto" w:fill="auto"/>
            <w:noWrap/>
            <w:vAlign w:val="bottom"/>
            <w:hideMark/>
          </w:tcPr>
          <w:p w14:paraId="1ED65933"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258" w:type="pct"/>
            <w:tcBorders>
              <w:top w:val="nil"/>
              <w:left w:val="nil"/>
              <w:bottom w:val="nil"/>
              <w:right w:val="nil"/>
            </w:tcBorders>
            <w:shd w:val="clear" w:color="auto" w:fill="auto"/>
            <w:noWrap/>
            <w:vAlign w:val="bottom"/>
            <w:hideMark/>
          </w:tcPr>
          <w:p w14:paraId="2028CA44"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57E44E88"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6CA5A5F6"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c>
          <w:tcPr>
            <w:tcW w:w="480" w:type="pct"/>
            <w:tcBorders>
              <w:top w:val="nil"/>
              <w:left w:val="nil"/>
              <w:bottom w:val="nil"/>
              <w:right w:val="nil"/>
            </w:tcBorders>
            <w:shd w:val="clear" w:color="auto" w:fill="auto"/>
            <w:noWrap/>
            <w:vAlign w:val="bottom"/>
            <w:hideMark/>
          </w:tcPr>
          <w:p w14:paraId="29DCBBC4" w14:textId="77777777" w:rsidR="004B3DBE" w:rsidRPr="00DB4C32" w:rsidRDefault="004B3DBE" w:rsidP="00306401">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47" w:type="pct"/>
            <w:tcBorders>
              <w:top w:val="nil"/>
              <w:left w:val="nil"/>
              <w:bottom w:val="nil"/>
              <w:right w:val="nil"/>
            </w:tcBorders>
            <w:shd w:val="clear" w:color="auto" w:fill="auto"/>
            <w:noWrap/>
            <w:vAlign w:val="bottom"/>
            <w:hideMark/>
          </w:tcPr>
          <w:p w14:paraId="141C092D" w14:textId="77777777" w:rsidR="004B3DBE" w:rsidRPr="00DB4C32" w:rsidRDefault="004B3DBE" w:rsidP="00306401">
            <w:pPr>
              <w:spacing w:after="0" w:line="240" w:lineRule="auto"/>
              <w:jc w:val="center"/>
              <w:rPr>
                <w:rFonts w:ascii="Times New Roman" w:eastAsia="Times New Roman" w:hAnsi="Times New Roman" w:cs="Times New Roman"/>
                <w:color w:val="000000"/>
              </w:rPr>
            </w:pPr>
          </w:p>
        </w:tc>
      </w:tr>
      <w:tr w:rsidR="004B3DBE" w:rsidRPr="00DB4C32" w14:paraId="1C9D68C1" w14:textId="77777777" w:rsidTr="00306401">
        <w:trPr>
          <w:trHeight w:val="170"/>
        </w:trPr>
        <w:tc>
          <w:tcPr>
            <w:tcW w:w="662" w:type="pct"/>
            <w:tcBorders>
              <w:top w:val="nil"/>
              <w:left w:val="nil"/>
              <w:bottom w:val="nil"/>
              <w:right w:val="nil"/>
            </w:tcBorders>
            <w:shd w:val="clear" w:color="auto" w:fill="auto"/>
            <w:noWrap/>
            <w:vAlign w:val="bottom"/>
            <w:hideMark/>
          </w:tcPr>
          <w:p w14:paraId="0762B190"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Malaysia</w:t>
            </w:r>
          </w:p>
        </w:tc>
        <w:tc>
          <w:tcPr>
            <w:tcW w:w="407" w:type="pct"/>
            <w:tcBorders>
              <w:top w:val="nil"/>
              <w:left w:val="nil"/>
              <w:bottom w:val="nil"/>
              <w:right w:val="nil"/>
            </w:tcBorders>
            <w:shd w:val="clear" w:color="auto" w:fill="auto"/>
            <w:noWrap/>
            <w:vAlign w:val="bottom"/>
            <w:hideMark/>
          </w:tcPr>
          <w:p w14:paraId="70428846" w14:textId="0E4ED29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0218</w:t>
            </w:r>
          </w:p>
        </w:tc>
        <w:tc>
          <w:tcPr>
            <w:tcW w:w="258" w:type="pct"/>
            <w:tcBorders>
              <w:top w:val="nil"/>
              <w:left w:val="nil"/>
              <w:bottom w:val="nil"/>
              <w:right w:val="nil"/>
            </w:tcBorders>
            <w:shd w:val="clear" w:color="auto" w:fill="auto"/>
            <w:noWrap/>
            <w:vAlign w:val="bottom"/>
            <w:hideMark/>
          </w:tcPr>
          <w:p w14:paraId="4372D0A7"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26BB6DD0" w14:textId="28AB3D55"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0197</w:t>
            </w:r>
          </w:p>
        </w:tc>
        <w:tc>
          <w:tcPr>
            <w:tcW w:w="313" w:type="pct"/>
            <w:tcBorders>
              <w:top w:val="nil"/>
              <w:left w:val="nil"/>
              <w:bottom w:val="nil"/>
              <w:right w:val="nil"/>
            </w:tcBorders>
            <w:shd w:val="clear" w:color="auto" w:fill="auto"/>
            <w:noWrap/>
            <w:vAlign w:val="bottom"/>
            <w:hideMark/>
          </w:tcPr>
          <w:p w14:paraId="7F70818D"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1A26F8E2" w14:textId="19C43A98"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0141</w:t>
            </w:r>
          </w:p>
        </w:tc>
        <w:tc>
          <w:tcPr>
            <w:tcW w:w="258" w:type="pct"/>
            <w:tcBorders>
              <w:top w:val="nil"/>
              <w:left w:val="nil"/>
              <w:bottom w:val="nil"/>
              <w:right w:val="nil"/>
            </w:tcBorders>
            <w:shd w:val="clear" w:color="auto" w:fill="auto"/>
            <w:noWrap/>
            <w:vAlign w:val="bottom"/>
            <w:hideMark/>
          </w:tcPr>
          <w:p w14:paraId="6426B6E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3C440D6B" w14:textId="1C6BEA6E"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0159</w:t>
            </w:r>
          </w:p>
        </w:tc>
        <w:tc>
          <w:tcPr>
            <w:tcW w:w="258" w:type="pct"/>
            <w:tcBorders>
              <w:top w:val="nil"/>
              <w:left w:val="nil"/>
              <w:bottom w:val="nil"/>
              <w:right w:val="nil"/>
            </w:tcBorders>
            <w:shd w:val="clear" w:color="auto" w:fill="auto"/>
            <w:noWrap/>
            <w:vAlign w:val="bottom"/>
            <w:hideMark/>
          </w:tcPr>
          <w:p w14:paraId="19C3969E"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7F75EF94" w14:textId="60A39404"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0507</w:t>
            </w:r>
          </w:p>
        </w:tc>
        <w:tc>
          <w:tcPr>
            <w:tcW w:w="258" w:type="pct"/>
            <w:tcBorders>
              <w:top w:val="nil"/>
              <w:left w:val="nil"/>
              <w:bottom w:val="nil"/>
              <w:right w:val="nil"/>
            </w:tcBorders>
            <w:shd w:val="clear" w:color="auto" w:fill="auto"/>
            <w:noWrap/>
            <w:vAlign w:val="bottom"/>
            <w:hideMark/>
          </w:tcPr>
          <w:p w14:paraId="6A750C3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27622872" w14:textId="00B9F32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0115</w:t>
            </w:r>
          </w:p>
        </w:tc>
        <w:tc>
          <w:tcPr>
            <w:tcW w:w="347" w:type="pct"/>
            <w:tcBorders>
              <w:top w:val="nil"/>
              <w:left w:val="nil"/>
              <w:bottom w:val="nil"/>
              <w:right w:val="nil"/>
            </w:tcBorders>
            <w:shd w:val="clear" w:color="auto" w:fill="auto"/>
            <w:noWrap/>
            <w:vAlign w:val="bottom"/>
            <w:hideMark/>
          </w:tcPr>
          <w:p w14:paraId="7BB6530F"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36050DAA" w14:textId="77777777" w:rsidTr="00306401">
        <w:trPr>
          <w:trHeight w:val="170"/>
        </w:trPr>
        <w:tc>
          <w:tcPr>
            <w:tcW w:w="662" w:type="pct"/>
            <w:tcBorders>
              <w:top w:val="nil"/>
              <w:left w:val="nil"/>
              <w:bottom w:val="nil"/>
              <w:right w:val="nil"/>
            </w:tcBorders>
            <w:shd w:val="clear" w:color="auto" w:fill="auto"/>
            <w:noWrap/>
            <w:vAlign w:val="bottom"/>
            <w:hideMark/>
          </w:tcPr>
          <w:p w14:paraId="5DC862CB"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Pakistan</w:t>
            </w:r>
          </w:p>
        </w:tc>
        <w:tc>
          <w:tcPr>
            <w:tcW w:w="407" w:type="pct"/>
            <w:tcBorders>
              <w:top w:val="nil"/>
              <w:left w:val="nil"/>
              <w:bottom w:val="nil"/>
              <w:right w:val="nil"/>
            </w:tcBorders>
            <w:shd w:val="clear" w:color="auto" w:fill="auto"/>
            <w:noWrap/>
            <w:vAlign w:val="bottom"/>
            <w:hideMark/>
          </w:tcPr>
          <w:p w14:paraId="6B82E5CD" w14:textId="64E8CB7E"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0507</w:t>
            </w:r>
          </w:p>
        </w:tc>
        <w:tc>
          <w:tcPr>
            <w:tcW w:w="258" w:type="pct"/>
            <w:tcBorders>
              <w:top w:val="nil"/>
              <w:left w:val="nil"/>
              <w:bottom w:val="nil"/>
              <w:right w:val="nil"/>
            </w:tcBorders>
            <w:shd w:val="clear" w:color="auto" w:fill="auto"/>
            <w:noWrap/>
            <w:vAlign w:val="bottom"/>
            <w:hideMark/>
          </w:tcPr>
          <w:p w14:paraId="17B6E46F"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5E662CA5" w14:textId="3C4F8576"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0540</w:t>
            </w:r>
          </w:p>
        </w:tc>
        <w:tc>
          <w:tcPr>
            <w:tcW w:w="313" w:type="pct"/>
            <w:tcBorders>
              <w:top w:val="nil"/>
              <w:left w:val="nil"/>
              <w:bottom w:val="nil"/>
              <w:right w:val="nil"/>
            </w:tcBorders>
            <w:shd w:val="clear" w:color="auto" w:fill="auto"/>
            <w:noWrap/>
            <w:vAlign w:val="bottom"/>
            <w:hideMark/>
          </w:tcPr>
          <w:p w14:paraId="10CBAA3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704E6FAC" w14:textId="485A831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0375</w:t>
            </w:r>
          </w:p>
        </w:tc>
        <w:tc>
          <w:tcPr>
            <w:tcW w:w="258" w:type="pct"/>
            <w:tcBorders>
              <w:top w:val="nil"/>
              <w:left w:val="nil"/>
              <w:bottom w:val="nil"/>
              <w:right w:val="nil"/>
            </w:tcBorders>
            <w:shd w:val="clear" w:color="auto" w:fill="auto"/>
            <w:noWrap/>
            <w:vAlign w:val="bottom"/>
            <w:hideMark/>
          </w:tcPr>
          <w:p w14:paraId="0C1F1C50"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208DE23C" w14:textId="12F1096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0370</w:t>
            </w:r>
          </w:p>
        </w:tc>
        <w:tc>
          <w:tcPr>
            <w:tcW w:w="258" w:type="pct"/>
            <w:tcBorders>
              <w:top w:val="nil"/>
              <w:left w:val="nil"/>
              <w:bottom w:val="nil"/>
              <w:right w:val="nil"/>
            </w:tcBorders>
            <w:shd w:val="clear" w:color="auto" w:fill="auto"/>
            <w:noWrap/>
            <w:vAlign w:val="bottom"/>
            <w:hideMark/>
          </w:tcPr>
          <w:p w14:paraId="7E2CE1F9"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1AE606EB" w14:textId="38423924"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0543</w:t>
            </w:r>
          </w:p>
        </w:tc>
        <w:tc>
          <w:tcPr>
            <w:tcW w:w="258" w:type="pct"/>
            <w:tcBorders>
              <w:top w:val="nil"/>
              <w:left w:val="nil"/>
              <w:bottom w:val="nil"/>
              <w:right w:val="nil"/>
            </w:tcBorders>
            <w:shd w:val="clear" w:color="auto" w:fill="auto"/>
            <w:noWrap/>
            <w:vAlign w:val="bottom"/>
            <w:hideMark/>
          </w:tcPr>
          <w:p w14:paraId="05A429C9"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05E3B148" w14:textId="39F37441"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0038</w:t>
            </w:r>
          </w:p>
        </w:tc>
        <w:tc>
          <w:tcPr>
            <w:tcW w:w="347" w:type="pct"/>
            <w:tcBorders>
              <w:top w:val="nil"/>
              <w:left w:val="nil"/>
              <w:bottom w:val="nil"/>
              <w:right w:val="nil"/>
            </w:tcBorders>
            <w:shd w:val="clear" w:color="auto" w:fill="auto"/>
            <w:noWrap/>
            <w:vAlign w:val="bottom"/>
            <w:hideMark/>
          </w:tcPr>
          <w:p w14:paraId="0B14BF8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44F2946F" w14:textId="77777777" w:rsidTr="00306401">
        <w:trPr>
          <w:trHeight w:val="170"/>
        </w:trPr>
        <w:tc>
          <w:tcPr>
            <w:tcW w:w="662" w:type="pct"/>
            <w:tcBorders>
              <w:top w:val="nil"/>
              <w:left w:val="nil"/>
              <w:bottom w:val="nil"/>
              <w:right w:val="nil"/>
            </w:tcBorders>
            <w:shd w:val="clear" w:color="auto" w:fill="auto"/>
            <w:noWrap/>
            <w:vAlign w:val="bottom"/>
            <w:hideMark/>
          </w:tcPr>
          <w:p w14:paraId="7AEA083F"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Saudi Arabia</w:t>
            </w:r>
          </w:p>
        </w:tc>
        <w:tc>
          <w:tcPr>
            <w:tcW w:w="407" w:type="pct"/>
            <w:tcBorders>
              <w:top w:val="nil"/>
              <w:left w:val="nil"/>
              <w:bottom w:val="nil"/>
              <w:right w:val="nil"/>
            </w:tcBorders>
            <w:shd w:val="clear" w:color="auto" w:fill="auto"/>
            <w:noWrap/>
            <w:vAlign w:val="bottom"/>
            <w:hideMark/>
          </w:tcPr>
          <w:p w14:paraId="7F4B62C0" w14:textId="15E8DE6B"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1016</w:t>
            </w:r>
          </w:p>
        </w:tc>
        <w:tc>
          <w:tcPr>
            <w:tcW w:w="258" w:type="pct"/>
            <w:tcBorders>
              <w:top w:val="nil"/>
              <w:left w:val="nil"/>
              <w:bottom w:val="nil"/>
              <w:right w:val="nil"/>
            </w:tcBorders>
            <w:shd w:val="clear" w:color="auto" w:fill="auto"/>
            <w:noWrap/>
            <w:vAlign w:val="bottom"/>
            <w:hideMark/>
          </w:tcPr>
          <w:p w14:paraId="0A186859"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6567D6E7" w14:textId="7C1D2BC2"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0212</w:t>
            </w:r>
          </w:p>
        </w:tc>
        <w:tc>
          <w:tcPr>
            <w:tcW w:w="313" w:type="pct"/>
            <w:tcBorders>
              <w:top w:val="nil"/>
              <w:left w:val="nil"/>
              <w:bottom w:val="nil"/>
              <w:right w:val="nil"/>
            </w:tcBorders>
            <w:shd w:val="clear" w:color="auto" w:fill="auto"/>
            <w:noWrap/>
            <w:vAlign w:val="bottom"/>
            <w:hideMark/>
          </w:tcPr>
          <w:p w14:paraId="5BAC3B13"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79633BF7" w14:textId="45F2924A"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0975</w:t>
            </w:r>
          </w:p>
        </w:tc>
        <w:tc>
          <w:tcPr>
            <w:tcW w:w="258" w:type="pct"/>
            <w:tcBorders>
              <w:top w:val="nil"/>
              <w:left w:val="nil"/>
              <w:bottom w:val="nil"/>
              <w:right w:val="nil"/>
            </w:tcBorders>
            <w:shd w:val="clear" w:color="auto" w:fill="auto"/>
            <w:noWrap/>
            <w:vAlign w:val="bottom"/>
            <w:hideMark/>
          </w:tcPr>
          <w:p w14:paraId="6F005A6E"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7B9A16C8" w14:textId="6FDEBB32"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0142</w:t>
            </w:r>
          </w:p>
        </w:tc>
        <w:tc>
          <w:tcPr>
            <w:tcW w:w="258" w:type="pct"/>
            <w:tcBorders>
              <w:top w:val="nil"/>
              <w:left w:val="nil"/>
              <w:bottom w:val="nil"/>
              <w:right w:val="nil"/>
            </w:tcBorders>
            <w:shd w:val="clear" w:color="auto" w:fill="auto"/>
            <w:noWrap/>
            <w:vAlign w:val="bottom"/>
            <w:hideMark/>
          </w:tcPr>
          <w:p w14:paraId="6168FB5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137F9FEA" w14:textId="44D7BC0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0473</w:t>
            </w:r>
          </w:p>
        </w:tc>
        <w:tc>
          <w:tcPr>
            <w:tcW w:w="258" w:type="pct"/>
            <w:tcBorders>
              <w:top w:val="nil"/>
              <w:left w:val="nil"/>
              <w:bottom w:val="nil"/>
              <w:right w:val="nil"/>
            </w:tcBorders>
            <w:shd w:val="clear" w:color="auto" w:fill="auto"/>
            <w:noWrap/>
            <w:vAlign w:val="bottom"/>
            <w:hideMark/>
          </w:tcPr>
          <w:p w14:paraId="22267CE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399323F4" w14:textId="6D1A27D6"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0024</w:t>
            </w:r>
          </w:p>
        </w:tc>
        <w:tc>
          <w:tcPr>
            <w:tcW w:w="347" w:type="pct"/>
            <w:tcBorders>
              <w:top w:val="nil"/>
              <w:left w:val="nil"/>
              <w:bottom w:val="nil"/>
              <w:right w:val="nil"/>
            </w:tcBorders>
            <w:shd w:val="clear" w:color="auto" w:fill="auto"/>
            <w:noWrap/>
            <w:vAlign w:val="bottom"/>
            <w:hideMark/>
          </w:tcPr>
          <w:p w14:paraId="5CD726A6"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3A4F34FE" w14:textId="77777777" w:rsidTr="00306401">
        <w:trPr>
          <w:trHeight w:val="170"/>
        </w:trPr>
        <w:tc>
          <w:tcPr>
            <w:tcW w:w="662" w:type="pct"/>
            <w:tcBorders>
              <w:top w:val="nil"/>
              <w:left w:val="nil"/>
              <w:bottom w:val="nil"/>
              <w:right w:val="nil"/>
            </w:tcBorders>
            <w:shd w:val="clear" w:color="auto" w:fill="auto"/>
            <w:noWrap/>
            <w:vAlign w:val="bottom"/>
            <w:hideMark/>
          </w:tcPr>
          <w:p w14:paraId="29352FE8"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Qatar</w:t>
            </w:r>
          </w:p>
        </w:tc>
        <w:tc>
          <w:tcPr>
            <w:tcW w:w="407" w:type="pct"/>
            <w:tcBorders>
              <w:top w:val="nil"/>
              <w:left w:val="nil"/>
              <w:bottom w:val="nil"/>
              <w:right w:val="nil"/>
            </w:tcBorders>
            <w:shd w:val="clear" w:color="auto" w:fill="auto"/>
            <w:noWrap/>
            <w:vAlign w:val="bottom"/>
            <w:hideMark/>
          </w:tcPr>
          <w:p w14:paraId="787B98FE" w14:textId="3B7B4C52"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0994</w:t>
            </w:r>
          </w:p>
        </w:tc>
        <w:tc>
          <w:tcPr>
            <w:tcW w:w="258" w:type="pct"/>
            <w:tcBorders>
              <w:top w:val="nil"/>
              <w:left w:val="nil"/>
              <w:bottom w:val="nil"/>
              <w:right w:val="nil"/>
            </w:tcBorders>
            <w:shd w:val="clear" w:color="auto" w:fill="auto"/>
            <w:noWrap/>
            <w:vAlign w:val="bottom"/>
            <w:hideMark/>
          </w:tcPr>
          <w:p w14:paraId="38A92D9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4D46506B" w14:textId="1CD67B80"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0085</w:t>
            </w:r>
          </w:p>
        </w:tc>
        <w:tc>
          <w:tcPr>
            <w:tcW w:w="313" w:type="pct"/>
            <w:tcBorders>
              <w:top w:val="nil"/>
              <w:left w:val="nil"/>
              <w:bottom w:val="nil"/>
              <w:right w:val="nil"/>
            </w:tcBorders>
            <w:shd w:val="clear" w:color="auto" w:fill="auto"/>
            <w:noWrap/>
            <w:vAlign w:val="bottom"/>
            <w:hideMark/>
          </w:tcPr>
          <w:p w14:paraId="1D8807EB"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06A47D32" w14:textId="74D567CE"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0791</w:t>
            </w:r>
          </w:p>
        </w:tc>
        <w:tc>
          <w:tcPr>
            <w:tcW w:w="258" w:type="pct"/>
            <w:tcBorders>
              <w:top w:val="nil"/>
              <w:left w:val="nil"/>
              <w:bottom w:val="nil"/>
              <w:right w:val="nil"/>
            </w:tcBorders>
            <w:shd w:val="clear" w:color="auto" w:fill="auto"/>
            <w:noWrap/>
            <w:vAlign w:val="bottom"/>
            <w:hideMark/>
          </w:tcPr>
          <w:p w14:paraId="6F638AD4"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58D1D289" w14:textId="1F74AA96"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0063</w:t>
            </w:r>
          </w:p>
        </w:tc>
        <w:tc>
          <w:tcPr>
            <w:tcW w:w="258" w:type="pct"/>
            <w:tcBorders>
              <w:top w:val="nil"/>
              <w:left w:val="nil"/>
              <w:bottom w:val="nil"/>
              <w:right w:val="nil"/>
            </w:tcBorders>
            <w:shd w:val="clear" w:color="auto" w:fill="auto"/>
            <w:noWrap/>
            <w:vAlign w:val="bottom"/>
            <w:hideMark/>
          </w:tcPr>
          <w:p w14:paraId="0486C4C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413825E4" w14:textId="5EBC357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0380</w:t>
            </w:r>
          </w:p>
        </w:tc>
        <w:tc>
          <w:tcPr>
            <w:tcW w:w="258" w:type="pct"/>
            <w:tcBorders>
              <w:top w:val="nil"/>
              <w:left w:val="nil"/>
              <w:bottom w:val="nil"/>
              <w:right w:val="nil"/>
            </w:tcBorders>
            <w:shd w:val="clear" w:color="auto" w:fill="auto"/>
            <w:noWrap/>
            <w:vAlign w:val="bottom"/>
            <w:hideMark/>
          </w:tcPr>
          <w:p w14:paraId="221271A0"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389DB9C7" w14:textId="70E27544"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0070</w:t>
            </w:r>
          </w:p>
        </w:tc>
        <w:tc>
          <w:tcPr>
            <w:tcW w:w="347" w:type="pct"/>
            <w:tcBorders>
              <w:top w:val="nil"/>
              <w:left w:val="nil"/>
              <w:bottom w:val="nil"/>
              <w:right w:val="nil"/>
            </w:tcBorders>
            <w:shd w:val="clear" w:color="auto" w:fill="auto"/>
            <w:noWrap/>
            <w:vAlign w:val="bottom"/>
            <w:hideMark/>
          </w:tcPr>
          <w:p w14:paraId="15ECD90B"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4E078C43" w14:textId="77777777" w:rsidTr="00306401">
        <w:trPr>
          <w:trHeight w:val="170"/>
        </w:trPr>
        <w:tc>
          <w:tcPr>
            <w:tcW w:w="662" w:type="pct"/>
            <w:tcBorders>
              <w:top w:val="nil"/>
              <w:left w:val="nil"/>
              <w:bottom w:val="nil"/>
              <w:right w:val="nil"/>
            </w:tcBorders>
            <w:shd w:val="clear" w:color="auto" w:fill="auto"/>
            <w:noWrap/>
            <w:vAlign w:val="bottom"/>
            <w:hideMark/>
          </w:tcPr>
          <w:p w14:paraId="0BB0BE62"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Kuwait</w:t>
            </w:r>
          </w:p>
        </w:tc>
        <w:tc>
          <w:tcPr>
            <w:tcW w:w="407" w:type="pct"/>
            <w:tcBorders>
              <w:top w:val="nil"/>
              <w:left w:val="nil"/>
              <w:bottom w:val="nil"/>
              <w:right w:val="nil"/>
            </w:tcBorders>
            <w:shd w:val="clear" w:color="auto" w:fill="auto"/>
            <w:noWrap/>
            <w:vAlign w:val="bottom"/>
            <w:hideMark/>
          </w:tcPr>
          <w:p w14:paraId="16845B5E" w14:textId="00BCE51A"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0932</w:t>
            </w:r>
          </w:p>
        </w:tc>
        <w:tc>
          <w:tcPr>
            <w:tcW w:w="258" w:type="pct"/>
            <w:tcBorders>
              <w:top w:val="nil"/>
              <w:left w:val="nil"/>
              <w:bottom w:val="nil"/>
              <w:right w:val="nil"/>
            </w:tcBorders>
            <w:shd w:val="clear" w:color="auto" w:fill="auto"/>
            <w:noWrap/>
            <w:vAlign w:val="bottom"/>
            <w:hideMark/>
          </w:tcPr>
          <w:p w14:paraId="6EB1ED9A"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3AF51F96" w14:textId="4A845BC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0694</w:t>
            </w:r>
          </w:p>
        </w:tc>
        <w:tc>
          <w:tcPr>
            <w:tcW w:w="313" w:type="pct"/>
            <w:tcBorders>
              <w:top w:val="nil"/>
              <w:left w:val="nil"/>
              <w:bottom w:val="nil"/>
              <w:right w:val="nil"/>
            </w:tcBorders>
            <w:shd w:val="clear" w:color="auto" w:fill="auto"/>
            <w:noWrap/>
            <w:vAlign w:val="bottom"/>
            <w:hideMark/>
          </w:tcPr>
          <w:p w14:paraId="68C9940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1840EF3E" w14:textId="6F907DDD"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0603</w:t>
            </w:r>
          </w:p>
        </w:tc>
        <w:tc>
          <w:tcPr>
            <w:tcW w:w="258" w:type="pct"/>
            <w:tcBorders>
              <w:top w:val="nil"/>
              <w:left w:val="nil"/>
              <w:bottom w:val="nil"/>
              <w:right w:val="nil"/>
            </w:tcBorders>
            <w:shd w:val="clear" w:color="auto" w:fill="auto"/>
            <w:noWrap/>
            <w:vAlign w:val="bottom"/>
            <w:hideMark/>
          </w:tcPr>
          <w:p w14:paraId="0E26EC6D"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0648CF58" w14:textId="57C83DEB"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0382</w:t>
            </w:r>
          </w:p>
        </w:tc>
        <w:tc>
          <w:tcPr>
            <w:tcW w:w="258" w:type="pct"/>
            <w:tcBorders>
              <w:top w:val="nil"/>
              <w:left w:val="nil"/>
              <w:bottom w:val="nil"/>
              <w:right w:val="nil"/>
            </w:tcBorders>
            <w:shd w:val="clear" w:color="auto" w:fill="auto"/>
            <w:noWrap/>
            <w:vAlign w:val="bottom"/>
            <w:hideMark/>
          </w:tcPr>
          <w:p w14:paraId="324709DC"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6A51FACF" w14:textId="656877B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0426</w:t>
            </w:r>
          </w:p>
        </w:tc>
        <w:tc>
          <w:tcPr>
            <w:tcW w:w="258" w:type="pct"/>
            <w:tcBorders>
              <w:top w:val="nil"/>
              <w:left w:val="nil"/>
              <w:bottom w:val="nil"/>
              <w:right w:val="nil"/>
            </w:tcBorders>
            <w:shd w:val="clear" w:color="auto" w:fill="auto"/>
            <w:noWrap/>
            <w:vAlign w:val="bottom"/>
            <w:hideMark/>
          </w:tcPr>
          <w:p w14:paraId="660FD8C0"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08FB19C4" w14:textId="0910B66B"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0044</w:t>
            </w:r>
          </w:p>
        </w:tc>
        <w:tc>
          <w:tcPr>
            <w:tcW w:w="347" w:type="pct"/>
            <w:tcBorders>
              <w:top w:val="nil"/>
              <w:left w:val="nil"/>
              <w:bottom w:val="nil"/>
              <w:right w:val="nil"/>
            </w:tcBorders>
            <w:shd w:val="clear" w:color="auto" w:fill="auto"/>
            <w:noWrap/>
            <w:vAlign w:val="bottom"/>
            <w:hideMark/>
          </w:tcPr>
          <w:p w14:paraId="241829C7"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4B3DBE" w:rsidRPr="00DB4C32" w14:paraId="04828BF2" w14:textId="77777777" w:rsidTr="000602D0">
        <w:trPr>
          <w:trHeight w:val="170"/>
        </w:trPr>
        <w:tc>
          <w:tcPr>
            <w:tcW w:w="662" w:type="pct"/>
            <w:tcBorders>
              <w:top w:val="nil"/>
              <w:left w:val="nil"/>
              <w:bottom w:val="nil"/>
              <w:right w:val="nil"/>
            </w:tcBorders>
            <w:shd w:val="clear" w:color="auto" w:fill="auto"/>
            <w:noWrap/>
            <w:vAlign w:val="bottom"/>
            <w:hideMark/>
          </w:tcPr>
          <w:p w14:paraId="129CBF6F" w14:textId="77777777" w:rsidR="004B3DBE" w:rsidRPr="00DB4C32" w:rsidRDefault="004B3DBE" w:rsidP="00306401">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UAE</w:t>
            </w:r>
          </w:p>
        </w:tc>
        <w:tc>
          <w:tcPr>
            <w:tcW w:w="407" w:type="pct"/>
            <w:tcBorders>
              <w:top w:val="nil"/>
              <w:left w:val="nil"/>
              <w:bottom w:val="nil"/>
              <w:right w:val="nil"/>
            </w:tcBorders>
            <w:shd w:val="clear" w:color="auto" w:fill="auto"/>
            <w:noWrap/>
            <w:vAlign w:val="bottom"/>
            <w:hideMark/>
          </w:tcPr>
          <w:p w14:paraId="2268B7AE" w14:textId="792E4023"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1493</w:t>
            </w:r>
          </w:p>
        </w:tc>
        <w:tc>
          <w:tcPr>
            <w:tcW w:w="258" w:type="pct"/>
            <w:tcBorders>
              <w:top w:val="nil"/>
              <w:left w:val="nil"/>
              <w:bottom w:val="nil"/>
              <w:right w:val="nil"/>
            </w:tcBorders>
            <w:shd w:val="clear" w:color="auto" w:fill="auto"/>
            <w:noWrap/>
            <w:vAlign w:val="bottom"/>
            <w:hideMark/>
          </w:tcPr>
          <w:p w14:paraId="265B4416"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57" w:type="pct"/>
            <w:tcBorders>
              <w:top w:val="nil"/>
              <w:left w:val="nil"/>
              <w:bottom w:val="nil"/>
              <w:right w:val="nil"/>
            </w:tcBorders>
            <w:shd w:val="clear" w:color="auto" w:fill="auto"/>
            <w:noWrap/>
            <w:vAlign w:val="bottom"/>
            <w:hideMark/>
          </w:tcPr>
          <w:p w14:paraId="164FCA79" w14:textId="2DBAAFF8"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0428</w:t>
            </w:r>
          </w:p>
        </w:tc>
        <w:tc>
          <w:tcPr>
            <w:tcW w:w="313" w:type="pct"/>
            <w:tcBorders>
              <w:top w:val="nil"/>
              <w:left w:val="nil"/>
              <w:bottom w:val="nil"/>
              <w:right w:val="nil"/>
            </w:tcBorders>
            <w:shd w:val="clear" w:color="auto" w:fill="auto"/>
            <w:noWrap/>
            <w:vAlign w:val="bottom"/>
            <w:hideMark/>
          </w:tcPr>
          <w:p w14:paraId="0E174C91"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2EE10A87" w14:textId="31750473"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1088</w:t>
            </w:r>
          </w:p>
        </w:tc>
        <w:tc>
          <w:tcPr>
            <w:tcW w:w="258" w:type="pct"/>
            <w:tcBorders>
              <w:top w:val="nil"/>
              <w:left w:val="nil"/>
              <w:bottom w:val="nil"/>
              <w:right w:val="nil"/>
            </w:tcBorders>
            <w:shd w:val="clear" w:color="auto" w:fill="auto"/>
            <w:noWrap/>
            <w:vAlign w:val="bottom"/>
            <w:hideMark/>
          </w:tcPr>
          <w:p w14:paraId="0A5DAB32"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8" w:type="pct"/>
            <w:tcBorders>
              <w:top w:val="nil"/>
              <w:left w:val="nil"/>
              <w:bottom w:val="nil"/>
              <w:right w:val="nil"/>
            </w:tcBorders>
            <w:shd w:val="clear" w:color="auto" w:fill="auto"/>
            <w:noWrap/>
            <w:vAlign w:val="bottom"/>
            <w:hideMark/>
          </w:tcPr>
          <w:p w14:paraId="467D61F3" w14:textId="2029CDE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0325</w:t>
            </w:r>
          </w:p>
        </w:tc>
        <w:tc>
          <w:tcPr>
            <w:tcW w:w="258" w:type="pct"/>
            <w:tcBorders>
              <w:top w:val="nil"/>
              <w:left w:val="nil"/>
              <w:bottom w:val="nil"/>
              <w:right w:val="nil"/>
            </w:tcBorders>
            <w:shd w:val="clear" w:color="auto" w:fill="auto"/>
            <w:noWrap/>
            <w:vAlign w:val="bottom"/>
            <w:hideMark/>
          </w:tcPr>
          <w:p w14:paraId="53237760"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07" w:type="pct"/>
            <w:tcBorders>
              <w:top w:val="nil"/>
              <w:left w:val="nil"/>
              <w:bottom w:val="nil"/>
              <w:right w:val="nil"/>
            </w:tcBorders>
            <w:shd w:val="clear" w:color="auto" w:fill="auto"/>
            <w:noWrap/>
            <w:vAlign w:val="bottom"/>
            <w:hideMark/>
          </w:tcPr>
          <w:p w14:paraId="12A77E63" w14:textId="12634C05"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0461</w:t>
            </w:r>
          </w:p>
        </w:tc>
        <w:tc>
          <w:tcPr>
            <w:tcW w:w="258" w:type="pct"/>
            <w:tcBorders>
              <w:top w:val="nil"/>
              <w:left w:val="nil"/>
              <w:bottom w:val="nil"/>
              <w:right w:val="nil"/>
            </w:tcBorders>
            <w:shd w:val="clear" w:color="auto" w:fill="auto"/>
            <w:noWrap/>
            <w:vAlign w:val="bottom"/>
            <w:hideMark/>
          </w:tcPr>
          <w:p w14:paraId="3EA84DA5"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480" w:type="pct"/>
            <w:tcBorders>
              <w:top w:val="nil"/>
              <w:left w:val="nil"/>
              <w:bottom w:val="nil"/>
              <w:right w:val="nil"/>
            </w:tcBorders>
            <w:shd w:val="clear" w:color="auto" w:fill="auto"/>
            <w:noWrap/>
            <w:vAlign w:val="bottom"/>
            <w:hideMark/>
          </w:tcPr>
          <w:p w14:paraId="59B776D3" w14:textId="6369E789"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0014</w:t>
            </w:r>
          </w:p>
        </w:tc>
        <w:tc>
          <w:tcPr>
            <w:tcW w:w="347" w:type="pct"/>
            <w:tcBorders>
              <w:top w:val="nil"/>
              <w:left w:val="nil"/>
              <w:bottom w:val="nil"/>
              <w:right w:val="nil"/>
            </w:tcBorders>
            <w:shd w:val="clear" w:color="auto" w:fill="auto"/>
            <w:noWrap/>
            <w:vAlign w:val="bottom"/>
            <w:hideMark/>
          </w:tcPr>
          <w:p w14:paraId="6E566C38" w14:textId="77777777" w:rsidR="004B3DBE" w:rsidRPr="00306401" w:rsidRDefault="004B3DBE"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0602D0" w:rsidRPr="00DB4C32" w14:paraId="5921AA08" w14:textId="77777777" w:rsidTr="00306401">
        <w:trPr>
          <w:trHeight w:val="170"/>
        </w:trPr>
        <w:tc>
          <w:tcPr>
            <w:tcW w:w="662" w:type="pct"/>
            <w:tcBorders>
              <w:top w:val="nil"/>
              <w:left w:val="nil"/>
              <w:bottom w:val="single" w:sz="4" w:space="0" w:color="auto"/>
              <w:right w:val="nil"/>
            </w:tcBorders>
            <w:shd w:val="clear" w:color="auto" w:fill="auto"/>
            <w:noWrap/>
            <w:vAlign w:val="bottom"/>
          </w:tcPr>
          <w:p w14:paraId="49A67D4E" w14:textId="77777777" w:rsidR="000602D0" w:rsidRPr="00DB4C32" w:rsidRDefault="000602D0" w:rsidP="00306401">
            <w:pPr>
              <w:spacing w:after="0" w:line="240" w:lineRule="auto"/>
              <w:rPr>
                <w:rFonts w:ascii="Times New Roman" w:eastAsia="Times New Roman" w:hAnsi="Times New Roman" w:cs="Times New Roman"/>
                <w:color w:val="000000"/>
              </w:rPr>
            </w:pPr>
          </w:p>
        </w:tc>
        <w:tc>
          <w:tcPr>
            <w:tcW w:w="407" w:type="pct"/>
            <w:tcBorders>
              <w:top w:val="nil"/>
              <w:left w:val="nil"/>
              <w:bottom w:val="single" w:sz="4" w:space="0" w:color="auto"/>
              <w:right w:val="nil"/>
            </w:tcBorders>
            <w:shd w:val="clear" w:color="auto" w:fill="auto"/>
            <w:noWrap/>
            <w:vAlign w:val="bottom"/>
          </w:tcPr>
          <w:p w14:paraId="1322065C"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1B5AB5EA"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457" w:type="pct"/>
            <w:tcBorders>
              <w:top w:val="nil"/>
              <w:left w:val="nil"/>
              <w:bottom w:val="single" w:sz="4" w:space="0" w:color="auto"/>
              <w:right w:val="nil"/>
            </w:tcBorders>
            <w:shd w:val="clear" w:color="auto" w:fill="auto"/>
            <w:noWrap/>
            <w:vAlign w:val="bottom"/>
          </w:tcPr>
          <w:p w14:paraId="02019838"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313" w:type="pct"/>
            <w:tcBorders>
              <w:top w:val="nil"/>
              <w:left w:val="nil"/>
              <w:bottom w:val="single" w:sz="4" w:space="0" w:color="auto"/>
              <w:right w:val="nil"/>
            </w:tcBorders>
            <w:shd w:val="clear" w:color="auto" w:fill="auto"/>
            <w:noWrap/>
            <w:vAlign w:val="bottom"/>
          </w:tcPr>
          <w:p w14:paraId="12395764"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407" w:type="pct"/>
            <w:tcBorders>
              <w:top w:val="nil"/>
              <w:left w:val="nil"/>
              <w:bottom w:val="single" w:sz="4" w:space="0" w:color="auto"/>
              <w:right w:val="nil"/>
            </w:tcBorders>
            <w:shd w:val="clear" w:color="auto" w:fill="auto"/>
            <w:noWrap/>
            <w:vAlign w:val="bottom"/>
          </w:tcPr>
          <w:p w14:paraId="3CDA4FE7"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1E3820B8"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488" w:type="pct"/>
            <w:tcBorders>
              <w:top w:val="nil"/>
              <w:left w:val="nil"/>
              <w:bottom w:val="single" w:sz="4" w:space="0" w:color="auto"/>
              <w:right w:val="nil"/>
            </w:tcBorders>
            <w:shd w:val="clear" w:color="auto" w:fill="auto"/>
            <w:noWrap/>
            <w:vAlign w:val="bottom"/>
          </w:tcPr>
          <w:p w14:paraId="6A4BF77A"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7F61EBD7"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407" w:type="pct"/>
            <w:tcBorders>
              <w:top w:val="nil"/>
              <w:left w:val="nil"/>
              <w:bottom w:val="single" w:sz="4" w:space="0" w:color="auto"/>
              <w:right w:val="nil"/>
            </w:tcBorders>
            <w:shd w:val="clear" w:color="auto" w:fill="auto"/>
            <w:noWrap/>
            <w:vAlign w:val="bottom"/>
          </w:tcPr>
          <w:p w14:paraId="6AA1A637"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567289C9"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480" w:type="pct"/>
            <w:tcBorders>
              <w:top w:val="nil"/>
              <w:left w:val="nil"/>
              <w:bottom w:val="single" w:sz="4" w:space="0" w:color="auto"/>
              <w:right w:val="nil"/>
            </w:tcBorders>
            <w:shd w:val="clear" w:color="auto" w:fill="auto"/>
            <w:noWrap/>
            <w:vAlign w:val="bottom"/>
          </w:tcPr>
          <w:p w14:paraId="031CBCE3"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c>
          <w:tcPr>
            <w:tcW w:w="347" w:type="pct"/>
            <w:tcBorders>
              <w:top w:val="nil"/>
              <w:left w:val="nil"/>
              <w:bottom w:val="single" w:sz="4" w:space="0" w:color="auto"/>
              <w:right w:val="nil"/>
            </w:tcBorders>
            <w:shd w:val="clear" w:color="auto" w:fill="auto"/>
            <w:noWrap/>
            <w:vAlign w:val="bottom"/>
          </w:tcPr>
          <w:p w14:paraId="00871447" w14:textId="77777777" w:rsidR="000602D0" w:rsidRPr="00306401" w:rsidRDefault="000602D0" w:rsidP="00306401">
            <w:pPr>
              <w:spacing w:after="0" w:line="240" w:lineRule="auto"/>
              <w:jc w:val="center"/>
              <w:rPr>
                <w:rFonts w:ascii="Times New Roman" w:eastAsia="Times New Roman" w:hAnsi="Times New Roman" w:cs="Times New Roman"/>
                <w:color w:val="000000"/>
                <w:sz w:val="20"/>
                <w:szCs w:val="20"/>
              </w:rPr>
            </w:pPr>
          </w:p>
        </w:tc>
      </w:tr>
      <w:bookmarkEnd w:id="0"/>
      <w:tr w:rsidR="000602D0" w:rsidRPr="00DB4C32" w14:paraId="454334FC" w14:textId="77777777" w:rsidTr="000602D0">
        <w:trPr>
          <w:trHeight w:val="170"/>
        </w:trPr>
        <w:tc>
          <w:tcPr>
            <w:tcW w:w="5000" w:type="pct"/>
            <w:gridSpan w:val="13"/>
            <w:tcBorders>
              <w:top w:val="single" w:sz="4" w:space="0" w:color="auto"/>
              <w:left w:val="nil"/>
              <w:bottom w:val="single" w:sz="4" w:space="0" w:color="auto"/>
              <w:right w:val="nil"/>
            </w:tcBorders>
            <w:shd w:val="clear" w:color="auto" w:fill="auto"/>
            <w:noWrap/>
            <w:vAlign w:val="bottom"/>
            <w:hideMark/>
          </w:tcPr>
          <w:p w14:paraId="5ADF5816" w14:textId="6E5CF8F0" w:rsidR="000602D0" w:rsidRPr="00DB4C32" w:rsidRDefault="00316A5C" w:rsidP="000602D0">
            <w:pPr>
              <w:spacing w:after="0" w:line="240" w:lineRule="auto"/>
              <w:jc w:val="center"/>
              <w:rPr>
                <w:rFonts w:ascii="Times New Roman" w:eastAsia="Times New Roman" w:hAnsi="Times New Roman" w:cs="Times New Roman"/>
                <w:b/>
                <w:bCs/>
                <w:color w:val="000000"/>
              </w:rPr>
            </w:pPr>
            <w:r w:rsidRPr="00316A5C">
              <w:rPr>
                <w:rFonts w:ascii="Times New Roman" w:eastAsia="Times New Roman" w:hAnsi="Times New Roman" w:cs="Times New Roman"/>
                <w:b/>
                <w:bCs/>
                <w:color w:val="000000"/>
                <w:highlight w:val="yellow"/>
                <w:lang w:eastAsia="en-GB"/>
              </w:rPr>
              <w:t>Stage 4 (June 15 - September 1)</w:t>
            </w:r>
          </w:p>
        </w:tc>
      </w:tr>
      <w:tr w:rsidR="000602D0" w:rsidRPr="00DB4C32" w14:paraId="05D0AB43" w14:textId="77777777" w:rsidTr="000602D0">
        <w:trPr>
          <w:trHeight w:val="170"/>
        </w:trPr>
        <w:tc>
          <w:tcPr>
            <w:tcW w:w="662" w:type="pct"/>
            <w:tcBorders>
              <w:top w:val="nil"/>
              <w:left w:val="nil"/>
              <w:bottom w:val="nil"/>
              <w:right w:val="nil"/>
            </w:tcBorders>
            <w:shd w:val="clear" w:color="auto" w:fill="auto"/>
            <w:noWrap/>
            <w:vAlign w:val="bottom"/>
            <w:hideMark/>
          </w:tcPr>
          <w:p w14:paraId="3E547E17" w14:textId="77777777" w:rsidR="000602D0" w:rsidRPr="00DB4C32" w:rsidRDefault="000602D0" w:rsidP="000602D0">
            <w:pPr>
              <w:spacing w:after="0" w:line="240" w:lineRule="auto"/>
              <w:jc w:val="center"/>
              <w:rPr>
                <w:rFonts w:ascii="Times New Roman" w:eastAsia="Times New Roman" w:hAnsi="Times New Roman" w:cs="Times New Roman"/>
                <w:b/>
                <w:bCs/>
                <w:color w:val="000000"/>
              </w:rPr>
            </w:pPr>
          </w:p>
        </w:tc>
        <w:tc>
          <w:tcPr>
            <w:tcW w:w="407" w:type="pct"/>
            <w:tcBorders>
              <w:top w:val="nil"/>
              <w:left w:val="nil"/>
              <w:bottom w:val="nil"/>
              <w:right w:val="nil"/>
            </w:tcBorders>
            <w:shd w:val="clear" w:color="auto" w:fill="auto"/>
            <w:noWrap/>
            <w:vAlign w:val="bottom"/>
            <w:hideMark/>
          </w:tcPr>
          <w:p w14:paraId="4A760A54"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2D77076B"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57" w:type="pct"/>
            <w:tcBorders>
              <w:top w:val="nil"/>
              <w:left w:val="nil"/>
              <w:bottom w:val="nil"/>
              <w:right w:val="nil"/>
            </w:tcBorders>
            <w:shd w:val="clear" w:color="auto" w:fill="auto"/>
            <w:noWrap/>
            <w:vAlign w:val="bottom"/>
            <w:hideMark/>
          </w:tcPr>
          <w:p w14:paraId="4A64519D"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13" w:type="pct"/>
            <w:tcBorders>
              <w:top w:val="nil"/>
              <w:left w:val="nil"/>
              <w:bottom w:val="nil"/>
              <w:right w:val="nil"/>
            </w:tcBorders>
            <w:shd w:val="clear" w:color="auto" w:fill="auto"/>
            <w:noWrap/>
            <w:vAlign w:val="bottom"/>
            <w:hideMark/>
          </w:tcPr>
          <w:p w14:paraId="059BC14A"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4352F1C6"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6012141E"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88" w:type="pct"/>
            <w:tcBorders>
              <w:top w:val="nil"/>
              <w:left w:val="nil"/>
              <w:bottom w:val="nil"/>
              <w:right w:val="nil"/>
            </w:tcBorders>
            <w:shd w:val="clear" w:color="auto" w:fill="auto"/>
            <w:noWrap/>
            <w:vAlign w:val="bottom"/>
            <w:hideMark/>
          </w:tcPr>
          <w:p w14:paraId="309A9EE9"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258" w:type="pct"/>
            <w:tcBorders>
              <w:top w:val="nil"/>
              <w:left w:val="nil"/>
              <w:bottom w:val="nil"/>
              <w:right w:val="nil"/>
            </w:tcBorders>
            <w:shd w:val="clear" w:color="auto" w:fill="auto"/>
            <w:noWrap/>
            <w:vAlign w:val="bottom"/>
            <w:hideMark/>
          </w:tcPr>
          <w:p w14:paraId="36CF2C95"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44EE2519"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7F12092B"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80" w:type="pct"/>
            <w:tcBorders>
              <w:top w:val="nil"/>
              <w:left w:val="nil"/>
              <w:bottom w:val="nil"/>
              <w:right w:val="nil"/>
            </w:tcBorders>
            <w:shd w:val="clear" w:color="auto" w:fill="auto"/>
            <w:noWrap/>
            <w:vAlign w:val="bottom"/>
            <w:hideMark/>
          </w:tcPr>
          <w:p w14:paraId="71F6B5B2"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47" w:type="pct"/>
            <w:tcBorders>
              <w:top w:val="nil"/>
              <w:left w:val="nil"/>
              <w:bottom w:val="nil"/>
              <w:right w:val="nil"/>
            </w:tcBorders>
            <w:shd w:val="clear" w:color="auto" w:fill="auto"/>
            <w:noWrap/>
            <w:vAlign w:val="bottom"/>
            <w:hideMark/>
          </w:tcPr>
          <w:p w14:paraId="20A57044"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r>
      <w:tr w:rsidR="00316A5C" w:rsidRPr="00306401" w14:paraId="4898BBA0" w14:textId="77777777" w:rsidTr="000602D0">
        <w:trPr>
          <w:trHeight w:val="170"/>
        </w:trPr>
        <w:tc>
          <w:tcPr>
            <w:tcW w:w="662" w:type="pct"/>
            <w:tcBorders>
              <w:top w:val="nil"/>
              <w:left w:val="nil"/>
              <w:bottom w:val="nil"/>
              <w:right w:val="nil"/>
            </w:tcBorders>
            <w:shd w:val="clear" w:color="auto" w:fill="auto"/>
            <w:noWrap/>
            <w:vAlign w:val="bottom"/>
            <w:hideMark/>
          </w:tcPr>
          <w:p w14:paraId="3146D28D"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Malaysia</w:t>
            </w:r>
          </w:p>
        </w:tc>
        <w:tc>
          <w:tcPr>
            <w:tcW w:w="407" w:type="pct"/>
            <w:tcBorders>
              <w:top w:val="nil"/>
              <w:left w:val="nil"/>
              <w:bottom w:val="nil"/>
              <w:right w:val="nil"/>
            </w:tcBorders>
            <w:shd w:val="clear" w:color="auto" w:fill="auto"/>
            <w:noWrap/>
            <w:vAlign w:val="bottom"/>
            <w:hideMark/>
          </w:tcPr>
          <w:p w14:paraId="05084152" w14:textId="34EE132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0.0223</w:t>
            </w:r>
          </w:p>
        </w:tc>
        <w:tc>
          <w:tcPr>
            <w:tcW w:w="258" w:type="pct"/>
            <w:tcBorders>
              <w:top w:val="nil"/>
              <w:left w:val="nil"/>
              <w:bottom w:val="nil"/>
              <w:right w:val="nil"/>
            </w:tcBorders>
            <w:shd w:val="clear" w:color="auto" w:fill="auto"/>
            <w:noWrap/>
            <w:vAlign w:val="bottom"/>
            <w:hideMark/>
          </w:tcPr>
          <w:p w14:paraId="28BE8EF4" w14:textId="19A4480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317EE7E8" w14:textId="3913928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-0.0177</w:t>
            </w:r>
          </w:p>
        </w:tc>
        <w:tc>
          <w:tcPr>
            <w:tcW w:w="313" w:type="pct"/>
            <w:tcBorders>
              <w:top w:val="nil"/>
              <w:left w:val="nil"/>
              <w:bottom w:val="nil"/>
              <w:right w:val="nil"/>
            </w:tcBorders>
            <w:shd w:val="clear" w:color="auto" w:fill="auto"/>
            <w:noWrap/>
            <w:vAlign w:val="bottom"/>
            <w:hideMark/>
          </w:tcPr>
          <w:p w14:paraId="6C936AC6" w14:textId="3543AC4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6E74104F" w14:textId="1FE0211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0.0154</w:t>
            </w:r>
          </w:p>
        </w:tc>
        <w:tc>
          <w:tcPr>
            <w:tcW w:w="258" w:type="pct"/>
            <w:tcBorders>
              <w:top w:val="nil"/>
              <w:left w:val="nil"/>
              <w:bottom w:val="nil"/>
              <w:right w:val="nil"/>
            </w:tcBorders>
            <w:shd w:val="clear" w:color="auto" w:fill="auto"/>
            <w:noWrap/>
            <w:vAlign w:val="bottom"/>
            <w:hideMark/>
          </w:tcPr>
          <w:p w14:paraId="75A29391" w14:textId="1FAF6CC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79041F07" w14:textId="72DB33F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-0.0176</w:t>
            </w:r>
          </w:p>
        </w:tc>
        <w:tc>
          <w:tcPr>
            <w:tcW w:w="258" w:type="pct"/>
            <w:tcBorders>
              <w:top w:val="nil"/>
              <w:left w:val="nil"/>
              <w:bottom w:val="nil"/>
              <w:right w:val="nil"/>
            </w:tcBorders>
            <w:shd w:val="clear" w:color="auto" w:fill="auto"/>
            <w:noWrap/>
            <w:vAlign w:val="bottom"/>
            <w:hideMark/>
          </w:tcPr>
          <w:p w14:paraId="2E274B67" w14:textId="6EE1F40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34846BA3" w14:textId="0D01056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0.0548</w:t>
            </w:r>
          </w:p>
        </w:tc>
        <w:tc>
          <w:tcPr>
            <w:tcW w:w="258" w:type="pct"/>
            <w:tcBorders>
              <w:top w:val="nil"/>
              <w:left w:val="nil"/>
              <w:bottom w:val="nil"/>
              <w:right w:val="nil"/>
            </w:tcBorders>
            <w:shd w:val="clear" w:color="auto" w:fill="auto"/>
            <w:noWrap/>
            <w:vAlign w:val="bottom"/>
            <w:hideMark/>
          </w:tcPr>
          <w:p w14:paraId="57220F0D" w14:textId="2F25862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50A84076" w14:textId="6C42E06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-0.0094</w:t>
            </w:r>
          </w:p>
        </w:tc>
        <w:tc>
          <w:tcPr>
            <w:tcW w:w="347" w:type="pct"/>
            <w:tcBorders>
              <w:top w:val="nil"/>
              <w:left w:val="nil"/>
              <w:bottom w:val="nil"/>
              <w:right w:val="nil"/>
            </w:tcBorders>
            <w:shd w:val="clear" w:color="auto" w:fill="auto"/>
            <w:noWrap/>
            <w:vAlign w:val="bottom"/>
            <w:hideMark/>
          </w:tcPr>
          <w:p w14:paraId="61BDC76E" w14:textId="1BF75AC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45CDBF86" w14:textId="77777777" w:rsidTr="000602D0">
        <w:trPr>
          <w:trHeight w:val="170"/>
        </w:trPr>
        <w:tc>
          <w:tcPr>
            <w:tcW w:w="662" w:type="pct"/>
            <w:tcBorders>
              <w:top w:val="nil"/>
              <w:left w:val="nil"/>
              <w:bottom w:val="nil"/>
              <w:right w:val="nil"/>
            </w:tcBorders>
            <w:shd w:val="clear" w:color="auto" w:fill="auto"/>
            <w:noWrap/>
            <w:vAlign w:val="bottom"/>
            <w:hideMark/>
          </w:tcPr>
          <w:p w14:paraId="2662BBD9"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Pakistan</w:t>
            </w:r>
          </w:p>
        </w:tc>
        <w:tc>
          <w:tcPr>
            <w:tcW w:w="407" w:type="pct"/>
            <w:tcBorders>
              <w:top w:val="nil"/>
              <w:left w:val="nil"/>
              <w:bottom w:val="nil"/>
              <w:right w:val="nil"/>
            </w:tcBorders>
            <w:shd w:val="clear" w:color="auto" w:fill="auto"/>
            <w:noWrap/>
            <w:vAlign w:val="bottom"/>
            <w:hideMark/>
          </w:tcPr>
          <w:p w14:paraId="34CD3BB0" w14:textId="683D5B0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0.0519</w:t>
            </w:r>
          </w:p>
        </w:tc>
        <w:tc>
          <w:tcPr>
            <w:tcW w:w="258" w:type="pct"/>
            <w:tcBorders>
              <w:top w:val="nil"/>
              <w:left w:val="nil"/>
              <w:bottom w:val="nil"/>
              <w:right w:val="nil"/>
            </w:tcBorders>
            <w:shd w:val="clear" w:color="auto" w:fill="auto"/>
            <w:noWrap/>
            <w:vAlign w:val="bottom"/>
            <w:hideMark/>
          </w:tcPr>
          <w:p w14:paraId="4077B032" w14:textId="1CE918F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4AAF3F29" w14:textId="1BAEC44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-0.0486</w:t>
            </w:r>
          </w:p>
        </w:tc>
        <w:tc>
          <w:tcPr>
            <w:tcW w:w="313" w:type="pct"/>
            <w:tcBorders>
              <w:top w:val="nil"/>
              <w:left w:val="nil"/>
              <w:bottom w:val="nil"/>
              <w:right w:val="nil"/>
            </w:tcBorders>
            <w:shd w:val="clear" w:color="auto" w:fill="auto"/>
            <w:noWrap/>
            <w:vAlign w:val="bottom"/>
            <w:hideMark/>
          </w:tcPr>
          <w:p w14:paraId="4016EF4C" w14:textId="169393F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4AE7038F" w14:textId="28011DB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0.0410</w:t>
            </w:r>
          </w:p>
        </w:tc>
        <w:tc>
          <w:tcPr>
            <w:tcW w:w="258" w:type="pct"/>
            <w:tcBorders>
              <w:top w:val="nil"/>
              <w:left w:val="nil"/>
              <w:bottom w:val="nil"/>
              <w:right w:val="nil"/>
            </w:tcBorders>
            <w:shd w:val="clear" w:color="auto" w:fill="auto"/>
            <w:noWrap/>
            <w:vAlign w:val="bottom"/>
            <w:hideMark/>
          </w:tcPr>
          <w:p w14:paraId="1B8073B2" w14:textId="5DD83F2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29E338F9" w14:textId="245B78D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-0.0481</w:t>
            </w:r>
          </w:p>
        </w:tc>
        <w:tc>
          <w:tcPr>
            <w:tcW w:w="258" w:type="pct"/>
            <w:tcBorders>
              <w:top w:val="nil"/>
              <w:left w:val="nil"/>
              <w:bottom w:val="nil"/>
              <w:right w:val="nil"/>
            </w:tcBorders>
            <w:shd w:val="clear" w:color="auto" w:fill="auto"/>
            <w:noWrap/>
            <w:vAlign w:val="bottom"/>
            <w:hideMark/>
          </w:tcPr>
          <w:p w14:paraId="0D0D82F9" w14:textId="6E4AB04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5A664E1E" w14:textId="5AF4EC0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0.0587</w:t>
            </w:r>
          </w:p>
        </w:tc>
        <w:tc>
          <w:tcPr>
            <w:tcW w:w="258" w:type="pct"/>
            <w:tcBorders>
              <w:top w:val="nil"/>
              <w:left w:val="nil"/>
              <w:bottom w:val="nil"/>
              <w:right w:val="nil"/>
            </w:tcBorders>
            <w:shd w:val="clear" w:color="auto" w:fill="auto"/>
            <w:noWrap/>
            <w:vAlign w:val="bottom"/>
            <w:hideMark/>
          </w:tcPr>
          <w:p w14:paraId="21CFAF90" w14:textId="3022A85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378EF8E9" w14:textId="2295969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-0.0030</w:t>
            </w:r>
          </w:p>
        </w:tc>
        <w:tc>
          <w:tcPr>
            <w:tcW w:w="347" w:type="pct"/>
            <w:tcBorders>
              <w:top w:val="nil"/>
              <w:left w:val="nil"/>
              <w:bottom w:val="nil"/>
              <w:right w:val="nil"/>
            </w:tcBorders>
            <w:shd w:val="clear" w:color="auto" w:fill="auto"/>
            <w:noWrap/>
            <w:vAlign w:val="bottom"/>
            <w:hideMark/>
          </w:tcPr>
          <w:p w14:paraId="02EFD512" w14:textId="543F630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41DF8093" w14:textId="77777777" w:rsidTr="000602D0">
        <w:trPr>
          <w:trHeight w:val="170"/>
        </w:trPr>
        <w:tc>
          <w:tcPr>
            <w:tcW w:w="662" w:type="pct"/>
            <w:tcBorders>
              <w:top w:val="nil"/>
              <w:left w:val="nil"/>
              <w:bottom w:val="nil"/>
              <w:right w:val="nil"/>
            </w:tcBorders>
            <w:shd w:val="clear" w:color="auto" w:fill="auto"/>
            <w:noWrap/>
            <w:vAlign w:val="bottom"/>
            <w:hideMark/>
          </w:tcPr>
          <w:p w14:paraId="01394310"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Saudi Arabia</w:t>
            </w:r>
          </w:p>
        </w:tc>
        <w:tc>
          <w:tcPr>
            <w:tcW w:w="407" w:type="pct"/>
            <w:tcBorders>
              <w:top w:val="nil"/>
              <w:left w:val="nil"/>
              <w:bottom w:val="nil"/>
              <w:right w:val="nil"/>
            </w:tcBorders>
            <w:shd w:val="clear" w:color="auto" w:fill="auto"/>
            <w:noWrap/>
            <w:vAlign w:val="bottom"/>
            <w:hideMark/>
          </w:tcPr>
          <w:p w14:paraId="0CCE7CF4" w14:textId="279026C5"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0.1040</w:t>
            </w:r>
          </w:p>
        </w:tc>
        <w:tc>
          <w:tcPr>
            <w:tcW w:w="258" w:type="pct"/>
            <w:tcBorders>
              <w:top w:val="nil"/>
              <w:left w:val="nil"/>
              <w:bottom w:val="nil"/>
              <w:right w:val="nil"/>
            </w:tcBorders>
            <w:shd w:val="clear" w:color="auto" w:fill="auto"/>
            <w:noWrap/>
            <w:vAlign w:val="bottom"/>
            <w:hideMark/>
          </w:tcPr>
          <w:p w14:paraId="689C62B3" w14:textId="1539559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52834C00" w14:textId="3BB69B4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0.0191</w:t>
            </w:r>
          </w:p>
        </w:tc>
        <w:tc>
          <w:tcPr>
            <w:tcW w:w="313" w:type="pct"/>
            <w:tcBorders>
              <w:top w:val="nil"/>
              <w:left w:val="nil"/>
              <w:bottom w:val="nil"/>
              <w:right w:val="nil"/>
            </w:tcBorders>
            <w:shd w:val="clear" w:color="auto" w:fill="auto"/>
            <w:noWrap/>
            <w:vAlign w:val="bottom"/>
            <w:hideMark/>
          </w:tcPr>
          <w:p w14:paraId="12076B6D" w14:textId="601CF3B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41B0FCC1" w14:textId="39685F8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0.1064</w:t>
            </w:r>
          </w:p>
        </w:tc>
        <w:tc>
          <w:tcPr>
            <w:tcW w:w="258" w:type="pct"/>
            <w:tcBorders>
              <w:top w:val="nil"/>
              <w:left w:val="nil"/>
              <w:bottom w:val="nil"/>
              <w:right w:val="nil"/>
            </w:tcBorders>
            <w:shd w:val="clear" w:color="auto" w:fill="auto"/>
            <w:noWrap/>
            <w:vAlign w:val="bottom"/>
            <w:hideMark/>
          </w:tcPr>
          <w:p w14:paraId="3DDD4EE1" w14:textId="763CF90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6E27F49D" w14:textId="55002DE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0.0189</w:t>
            </w:r>
          </w:p>
        </w:tc>
        <w:tc>
          <w:tcPr>
            <w:tcW w:w="258" w:type="pct"/>
            <w:tcBorders>
              <w:top w:val="nil"/>
              <w:left w:val="nil"/>
              <w:bottom w:val="nil"/>
              <w:right w:val="nil"/>
            </w:tcBorders>
            <w:shd w:val="clear" w:color="auto" w:fill="auto"/>
            <w:noWrap/>
            <w:vAlign w:val="bottom"/>
            <w:hideMark/>
          </w:tcPr>
          <w:p w14:paraId="0DE013F0" w14:textId="2178BB7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68699D0D" w14:textId="6E5D0B8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0.0512</w:t>
            </w:r>
          </w:p>
        </w:tc>
        <w:tc>
          <w:tcPr>
            <w:tcW w:w="258" w:type="pct"/>
            <w:tcBorders>
              <w:top w:val="nil"/>
              <w:left w:val="nil"/>
              <w:bottom w:val="nil"/>
              <w:right w:val="nil"/>
            </w:tcBorders>
            <w:shd w:val="clear" w:color="auto" w:fill="auto"/>
            <w:noWrap/>
            <w:vAlign w:val="bottom"/>
            <w:hideMark/>
          </w:tcPr>
          <w:p w14:paraId="36BAE4C6" w14:textId="4926EC2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3AE74CBB" w14:textId="7BD4D46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-0.0020</w:t>
            </w:r>
          </w:p>
        </w:tc>
        <w:tc>
          <w:tcPr>
            <w:tcW w:w="347" w:type="pct"/>
            <w:tcBorders>
              <w:top w:val="nil"/>
              <w:left w:val="nil"/>
              <w:bottom w:val="nil"/>
              <w:right w:val="nil"/>
            </w:tcBorders>
            <w:shd w:val="clear" w:color="auto" w:fill="auto"/>
            <w:noWrap/>
            <w:vAlign w:val="bottom"/>
            <w:hideMark/>
          </w:tcPr>
          <w:p w14:paraId="567782BD" w14:textId="6224D41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1F9505F0" w14:textId="77777777" w:rsidTr="000602D0">
        <w:trPr>
          <w:trHeight w:val="170"/>
        </w:trPr>
        <w:tc>
          <w:tcPr>
            <w:tcW w:w="662" w:type="pct"/>
            <w:tcBorders>
              <w:top w:val="nil"/>
              <w:left w:val="nil"/>
              <w:bottom w:val="nil"/>
              <w:right w:val="nil"/>
            </w:tcBorders>
            <w:shd w:val="clear" w:color="auto" w:fill="auto"/>
            <w:noWrap/>
            <w:vAlign w:val="bottom"/>
            <w:hideMark/>
          </w:tcPr>
          <w:p w14:paraId="3654612B"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Qatar</w:t>
            </w:r>
          </w:p>
        </w:tc>
        <w:tc>
          <w:tcPr>
            <w:tcW w:w="407" w:type="pct"/>
            <w:tcBorders>
              <w:top w:val="nil"/>
              <w:left w:val="nil"/>
              <w:bottom w:val="nil"/>
              <w:right w:val="nil"/>
            </w:tcBorders>
            <w:shd w:val="clear" w:color="auto" w:fill="auto"/>
            <w:noWrap/>
            <w:vAlign w:val="bottom"/>
            <w:hideMark/>
          </w:tcPr>
          <w:p w14:paraId="5E207953" w14:textId="21D3A8A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0.1018</w:t>
            </w:r>
          </w:p>
        </w:tc>
        <w:tc>
          <w:tcPr>
            <w:tcW w:w="258" w:type="pct"/>
            <w:tcBorders>
              <w:top w:val="nil"/>
              <w:left w:val="nil"/>
              <w:bottom w:val="nil"/>
              <w:right w:val="nil"/>
            </w:tcBorders>
            <w:shd w:val="clear" w:color="auto" w:fill="auto"/>
            <w:noWrap/>
            <w:vAlign w:val="bottom"/>
            <w:hideMark/>
          </w:tcPr>
          <w:p w14:paraId="1EDB42AA" w14:textId="5D57B27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5C99419B" w14:textId="7D035FA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0.0076</w:t>
            </w:r>
          </w:p>
        </w:tc>
        <w:tc>
          <w:tcPr>
            <w:tcW w:w="313" w:type="pct"/>
            <w:tcBorders>
              <w:top w:val="nil"/>
              <w:left w:val="nil"/>
              <w:bottom w:val="nil"/>
              <w:right w:val="nil"/>
            </w:tcBorders>
            <w:shd w:val="clear" w:color="auto" w:fill="auto"/>
            <w:noWrap/>
            <w:vAlign w:val="bottom"/>
            <w:hideMark/>
          </w:tcPr>
          <w:p w14:paraId="7E76CCF1" w14:textId="04AD3B1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2EA1407F" w14:textId="12D7575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0.0864</w:t>
            </w:r>
          </w:p>
        </w:tc>
        <w:tc>
          <w:tcPr>
            <w:tcW w:w="258" w:type="pct"/>
            <w:tcBorders>
              <w:top w:val="nil"/>
              <w:left w:val="nil"/>
              <w:bottom w:val="nil"/>
              <w:right w:val="nil"/>
            </w:tcBorders>
            <w:shd w:val="clear" w:color="auto" w:fill="auto"/>
            <w:noWrap/>
            <w:vAlign w:val="bottom"/>
            <w:hideMark/>
          </w:tcPr>
          <w:p w14:paraId="7B342738" w14:textId="21BE495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1AD17C71" w14:textId="4C67181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0.0076</w:t>
            </w:r>
          </w:p>
        </w:tc>
        <w:tc>
          <w:tcPr>
            <w:tcW w:w="258" w:type="pct"/>
            <w:tcBorders>
              <w:top w:val="nil"/>
              <w:left w:val="nil"/>
              <w:bottom w:val="nil"/>
              <w:right w:val="nil"/>
            </w:tcBorders>
            <w:shd w:val="clear" w:color="auto" w:fill="auto"/>
            <w:noWrap/>
            <w:vAlign w:val="bottom"/>
            <w:hideMark/>
          </w:tcPr>
          <w:p w14:paraId="719FC082" w14:textId="5CDDA4B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18A923AE" w14:textId="01F82F2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0.0410</w:t>
            </w:r>
          </w:p>
        </w:tc>
        <w:tc>
          <w:tcPr>
            <w:tcW w:w="258" w:type="pct"/>
            <w:tcBorders>
              <w:top w:val="nil"/>
              <w:left w:val="nil"/>
              <w:bottom w:val="nil"/>
              <w:right w:val="nil"/>
            </w:tcBorders>
            <w:shd w:val="clear" w:color="auto" w:fill="auto"/>
            <w:noWrap/>
            <w:vAlign w:val="bottom"/>
            <w:hideMark/>
          </w:tcPr>
          <w:p w14:paraId="2BCA85C8" w14:textId="1628BAF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137B0CA5" w14:textId="0BE4B15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0.0057</w:t>
            </w:r>
          </w:p>
        </w:tc>
        <w:tc>
          <w:tcPr>
            <w:tcW w:w="347" w:type="pct"/>
            <w:tcBorders>
              <w:top w:val="nil"/>
              <w:left w:val="nil"/>
              <w:bottom w:val="nil"/>
              <w:right w:val="nil"/>
            </w:tcBorders>
            <w:shd w:val="clear" w:color="auto" w:fill="auto"/>
            <w:noWrap/>
            <w:vAlign w:val="bottom"/>
            <w:hideMark/>
          </w:tcPr>
          <w:p w14:paraId="72A0D840" w14:textId="0B89A80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571EE368" w14:textId="77777777" w:rsidTr="000602D0">
        <w:trPr>
          <w:trHeight w:val="170"/>
        </w:trPr>
        <w:tc>
          <w:tcPr>
            <w:tcW w:w="662" w:type="pct"/>
            <w:tcBorders>
              <w:top w:val="nil"/>
              <w:left w:val="nil"/>
              <w:bottom w:val="nil"/>
              <w:right w:val="nil"/>
            </w:tcBorders>
            <w:shd w:val="clear" w:color="auto" w:fill="auto"/>
            <w:noWrap/>
            <w:vAlign w:val="bottom"/>
            <w:hideMark/>
          </w:tcPr>
          <w:p w14:paraId="3311973D"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Kuwait</w:t>
            </w:r>
          </w:p>
        </w:tc>
        <w:tc>
          <w:tcPr>
            <w:tcW w:w="407" w:type="pct"/>
            <w:tcBorders>
              <w:top w:val="nil"/>
              <w:left w:val="nil"/>
              <w:bottom w:val="nil"/>
              <w:right w:val="nil"/>
            </w:tcBorders>
            <w:shd w:val="clear" w:color="auto" w:fill="auto"/>
            <w:noWrap/>
            <w:vAlign w:val="bottom"/>
            <w:hideMark/>
          </w:tcPr>
          <w:p w14:paraId="44E3CAD6" w14:textId="6FC347A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0.0954</w:t>
            </w:r>
          </w:p>
        </w:tc>
        <w:tc>
          <w:tcPr>
            <w:tcW w:w="258" w:type="pct"/>
            <w:tcBorders>
              <w:top w:val="nil"/>
              <w:left w:val="nil"/>
              <w:bottom w:val="nil"/>
              <w:right w:val="nil"/>
            </w:tcBorders>
            <w:shd w:val="clear" w:color="auto" w:fill="auto"/>
            <w:noWrap/>
            <w:vAlign w:val="bottom"/>
            <w:hideMark/>
          </w:tcPr>
          <w:p w14:paraId="71E95F1D" w14:textId="6063A89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20F2C08A" w14:textId="2CFB9EA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-0.0624</w:t>
            </w:r>
          </w:p>
        </w:tc>
        <w:tc>
          <w:tcPr>
            <w:tcW w:w="313" w:type="pct"/>
            <w:tcBorders>
              <w:top w:val="nil"/>
              <w:left w:val="nil"/>
              <w:bottom w:val="nil"/>
              <w:right w:val="nil"/>
            </w:tcBorders>
            <w:shd w:val="clear" w:color="auto" w:fill="auto"/>
            <w:noWrap/>
            <w:vAlign w:val="bottom"/>
            <w:hideMark/>
          </w:tcPr>
          <w:p w14:paraId="1BD14248" w14:textId="162B40C3"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45E876F5" w14:textId="493A897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0.0658</w:t>
            </w:r>
          </w:p>
        </w:tc>
        <w:tc>
          <w:tcPr>
            <w:tcW w:w="258" w:type="pct"/>
            <w:tcBorders>
              <w:top w:val="nil"/>
              <w:left w:val="nil"/>
              <w:bottom w:val="nil"/>
              <w:right w:val="nil"/>
            </w:tcBorders>
            <w:shd w:val="clear" w:color="auto" w:fill="auto"/>
            <w:noWrap/>
            <w:vAlign w:val="bottom"/>
            <w:hideMark/>
          </w:tcPr>
          <w:p w14:paraId="022874B1" w14:textId="7406DD2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65115C0D" w14:textId="3A8FE3A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-0.0618</w:t>
            </w:r>
          </w:p>
        </w:tc>
        <w:tc>
          <w:tcPr>
            <w:tcW w:w="258" w:type="pct"/>
            <w:tcBorders>
              <w:top w:val="nil"/>
              <w:left w:val="nil"/>
              <w:bottom w:val="nil"/>
              <w:right w:val="nil"/>
            </w:tcBorders>
            <w:shd w:val="clear" w:color="auto" w:fill="auto"/>
            <w:noWrap/>
            <w:vAlign w:val="bottom"/>
            <w:hideMark/>
          </w:tcPr>
          <w:p w14:paraId="66054FF1" w14:textId="7E2A7D4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4D8ACA2" w14:textId="3988DF0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0.0461</w:t>
            </w:r>
          </w:p>
        </w:tc>
        <w:tc>
          <w:tcPr>
            <w:tcW w:w="258" w:type="pct"/>
            <w:tcBorders>
              <w:top w:val="nil"/>
              <w:left w:val="nil"/>
              <w:bottom w:val="nil"/>
              <w:right w:val="nil"/>
            </w:tcBorders>
            <w:shd w:val="clear" w:color="auto" w:fill="auto"/>
            <w:noWrap/>
            <w:vAlign w:val="bottom"/>
            <w:hideMark/>
          </w:tcPr>
          <w:p w14:paraId="3763CC1F" w14:textId="05722C1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0A9A921D" w14:textId="39F3A233"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0.0035</w:t>
            </w:r>
          </w:p>
        </w:tc>
        <w:tc>
          <w:tcPr>
            <w:tcW w:w="347" w:type="pct"/>
            <w:tcBorders>
              <w:top w:val="nil"/>
              <w:left w:val="nil"/>
              <w:bottom w:val="nil"/>
              <w:right w:val="nil"/>
            </w:tcBorders>
            <w:shd w:val="clear" w:color="auto" w:fill="auto"/>
            <w:noWrap/>
            <w:vAlign w:val="bottom"/>
            <w:hideMark/>
          </w:tcPr>
          <w:p w14:paraId="66E415A2" w14:textId="37BD8FF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56E25217" w14:textId="77777777" w:rsidTr="00022308">
        <w:trPr>
          <w:trHeight w:val="170"/>
        </w:trPr>
        <w:tc>
          <w:tcPr>
            <w:tcW w:w="662" w:type="pct"/>
            <w:tcBorders>
              <w:top w:val="nil"/>
              <w:left w:val="nil"/>
              <w:bottom w:val="nil"/>
              <w:right w:val="nil"/>
            </w:tcBorders>
            <w:shd w:val="clear" w:color="auto" w:fill="auto"/>
            <w:noWrap/>
            <w:vAlign w:val="bottom"/>
            <w:hideMark/>
          </w:tcPr>
          <w:p w14:paraId="5706FAC6"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UAE</w:t>
            </w:r>
          </w:p>
        </w:tc>
        <w:tc>
          <w:tcPr>
            <w:tcW w:w="407" w:type="pct"/>
            <w:tcBorders>
              <w:top w:val="nil"/>
              <w:left w:val="nil"/>
              <w:bottom w:val="nil"/>
              <w:right w:val="nil"/>
            </w:tcBorders>
            <w:shd w:val="clear" w:color="auto" w:fill="auto"/>
            <w:noWrap/>
            <w:vAlign w:val="bottom"/>
            <w:hideMark/>
          </w:tcPr>
          <w:p w14:paraId="41CF70A5" w14:textId="69993C1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0.1528</w:t>
            </w:r>
          </w:p>
        </w:tc>
        <w:tc>
          <w:tcPr>
            <w:tcW w:w="258" w:type="pct"/>
            <w:tcBorders>
              <w:top w:val="nil"/>
              <w:left w:val="nil"/>
              <w:bottom w:val="single" w:sz="4" w:space="0" w:color="auto"/>
              <w:right w:val="nil"/>
            </w:tcBorders>
            <w:shd w:val="clear" w:color="auto" w:fill="auto"/>
            <w:noWrap/>
            <w:vAlign w:val="bottom"/>
            <w:hideMark/>
          </w:tcPr>
          <w:p w14:paraId="4E21474D" w14:textId="2A85009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6DB93B3F" w14:textId="542B4FE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0.0385</w:t>
            </w:r>
          </w:p>
        </w:tc>
        <w:tc>
          <w:tcPr>
            <w:tcW w:w="313" w:type="pct"/>
            <w:tcBorders>
              <w:top w:val="nil"/>
              <w:left w:val="nil"/>
              <w:bottom w:val="single" w:sz="4" w:space="0" w:color="auto"/>
              <w:right w:val="nil"/>
            </w:tcBorders>
            <w:shd w:val="clear" w:color="auto" w:fill="auto"/>
            <w:noWrap/>
            <w:vAlign w:val="bottom"/>
            <w:hideMark/>
          </w:tcPr>
          <w:p w14:paraId="7622DDC3" w14:textId="3278B60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32A2880A" w14:textId="30366B3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0.1187</w:t>
            </w:r>
          </w:p>
        </w:tc>
        <w:tc>
          <w:tcPr>
            <w:tcW w:w="258" w:type="pct"/>
            <w:tcBorders>
              <w:top w:val="nil"/>
              <w:left w:val="nil"/>
              <w:bottom w:val="single" w:sz="4" w:space="0" w:color="auto"/>
              <w:right w:val="nil"/>
            </w:tcBorders>
            <w:shd w:val="clear" w:color="auto" w:fill="auto"/>
            <w:noWrap/>
            <w:vAlign w:val="bottom"/>
            <w:hideMark/>
          </w:tcPr>
          <w:p w14:paraId="2049A766" w14:textId="5BD98FB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44A7BDA2" w14:textId="5D91B25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0.0381</w:t>
            </w:r>
          </w:p>
        </w:tc>
        <w:tc>
          <w:tcPr>
            <w:tcW w:w="258" w:type="pct"/>
            <w:tcBorders>
              <w:top w:val="nil"/>
              <w:left w:val="nil"/>
              <w:bottom w:val="single" w:sz="4" w:space="0" w:color="auto"/>
              <w:right w:val="nil"/>
            </w:tcBorders>
            <w:shd w:val="clear" w:color="auto" w:fill="auto"/>
            <w:noWrap/>
            <w:vAlign w:val="bottom"/>
            <w:hideMark/>
          </w:tcPr>
          <w:p w14:paraId="7222D7ED" w14:textId="2789551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3DC28467" w14:textId="21CBC46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0.0499</w:t>
            </w:r>
          </w:p>
        </w:tc>
        <w:tc>
          <w:tcPr>
            <w:tcW w:w="258" w:type="pct"/>
            <w:tcBorders>
              <w:top w:val="nil"/>
              <w:left w:val="nil"/>
              <w:bottom w:val="single" w:sz="4" w:space="0" w:color="auto"/>
              <w:right w:val="nil"/>
            </w:tcBorders>
            <w:shd w:val="clear" w:color="auto" w:fill="auto"/>
            <w:noWrap/>
            <w:vAlign w:val="bottom"/>
            <w:hideMark/>
          </w:tcPr>
          <w:p w14:paraId="6A5E2D12" w14:textId="0661354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39F3FA95" w14:textId="4394BD2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0.0013</w:t>
            </w:r>
          </w:p>
        </w:tc>
        <w:tc>
          <w:tcPr>
            <w:tcW w:w="347" w:type="pct"/>
            <w:tcBorders>
              <w:top w:val="nil"/>
              <w:left w:val="nil"/>
              <w:bottom w:val="single" w:sz="4" w:space="0" w:color="auto"/>
              <w:right w:val="nil"/>
            </w:tcBorders>
            <w:shd w:val="clear" w:color="auto" w:fill="auto"/>
            <w:noWrap/>
            <w:vAlign w:val="bottom"/>
            <w:hideMark/>
          </w:tcPr>
          <w:p w14:paraId="5FE1074F" w14:textId="20E75915"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0602D0" w:rsidRPr="00306401" w14:paraId="75B120AE" w14:textId="77777777" w:rsidTr="000602D0">
        <w:trPr>
          <w:trHeight w:val="170"/>
        </w:trPr>
        <w:tc>
          <w:tcPr>
            <w:tcW w:w="662" w:type="pct"/>
            <w:tcBorders>
              <w:top w:val="nil"/>
              <w:left w:val="nil"/>
              <w:bottom w:val="single" w:sz="4" w:space="0" w:color="auto"/>
              <w:right w:val="nil"/>
            </w:tcBorders>
            <w:shd w:val="clear" w:color="auto" w:fill="auto"/>
            <w:noWrap/>
            <w:vAlign w:val="bottom"/>
          </w:tcPr>
          <w:p w14:paraId="437427E1" w14:textId="77777777" w:rsidR="000602D0" w:rsidRPr="00DB4C32" w:rsidRDefault="000602D0" w:rsidP="000602D0">
            <w:pPr>
              <w:spacing w:after="0" w:line="240" w:lineRule="auto"/>
              <w:rPr>
                <w:rFonts w:ascii="Times New Roman" w:eastAsia="Times New Roman" w:hAnsi="Times New Roman" w:cs="Times New Roman"/>
                <w:color w:val="000000"/>
              </w:rPr>
            </w:pPr>
          </w:p>
        </w:tc>
        <w:tc>
          <w:tcPr>
            <w:tcW w:w="407" w:type="pct"/>
            <w:tcBorders>
              <w:top w:val="nil"/>
              <w:left w:val="nil"/>
              <w:bottom w:val="single" w:sz="4" w:space="0" w:color="auto"/>
              <w:right w:val="nil"/>
            </w:tcBorders>
            <w:shd w:val="clear" w:color="auto" w:fill="auto"/>
            <w:noWrap/>
            <w:vAlign w:val="bottom"/>
          </w:tcPr>
          <w:p w14:paraId="5A2AAF50"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32948254"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57" w:type="pct"/>
            <w:tcBorders>
              <w:top w:val="nil"/>
              <w:left w:val="nil"/>
              <w:bottom w:val="single" w:sz="4" w:space="0" w:color="auto"/>
              <w:right w:val="nil"/>
            </w:tcBorders>
            <w:shd w:val="clear" w:color="auto" w:fill="auto"/>
            <w:noWrap/>
            <w:vAlign w:val="bottom"/>
          </w:tcPr>
          <w:p w14:paraId="0658AA6F"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313" w:type="pct"/>
            <w:tcBorders>
              <w:top w:val="nil"/>
              <w:left w:val="nil"/>
              <w:bottom w:val="single" w:sz="4" w:space="0" w:color="auto"/>
              <w:right w:val="nil"/>
            </w:tcBorders>
            <w:shd w:val="clear" w:color="auto" w:fill="auto"/>
            <w:noWrap/>
            <w:vAlign w:val="bottom"/>
          </w:tcPr>
          <w:p w14:paraId="128F169B"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07" w:type="pct"/>
            <w:tcBorders>
              <w:top w:val="nil"/>
              <w:left w:val="nil"/>
              <w:bottom w:val="single" w:sz="4" w:space="0" w:color="auto"/>
              <w:right w:val="nil"/>
            </w:tcBorders>
            <w:shd w:val="clear" w:color="auto" w:fill="auto"/>
            <w:noWrap/>
            <w:vAlign w:val="bottom"/>
          </w:tcPr>
          <w:p w14:paraId="1662E737"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6B4CF794"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88" w:type="pct"/>
            <w:tcBorders>
              <w:top w:val="nil"/>
              <w:left w:val="nil"/>
              <w:bottom w:val="single" w:sz="4" w:space="0" w:color="auto"/>
              <w:right w:val="nil"/>
            </w:tcBorders>
            <w:shd w:val="clear" w:color="auto" w:fill="auto"/>
            <w:noWrap/>
            <w:vAlign w:val="bottom"/>
          </w:tcPr>
          <w:p w14:paraId="02C2D75D"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07CCC229"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07" w:type="pct"/>
            <w:tcBorders>
              <w:top w:val="nil"/>
              <w:left w:val="nil"/>
              <w:bottom w:val="single" w:sz="4" w:space="0" w:color="auto"/>
              <w:right w:val="nil"/>
            </w:tcBorders>
            <w:shd w:val="clear" w:color="auto" w:fill="auto"/>
            <w:noWrap/>
            <w:vAlign w:val="bottom"/>
          </w:tcPr>
          <w:p w14:paraId="55415B4A"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4757FFCA"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80" w:type="pct"/>
            <w:tcBorders>
              <w:top w:val="nil"/>
              <w:left w:val="nil"/>
              <w:bottom w:val="single" w:sz="4" w:space="0" w:color="auto"/>
              <w:right w:val="nil"/>
            </w:tcBorders>
            <w:shd w:val="clear" w:color="auto" w:fill="auto"/>
            <w:noWrap/>
            <w:vAlign w:val="bottom"/>
          </w:tcPr>
          <w:p w14:paraId="15FCB1BE"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347" w:type="pct"/>
            <w:tcBorders>
              <w:top w:val="nil"/>
              <w:left w:val="nil"/>
              <w:bottom w:val="single" w:sz="4" w:space="0" w:color="auto"/>
              <w:right w:val="nil"/>
            </w:tcBorders>
            <w:shd w:val="clear" w:color="auto" w:fill="auto"/>
            <w:noWrap/>
            <w:vAlign w:val="bottom"/>
          </w:tcPr>
          <w:p w14:paraId="1A3B72D5"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r>
      <w:tr w:rsidR="000602D0" w:rsidRPr="00DB4C32" w14:paraId="4F3AB90E" w14:textId="77777777" w:rsidTr="000602D0">
        <w:trPr>
          <w:trHeight w:val="170"/>
        </w:trPr>
        <w:tc>
          <w:tcPr>
            <w:tcW w:w="5000" w:type="pct"/>
            <w:gridSpan w:val="13"/>
            <w:tcBorders>
              <w:top w:val="single" w:sz="4" w:space="0" w:color="auto"/>
              <w:left w:val="nil"/>
              <w:bottom w:val="single" w:sz="4" w:space="0" w:color="auto"/>
              <w:right w:val="nil"/>
            </w:tcBorders>
            <w:shd w:val="clear" w:color="auto" w:fill="auto"/>
            <w:noWrap/>
            <w:vAlign w:val="bottom"/>
            <w:hideMark/>
          </w:tcPr>
          <w:p w14:paraId="273FA21B" w14:textId="1721F4DF" w:rsidR="000602D0" w:rsidRPr="00316A5C" w:rsidRDefault="000602D0" w:rsidP="000602D0">
            <w:pPr>
              <w:spacing w:after="0" w:line="240" w:lineRule="auto"/>
              <w:jc w:val="center"/>
              <w:rPr>
                <w:rFonts w:ascii="Times New Roman" w:eastAsia="Times New Roman" w:hAnsi="Times New Roman" w:cs="Times New Roman"/>
                <w:b/>
                <w:bCs/>
                <w:color w:val="000000"/>
                <w:highlight w:val="yellow"/>
              </w:rPr>
            </w:pPr>
            <w:r w:rsidRPr="00316A5C">
              <w:rPr>
                <w:rFonts w:ascii="Times New Roman" w:eastAsia="Times New Roman" w:hAnsi="Times New Roman" w:cs="Times New Roman"/>
                <w:b/>
                <w:bCs/>
                <w:color w:val="000000"/>
                <w:highlight w:val="yellow"/>
              </w:rPr>
              <w:t xml:space="preserve">Stage </w:t>
            </w:r>
            <w:r w:rsidR="00316A5C" w:rsidRPr="00316A5C">
              <w:rPr>
                <w:rFonts w:ascii="Times New Roman" w:eastAsia="Times New Roman" w:hAnsi="Times New Roman" w:cs="Times New Roman"/>
                <w:b/>
                <w:bCs/>
                <w:color w:val="000000"/>
                <w:highlight w:val="yellow"/>
              </w:rPr>
              <w:t xml:space="preserve">5 </w:t>
            </w:r>
            <w:r w:rsidRPr="00316A5C">
              <w:rPr>
                <w:rFonts w:ascii="Times New Roman" w:eastAsia="Times New Roman" w:hAnsi="Times New Roman" w:cs="Times New Roman"/>
                <w:b/>
                <w:bCs/>
                <w:color w:val="000000"/>
                <w:highlight w:val="yellow"/>
              </w:rPr>
              <w:t>(</w:t>
            </w:r>
            <w:r w:rsidR="00316A5C" w:rsidRPr="00316A5C">
              <w:rPr>
                <w:rFonts w:ascii="Times New Roman" w:eastAsia="Times New Roman" w:hAnsi="Times New Roman" w:cs="Times New Roman"/>
                <w:b/>
                <w:bCs/>
                <w:color w:val="000000"/>
                <w:highlight w:val="yellow"/>
                <w:lang w:eastAsia="en-GB"/>
              </w:rPr>
              <w:t>September 2 - December 31</w:t>
            </w:r>
            <w:r w:rsidRPr="00316A5C">
              <w:rPr>
                <w:rFonts w:ascii="Times New Roman" w:eastAsia="Times New Roman" w:hAnsi="Times New Roman" w:cs="Times New Roman"/>
                <w:b/>
                <w:bCs/>
                <w:color w:val="000000"/>
                <w:highlight w:val="yellow"/>
              </w:rPr>
              <w:t xml:space="preserve">) </w:t>
            </w:r>
          </w:p>
        </w:tc>
      </w:tr>
      <w:tr w:rsidR="000602D0" w:rsidRPr="00DB4C32" w14:paraId="0A4F1B82" w14:textId="77777777" w:rsidTr="000602D0">
        <w:trPr>
          <w:trHeight w:val="170"/>
        </w:trPr>
        <w:tc>
          <w:tcPr>
            <w:tcW w:w="662" w:type="pct"/>
            <w:tcBorders>
              <w:top w:val="nil"/>
              <w:left w:val="nil"/>
              <w:bottom w:val="nil"/>
              <w:right w:val="nil"/>
            </w:tcBorders>
            <w:shd w:val="clear" w:color="auto" w:fill="auto"/>
            <w:noWrap/>
            <w:vAlign w:val="bottom"/>
            <w:hideMark/>
          </w:tcPr>
          <w:p w14:paraId="1ADA205C" w14:textId="77777777" w:rsidR="000602D0" w:rsidRPr="00DB4C32" w:rsidRDefault="000602D0" w:rsidP="000602D0">
            <w:pPr>
              <w:spacing w:after="0" w:line="240" w:lineRule="auto"/>
              <w:jc w:val="center"/>
              <w:rPr>
                <w:rFonts w:ascii="Times New Roman" w:eastAsia="Times New Roman" w:hAnsi="Times New Roman" w:cs="Times New Roman"/>
                <w:b/>
                <w:bCs/>
                <w:color w:val="000000"/>
              </w:rPr>
            </w:pPr>
          </w:p>
        </w:tc>
        <w:tc>
          <w:tcPr>
            <w:tcW w:w="407" w:type="pct"/>
            <w:tcBorders>
              <w:top w:val="nil"/>
              <w:left w:val="nil"/>
              <w:bottom w:val="nil"/>
              <w:right w:val="nil"/>
            </w:tcBorders>
            <w:shd w:val="clear" w:color="auto" w:fill="auto"/>
            <w:noWrap/>
            <w:vAlign w:val="bottom"/>
            <w:hideMark/>
          </w:tcPr>
          <w:p w14:paraId="3D182DD5"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63A317FF"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57" w:type="pct"/>
            <w:tcBorders>
              <w:top w:val="nil"/>
              <w:left w:val="nil"/>
              <w:bottom w:val="nil"/>
              <w:right w:val="nil"/>
            </w:tcBorders>
            <w:shd w:val="clear" w:color="auto" w:fill="auto"/>
            <w:noWrap/>
            <w:vAlign w:val="bottom"/>
            <w:hideMark/>
          </w:tcPr>
          <w:p w14:paraId="02DC86C1"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13" w:type="pct"/>
            <w:tcBorders>
              <w:top w:val="nil"/>
              <w:left w:val="nil"/>
              <w:bottom w:val="nil"/>
              <w:right w:val="nil"/>
            </w:tcBorders>
            <w:shd w:val="clear" w:color="auto" w:fill="auto"/>
            <w:noWrap/>
            <w:vAlign w:val="bottom"/>
            <w:hideMark/>
          </w:tcPr>
          <w:p w14:paraId="612A49EA"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2E6291DE"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1682C5CC"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88" w:type="pct"/>
            <w:tcBorders>
              <w:top w:val="nil"/>
              <w:left w:val="nil"/>
              <w:bottom w:val="nil"/>
              <w:right w:val="nil"/>
            </w:tcBorders>
            <w:shd w:val="clear" w:color="auto" w:fill="auto"/>
            <w:noWrap/>
            <w:vAlign w:val="bottom"/>
            <w:hideMark/>
          </w:tcPr>
          <w:p w14:paraId="31EAD5E9"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258" w:type="pct"/>
            <w:tcBorders>
              <w:top w:val="nil"/>
              <w:left w:val="nil"/>
              <w:bottom w:val="nil"/>
              <w:right w:val="nil"/>
            </w:tcBorders>
            <w:shd w:val="clear" w:color="auto" w:fill="auto"/>
            <w:noWrap/>
            <w:vAlign w:val="bottom"/>
            <w:hideMark/>
          </w:tcPr>
          <w:p w14:paraId="191D2B55"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0F140DA2"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0F5BCAB5"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80" w:type="pct"/>
            <w:tcBorders>
              <w:top w:val="nil"/>
              <w:left w:val="nil"/>
              <w:bottom w:val="nil"/>
              <w:right w:val="nil"/>
            </w:tcBorders>
            <w:shd w:val="clear" w:color="auto" w:fill="auto"/>
            <w:noWrap/>
            <w:vAlign w:val="bottom"/>
            <w:hideMark/>
          </w:tcPr>
          <w:p w14:paraId="4F7C46D6"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47" w:type="pct"/>
            <w:tcBorders>
              <w:top w:val="nil"/>
              <w:left w:val="nil"/>
              <w:bottom w:val="nil"/>
              <w:right w:val="nil"/>
            </w:tcBorders>
            <w:shd w:val="clear" w:color="auto" w:fill="auto"/>
            <w:noWrap/>
            <w:vAlign w:val="bottom"/>
            <w:hideMark/>
          </w:tcPr>
          <w:p w14:paraId="6DB66BB6"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r>
      <w:tr w:rsidR="00316A5C" w:rsidRPr="00306401" w14:paraId="50BA267C" w14:textId="77777777" w:rsidTr="000602D0">
        <w:trPr>
          <w:trHeight w:val="170"/>
        </w:trPr>
        <w:tc>
          <w:tcPr>
            <w:tcW w:w="662" w:type="pct"/>
            <w:tcBorders>
              <w:top w:val="nil"/>
              <w:left w:val="nil"/>
              <w:bottom w:val="nil"/>
              <w:right w:val="nil"/>
            </w:tcBorders>
            <w:shd w:val="clear" w:color="auto" w:fill="auto"/>
            <w:noWrap/>
            <w:vAlign w:val="bottom"/>
            <w:hideMark/>
          </w:tcPr>
          <w:p w14:paraId="17DEFD68"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Malaysia</w:t>
            </w:r>
          </w:p>
        </w:tc>
        <w:tc>
          <w:tcPr>
            <w:tcW w:w="407" w:type="pct"/>
            <w:tcBorders>
              <w:top w:val="nil"/>
              <w:left w:val="nil"/>
              <w:bottom w:val="nil"/>
              <w:right w:val="nil"/>
            </w:tcBorders>
            <w:shd w:val="clear" w:color="auto" w:fill="auto"/>
            <w:noWrap/>
            <w:vAlign w:val="bottom"/>
            <w:hideMark/>
          </w:tcPr>
          <w:p w14:paraId="60AC3494" w14:textId="5867959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0.0279</w:t>
            </w:r>
          </w:p>
        </w:tc>
        <w:tc>
          <w:tcPr>
            <w:tcW w:w="258" w:type="pct"/>
            <w:tcBorders>
              <w:top w:val="nil"/>
              <w:left w:val="nil"/>
              <w:bottom w:val="nil"/>
              <w:right w:val="nil"/>
            </w:tcBorders>
            <w:shd w:val="clear" w:color="auto" w:fill="auto"/>
            <w:noWrap/>
            <w:vAlign w:val="bottom"/>
            <w:hideMark/>
          </w:tcPr>
          <w:p w14:paraId="4969FBA4" w14:textId="3B3EC5D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01E78F4F" w14:textId="577DF70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0.0146</w:t>
            </w:r>
          </w:p>
        </w:tc>
        <w:tc>
          <w:tcPr>
            <w:tcW w:w="313" w:type="pct"/>
            <w:tcBorders>
              <w:top w:val="nil"/>
              <w:left w:val="nil"/>
              <w:bottom w:val="nil"/>
              <w:right w:val="nil"/>
            </w:tcBorders>
            <w:shd w:val="clear" w:color="auto" w:fill="auto"/>
            <w:noWrap/>
            <w:vAlign w:val="bottom"/>
            <w:hideMark/>
          </w:tcPr>
          <w:p w14:paraId="2B717D2D" w14:textId="67858DF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3BDBF906" w14:textId="7FADCCD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0.0258</w:t>
            </w:r>
          </w:p>
        </w:tc>
        <w:tc>
          <w:tcPr>
            <w:tcW w:w="258" w:type="pct"/>
            <w:tcBorders>
              <w:top w:val="nil"/>
              <w:left w:val="nil"/>
              <w:bottom w:val="nil"/>
              <w:right w:val="nil"/>
            </w:tcBorders>
            <w:shd w:val="clear" w:color="auto" w:fill="auto"/>
            <w:noWrap/>
            <w:vAlign w:val="bottom"/>
            <w:hideMark/>
          </w:tcPr>
          <w:p w14:paraId="00ED2537" w14:textId="1C7B991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24B94DC7" w14:textId="76BC3FD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0.0015</w:t>
            </w:r>
          </w:p>
        </w:tc>
        <w:tc>
          <w:tcPr>
            <w:tcW w:w="258" w:type="pct"/>
            <w:tcBorders>
              <w:top w:val="nil"/>
              <w:left w:val="nil"/>
              <w:bottom w:val="nil"/>
              <w:right w:val="nil"/>
            </w:tcBorders>
            <w:shd w:val="clear" w:color="auto" w:fill="auto"/>
            <w:noWrap/>
            <w:vAlign w:val="bottom"/>
            <w:hideMark/>
          </w:tcPr>
          <w:p w14:paraId="73E997DE" w14:textId="5443658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63741D6A" w14:textId="32E03CE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0.0558</w:t>
            </w:r>
          </w:p>
        </w:tc>
        <w:tc>
          <w:tcPr>
            <w:tcW w:w="258" w:type="pct"/>
            <w:tcBorders>
              <w:top w:val="nil"/>
              <w:left w:val="nil"/>
              <w:bottom w:val="nil"/>
              <w:right w:val="nil"/>
            </w:tcBorders>
            <w:shd w:val="clear" w:color="auto" w:fill="auto"/>
            <w:noWrap/>
            <w:vAlign w:val="bottom"/>
            <w:hideMark/>
          </w:tcPr>
          <w:p w14:paraId="7899542E" w14:textId="5FC299E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2D3F5F66" w14:textId="21B041B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-0.0084</w:t>
            </w:r>
          </w:p>
        </w:tc>
        <w:tc>
          <w:tcPr>
            <w:tcW w:w="347" w:type="pct"/>
            <w:tcBorders>
              <w:top w:val="nil"/>
              <w:left w:val="nil"/>
              <w:bottom w:val="nil"/>
              <w:right w:val="nil"/>
            </w:tcBorders>
            <w:shd w:val="clear" w:color="auto" w:fill="auto"/>
            <w:noWrap/>
            <w:vAlign w:val="bottom"/>
            <w:hideMark/>
          </w:tcPr>
          <w:p w14:paraId="733B9B1A" w14:textId="6347FC8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461E3E0C" w14:textId="77777777" w:rsidTr="000602D0">
        <w:trPr>
          <w:trHeight w:val="170"/>
        </w:trPr>
        <w:tc>
          <w:tcPr>
            <w:tcW w:w="662" w:type="pct"/>
            <w:tcBorders>
              <w:top w:val="nil"/>
              <w:left w:val="nil"/>
              <w:bottom w:val="nil"/>
              <w:right w:val="nil"/>
            </w:tcBorders>
            <w:shd w:val="clear" w:color="auto" w:fill="auto"/>
            <w:noWrap/>
            <w:vAlign w:val="bottom"/>
            <w:hideMark/>
          </w:tcPr>
          <w:p w14:paraId="10634E92"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Pakistan</w:t>
            </w:r>
          </w:p>
        </w:tc>
        <w:tc>
          <w:tcPr>
            <w:tcW w:w="407" w:type="pct"/>
            <w:tcBorders>
              <w:top w:val="nil"/>
              <w:left w:val="nil"/>
              <w:bottom w:val="nil"/>
              <w:right w:val="nil"/>
            </w:tcBorders>
            <w:shd w:val="clear" w:color="auto" w:fill="auto"/>
            <w:noWrap/>
            <w:vAlign w:val="bottom"/>
            <w:hideMark/>
          </w:tcPr>
          <w:p w14:paraId="4CCA039E" w14:textId="6C3A395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0.0625</w:t>
            </w:r>
          </w:p>
        </w:tc>
        <w:tc>
          <w:tcPr>
            <w:tcW w:w="258" w:type="pct"/>
            <w:tcBorders>
              <w:top w:val="nil"/>
              <w:left w:val="nil"/>
              <w:bottom w:val="nil"/>
              <w:right w:val="nil"/>
            </w:tcBorders>
            <w:shd w:val="clear" w:color="auto" w:fill="auto"/>
            <w:noWrap/>
            <w:vAlign w:val="bottom"/>
            <w:hideMark/>
          </w:tcPr>
          <w:p w14:paraId="7CF9904C" w14:textId="7C56448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0D21B3E4" w14:textId="4637A0C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0.0357</w:t>
            </w:r>
          </w:p>
        </w:tc>
        <w:tc>
          <w:tcPr>
            <w:tcW w:w="313" w:type="pct"/>
            <w:tcBorders>
              <w:top w:val="nil"/>
              <w:left w:val="nil"/>
              <w:bottom w:val="nil"/>
              <w:right w:val="nil"/>
            </w:tcBorders>
            <w:shd w:val="clear" w:color="auto" w:fill="auto"/>
            <w:noWrap/>
            <w:vAlign w:val="bottom"/>
            <w:hideMark/>
          </w:tcPr>
          <w:p w14:paraId="60FEE41A" w14:textId="467E61B5"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2D81B514" w14:textId="6EA4094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0.0577</w:t>
            </w:r>
          </w:p>
        </w:tc>
        <w:tc>
          <w:tcPr>
            <w:tcW w:w="258" w:type="pct"/>
            <w:tcBorders>
              <w:top w:val="nil"/>
              <w:left w:val="nil"/>
              <w:bottom w:val="nil"/>
              <w:right w:val="nil"/>
            </w:tcBorders>
            <w:shd w:val="clear" w:color="auto" w:fill="auto"/>
            <w:noWrap/>
            <w:vAlign w:val="bottom"/>
            <w:hideMark/>
          </w:tcPr>
          <w:p w14:paraId="640C8EDD" w14:textId="51BFD1C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50D1A2E1" w14:textId="33A54AF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0.0036</w:t>
            </w:r>
          </w:p>
        </w:tc>
        <w:tc>
          <w:tcPr>
            <w:tcW w:w="258" w:type="pct"/>
            <w:tcBorders>
              <w:top w:val="nil"/>
              <w:left w:val="nil"/>
              <w:bottom w:val="nil"/>
              <w:right w:val="nil"/>
            </w:tcBorders>
            <w:shd w:val="clear" w:color="auto" w:fill="auto"/>
            <w:noWrap/>
            <w:vAlign w:val="bottom"/>
            <w:hideMark/>
          </w:tcPr>
          <w:p w14:paraId="15626F7A" w14:textId="57059713"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C5B57B6" w14:textId="639187E3"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0.0598</w:t>
            </w:r>
          </w:p>
        </w:tc>
        <w:tc>
          <w:tcPr>
            <w:tcW w:w="258" w:type="pct"/>
            <w:tcBorders>
              <w:top w:val="nil"/>
              <w:left w:val="nil"/>
              <w:bottom w:val="nil"/>
              <w:right w:val="nil"/>
            </w:tcBorders>
            <w:shd w:val="clear" w:color="auto" w:fill="auto"/>
            <w:noWrap/>
            <w:vAlign w:val="bottom"/>
            <w:hideMark/>
          </w:tcPr>
          <w:p w14:paraId="5740CA64" w14:textId="4C22CBE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6BA1401B" w14:textId="7869E6C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-0.0027</w:t>
            </w:r>
          </w:p>
        </w:tc>
        <w:tc>
          <w:tcPr>
            <w:tcW w:w="347" w:type="pct"/>
            <w:tcBorders>
              <w:top w:val="nil"/>
              <w:left w:val="nil"/>
              <w:bottom w:val="nil"/>
              <w:right w:val="nil"/>
            </w:tcBorders>
            <w:shd w:val="clear" w:color="auto" w:fill="auto"/>
            <w:noWrap/>
            <w:vAlign w:val="bottom"/>
            <w:hideMark/>
          </w:tcPr>
          <w:p w14:paraId="24254D96" w14:textId="327B8A6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027B6501" w14:textId="77777777" w:rsidTr="000602D0">
        <w:trPr>
          <w:trHeight w:val="170"/>
        </w:trPr>
        <w:tc>
          <w:tcPr>
            <w:tcW w:w="662" w:type="pct"/>
            <w:tcBorders>
              <w:top w:val="nil"/>
              <w:left w:val="nil"/>
              <w:bottom w:val="nil"/>
              <w:right w:val="nil"/>
            </w:tcBorders>
            <w:shd w:val="clear" w:color="auto" w:fill="auto"/>
            <w:noWrap/>
            <w:vAlign w:val="bottom"/>
            <w:hideMark/>
          </w:tcPr>
          <w:p w14:paraId="113F21F0"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Saudi Arabia</w:t>
            </w:r>
          </w:p>
        </w:tc>
        <w:tc>
          <w:tcPr>
            <w:tcW w:w="407" w:type="pct"/>
            <w:tcBorders>
              <w:top w:val="nil"/>
              <w:left w:val="nil"/>
              <w:bottom w:val="nil"/>
              <w:right w:val="nil"/>
            </w:tcBorders>
            <w:shd w:val="clear" w:color="auto" w:fill="auto"/>
            <w:noWrap/>
            <w:vAlign w:val="bottom"/>
            <w:hideMark/>
          </w:tcPr>
          <w:p w14:paraId="3E05A3EB" w14:textId="785ECEC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0.1149</w:t>
            </w:r>
          </w:p>
        </w:tc>
        <w:tc>
          <w:tcPr>
            <w:tcW w:w="258" w:type="pct"/>
            <w:tcBorders>
              <w:top w:val="nil"/>
              <w:left w:val="nil"/>
              <w:bottom w:val="nil"/>
              <w:right w:val="nil"/>
            </w:tcBorders>
            <w:shd w:val="clear" w:color="auto" w:fill="auto"/>
            <w:noWrap/>
            <w:vAlign w:val="bottom"/>
            <w:hideMark/>
          </w:tcPr>
          <w:p w14:paraId="796E3CE5" w14:textId="6215AF73"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152304D2" w14:textId="02FC207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0.0140</w:t>
            </w:r>
          </w:p>
        </w:tc>
        <w:tc>
          <w:tcPr>
            <w:tcW w:w="313" w:type="pct"/>
            <w:tcBorders>
              <w:top w:val="nil"/>
              <w:left w:val="nil"/>
              <w:bottom w:val="nil"/>
              <w:right w:val="nil"/>
            </w:tcBorders>
            <w:shd w:val="clear" w:color="auto" w:fill="auto"/>
            <w:noWrap/>
            <w:vAlign w:val="bottom"/>
            <w:hideMark/>
          </w:tcPr>
          <w:p w14:paraId="7B7CA7DB" w14:textId="6D34D0E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84065E8" w14:textId="6FE6342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0.1062</w:t>
            </w:r>
          </w:p>
        </w:tc>
        <w:tc>
          <w:tcPr>
            <w:tcW w:w="258" w:type="pct"/>
            <w:tcBorders>
              <w:top w:val="nil"/>
              <w:left w:val="nil"/>
              <w:bottom w:val="nil"/>
              <w:right w:val="nil"/>
            </w:tcBorders>
            <w:shd w:val="clear" w:color="auto" w:fill="auto"/>
            <w:noWrap/>
            <w:vAlign w:val="bottom"/>
            <w:hideMark/>
          </w:tcPr>
          <w:p w14:paraId="59925E1B" w14:textId="58F57C8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5F311024" w14:textId="7F3D81A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0.0014</w:t>
            </w:r>
          </w:p>
        </w:tc>
        <w:tc>
          <w:tcPr>
            <w:tcW w:w="258" w:type="pct"/>
            <w:tcBorders>
              <w:top w:val="nil"/>
              <w:left w:val="nil"/>
              <w:bottom w:val="nil"/>
              <w:right w:val="nil"/>
            </w:tcBorders>
            <w:shd w:val="clear" w:color="auto" w:fill="auto"/>
            <w:noWrap/>
            <w:vAlign w:val="bottom"/>
            <w:hideMark/>
          </w:tcPr>
          <w:p w14:paraId="78452937" w14:textId="31C4AA9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104B11A7" w14:textId="2A36837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0.0521</w:t>
            </w:r>
          </w:p>
        </w:tc>
        <w:tc>
          <w:tcPr>
            <w:tcW w:w="258" w:type="pct"/>
            <w:tcBorders>
              <w:top w:val="nil"/>
              <w:left w:val="nil"/>
              <w:bottom w:val="nil"/>
              <w:right w:val="nil"/>
            </w:tcBorders>
            <w:shd w:val="clear" w:color="auto" w:fill="auto"/>
            <w:noWrap/>
            <w:vAlign w:val="bottom"/>
            <w:hideMark/>
          </w:tcPr>
          <w:p w14:paraId="2AF0F216" w14:textId="3E04C31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7883F53B" w14:textId="7257053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-0.0018</w:t>
            </w:r>
          </w:p>
        </w:tc>
        <w:tc>
          <w:tcPr>
            <w:tcW w:w="347" w:type="pct"/>
            <w:tcBorders>
              <w:top w:val="nil"/>
              <w:left w:val="nil"/>
              <w:bottom w:val="nil"/>
              <w:right w:val="nil"/>
            </w:tcBorders>
            <w:shd w:val="clear" w:color="auto" w:fill="auto"/>
            <w:noWrap/>
            <w:vAlign w:val="bottom"/>
            <w:hideMark/>
          </w:tcPr>
          <w:p w14:paraId="7963BDF5" w14:textId="72A8A87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12387119" w14:textId="77777777" w:rsidTr="000602D0">
        <w:trPr>
          <w:trHeight w:val="170"/>
        </w:trPr>
        <w:tc>
          <w:tcPr>
            <w:tcW w:w="662" w:type="pct"/>
            <w:tcBorders>
              <w:top w:val="nil"/>
              <w:left w:val="nil"/>
              <w:bottom w:val="nil"/>
              <w:right w:val="nil"/>
            </w:tcBorders>
            <w:shd w:val="clear" w:color="auto" w:fill="auto"/>
            <w:noWrap/>
            <w:vAlign w:val="bottom"/>
            <w:hideMark/>
          </w:tcPr>
          <w:p w14:paraId="52DE9AB9"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Qatar</w:t>
            </w:r>
          </w:p>
        </w:tc>
        <w:tc>
          <w:tcPr>
            <w:tcW w:w="407" w:type="pct"/>
            <w:tcBorders>
              <w:top w:val="nil"/>
              <w:left w:val="nil"/>
              <w:bottom w:val="nil"/>
              <w:right w:val="nil"/>
            </w:tcBorders>
            <w:shd w:val="clear" w:color="auto" w:fill="auto"/>
            <w:noWrap/>
            <w:vAlign w:val="bottom"/>
            <w:hideMark/>
          </w:tcPr>
          <w:p w14:paraId="40E2905D" w14:textId="421938A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0.1324</w:t>
            </w:r>
          </w:p>
        </w:tc>
        <w:tc>
          <w:tcPr>
            <w:tcW w:w="258" w:type="pct"/>
            <w:tcBorders>
              <w:top w:val="nil"/>
              <w:left w:val="nil"/>
              <w:bottom w:val="nil"/>
              <w:right w:val="nil"/>
            </w:tcBorders>
            <w:shd w:val="clear" w:color="auto" w:fill="auto"/>
            <w:noWrap/>
            <w:vAlign w:val="bottom"/>
            <w:hideMark/>
          </w:tcPr>
          <w:p w14:paraId="4EC91281" w14:textId="07BD20F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12D7CD16" w14:textId="0982288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0.0053</w:t>
            </w:r>
          </w:p>
        </w:tc>
        <w:tc>
          <w:tcPr>
            <w:tcW w:w="313" w:type="pct"/>
            <w:tcBorders>
              <w:top w:val="nil"/>
              <w:left w:val="nil"/>
              <w:bottom w:val="nil"/>
              <w:right w:val="nil"/>
            </w:tcBorders>
            <w:shd w:val="clear" w:color="auto" w:fill="auto"/>
            <w:noWrap/>
            <w:vAlign w:val="bottom"/>
            <w:hideMark/>
          </w:tcPr>
          <w:p w14:paraId="7BE37FE2" w14:textId="3DAC3A7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61ADF876" w14:textId="378E879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0.1223</w:t>
            </w:r>
          </w:p>
        </w:tc>
        <w:tc>
          <w:tcPr>
            <w:tcW w:w="258" w:type="pct"/>
            <w:tcBorders>
              <w:top w:val="nil"/>
              <w:left w:val="nil"/>
              <w:bottom w:val="nil"/>
              <w:right w:val="nil"/>
            </w:tcBorders>
            <w:shd w:val="clear" w:color="auto" w:fill="auto"/>
            <w:noWrap/>
            <w:vAlign w:val="bottom"/>
            <w:hideMark/>
          </w:tcPr>
          <w:p w14:paraId="6A21AE57" w14:textId="4BBCDAB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292A39E4" w14:textId="7FE715F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0.0005</w:t>
            </w:r>
          </w:p>
        </w:tc>
        <w:tc>
          <w:tcPr>
            <w:tcW w:w="258" w:type="pct"/>
            <w:tcBorders>
              <w:top w:val="nil"/>
              <w:left w:val="nil"/>
              <w:bottom w:val="nil"/>
              <w:right w:val="nil"/>
            </w:tcBorders>
            <w:shd w:val="clear" w:color="auto" w:fill="auto"/>
            <w:noWrap/>
            <w:vAlign w:val="bottom"/>
            <w:hideMark/>
          </w:tcPr>
          <w:p w14:paraId="53FBA416" w14:textId="2358138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7D2CC09" w14:textId="34F0917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0.0418</w:t>
            </w:r>
          </w:p>
        </w:tc>
        <w:tc>
          <w:tcPr>
            <w:tcW w:w="258" w:type="pct"/>
            <w:tcBorders>
              <w:top w:val="nil"/>
              <w:left w:val="nil"/>
              <w:bottom w:val="nil"/>
              <w:right w:val="nil"/>
            </w:tcBorders>
            <w:shd w:val="clear" w:color="auto" w:fill="auto"/>
            <w:noWrap/>
            <w:vAlign w:val="bottom"/>
            <w:hideMark/>
          </w:tcPr>
          <w:p w14:paraId="6CEA729F" w14:textId="713D33F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793C399D" w14:textId="0DC9A14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-0.0051</w:t>
            </w:r>
          </w:p>
        </w:tc>
        <w:tc>
          <w:tcPr>
            <w:tcW w:w="347" w:type="pct"/>
            <w:tcBorders>
              <w:top w:val="nil"/>
              <w:left w:val="nil"/>
              <w:bottom w:val="nil"/>
              <w:right w:val="nil"/>
            </w:tcBorders>
            <w:shd w:val="clear" w:color="auto" w:fill="auto"/>
            <w:noWrap/>
            <w:vAlign w:val="bottom"/>
            <w:hideMark/>
          </w:tcPr>
          <w:p w14:paraId="167B45FB" w14:textId="28267F5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1819F037" w14:textId="77777777" w:rsidTr="000602D0">
        <w:trPr>
          <w:trHeight w:val="170"/>
        </w:trPr>
        <w:tc>
          <w:tcPr>
            <w:tcW w:w="662" w:type="pct"/>
            <w:tcBorders>
              <w:top w:val="nil"/>
              <w:left w:val="nil"/>
              <w:bottom w:val="nil"/>
              <w:right w:val="nil"/>
            </w:tcBorders>
            <w:shd w:val="clear" w:color="auto" w:fill="auto"/>
            <w:noWrap/>
            <w:vAlign w:val="bottom"/>
            <w:hideMark/>
          </w:tcPr>
          <w:p w14:paraId="1A57876E"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Kuwait</w:t>
            </w:r>
          </w:p>
        </w:tc>
        <w:tc>
          <w:tcPr>
            <w:tcW w:w="407" w:type="pct"/>
            <w:tcBorders>
              <w:top w:val="nil"/>
              <w:left w:val="nil"/>
              <w:bottom w:val="nil"/>
              <w:right w:val="nil"/>
            </w:tcBorders>
            <w:shd w:val="clear" w:color="auto" w:fill="auto"/>
            <w:noWrap/>
            <w:vAlign w:val="bottom"/>
            <w:hideMark/>
          </w:tcPr>
          <w:p w14:paraId="2AF3350B" w14:textId="7A65A0E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0.1090</w:t>
            </w:r>
          </w:p>
        </w:tc>
        <w:tc>
          <w:tcPr>
            <w:tcW w:w="258" w:type="pct"/>
            <w:tcBorders>
              <w:top w:val="nil"/>
              <w:left w:val="nil"/>
              <w:bottom w:val="nil"/>
              <w:right w:val="nil"/>
            </w:tcBorders>
            <w:shd w:val="clear" w:color="auto" w:fill="auto"/>
            <w:noWrap/>
            <w:vAlign w:val="bottom"/>
            <w:hideMark/>
          </w:tcPr>
          <w:p w14:paraId="4F46B5AC" w14:textId="2CCE373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66B456AE" w14:textId="2BEBDF0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0.0473</w:t>
            </w:r>
          </w:p>
        </w:tc>
        <w:tc>
          <w:tcPr>
            <w:tcW w:w="313" w:type="pct"/>
            <w:tcBorders>
              <w:top w:val="nil"/>
              <w:left w:val="nil"/>
              <w:bottom w:val="nil"/>
              <w:right w:val="nil"/>
            </w:tcBorders>
            <w:shd w:val="clear" w:color="auto" w:fill="auto"/>
            <w:noWrap/>
            <w:vAlign w:val="bottom"/>
            <w:hideMark/>
          </w:tcPr>
          <w:p w14:paraId="2F6E5131" w14:textId="1520747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362D8192" w14:textId="6DF135A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0.1007</w:t>
            </w:r>
          </w:p>
        </w:tc>
        <w:tc>
          <w:tcPr>
            <w:tcW w:w="258" w:type="pct"/>
            <w:tcBorders>
              <w:top w:val="nil"/>
              <w:left w:val="nil"/>
              <w:bottom w:val="nil"/>
              <w:right w:val="nil"/>
            </w:tcBorders>
            <w:shd w:val="clear" w:color="auto" w:fill="auto"/>
            <w:noWrap/>
            <w:vAlign w:val="bottom"/>
            <w:hideMark/>
          </w:tcPr>
          <w:p w14:paraId="0AD07D6F" w14:textId="3C3BB7D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7B68B20F" w14:textId="2473208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0.0047</w:t>
            </w:r>
          </w:p>
        </w:tc>
        <w:tc>
          <w:tcPr>
            <w:tcW w:w="258" w:type="pct"/>
            <w:tcBorders>
              <w:top w:val="nil"/>
              <w:left w:val="nil"/>
              <w:bottom w:val="nil"/>
              <w:right w:val="nil"/>
            </w:tcBorders>
            <w:shd w:val="clear" w:color="auto" w:fill="auto"/>
            <w:noWrap/>
            <w:vAlign w:val="bottom"/>
            <w:hideMark/>
          </w:tcPr>
          <w:p w14:paraId="7A83E620" w14:textId="6D03F1E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3120636B" w14:textId="6822D3E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0.0469</w:t>
            </w:r>
          </w:p>
        </w:tc>
        <w:tc>
          <w:tcPr>
            <w:tcW w:w="258" w:type="pct"/>
            <w:tcBorders>
              <w:top w:val="nil"/>
              <w:left w:val="nil"/>
              <w:bottom w:val="nil"/>
              <w:right w:val="nil"/>
            </w:tcBorders>
            <w:shd w:val="clear" w:color="auto" w:fill="auto"/>
            <w:noWrap/>
            <w:vAlign w:val="bottom"/>
            <w:hideMark/>
          </w:tcPr>
          <w:p w14:paraId="4292DB35" w14:textId="7388E11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16F06A35" w14:textId="6F50681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0.0032</w:t>
            </w:r>
          </w:p>
        </w:tc>
        <w:tc>
          <w:tcPr>
            <w:tcW w:w="347" w:type="pct"/>
            <w:tcBorders>
              <w:top w:val="nil"/>
              <w:left w:val="nil"/>
              <w:bottom w:val="nil"/>
              <w:right w:val="nil"/>
            </w:tcBorders>
            <w:shd w:val="clear" w:color="auto" w:fill="auto"/>
            <w:noWrap/>
            <w:vAlign w:val="bottom"/>
            <w:hideMark/>
          </w:tcPr>
          <w:p w14:paraId="20272096" w14:textId="483164A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099A0B25" w14:textId="77777777" w:rsidTr="000602D0">
        <w:trPr>
          <w:trHeight w:val="170"/>
        </w:trPr>
        <w:tc>
          <w:tcPr>
            <w:tcW w:w="662" w:type="pct"/>
            <w:tcBorders>
              <w:top w:val="nil"/>
              <w:left w:val="nil"/>
              <w:bottom w:val="nil"/>
              <w:right w:val="nil"/>
            </w:tcBorders>
            <w:shd w:val="clear" w:color="auto" w:fill="auto"/>
            <w:noWrap/>
            <w:vAlign w:val="bottom"/>
            <w:hideMark/>
          </w:tcPr>
          <w:p w14:paraId="362119AA"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UAE</w:t>
            </w:r>
          </w:p>
        </w:tc>
        <w:tc>
          <w:tcPr>
            <w:tcW w:w="407" w:type="pct"/>
            <w:tcBorders>
              <w:top w:val="nil"/>
              <w:left w:val="nil"/>
              <w:bottom w:val="nil"/>
              <w:right w:val="nil"/>
            </w:tcBorders>
            <w:shd w:val="clear" w:color="auto" w:fill="auto"/>
            <w:noWrap/>
            <w:vAlign w:val="bottom"/>
            <w:hideMark/>
          </w:tcPr>
          <w:p w14:paraId="2EE264A1" w14:textId="7C229943"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0.2303</w:t>
            </w:r>
          </w:p>
        </w:tc>
        <w:tc>
          <w:tcPr>
            <w:tcW w:w="258" w:type="pct"/>
            <w:tcBorders>
              <w:top w:val="nil"/>
              <w:left w:val="nil"/>
              <w:bottom w:val="nil"/>
              <w:right w:val="nil"/>
            </w:tcBorders>
            <w:shd w:val="clear" w:color="auto" w:fill="auto"/>
            <w:noWrap/>
            <w:vAlign w:val="bottom"/>
            <w:hideMark/>
          </w:tcPr>
          <w:p w14:paraId="3E3B2E1C" w14:textId="03A0515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7F64B5CB" w14:textId="66193C5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0.0428</w:t>
            </w:r>
          </w:p>
        </w:tc>
        <w:tc>
          <w:tcPr>
            <w:tcW w:w="313" w:type="pct"/>
            <w:tcBorders>
              <w:top w:val="nil"/>
              <w:left w:val="nil"/>
              <w:bottom w:val="nil"/>
              <w:right w:val="nil"/>
            </w:tcBorders>
            <w:shd w:val="clear" w:color="auto" w:fill="auto"/>
            <w:noWrap/>
            <w:vAlign w:val="bottom"/>
            <w:hideMark/>
          </w:tcPr>
          <w:p w14:paraId="559F33D7" w14:textId="66658F0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5794AC20" w14:textId="418B62A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0.2127</w:t>
            </w:r>
          </w:p>
        </w:tc>
        <w:tc>
          <w:tcPr>
            <w:tcW w:w="258" w:type="pct"/>
            <w:tcBorders>
              <w:top w:val="nil"/>
              <w:left w:val="nil"/>
              <w:bottom w:val="nil"/>
              <w:right w:val="nil"/>
            </w:tcBorders>
            <w:shd w:val="clear" w:color="auto" w:fill="auto"/>
            <w:noWrap/>
            <w:vAlign w:val="bottom"/>
            <w:hideMark/>
          </w:tcPr>
          <w:p w14:paraId="7D9C2C7A" w14:textId="2EC55E2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6B6330E4" w14:textId="62F8270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0.0043</w:t>
            </w:r>
          </w:p>
        </w:tc>
        <w:tc>
          <w:tcPr>
            <w:tcW w:w="258" w:type="pct"/>
            <w:tcBorders>
              <w:top w:val="nil"/>
              <w:left w:val="nil"/>
              <w:bottom w:val="nil"/>
              <w:right w:val="nil"/>
            </w:tcBorders>
            <w:shd w:val="clear" w:color="auto" w:fill="auto"/>
            <w:noWrap/>
            <w:vAlign w:val="bottom"/>
            <w:hideMark/>
          </w:tcPr>
          <w:p w14:paraId="57577C4F" w14:textId="598CFF5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5248C8AD" w14:textId="6487895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0.0508</w:t>
            </w:r>
          </w:p>
        </w:tc>
        <w:tc>
          <w:tcPr>
            <w:tcW w:w="258" w:type="pct"/>
            <w:tcBorders>
              <w:top w:val="nil"/>
              <w:left w:val="nil"/>
              <w:bottom w:val="nil"/>
              <w:right w:val="nil"/>
            </w:tcBorders>
            <w:shd w:val="clear" w:color="auto" w:fill="auto"/>
            <w:noWrap/>
            <w:vAlign w:val="bottom"/>
            <w:hideMark/>
          </w:tcPr>
          <w:p w14:paraId="4D4776DA" w14:textId="277E312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49A77983" w14:textId="0CF3D0F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0.0012</w:t>
            </w:r>
          </w:p>
        </w:tc>
        <w:tc>
          <w:tcPr>
            <w:tcW w:w="347" w:type="pct"/>
            <w:tcBorders>
              <w:top w:val="nil"/>
              <w:left w:val="nil"/>
              <w:bottom w:val="nil"/>
              <w:right w:val="nil"/>
            </w:tcBorders>
            <w:shd w:val="clear" w:color="auto" w:fill="auto"/>
            <w:noWrap/>
            <w:vAlign w:val="bottom"/>
            <w:hideMark/>
          </w:tcPr>
          <w:p w14:paraId="38ED7B25" w14:textId="3FB8C3F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0602D0" w:rsidRPr="00306401" w14:paraId="2A7DF51A" w14:textId="77777777" w:rsidTr="000602D0">
        <w:trPr>
          <w:trHeight w:val="170"/>
        </w:trPr>
        <w:tc>
          <w:tcPr>
            <w:tcW w:w="662" w:type="pct"/>
            <w:tcBorders>
              <w:top w:val="nil"/>
              <w:left w:val="nil"/>
              <w:bottom w:val="single" w:sz="4" w:space="0" w:color="auto"/>
              <w:right w:val="nil"/>
            </w:tcBorders>
            <w:shd w:val="clear" w:color="auto" w:fill="auto"/>
            <w:noWrap/>
            <w:vAlign w:val="bottom"/>
          </w:tcPr>
          <w:p w14:paraId="75AA2F9A" w14:textId="77777777" w:rsidR="000602D0" w:rsidRPr="00DB4C32" w:rsidRDefault="000602D0" w:rsidP="000602D0">
            <w:pPr>
              <w:spacing w:after="0" w:line="240" w:lineRule="auto"/>
              <w:rPr>
                <w:rFonts w:ascii="Times New Roman" w:eastAsia="Times New Roman" w:hAnsi="Times New Roman" w:cs="Times New Roman"/>
                <w:color w:val="000000"/>
              </w:rPr>
            </w:pPr>
          </w:p>
        </w:tc>
        <w:tc>
          <w:tcPr>
            <w:tcW w:w="407" w:type="pct"/>
            <w:tcBorders>
              <w:top w:val="nil"/>
              <w:left w:val="nil"/>
              <w:bottom w:val="single" w:sz="4" w:space="0" w:color="auto"/>
              <w:right w:val="nil"/>
            </w:tcBorders>
            <w:shd w:val="clear" w:color="auto" w:fill="auto"/>
            <w:noWrap/>
            <w:vAlign w:val="bottom"/>
          </w:tcPr>
          <w:p w14:paraId="1CF12ABF"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6B01A857"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57" w:type="pct"/>
            <w:tcBorders>
              <w:top w:val="nil"/>
              <w:left w:val="nil"/>
              <w:bottom w:val="single" w:sz="4" w:space="0" w:color="auto"/>
              <w:right w:val="nil"/>
            </w:tcBorders>
            <w:shd w:val="clear" w:color="auto" w:fill="auto"/>
            <w:noWrap/>
            <w:vAlign w:val="bottom"/>
          </w:tcPr>
          <w:p w14:paraId="39A41255"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313" w:type="pct"/>
            <w:tcBorders>
              <w:top w:val="nil"/>
              <w:left w:val="nil"/>
              <w:bottom w:val="single" w:sz="4" w:space="0" w:color="auto"/>
              <w:right w:val="nil"/>
            </w:tcBorders>
            <w:shd w:val="clear" w:color="auto" w:fill="auto"/>
            <w:noWrap/>
            <w:vAlign w:val="bottom"/>
          </w:tcPr>
          <w:p w14:paraId="6660231D"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07" w:type="pct"/>
            <w:tcBorders>
              <w:top w:val="nil"/>
              <w:left w:val="nil"/>
              <w:bottom w:val="single" w:sz="4" w:space="0" w:color="auto"/>
              <w:right w:val="nil"/>
            </w:tcBorders>
            <w:shd w:val="clear" w:color="auto" w:fill="auto"/>
            <w:noWrap/>
            <w:vAlign w:val="bottom"/>
          </w:tcPr>
          <w:p w14:paraId="11300061"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798B51D7"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88" w:type="pct"/>
            <w:tcBorders>
              <w:top w:val="nil"/>
              <w:left w:val="nil"/>
              <w:bottom w:val="single" w:sz="4" w:space="0" w:color="auto"/>
              <w:right w:val="nil"/>
            </w:tcBorders>
            <w:shd w:val="clear" w:color="auto" w:fill="auto"/>
            <w:noWrap/>
            <w:vAlign w:val="bottom"/>
          </w:tcPr>
          <w:p w14:paraId="70CFA5AE"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6913F8B9"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07" w:type="pct"/>
            <w:tcBorders>
              <w:top w:val="nil"/>
              <w:left w:val="nil"/>
              <w:bottom w:val="single" w:sz="4" w:space="0" w:color="auto"/>
              <w:right w:val="nil"/>
            </w:tcBorders>
            <w:shd w:val="clear" w:color="auto" w:fill="auto"/>
            <w:noWrap/>
            <w:vAlign w:val="bottom"/>
          </w:tcPr>
          <w:p w14:paraId="3E39BC6E"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47FE9F07"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80" w:type="pct"/>
            <w:tcBorders>
              <w:top w:val="nil"/>
              <w:left w:val="nil"/>
              <w:bottom w:val="single" w:sz="4" w:space="0" w:color="auto"/>
              <w:right w:val="nil"/>
            </w:tcBorders>
            <w:shd w:val="clear" w:color="auto" w:fill="auto"/>
            <w:noWrap/>
            <w:vAlign w:val="bottom"/>
          </w:tcPr>
          <w:p w14:paraId="0E27ABEF"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347" w:type="pct"/>
            <w:tcBorders>
              <w:top w:val="nil"/>
              <w:left w:val="nil"/>
              <w:bottom w:val="single" w:sz="4" w:space="0" w:color="auto"/>
              <w:right w:val="nil"/>
            </w:tcBorders>
            <w:shd w:val="clear" w:color="auto" w:fill="auto"/>
            <w:noWrap/>
            <w:vAlign w:val="bottom"/>
          </w:tcPr>
          <w:p w14:paraId="22FBA1E1"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r>
      <w:tr w:rsidR="00316A5C" w:rsidRPr="00DB4C32" w14:paraId="37FDB811" w14:textId="77777777" w:rsidTr="000602D0">
        <w:trPr>
          <w:trHeight w:val="170"/>
        </w:trPr>
        <w:tc>
          <w:tcPr>
            <w:tcW w:w="5000" w:type="pct"/>
            <w:gridSpan w:val="13"/>
            <w:tcBorders>
              <w:top w:val="single" w:sz="4" w:space="0" w:color="auto"/>
              <w:left w:val="nil"/>
              <w:bottom w:val="single" w:sz="4" w:space="0" w:color="auto"/>
              <w:right w:val="nil"/>
            </w:tcBorders>
            <w:shd w:val="clear" w:color="auto" w:fill="auto"/>
            <w:noWrap/>
            <w:vAlign w:val="bottom"/>
            <w:hideMark/>
          </w:tcPr>
          <w:p w14:paraId="38A89F8D" w14:textId="4EA22A04" w:rsidR="00316A5C" w:rsidRPr="00316A5C" w:rsidRDefault="00316A5C" w:rsidP="00316A5C">
            <w:pPr>
              <w:spacing w:after="0" w:line="240" w:lineRule="auto"/>
              <w:jc w:val="center"/>
              <w:rPr>
                <w:rFonts w:ascii="Times New Roman" w:eastAsia="Times New Roman" w:hAnsi="Times New Roman" w:cs="Times New Roman"/>
                <w:b/>
                <w:bCs/>
                <w:color w:val="000000"/>
                <w:highlight w:val="yellow"/>
              </w:rPr>
            </w:pPr>
            <w:r w:rsidRPr="00316A5C">
              <w:rPr>
                <w:rFonts w:ascii="Times New Roman" w:eastAsia="Times New Roman" w:hAnsi="Times New Roman" w:cs="Times New Roman"/>
                <w:b/>
                <w:bCs/>
                <w:color w:val="000000"/>
                <w:highlight w:val="yellow"/>
                <w:lang w:eastAsia="en-GB"/>
              </w:rPr>
              <w:t xml:space="preserve">Stage 6 (January 1 - May </w:t>
            </w:r>
            <w:proofErr w:type="gramStart"/>
            <w:r w:rsidRPr="00316A5C">
              <w:rPr>
                <w:rFonts w:ascii="Times New Roman" w:eastAsia="Times New Roman" w:hAnsi="Times New Roman" w:cs="Times New Roman"/>
                <w:b/>
                <w:bCs/>
                <w:color w:val="000000"/>
                <w:highlight w:val="yellow"/>
                <w:lang w:eastAsia="en-GB"/>
              </w:rPr>
              <w:t>31</w:t>
            </w:r>
            <w:proofErr w:type="gramEnd"/>
            <w:r w:rsidRPr="00316A5C">
              <w:rPr>
                <w:rFonts w:ascii="Times New Roman" w:eastAsia="Times New Roman" w:hAnsi="Times New Roman" w:cs="Times New Roman"/>
                <w:b/>
                <w:bCs/>
                <w:color w:val="000000"/>
                <w:highlight w:val="yellow"/>
                <w:lang w:eastAsia="en-GB"/>
              </w:rPr>
              <w:t xml:space="preserve"> 2021) </w:t>
            </w:r>
          </w:p>
        </w:tc>
      </w:tr>
      <w:tr w:rsidR="000602D0" w:rsidRPr="00DB4C32" w14:paraId="1D9DBE88" w14:textId="77777777" w:rsidTr="000602D0">
        <w:trPr>
          <w:trHeight w:val="170"/>
        </w:trPr>
        <w:tc>
          <w:tcPr>
            <w:tcW w:w="662" w:type="pct"/>
            <w:tcBorders>
              <w:top w:val="nil"/>
              <w:left w:val="nil"/>
              <w:bottom w:val="nil"/>
              <w:right w:val="nil"/>
            </w:tcBorders>
            <w:shd w:val="clear" w:color="auto" w:fill="auto"/>
            <w:noWrap/>
            <w:vAlign w:val="bottom"/>
            <w:hideMark/>
          </w:tcPr>
          <w:p w14:paraId="1B8B47D5" w14:textId="77777777" w:rsidR="000602D0" w:rsidRPr="00DB4C32" w:rsidRDefault="000602D0" w:rsidP="000602D0">
            <w:pPr>
              <w:spacing w:after="0" w:line="240" w:lineRule="auto"/>
              <w:jc w:val="center"/>
              <w:rPr>
                <w:rFonts w:ascii="Times New Roman" w:eastAsia="Times New Roman" w:hAnsi="Times New Roman" w:cs="Times New Roman"/>
                <w:b/>
                <w:bCs/>
                <w:color w:val="000000"/>
              </w:rPr>
            </w:pPr>
          </w:p>
        </w:tc>
        <w:tc>
          <w:tcPr>
            <w:tcW w:w="407" w:type="pct"/>
            <w:tcBorders>
              <w:top w:val="nil"/>
              <w:left w:val="nil"/>
              <w:bottom w:val="nil"/>
              <w:right w:val="nil"/>
            </w:tcBorders>
            <w:shd w:val="clear" w:color="auto" w:fill="auto"/>
            <w:noWrap/>
            <w:vAlign w:val="bottom"/>
            <w:hideMark/>
          </w:tcPr>
          <w:p w14:paraId="494F802F"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09F561B2"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57" w:type="pct"/>
            <w:tcBorders>
              <w:top w:val="nil"/>
              <w:left w:val="nil"/>
              <w:bottom w:val="nil"/>
              <w:right w:val="nil"/>
            </w:tcBorders>
            <w:shd w:val="clear" w:color="auto" w:fill="auto"/>
            <w:noWrap/>
            <w:vAlign w:val="bottom"/>
            <w:hideMark/>
          </w:tcPr>
          <w:p w14:paraId="25B19C3E"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13" w:type="pct"/>
            <w:tcBorders>
              <w:top w:val="nil"/>
              <w:left w:val="nil"/>
              <w:bottom w:val="nil"/>
              <w:right w:val="nil"/>
            </w:tcBorders>
            <w:shd w:val="clear" w:color="auto" w:fill="auto"/>
            <w:noWrap/>
            <w:vAlign w:val="bottom"/>
            <w:hideMark/>
          </w:tcPr>
          <w:p w14:paraId="29C3C14E"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55DB8B73"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6281AADE"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88" w:type="pct"/>
            <w:tcBorders>
              <w:top w:val="nil"/>
              <w:left w:val="nil"/>
              <w:bottom w:val="nil"/>
              <w:right w:val="nil"/>
            </w:tcBorders>
            <w:shd w:val="clear" w:color="auto" w:fill="auto"/>
            <w:noWrap/>
            <w:vAlign w:val="bottom"/>
            <w:hideMark/>
          </w:tcPr>
          <w:p w14:paraId="2384FCAA"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258" w:type="pct"/>
            <w:tcBorders>
              <w:top w:val="nil"/>
              <w:left w:val="nil"/>
              <w:bottom w:val="nil"/>
              <w:right w:val="nil"/>
            </w:tcBorders>
            <w:shd w:val="clear" w:color="auto" w:fill="auto"/>
            <w:noWrap/>
            <w:vAlign w:val="bottom"/>
            <w:hideMark/>
          </w:tcPr>
          <w:p w14:paraId="3FDDBC75"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07" w:type="pct"/>
            <w:tcBorders>
              <w:top w:val="nil"/>
              <w:left w:val="nil"/>
              <w:bottom w:val="nil"/>
              <w:right w:val="nil"/>
            </w:tcBorders>
            <w:shd w:val="clear" w:color="auto" w:fill="auto"/>
            <w:noWrap/>
            <w:vAlign w:val="bottom"/>
            <w:hideMark/>
          </w:tcPr>
          <w:p w14:paraId="38939EE9"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Islamic</w:t>
            </w:r>
          </w:p>
        </w:tc>
        <w:tc>
          <w:tcPr>
            <w:tcW w:w="258" w:type="pct"/>
            <w:tcBorders>
              <w:top w:val="nil"/>
              <w:left w:val="nil"/>
              <w:bottom w:val="nil"/>
              <w:right w:val="nil"/>
            </w:tcBorders>
            <w:shd w:val="clear" w:color="auto" w:fill="auto"/>
            <w:noWrap/>
            <w:vAlign w:val="bottom"/>
            <w:hideMark/>
          </w:tcPr>
          <w:p w14:paraId="12441249"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c>
          <w:tcPr>
            <w:tcW w:w="480" w:type="pct"/>
            <w:tcBorders>
              <w:top w:val="nil"/>
              <w:left w:val="nil"/>
              <w:bottom w:val="nil"/>
              <w:right w:val="nil"/>
            </w:tcBorders>
            <w:shd w:val="clear" w:color="auto" w:fill="auto"/>
            <w:noWrap/>
            <w:vAlign w:val="bottom"/>
            <w:hideMark/>
          </w:tcPr>
          <w:p w14:paraId="587E327D" w14:textId="77777777" w:rsidR="000602D0" w:rsidRPr="00DB4C32" w:rsidRDefault="000602D0" w:rsidP="000602D0">
            <w:pPr>
              <w:spacing w:after="0" w:line="240" w:lineRule="auto"/>
              <w:jc w:val="center"/>
              <w:rPr>
                <w:rFonts w:ascii="Times New Roman" w:eastAsia="Times New Roman" w:hAnsi="Times New Roman" w:cs="Times New Roman"/>
                <w:color w:val="000000"/>
              </w:rPr>
            </w:pPr>
            <w:r w:rsidRPr="00DB4C32">
              <w:rPr>
                <w:rFonts w:ascii="Times New Roman" w:eastAsia="Times New Roman" w:hAnsi="Times New Roman" w:cs="Times New Roman"/>
                <w:color w:val="000000"/>
              </w:rPr>
              <w:t>Conv.</w:t>
            </w:r>
          </w:p>
        </w:tc>
        <w:tc>
          <w:tcPr>
            <w:tcW w:w="347" w:type="pct"/>
            <w:tcBorders>
              <w:top w:val="nil"/>
              <w:left w:val="nil"/>
              <w:bottom w:val="nil"/>
              <w:right w:val="nil"/>
            </w:tcBorders>
            <w:shd w:val="clear" w:color="auto" w:fill="auto"/>
            <w:noWrap/>
            <w:vAlign w:val="bottom"/>
            <w:hideMark/>
          </w:tcPr>
          <w:p w14:paraId="7C63D98C" w14:textId="77777777" w:rsidR="000602D0" w:rsidRPr="00DB4C32" w:rsidRDefault="000602D0" w:rsidP="000602D0">
            <w:pPr>
              <w:spacing w:after="0" w:line="240" w:lineRule="auto"/>
              <w:jc w:val="center"/>
              <w:rPr>
                <w:rFonts w:ascii="Times New Roman" w:eastAsia="Times New Roman" w:hAnsi="Times New Roman" w:cs="Times New Roman"/>
                <w:color w:val="000000"/>
              </w:rPr>
            </w:pPr>
          </w:p>
        </w:tc>
      </w:tr>
      <w:tr w:rsidR="00316A5C" w:rsidRPr="00306401" w14:paraId="5AF9DA0D" w14:textId="77777777" w:rsidTr="000602D0">
        <w:trPr>
          <w:trHeight w:val="170"/>
        </w:trPr>
        <w:tc>
          <w:tcPr>
            <w:tcW w:w="662" w:type="pct"/>
            <w:tcBorders>
              <w:top w:val="nil"/>
              <w:left w:val="nil"/>
              <w:bottom w:val="nil"/>
              <w:right w:val="nil"/>
            </w:tcBorders>
            <w:shd w:val="clear" w:color="auto" w:fill="auto"/>
            <w:noWrap/>
            <w:vAlign w:val="bottom"/>
            <w:hideMark/>
          </w:tcPr>
          <w:p w14:paraId="47A325D2"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Malaysia</w:t>
            </w:r>
          </w:p>
        </w:tc>
        <w:tc>
          <w:tcPr>
            <w:tcW w:w="407" w:type="pct"/>
            <w:tcBorders>
              <w:top w:val="nil"/>
              <w:left w:val="nil"/>
              <w:bottom w:val="nil"/>
              <w:right w:val="nil"/>
            </w:tcBorders>
            <w:shd w:val="clear" w:color="auto" w:fill="auto"/>
            <w:noWrap/>
            <w:vAlign w:val="bottom"/>
            <w:hideMark/>
          </w:tcPr>
          <w:p w14:paraId="58EECEE4" w14:textId="5ED42C0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0.0350</w:t>
            </w:r>
          </w:p>
        </w:tc>
        <w:tc>
          <w:tcPr>
            <w:tcW w:w="258" w:type="pct"/>
            <w:tcBorders>
              <w:top w:val="nil"/>
              <w:left w:val="nil"/>
              <w:bottom w:val="nil"/>
              <w:right w:val="nil"/>
            </w:tcBorders>
            <w:shd w:val="clear" w:color="auto" w:fill="auto"/>
            <w:noWrap/>
            <w:vAlign w:val="bottom"/>
            <w:hideMark/>
          </w:tcPr>
          <w:p w14:paraId="5C83E65B" w14:textId="6D03B5D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4B290F9E" w14:textId="3506775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0.0131</w:t>
            </w:r>
          </w:p>
        </w:tc>
        <w:tc>
          <w:tcPr>
            <w:tcW w:w="313" w:type="pct"/>
            <w:tcBorders>
              <w:top w:val="nil"/>
              <w:left w:val="nil"/>
              <w:bottom w:val="nil"/>
              <w:right w:val="nil"/>
            </w:tcBorders>
            <w:shd w:val="clear" w:color="auto" w:fill="auto"/>
            <w:noWrap/>
            <w:vAlign w:val="bottom"/>
            <w:hideMark/>
          </w:tcPr>
          <w:p w14:paraId="01490315" w14:textId="6848D1D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6907F892" w14:textId="6027AD2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0.0332</w:t>
            </w:r>
          </w:p>
        </w:tc>
        <w:tc>
          <w:tcPr>
            <w:tcW w:w="258" w:type="pct"/>
            <w:tcBorders>
              <w:top w:val="nil"/>
              <w:left w:val="nil"/>
              <w:bottom w:val="nil"/>
              <w:right w:val="nil"/>
            </w:tcBorders>
            <w:shd w:val="clear" w:color="auto" w:fill="auto"/>
            <w:noWrap/>
            <w:vAlign w:val="bottom"/>
            <w:hideMark/>
          </w:tcPr>
          <w:p w14:paraId="71D7DEDD" w14:textId="7784870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018DCA30" w14:textId="0869CDB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0.0105</w:t>
            </w:r>
          </w:p>
        </w:tc>
        <w:tc>
          <w:tcPr>
            <w:tcW w:w="258" w:type="pct"/>
            <w:tcBorders>
              <w:top w:val="nil"/>
              <w:left w:val="nil"/>
              <w:bottom w:val="nil"/>
              <w:right w:val="nil"/>
            </w:tcBorders>
            <w:shd w:val="clear" w:color="auto" w:fill="auto"/>
            <w:noWrap/>
            <w:vAlign w:val="bottom"/>
            <w:hideMark/>
          </w:tcPr>
          <w:p w14:paraId="37923754" w14:textId="388AA76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F616B94" w14:textId="2E457FD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0.0569</w:t>
            </w:r>
          </w:p>
        </w:tc>
        <w:tc>
          <w:tcPr>
            <w:tcW w:w="258" w:type="pct"/>
            <w:tcBorders>
              <w:top w:val="nil"/>
              <w:left w:val="nil"/>
              <w:bottom w:val="nil"/>
              <w:right w:val="nil"/>
            </w:tcBorders>
            <w:shd w:val="clear" w:color="auto" w:fill="auto"/>
            <w:noWrap/>
            <w:vAlign w:val="bottom"/>
            <w:hideMark/>
          </w:tcPr>
          <w:p w14:paraId="5768FECE" w14:textId="259CD9E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7204105B" w14:textId="4BB6B53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-0.0069</w:t>
            </w:r>
          </w:p>
        </w:tc>
        <w:tc>
          <w:tcPr>
            <w:tcW w:w="347" w:type="pct"/>
            <w:tcBorders>
              <w:top w:val="nil"/>
              <w:left w:val="nil"/>
              <w:bottom w:val="nil"/>
              <w:right w:val="nil"/>
            </w:tcBorders>
            <w:shd w:val="clear" w:color="auto" w:fill="auto"/>
            <w:noWrap/>
            <w:vAlign w:val="bottom"/>
            <w:hideMark/>
          </w:tcPr>
          <w:p w14:paraId="20F46600" w14:textId="58736313"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0784C8F0" w14:textId="77777777" w:rsidTr="000602D0">
        <w:trPr>
          <w:trHeight w:val="170"/>
        </w:trPr>
        <w:tc>
          <w:tcPr>
            <w:tcW w:w="662" w:type="pct"/>
            <w:tcBorders>
              <w:top w:val="nil"/>
              <w:left w:val="nil"/>
              <w:bottom w:val="nil"/>
              <w:right w:val="nil"/>
            </w:tcBorders>
            <w:shd w:val="clear" w:color="auto" w:fill="auto"/>
            <w:noWrap/>
            <w:vAlign w:val="bottom"/>
            <w:hideMark/>
          </w:tcPr>
          <w:p w14:paraId="3E2F0C93"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Pakistan</w:t>
            </w:r>
          </w:p>
        </w:tc>
        <w:tc>
          <w:tcPr>
            <w:tcW w:w="407" w:type="pct"/>
            <w:tcBorders>
              <w:top w:val="nil"/>
              <w:left w:val="nil"/>
              <w:bottom w:val="nil"/>
              <w:right w:val="nil"/>
            </w:tcBorders>
            <w:shd w:val="clear" w:color="auto" w:fill="auto"/>
            <w:noWrap/>
            <w:vAlign w:val="bottom"/>
            <w:hideMark/>
          </w:tcPr>
          <w:p w14:paraId="2E0233CD" w14:textId="4817A03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0.0752</w:t>
            </w:r>
          </w:p>
        </w:tc>
        <w:tc>
          <w:tcPr>
            <w:tcW w:w="258" w:type="pct"/>
            <w:tcBorders>
              <w:top w:val="nil"/>
              <w:left w:val="nil"/>
              <w:bottom w:val="nil"/>
              <w:right w:val="nil"/>
            </w:tcBorders>
            <w:shd w:val="clear" w:color="auto" w:fill="auto"/>
            <w:noWrap/>
            <w:vAlign w:val="bottom"/>
            <w:hideMark/>
          </w:tcPr>
          <w:p w14:paraId="258A157E" w14:textId="1929F6B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3D674A55" w14:textId="4A9A8C9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0.0321</w:t>
            </w:r>
          </w:p>
        </w:tc>
        <w:tc>
          <w:tcPr>
            <w:tcW w:w="313" w:type="pct"/>
            <w:tcBorders>
              <w:top w:val="nil"/>
              <w:left w:val="nil"/>
              <w:bottom w:val="nil"/>
              <w:right w:val="nil"/>
            </w:tcBorders>
            <w:shd w:val="clear" w:color="auto" w:fill="auto"/>
            <w:noWrap/>
            <w:vAlign w:val="bottom"/>
            <w:hideMark/>
          </w:tcPr>
          <w:p w14:paraId="3E9B6443" w14:textId="39F782A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6A623FD2" w14:textId="4346792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0.0715</w:t>
            </w:r>
          </w:p>
        </w:tc>
        <w:tc>
          <w:tcPr>
            <w:tcW w:w="258" w:type="pct"/>
            <w:tcBorders>
              <w:top w:val="nil"/>
              <w:left w:val="nil"/>
              <w:bottom w:val="nil"/>
              <w:right w:val="nil"/>
            </w:tcBorders>
            <w:shd w:val="clear" w:color="auto" w:fill="auto"/>
            <w:noWrap/>
            <w:vAlign w:val="bottom"/>
            <w:hideMark/>
          </w:tcPr>
          <w:p w14:paraId="56374131" w14:textId="33922C2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20CCCFD7" w14:textId="783BA99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0.0257</w:t>
            </w:r>
          </w:p>
        </w:tc>
        <w:tc>
          <w:tcPr>
            <w:tcW w:w="258" w:type="pct"/>
            <w:tcBorders>
              <w:top w:val="nil"/>
              <w:left w:val="nil"/>
              <w:bottom w:val="nil"/>
              <w:right w:val="nil"/>
            </w:tcBorders>
            <w:shd w:val="clear" w:color="auto" w:fill="auto"/>
            <w:noWrap/>
            <w:vAlign w:val="bottom"/>
            <w:hideMark/>
          </w:tcPr>
          <w:p w14:paraId="6C4E392E" w14:textId="3AB8452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0FF47DE5" w14:textId="37670B8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0.0610</w:t>
            </w:r>
          </w:p>
        </w:tc>
        <w:tc>
          <w:tcPr>
            <w:tcW w:w="258" w:type="pct"/>
            <w:tcBorders>
              <w:top w:val="nil"/>
              <w:left w:val="nil"/>
              <w:bottom w:val="nil"/>
              <w:right w:val="nil"/>
            </w:tcBorders>
            <w:shd w:val="clear" w:color="auto" w:fill="auto"/>
            <w:noWrap/>
            <w:vAlign w:val="bottom"/>
            <w:hideMark/>
          </w:tcPr>
          <w:p w14:paraId="318E6820" w14:textId="370F400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3F3D545D" w14:textId="492CDD8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-0.0022</w:t>
            </w:r>
          </w:p>
        </w:tc>
        <w:tc>
          <w:tcPr>
            <w:tcW w:w="347" w:type="pct"/>
            <w:tcBorders>
              <w:top w:val="nil"/>
              <w:left w:val="nil"/>
              <w:bottom w:val="nil"/>
              <w:right w:val="nil"/>
            </w:tcBorders>
            <w:shd w:val="clear" w:color="auto" w:fill="auto"/>
            <w:noWrap/>
            <w:vAlign w:val="bottom"/>
            <w:hideMark/>
          </w:tcPr>
          <w:p w14:paraId="2EDA4B3A" w14:textId="4F5DA00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521EBA71" w14:textId="77777777" w:rsidTr="000602D0">
        <w:trPr>
          <w:trHeight w:val="170"/>
        </w:trPr>
        <w:tc>
          <w:tcPr>
            <w:tcW w:w="662" w:type="pct"/>
            <w:tcBorders>
              <w:top w:val="nil"/>
              <w:left w:val="nil"/>
              <w:bottom w:val="nil"/>
              <w:right w:val="nil"/>
            </w:tcBorders>
            <w:shd w:val="clear" w:color="auto" w:fill="auto"/>
            <w:noWrap/>
            <w:vAlign w:val="bottom"/>
            <w:hideMark/>
          </w:tcPr>
          <w:p w14:paraId="0C1D6300"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Saudi Arabia</w:t>
            </w:r>
          </w:p>
        </w:tc>
        <w:tc>
          <w:tcPr>
            <w:tcW w:w="407" w:type="pct"/>
            <w:tcBorders>
              <w:top w:val="nil"/>
              <w:left w:val="nil"/>
              <w:bottom w:val="nil"/>
              <w:right w:val="nil"/>
            </w:tcBorders>
            <w:shd w:val="clear" w:color="auto" w:fill="auto"/>
            <w:noWrap/>
            <w:vAlign w:val="bottom"/>
            <w:hideMark/>
          </w:tcPr>
          <w:p w14:paraId="5E6BB93C" w14:textId="55B4014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0.1271</w:t>
            </w:r>
          </w:p>
        </w:tc>
        <w:tc>
          <w:tcPr>
            <w:tcW w:w="258" w:type="pct"/>
            <w:tcBorders>
              <w:top w:val="nil"/>
              <w:left w:val="nil"/>
              <w:bottom w:val="nil"/>
              <w:right w:val="nil"/>
            </w:tcBorders>
            <w:shd w:val="clear" w:color="auto" w:fill="auto"/>
            <w:noWrap/>
            <w:vAlign w:val="bottom"/>
            <w:hideMark/>
          </w:tcPr>
          <w:p w14:paraId="65AE2283" w14:textId="6FC5D5C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646EF51F" w14:textId="120D4E4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0.0126</w:t>
            </w:r>
          </w:p>
        </w:tc>
        <w:tc>
          <w:tcPr>
            <w:tcW w:w="313" w:type="pct"/>
            <w:tcBorders>
              <w:top w:val="nil"/>
              <w:left w:val="nil"/>
              <w:bottom w:val="nil"/>
              <w:right w:val="nil"/>
            </w:tcBorders>
            <w:shd w:val="clear" w:color="auto" w:fill="auto"/>
            <w:noWrap/>
            <w:vAlign w:val="bottom"/>
            <w:hideMark/>
          </w:tcPr>
          <w:p w14:paraId="0FBE97EE" w14:textId="078CFC2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1DD74DFE" w14:textId="58705F7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0.1207</w:t>
            </w:r>
          </w:p>
        </w:tc>
        <w:tc>
          <w:tcPr>
            <w:tcW w:w="258" w:type="pct"/>
            <w:tcBorders>
              <w:top w:val="nil"/>
              <w:left w:val="nil"/>
              <w:bottom w:val="nil"/>
              <w:right w:val="nil"/>
            </w:tcBorders>
            <w:shd w:val="clear" w:color="auto" w:fill="auto"/>
            <w:noWrap/>
            <w:vAlign w:val="bottom"/>
            <w:hideMark/>
          </w:tcPr>
          <w:p w14:paraId="67D7DC84" w14:textId="59F19CE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5F33AC96" w14:textId="6E0ACBF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0.0101</w:t>
            </w:r>
          </w:p>
        </w:tc>
        <w:tc>
          <w:tcPr>
            <w:tcW w:w="258" w:type="pct"/>
            <w:tcBorders>
              <w:top w:val="nil"/>
              <w:left w:val="nil"/>
              <w:bottom w:val="nil"/>
              <w:right w:val="nil"/>
            </w:tcBorders>
            <w:shd w:val="clear" w:color="auto" w:fill="auto"/>
            <w:noWrap/>
            <w:vAlign w:val="bottom"/>
            <w:hideMark/>
          </w:tcPr>
          <w:p w14:paraId="5C70E143" w14:textId="1862D88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17EC152" w14:textId="45CEC03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0.0531</w:t>
            </w:r>
          </w:p>
        </w:tc>
        <w:tc>
          <w:tcPr>
            <w:tcW w:w="258" w:type="pct"/>
            <w:tcBorders>
              <w:top w:val="nil"/>
              <w:left w:val="nil"/>
              <w:bottom w:val="nil"/>
              <w:right w:val="nil"/>
            </w:tcBorders>
            <w:shd w:val="clear" w:color="auto" w:fill="auto"/>
            <w:noWrap/>
            <w:vAlign w:val="bottom"/>
            <w:hideMark/>
          </w:tcPr>
          <w:p w14:paraId="26CB5BE7" w14:textId="68F835F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62918329" w14:textId="3DF6043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-0.0015</w:t>
            </w:r>
          </w:p>
        </w:tc>
        <w:tc>
          <w:tcPr>
            <w:tcW w:w="347" w:type="pct"/>
            <w:tcBorders>
              <w:top w:val="nil"/>
              <w:left w:val="nil"/>
              <w:bottom w:val="nil"/>
              <w:right w:val="nil"/>
            </w:tcBorders>
            <w:shd w:val="clear" w:color="auto" w:fill="auto"/>
            <w:noWrap/>
            <w:vAlign w:val="bottom"/>
            <w:hideMark/>
          </w:tcPr>
          <w:p w14:paraId="0361985C" w14:textId="75A240C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5441659A" w14:textId="77777777" w:rsidTr="000602D0">
        <w:trPr>
          <w:trHeight w:val="170"/>
        </w:trPr>
        <w:tc>
          <w:tcPr>
            <w:tcW w:w="662" w:type="pct"/>
            <w:tcBorders>
              <w:top w:val="nil"/>
              <w:left w:val="nil"/>
              <w:bottom w:val="nil"/>
              <w:right w:val="nil"/>
            </w:tcBorders>
            <w:shd w:val="clear" w:color="auto" w:fill="auto"/>
            <w:noWrap/>
            <w:vAlign w:val="bottom"/>
            <w:hideMark/>
          </w:tcPr>
          <w:p w14:paraId="7FE363A7"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Qatar</w:t>
            </w:r>
          </w:p>
        </w:tc>
        <w:tc>
          <w:tcPr>
            <w:tcW w:w="407" w:type="pct"/>
            <w:tcBorders>
              <w:top w:val="nil"/>
              <w:left w:val="nil"/>
              <w:bottom w:val="nil"/>
              <w:right w:val="nil"/>
            </w:tcBorders>
            <w:shd w:val="clear" w:color="auto" w:fill="auto"/>
            <w:noWrap/>
            <w:vAlign w:val="bottom"/>
            <w:hideMark/>
          </w:tcPr>
          <w:p w14:paraId="5172FF5E" w14:textId="44F28B8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0.1723</w:t>
            </w:r>
          </w:p>
        </w:tc>
        <w:tc>
          <w:tcPr>
            <w:tcW w:w="258" w:type="pct"/>
            <w:tcBorders>
              <w:top w:val="nil"/>
              <w:left w:val="nil"/>
              <w:bottom w:val="nil"/>
              <w:right w:val="nil"/>
            </w:tcBorders>
            <w:shd w:val="clear" w:color="auto" w:fill="auto"/>
            <w:noWrap/>
            <w:vAlign w:val="bottom"/>
            <w:hideMark/>
          </w:tcPr>
          <w:p w14:paraId="43BBA32C" w14:textId="7171308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106FA9A7" w14:textId="3533A97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0.0048</w:t>
            </w:r>
          </w:p>
        </w:tc>
        <w:tc>
          <w:tcPr>
            <w:tcW w:w="313" w:type="pct"/>
            <w:tcBorders>
              <w:top w:val="nil"/>
              <w:left w:val="nil"/>
              <w:bottom w:val="nil"/>
              <w:right w:val="nil"/>
            </w:tcBorders>
            <w:shd w:val="clear" w:color="auto" w:fill="auto"/>
            <w:noWrap/>
            <w:vAlign w:val="bottom"/>
            <w:hideMark/>
          </w:tcPr>
          <w:p w14:paraId="26CC16E7" w14:textId="29CAEF5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E976E56" w14:textId="3DC6B32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0.1637</w:t>
            </w:r>
          </w:p>
        </w:tc>
        <w:tc>
          <w:tcPr>
            <w:tcW w:w="258" w:type="pct"/>
            <w:tcBorders>
              <w:top w:val="nil"/>
              <w:left w:val="nil"/>
              <w:bottom w:val="nil"/>
              <w:right w:val="nil"/>
            </w:tcBorders>
            <w:shd w:val="clear" w:color="auto" w:fill="auto"/>
            <w:noWrap/>
            <w:vAlign w:val="bottom"/>
            <w:hideMark/>
          </w:tcPr>
          <w:p w14:paraId="1270D1F4" w14:textId="23ADB5B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0D334919" w14:textId="4F4E17BE"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0.0038</w:t>
            </w:r>
          </w:p>
        </w:tc>
        <w:tc>
          <w:tcPr>
            <w:tcW w:w="258" w:type="pct"/>
            <w:tcBorders>
              <w:top w:val="nil"/>
              <w:left w:val="nil"/>
              <w:bottom w:val="nil"/>
              <w:right w:val="nil"/>
            </w:tcBorders>
            <w:shd w:val="clear" w:color="auto" w:fill="auto"/>
            <w:noWrap/>
            <w:vAlign w:val="bottom"/>
            <w:hideMark/>
          </w:tcPr>
          <w:p w14:paraId="0387F431" w14:textId="2EDBB22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11AFA072" w14:textId="6EB72185"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0.0426</w:t>
            </w:r>
          </w:p>
        </w:tc>
        <w:tc>
          <w:tcPr>
            <w:tcW w:w="258" w:type="pct"/>
            <w:tcBorders>
              <w:top w:val="nil"/>
              <w:left w:val="nil"/>
              <w:bottom w:val="nil"/>
              <w:right w:val="nil"/>
            </w:tcBorders>
            <w:shd w:val="clear" w:color="auto" w:fill="auto"/>
            <w:noWrap/>
            <w:vAlign w:val="bottom"/>
            <w:hideMark/>
          </w:tcPr>
          <w:p w14:paraId="19AAE213" w14:textId="1912A4C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4BAFB045" w14:textId="7ABA752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-0.0042</w:t>
            </w:r>
          </w:p>
        </w:tc>
        <w:tc>
          <w:tcPr>
            <w:tcW w:w="347" w:type="pct"/>
            <w:tcBorders>
              <w:top w:val="nil"/>
              <w:left w:val="nil"/>
              <w:bottom w:val="nil"/>
              <w:right w:val="nil"/>
            </w:tcBorders>
            <w:shd w:val="clear" w:color="auto" w:fill="auto"/>
            <w:noWrap/>
            <w:vAlign w:val="bottom"/>
            <w:hideMark/>
          </w:tcPr>
          <w:p w14:paraId="2E0A17D7" w14:textId="2098FF21"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1CDBC1D5" w14:textId="77777777" w:rsidTr="000602D0">
        <w:trPr>
          <w:trHeight w:val="170"/>
        </w:trPr>
        <w:tc>
          <w:tcPr>
            <w:tcW w:w="662" w:type="pct"/>
            <w:tcBorders>
              <w:top w:val="nil"/>
              <w:left w:val="nil"/>
              <w:bottom w:val="nil"/>
              <w:right w:val="nil"/>
            </w:tcBorders>
            <w:shd w:val="clear" w:color="auto" w:fill="auto"/>
            <w:noWrap/>
            <w:vAlign w:val="bottom"/>
            <w:hideMark/>
          </w:tcPr>
          <w:p w14:paraId="6BE39E42"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Kuwait</w:t>
            </w:r>
          </w:p>
        </w:tc>
        <w:tc>
          <w:tcPr>
            <w:tcW w:w="407" w:type="pct"/>
            <w:tcBorders>
              <w:top w:val="nil"/>
              <w:left w:val="nil"/>
              <w:bottom w:val="nil"/>
              <w:right w:val="nil"/>
            </w:tcBorders>
            <w:shd w:val="clear" w:color="auto" w:fill="auto"/>
            <w:noWrap/>
            <w:vAlign w:val="bottom"/>
            <w:hideMark/>
          </w:tcPr>
          <w:p w14:paraId="163B3799" w14:textId="604E420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0.1245</w:t>
            </w:r>
          </w:p>
        </w:tc>
        <w:tc>
          <w:tcPr>
            <w:tcW w:w="258" w:type="pct"/>
            <w:tcBorders>
              <w:top w:val="nil"/>
              <w:left w:val="nil"/>
              <w:bottom w:val="nil"/>
              <w:right w:val="nil"/>
            </w:tcBorders>
            <w:shd w:val="clear" w:color="auto" w:fill="auto"/>
            <w:noWrap/>
            <w:vAlign w:val="bottom"/>
            <w:hideMark/>
          </w:tcPr>
          <w:p w14:paraId="78D0B887" w14:textId="1FD1544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7A440BF9" w14:textId="2BD51FB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-0.0425</w:t>
            </w:r>
          </w:p>
        </w:tc>
        <w:tc>
          <w:tcPr>
            <w:tcW w:w="313" w:type="pct"/>
            <w:tcBorders>
              <w:top w:val="nil"/>
              <w:left w:val="nil"/>
              <w:bottom w:val="nil"/>
              <w:right w:val="nil"/>
            </w:tcBorders>
            <w:shd w:val="clear" w:color="auto" w:fill="auto"/>
            <w:noWrap/>
            <w:vAlign w:val="bottom"/>
            <w:hideMark/>
          </w:tcPr>
          <w:p w14:paraId="1F8C5641" w14:textId="4B923C7C"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65D5CCC2" w14:textId="301387C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0.1183</w:t>
            </w:r>
          </w:p>
        </w:tc>
        <w:tc>
          <w:tcPr>
            <w:tcW w:w="258" w:type="pct"/>
            <w:tcBorders>
              <w:top w:val="nil"/>
              <w:left w:val="nil"/>
              <w:bottom w:val="nil"/>
              <w:right w:val="nil"/>
            </w:tcBorders>
            <w:shd w:val="clear" w:color="auto" w:fill="auto"/>
            <w:noWrap/>
            <w:vAlign w:val="bottom"/>
            <w:hideMark/>
          </w:tcPr>
          <w:p w14:paraId="561D23D0" w14:textId="07F0AAA5"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36F3CDA3" w14:textId="476BD5BF"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-0.0340</w:t>
            </w:r>
          </w:p>
        </w:tc>
        <w:tc>
          <w:tcPr>
            <w:tcW w:w="258" w:type="pct"/>
            <w:tcBorders>
              <w:top w:val="nil"/>
              <w:left w:val="nil"/>
              <w:bottom w:val="nil"/>
              <w:right w:val="nil"/>
            </w:tcBorders>
            <w:shd w:val="clear" w:color="auto" w:fill="auto"/>
            <w:noWrap/>
            <w:vAlign w:val="bottom"/>
            <w:hideMark/>
          </w:tcPr>
          <w:p w14:paraId="4224AF58" w14:textId="3D4F660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1467A79A" w14:textId="313785D9"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0.0478</w:t>
            </w:r>
          </w:p>
        </w:tc>
        <w:tc>
          <w:tcPr>
            <w:tcW w:w="258" w:type="pct"/>
            <w:tcBorders>
              <w:top w:val="nil"/>
              <w:left w:val="nil"/>
              <w:bottom w:val="nil"/>
              <w:right w:val="nil"/>
            </w:tcBorders>
            <w:shd w:val="clear" w:color="auto" w:fill="auto"/>
            <w:noWrap/>
            <w:vAlign w:val="bottom"/>
            <w:hideMark/>
          </w:tcPr>
          <w:p w14:paraId="6795703F" w14:textId="1455600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6B000EA8" w14:textId="2843FB6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0.0026</w:t>
            </w:r>
          </w:p>
        </w:tc>
        <w:tc>
          <w:tcPr>
            <w:tcW w:w="347" w:type="pct"/>
            <w:tcBorders>
              <w:top w:val="nil"/>
              <w:left w:val="nil"/>
              <w:bottom w:val="nil"/>
              <w:right w:val="nil"/>
            </w:tcBorders>
            <w:shd w:val="clear" w:color="auto" w:fill="auto"/>
            <w:noWrap/>
            <w:vAlign w:val="bottom"/>
            <w:hideMark/>
          </w:tcPr>
          <w:p w14:paraId="7C3F20D7" w14:textId="32A16132"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316A5C" w:rsidRPr="00306401" w14:paraId="4155F95B" w14:textId="77777777" w:rsidTr="000602D0">
        <w:trPr>
          <w:trHeight w:val="170"/>
        </w:trPr>
        <w:tc>
          <w:tcPr>
            <w:tcW w:w="662" w:type="pct"/>
            <w:tcBorders>
              <w:top w:val="nil"/>
              <w:left w:val="nil"/>
              <w:bottom w:val="nil"/>
              <w:right w:val="nil"/>
            </w:tcBorders>
            <w:shd w:val="clear" w:color="auto" w:fill="auto"/>
            <w:noWrap/>
            <w:vAlign w:val="bottom"/>
            <w:hideMark/>
          </w:tcPr>
          <w:p w14:paraId="35A7C73F" w14:textId="77777777" w:rsidR="00316A5C" w:rsidRPr="00DB4C32" w:rsidRDefault="00316A5C" w:rsidP="00316A5C">
            <w:pPr>
              <w:spacing w:after="0" w:line="240" w:lineRule="auto"/>
              <w:rPr>
                <w:rFonts w:ascii="Times New Roman" w:eastAsia="Times New Roman" w:hAnsi="Times New Roman" w:cs="Times New Roman"/>
                <w:color w:val="000000"/>
              </w:rPr>
            </w:pPr>
            <w:r w:rsidRPr="00DB4C32">
              <w:rPr>
                <w:rFonts w:ascii="Times New Roman" w:eastAsia="Times New Roman" w:hAnsi="Times New Roman" w:cs="Times New Roman"/>
                <w:color w:val="000000"/>
              </w:rPr>
              <w:t>UAE</w:t>
            </w:r>
          </w:p>
        </w:tc>
        <w:tc>
          <w:tcPr>
            <w:tcW w:w="407" w:type="pct"/>
            <w:tcBorders>
              <w:top w:val="nil"/>
              <w:left w:val="nil"/>
              <w:bottom w:val="nil"/>
              <w:right w:val="nil"/>
            </w:tcBorders>
            <w:shd w:val="clear" w:color="auto" w:fill="auto"/>
            <w:noWrap/>
            <w:vAlign w:val="bottom"/>
            <w:hideMark/>
          </w:tcPr>
          <w:p w14:paraId="00937E94" w14:textId="3746C1E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0.3471</w:t>
            </w:r>
          </w:p>
        </w:tc>
        <w:tc>
          <w:tcPr>
            <w:tcW w:w="258" w:type="pct"/>
            <w:tcBorders>
              <w:top w:val="nil"/>
              <w:left w:val="nil"/>
              <w:bottom w:val="nil"/>
              <w:right w:val="nil"/>
            </w:tcBorders>
            <w:shd w:val="clear" w:color="auto" w:fill="auto"/>
            <w:noWrap/>
            <w:vAlign w:val="bottom"/>
            <w:hideMark/>
          </w:tcPr>
          <w:p w14:paraId="356B9A34" w14:textId="28C0AC4A"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57" w:type="pct"/>
            <w:tcBorders>
              <w:top w:val="nil"/>
              <w:left w:val="nil"/>
              <w:bottom w:val="nil"/>
              <w:right w:val="nil"/>
            </w:tcBorders>
            <w:shd w:val="clear" w:color="auto" w:fill="auto"/>
            <w:noWrap/>
            <w:vAlign w:val="bottom"/>
            <w:hideMark/>
          </w:tcPr>
          <w:p w14:paraId="7C079DB2" w14:textId="0F70ACE7"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0.0428</w:t>
            </w:r>
          </w:p>
        </w:tc>
        <w:tc>
          <w:tcPr>
            <w:tcW w:w="313" w:type="pct"/>
            <w:tcBorders>
              <w:top w:val="nil"/>
              <w:left w:val="nil"/>
              <w:bottom w:val="nil"/>
              <w:right w:val="nil"/>
            </w:tcBorders>
            <w:shd w:val="clear" w:color="auto" w:fill="auto"/>
            <w:noWrap/>
            <w:vAlign w:val="bottom"/>
            <w:hideMark/>
          </w:tcPr>
          <w:p w14:paraId="4B39B50B" w14:textId="270CDE9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7FE338BD" w14:textId="199F7E16"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0.3297</w:t>
            </w:r>
          </w:p>
        </w:tc>
        <w:tc>
          <w:tcPr>
            <w:tcW w:w="258" w:type="pct"/>
            <w:tcBorders>
              <w:top w:val="nil"/>
              <w:left w:val="nil"/>
              <w:bottom w:val="nil"/>
              <w:right w:val="nil"/>
            </w:tcBorders>
            <w:shd w:val="clear" w:color="auto" w:fill="auto"/>
            <w:noWrap/>
            <w:vAlign w:val="bottom"/>
            <w:hideMark/>
          </w:tcPr>
          <w:p w14:paraId="4B04B162" w14:textId="342A2EAD"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8" w:type="pct"/>
            <w:tcBorders>
              <w:top w:val="nil"/>
              <w:left w:val="nil"/>
              <w:bottom w:val="nil"/>
              <w:right w:val="nil"/>
            </w:tcBorders>
            <w:shd w:val="clear" w:color="auto" w:fill="auto"/>
            <w:noWrap/>
            <w:vAlign w:val="bottom"/>
            <w:hideMark/>
          </w:tcPr>
          <w:p w14:paraId="0E15C6DC" w14:textId="21962190"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0.0342</w:t>
            </w:r>
          </w:p>
        </w:tc>
        <w:tc>
          <w:tcPr>
            <w:tcW w:w="258" w:type="pct"/>
            <w:tcBorders>
              <w:top w:val="nil"/>
              <w:left w:val="nil"/>
              <w:bottom w:val="nil"/>
              <w:right w:val="nil"/>
            </w:tcBorders>
            <w:shd w:val="clear" w:color="auto" w:fill="auto"/>
            <w:noWrap/>
            <w:vAlign w:val="bottom"/>
            <w:hideMark/>
          </w:tcPr>
          <w:p w14:paraId="747A999F" w14:textId="664B12AB"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07" w:type="pct"/>
            <w:tcBorders>
              <w:top w:val="nil"/>
              <w:left w:val="nil"/>
              <w:bottom w:val="nil"/>
              <w:right w:val="nil"/>
            </w:tcBorders>
            <w:shd w:val="clear" w:color="auto" w:fill="auto"/>
            <w:noWrap/>
            <w:vAlign w:val="bottom"/>
            <w:hideMark/>
          </w:tcPr>
          <w:p w14:paraId="1E644F57" w14:textId="5A3CFBF3"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0.0518</w:t>
            </w:r>
          </w:p>
        </w:tc>
        <w:tc>
          <w:tcPr>
            <w:tcW w:w="258" w:type="pct"/>
            <w:tcBorders>
              <w:top w:val="nil"/>
              <w:left w:val="nil"/>
              <w:bottom w:val="nil"/>
              <w:right w:val="nil"/>
            </w:tcBorders>
            <w:shd w:val="clear" w:color="auto" w:fill="auto"/>
            <w:noWrap/>
            <w:vAlign w:val="bottom"/>
            <w:hideMark/>
          </w:tcPr>
          <w:p w14:paraId="094489B6" w14:textId="73BFEF38"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c>
          <w:tcPr>
            <w:tcW w:w="480" w:type="pct"/>
            <w:tcBorders>
              <w:top w:val="nil"/>
              <w:left w:val="nil"/>
              <w:bottom w:val="nil"/>
              <w:right w:val="nil"/>
            </w:tcBorders>
            <w:shd w:val="clear" w:color="auto" w:fill="auto"/>
            <w:noWrap/>
            <w:vAlign w:val="bottom"/>
            <w:hideMark/>
          </w:tcPr>
          <w:p w14:paraId="2563BB13" w14:textId="01E26A45"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0.0010</w:t>
            </w:r>
          </w:p>
        </w:tc>
        <w:tc>
          <w:tcPr>
            <w:tcW w:w="347" w:type="pct"/>
            <w:tcBorders>
              <w:top w:val="nil"/>
              <w:left w:val="nil"/>
              <w:bottom w:val="nil"/>
              <w:right w:val="nil"/>
            </w:tcBorders>
            <w:shd w:val="clear" w:color="auto" w:fill="auto"/>
            <w:noWrap/>
            <w:vAlign w:val="bottom"/>
            <w:hideMark/>
          </w:tcPr>
          <w:p w14:paraId="7E0C84F7" w14:textId="16C724E4" w:rsidR="00316A5C" w:rsidRPr="00306401" w:rsidRDefault="00316A5C" w:rsidP="00316A5C">
            <w:pPr>
              <w:spacing w:after="0" w:line="240" w:lineRule="auto"/>
              <w:jc w:val="center"/>
              <w:rPr>
                <w:rFonts w:ascii="Times New Roman" w:eastAsia="Times New Roman" w:hAnsi="Times New Roman" w:cs="Times New Roman"/>
                <w:color w:val="000000"/>
                <w:sz w:val="20"/>
                <w:szCs w:val="20"/>
              </w:rPr>
            </w:pPr>
            <w:r w:rsidRPr="00DD34C4">
              <w:rPr>
                <w:rFonts w:ascii="Times New Roman" w:eastAsia="Times New Roman" w:hAnsi="Times New Roman" w:cs="Times New Roman"/>
                <w:color w:val="000000"/>
                <w:lang w:eastAsia="en-GB"/>
              </w:rPr>
              <w:t>***</w:t>
            </w:r>
          </w:p>
        </w:tc>
      </w:tr>
      <w:tr w:rsidR="000602D0" w:rsidRPr="00306401" w14:paraId="440DA04E" w14:textId="77777777" w:rsidTr="000602D0">
        <w:trPr>
          <w:trHeight w:val="170"/>
        </w:trPr>
        <w:tc>
          <w:tcPr>
            <w:tcW w:w="662" w:type="pct"/>
            <w:tcBorders>
              <w:top w:val="nil"/>
              <w:left w:val="nil"/>
              <w:bottom w:val="single" w:sz="4" w:space="0" w:color="auto"/>
              <w:right w:val="nil"/>
            </w:tcBorders>
            <w:shd w:val="clear" w:color="auto" w:fill="auto"/>
            <w:noWrap/>
            <w:vAlign w:val="bottom"/>
          </w:tcPr>
          <w:p w14:paraId="1A4BFB31" w14:textId="77777777" w:rsidR="000602D0" w:rsidRPr="00DB4C32" w:rsidRDefault="000602D0" w:rsidP="000602D0">
            <w:pPr>
              <w:spacing w:after="0" w:line="240" w:lineRule="auto"/>
              <w:rPr>
                <w:rFonts w:ascii="Times New Roman" w:eastAsia="Times New Roman" w:hAnsi="Times New Roman" w:cs="Times New Roman"/>
                <w:color w:val="000000"/>
              </w:rPr>
            </w:pPr>
          </w:p>
        </w:tc>
        <w:tc>
          <w:tcPr>
            <w:tcW w:w="407" w:type="pct"/>
            <w:tcBorders>
              <w:top w:val="nil"/>
              <w:left w:val="nil"/>
              <w:bottom w:val="single" w:sz="4" w:space="0" w:color="auto"/>
              <w:right w:val="nil"/>
            </w:tcBorders>
            <w:shd w:val="clear" w:color="auto" w:fill="auto"/>
            <w:noWrap/>
            <w:vAlign w:val="bottom"/>
          </w:tcPr>
          <w:p w14:paraId="6FF04630"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6FC192E6"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57" w:type="pct"/>
            <w:tcBorders>
              <w:top w:val="nil"/>
              <w:left w:val="nil"/>
              <w:bottom w:val="single" w:sz="4" w:space="0" w:color="auto"/>
              <w:right w:val="nil"/>
            </w:tcBorders>
            <w:shd w:val="clear" w:color="auto" w:fill="auto"/>
            <w:noWrap/>
            <w:vAlign w:val="bottom"/>
          </w:tcPr>
          <w:p w14:paraId="702D7E4F"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313" w:type="pct"/>
            <w:tcBorders>
              <w:top w:val="nil"/>
              <w:left w:val="nil"/>
              <w:bottom w:val="single" w:sz="4" w:space="0" w:color="auto"/>
              <w:right w:val="nil"/>
            </w:tcBorders>
            <w:shd w:val="clear" w:color="auto" w:fill="auto"/>
            <w:noWrap/>
            <w:vAlign w:val="bottom"/>
          </w:tcPr>
          <w:p w14:paraId="1C53872D"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07" w:type="pct"/>
            <w:tcBorders>
              <w:top w:val="nil"/>
              <w:left w:val="nil"/>
              <w:bottom w:val="single" w:sz="4" w:space="0" w:color="auto"/>
              <w:right w:val="nil"/>
            </w:tcBorders>
            <w:shd w:val="clear" w:color="auto" w:fill="auto"/>
            <w:noWrap/>
            <w:vAlign w:val="bottom"/>
          </w:tcPr>
          <w:p w14:paraId="4B75812B"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75E934D2"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88" w:type="pct"/>
            <w:tcBorders>
              <w:top w:val="nil"/>
              <w:left w:val="nil"/>
              <w:bottom w:val="single" w:sz="4" w:space="0" w:color="auto"/>
              <w:right w:val="nil"/>
            </w:tcBorders>
            <w:shd w:val="clear" w:color="auto" w:fill="auto"/>
            <w:noWrap/>
            <w:vAlign w:val="bottom"/>
          </w:tcPr>
          <w:p w14:paraId="0E9C5334"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1E30AF8F"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07" w:type="pct"/>
            <w:tcBorders>
              <w:top w:val="nil"/>
              <w:left w:val="nil"/>
              <w:bottom w:val="single" w:sz="4" w:space="0" w:color="auto"/>
              <w:right w:val="nil"/>
            </w:tcBorders>
            <w:shd w:val="clear" w:color="auto" w:fill="auto"/>
            <w:noWrap/>
            <w:vAlign w:val="bottom"/>
          </w:tcPr>
          <w:p w14:paraId="4CCBC73B"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258" w:type="pct"/>
            <w:tcBorders>
              <w:top w:val="nil"/>
              <w:left w:val="nil"/>
              <w:bottom w:val="single" w:sz="4" w:space="0" w:color="auto"/>
              <w:right w:val="nil"/>
            </w:tcBorders>
            <w:shd w:val="clear" w:color="auto" w:fill="auto"/>
            <w:noWrap/>
            <w:vAlign w:val="bottom"/>
          </w:tcPr>
          <w:p w14:paraId="40A70ACF"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480" w:type="pct"/>
            <w:tcBorders>
              <w:top w:val="nil"/>
              <w:left w:val="nil"/>
              <w:bottom w:val="single" w:sz="4" w:space="0" w:color="auto"/>
              <w:right w:val="nil"/>
            </w:tcBorders>
            <w:shd w:val="clear" w:color="auto" w:fill="auto"/>
            <w:noWrap/>
            <w:vAlign w:val="bottom"/>
          </w:tcPr>
          <w:p w14:paraId="63568203"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c>
          <w:tcPr>
            <w:tcW w:w="347" w:type="pct"/>
            <w:tcBorders>
              <w:top w:val="nil"/>
              <w:left w:val="nil"/>
              <w:bottom w:val="single" w:sz="4" w:space="0" w:color="auto"/>
              <w:right w:val="nil"/>
            </w:tcBorders>
            <w:shd w:val="clear" w:color="auto" w:fill="auto"/>
            <w:noWrap/>
            <w:vAlign w:val="bottom"/>
          </w:tcPr>
          <w:p w14:paraId="08C68CA1" w14:textId="77777777" w:rsidR="000602D0" w:rsidRPr="00306401" w:rsidRDefault="000602D0" w:rsidP="000602D0">
            <w:pPr>
              <w:spacing w:after="0" w:line="240" w:lineRule="auto"/>
              <w:jc w:val="center"/>
              <w:rPr>
                <w:rFonts w:ascii="Times New Roman" w:eastAsia="Times New Roman" w:hAnsi="Times New Roman" w:cs="Times New Roman"/>
                <w:color w:val="000000"/>
                <w:sz w:val="20"/>
                <w:szCs w:val="20"/>
              </w:rPr>
            </w:pPr>
          </w:p>
        </w:tc>
      </w:tr>
    </w:tbl>
    <w:p w14:paraId="3E48B888" w14:textId="77777777" w:rsidR="000602D0" w:rsidRDefault="000602D0" w:rsidP="004B3DBE">
      <w:pPr>
        <w:rPr>
          <w:rFonts w:ascii="Times New Roman" w:hAnsi="Times New Roman" w:cs="Times New Roman"/>
          <w:sz w:val="24"/>
          <w:szCs w:val="24"/>
        </w:rPr>
      </w:pPr>
    </w:p>
    <w:p w14:paraId="5BBB34F3" w14:textId="5576813C" w:rsidR="004B3DBE" w:rsidRDefault="004B3DBE" w:rsidP="004B3DBE">
      <w:pPr>
        <w:rPr>
          <w:rFonts w:ascii="Times New Roman" w:hAnsi="Times New Roman" w:cs="Times New Roman"/>
          <w:sz w:val="24"/>
          <w:szCs w:val="24"/>
        </w:rPr>
      </w:pPr>
      <w:r>
        <w:rPr>
          <w:rFonts w:ascii="Times New Roman" w:hAnsi="Times New Roman" w:cs="Times New Roman"/>
          <w:sz w:val="24"/>
          <w:szCs w:val="24"/>
        </w:rPr>
        <w:t>*** represents significance at 1%</w:t>
      </w:r>
      <w:r w:rsidR="00306401">
        <w:rPr>
          <w:rFonts w:ascii="Times New Roman" w:hAnsi="Times New Roman" w:cs="Times New Roman"/>
          <w:sz w:val="24"/>
          <w:szCs w:val="24"/>
        </w:rPr>
        <w:t>.</w:t>
      </w:r>
      <w:r>
        <w:rPr>
          <w:rFonts w:ascii="Times New Roman" w:hAnsi="Times New Roman" w:cs="Times New Roman"/>
          <w:sz w:val="24"/>
          <w:szCs w:val="24"/>
        </w:rPr>
        <w:t xml:space="preserve"> **at 5% and *at 10%</w:t>
      </w:r>
    </w:p>
    <w:p w14:paraId="61CA0182" w14:textId="77777777" w:rsidR="004B3DBE" w:rsidRDefault="004B3DBE" w:rsidP="004B3DBE">
      <w:pPr>
        <w:rPr>
          <w:rFonts w:ascii="Times New Roman" w:hAnsi="Times New Roman" w:cs="Times New Roman"/>
          <w:sz w:val="24"/>
          <w:szCs w:val="24"/>
        </w:rPr>
        <w:sectPr w:rsidR="004B3DBE" w:rsidSect="004B3DBE">
          <w:pgSz w:w="15840" w:h="12240" w:orient="landscape"/>
          <w:pgMar w:top="1417" w:right="1418" w:bottom="1418" w:left="1418" w:header="709" w:footer="709" w:gutter="0"/>
          <w:cols w:space="708"/>
          <w:docGrid w:linePitch="360"/>
        </w:sectPr>
      </w:pPr>
    </w:p>
    <w:p w14:paraId="00A73172" w14:textId="29209392" w:rsidR="004B3DBE" w:rsidRDefault="004B3DBE" w:rsidP="004B3DBE">
      <w:pPr>
        <w:rPr>
          <w:rFonts w:ascii="Times New Roman" w:hAnsi="Times New Roman" w:cs="Times New Roman"/>
          <w:sz w:val="24"/>
          <w:szCs w:val="24"/>
        </w:rPr>
      </w:pPr>
    </w:p>
    <w:tbl>
      <w:tblPr>
        <w:tblW w:w="7924" w:type="dxa"/>
        <w:jc w:val="center"/>
        <w:tblLook w:val="04A0" w:firstRow="1" w:lastRow="0" w:firstColumn="1" w:lastColumn="0" w:noHBand="0" w:noVBand="1"/>
      </w:tblPr>
      <w:tblGrid>
        <w:gridCol w:w="2161"/>
        <w:gridCol w:w="171"/>
        <w:gridCol w:w="1124"/>
        <w:gridCol w:w="273"/>
        <w:gridCol w:w="1022"/>
        <w:gridCol w:w="375"/>
        <w:gridCol w:w="920"/>
        <w:gridCol w:w="477"/>
        <w:gridCol w:w="821"/>
        <w:gridCol w:w="580"/>
      </w:tblGrid>
      <w:tr w:rsidR="00177DD5" w:rsidRPr="00086203" w14:paraId="47EA06B7" w14:textId="77777777" w:rsidTr="00177DD5">
        <w:trPr>
          <w:gridAfter w:val="1"/>
          <w:wAfter w:w="580" w:type="dxa"/>
          <w:trHeight w:val="261"/>
          <w:jc w:val="center"/>
        </w:trPr>
        <w:tc>
          <w:tcPr>
            <w:tcW w:w="7344" w:type="dxa"/>
            <w:gridSpan w:val="9"/>
            <w:tcBorders>
              <w:top w:val="nil"/>
              <w:left w:val="nil"/>
              <w:bottom w:val="single" w:sz="4" w:space="0" w:color="auto"/>
              <w:right w:val="nil"/>
            </w:tcBorders>
            <w:shd w:val="clear" w:color="000000" w:fill="FFFF00"/>
            <w:noWrap/>
            <w:vAlign w:val="bottom"/>
            <w:hideMark/>
          </w:tcPr>
          <w:p w14:paraId="1A519C68" w14:textId="77777777" w:rsidR="00177DD5" w:rsidRPr="00086203" w:rsidRDefault="00177DD5" w:rsidP="00177DD5">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Table 5: Stochastic Dominance (SD1, SD2, SD3 and SD4)</w:t>
            </w:r>
          </w:p>
        </w:tc>
      </w:tr>
      <w:tr w:rsidR="00177DD5" w:rsidRPr="00086203" w14:paraId="2AEC3838" w14:textId="77777777" w:rsidTr="00177DD5">
        <w:trPr>
          <w:gridAfter w:val="1"/>
          <w:wAfter w:w="580" w:type="dxa"/>
          <w:trHeight w:val="261"/>
          <w:jc w:val="center"/>
        </w:trPr>
        <w:tc>
          <w:tcPr>
            <w:tcW w:w="7344" w:type="dxa"/>
            <w:gridSpan w:val="9"/>
            <w:tcBorders>
              <w:top w:val="single" w:sz="4" w:space="0" w:color="auto"/>
              <w:left w:val="nil"/>
              <w:bottom w:val="single" w:sz="4" w:space="0" w:color="auto"/>
              <w:right w:val="nil"/>
            </w:tcBorders>
            <w:shd w:val="clear" w:color="auto" w:fill="auto"/>
            <w:vAlign w:val="bottom"/>
            <w:hideMark/>
          </w:tcPr>
          <w:p w14:paraId="78107883"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Covid19 - Complete Period (Jan 1 - May 31, 2021)</w:t>
            </w:r>
          </w:p>
        </w:tc>
      </w:tr>
      <w:tr w:rsidR="00177DD5" w:rsidRPr="00086203" w14:paraId="7CB2A966"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43359549"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p>
        </w:tc>
        <w:tc>
          <w:tcPr>
            <w:tcW w:w="1295" w:type="dxa"/>
            <w:gridSpan w:val="2"/>
            <w:tcBorders>
              <w:top w:val="nil"/>
              <w:left w:val="nil"/>
              <w:bottom w:val="nil"/>
              <w:right w:val="nil"/>
            </w:tcBorders>
            <w:shd w:val="clear" w:color="auto" w:fill="auto"/>
            <w:noWrap/>
            <w:vAlign w:val="bottom"/>
            <w:hideMark/>
          </w:tcPr>
          <w:p w14:paraId="79ACDC4B"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(1)</w:t>
            </w:r>
          </w:p>
        </w:tc>
        <w:tc>
          <w:tcPr>
            <w:tcW w:w="1295" w:type="dxa"/>
            <w:gridSpan w:val="2"/>
            <w:tcBorders>
              <w:top w:val="nil"/>
              <w:left w:val="nil"/>
              <w:bottom w:val="nil"/>
              <w:right w:val="nil"/>
            </w:tcBorders>
            <w:shd w:val="clear" w:color="auto" w:fill="auto"/>
            <w:noWrap/>
            <w:vAlign w:val="bottom"/>
            <w:hideMark/>
          </w:tcPr>
          <w:p w14:paraId="778C3416"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(2)</w:t>
            </w:r>
          </w:p>
        </w:tc>
        <w:tc>
          <w:tcPr>
            <w:tcW w:w="1295" w:type="dxa"/>
            <w:gridSpan w:val="2"/>
            <w:tcBorders>
              <w:top w:val="nil"/>
              <w:left w:val="nil"/>
              <w:bottom w:val="nil"/>
              <w:right w:val="nil"/>
            </w:tcBorders>
            <w:shd w:val="clear" w:color="auto" w:fill="auto"/>
            <w:noWrap/>
            <w:vAlign w:val="bottom"/>
            <w:hideMark/>
          </w:tcPr>
          <w:p w14:paraId="58B72029"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(3)</w:t>
            </w:r>
          </w:p>
        </w:tc>
        <w:tc>
          <w:tcPr>
            <w:tcW w:w="1298" w:type="dxa"/>
            <w:gridSpan w:val="2"/>
            <w:tcBorders>
              <w:top w:val="nil"/>
              <w:left w:val="nil"/>
              <w:bottom w:val="nil"/>
              <w:right w:val="nil"/>
            </w:tcBorders>
            <w:shd w:val="clear" w:color="auto" w:fill="auto"/>
            <w:noWrap/>
            <w:vAlign w:val="bottom"/>
            <w:hideMark/>
          </w:tcPr>
          <w:p w14:paraId="04599B97"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(4)</w:t>
            </w:r>
          </w:p>
        </w:tc>
      </w:tr>
      <w:tr w:rsidR="00177DD5" w:rsidRPr="00086203" w14:paraId="10A6BF60"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6D199B13"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Malaysia</w:t>
            </w:r>
          </w:p>
        </w:tc>
        <w:tc>
          <w:tcPr>
            <w:tcW w:w="1295" w:type="dxa"/>
            <w:gridSpan w:val="2"/>
            <w:tcBorders>
              <w:top w:val="nil"/>
              <w:left w:val="nil"/>
              <w:bottom w:val="nil"/>
              <w:right w:val="nil"/>
            </w:tcBorders>
            <w:shd w:val="clear" w:color="auto" w:fill="auto"/>
            <w:noWrap/>
            <w:vAlign w:val="bottom"/>
            <w:hideMark/>
          </w:tcPr>
          <w:p w14:paraId="0A5F0CD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B7C14A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623048BE"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71637C5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1B897CD0"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6808735B"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Pakistan</w:t>
            </w:r>
          </w:p>
        </w:tc>
        <w:tc>
          <w:tcPr>
            <w:tcW w:w="1295" w:type="dxa"/>
            <w:gridSpan w:val="2"/>
            <w:tcBorders>
              <w:top w:val="nil"/>
              <w:left w:val="nil"/>
              <w:bottom w:val="nil"/>
              <w:right w:val="nil"/>
            </w:tcBorders>
            <w:shd w:val="clear" w:color="auto" w:fill="auto"/>
            <w:noWrap/>
            <w:vAlign w:val="bottom"/>
            <w:hideMark/>
          </w:tcPr>
          <w:p w14:paraId="273E4DB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C382F4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27ADA23"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2E0F49A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597CC1B8"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485F5AF"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Saudi Arabia</w:t>
            </w:r>
          </w:p>
        </w:tc>
        <w:tc>
          <w:tcPr>
            <w:tcW w:w="1295" w:type="dxa"/>
            <w:gridSpan w:val="2"/>
            <w:tcBorders>
              <w:top w:val="nil"/>
              <w:left w:val="nil"/>
              <w:bottom w:val="nil"/>
              <w:right w:val="nil"/>
            </w:tcBorders>
            <w:shd w:val="clear" w:color="auto" w:fill="auto"/>
            <w:noWrap/>
            <w:vAlign w:val="bottom"/>
            <w:hideMark/>
          </w:tcPr>
          <w:p w14:paraId="222EDDF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B053632"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1FD1F9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36B1AE6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3A90DEC5"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222085F0"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Qatar</w:t>
            </w:r>
          </w:p>
        </w:tc>
        <w:tc>
          <w:tcPr>
            <w:tcW w:w="1295" w:type="dxa"/>
            <w:gridSpan w:val="2"/>
            <w:tcBorders>
              <w:top w:val="nil"/>
              <w:left w:val="nil"/>
              <w:bottom w:val="nil"/>
              <w:right w:val="nil"/>
            </w:tcBorders>
            <w:shd w:val="clear" w:color="auto" w:fill="auto"/>
            <w:noWrap/>
            <w:vAlign w:val="bottom"/>
            <w:hideMark/>
          </w:tcPr>
          <w:p w14:paraId="54BF16B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41D72BBE"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6B5F9E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3E400F1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1D4824F0"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62BF027B"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Kuwait</w:t>
            </w:r>
          </w:p>
        </w:tc>
        <w:tc>
          <w:tcPr>
            <w:tcW w:w="1295" w:type="dxa"/>
            <w:gridSpan w:val="2"/>
            <w:tcBorders>
              <w:top w:val="nil"/>
              <w:left w:val="nil"/>
              <w:bottom w:val="nil"/>
              <w:right w:val="nil"/>
            </w:tcBorders>
            <w:shd w:val="clear" w:color="auto" w:fill="auto"/>
            <w:noWrap/>
            <w:vAlign w:val="bottom"/>
            <w:hideMark/>
          </w:tcPr>
          <w:p w14:paraId="54CF1D7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8AB71C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54395EB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37F3C13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12020037"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73BDC960"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UAE</w:t>
            </w:r>
          </w:p>
        </w:tc>
        <w:tc>
          <w:tcPr>
            <w:tcW w:w="1295" w:type="dxa"/>
            <w:gridSpan w:val="2"/>
            <w:tcBorders>
              <w:top w:val="nil"/>
              <w:left w:val="nil"/>
              <w:bottom w:val="nil"/>
              <w:right w:val="nil"/>
            </w:tcBorders>
            <w:shd w:val="clear" w:color="auto" w:fill="auto"/>
            <w:noWrap/>
            <w:vAlign w:val="bottom"/>
            <w:hideMark/>
          </w:tcPr>
          <w:p w14:paraId="52E35EE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7BDE8C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4B9871C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32521525"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2B7F2243" w14:textId="77777777" w:rsidTr="00177DD5">
        <w:trPr>
          <w:gridAfter w:val="1"/>
          <w:wAfter w:w="580" w:type="dxa"/>
          <w:trHeight w:val="261"/>
          <w:jc w:val="center"/>
        </w:trPr>
        <w:tc>
          <w:tcPr>
            <w:tcW w:w="7344" w:type="dxa"/>
            <w:gridSpan w:val="9"/>
            <w:tcBorders>
              <w:top w:val="nil"/>
              <w:left w:val="nil"/>
              <w:bottom w:val="nil"/>
              <w:right w:val="nil"/>
            </w:tcBorders>
            <w:shd w:val="clear" w:color="auto" w:fill="auto"/>
            <w:vAlign w:val="bottom"/>
            <w:hideMark/>
          </w:tcPr>
          <w:p w14:paraId="71CEF44D"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Stage 1 (Jan 1 - March 19)</w:t>
            </w:r>
          </w:p>
        </w:tc>
      </w:tr>
      <w:tr w:rsidR="00177DD5" w:rsidRPr="00086203" w14:paraId="2840C215"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47523A95" w14:textId="77777777" w:rsidR="00177DD5" w:rsidRPr="00086203" w:rsidRDefault="00177DD5" w:rsidP="00550FD7">
            <w:pPr>
              <w:spacing w:after="0" w:line="240" w:lineRule="auto"/>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Islamic Funds</w:t>
            </w:r>
          </w:p>
        </w:tc>
        <w:tc>
          <w:tcPr>
            <w:tcW w:w="1295" w:type="dxa"/>
            <w:gridSpan w:val="2"/>
            <w:tcBorders>
              <w:top w:val="nil"/>
              <w:left w:val="nil"/>
              <w:bottom w:val="nil"/>
              <w:right w:val="nil"/>
            </w:tcBorders>
            <w:shd w:val="clear" w:color="auto" w:fill="auto"/>
            <w:noWrap/>
            <w:vAlign w:val="bottom"/>
            <w:hideMark/>
          </w:tcPr>
          <w:p w14:paraId="389E4297"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(1)</w:t>
            </w:r>
          </w:p>
        </w:tc>
        <w:tc>
          <w:tcPr>
            <w:tcW w:w="1295" w:type="dxa"/>
            <w:gridSpan w:val="2"/>
            <w:tcBorders>
              <w:top w:val="nil"/>
              <w:left w:val="nil"/>
              <w:bottom w:val="nil"/>
              <w:right w:val="nil"/>
            </w:tcBorders>
            <w:shd w:val="clear" w:color="auto" w:fill="auto"/>
            <w:noWrap/>
            <w:vAlign w:val="bottom"/>
            <w:hideMark/>
          </w:tcPr>
          <w:p w14:paraId="2A6D7A3E"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(2)</w:t>
            </w:r>
          </w:p>
        </w:tc>
        <w:tc>
          <w:tcPr>
            <w:tcW w:w="1295" w:type="dxa"/>
            <w:gridSpan w:val="2"/>
            <w:tcBorders>
              <w:top w:val="nil"/>
              <w:left w:val="nil"/>
              <w:bottom w:val="nil"/>
              <w:right w:val="nil"/>
            </w:tcBorders>
            <w:shd w:val="clear" w:color="auto" w:fill="auto"/>
            <w:noWrap/>
            <w:vAlign w:val="bottom"/>
            <w:hideMark/>
          </w:tcPr>
          <w:p w14:paraId="44F758C4"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(3)</w:t>
            </w:r>
          </w:p>
        </w:tc>
        <w:tc>
          <w:tcPr>
            <w:tcW w:w="1298" w:type="dxa"/>
            <w:gridSpan w:val="2"/>
            <w:tcBorders>
              <w:top w:val="nil"/>
              <w:left w:val="nil"/>
              <w:bottom w:val="nil"/>
              <w:right w:val="nil"/>
            </w:tcBorders>
            <w:shd w:val="clear" w:color="auto" w:fill="auto"/>
            <w:noWrap/>
            <w:vAlign w:val="bottom"/>
            <w:hideMark/>
          </w:tcPr>
          <w:p w14:paraId="6015328A"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(4)</w:t>
            </w:r>
          </w:p>
        </w:tc>
      </w:tr>
      <w:tr w:rsidR="00177DD5" w:rsidRPr="00086203" w14:paraId="59CF84A9"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57627353"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Malaysia</w:t>
            </w:r>
          </w:p>
        </w:tc>
        <w:tc>
          <w:tcPr>
            <w:tcW w:w="1295" w:type="dxa"/>
            <w:gridSpan w:val="2"/>
            <w:tcBorders>
              <w:top w:val="nil"/>
              <w:left w:val="nil"/>
              <w:bottom w:val="nil"/>
              <w:right w:val="nil"/>
            </w:tcBorders>
            <w:shd w:val="clear" w:color="auto" w:fill="auto"/>
            <w:noWrap/>
            <w:vAlign w:val="bottom"/>
            <w:hideMark/>
          </w:tcPr>
          <w:p w14:paraId="76EF0CDE" w14:textId="77777777" w:rsidR="00177DD5" w:rsidRPr="00086203" w:rsidRDefault="00177DD5" w:rsidP="00550FD7">
            <w:pPr>
              <w:spacing w:after="0" w:line="240" w:lineRule="auto"/>
              <w:jc w:val="center"/>
              <w:rPr>
                <w:rFonts w:ascii="Times New Roman" w:eastAsia="Times New Roman" w:hAnsi="Times New Roman" w:cs="Times New Roman"/>
                <w:i/>
                <w:iCs/>
                <w:color w:val="000000"/>
                <w:lang w:eastAsia="en-GB"/>
              </w:rPr>
            </w:pPr>
            <w:proofErr w:type="gramStart"/>
            <w:r w:rsidRPr="00086203">
              <w:rPr>
                <w:rFonts w:ascii="Times New Roman" w:eastAsia="Times New Roman" w:hAnsi="Times New Roman" w:cs="Times New Roman"/>
                <w:i/>
                <w:iCs/>
                <w:color w:val="000000"/>
                <w:lang w:eastAsia="en-GB"/>
              </w:rPr>
              <w:t>D(</w:t>
            </w:r>
            <w:proofErr w:type="gramEnd"/>
            <w:r w:rsidRPr="00086203">
              <w:rPr>
                <w:rFonts w:ascii="Times New Roman" w:eastAsia="Times New Roman" w:hAnsi="Times New Roman" w:cs="Times New Roman"/>
                <w:i/>
                <w:iCs/>
                <w:color w:val="000000"/>
                <w:lang w:eastAsia="en-GB"/>
              </w:rPr>
              <w:t>C &gt; I)</w:t>
            </w:r>
          </w:p>
        </w:tc>
        <w:tc>
          <w:tcPr>
            <w:tcW w:w="1295" w:type="dxa"/>
            <w:gridSpan w:val="2"/>
            <w:tcBorders>
              <w:top w:val="nil"/>
              <w:left w:val="nil"/>
              <w:bottom w:val="nil"/>
              <w:right w:val="nil"/>
            </w:tcBorders>
            <w:shd w:val="clear" w:color="auto" w:fill="auto"/>
            <w:noWrap/>
            <w:vAlign w:val="bottom"/>
            <w:hideMark/>
          </w:tcPr>
          <w:p w14:paraId="4BCD990F" w14:textId="77777777" w:rsidR="00177DD5" w:rsidRPr="00086203" w:rsidRDefault="00177DD5" w:rsidP="00550FD7">
            <w:pPr>
              <w:spacing w:after="0" w:line="240" w:lineRule="auto"/>
              <w:jc w:val="center"/>
              <w:rPr>
                <w:rFonts w:ascii="Times New Roman" w:eastAsia="Times New Roman" w:hAnsi="Times New Roman" w:cs="Times New Roman"/>
                <w:i/>
                <w:iCs/>
                <w:color w:val="000000"/>
                <w:lang w:eastAsia="en-GB"/>
              </w:rPr>
            </w:pPr>
            <w:proofErr w:type="gramStart"/>
            <w:r w:rsidRPr="00086203">
              <w:rPr>
                <w:rFonts w:ascii="Times New Roman" w:eastAsia="Times New Roman" w:hAnsi="Times New Roman" w:cs="Times New Roman"/>
                <w:i/>
                <w:iCs/>
                <w:color w:val="000000"/>
                <w:lang w:eastAsia="en-GB"/>
              </w:rPr>
              <w:t>D(</w:t>
            </w:r>
            <w:proofErr w:type="gramEnd"/>
            <w:r w:rsidRPr="00086203">
              <w:rPr>
                <w:rFonts w:ascii="Times New Roman" w:eastAsia="Times New Roman" w:hAnsi="Times New Roman" w:cs="Times New Roman"/>
                <w:i/>
                <w:iCs/>
                <w:color w:val="000000"/>
                <w:lang w:eastAsia="en-GB"/>
              </w:rPr>
              <w:t>C &gt; I)</w:t>
            </w:r>
          </w:p>
        </w:tc>
        <w:tc>
          <w:tcPr>
            <w:tcW w:w="1295" w:type="dxa"/>
            <w:gridSpan w:val="2"/>
            <w:tcBorders>
              <w:top w:val="nil"/>
              <w:left w:val="nil"/>
              <w:bottom w:val="nil"/>
              <w:right w:val="nil"/>
            </w:tcBorders>
            <w:shd w:val="clear" w:color="auto" w:fill="auto"/>
            <w:noWrap/>
            <w:vAlign w:val="bottom"/>
            <w:hideMark/>
          </w:tcPr>
          <w:p w14:paraId="2975AA65" w14:textId="77777777" w:rsidR="00177DD5" w:rsidRPr="00086203" w:rsidRDefault="00177DD5" w:rsidP="00550FD7">
            <w:pPr>
              <w:spacing w:after="0" w:line="240" w:lineRule="auto"/>
              <w:jc w:val="center"/>
              <w:rPr>
                <w:rFonts w:ascii="Times New Roman" w:eastAsia="Times New Roman" w:hAnsi="Times New Roman" w:cs="Times New Roman"/>
                <w:i/>
                <w:iCs/>
                <w:color w:val="000000"/>
                <w:lang w:eastAsia="en-GB"/>
              </w:rPr>
            </w:pPr>
            <w:proofErr w:type="gramStart"/>
            <w:r w:rsidRPr="00086203">
              <w:rPr>
                <w:rFonts w:ascii="Times New Roman" w:eastAsia="Times New Roman" w:hAnsi="Times New Roman" w:cs="Times New Roman"/>
                <w:i/>
                <w:iCs/>
                <w:color w:val="000000"/>
                <w:lang w:eastAsia="en-GB"/>
              </w:rPr>
              <w:t>D(</w:t>
            </w:r>
            <w:proofErr w:type="gramEnd"/>
            <w:r w:rsidRPr="00086203">
              <w:rPr>
                <w:rFonts w:ascii="Times New Roman" w:eastAsia="Times New Roman" w:hAnsi="Times New Roman" w:cs="Times New Roman"/>
                <w:i/>
                <w:iCs/>
                <w:color w:val="000000"/>
                <w:lang w:eastAsia="en-GB"/>
              </w:rPr>
              <w:t>C &gt; I)</w:t>
            </w:r>
          </w:p>
        </w:tc>
        <w:tc>
          <w:tcPr>
            <w:tcW w:w="1298" w:type="dxa"/>
            <w:gridSpan w:val="2"/>
            <w:tcBorders>
              <w:top w:val="nil"/>
              <w:left w:val="nil"/>
              <w:bottom w:val="nil"/>
              <w:right w:val="nil"/>
            </w:tcBorders>
            <w:shd w:val="clear" w:color="auto" w:fill="auto"/>
            <w:noWrap/>
            <w:vAlign w:val="bottom"/>
            <w:hideMark/>
          </w:tcPr>
          <w:p w14:paraId="2216A548" w14:textId="77777777" w:rsidR="00177DD5" w:rsidRPr="00086203" w:rsidRDefault="00177DD5" w:rsidP="00550FD7">
            <w:pPr>
              <w:spacing w:after="0" w:line="240" w:lineRule="auto"/>
              <w:jc w:val="center"/>
              <w:rPr>
                <w:rFonts w:ascii="Times New Roman" w:eastAsia="Times New Roman" w:hAnsi="Times New Roman" w:cs="Times New Roman"/>
                <w:i/>
                <w:iCs/>
                <w:color w:val="000000"/>
                <w:lang w:eastAsia="en-GB"/>
              </w:rPr>
            </w:pPr>
            <w:proofErr w:type="gramStart"/>
            <w:r w:rsidRPr="00086203">
              <w:rPr>
                <w:rFonts w:ascii="Times New Roman" w:eastAsia="Times New Roman" w:hAnsi="Times New Roman" w:cs="Times New Roman"/>
                <w:i/>
                <w:iCs/>
                <w:color w:val="000000"/>
                <w:lang w:eastAsia="en-GB"/>
              </w:rPr>
              <w:t>D(</w:t>
            </w:r>
            <w:proofErr w:type="gramEnd"/>
            <w:r w:rsidRPr="00086203">
              <w:rPr>
                <w:rFonts w:ascii="Times New Roman" w:eastAsia="Times New Roman" w:hAnsi="Times New Roman" w:cs="Times New Roman"/>
                <w:i/>
                <w:iCs/>
                <w:color w:val="000000"/>
                <w:lang w:eastAsia="en-GB"/>
              </w:rPr>
              <w:t>C &gt; I)</w:t>
            </w:r>
          </w:p>
        </w:tc>
      </w:tr>
      <w:tr w:rsidR="00177DD5" w:rsidRPr="00086203" w14:paraId="66F72379"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9212881"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Pakistan</w:t>
            </w:r>
          </w:p>
        </w:tc>
        <w:tc>
          <w:tcPr>
            <w:tcW w:w="1295" w:type="dxa"/>
            <w:gridSpan w:val="2"/>
            <w:tcBorders>
              <w:top w:val="nil"/>
              <w:left w:val="nil"/>
              <w:bottom w:val="nil"/>
              <w:right w:val="nil"/>
            </w:tcBorders>
            <w:shd w:val="clear" w:color="auto" w:fill="auto"/>
            <w:noWrap/>
            <w:vAlign w:val="bottom"/>
            <w:hideMark/>
          </w:tcPr>
          <w:p w14:paraId="581B9FE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6D3106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5A28257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51312F7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685464CC"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3218D617"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Saudi Arabia</w:t>
            </w:r>
          </w:p>
        </w:tc>
        <w:tc>
          <w:tcPr>
            <w:tcW w:w="1295" w:type="dxa"/>
            <w:gridSpan w:val="2"/>
            <w:tcBorders>
              <w:top w:val="nil"/>
              <w:left w:val="nil"/>
              <w:bottom w:val="nil"/>
              <w:right w:val="nil"/>
            </w:tcBorders>
            <w:shd w:val="clear" w:color="auto" w:fill="auto"/>
            <w:noWrap/>
            <w:vAlign w:val="bottom"/>
            <w:hideMark/>
          </w:tcPr>
          <w:p w14:paraId="7DD9F0DE"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CFA5D8D"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BE3A91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07DA9A0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7CA64B36"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8ABC6EC"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Qatar</w:t>
            </w:r>
          </w:p>
        </w:tc>
        <w:tc>
          <w:tcPr>
            <w:tcW w:w="1295" w:type="dxa"/>
            <w:gridSpan w:val="2"/>
            <w:tcBorders>
              <w:top w:val="nil"/>
              <w:left w:val="nil"/>
              <w:bottom w:val="nil"/>
              <w:right w:val="nil"/>
            </w:tcBorders>
            <w:shd w:val="clear" w:color="auto" w:fill="auto"/>
            <w:noWrap/>
            <w:vAlign w:val="bottom"/>
            <w:hideMark/>
          </w:tcPr>
          <w:p w14:paraId="40FAF2E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646217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B7FF633"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7715067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5E2CBC7B"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12A04F2E"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Kuwait</w:t>
            </w:r>
          </w:p>
        </w:tc>
        <w:tc>
          <w:tcPr>
            <w:tcW w:w="1295" w:type="dxa"/>
            <w:gridSpan w:val="2"/>
            <w:tcBorders>
              <w:top w:val="nil"/>
              <w:left w:val="nil"/>
              <w:bottom w:val="nil"/>
              <w:right w:val="nil"/>
            </w:tcBorders>
            <w:shd w:val="clear" w:color="auto" w:fill="auto"/>
            <w:noWrap/>
            <w:vAlign w:val="bottom"/>
            <w:hideMark/>
          </w:tcPr>
          <w:p w14:paraId="2B0A553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467470C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C1772E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2AA02EB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3C1118EF" w14:textId="77777777" w:rsidTr="00177DD5">
        <w:trPr>
          <w:gridAfter w:val="1"/>
          <w:wAfter w:w="580" w:type="dxa"/>
          <w:trHeight w:val="273"/>
          <w:jc w:val="center"/>
        </w:trPr>
        <w:tc>
          <w:tcPr>
            <w:tcW w:w="2161" w:type="dxa"/>
            <w:tcBorders>
              <w:top w:val="nil"/>
              <w:left w:val="nil"/>
              <w:bottom w:val="nil"/>
              <w:right w:val="nil"/>
            </w:tcBorders>
            <w:shd w:val="clear" w:color="auto" w:fill="auto"/>
            <w:noWrap/>
            <w:vAlign w:val="bottom"/>
            <w:hideMark/>
          </w:tcPr>
          <w:p w14:paraId="754795A5"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UAE</w:t>
            </w:r>
          </w:p>
        </w:tc>
        <w:tc>
          <w:tcPr>
            <w:tcW w:w="1295" w:type="dxa"/>
            <w:gridSpan w:val="2"/>
            <w:tcBorders>
              <w:top w:val="nil"/>
              <w:left w:val="nil"/>
              <w:bottom w:val="nil"/>
              <w:right w:val="nil"/>
            </w:tcBorders>
            <w:shd w:val="clear" w:color="auto" w:fill="auto"/>
            <w:noWrap/>
            <w:vAlign w:val="bottom"/>
            <w:hideMark/>
          </w:tcPr>
          <w:p w14:paraId="5644C869" w14:textId="77777777" w:rsidR="00177DD5" w:rsidRPr="00086203" w:rsidRDefault="00177DD5" w:rsidP="00550FD7">
            <w:pPr>
              <w:spacing w:after="0" w:line="240" w:lineRule="auto"/>
              <w:jc w:val="center"/>
              <w:rPr>
                <w:rFonts w:ascii="Times New Roman" w:eastAsia="Times New Roman" w:hAnsi="Times New Roman" w:cs="Times New Roman"/>
                <w:b/>
                <w:bCs/>
                <w:i/>
                <w:iCs/>
                <w:color w:val="000000"/>
                <w:lang w:eastAsia="en-GB"/>
              </w:rPr>
            </w:pPr>
            <w:proofErr w:type="gramStart"/>
            <w:r w:rsidRPr="00086203">
              <w:rPr>
                <w:rFonts w:ascii="Times New Roman" w:eastAsia="Times New Roman" w:hAnsi="Times New Roman" w:cs="Times New Roman"/>
                <w:b/>
                <w:bCs/>
                <w:i/>
                <w:iCs/>
                <w:color w:val="000000"/>
                <w:lang w:eastAsia="en-GB"/>
              </w:rPr>
              <w:t>D(</w:t>
            </w:r>
            <w:proofErr w:type="gramEnd"/>
            <w:r w:rsidRPr="00086203">
              <w:rPr>
                <w:rFonts w:ascii="Times New Roman" w:eastAsia="Times New Roman" w:hAnsi="Times New Roman" w:cs="Times New Roman"/>
                <w:b/>
                <w:bCs/>
                <w:i/>
                <w:iCs/>
                <w:color w:val="000000"/>
                <w:lang w:eastAsia="en-GB"/>
              </w:rPr>
              <w:t>C &gt; I)</w:t>
            </w:r>
          </w:p>
        </w:tc>
        <w:tc>
          <w:tcPr>
            <w:tcW w:w="1295" w:type="dxa"/>
            <w:gridSpan w:val="2"/>
            <w:tcBorders>
              <w:top w:val="nil"/>
              <w:left w:val="nil"/>
              <w:bottom w:val="nil"/>
              <w:right w:val="nil"/>
            </w:tcBorders>
            <w:shd w:val="clear" w:color="auto" w:fill="auto"/>
            <w:noWrap/>
            <w:vAlign w:val="bottom"/>
            <w:hideMark/>
          </w:tcPr>
          <w:p w14:paraId="27C94C85" w14:textId="77777777" w:rsidR="00177DD5" w:rsidRPr="00086203" w:rsidRDefault="00177DD5" w:rsidP="00550FD7">
            <w:pPr>
              <w:spacing w:after="0" w:line="240" w:lineRule="auto"/>
              <w:jc w:val="center"/>
              <w:rPr>
                <w:rFonts w:ascii="Times New Roman" w:eastAsia="Times New Roman" w:hAnsi="Times New Roman" w:cs="Times New Roman"/>
                <w:b/>
                <w:bCs/>
                <w:i/>
                <w:iCs/>
                <w:color w:val="000000"/>
                <w:lang w:eastAsia="en-GB"/>
              </w:rPr>
            </w:pPr>
            <w:proofErr w:type="gramStart"/>
            <w:r w:rsidRPr="00086203">
              <w:rPr>
                <w:rFonts w:ascii="Times New Roman" w:eastAsia="Times New Roman" w:hAnsi="Times New Roman" w:cs="Times New Roman"/>
                <w:b/>
                <w:bCs/>
                <w:i/>
                <w:iCs/>
                <w:color w:val="000000"/>
                <w:lang w:eastAsia="en-GB"/>
              </w:rPr>
              <w:t>D(</w:t>
            </w:r>
            <w:proofErr w:type="gramEnd"/>
            <w:r w:rsidRPr="00086203">
              <w:rPr>
                <w:rFonts w:ascii="Times New Roman" w:eastAsia="Times New Roman" w:hAnsi="Times New Roman" w:cs="Times New Roman"/>
                <w:b/>
                <w:bCs/>
                <w:i/>
                <w:iCs/>
                <w:color w:val="000000"/>
                <w:lang w:eastAsia="en-GB"/>
              </w:rPr>
              <w:t>C &gt; I)</w:t>
            </w:r>
          </w:p>
        </w:tc>
        <w:tc>
          <w:tcPr>
            <w:tcW w:w="1295" w:type="dxa"/>
            <w:gridSpan w:val="2"/>
            <w:tcBorders>
              <w:top w:val="nil"/>
              <w:left w:val="nil"/>
              <w:bottom w:val="nil"/>
              <w:right w:val="nil"/>
            </w:tcBorders>
            <w:shd w:val="clear" w:color="auto" w:fill="auto"/>
            <w:noWrap/>
            <w:vAlign w:val="bottom"/>
            <w:hideMark/>
          </w:tcPr>
          <w:p w14:paraId="70896520" w14:textId="77777777" w:rsidR="00177DD5" w:rsidRPr="00086203" w:rsidRDefault="00177DD5" w:rsidP="00550FD7">
            <w:pPr>
              <w:spacing w:after="0" w:line="240" w:lineRule="auto"/>
              <w:jc w:val="center"/>
              <w:rPr>
                <w:rFonts w:ascii="Times New Roman" w:eastAsia="Times New Roman" w:hAnsi="Times New Roman" w:cs="Times New Roman"/>
                <w:b/>
                <w:bCs/>
                <w:i/>
                <w:iCs/>
                <w:color w:val="000000"/>
                <w:lang w:eastAsia="en-GB"/>
              </w:rPr>
            </w:pPr>
            <w:proofErr w:type="gramStart"/>
            <w:r w:rsidRPr="00086203">
              <w:rPr>
                <w:rFonts w:ascii="Times New Roman" w:eastAsia="Times New Roman" w:hAnsi="Times New Roman" w:cs="Times New Roman"/>
                <w:b/>
                <w:bCs/>
                <w:i/>
                <w:iCs/>
                <w:color w:val="000000"/>
                <w:lang w:eastAsia="en-GB"/>
              </w:rPr>
              <w:t>D(</w:t>
            </w:r>
            <w:proofErr w:type="gramEnd"/>
            <w:r w:rsidRPr="00086203">
              <w:rPr>
                <w:rFonts w:ascii="Times New Roman" w:eastAsia="Times New Roman" w:hAnsi="Times New Roman" w:cs="Times New Roman"/>
                <w:b/>
                <w:bCs/>
                <w:i/>
                <w:iCs/>
                <w:color w:val="000000"/>
                <w:lang w:eastAsia="en-GB"/>
              </w:rPr>
              <w:t>C &gt; I)</w:t>
            </w:r>
          </w:p>
        </w:tc>
        <w:tc>
          <w:tcPr>
            <w:tcW w:w="1298" w:type="dxa"/>
            <w:gridSpan w:val="2"/>
            <w:tcBorders>
              <w:top w:val="nil"/>
              <w:left w:val="nil"/>
              <w:bottom w:val="nil"/>
              <w:right w:val="nil"/>
            </w:tcBorders>
            <w:shd w:val="clear" w:color="auto" w:fill="auto"/>
            <w:noWrap/>
            <w:vAlign w:val="bottom"/>
            <w:hideMark/>
          </w:tcPr>
          <w:p w14:paraId="61F98285" w14:textId="77777777" w:rsidR="00177DD5" w:rsidRPr="00086203" w:rsidRDefault="00177DD5" w:rsidP="00550FD7">
            <w:pPr>
              <w:spacing w:after="0" w:line="240" w:lineRule="auto"/>
              <w:jc w:val="center"/>
              <w:rPr>
                <w:rFonts w:ascii="Times New Roman" w:eastAsia="Times New Roman" w:hAnsi="Times New Roman" w:cs="Times New Roman"/>
                <w:b/>
                <w:bCs/>
                <w:i/>
                <w:iCs/>
                <w:color w:val="000000"/>
                <w:lang w:eastAsia="en-GB"/>
              </w:rPr>
            </w:pPr>
            <w:proofErr w:type="gramStart"/>
            <w:r w:rsidRPr="00086203">
              <w:rPr>
                <w:rFonts w:ascii="Times New Roman" w:eastAsia="Times New Roman" w:hAnsi="Times New Roman" w:cs="Times New Roman"/>
                <w:b/>
                <w:bCs/>
                <w:i/>
                <w:iCs/>
                <w:color w:val="000000"/>
                <w:lang w:eastAsia="en-GB"/>
              </w:rPr>
              <w:t>D(</w:t>
            </w:r>
            <w:proofErr w:type="gramEnd"/>
            <w:r w:rsidRPr="00086203">
              <w:rPr>
                <w:rFonts w:ascii="Times New Roman" w:eastAsia="Times New Roman" w:hAnsi="Times New Roman" w:cs="Times New Roman"/>
                <w:b/>
                <w:bCs/>
                <w:i/>
                <w:iCs/>
                <w:color w:val="000000"/>
                <w:lang w:eastAsia="en-GB"/>
              </w:rPr>
              <w:t>C &gt; I)</w:t>
            </w:r>
          </w:p>
        </w:tc>
      </w:tr>
      <w:tr w:rsidR="00177DD5" w:rsidRPr="00086203" w14:paraId="653C850A" w14:textId="77777777" w:rsidTr="00177DD5">
        <w:trPr>
          <w:gridAfter w:val="1"/>
          <w:wAfter w:w="580" w:type="dxa"/>
          <w:trHeight w:val="261"/>
          <w:jc w:val="center"/>
        </w:trPr>
        <w:tc>
          <w:tcPr>
            <w:tcW w:w="7344" w:type="dxa"/>
            <w:gridSpan w:val="9"/>
            <w:tcBorders>
              <w:top w:val="nil"/>
              <w:left w:val="nil"/>
              <w:bottom w:val="nil"/>
              <w:right w:val="nil"/>
            </w:tcBorders>
            <w:shd w:val="clear" w:color="auto" w:fill="auto"/>
            <w:vAlign w:val="bottom"/>
            <w:hideMark/>
          </w:tcPr>
          <w:p w14:paraId="76F662E3"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Stage 2 (March 20 - May 11)</w:t>
            </w:r>
          </w:p>
        </w:tc>
      </w:tr>
      <w:tr w:rsidR="00177DD5" w:rsidRPr="00086203" w14:paraId="4B774ECA"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5DC8C419" w14:textId="77777777" w:rsidR="00177DD5" w:rsidRPr="00086203" w:rsidRDefault="00177DD5" w:rsidP="00550FD7">
            <w:pPr>
              <w:spacing w:after="0" w:line="240" w:lineRule="auto"/>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Islamic Funds</w:t>
            </w:r>
          </w:p>
        </w:tc>
        <w:tc>
          <w:tcPr>
            <w:tcW w:w="1295" w:type="dxa"/>
            <w:gridSpan w:val="2"/>
            <w:tcBorders>
              <w:top w:val="nil"/>
              <w:left w:val="nil"/>
              <w:bottom w:val="nil"/>
              <w:right w:val="nil"/>
            </w:tcBorders>
            <w:shd w:val="clear" w:color="auto" w:fill="auto"/>
            <w:noWrap/>
            <w:vAlign w:val="bottom"/>
            <w:hideMark/>
          </w:tcPr>
          <w:p w14:paraId="7A17C965"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(1)</w:t>
            </w:r>
          </w:p>
        </w:tc>
        <w:tc>
          <w:tcPr>
            <w:tcW w:w="1295" w:type="dxa"/>
            <w:gridSpan w:val="2"/>
            <w:tcBorders>
              <w:top w:val="nil"/>
              <w:left w:val="nil"/>
              <w:bottom w:val="nil"/>
              <w:right w:val="nil"/>
            </w:tcBorders>
            <w:shd w:val="clear" w:color="auto" w:fill="auto"/>
            <w:noWrap/>
            <w:vAlign w:val="bottom"/>
            <w:hideMark/>
          </w:tcPr>
          <w:p w14:paraId="7D96317B"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(2)</w:t>
            </w:r>
          </w:p>
        </w:tc>
        <w:tc>
          <w:tcPr>
            <w:tcW w:w="1295" w:type="dxa"/>
            <w:gridSpan w:val="2"/>
            <w:tcBorders>
              <w:top w:val="nil"/>
              <w:left w:val="nil"/>
              <w:bottom w:val="nil"/>
              <w:right w:val="nil"/>
            </w:tcBorders>
            <w:shd w:val="clear" w:color="auto" w:fill="auto"/>
            <w:noWrap/>
            <w:vAlign w:val="bottom"/>
            <w:hideMark/>
          </w:tcPr>
          <w:p w14:paraId="05F53D63"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(3)</w:t>
            </w:r>
          </w:p>
        </w:tc>
        <w:tc>
          <w:tcPr>
            <w:tcW w:w="1298" w:type="dxa"/>
            <w:gridSpan w:val="2"/>
            <w:tcBorders>
              <w:top w:val="nil"/>
              <w:left w:val="nil"/>
              <w:bottom w:val="nil"/>
              <w:right w:val="nil"/>
            </w:tcBorders>
            <w:shd w:val="clear" w:color="auto" w:fill="auto"/>
            <w:noWrap/>
            <w:vAlign w:val="bottom"/>
            <w:hideMark/>
          </w:tcPr>
          <w:p w14:paraId="2C40C2A0"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(4)</w:t>
            </w:r>
          </w:p>
        </w:tc>
      </w:tr>
      <w:tr w:rsidR="00177DD5" w:rsidRPr="00086203" w14:paraId="190F56CF"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3B166CFB"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Malaysia</w:t>
            </w:r>
          </w:p>
        </w:tc>
        <w:tc>
          <w:tcPr>
            <w:tcW w:w="1295" w:type="dxa"/>
            <w:gridSpan w:val="2"/>
            <w:tcBorders>
              <w:top w:val="nil"/>
              <w:left w:val="nil"/>
              <w:bottom w:val="nil"/>
              <w:right w:val="nil"/>
            </w:tcBorders>
            <w:shd w:val="clear" w:color="auto" w:fill="auto"/>
            <w:noWrap/>
            <w:vAlign w:val="bottom"/>
            <w:hideMark/>
          </w:tcPr>
          <w:p w14:paraId="665FAB9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F472BA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6862976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295766C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33A65889"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7C820D9A"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Pakistan</w:t>
            </w:r>
          </w:p>
        </w:tc>
        <w:tc>
          <w:tcPr>
            <w:tcW w:w="1295" w:type="dxa"/>
            <w:gridSpan w:val="2"/>
            <w:tcBorders>
              <w:top w:val="nil"/>
              <w:left w:val="nil"/>
              <w:bottom w:val="nil"/>
              <w:right w:val="nil"/>
            </w:tcBorders>
            <w:shd w:val="clear" w:color="auto" w:fill="auto"/>
            <w:noWrap/>
            <w:vAlign w:val="bottom"/>
            <w:hideMark/>
          </w:tcPr>
          <w:p w14:paraId="2450B4F3"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473A864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B3D130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610FBBD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658F9E54"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F9F5E68"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Saudi Arabia</w:t>
            </w:r>
          </w:p>
        </w:tc>
        <w:tc>
          <w:tcPr>
            <w:tcW w:w="1295" w:type="dxa"/>
            <w:gridSpan w:val="2"/>
            <w:tcBorders>
              <w:top w:val="nil"/>
              <w:left w:val="nil"/>
              <w:bottom w:val="nil"/>
              <w:right w:val="nil"/>
            </w:tcBorders>
            <w:shd w:val="clear" w:color="auto" w:fill="auto"/>
            <w:noWrap/>
            <w:vAlign w:val="bottom"/>
            <w:hideMark/>
          </w:tcPr>
          <w:p w14:paraId="6FF57F1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8188D5D"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0F3E8B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4832F28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65C8D500"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51B9E291"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Qatar</w:t>
            </w:r>
          </w:p>
        </w:tc>
        <w:tc>
          <w:tcPr>
            <w:tcW w:w="1295" w:type="dxa"/>
            <w:gridSpan w:val="2"/>
            <w:tcBorders>
              <w:top w:val="nil"/>
              <w:left w:val="nil"/>
              <w:bottom w:val="nil"/>
              <w:right w:val="nil"/>
            </w:tcBorders>
            <w:shd w:val="clear" w:color="auto" w:fill="auto"/>
            <w:noWrap/>
            <w:vAlign w:val="bottom"/>
            <w:hideMark/>
          </w:tcPr>
          <w:p w14:paraId="6335BDA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FB9758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8DD946E"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57940D23"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47C03A26"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64A0404F"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Kuwait</w:t>
            </w:r>
          </w:p>
        </w:tc>
        <w:tc>
          <w:tcPr>
            <w:tcW w:w="1295" w:type="dxa"/>
            <w:gridSpan w:val="2"/>
            <w:tcBorders>
              <w:top w:val="nil"/>
              <w:left w:val="nil"/>
              <w:bottom w:val="nil"/>
              <w:right w:val="nil"/>
            </w:tcBorders>
            <w:shd w:val="clear" w:color="auto" w:fill="auto"/>
            <w:noWrap/>
            <w:vAlign w:val="bottom"/>
            <w:hideMark/>
          </w:tcPr>
          <w:p w14:paraId="72CFF255"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E90ACB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F3E38B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111402E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20E6755D"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3483A2AA"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UAE</w:t>
            </w:r>
          </w:p>
        </w:tc>
        <w:tc>
          <w:tcPr>
            <w:tcW w:w="1295" w:type="dxa"/>
            <w:gridSpan w:val="2"/>
            <w:tcBorders>
              <w:top w:val="nil"/>
              <w:left w:val="nil"/>
              <w:bottom w:val="nil"/>
              <w:right w:val="nil"/>
            </w:tcBorders>
            <w:shd w:val="clear" w:color="auto" w:fill="auto"/>
            <w:noWrap/>
            <w:vAlign w:val="bottom"/>
            <w:hideMark/>
          </w:tcPr>
          <w:p w14:paraId="39042BF3"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016DB1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7E0356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2F6DC33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2E4898FE" w14:textId="77777777" w:rsidTr="00177DD5">
        <w:trPr>
          <w:gridAfter w:val="1"/>
          <w:wAfter w:w="580" w:type="dxa"/>
          <w:trHeight w:val="261"/>
          <w:jc w:val="center"/>
        </w:trPr>
        <w:tc>
          <w:tcPr>
            <w:tcW w:w="7344" w:type="dxa"/>
            <w:gridSpan w:val="9"/>
            <w:tcBorders>
              <w:top w:val="nil"/>
              <w:left w:val="nil"/>
              <w:bottom w:val="nil"/>
              <w:right w:val="nil"/>
            </w:tcBorders>
            <w:shd w:val="clear" w:color="auto" w:fill="auto"/>
            <w:vAlign w:val="bottom"/>
            <w:hideMark/>
          </w:tcPr>
          <w:p w14:paraId="44313199"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Stage 3 (May 12 - June 14)</w:t>
            </w:r>
          </w:p>
        </w:tc>
      </w:tr>
      <w:tr w:rsidR="00177DD5" w:rsidRPr="00086203" w14:paraId="298F1037"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32221D05"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p>
        </w:tc>
        <w:tc>
          <w:tcPr>
            <w:tcW w:w="1295" w:type="dxa"/>
            <w:gridSpan w:val="2"/>
            <w:tcBorders>
              <w:top w:val="nil"/>
              <w:left w:val="nil"/>
              <w:bottom w:val="nil"/>
              <w:right w:val="nil"/>
            </w:tcBorders>
            <w:shd w:val="clear" w:color="auto" w:fill="auto"/>
            <w:noWrap/>
            <w:vAlign w:val="bottom"/>
            <w:hideMark/>
          </w:tcPr>
          <w:p w14:paraId="61C00D00"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(1)</w:t>
            </w:r>
          </w:p>
        </w:tc>
        <w:tc>
          <w:tcPr>
            <w:tcW w:w="1295" w:type="dxa"/>
            <w:gridSpan w:val="2"/>
            <w:tcBorders>
              <w:top w:val="nil"/>
              <w:left w:val="nil"/>
              <w:bottom w:val="nil"/>
              <w:right w:val="nil"/>
            </w:tcBorders>
            <w:shd w:val="clear" w:color="auto" w:fill="auto"/>
            <w:noWrap/>
            <w:vAlign w:val="bottom"/>
            <w:hideMark/>
          </w:tcPr>
          <w:p w14:paraId="1FBF9E15"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(2)</w:t>
            </w:r>
          </w:p>
        </w:tc>
        <w:tc>
          <w:tcPr>
            <w:tcW w:w="1295" w:type="dxa"/>
            <w:gridSpan w:val="2"/>
            <w:tcBorders>
              <w:top w:val="nil"/>
              <w:left w:val="nil"/>
              <w:bottom w:val="nil"/>
              <w:right w:val="nil"/>
            </w:tcBorders>
            <w:shd w:val="clear" w:color="auto" w:fill="auto"/>
            <w:noWrap/>
            <w:vAlign w:val="bottom"/>
            <w:hideMark/>
          </w:tcPr>
          <w:p w14:paraId="15204062"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(3)</w:t>
            </w:r>
          </w:p>
        </w:tc>
        <w:tc>
          <w:tcPr>
            <w:tcW w:w="1298" w:type="dxa"/>
            <w:gridSpan w:val="2"/>
            <w:tcBorders>
              <w:top w:val="nil"/>
              <w:left w:val="nil"/>
              <w:bottom w:val="nil"/>
              <w:right w:val="nil"/>
            </w:tcBorders>
            <w:shd w:val="clear" w:color="auto" w:fill="auto"/>
            <w:noWrap/>
            <w:vAlign w:val="bottom"/>
            <w:hideMark/>
          </w:tcPr>
          <w:p w14:paraId="11529E49"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(4)</w:t>
            </w:r>
          </w:p>
        </w:tc>
      </w:tr>
      <w:tr w:rsidR="00177DD5" w:rsidRPr="00086203" w14:paraId="401F7EF8"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706DE292"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Malaysia</w:t>
            </w:r>
          </w:p>
        </w:tc>
        <w:tc>
          <w:tcPr>
            <w:tcW w:w="1295" w:type="dxa"/>
            <w:gridSpan w:val="2"/>
            <w:tcBorders>
              <w:top w:val="nil"/>
              <w:left w:val="nil"/>
              <w:bottom w:val="nil"/>
              <w:right w:val="nil"/>
            </w:tcBorders>
            <w:shd w:val="clear" w:color="auto" w:fill="auto"/>
            <w:noWrap/>
            <w:vAlign w:val="bottom"/>
            <w:hideMark/>
          </w:tcPr>
          <w:p w14:paraId="4299FE0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8B2A66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68A6E482"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65992B5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03F586CB"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1356C0F2"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Pakistan</w:t>
            </w:r>
          </w:p>
        </w:tc>
        <w:tc>
          <w:tcPr>
            <w:tcW w:w="1295" w:type="dxa"/>
            <w:gridSpan w:val="2"/>
            <w:tcBorders>
              <w:top w:val="nil"/>
              <w:left w:val="nil"/>
              <w:bottom w:val="nil"/>
              <w:right w:val="nil"/>
            </w:tcBorders>
            <w:shd w:val="clear" w:color="auto" w:fill="auto"/>
            <w:noWrap/>
            <w:vAlign w:val="bottom"/>
            <w:hideMark/>
          </w:tcPr>
          <w:p w14:paraId="0234B705"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B5DE9A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CD94CF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5769768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70D42128"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7D40DA7B"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Saudi Arabia</w:t>
            </w:r>
          </w:p>
        </w:tc>
        <w:tc>
          <w:tcPr>
            <w:tcW w:w="1295" w:type="dxa"/>
            <w:gridSpan w:val="2"/>
            <w:tcBorders>
              <w:top w:val="nil"/>
              <w:left w:val="nil"/>
              <w:bottom w:val="nil"/>
              <w:right w:val="nil"/>
            </w:tcBorders>
            <w:shd w:val="clear" w:color="auto" w:fill="auto"/>
            <w:noWrap/>
            <w:vAlign w:val="bottom"/>
            <w:hideMark/>
          </w:tcPr>
          <w:p w14:paraId="3C0A9E7D"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E6EFA5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0287197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13E91B9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05B10359"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1509004F"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Qatar</w:t>
            </w:r>
          </w:p>
        </w:tc>
        <w:tc>
          <w:tcPr>
            <w:tcW w:w="1295" w:type="dxa"/>
            <w:gridSpan w:val="2"/>
            <w:tcBorders>
              <w:top w:val="nil"/>
              <w:left w:val="nil"/>
              <w:bottom w:val="nil"/>
              <w:right w:val="nil"/>
            </w:tcBorders>
            <w:shd w:val="clear" w:color="auto" w:fill="auto"/>
            <w:noWrap/>
            <w:vAlign w:val="bottom"/>
            <w:hideMark/>
          </w:tcPr>
          <w:p w14:paraId="155D8515"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FC73AD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592822A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73C5C8B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053CED31"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72DA2719"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Kuwait</w:t>
            </w:r>
          </w:p>
        </w:tc>
        <w:tc>
          <w:tcPr>
            <w:tcW w:w="1295" w:type="dxa"/>
            <w:gridSpan w:val="2"/>
            <w:tcBorders>
              <w:top w:val="nil"/>
              <w:left w:val="nil"/>
              <w:bottom w:val="nil"/>
              <w:right w:val="nil"/>
            </w:tcBorders>
            <w:shd w:val="clear" w:color="auto" w:fill="auto"/>
            <w:noWrap/>
            <w:vAlign w:val="bottom"/>
            <w:hideMark/>
          </w:tcPr>
          <w:p w14:paraId="361AEC02"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41DCE15E"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51BEA86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1A4FDF7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31BD45DF"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D64282D"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UAE</w:t>
            </w:r>
          </w:p>
        </w:tc>
        <w:tc>
          <w:tcPr>
            <w:tcW w:w="1295" w:type="dxa"/>
            <w:gridSpan w:val="2"/>
            <w:tcBorders>
              <w:top w:val="nil"/>
              <w:left w:val="nil"/>
              <w:bottom w:val="nil"/>
              <w:right w:val="nil"/>
            </w:tcBorders>
            <w:shd w:val="clear" w:color="auto" w:fill="auto"/>
            <w:noWrap/>
            <w:vAlign w:val="bottom"/>
            <w:hideMark/>
          </w:tcPr>
          <w:p w14:paraId="566602BD"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283F5F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B7EB38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06BA3CD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1C08303C" w14:textId="77777777" w:rsidTr="00177DD5">
        <w:trPr>
          <w:gridAfter w:val="1"/>
          <w:wAfter w:w="580" w:type="dxa"/>
          <w:trHeight w:val="261"/>
          <w:jc w:val="center"/>
        </w:trPr>
        <w:tc>
          <w:tcPr>
            <w:tcW w:w="7344" w:type="dxa"/>
            <w:gridSpan w:val="9"/>
            <w:tcBorders>
              <w:top w:val="nil"/>
              <w:left w:val="nil"/>
              <w:bottom w:val="nil"/>
              <w:right w:val="nil"/>
            </w:tcBorders>
            <w:shd w:val="clear" w:color="auto" w:fill="auto"/>
            <w:noWrap/>
            <w:vAlign w:val="bottom"/>
            <w:hideMark/>
          </w:tcPr>
          <w:p w14:paraId="452E4B36"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 xml:space="preserve">Stage 4 (June 15 - September 1) </w:t>
            </w:r>
          </w:p>
        </w:tc>
      </w:tr>
      <w:tr w:rsidR="00177DD5" w:rsidRPr="00086203" w14:paraId="26C2118A"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12F2A91"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p>
        </w:tc>
        <w:tc>
          <w:tcPr>
            <w:tcW w:w="1295" w:type="dxa"/>
            <w:gridSpan w:val="2"/>
            <w:tcBorders>
              <w:top w:val="nil"/>
              <w:left w:val="nil"/>
              <w:bottom w:val="nil"/>
              <w:right w:val="nil"/>
            </w:tcBorders>
            <w:shd w:val="clear" w:color="auto" w:fill="auto"/>
            <w:noWrap/>
            <w:vAlign w:val="bottom"/>
            <w:hideMark/>
          </w:tcPr>
          <w:p w14:paraId="0980BC12"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(1)</w:t>
            </w:r>
          </w:p>
        </w:tc>
        <w:tc>
          <w:tcPr>
            <w:tcW w:w="1295" w:type="dxa"/>
            <w:gridSpan w:val="2"/>
            <w:tcBorders>
              <w:top w:val="nil"/>
              <w:left w:val="nil"/>
              <w:bottom w:val="nil"/>
              <w:right w:val="nil"/>
            </w:tcBorders>
            <w:shd w:val="clear" w:color="auto" w:fill="auto"/>
            <w:noWrap/>
            <w:vAlign w:val="bottom"/>
            <w:hideMark/>
          </w:tcPr>
          <w:p w14:paraId="2ABBA548"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(2)</w:t>
            </w:r>
          </w:p>
        </w:tc>
        <w:tc>
          <w:tcPr>
            <w:tcW w:w="1295" w:type="dxa"/>
            <w:gridSpan w:val="2"/>
            <w:tcBorders>
              <w:top w:val="nil"/>
              <w:left w:val="nil"/>
              <w:bottom w:val="nil"/>
              <w:right w:val="nil"/>
            </w:tcBorders>
            <w:shd w:val="clear" w:color="auto" w:fill="auto"/>
            <w:noWrap/>
            <w:vAlign w:val="bottom"/>
            <w:hideMark/>
          </w:tcPr>
          <w:p w14:paraId="7BC0769C"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(3)</w:t>
            </w:r>
          </w:p>
        </w:tc>
        <w:tc>
          <w:tcPr>
            <w:tcW w:w="1298" w:type="dxa"/>
            <w:gridSpan w:val="2"/>
            <w:tcBorders>
              <w:top w:val="nil"/>
              <w:left w:val="nil"/>
              <w:bottom w:val="nil"/>
              <w:right w:val="nil"/>
            </w:tcBorders>
            <w:shd w:val="clear" w:color="auto" w:fill="auto"/>
            <w:noWrap/>
            <w:vAlign w:val="bottom"/>
            <w:hideMark/>
          </w:tcPr>
          <w:p w14:paraId="219330C1"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(4)</w:t>
            </w:r>
          </w:p>
        </w:tc>
      </w:tr>
      <w:tr w:rsidR="00177DD5" w:rsidRPr="00086203" w14:paraId="1251D208"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7E27A229"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Malaysia</w:t>
            </w:r>
          </w:p>
        </w:tc>
        <w:tc>
          <w:tcPr>
            <w:tcW w:w="1295" w:type="dxa"/>
            <w:gridSpan w:val="2"/>
            <w:tcBorders>
              <w:top w:val="nil"/>
              <w:left w:val="nil"/>
              <w:bottom w:val="nil"/>
              <w:right w:val="nil"/>
            </w:tcBorders>
            <w:shd w:val="clear" w:color="auto" w:fill="auto"/>
            <w:noWrap/>
            <w:vAlign w:val="bottom"/>
            <w:hideMark/>
          </w:tcPr>
          <w:p w14:paraId="5185069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75AA6E5"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6BC1897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7AC27D6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1BFADEDA"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67F328E3"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Pakistan</w:t>
            </w:r>
          </w:p>
        </w:tc>
        <w:tc>
          <w:tcPr>
            <w:tcW w:w="1295" w:type="dxa"/>
            <w:gridSpan w:val="2"/>
            <w:tcBorders>
              <w:top w:val="nil"/>
              <w:left w:val="nil"/>
              <w:bottom w:val="nil"/>
              <w:right w:val="nil"/>
            </w:tcBorders>
            <w:shd w:val="clear" w:color="auto" w:fill="auto"/>
            <w:noWrap/>
            <w:vAlign w:val="bottom"/>
            <w:hideMark/>
          </w:tcPr>
          <w:p w14:paraId="76747E3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6E1A86C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0AB0695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2CC4FBC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5CDFC1A0"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2440C78"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Saudi Arabia</w:t>
            </w:r>
          </w:p>
        </w:tc>
        <w:tc>
          <w:tcPr>
            <w:tcW w:w="1295" w:type="dxa"/>
            <w:gridSpan w:val="2"/>
            <w:tcBorders>
              <w:top w:val="nil"/>
              <w:left w:val="nil"/>
              <w:bottom w:val="nil"/>
              <w:right w:val="nil"/>
            </w:tcBorders>
            <w:shd w:val="clear" w:color="auto" w:fill="auto"/>
            <w:noWrap/>
            <w:vAlign w:val="bottom"/>
            <w:hideMark/>
          </w:tcPr>
          <w:p w14:paraId="079EFEB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99E388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45EC5F0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1806EDD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143E507F"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F13F384"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Qatar</w:t>
            </w:r>
          </w:p>
        </w:tc>
        <w:tc>
          <w:tcPr>
            <w:tcW w:w="1295" w:type="dxa"/>
            <w:gridSpan w:val="2"/>
            <w:tcBorders>
              <w:top w:val="nil"/>
              <w:left w:val="nil"/>
              <w:bottom w:val="nil"/>
              <w:right w:val="nil"/>
            </w:tcBorders>
            <w:shd w:val="clear" w:color="auto" w:fill="auto"/>
            <w:noWrap/>
            <w:vAlign w:val="bottom"/>
            <w:hideMark/>
          </w:tcPr>
          <w:p w14:paraId="0B71C102"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6062A1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55898F5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194C03E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345AD8D7"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35A2C59F"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Kuwait</w:t>
            </w:r>
          </w:p>
        </w:tc>
        <w:tc>
          <w:tcPr>
            <w:tcW w:w="1295" w:type="dxa"/>
            <w:gridSpan w:val="2"/>
            <w:tcBorders>
              <w:top w:val="nil"/>
              <w:left w:val="nil"/>
              <w:bottom w:val="nil"/>
              <w:right w:val="nil"/>
            </w:tcBorders>
            <w:shd w:val="clear" w:color="auto" w:fill="auto"/>
            <w:noWrap/>
            <w:vAlign w:val="bottom"/>
            <w:hideMark/>
          </w:tcPr>
          <w:p w14:paraId="4084220E"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81B3CE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7FBCD72"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5205675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3298188D"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1C3D6E39"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UAE</w:t>
            </w:r>
          </w:p>
        </w:tc>
        <w:tc>
          <w:tcPr>
            <w:tcW w:w="1295" w:type="dxa"/>
            <w:gridSpan w:val="2"/>
            <w:tcBorders>
              <w:top w:val="nil"/>
              <w:left w:val="nil"/>
              <w:bottom w:val="nil"/>
              <w:right w:val="nil"/>
            </w:tcBorders>
            <w:shd w:val="clear" w:color="auto" w:fill="auto"/>
            <w:noWrap/>
            <w:vAlign w:val="bottom"/>
            <w:hideMark/>
          </w:tcPr>
          <w:p w14:paraId="7BBA4A6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4C67A5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D50126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43DDE49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6D871613" w14:textId="77777777" w:rsidTr="00177DD5">
        <w:trPr>
          <w:gridAfter w:val="1"/>
          <w:wAfter w:w="580" w:type="dxa"/>
          <w:trHeight w:val="261"/>
          <w:jc w:val="center"/>
        </w:trPr>
        <w:tc>
          <w:tcPr>
            <w:tcW w:w="7344" w:type="dxa"/>
            <w:gridSpan w:val="9"/>
            <w:tcBorders>
              <w:top w:val="nil"/>
              <w:left w:val="nil"/>
              <w:bottom w:val="nil"/>
              <w:right w:val="nil"/>
            </w:tcBorders>
            <w:shd w:val="clear" w:color="auto" w:fill="auto"/>
            <w:noWrap/>
            <w:vAlign w:val="bottom"/>
            <w:hideMark/>
          </w:tcPr>
          <w:p w14:paraId="0FF2B7EF"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Stage 5 (September 2 - December 31)</w:t>
            </w:r>
          </w:p>
        </w:tc>
      </w:tr>
      <w:tr w:rsidR="00177DD5" w:rsidRPr="00086203" w14:paraId="33EA1E8D"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7266D754"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p>
        </w:tc>
        <w:tc>
          <w:tcPr>
            <w:tcW w:w="1295" w:type="dxa"/>
            <w:gridSpan w:val="2"/>
            <w:tcBorders>
              <w:top w:val="nil"/>
              <w:left w:val="nil"/>
              <w:bottom w:val="nil"/>
              <w:right w:val="nil"/>
            </w:tcBorders>
            <w:shd w:val="clear" w:color="auto" w:fill="auto"/>
            <w:noWrap/>
            <w:vAlign w:val="bottom"/>
            <w:hideMark/>
          </w:tcPr>
          <w:p w14:paraId="6E5F983D"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(1)</w:t>
            </w:r>
          </w:p>
        </w:tc>
        <w:tc>
          <w:tcPr>
            <w:tcW w:w="1295" w:type="dxa"/>
            <w:gridSpan w:val="2"/>
            <w:tcBorders>
              <w:top w:val="nil"/>
              <w:left w:val="nil"/>
              <w:bottom w:val="nil"/>
              <w:right w:val="nil"/>
            </w:tcBorders>
            <w:shd w:val="clear" w:color="auto" w:fill="auto"/>
            <w:noWrap/>
            <w:vAlign w:val="bottom"/>
            <w:hideMark/>
          </w:tcPr>
          <w:p w14:paraId="64605D8F"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(2)</w:t>
            </w:r>
          </w:p>
        </w:tc>
        <w:tc>
          <w:tcPr>
            <w:tcW w:w="1295" w:type="dxa"/>
            <w:gridSpan w:val="2"/>
            <w:tcBorders>
              <w:top w:val="nil"/>
              <w:left w:val="nil"/>
              <w:bottom w:val="nil"/>
              <w:right w:val="nil"/>
            </w:tcBorders>
            <w:shd w:val="clear" w:color="auto" w:fill="auto"/>
            <w:noWrap/>
            <w:vAlign w:val="bottom"/>
            <w:hideMark/>
          </w:tcPr>
          <w:p w14:paraId="5FF22B76"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(3)</w:t>
            </w:r>
          </w:p>
        </w:tc>
        <w:tc>
          <w:tcPr>
            <w:tcW w:w="1298" w:type="dxa"/>
            <w:gridSpan w:val="2"/>
            <w:tcBorders>
              <w:top w:val="nil"/>
              <w:left w:val="nil"/>
              <w:bottom w:val="nil"/>
              <w:right w:val="nil"/>
            </w:tcBorders>
            <w:shd w:val="clear" w:color="auto" w:fill="auto"/>
            <w:noWrap/>
            <w:vAlign w:val="bottom"/>
            <w:hideMark/>
          </w:tcPr>
          <w:p w14:paraId="687A3903"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(4)</w:t>
            </w:r>
          </w:p>
        </w:tc>
      </w:tr>
      <w:tr w:rsidR="00177DD5" w:rsidRPr="00086203" w14:paraId="0D682746"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37A2E7BB"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Malaysia</w:t>
            </w:r>
          </w:p>
        </w:tc>
        <w:tc>
          <w:tcPr>
            <w:tcW w:w="1295" w:type="dxa"/>
            <w:gridSpan w:val="2"/>
            <w:tcBorders>
              <w:top w:val="nil"/>
              <w:left w:val="nil"/>
              <w:bottom w:val="nil"/>
              <w:right w:val="nil"/>
            </w:tcBorders>
            <w:shd w:val="clear" w:color="auto" w:fill="auto"/>
            <w:noWrap/>
            <w:vAlign w:val="bottom"/>
            <w:hideMark/>
          </w:tcPr>
          <w:p w14:paraId="7FA0C8F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564AE2B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1E8031D"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0CCC1C5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3B1C9597"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6FB770F5"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Pakistan</w:t>
            </w:r>
          </w:p>
        </w:tc>
        <w:tc>
          <w:tcPr>
            <w:tcW w:w="1295" w:type="dxa"/>
            <w:gridSpan w:val="2"/>
            <w:tcBorders>
              <w:top w:val="nil"/>
              <w:left w:val="nil"/>
              <w:bottom w:val="nil"/>
              <w:right w:val="nil"/>
            </w:tcBorders>
            <w:shd w:val="clear" w:color="auto" w:fill="auto"/>
            <w:noWrap/>
            <w:vAlign w:val="bottom"/>
            <w:hideMark/>
          </w:tcPr>
          <w:p w14:paraId="6B75609C"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1083962"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038E300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00D65F8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43F27F81"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52A394E0"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Saudi Arabia</w:t>
            </w:r>
          </w:p>
        </w:tc>
        <w:tc>
          <w:tcPr>
            <w:tcW w:w="1295" w:type="dxa"/>
            <w:gridSpan w:val="2"/>
            <w:tcBorders>
              <w:top w:val="nil"/>
              <w:left w:val="nil"/>
              <w:bottom w:val="nil"/>
              <w:right w:val="nil"/>
            </w:tcBorders>
            <w:shd w:val="clear" w:color="auto" w:fill="auto"/>
            <w:noWrap/>
            <w:vAlign w:val="bottom"/>
            <w:hideMark/>
          </w:tcPr>
          <w:p w14:paraId="6893449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4BA5DC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CAD1CE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083A699E"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0AC44DFF" w14:textId="77777777" w:rsidTr="00177DD5">
        <w:trPr>
          <w:gridAfter w:val="1"/>
          <w:wAfter w:w="580" w:type="dxa"/>
          <w:trHeight w:val="273"/>
          <w:jc w:val="center"/>
        </w:trPr>
        <w:tc>
          <w:tcPr>
            <w:tcW w:w="2161" w:type="dxa"/>
            <w:tcBorders>
              <w:top w:val="nil"/>
              <w:left w:val="nil"/>
              <w:bottom w:val="nil"/>
              <w:right w:val="nil"/>
            </w:tcBorders>
            <w:shd w:val="clear" w:color="auto" w:fill="auto"/>
            <w:noWrap/>
            <w:vAlign w:val="bottom"/>
            <w:hideMark/>
          </w:tcPr>
          <w:p w14:paraId="49125F0A"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Qatar</w:t>
            </w:r>
          </w:p>
        </w:tc>
        <w:tc>
          <w:tcPr>
            <w:tcW w:w="1295" w:type="dxa"/>
            <w:gridSpan w:val="2"/>
            <w:tcBorders>
              <w:top w:val="nil"/>
              <w:left w:val="nil"/>
              <w:bottom w:val="nil"/>
              <w:right w:val="nil"/>
            </w:tcBorders>
            <w:shd w:val="clear" w:color="auto" w:fill="auto"/>
            <w:noWrap/>
            <w:vAlign w:val="bottom"/>
            <w:hideMark/>
          </w:tcPr>
          <w:p w14:paraId="60D4E10A" w14:textId="77777777" w:rsidR="00177DD5" w:rsidRPr="00086203" w:rsidRDefault="00177DD5" w:rsidP="00550FD7">
            <w:pPr>
              <w:spacing w:after="0" w:line="240" w:lineRule="auto"/>
              <w:jc w:val="center"/>
              <w:rPr>
                <w:rFonts w:ascii="Times New Roman" w:eastAsia="Times New Roman" w:hAnsi="Times New Roman" w:cs="Times New Roman"/>
                <w:b/>
                <w:bCs/>
                <w:i/>
                <w:iCs/>
                <w:color w:val="000000"/>
                <w:lang w:eastAsia="en-GB"/>
              </w:rPr>
            </w:pPr>
            <w:proofErr w:type="gramStart"/>
            <w:r w:rsidRPr="00086203">
              <w:rPr>
                <w:rFonts w:ascii="Times New Roman" w:eastAsia="Times New Roman" w:hAnsi="Times New Roman" w:cs="Times New Roman"/>
                <w:b/>
                <w:bCs/>
                <w:i/>
                <w:iCs/>
                <w:color w:val="000000"/>
                <w:lang w:eastAsia="en-GB"/>
              </w:rPr>
              <w:t>D(</w:t>
            </w:r>
            <w:proofErr w:type="gramEnd"/>
            <w:r w:rsidRPr="00086203">
              <w:rPr>
                <w:rFonts w:ascii="Times New Roman" w:eastAsia="Times New Roman" w:hAnsi="Times New Roman" w:cs="Times New Roman"/>
                <w:b/>
                <w:bCs/>
                <w:i/>
                <w:iCs/>
                <w:color w:val="000000"/>
                <w:lang w:eastAsia="en-GB"/>
              </w:rPr>
              <w:t>C &gt; I)</w:t>
            </w:r>
          </w:p>
        </w:tc>
        <w:tc>
          <w:tcPr>
            <w:tcW w:w="1295" w:type="dxa"/>
            <w:gridSpan w:val="2"/>
            <w:tcBorders>
              <w:top w:val="nil"/>
              <w:left w:val="nil"/>
              <w:bottom w:val="nil"/>
              <w:right w:val="nil"/>
            </w:tcBorders>
            <w:shd w:val="clear" w:color="auto" w:fill="auto"/>
            <w:noWrap/>
            <w:vAlign w:val="bottom"/>
            <w:hideMark/>
          </w:tcPr>
          <w:p w14:paraId="61CA37BD" w14:textId="77777777" w:rsidR="00177DD5" w:rsidRPr="00086203" w:rsidRDefault="00177DD5" w:rsidP="00550FD7">
            <w:pPr>
              <w:spacing w:after="0" w:line="240" w:lineRule="auto"/>
              <w:jc w:val="center"/>
              <w:rPr>
                <w:rFonts w:ascii="Times New Roman" w:eastAsia="Times New Roman" w:hAnsi="Times New Roman" w:cs="Times New Roman"/>
                <w:b/>
                <w:bCs/>
                <w:i/>
                <w:iCs/>
                <w:color w:val="000000"/>
                <w:lang w:eastAsia="en-GB"/>
              </w:rPr>
            </w:pPr>
            <w:proofErr w:type="gramStart"/>
            <w:r w:rsidRPr="00086203">
              <w:rPr>
                <w:rFonts w:ascii="Times New Roman" w:eastAsia="Times New Roman" w:hAnsi="Times New Roman" w:cs="Times New Roman"/>
                <w:b/>
                <w:bCs/>
                <w:i/>
                <w:iCs/>
                <w:color w:val="000000"/>
                <w:lang w:eastAsia="en-GB"/>
              </w:rPr>
              <w:t>D(</w:t>
            </w:r>
            <w:proofErr w:type="gramEnd"/>
            <w:r w:rsidRPr="00086203">
              <w:rPr>
                <w:rFonts w:ascii="Times New Roman" w:eastAsia="Times New Roman" w:hAnsi="Times New Roman" w:cs="Times New Roman"/>
                <w:b/>
                <w:bCs/>
                <w:i/>
                <w:iCs/>
                <w:color w:val="000000"/>
                <w:lang w:eastAsia="en-GB"/>
              </w:rPr>
              <w:t>C &gt; I)</w:t>
            </w:r>
          </w:p>
        </w:tc>
        <w:tc>
          <w:tcPr>
            <w:tcW w:w="1295" w:type="dxa"/>
            <w:gridSpan w:val="2"/>
            <w:tcBorders>
              <w:top w:val="nil"/>
              <w:left w:val="nil"/>
              <w:bottom w:val="nil"/>
              <w:right w:val="nil"/>
            </w:tcBorders>
            <w:shd w:val="clear" w:color="auto" w:fill="auto"/>
            <w:noWrap/>
            <w:vAlign w:val="bottom"/>
            <w:hideMark/>
          </w:tcPr>
          <w:p w14:paraId="25C93836" w14:textId="77777777" w:rsidR="00177DD5" w:rsidRPr="00086203" w:rsidRDefault="00177DD5" w:rsidP="00550FD7">
            <w:pPr>
              <w:spacing w:after="0" w:line="240" w:lineRule="auto"/>
              <w:jc w:val="center"/>
              <w:rPr>
                <w:rFonts w:ascii="Times New Roman" w:eastAsia="Times New Roman" w:hAnsi="Times New Roman" w:cs="Times New Roman"/>
                <w:b/>
                <w:bCs/>
                <w:i/>
                <w:iCs/>
                <w:color w:val="000000"/>
                <w:lang w:eastAsia="en-GB"/>
              </w:rPr>
            </w:pPr>
            <w:proofErr w:type="gramStart"/>
            <w:r w:rsidRPr="00086203">
              <w:rPr>
                <w:rFonts w:ascii="Times New Roman" w:eastAsia="Times New Roman" w:hAnsi="Times New Roman" w:cs="Times New Roman"/>
                <w:b/>
                <w:bCs/>
                <w:i/>
                <w:iCs/>
                <w:color w:val="000000"/>
                <w:lang w:eastAsia="en-GB"/>
              </w:rPr>
              <w:t>D(</w:t>
            </w:r>
            <w:proofErr w:type="gramEnd"/>
            <w:r w:rsidRPr="00086203">
              <w:rPr>
                <w:rFonts w:ascii="Times New Roman" w:eastAsia="Times New Roman" w:hAnsi="Times New Roman" w:cs="Times New Roman"/>
                <w:b/>
                <w:bCs/>
                <w:i/>
                <w:iCs/>
                <w:color w:val="000000"/>
                <w:lang w:eastAsia="en-GB"/>
              </w:rPr>
              <w:t>C &gt; I)</w:t>
            </w:r>
          </w:p>
        </w:tc>
        <w:tc>
          <w:tcPr>
            <w:tcW w:w="1298" w:type="dxa"/>
            <w:gridSpan w:val="2"/>
            <w:tcBorders>
              <w:top w:val="nil"/>
              <w:left w:val="nil"/>
              <w:bottom w:val="nil"/>
              <w:right w:val="nil"/>
            </w:tcBorders>
            <w:shd w:val="clear" w:color="auto" w:fill="auto"/>
            <w:noWrap/>
            <w:vAlign w:val="bottom"/>
            <w:hideMark/>
          </w:tcPr>
          <w:p w14:paraId="337E2E55" w14:textId="77777777" w:rsidR="00177DD5" w:rsidRPr="00086203" w:rsidRDefault="00177DD5" w:rsidP="00550FD7">
            <w:pPr>
              <w:spacing w:after="0" w:line="240" w:lineRule="auto"/>
              <w:jc w:val="center"/>
              <w:rPr>
                <w:rFonts w:ascii="Times New Roman" w:eastAsia="Times New Roman" w:hAnsi="Times New Roman" w:cs="Times New Roman"/>
                <w:b/>
                <w:bCs/>
                <w:i/>
                <w:iCs/>
                <w:color w:val="000000"/>
                <w:lang w:eastAsia="en-GB"/>
              </w:rPr>
            </w:pPr>
            <w:proofErr w:type="gramStart"/>
            <w:r w:rsidRPr="00086203">
              <w:rPr>
                <w:rFonts w:ascii="Times New Roman" w:eastAsia="Times New Roman" w:hAnsi="Times New Roman" w:cs="Times New Roman"/>
                <w:b/>
                <w:bCs/>
                <w:i/>
                <w:iCs/>
                <w:color w:val="000000"/>
                <w:lang w:eastAsia="en-GB"/>
              </w:rPr>
              <w:t>D(</w:t>
            </w:r>
            <w:proofErr w:type="gramEnd"/>
            <w:r w:rsidRPr="00086203">
              <w:rPr>
                <w:rFonts w:ascii="Times New Roman" w:eastAsia="Times New Roman" w:hAnsi="Times New Roman" w:cs="Times New Roman"/>
                <w:b/>
                <w:bCs/>
                <w:i/>
                <w:iCs/>
                <w:color w:val="000000"/>
                <w:lang w:eastAsia="en-GB"/>
              </w:rPr>
              <w:t>C &gt; I)</w:t>
            </w:r>
          </w:p>
        </w:tc>
      </w:tr>
      <w:tr w:rsidR="00177DD5" w:rsidRPr="00086203" w14:paraId="5F4CC8D7"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27F0DE52"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lastRenderedPageBreak/>
              <w:t>Kuwait</w:t>
            </w:r>
          </w:p>
        </w:tc>
        <w:tc>
          <w:tcPr>
            <w:tcW w:w="1295" w:type="dxa"/>
            <w:gridSpan w:val="2"/>
            <w:tcBorders>
              <w:top w:val="nil"/>
              <w:left w:val="nil"/>
              <w:bottom w:val="nil"/>
              <w:right w:val="nil"/>
            </w:tcBorders>
            <w:shd w:val="clear" w:color="auto" w:fill="auto"/>
            <w:noWrap/>
            <w:vAlign w:val="bottom"/>
            <w:hideMark/>
          </w:tcPr>
          <w:p w14:paraId="5E8DA97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BABCEA3"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0923463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29488CC2"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58BAA93C"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1FC1BC32"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UAE</w:t>
            </w:r>
          </w:p>
        </w:tc>
        <w:tc>
          <w:tcPr>
            <w:tcW w:w="1295" w:type="dxa"/>
            <w:gridSpan w:val="2"/>
            <w:tcBorders>
              <w:top w:val="nil"/>
              <w:left w:val="nil"/>
              <w:bottom w:val="nil"/>
              <w:right w:val="nil"/>
            </w:tcBorders>
            <w:shd w:val="clear" w:color="auto" w:fill="auto"/>
            <w:noWrap/>
            <w:vAlign w:val="bottom"/>
            <w:hideMark/>
          </w:tcPr>
          <w:p w14:paraId="665D86B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D059E9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4BA25369"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2D66B857"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440C5FF3" w14:textId="77777777" w:rsidTr="00177DD5">
        <w:trPr>
          <w:gridAfter w:val="1"/>
          <w:wAfter w:w="580" w:type="dxa"/>
          <w:trHeight w:val="261"/>
          <w:jc w:val="center"/>
        </w:trPr>
        <w:tc>
          <w:tcPr>
            <w:tcW w:w="7344" w:type="dxa"/>
            <w:gridSpan w:val="9"/>
            <w:tcBorders>
              <w:top w:val="nil"/>
              <w:left w:val="nil"/>
              <w:bottom w:val="nil"/>
              <w:right w:val="nil"/>
            </w:tcBorders>
            <w:shd w:val="clear" w:color="auto" w:fill="auto"/>
            <w:noWrap/>
            <w:vAlign w:val="bottom"/>
            <w:hideMark/>
          </w:tcPr>
          <w:p w14:paraId="0BFB5584"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 xml:space="preserve">Stage 6 (January 1 - May </w:t>
            </w:r>
            <w:proofErr w:type="gramStart"/>
            <w:r w:rsidRPr="00086203">
              <w:rPr>
                <w:rFonts w:ascii="Times New Roman" w:eastAsia="Times New Roman" w:hAnsi="Times New Roman" w:cs="Times New Roman"/>
                <w:b/>
                <w:bCs/>
                <w:color w:val="000000"/>
                <w:lang w:eastAsia="en-GB"/>
              </w:rPr>
              <w:t>31</w:t>
            </w:r>
            <w:proofErr w:type="gramEnd"/>
            <w:r w:rsidRPr="00086203">
              <w:rPr>
                <w:rFonts w:ascii="Times New Roman" w:eastAsia="Times New Roman" w:hAnsi="Times New Roman" w:cs="Times New Roman"/>
                <w:b/>
                <w:bCs/>
                <w:color w:val="000000"/>
                <w:lang w:eastAsia="en-GB"/>
              </w:rPr>
              <w:t xml:space="preserve"> 2021)</w:t>
            </w:r>
          </w:p>
        </w:tc>
      </w:tr>
      <w:tr w:rsidR="00177DD5" w:rsidRPr="00086203" w14:paraId="2216B653"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29C9D38E"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p>
        </w:tc>
        <w:tc>
          <w:tcPr>
            <w:tcW w:w="1295" w:type="dxa"/>
            <w:gridSpan w:val="2"/>
            <w:tcBorders>
              <w:top w:val="nil"/>
              <w:left w:val="nil"/>
              <w:bottom w:val="nil"/>
              <w:right w:val="nil"/>
            </w:tcBorders>
            <w:shd w:val="clear" w:color="auto" w:fill="auto"/>
            <w:noWrap/>
            <w:vAlign w:val="bottom"/>
            <w:hideMark/>
          </w:tcPr>
          <w:p w14:paraId="3EC5C61A"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(1)</w:t>
            </w:r>
          </w:p>
        </w:tc>
        <w:tc>
          <w:tcPr>
            <w:tcW w:w="1295" w:type="dxa"/>
            <w:gridSpan w:val="2"/>
            <w:tcBorders>
              <w:top w:val="nil"/>
              <w:left w:val="nil"/>
              <w:bottom w:val="nil"/>
              <w:right w:val="nil"/>
            </w:tcBorders>
            <w:shd w:val="clear" w:color="auto" w:fill="auto"/>
            <w:noWrap/>
            <w:vAlign w:val="bottom"/>
            <w:hideMark/>
          </w:tcPr>
          <w:p w14:paraId="444DB347"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(2)</w:t>
            </w:r>
          </w:p>
        </w:tc>
        <w:tc>
          <w:tcPr>
            <w:tcW w:w="1295" w:type="dxa"/>
            <w:gridSpan w:val="2"/>
            <w:tcBorders>
              <w:top w:val="nil"/>
              <w:left w:val="nil"/>
              <w:bottom w:val="nil"/>
              <w:right w:val="nil"/>
            </w:tcBorders>
            <w:shd w:val="clear" w:color="auto" w:fill="auto"/>
            <w:noWrap/>
            <w:vAlign w:val="bottom"/>
            <w:hideMark/>
          </w:tcPr>
          <w:p w14:paraId="73E390D8"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(3)</w:t>
            </w:r>
          </w:p>
        </w:tc>
        <w:tc>
          <w:tcPr>
            <w:tcW w:w="1298" w:type="dxa"/>
            <w:gridSpan w:val="2"/>
            <w:tcBorders>
              <w:top w:val="nil"/>
              <w:left w:val="nil"/>
              <w:bottom w:val="nil"/>
              <w:right w:val="nil"/>
            </w:tcBorders>
            <w:shd w:val="clear" w:color="auto" w:fill="auto"/>
            <w:noWrap/>
            <w:vAlign w:val="bottom"/>
            <w:hideMark/>
          </w:tcPr>
          <w:p w14:paraId="7C389771" w14:textId="77777777" w:rsidR="00177DD5" w:rsidRPr="00086203" w:rsidRDefault="00177DD5" w:rsidP="00550FD7">
            <w:pPr>
              <w:spacing w:after="0" w:line="240" w:lineRule="auto"/>
              <w:jc w:val="center"/>
              <w:rPr>
                <w:rFonts w:ascii="Times New Roman" w:eastAsia="Times New Roman" w:hAnsi="Times New Roman" w:cs="Times New Roman"/>
                <w:b/>
                <w:bCs/>
                <w:color w:val="000000"/>
                <w:lang w:eastAsia="en-GB"/>
              </w:rPr>
            </w:pPr>
            <w:r w:rsidRPr="00086203">
              <w:rPr>
                <w:rFonts w:ascii="Times New Roman" w:eastAsia="Times New Roman" w:hAnsi="Times New Roman" w:cs="Times New Roman"/>
                <w:b/>
                <w:bCs/>
                <w:color w:val="000000"/>
                <w:lang w:eastAsia="en-GB"/>
              </w:rPr>
              <w:t>SD (4)</w:t>
            </w:r>
          </w:p>
        </w:tc>
      </w:tr>
      <w:tr w:rsidR="00177DD5" w:rsidRPr="00086203" w14:paraId="48FD326A"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5C5D53C2"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Malaysia</w:t>
            </w:r>
          </w:p>
        </w:tc>
        <w:tc>
          <w:tcPr>
            <w:tcW w:w="1295" w:type="dxa"/>
            <w:gridSpan w:val="2"/>
            <w:tcBorders>
              <w:top w:val="nil"/>
              <w:left w:val="nil"/>
              <w:bottom w:val="nil"/>
              <w:right w:val="nil"/>
            </w:tcBorders>
            <w:shd w:val="clear" w:color="auto" w:fill="auto"/>
            <w:noWrap/>
            <w:vAlign w:val="bottom"/>
            <w:hideMark/>
          </w:tcPr>
          <w:p w14:paraId="03632FDE"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0F300AD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411C1CD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6E8A416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021F917A"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3483E659"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Pakistan</w:t>
            </w:r>
          </w:p>
        </w:tc>
        <w:tc>
          <w:tcPr>
            <w:tcW w:w="1295" w:type="dxa"/>
            <w:gridSpan w:val="2"/>
            <w:tcBorders>
              <w:top w:val="nil"/>
              <w:left w:val="nil"/>
              <w:bottom w:val="nil"/>
              <w:right w:val="nil"/>
            </w:tcBorders>
            <w:shd w:val="clear" w:color="auto" w:fill="auto"/>
            <w:noWrap/>
            <w:vAlign w:val="bottom"/>
            <w:hideMark/>
          </w:tcPr>
          <w:p w14:paraId="4328B601"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0BDB1DC2"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7011435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61512C5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31B9179E"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101CB6D0"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Saudi Arabia</w:t>
            </w:r>
          </w:p>
        </w:tc>
        <w:tc>
          <w:tcPr>
            <w:tcW w:w="1295" w:type="dxa"/>
            <w:gridSpan w:val="2"/>
            <w:tcBorders>
              <w:top w:val="nil"/>
              <w:left w:val="nil"/>
              <w:bottom w:val="nil"/>
              <w:right w:val="nil"/>
            </w:tcBorders>
            <w:shd w:val="clear" w:color="auto" w:fill="auto"/>
            <w:noWrap/>
            <w:vAlign w:val="bottom"/>
            <w:hideMark/>
          </w:tcPr>
          <w:p w14:paraId="389DF39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E97219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6F0F5CD"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05127FA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25E0F91E"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24CBE756"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Qatar</w:t>
            </w:r>
          </w:p>
        </w:tc>
        <w:tc>
          <w:tcPr>
            <w:tcW w:w="1295" w:type="dxa"/>
            <w:gridSpan w:val="2"/>
            <w:tcBorders>
              <w:top w:val="nil"/>
              <w:left w:val="nil"/>
              <w:bottom w:val="nil"/>
              <w:right w:val="nil"/>
            </w:tcBorders>
            <w:shd w:val="clear" w:color="auto" w:fill="auto"/>
            <w:noWrap/>
            <w:vAlign w:val="bottom"/>
            <w:hideMark/>
          </w:tcPr>
          <w:p w14:paraId="3D76870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C &gt; I)</w:t>
            </w:r>
          </w:p>
        </w:tc>
        <w:tc>
          <w:tcPr>
            <w:tcW w:w="1295" w:type="dxa"/>
            <w:gridSpan w:val="2"/>
            <w:tcBorders>
              <w:top w:val="nil"/>
              <w:left w:val="nil"/>
              <w:bottom w:val="nil"/>
              <w:right w:val="nil"/>
            </w:tcBorders>
            <w:shd w:val="clear" w:color="auto" w:fill="auto"/>
            <w:noWrap/>
            <w:vAlign w:val="bottom"/>
            <w:hideMark/>
          </w:tcPr>
          <w:p w14:paraId="0727585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C &gt; I)</w:t>
            </w:r>
          </w:p>
        </w:tc>
        <w:tc>
          <w:tcPr>
            <w:tcW w:w="1295" w:type="dxa"/>
            <w:gridSpan w:val="2"/>
            <w:tcBorders>
              <w:top w:val="nil"/>
              <w:left w:val="nil"/>
              <w:bottom w:val="nil"/>
              <w:right w:val="nil"/>
            </w:tcBorders>
            <w:shd w:val="clear" w:color="auto" w:fill="auto"/>
            <w:noWrap/>
            <w:vAlign w:val="bottom"/>
            <w:hideMark/>
          </w:tcPr>
          <w:p w14:paraId="0B749C95"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C &gt; I)</w:t>
            </w:r>
          </w:p>
        </w:tc>
        <w:tc>
          <w:tcPr>
            <w:tcW w:w="1298" w:type="dxa"/>
            <w:gridSpan w:val="2"/>
            <w:tcBorders>
              <w:top w:val="nil"/>
              <w:left w:val="nil"/>
              <w:bottom w:val="nil"/>
              <w:right w:val="nil"/>
            </w:tcBorders>
            <w:shd w:val="clear" w:color="auto" w:fill="auto"/>
            <w:noWrap/>
            <w:vAlign w:val="bottom"/>
            <w:hideMark/>
          </w:tcPr>
          <w:p w14:paraId="13A7C29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C &gt; I)</w:t>
            </w:r>
          </w:p>
        </w:tc>
      </w:tr>
      <w:tr w:rsidR="00177DD5" w:rsidRPr="00086203" w14:paraId="7BDDD6BD"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42C1BAB5"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Kuwait</w:t>
            </w:r>
          </w:p>
        </w:tc>
        <w:tc>
          <w:tcPr>
            <w:tcW w:w="1295" w:type="dxa"/>
            <w:gridSpan w:val="2"/>
            <w:tcBorders>
              <w:top w:val="nil"/>
              <w:left w:val="nil"/>
              <w:bottom w:val="nil"/>
              <w:right w:val="nil"/>
            </w:tcBorders>
            <w:shd w:val="clear" w:color="auto" w:fill="auto"/>
            <w:noWrap/>
            <w:vAlign w:val="bottom"/>
            <w:hideMark/>
          </w:tcPr>
          <w:p w14:paraId="1D247E2F"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1C098F0B"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35C154CA"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54DEA146"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291B6F74" w14:textId="77777777" w:rsidTr="00177DD5">
        <w:trPr>
          <w:gridAfter w:val="1"/>
          <w:wAfter w:w="580" w:type="dxa"/>
          <w:trHeight w:val="261"/>
          <w:jc w:val="center"/>
        </w:trPr>
        <w:tc>
          <w:tcPr>
            <w:tcW w:w="2161" w:type="dxa"/>
            <w:tcBorders>
              <w:top w:val="nil"/>
              <w:left w:val="nil"/>
              <w:bottom w:val="nil"/>
              <w:right w:val="nil"/>
            </w:tcBorders>
            <w:shd w:val="clear" w:color="auto" w:fill="auto"/>
            <w:noWrap/>
            <w:vAlign w:val="bottom"/>
            <w:hideMark/>
          </w:tcPr>
          <w:p w14:paraId="08840879" w14:textId="77777777" w:rsidR="00177DD5" w:rsidRPr="00086203" w:rsidRDefault="00177DD5" w:rsidP="00550FD7">
            <w:pPr>
              <w:spacing w:after="0" w:line="240" w:lineRule="auto"/>
              <w:rPr>
                <w:rFonts w:ascii="Times New Roman" w:eastAsia="Times New Roman" w:hAnsi="Times New Roman" w:cs="Times New Roman"/>
                <w:color w:val="000000"/>
                <w:lang w:eastAsia="en-GB"/>
              </w:rPr>
            </w:pPr>
            <w:r w:rsidRPr="00086203">
              <w:rPr>
                <w:rFonts w:ascii="Times New Roman" w:eastAsia="Times New Roman" w:hAnsi="Times New Roman" w:cs="Times New Roman"/>
                <w:color w:val="000000"/>
                <w:lang w:eastAsia="en-GB"/>
              </w:rPr>
              <w:t>UAE</w:t>
            </w:r>
          </w:p>
        </w:tc>
        <w:tc>
          <w:tcPr>
            <w:tcW w:w="1295" w:type="dxa"/>
            <w:gridSpan w:val="2"/>
            <w:tcBorders>
              <w:top w:val="nil"/>
              <w:left w:val="nil"/>
              <w:bottom w:val="nil"/>
              <w:right w:val="nil"/>
            </w:tcBorders>
            <w:shd w:val="clear" w:color="auto" w:fill="auto"/>
            <w:noWrap/>
            <w:vAlign w:val="bottom"/>
            <w:hideMark/>
          </w:tcPr>
          <w:p w14:paraId="4C45CE84"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2D107F83"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5" w:type="dxa"/>
            <w:gridSpan w:val="2"/>
            <w:tcBorders>
              <w:top w:val="nil"/>
              <w:left w:val="nil"/>
              <w:bottom w:val="nil"/>
              <w:right w:val="nil"/>
            </w:tcBorders>
            <w:shd w:val="clear" w:color="auto" w:fill="auto"/>
            <w:noWrap/>
            <w:vAlign w:val="bottom"/>
            <w:hideMark/>
          </w:tcPr>
          <w:p w14:paraId="6CF88B18"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c>
          <w:tcPr>
            <w:tcW w:w="1298" w:type="dxa"/>
            <w:gridSpan w:val="2"/>
            <w:tcBorders>
              <w:top w:val="nil"/>
              <w:left w:val="nil"/>
              <w:bottom w:val="nil"/>
              <w:right w:val="nil"/>
            </w:tcBorders>
            <w:shd w:val="clear" w:color="auto" w:fill="auto"/>
            <w:noWrap/>
            <w:vAlign w:val="bottom"/>
            <w:hideMark/>
          </w:tcPr>
          <w:p w14:paraId="15FD1500" w14:textId="77777777" w:rsidR="00177DD5" w:rsidRPr="00086203" w:rsidRDefault="00177DD5" w:rsidP="00550FD7">
            <w:pPr>
              <w:spacing w:after="0" w:line="240" w:lineRule="auto"/>
              <w:jc w:val="center"/>
              <w:rPr>
                <w:rFonts w:ascii="Times New Roman" w:eastAsia="Times New Roman" w:hAnsi="Times New Roman" w:cs="Times New Roman"/>
                <w:color w:val="000000"/>
                <w:lang w:eastAsia="en-GB"/>
              </w:rPr>
            </w:pPr>
            <w:proofErr w:type="gramStart"/>
            <w:r w:rsidRPr="00086203">
              <w:rPr>
                <w:rFonts w:ascii="Times New Roman" w:eastAsia="Times New Roman" w:hAnsi="Times New Roman" w:cs="Times New Roman"/>
                <w:color w:val="000000"/>
                <w:lang w:eastAsia="en-GB"/>
              </w:rPr>
              <w:t>D(</w:t>
            </w:r>
            <w:proofErr w:type="gramEnd"/>
            <w:r w:rsidRPr="00086203">
              <w:rPr>
                <w:rFonts w:ascii="Times New Roman" w:eastAsia="Times New Roman" w:hAnsi="Times New Roman" w:cs="Times New Roman"/>
                <w:color w:val="000000"/>
                <w:lang w:eastAsia="en-GB"/>
              </w:rPr>
              <w:t>I &gt; C)</w:t>
            </w:r>
          </w:p>
        </w:tc>
      </w:tr>
      <w:tr w:rsidR="00177DD5" w:rsidRPr="00086203" w14:paraId="45B2DB4D" w14:textId="77777777" w:rsidTr="00177DD5">
        <w:trPr>
          <w:gridAfter w:val="1"/>
          <w:wAfter w:w="580" w:type="dxa"/>
          <w:trHeight w:val="261"/>
          <w:jc w:val="center"/>
        </w:trPr>
        <w:tc>
          <w:tcPr>
            <w:tcW w:w="7344" w:type="dxa"/>
            <w:gridSpan w:val="9"/>
            <w:tcBorders>
              <w:top w:val="single" w:sz="4" w:space="0" w:color="auto"/>
              <w:left w:val="nil"/>
              <w:bottom w:val="nil"/>
              <w:right w:val="nil"/>
            </w:tcBorders>
            <w:shd w:val="clear" w:color="auto" w:fill="auto"/>
            <w:noWrap/>
            <w:vAlign w:val="bottom"/>
            <w:hideMark/>
          </w:tcPr>
          <w:p w14:paraId="1C8F6F70" w14:textId="77777777" w:rsidR="00177DD5" w:rsidRPr="00086203" w:rsidRDefault="00177DD5" w:rsidP="00550FD7">
            <w:pPr>
              <w:spacing w:after="0" w:line="240" w:lineRule="auto"/>
              <w:rPr>
                <w:rFonts w:ascii="Times New Roman" w:eastAsia="Times New Roman" w:hAnsi="Times New Roman" w:cs="Times New Roman"/>
                <w:i/>
                <w:iCs/>
                <w:color w:val="000000"/>
                <w:lang w:eastAsia="en-GB"/>
              </w:rPr>
            </w:pPr>
            <w:r w:rsidRPr="00086203">
              <w:rPr>
                <w:rFonts w:ascii="Times New Roman" w:eastAsia="Times New Roman" w:hAnsi="Times New Roman" w:cs="Times New Roman"/>
                <w:i/>
                <w:iCs/>
                <w:color w:val="000000"/>
                <w:lang w:eastAsia="en-GB"/>
              </w:rPr>
              <w:t>I = Islamic Funds, C = Conventional Funds</w:t>
            </w:r>
          </w:p>
        </w:tc>
      </w:tr>
      <w:tr w:rsidR="004B3DBE" w:rsidRPr="00EC6B83" w14:paraId="14ADCB87" w14:textId="77777777" w:rsidTr="00177DD5">
        <w:trPr>
          <w:trHeight w:val="264"/>
          <w:jc w:val="center"/>
        </w:trPr>
        <w:tc>
          <w:tcPr>
            <w:tcW w:w="2332" w:type="dxa"/>
            <w:gridSpan w:val="2"/>
            <w:tcBorders>
              <w:top w:val="nil"/>
              <w:left w:val="nil"/>
              <w:bottom w:val="nil"/>
              <w:right w:val="nil"/>
            </w:tcBorders>
            <w:shd w:val="clear" w:color="auto" w:fill="auto"/>
            <w:noWrap/>
            <w:vAlign w:val="bottom"/>
          </w:tcPr>
          <w:p w14:paraId="380B3021" w14:textId="561CF168" w:rsidR="004B3DBE" w:rsidRPr="00EC6B83" w:rsidRDefault="004B3DBE" w:rsidP="004B3DBE">
            <w:pPr>
              <w:spacing w:after="0" w:line="240" w:lineRule="auto"/>
              <w:rPr>
                <w:rFonts w:ascii="Times New Roman" w:eastAsia="Times New Roman" w:hAnsi="Times New Roman" w:cs="Times New Roman"/>
                <w:color w:val="000000"/>
              </w:rPr>
            </w:pPr>
          </w:p>
        </w:tc>
        <w:tc>
          <w:tcPr>
            <w:tcW w:w="1397" w:type="dxa"/>
            <w:gridSpan w:val="2"/>
            <w:tcBorders>
              <w:top w:val="nil"/>
              <w:left w:val="nil"/>
              <w:bottom w:val="nil"/>
              <w:right w:val="nil"/>
            </w:tcBorders>
            <w:shd w:val="clear" w:color="auto" w:fill="auto"/>
            <w:noWrap/>
            <w:vAlign w:val="bottom"/>
          </w:tcPr>
          <w:p w14:paraId="20422F64" w14:textId="72BCF557" w:rsidR="004B3DBE" w:rsidRPr="00EC6B83" w:rsidRDefault="004B3DBE" w:rsidP="004B3DBE">
            <w:pPr>
              <w:spacing w:after="0" w:line="240" w:lineRule="auto"/>
              <w:jc w:val="center"/>
              <w:rPr>
                <w:rFonts w:ascii="Times New Roman" w:eastAsia="Times New Roman" w:hAnsi="Times New Roman" w:cs="Times New Roman"/>
                <w:color w:val="000000"/>
              </w:rPr>
            </w:pPr>
          </w:p>
        </w:tc>
        <w:tc>
          <w:tcPr>
            <w:tcW w:w="1397" w:type="dxa"/>
            <w:gridSpan w:val="2"/>
            <w:tcBorders>
              <w:top w:val="nil"/>
              <w:left w:val="nil"/>
              <w:bottom w:val="nil"/>
              <w:right w:val="nil"/>
            </w:tcBorders>
            <w:shd w:val="clear" w:color="auto" w:fill="auto"/>
            <w:noWrap/>
            <w:vAlign w:val="bottom"/>
          </w:tcPr>
          <w:p w14:paraId="2620DB28" w14:textId="5AFB38C0" w:rsidR="004B3DBE" w:rsidRPr="00EC6B83" w:rsidRDefault="004B3DBE" w:rsidP="004B3DBE">
            <w:pPr>
              <w:spacing w:after="0" w:line="240" w:lineRule="auto"/>
              <w:jc w:val="center"/>
              <w:rPr>
                <w:rFonts w:ascii="Times New Roman" w:eastAsia="Times New Roman" w:hAnsi="Times New Roman" w:cs="Times New Roman"/>
                <w:color w:val="000000"/>
              </w:rPr>
            </w:pPr>
          </w:p>
        </w:tc>
        <w:tc>
          <w:tcPr>
            <w:tcW w:w="1397" w:type="dxa"/>
            <w:gridSpan w:val="2"/>
            <w:tcBorders>
              <w:top w:val="nil"/>
              <w:left w:val="nil"/>
              <w:bottom w:val="nil"/>
              <w:right w:val="nil"/>
            </w:tcBorders>
            <w:shd w:val="clear" w:color="auto" w:fill="auto"/>
            <w:noWrap/>
            <w:vAlign w:val="bottom"/>
          </w:tcPr>
          <w:p w14:paraId="5584607A" w14:textId="46CA53BC" w:rsidR="004B3DBE" w:rsidRPr="00EC6B83" w:rsidRDefault="004B3DBE" w:rsidP="004B3DBE">
            <w:pPr>
              <w:spacing w:after="0" w:line="240" w:lineRule="auto"/>
              <w:jc w:val="center"/>
              <w:rPr>
                <w:rFonts w:ascii="Times New Roman" w:eastAsia="Times New Roman" w:hAnsi="Times New Roman" w:cs="Times New Roman"/>
                <w:color w:val="000000"/>
              </w:rPr>
            </w:pPr>
          </w:p>
        </w:tc>
        <w:tc>
          <w:tcPr>
            <w:tcW w:w="1401" w:type="dxa"/>
            <w:gridSpan w:val="2"/>
            <w:tcBorders>
              <w:top w:val="nil"/>
              <w:left w:val="nil"/>
              <w:bottom w:val="nil"/>
              <w:right w:val="nil"/>
            </w:tcBorders>
            <w:shd w:val="clear" w:color="auto" w:fill="auto"/>
            <w:noWrap/>
            <w:vAlign w:val="bottom"/>
          </w:tcPr>
          <w:p w14:paraId="52760515" w14:textId="1315CF9C" w:rsidR="004B3DBE" w:rsidRPr="00EC6B83" w:rsidRDefault="004B3DBE" w:rsidP="004B3DBE">
            <w:pPr>
              <w:spacing w:after="0" w:line="240" w:lineRule="auto"/>
              <w:jc w:val="center"/>
              <w:rPr>
                <w:rFonts w:ascii="Times New Roman" w:eastAsia="Times New Roman" w:hAnsi="Times New Roman" w:cs="Times New Roman"/>
                <w:color w:val="000000"/>
              </w:rPr>
            </w:pPr>
          </w:p>
        </w:tc>
      </w:tr>
    </w:tbl>
    <w:p w14:paraId="078AD089" w14:textId="78B0E27A" w:rsidR="004B3DBE" w:rsidRDefault="004B3DBE" w:rsidP="00306401">
      <w:pPr>
        <w:rPr>
          <w:rFonts w:ascii="Times New Roman" w:hAnsi="Times New Roman" w:cs="Times New Roman"/>
          <w:sz w:val="24"/>
          <w:szCs w:val="24"/>
        </w:rPr>
        <w:sectPr w:rsidR="004B3DBE" w:rsidSect="004B3DBE">
          <w:pgSz w:w="12240" w:h="15840"/>
          <w:pgMar w:top="1418" w:right="1418" w:bottom="1418" w:left="1418" w:header="709" w:footer="709" w:gutter="0"/>
          <w:cols w:space="708"/>
          <w:docGrid w:linePitch="360"/>
        </w:sectPr>
      </w:pPr>
    </w:p>
    <w:tbl>
      <w:tblPr>
        <w:tblpPr w:leftFromText="180" w:rightFromText="180" w:vertAnchor="page" w:horzAnchor="margin" w:tblpY="1181"/>
        <w:tblW w:w="12804" w:type="dxa"/>
        <w:tblLook w:val="04A0" w:firstRow="1" w:lastRow="0" w:firstColumn="1" w:lastColumn="0" w:noHBand="0" w:noVBand="1"/>
      </w:tblPr>
      <w:tblGrid>
        <w:gridCol w:w="1641"/>
        <w:gridCol w:w="1541"/>
        <w:gridCol w:w="1337"/>
        <w:gridCol w:w="1994"/>
        <w:gridCol w:w="1193"/>
        <w:gridCol w:w="1134"/>
        <w:gridCol w:w="562"/>
        <w:gridCol w:w="1134"/>
        <w:gridCol w:w="562"/>
        <w:gridCol w:w="1134"/>
        <w:gridCol w:w="562"/>
        <w:gridCol w:w="10"/>
      </w:tblGrid>
      <w:tr w:rsidR="00306401" w:rsidRPr="00DE1826" w14:paraId="68109B44" w14:textId="77777777" w:rsidTr="00306401">
        <w:trPr>
          <w:trHeight w:val="170"/>
        </w:trPr>
        <w:tc>
          <w:tcPr>
            <w:tcW w:w="12804" w:type="dxa"/>
            <w:gridSpan w:val="12"/>
            <w:tcBorders>
              <w:top w:val="nil"/>
              <w:left w:val="nil"/>
              <w:bottom w:val="single" w:sz="4" w:space="0" w:color="auto"/>
              <w:right w:val="nil"/>
            </w:tcBorders>
            <w:shd w:val="clear" w:color="auto" w:fill="auto"/>
            <w:noWrap/>
            <w:vAlign w:val="bottom"/>
            <w:hideMark/>
          </w:tcPr>
          <w:p w14:paraId="38B0C03B" w14:textId="0DA04DA6" w:rsidR="00306401" w:rsidRDefault="00306401" w:rsidP="00306401">
            <w:pPr>
              <w:spacing w:after="0" w:line="240" w:lineRule="auto"/>
              <w:jc w:val="center"/>
              <w:rPr>
                <w:rFonts w:ascii="Times New Roman" w:eastAsia="Times New Roman" w:hAnsi="Times New Roman" w:cs="Times New Roman"/>
                <w:b/>
                <w:bCs/>
                <w:color w:val="000000"/>
              </w:rPr>
            </w:pPr>
            <w:r w:rsidRPr="00306401">
              <w:rPr>
                <w:rFonts w:ascii="Times New Roman" w:eastAsia="Times New Roman" w:hAnsi="Times New Roman" w:cs="Times New Roman"/>
                <w:b/>
                <w:bCs/>
                <w:color w:val="000000"/>
              </w:rPr>
              <w:lastRenderedPageBreak/>
              <w:t>Table</w:t>
            </w:r>
            <w:r>
              <w:rPr>
                <w:rFonts w:ascii="Times New Roman" w:eastAsia="Times New Roman" w:hAnsi="Times New Roman" w:cs="Times New Roman"/>
                <w:b/>
                <w:bCs/>
                <w:color w:val="000000"/>
              </w:rPr>
              <w:t xml:space="preserve"> </w:t>
            </w:r>
            <w:r w:rsidRPr="00306401">
              <w:rPr>
                <w:rFonts w:ascii="Times New Roman" w:eastAsia="Times New Roman" w:hAnsi="Times New Roman" w:cs="Times New Roman"/>
                <w:b/>
                <w:bCs/>
                <w:color w:val="000000"/>
              </w:rPr>
              <w:t>6</w:t>
            </w:r>
            <w:r>
              <w:rPr>
                <w:rFonts w:ascii="Times New Roman" w:eastAsia="Times New Roman" w:hAnsi="Times New Roman" w:cs="Times New Roman"/>
                <w:b/>
                <w:bCs/>
                <w:color w:val="000000"/>
              </w:rPr>
              <w:t>.</w:t>
            </w:r>
            <w:r w:rsidRPr="00306401">
              <w:rPr>
                <w:rFonts w:ascii="Times New Roman" w:eastAsia="Times New Roman" w:hAnsi="Times New Roman" w:cs="Times New Roman"/>
                <w:b/>
                <w:bCs/>
                <w:color w:val="000000"/>
              </w:rPr>
              <w:t xml:space="preserve"> Cumulative Abnormal Returns (Islamic and Conventional Funds)</w:t>
            </w:r>
          </w:p>
          <w:p w14:paraId="6FCB5F36" w14:textId="77777777" w:rsidR="00306401" w:rsidRPr="00DE1826" w:rsidRDefault="00306401" w:rsidP="00306401">
            <w:pPr>
              <w:spacing w:after="0" w:line="240" w:lineRule="auto"/>
              <w:rPr>
                <w:rFonts w:ascii="Times New Roman" w:eastAsia="Times New Roman" w:hAnsi="Times New Roman" w:cs="Times New Roman"/>
                <w:b/>
                <w:bCs/>
                <w:color w:val="000000"/>
              </w:rPr>
            </w:pPr>
          </w:p>
        </w:tc>
      </w:tr>
      <w:tr w:rsidR="00306401" w:rsidRPr="00DE1826" w14:paraId="2C32CA19" w14:textId="77777777" w:rsidTr="00306401">
        <w:trPr>
          <w:trHeight w:val="170"/>
        </w:trPr>
        <w:tc>
          <w:tcPr>
            <w:tcW w:w="1641" w:type="dxa"/>
            <w:tcBorders>
              <w:top w:val="nil"/>
              <w:left w:val="nil"/>
              <w:bottom w:val="single" w:sz="4" w:space="0" w:color="auto"/>
              <w:right w:val="nil"/>
            </w:tcBorders>
            <w:shd w:val="clear" w:color="auto" w:fill="auto"/>
            <w:noWrap/>
            <w:vAlign w:val="center"/>
            <w:hideMark/>
          </w:tcPr>
          <w:p w14:paraId="60217B42" w14:textId="77777777" w:rsidR="00306401" w:rsidRPr="00DE1826" w:rsidRDefault="00306401" w:rsidP="00306401">
            <w:pPr>
              <w:spacing w:after="0" w:line="240" w:lineRule="auto"/>
              <w:jc w:val="center"/>
              <w:rPr>
                <w:rFonts w:ascii="Times New Roman" w:eastAsia="Times New Roman" w:hAnsi="Times New Roman" w:cs="Times New Roman"/>
                <w:b/>
                <w:bCs/>
                <w:color w:val="000000"/>
              </w:rPr>
            </w:pPr>
            <w:r w:rsidRPr="00DE1826">
              <w:rPr>
                <w:rFonts w:ascii="Times New Roman" w:eastAsia="Times New Roman" w:hAnsi="Times New Roman" w:cs="Times New Roman"/>
                <w:b/>
                <w:bCs/>
                <w:color w:val="000000"/>
              </w:rPr>
              <w:t>Fund Type</w:t>
            </w:r>
          </w:p>
        </w:tc>
        <w:tc>
          <w:tcPr>
            <w:tcW w:w="11163" w:type="dxa"/>
            <w:gridSpan w:val="11"/>
            <w:tcBorders>
              <w:top w:val="nil"/>
              <w:left w:val="nil"/>
              <w:bottom w:val="single" w:sz="4" w:space="0" w:color="auto"/>
              <w:right w:val="nil"/>
            </w:tcBorders>
            <w:shd w:val="clear" w:color="auto" w:fill="auto"/>
            <w:noWrap/>
            <w:vAlign w:val="center"/>
            <w:hideMark/>
          </w:tcPr>
          <w:p w14:paraId="627E8EA2" w14:textId="20562DDE" w:rsidR="00306401" w:rsidRPr="00DE1826" w:rsidRDefault="00306401" w:rsidP="00306401">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Panel a: </w:t>
            </w:r>
            <w:r w:rsidRPr="00DE1826">
              <w:rPr>
                <w:rFonts w:ascii="Times New Roman" w:eastAsia="Times New Roman" w:hAnsi="Times New Roman" w:cs="Times New Roman"/>
                <w:b/>
                <w:bCs/>
                <w:color w:val="000000"/>
              </w:rPr>
              <w:t>Average Cumulative Abnormal Returns using GARCH (1</w:t>
            </w:r>
            <w:r>
              <w:rPr>
                <w:rFonts w:ascii="Times New Roman" w:eastAsia="Times New Roman" w:hAnsi="Times New Roman" w:cs="Times New Roman"/>
                <w:b/>
                <w:bCs/>
                <w:color w:val="000000"/>
              </w:rPr>
              <w:t>.</w:t>
            </w:r>
            <w:r w:rsidRPr="00DE1826">
              <w:rPr>
                <w:rFonts w:ascii="Times New Roman" w:eastAsia="Times New Roman" w:hAnsi="Times New Roman" w:cs="Times New Roman"/>
                <w:b/>
                <w:bCs/>
                <w:color w:val="000000"/>
              </w:rPr>
              <w:t xml:space="preserve"> 1) CAPM Specification</w:t>
            </w:r>
          </w:p>
        </w:tc>
      </w:tr>
      <w:tr w:rsidR="00306401" w:rsidRPr="00DE1826" w14:paraId="49E54906"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337FF47A" w14:textId="77777777" w:rsidR="00306401" w:rsidRPr="00DE1826" w:rsidRDefault="00306401" w:rsidP="00306401">
            <w:pPr>
              <w:spacing w:after="0" w:line="240" w:lineRule="auto"/>
              <w:rPr>
                <w:rFonts w:ascii="Times New Roman" w:eastAsia="Times New Roman" w:hAnsi="Times New Roman" w:cs="Times New Roman"/>
                <w:b/>
                <w:bCs/>
                <w:color w:val="000000"/>
              </w:rPr>
            </w:pPr>
            <w:r w:rsidRPr="00DE1826">
              <w:rPr>
                <w:rFonts w:ascii="Times New Roman" w:eastAsia="Times New Roman" w:hAnsi="Times New Roman" w:cs="Times New Roman"/>
                <w:b/>
                <w:bCs/>
                <w:color w:val="000000"/>
              </w:rPr>
              <w:t>Islamic</w:t>
            </w:r>
          </w:p>
        </w:tc>
        <w:tc>
          <w:tcPr>
            <w:tcW w:w="2878" w:type="dxa"/>
            <w:gridSpan w:val="2"/>
            <w:tcBorders>
              <w:top w:val="single" w:sz="4" w:space="0" w:color="auto"/>
              <w:left w:val="nil"/>
              <w:bottom w:val="nil"/>
              <w:right w:val="nil"/>
            </w:tcBorders>
            <w:shd w:val="clear" w:color="auto" w:fill="auto"/>
            <w:noWrap/>
            <w:vAlign w:val="bottom"/>
            <w:hideMark/>
          </w:tcPr>
          <w:p w14:paraId="4ED2CC87"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Pre Covid</w:t>
            </w:r>
          </w:p>
        </w:tc>
        <w:tc>
          <w:tcPr>
            <w:tcW w:w="3187" w:type="dxa"/>
            <w:gridSpan w:val="2"/>
            <w:tcBorders>
              <w:top w:val="single" w:sz="4" w:space="0" w:color="auto"/>
              <w:left w:val="nil"/>
              <w:bottom w:val="nil"/>
              <w:right w:val="nil"/>
            </w:tcBorders>
            <w:shd w:val="clear" w:color="auto" w:fill="auto"/>
            <w:noWrap/>
            <w:vAlign w:val="bottom"/>
            <w:hideMark/>
          </w:tcPr>
          <w:p w14:paraId="07FD3994"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 xml:space="preserve">Covid Outbreak </w:t>
            </w:r>
          </w:p>
        </w:tc>
        <w:tc>
          <w:tcPr>
            <w:tcW w:w="1134" w:type="dxa"/>
            <w:tcBorders>
              <w:top w:val="nil"/>
              <w:left w:val="nil"/>
              <w:bottom w:val="nil"/>
              <w:right w:val="nil"/>
            </w:tcBorders>
            <w:shd w:val="clear" w:color="auto" w:fill="auto"/>
            <w:noWrap/>
            <w:vAlign w:val="bottom"/>
            <w:hideMark/>
          </w:tcPr>
          <w:p w14:paraId="189690C6"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Stage 1</w:t>
            </w:r>
          </w:p>
        </w:tc>
        <w:tc>
          <w:tcPr>
            <w:tcW w:w="562" w:type="dxa"/>
            <w:tcBorders>
              <w:top w:val="nil"/>
              <w:left w:val="nil"/>
              <w:bottom w:val="nil"/>
              <w:right w:val="nil"/>
            </w:tcBorders>
            <w:shd w:val="clear" w:color="auto" w:fill="auto"/>
            <w:noWrap/>
            <w:vAlign w:val="bottom"/>
            <w:hideMark/>
          </w:tcPr>
          <w:p w14:paraId="633CC3A2"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nil"/>
              <w:right w:val="nil"/>
            </w:tcBorders>
            <w:shd w:val="clear" w:color="auto" w:fill="auto"/>
            <w:noWrap/>
            <w:vAlign w:val="bottom"/>
            <w:hideMark/>
          </w:tcPr>
          <w:p w14:paraId="2D2A1789"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Stage 2</w:t>
            </w:r>
          </w:p>
        </w:tc>
        <w:tc>
          <w:tcPr>
            <w:tcW w:w="562" w:type="dxa"/>
            <w:tcBorders>
              <w:top w:val="nil"/>
              <w:left w:val="nil"/>
              <w:bottom w:val="nil"/>
              <w:right w:val="nil"/>
            </w:tcBorders>
            <w:shd w:val="clear" w:color="auto" w:fill="auto"/>
            <w:noWrap/>
            <w:vAlign w:val="bottom"/>
            <w:hideMark/>
          </w:tcPr>
          <w:p w14:paraId="42D5BC02"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nil"/>
              <w:right w:val="nil"/>
            </w:tcBorders>
            <w:shd w:val="clear" w:color="auto" w:fill="auto"/>
            <w:noWrap/>
            <w:vAlign w:val="bottom"/>
            <w:hideMark/>
          </w:tcPr>
          <w:p w14:paraId="1C9A7F61"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Stage 3</w:t>
            </w:r>
          </w:p>
        </w:tc>
        <w:tc>
          <w:tcPr>
            <w:tcW w:w="562" w:type="dxa"/>
            <w:tcBorders>
              <w:top w:val="nil"/>
              <w:left w:val="nil"/>
              <w:bottom w:val="nil"/>
              <w:right w:val="nil"/>
            </w:tcBorders>
            <w:shd w:val="clear" w:color="auto" w:fill="auto"/>
            <w:noWrap/>
            <w:vAlign w:val="bottom"/>
            <w:hideMark/>
          </w:tcPr>
          <w:p w14:paraId="6E15803B"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 </w:t>
            </w:r>
          </w:p>
        </w:tc>
      </w:tr>
      <w:tr w:rsidR="00306401" w:rsidRPr="00DE1826" w14:paraId="7FF4543D"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7C2F531A"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Malaysia</w:t>
            </w:r>
          </w:p>
        </w:tc>
        <w:tc>
          <w:tcPr>
            <w:tcW w:w="1541" w:type="dxa"/>
            <w:tcBorders>
              <w:top w:val="nil"/>
              <w:left w:val="nil"/>
              <w:bottom w:val="nil"/>
              <w:right w:val="nil"/>
            </w:tcBorders>
            <w:shd w:val="clear" w:color="auto" w:fill="auto"/>
            <w:noWrap/>
            <w:vAlign w:val="center"/>
            <w:hideMark/>
          </w:tcPr>
          <w:p w14:paraId="3E940A2D" w14:textId="219E2544"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0523%</w:t>
            </w:r>
          </w:p>
        </w:tc>
        <w:tc>
          <w:tcPr>
            <w:tcW w:w="1337" w:type="dxa"/>
            <w:tcBorders>
              <w:top w:val="nil"/>
              <w:left w:val="nil"/>
              <w:bottom w:val="nil"/>
              <w:right w:val="nil"/>
            </w:tcBorders>
            <w:shd w:val="clear" w:color="auto" w:fill="auto"/>
            <w:noWrap/>
            <w:vAlign w:val="center"/>
            <w:hideMark/>
          </w:tcPr>
          <w:p w14:paraId="5057326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3C35228F" w14:textId="1981F9D8"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0370%</w:t>
            </w:r>
          </w:p>
        </w:tc>
        <w:tc>
          <w:tcPr>
            <w:tcW w:w="1193" w:type="dxa"/>
            <w:tcBorders>
              <w:top w:val="nil"/>
              <w:left w:val="nil"/>
              <w:bottom w:val="nil"/>
              <w:right w:val="nil"/>
            </w:tcBorders>
            <w:shd w:val="clear" w:color="auto" w:fill="auto"/>
            <w:noWrap/>
            <w:vAlign w:val="bottom"/>
            <w:hideMark/>
          </w:tcPr>
          <w:p w14:paraId="5D7BA7EE"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6BE64973" w14:textId="6E22E1A5"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0478%</w:t>
            </w:r>
          </w:p>
        </w:tc>
        <w:tc>
          <w:tcPr>
            <w:tcW w:w="562" w:type="dxa"/>
            <w:tcBorders>
              <w:top w:val="nil"/>
              <w:left w:val="nil"/>
              <w:bottom w:val="nil"/>
              <w:right w:val="nil"/>
            </w:tcBorders>
            <w:shd w:val="clear" w:color="auto" w:fill="auto"/>
            <w:noWrap/>
            <w:vAlign w:val="bottom"/>
            <w:hideMark/>
          </w:tcPr>
          <w:p w14:paraId="7C9CA182"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1FECE540" w14:textId="264DA15F"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0292%</w:t>
            </w:r>
          </w:p>
        </w:tc>
        <w:tc>
          <w:tcPr>
            <w:tcW w:w="562" w:type="dxa"/>
            <w:tcBorders>
              <w:top w:val="nil"/>
              <w:left w:val="nil"/>
              <w:bottom w:val="nil"/>
              <w:right w:val="nil"/>
            </w:tcBorders>
            <w:shd w:val="clear" w:color="auto" w:fill="auto"/>
            <w:noWrap/>
            <w:vAlign w:val="bottom"/>
            <w:hideMark/>
          </w:tcPr>
          <w:p w14:paraId="5E2386D0"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13F7CD1B" w14:textId="76BE86A3"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0370%</w:t>
            </w:r>
          </w:p>
        </w:tc>
        <w:tc>
          <w:tcPr>
            <w:tcW w:w="562" w:type="dxa"/>
            <w:tcBorders>
              <w:top w:val="nil"/>
              <w:left w:val="nil"/>
              <w:bottom w:val="nil"/>
              <w:right w:val="nil"/>
            </w:tcBorders>
            <w:shd w:val="clear" w:color="auto" w:fill="auto"/>
            <w:noWrap/>
            <w:vAlign w:val="bottom"/>
            <w:hideMark/>
          </w:tcPr>
          <w:p w14:paraId="24843BBC"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78B5F50E"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5B50AA29"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Pakistan</w:t>
            </w:r>
          </w:p>
        </w:tc>
        <w:tc>
          <w:tcPr>
            <w:tcW w:w="1541" w:type="dxa"/>
            <w:tcBorders>
              <w:top w:val="nil"/>
              <w:left w:val="nil"/>
              <w:bottom w:val="nil"/>
              <w:right w:val="nil"/>
            </w:tcBorders>
            <w:shd w:val="clear" w:color="auto" w:fill="auto"/>
            <w:noWrap/>
            <w:vAlign w:val="center"/>
            <w:hideMark/>
          </w:tcPr>
          <w:p w14:paraId="409CC66E" w14:textId="63ED0F1A"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0781%</w:t>
            </w:r>
          </w:p>
        </w:tc>
        <w:tc>
          <w:tcPr>
            <w:tcW w:w="1337" w:type="dxa"/>
            <w:tcBorders>
              <w:top w:val="nil"/>
              <w:left w:val="nil"/>
              <w:bottom w:val="nil"/>
              <w:right w:val="nil"/>
            </w:tcBorders>
            <w:shd w:val="clear" w:color="auto" w:fill="auto"/>
            <w:noWrap/>
            <w:vAlign w:val="center"/>
            <w:hideMark/>
          </w:tcPr>
          <w:p w14:paraId="59753424"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005E1C2E" w14:textId="1A38E3F9"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0306%</w:t>
            </w:r>
          </w:p>
        </w:tc>
        <w:tc>
          <w:tcPr>
            <w:tcW w:w="1193" w:type="dxa"/>
            <w:tcBorders>
              <w:top w:val="nil"/>
              <w:left w:val="nil"/>
              <w:bottom w:val="nil"/>
              <w:right w:val="nil"/>
            </w:tcBorders>
            <w:shd w:val="clear" w:color="auto" w:fill="auto"/>
            <w:noWrap/>
            <w:vAlign w:val="bottom"/>
            <w:hideMark/>
          </w:tcPr>
          <w:p w14:paraId="356BAEA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7F193C39" w14:textId="5F64AE16"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0413%</w:t>
            </w:r>
          </w:p>
        </w:tc>
        <w:tc>
          <w:tcPr>
            <w:tcW w:w="562" w:type="dxa"/>
            <w:tcBorders>
              <w:top w:val="nil"/>
              <w:left w:val="nil"/>
              <w:bottom w:val="nil"/>
              <w:right w:val="nil"/>
            </w:tcBorders>
            <w:shd w:val="clear" w:color="auto" w:fill="auto"/>
            <w:noWrap/>
            <w:vAlign w:val="bottom"/>
            <w:hideMark/>
          </w:tcPr>
          <w:p w14:paraId="06285E5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55B78DA9" w14:textId="6286667D"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0394%</w:t>
            </w:r>
          </w:p>
        </w:tc>
        <w:tc>
          <w:tcPr>
            <w:tcW w:w="562" w:type="dxa"/>
            <w:tcBorders>
              <w:top w:val="nil"/>
              <w:left w:val="nil"/>
              <w:bottom w:val="nil"/>
              <w:right w:val="nil"/>
            </w:tcBorders>
            <w:shd w:val="clear" w:color="auto" w:fill="auto"/>
            <w:noWrap/>
            <w:vAlign w:val="bottom"/>
            <w:hideMark/>
          </w:tcPr>
          <w:p w14:paraId="7DC281BB"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29F7CE02" w14:textId="56A0E77A"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0470%</w:t>
            </w:r>
          </w:p>
        </w:tc>
        <w:tc>
          <w:tcPr>
            <w:tcW w:w="562" w:type="dxa"/>
            <w:tcBorders>
              <w:top w:val="nil"/>
              <w:left w:val="nil"/>
              <w:bottom w:val="nil"/>
              <w:right w:val="nil"/>
            </w:tcBorders>
            <w:shd w:val="clear" w:color="auto" w:fill="auto"/>
            <w:noWrap/>
            <w:vAlign w:val="bottom"/>
            <w:hideMark/>
          </w:tcPr>
          <w:p w14:paraId="22A6EBE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5F693EA3"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778713FE"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Saudi Arabia</w:t>
            </w:r>
          </w:p>
        </w:tc>
        <w:tc>
          <w:tcPr>
            <w:tcW w:w="1541" w:type="dxa"/>
            <w:tcBorders>
              <w:top w:val="nil"/>
              <w:left w:val="nil"/>
              <w:bottom w:val="nil"/>
              <w:right w:val="nil"/>
            </w:tcBorders>
            <w:shd w:val="clear" w:color="auto" w:fill="auto"/>
            <w:noWrap/>
            <w:vAlign w:val="bottom"/>
            <w:hideMark/>
          </w:tcPr>
          <w:p w14:paraId="1416E57F" w14:textId="403FA22C"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0299%</w:t>
            </w:r>
          </w:p>
        </w:tc>
        <w:tc>
          <w:tcPr>
            <w:tcW w:w="1337" w:type="dxa"/>
            <w:tcBorders>
              <w:top w:val="nil"/>
              <w:left w:val="nil"/>
              <w:bottom w:val="nil"/>
              <w:right w:val="nil"/>
            </w:tcBorders>
            <w:shd w:val="clear" w:color="auto" w:fill="auto"/>
            <w:noWrap/>
            <w:vAlign w:val="bottom"/>
            <w:hideMark/>
          </w:tcPr>
          <w:p w14:paraId="4D6EF41B"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349787C7" w14:textId="20365C72"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0128%</w:t>
            </w:r>
          </w:p>
        </w:tc>
        <w:tc>
          <w:tcPr>
            <w:tcW w:w="1193" w:type="dxa"/>
            <w:tcBorders>
              <w:top w:val="nil"/>
              <w:left w:val="nil"/>
              <w:bottom w:val="nil"/>
              <w:right w:val="nil"/>
            </w:tcBorders>
            <w:shd w:val="clear" w:color="auto" w:fill="auto"/>
            <w:noWrap/>
            <w:vAlign w:val="bottom"/>
            <w:hideMark/>
          </w:tcPr>
          <w:p w14:paraId="34409A36"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2D68D6F2" w14:textId="730B4C53"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0818%</w:t>
            </w:r>
          </w:p>
        </w:tc>
        <w:tc>
          <w:tcPr>
            <w:tcW w:w="562" w:type="dxa"/>
            <w:tcBorders>
              <w:top w:val="nil"/>
              <w:left w:val="nil"/>
              <w:bottom w:val="nil"/>
              <w:right w:val="nil"/>
            </w:tcBorders>
            <w:shd w:val="clear" w:color="auto" w:fill="auto"/>
            <w:noWrap/>
            <w:vAlign w:val="bottom"/>
            <w:hideMark/>
          </w:tcPr>
          <w:p w14:paraId="2A0AC6C6"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7A7870FE" w14:textId="148643C3"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0203%</w:t>
            </w:r>
          </w:p>
        </w:tc>
        <w:tc>
          <w:tcPr>
            <w:tcW w:w="562" w:type="dxa"/>
            <w:tcBorders>
              <w:top w:val="nil"/>
              <w:left w:val="nil"/>
              <w:bottom w:val="nil"/>
              <w:right w:val="nil"/>
            </w:tcBorders>
            <w:shd w:val="clear" w:color="auto" w:fill="auto"/>
            <w:noWrap/>
            <w:vAlign w:val="bottom"/>
            <w:hideMark/>
          </w:tcPr>
          <w:p w14:paraId="7993C30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34AD95AC" w14:textId="6F148B60"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0260%</w:t>
            </w:r>
          </w:p>
        </w:tc>
        <w:tc>
          <w:tcPr>
            <w:tcW w:w="562" w:type="dxa"/>
            <w:tcBorders>
              <w:top w:val="nil"/>
              <w:left w:val="nil"/>
              <w:bottom w:val="nil"/>
              <w:right w:val="nil"/>
            </w:tcBorders>
            <w:shd w:val="clear" w:color="auto" w:fill="auto"/>
            <w:noWrap/>
            <w:vAlign w:val="bottom"/>
            <w:hideMark/>
          </w:tcPr>
          <w:p w14:paraId="0253AEE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6D85CB55"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6394DCF0"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Qatar</w:t>
            </w:r>
          </w:p>
        </w:tc>
        <w:tc>
          <w:tcPr>
            <w:tcW w:w="1541" w:type="dxa"/>
            <w:tcBorders>
              <w:top w:val="nil"/>
              <w:left w:val="nil"/>
              <w:bottom w:val="nil"/>
              <w:right w:val="nil"/>
            </w:tcBorders>
            <w:shd w:val="clear" w:color="auto" w:fill="auto"/>
            <w:vAlign w:val="center"/>
            <w:hideMark/>
          </w:tcPr>
          <w:p w14:paraId="60ECDF58" w14:textId="1A60F76E"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0674%</w:t>
            </w:r>
          </w:p>
        </w:tc>
        <w:tc>
          <w:tcPr>
            <w:tcW w:w="1337" w:type="dxa"/>
            <w:tcBorders>
              <w:top w:val="nil"/>
              <w:left w:val="nil"/>
              <w:bottom w:val="nil"/>
              <w:right w:val="nil"/>
            </w:tcBorders>
            <w:shd w:val="clear" w:color="auto" w:fill="auto"/>
            <w:vAlign w:val="center"/>
            <w:hideMark/>
          </w:tcPr>
          <w:p w14:paraId="7A410BFB"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2C75944C" w14:textId="61F4B36B"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0552%</w:t>
            </w:r>
          </w:p>
        </w:tc>
        <w:tc>
          <w:tcPr>
            <w:tcW w:w="1193" w:type="dxa"/>
            <w:tcBorders>
              <w:top w:val="nil"/>
              <w:left w:val="nil"/>
              <w:bottom w:val="nil"/>
              <w:right w:val="nil"/>
            </w:tcBorders>
            <w:shd w:val="clear" w:color="auto" w:fill="auto"/>
            <w:noWrap/>
            <w:vAlign w:val="bottom"/>
            <w:hideMark/>
          </w:tcPr>
          <w:p w14:paraId="35C6E1AE"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29CCA149" w14:textId="5DBBAE4E"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0740%</w:t>
            </w:r>
          </w:p>
        </w:tc>
        <w:tc>
          <w:tcPr>
            <w:tcW w:w="562" w:type="dxa"/>
            <w:tcBorders>
              <w:top w:val="nil"/>
              <w:left w:val="nil"/>
              <w:bottom w:val="nil"/>
              <w:right w:val="nil"/>
            </w:tcBorders>
            <w:shd w:val="clear" w:color="auto" w:fill="auto"/>
            <w:noWrap/>
            <w:vAlign w:val="bottom"/>
            <w:hideMark/>
          </w:tcPr>
          <w:p w14:paraId="2A543587"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7B9644DF" w14:textId="110C12DE"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0510%</w:t>
            </w:r>
          </w:p>
        </w:tc>
        <w:tc>
          <w:tcPr>
            <w:tcW w:w="562" w:type="dxa"/>
            <w:tcBorders>
              <w:top w:val="nil"/>
              <w:left w:val="nil"/>
              <w:bottom w:val="nil"/>
              <w:right w:val="nil"/>
            </w:tcBorders>
            <w:shd w:val="clear" w:color="auto" w:fill="auto"/>
            <w:noWrap/>
            <w:vAlign w:val="bottom"/>
            <w:hideMark/>
          </w:tcPr>
          <w:p w14:paraId="4EDD0E21"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1173F037" w14:textId="095E4006"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0350%</w:t>
            </w:r>
          </w:p>
        </w:tc>
        <w:tc>
          <w:tcPr>
            <w:tcW w:w="562" w:type="dxa"/>
            <w:tcBorders>
              <w:top w:val="nil"/>
              <w:left w:val="nil"/>
              <w:bottom w:val="nil"/>
              <w:right w:val="nil"/>
            </w:tcBorders>
            <w:shd w:val="clear" w:color="auto" w:fill="auto"/>
            <w:noWrap/>
            <w:vAlign w:val="bottom"/>
            <w:hideMark/>
          </w:tcPr>
          <w:p w14:paraId="27D33ADC"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45B77C80"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40D66BAC"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Kuwait</w:t>
            </w:r>
          </w:p>
        </w:tc>
        <w:tc>
          <w:tcPr>
            <w:tcW w:w="1541" w:type="dxa"/>
            <w:tcBorders>
              <w:top w:val="nil"/>
              <w:left w:val="nil"/>
              <w:bottom w:val="nil"/>
              <w:right w:val="nil"/>
            </w:tcBorders>
            <w:shd w:val="clear" w:color="auto" w:fill="auto"/>
            <w:vAlign w:val="center"/>
            <w:hideMark/>
          </w:tcPr>
          <w:p w14:paraId="7CED7F9F" w14:textId="220D2ABA"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1008%</w:t>
            </w:r>
          </w:p>
        </w:tc>
        <w:tc>
          <w:tcPr>
            <w:tcW w:w="1337" w:type="dxa"/>
            <w:tcBorders>
              <w:top w:val="nil"/>
              <w:left w:val="nil"/>
              <w:bottom w:val="nil"/>
              <w:right w:val="nil"/>
            </w:tcBorders>
            <w:shd w:val="clear" w:color="auto" w:fill="auto"/>
            <w:vAlign w:val="center"/>
            <w:hideMark/>
          </w:tcPr>
          <w:p w14:paraId="3E45E44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1A5473C2" w14:textId="4996F7CA"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0575%</w:t>
            </w:r>
          </w:p>
        </w:tc>
        <w:tc>
          <w:tcPr>
            <w:tcW w:w="1193" w:type="dxa"/>
            <w:tcBorders>
              <w:top w:val="nil"/>
              <w:left w:val="nil"/>
              <w:bottom w:val="nil"/>
              <w:right w:val="nil"/>
            </w:tcBorders>
            <w:shd w:val="clear" w:color="auto" w:fill="auto"/>
            <w:noWrap/>
            <w:vAlign w:val="bottom"/>
            <w:hideMark/>
          </w:tcPr>
          <w:p w14:paraId="34E990C6"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7F63D7B7" w14:textId="651A0FEE"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0794%</w:t>
            </w:r>
          </w:p>
        </w:tc>
        <w:tc>
          <w:tcPr>
            <w:tcW w:w="562" w:type="dxa"/>
            <w:tcBorders>
              <w:top w:val="nil"/>
              <w:left w:val="nil"/>
              <w:bottom w:val="nil"/>
              <w:right w:val="nil"/>
            </w:tcBorders>
            <w:shd w:val="clear" w:color="auto" w:fill="auto"/>
            <w:noWrap/>
            <w:vAlign w:val="bottom"/>
            <w:hideMark/>
          </w:tcPr>
          <w:p w14:paraId="345774E0"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1A2B96B6" w14:textId="00714449"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0654%</w:t>
            </w:r>
          </w:p>
        </w:tc>
        <w:tc>
          <w:tcPr>
            <w:tcW w:w="562" w:type="dxa"/>
            <w:tcBorders>
              <w:top w:val="nil"/>
              <w:left w:val="nil"/>
              <w:bottom w:val="nil"/>
              <w:right w:val="nil"/>
            </w:tcBorders>
            <w:shd w:val="clear" w:color="auto" w:fill="auto"/>
            <w:noWrap/>
            <w:vAlign w:val="bottom"/>
            <w:hideMark/>
          </w:tcPr>
          <w:p w14:paraId="154175B9"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0B4DF721" w14:textId="2796B4E6"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0713%</w:t>
            </w:r>
          </w:p>
        </w:tc>
        <w:tc>
          <w:tcPr>
            <w:tcW w:w="562" w:type="dxa"/>
            <w:tcBorders>
              <w:top w:val="nil"/>
              <w:left w:val="nil"/>
              <w:bottom w:val="nil"/>
              <w:right w:val="nil"/>
            </w:tcBorders>
            <w:shd w:val="clear" w:color="auto" w:fill="auto"/>
            <w:noWrap/>
            <w:vAlign w:val="bottom"/>
            <w:hideMark/>
          </w:tcPr>
          <w:p w14:paraId="490E53F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0CAF9BF9" w14:textId="77777777" w:rsidTr="00306401">
        <w:trPr>
          <w:gridAfter w:val="1"/>
          <w:wAfter w:w="10" w:type="dxa"/>
          <w:trHeight w:val="170"/>
        </w:trPr>
        <w:tc>
          <w:tcPr>
            <w:tcW w:w="1641" w:type="dxa"/>
            <w:tcBorders>
              <w:top w:val="nil"/>
              <w:left w:val="nil"/>
              <w:bottom w:val="single" w:sz="4" w:space="0" w:color="auto"/>
              <w:right w:val="nil"/>
            </w:tcBorders>
            <w:shd w:val="clear" w:color="auto" w:fill="auto"/>
            <w:noWrap/>
            <w:vAlign w:val="bottom"/>
            <w:hideMark/>
          </w:tcPr>
          <w:p w14:paraId="2B301191"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UAE</w:t>
            </w:r>
          </w:p>
        </w:tc>
        <w:tc>
          <w:tcPr>
            <w:tcW w:w="1541" w:type="dxa"/>
            <w:tcBorders>
              <w:top w:val="nil"/>
              <w:left w:val="nil"/>
              <w:bottom w:val="single" w:sz="4" w:space="0" w:color="auto"/>
              <w:right w:val="nil"/>
            </w:tcBorders>
            <w:shd w:val="clear" w:color="auto" w:fill="auto"/>
            <w:noWrap/>
            <w:vAlign w:val="bottom"/>
            <w:hideMark/>
          </w:tcPr>
          <w:p w14:paraId="6E1EC40F" w14:textId="24F2CC28"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0224%</w:t>
            </w:r>
          </w:p>
        </w:tc>
        <w:tc>
          <w:tcPr>
            <w:tcW w:w="1337" w:type="dxa"/>
            <w:tcBorders>
              <w:top w:val="nil"/>
              <w:left w:val="nil"/>
              <w:bottom w:val="single" w:sz="4" w:space="0" w:color="auto"/>
              <w:right w:val="nil"/>
            </w:tcBorders>
            <w:shd w:val="clear" w:color="auto" w:fill="auto"/>
            <w:noWrap/>
            <w:vAlign w:val="bottom"/>
            <w:hideMark/>
          </w:tcPr>
          <w:p w14:paraId="2D54723B"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single" w:sz="4" w:space="0" w:color="auto"/>
              <w:right w:val="nil"/>
            </w:tcBorders>
            <w:shd w:val="clear" w:color="auto" w:fill="auto"/>
            <w:noWrap/>
            <w:vAlign w:val="bottom"/>
            <w:hideMark/>
          </w:tcPr>
          <w:p w14:paraId="1BAF01CD" w14:textId="2F3CCBFE"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0130%</w:t>
            </w:r>
          </w:p>
        </w:tc>
        <w:tc>
          <w:tcPr>
            <w:tcW w:w="1193" w:type="dxa"/>
            <w:tcBorders>
              <w:top w:val="nil"/>
              <w:left w:val="nil"/>
              <w:bottom w:val="single" w:sz="4" w:space="0" w:color="auto"/>
              <w:right w:val="nil"/>
            </w:tcBorders>
            <w:shd w:val="clear" w:color="auto" w:fill="auto"/>
            <w:noWrap/>
            <w:vAlign w:val="bottom"/>
            <w:hideMark/>
          </w:tcPr>
          <w:p w14:paraId="23E4CA1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nil"/>
            </w:tcBorders>
            <w:shd w:val="clear" w:color="auto" w:fill="auto"/>
            <w:noWrap/>
            <w:vAlign w:val="bottom"/>
            <w:hideMark/>
          </w:tcPr>
          <w:p w14:paraId="1B290203" w14:textId="78EF2ED1"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0469%</w:t>
            </w:r>
          </w:p>
        </w:tc>
        <w:tc>
          <w:tcPr>
            <w:tcW w:w="562" w:type="dxa"/>
            <w:tcBorders>
              <w:top w:val="nil"/>
              <w:left w:val="nil"/>
              <w:bottom w:val="single" w:sz="4" w:space="0" w:color="auto"/>
              <w:right w:val="nil"/>
            </w:tcBorders>
            <w:shd w:val="clear" w:color="auto" w:fill="auto"/>
            <w:noWrap/>
            <w:vAlign w:val="bottom"/>
            <w:hideMark/>
          </w:tcPr>
          <w:p w14:paraId="0F3EEF08"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nil"/>
            </w:tcBorders>
            <w:shd w:val="clear" w:color="auto" w:fill="auto"/>
            <w:noWrap/>
            <w:vAlign w:val="bottom"/>
            <w:hideMark/>
          </w:tcPr>
          <w:p w14:paraId="7C64B362" w14:textId="672D21C6"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0131%</w:t>
            </w:r>
          </w:p>
        </w:tc>
        <w:tc>
          <w:tcPr>
            <w:tcW w:w="562" w:type="dxa"/>
            <w:tcBorders>
              <w:top w:val="nil"/>
              <w:left w:val="nil"/>
              <w:bottom w:val="single" w:sz="4" w:space="0" w:color="auto"/>
              <w:right w:val="nil"/>
            </w:tcBorders>
            <w:shd w:val="clear" w:color="auto" w:fill="auto"/>
            <w:noWrap/>
            <w:vAlign w:val="bottom"/>
            <w:hideMark/>
          </w:tcPr>
          <w:p w14:paraId="3E42C09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nil"/>
            </w:tcBorders>
            <w:shd w:val="clear" w:color="auto" w:fill="auto"/>
            <w:noWrap/>
            <w:vAlign w:val="bottom"/>
            <w:hideMark/>
          </w:tcPr>
          <w:p w14:paraId="21E45DB8" w14:textId="3E349992"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0297%</w:t>
            </w:r>
          </w:p>
        </w:tc>
        <w:tc>
          <w:tcPr>
            <w:tcW w:w="562" w:type="dxa"/>
            <w:tcBorders>
              <w:top w:val="nil"/>
              <w:left w:val="nil"/>
              <w:bottom w:val="single" w:sz="4" w:space="0" w:color="auto"/>
              <w:right w:val="nil"/>
            </w:tcBorders>
            <w:shd w:val="clear" w:color="auto" w:fill="auto"/>
            <w:noWrap/>
            <w:vAlign w:val="bottom"/>
            <w:hideMark/>
          </w:tcPr>
          <w:p w14:paraId="50EC1A09"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489F7434"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47FF449F" w14:textId="77777777" w:rsidR="00306401" w:rsidRPr="00DE1826" w:rsidRDefault="00306401" w:rsidP="00306401">
            <w:pPr>
              <w:spacing w:after="0" w:line="240" w:lineRule="auto"/>
              <w:rPr>
                <w:rFonts w:ascii="Times New Roman" w:eastAsia="Times New Roman" w:hAnsi="Times New Roman" w:cs="Times New Roman"/>
                <w:b/>
                <w:bCs/>
                <w:color w:val="000000"/>
              </w:rPr>
            </w:pPr>
            <w:r w:rsidRPr="00DE1826">
              <w:rPr>
                <w:rFonts w:ascii="Times New Roman" w:eastAsia="Times New Roman" w:hAnsi="Times New Roman" w:cs="Times New Roman"/>
                <w:b/>
                <w:bCs/>
                <w:color w:val="000000"/>
              </w:rPr>
              <w:t>Conventional</w:t>
            </w:r>
          </w:p>
        </w:tc>
        <w:tc>
          <w:tcPr>
            <w:tcW w:w="1541" w:type="dxa"/>
            <w:tcBorders>
              <w:top w:val="nil"/>
              <w:left w:val="nil"/>
              <w:bottom w:val="nil"/>
              <w:right w:val="nil"/>
            </w:tcBorders>
            <w:shd w:val="clear" w:color="auto" w:fill="auto"/>
            <w:noWrap/>
            <w:vAlign w:val="bottom"/>
            <w:hideMark/>
          </w:tcPr>
          <w:p w14:paraId="26F86533"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Pre Covid</w:t>
            </w:r>
          </w:p>
        </w:tc>
        <w:tc>
          <w:tcPr>
            <w:tcW w:w="1337" w:type="dxa"/>
            <w:tcBorders>
              <w:top w:val="nil"/>
              <w:left w:val="nil"/>
              <w:bottom w:val="nil"/>
              <w:right w:val="nil"/>
            </w:tcBorders>
            <w:shd w:val="clear" w:color="auto" w:fill="auto"/>
            <w:noWrap/>
            <w:vAlign w:val="bottom"/>
            <w:hideMark/>
          </w:tcPr>
          <w:p w14:paraId="224F1C69"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p>
        </w:tc>
        <w:tc>
          <w:tcPr>
            <w:tcW w:w="1994" w:type="dxa"/>
            <w:tcBorders>
              <w:top w:val="nil"/>
              <w:left w:val="nil"/>
              <w:bottom w:val="nil"/>
              <w:right w:val="nil"/>
            </w:tcBorders>
            <w:shd w:val="clear" w:color="auto" w:fill="auto"/>
            <w:noWrap/>
            <w:vAlign w:val="bottom"/>
            <w:hideMark/>
          </w:tcPr>
          <w:p w14:paraId="5001BB8A"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 xml:space="preserve">Covid Outbreak </w:t>
            </w:r>
          </w:p>
        </w:tc>
        <w:tc>
          <w:tcPr>
            <w:tcW w:w="1193" w:type="dxa"/>
            <w:tcBorders>
              <w:top w:val="nil"/>
              <w:left w:val="nil"/>
              <w:bottom w:val="nil"/>
              <w:right w:val="nil"/>
            </w:tcBorders>
            <w:shd w:val="clear" w:color="auto" w:fill="auto"/>
            <w:noWrap/>
            <w:vAlign w:val="bottom"/>
            <w:hideMark/>
          </w:tcPr>
          <w:p w14:paraId="6D847D57"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nil"/>
              <w:right w:val="nil"/>
            </w:tcBorders>
            <w:shd w:val="clear" w:color="auto" w:fill="auto"/>
            <w:noWrap/>
            <w:vAlign w:val="bottom"/>
            <w:hideMark/>
          </w:tcPr>
          <w:p w14:paraId="0EC95524"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Stage 1</w:t>
            </w:r>
          </w:p>
        </w:tc>
        <w:tc>
          <w:tcPr>
            <w:tcW w:w="562" w:type="dxa"/>
            <w:tcBorders>
              <w:top w:val="nil"/>
              <w:left w:val="nil"/>
              <w:bottom w:val="nil"/>
              <w:right w:val="nil"/>
            </w:tcBorders>
            <w:shd w:val="clear" w:color="auto" w:fill="auto"/>
            <w:noWrap/>
            <w:vAlign w:val="bottom"/>
            <w:hideMark/>
          </w:tcPr>
          <w:p w14:paraId="5CD3F428"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nil"/>
              <w:right w:val="nil"/>
            </w:tcBorders>
            <w:shd w:val="clear" w:color="auto" w:fill="auto"/>
            <w:noWrap/>
            <w:vAlign w:val="bottom"/>
            <w:hideMark/>
          </w:tcPr>
          <w:p w14:paraId="4A4A9792"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Stage 2</w:t>
            </w:r>
          </w:p>
        </w:tc>
        <w:tc>
          <w:tcPr>
            <w:tcW w:w="562" w:type="dxa"/>
            <w:tcBorders>
              <w:top w:val="nil"/>
              <w:left w:val="nil"/>
              <w:bottom w:val="nil"/>
              <w:right w:val="nil"/>
            </w:tcBorders>
            <w:shd w:val="clear" w:color="auto" w:fill="auto"/>
            <w:noWrap/>
            <w:vAlign w:val="bottom"/>
            <w:hideMark/>
          </w:tcPr>
          <w:p w14:paraId="2AA58B3D"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nil"/>
              <w:right w:val="nil"/>
            </w:tcBorders>
            <w:shd w:val="clear" w:color="auto" w:fill="auto"/>
            <w:noWrap/>
            <w:vAlign w:val="bottom"/>
            <w:hideMark/>
          </w:tcPr>
          <w:p w14:paraId="2BDB7CC7"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Stage 3</w:t>
            </w:r>
          </w:p>
        </w:tc>
        <w:tc>
          <w:tcPr>
            <w:tcW w:w="562" w:type="dxa"/>
            <w:tcBorders>
              <w:top w:val="nil"/>
              <w:left w:val="nil"/>
              <w:bottom w:val="nil"/>
              <w:right w:val="nil"/>
            </w:tcBorders>
            <w:shd w:val="clear" w:color="auto" w:fill="auto"/>
            <w:noWrap/>
            <w:vAlign w:val="bottom"/>
            <w:hideMark/>
          </w:tcPr>
          <w:p w14:paraId="1E4E9B10"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 </w:t>
            </w:r>
          </w:p>
        </w:tc>
      </w:tr>
      <w:tr w:rsidR="00306401" w:rsidRPr="00DE1826" w14:paraId="5458F155"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2839BBFE"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Malaysia</w:t>
            </w:r>
          </w:p>
        </w:tc>
        <w:tc>
          <w:tcPr>
            <w:tcW w:w="1541" w:type="dxa"/>
            <w:tcBorders>
              <w:top w:val="nil"/>
              <w:left w:val="nil"/>
              <w:bottom w:val="nil"/>
              <w:right w:val="nil"/>
            </w:tcBorders>
            <w:shd w:val="clear" w:color="auto" w:fill="auto"/>
            <w:noWrap/>
            <w:vAlign w:val="center"/>
            <w:hideMark/>
          </w:tcPr>
          <w:p w14:paraId="49EDD597" w14:textId="738F068D"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0656%</w:t>
            </w:r>
          </w:p>
        </w:tc>
        <w:tc>
          <w:tcPr>
            <w:tcW w:w="1337" w:type="dxa"/>
            <w:tcBorders>
              <w:top w:val="nil"/>
              <w:left w:val="nil"/>
              <w:bottom w:val="nil"/>
              <w:right w:val="nil"/>
            </w:tcBorders>
            <w:shd w:val="clear" w:color="auto" w:fill="auto"/>
            <w:noWrap/>
            <w:vAlign w:val="center"/>
            <w:hideMark/>
          </w:tcPr>
          <w:p w14:paraId="4427E549"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4993FCC8" w14:textId="532E9C5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0295%</w:t>
            </w:r>
          </w:p>
        </w:tc>
        <w:tc>
          <w:tcPr>
            <w:tcW w:w="1193" w:type="dxa"/>
            <w:tcBorders>
              <w:top w:val="nil"/>
              <w:left w:val="nil"/>
              <w:bottom w:val="nil"/>
              <w:right w:val="nil"/>
            </w:tcBorders>
            <w:shd w:val="clear" w:color="auto" w:fill="auto"/>
            <w:noWrap/>
            <w:vAlign w:val="bottom"/>
            <w:hideMark/>
          </w:tcPr>
          <w:p w14:paraId="4D5567A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6075B007" w14:textId="685AB5D1"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0264%</w:t>
            </w:r>
          </w:p>
        </w:tc>
        <w:tc>
          <w:tcPr>
            <w:tcW w:w="562" w:type="dxa"/>
            <w:tcBorders>
              <w:top w:val="nil"/>
              <w:left w:val="nil"/>
              <w:bottom w:val="nil"/>
              <w:right w:val="nil"/>
            </w:tcBorders>
            <w:shd w:val="clear" w:color="auto" w:fill="auto"/>
            <w:noWrap/>
            <w:vAlign w:val="bottom"/>
            <w:hideMark/>
          </w:tcPr>
          <w:p w14:paraId="1DEEF841"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73B684D1" w14:textId="7CFD6F84"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0146%</w:t>
            </w:r>
          </w:p>
        </w:tc>
        <w:tc>
          <w:tcPr>
            <w:tcW w:w="562" w:type="dxa"/>
            <w:tcBorders>
              <w:top w:val="nil"/>
              <w:left w:val="nil"/>
              <w:bottom w:val="nil"/>
              <w:right w:val="nil"/>
            </w:tcBorders>
            <w:shd w:val="clear" w:color="auto" w:fill="auto"/>
            <w:noWrap/>
            <w:vAlign w:val="bottom"/>
            <w:hideMark/>
          </w:tcPr>
          <w:p w14:paraId="3C123066"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20D7973E" w14:textId="6055F966"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0245%</w:t>
            </w:r>
          </w:p>
        </w:tc>
        <w:tc>
          <w:tcPr>
            <w:tcW w:w="562" w:type="dxa"/>
            <w:tcBorders>
              <w:top w:val="nil"/>
              <w:left w:val="nil"/>
              <w:bottom w:val="nil"/>
              <w:right w:val="nil"/>
            </w:tcBorders>
            <w:shd w:val="clear" w:color="auto" w:fill="auto"/>
            <w:noWrap/>
            <w:vAlign w:val="bottom"/>
            <w:hideMark/>
          </w:tcPr>
          <w:p w14:paraId="09D1E55E"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58C625F9"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732F2DD5"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Pakistan</w:t>
            </w:r>
          </w:p>
        </w:tc>
        <w:tc>
          <w:tcPr>
            <w:tcW w:w="1541" w:type="dxa"/>
            <w:tcBorders>
              <w:top w:val="nil"/>
              <w:left w:val="nil"/>
              <w:bottom w:val="nil"/>
              <w:right w:val="nil"/>
            </w:tcBorders>
            <w:shd w:val="clear" w:color="auto" w:fill="auto"/>
            <w:noWrap/>
            <w:vAlign w:val="center"/>
            <w:hideMark/>
          </w:tcPr>
          <w:p w14:paraId="73FE2A0E" w14:textId="09C82451"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0887%</w:t>
            </w:r>
          </w:p>
        </w:tc>
        <w:tc>
          <w:tcPr>
            <w:tcW w:w="1337" w:type="dxa"/>
            <w:tcBorders>
              <w:top w:val="nil"/>
              <w:left w:val="nil"/>
              <w:bottom w:val="nil"/>
              <w:right w:val="nil"/>
            </w:tcBorders>
            <w:shd w:val="clear" w:color="auto" w:fill="auto"/>
            <w:noWrap/>
            <w:vAlign w:val="center"/>
            <w:hideMark/>
          </w:tcPr>
          <w:p w14:paraId="78A047A7"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37E9D984" w14:textId="70C2854D"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0266%</w:t>
            </w:r>
          </w:p>
        </w:tc>
        <w:tc>
          <w:tcPr>
            <w:tcW w:w="1193" w:type="dxa"/>
            <w:tcBorders>
              <w:top w:val="nil"/>
              <w:left w:val="nil"/>
              <w:bottom w:val="nil"/>
              <w:right w:val="nil"/>
            </w:tcBorders>
            <w:shd w:val="clear" w:color="auto" w:fill="auto"/>
            <w:noWrap/>
            <w:vAlign w:val="bottom"/>
            <w:hideMark/>
          </w:tcPr>
          <w:p w14:paraId="214A5C92"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3CCE08AF" w14:textId="76260D5F"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0243%</w:t>
            </w:r>
          </w:p>
        </w:tc>
        <w:tc>
          <w:tcPr>
            <w:tcW w:w="562" w:type="dxa"/>
            <w:tcBorders>
              <w:top w:val="nil"/>
              <w:left w:val="nil"/>
              <w:bottom w:val="nil"/>
              <w:right w:val="nil"/>
            </w:tcBorders>
            <w:shd w:val="clear" w:color="auto" w:fill="auto"/>
            <w:noWrap/>
            <w:vAlign w:val="bottom"/>
            <w:hideMark/>
          </w:tcPr>
          <w:p w14:paraId="472FEB87"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146B7E9A" w14:textId="0CEFC4EC"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0187%</w:t>
            </w:r>
          </w:p>
        </w:tc>
        <w:tc>
          <w:tcPr>
            <w:tcW w:w="562" w:type="dxa"/>
            <w:tcBorders>
              <w:top w:val="nil"/>
              <w:left w:val="nil"/>
              <w:bottom w:val="nil"/>
              <w:right w:val="nil"/>
            </w:tcBorders>
            <w:shd w:val="clear" w:color="auto" w:fill="auto"/>
            <w:noWrap/>
            <w:vAlign w:val="bottom"/>
            <w:hideMark/>
          </w:tcPr>
          <w:p w14:paraId="7AE48447"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2BB389AF" w14:textId="056DA126"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0311%</w:t>
            </w:r>
          </w:p>
        </w:tc>
        <w:tc>
          <w:tcPr>
            <w:tcW w:w="562" w:type="dxa"/>
            <w:tcBorders>
              <w:top w:val="nil"/>
              <w:left w:val="nil"/>
              <w:bottom w:val="nil"/>
              <w:right w:val="nil"/>
            </w:tcBorders>
            <w:shd w:val="clear" w:color="auto" w:fill="auto"/>
            <w:noWrap/>
            <w:vAlign w:val="bottom"/>
            <w:hideMark/>
          </w:tcPr>
          <w:p w14:paraId="21B5DC0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06270F4B"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44AB94DA"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Saudi Arabia</w:t>
            </w:r>
          </w:p>
        </w:tc>
        <w:tc>
          <w:tcPr>
            <w:tcW w:w="1541" w:type="dxa"/>
            <w:tcBorders>
              <w:top w:val="nil"/>
              <w:left w:val="nil"/>
              <w:bottom w:val="nil"/>
              <w:right w:val="nil"/>
            </w:tcBorders>
            <w:shd w:val="clear" w:color="auto" w:fill="auto"/>
            <w:noWrap/>
            <w:vAlign w:val="bottom"/>
            <w:hideMark/>
          </w:tcPr>
          <w:p w14:paraId="057A4F68" w14:textId="7BE02AE8"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0345%</w:t>
            </w:r>
          </w:p>
        </w:tc>
        <w:tc>
          <w:tcPr>
            <w:tcW w:w="1337" w:type="dxa"/>
            <w:tcBorders>
              <w:top w:val="nil"/>
              <w:left w:val="nil"/>
              <w:bottom w:val="nil"/>
              <w:right w:val="nil"/>
            </w:tcBorders>
            <w:shd w:val="clear" w:color="auto" w:fill="auto"/>
            <w:noWrap/>
            <w:vAlign w:val="bottom"/>
            <w:hideMark/>
          </w:tcPr>
          <w:p w14:paraId="404504F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32DBB2A6" w14:textId="27B1D61B"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0111%</w:t>
            </w:r>
          </w:p>
        </w:tc>
        <w:tc>
          <w:tcPr>
            <w:tcW w:w="1193" w:type="dxa"/>
            <w:tcBorders>
              <w:top w:val="nil"/>
              <w:left w:val="nil"/>
              <w:bottom w:val="nil"/>
              <w:right w:val="nil"/>
            </w:tcBorders>
            <w:shd w:val="clear" w:color="auto" w:fill="auto"/>
            <w:noWrap/>
            <w:vAlign w:val="bottom"/>
            <w:hideMark/>
          </w:tcPr>
          <w:p w14:paraId="3161520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7D941068" w14:textId="11A98BB2"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0511%</w:t>
            </w:r>
          </w:p>
        </w:tc>
        <w:tc>
          <w:tcPr>
            <w:tcW w:w="562" w:type="dxa"/>
            <w:tcBorders>
              <w:top w:val="nil"/>
              <w:left w:val="nil"/>
              <w:bottom w:val="nil"/>
              <w:right w:val="nil"/>
            </w:tcBorders>
            <w:shd w:val="clear" w:color="auto" w:fill="auto"/>
            <w:noWrap/>
            <w:vAlign w:val="bottom"/>
            <w:hideMark/>
          </w:tcPr>
          <w:p w14:paraId="3446656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0BAC4755" w14:textId="10C76975"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0101%</w:t>
            </w:r>
          </w:p>
        </w:tc>
        <w:tc>
          <w:tcPr>
            <w:tcW w:w="562" w:type="dxa"/>
            <w:tcBorders>
              <w:top w:val="nil"/>
              <w:left w:val="nil"/>
              <w:bottom w:val="nil"/>
              <w:right w:val="nil"/>
            </w:tcBorders>
            <w:shd w:val="clear" w:color="auto" w:fill="auto"/>
            <w:noWrap/>
            <w:vAlign w:val="bottom"/>
            <w:hideMark/>
          </w:tcPr>
          <w:p w14:paraId="6B393C7A"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0DD201CB" w14:textId="30A130DA"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0172%</w:t>
            </w:r>
          </w:p>
        </w:tc>
        <w:tc>
          <w:tcPr>
            <w:tcW w:w="562" w:type="dxa"/>
            <w:tcBorders>
              <w:top w:val="nil"/>
              <w:left w:val="nil"/>
              <w:bottom w:val="nil"/>
              <w:right w:val="nil"/>
            </w:tcBorders>
            <w:shd w:val="clear" w:color="auto" w:fill="auto"/>
            <w:noWrap/>
            <w:vAlign w:val="bottom"/>
            <w:hideMark/>
          </w:tcPr>
          <w:p w14:paraId="4C9B8AC2"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46E78C34"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2382696B"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Qatar</w:t>
            </w:r>
          </w:p>
        </w:tc>
        <w:tc>
          <w:tcPr>
            <w:tcW w:w="1541" w:type="dxa"/>
            <w:tcBorders>
              <w:top w:val="nil"/>
              <w:left w:val="nil"/>
              <w:bottom w:val="nil"/>
              <w:right w:val="nil"/>
            </w:tcBorders>
            <w:shd w:val="clear" w:color="auto" w:fill="auto"/>
            <w:vAlign w:val="center"/>
            <w:hideMark/>
          </w:tcPr>
          <w:p w14:paraId="5D12F80C" w14:textId="3BB5E78B"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0448%</w:t>
            </w:r>
          </w:p>
        </w:tc>
        <w:tc>
          <w:tcPr>
            <w:tcW w:w="1337" w:type="dxa"/>
            <w:tcBorders>
              <w:top w:val="nil"/>
              <w:left w:val="nil"/>
              <w:bottom w:val="nil"/>
              <w:right w:val="nil"/>
            </w:tcBorders>
            <w:shd w:val="clear" w:color="auto" w:fill="auto"/>
            <w:vAlign w:val="center"/>
            <w:hideMark/>
          </w:tcPr>
          <w:p w14:paraId="3BC2DDD2"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3DC485A0" w14:textId="7E75B3AB"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0483%</w:t>
            </w:r>
          </w:p>
        </w:tc>
        <w:tc>
          <w:tcPr>
            <w:tcW w:w="1193" w:type="dxa"/>
            <w:tcBorders>
              <w:top w:val="nil"/>
              <w:left w:val="nil"/>
              <w:bottom w:val="nil"/>
              <w:right w:val="nil"/>
            </w:tcBorders>
            <w:shd w:val="clear" w:color="auto" w:fill="auto"/>
            <w:noWrap/>
            <w:vAlign w:val="bottom"/>
            <w:hideMark/>
          </w:tcPr>
          <w:p w14:paraId="374717C7"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3D68002A" w14:textId="6DA34D3A"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0486%</w:t>
            </w:r>
          </w:p>
        </w:tc>
        <w:tc>
          <w:tcPr>
            <w:tcW w:w="562" w:type="dxa"/>
            <w:tcBorders>
              <w:top w:val="nil"/>
              <w:left w:val="nil"/>
              <w:bottom w:val="nil"/>
              <w:right w:val="nil"/>
            </w:tcBorders>
            <w:shd w:val="clear" w:color="auto" w:fill="auto"/>
            <w:noWrap/>
            <w:vAlign w:val="bottom"/>
            <w:hideMark/>
          </w:tcPr>
          <w:p w14:paraId="59DB210D"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468FC8BD" w14:textId="42746F6C"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0171%</w:t>
            </w:r>
          </w:p>
        </w:tc>
        <w:tc>
          <w:tcPr>
            <w:tcW w:w="562" w:type="dxa"/>
            <w:tcBorders>
              <w:top w:val="nil"/>
              <w:left w:val="nil"/>
              <w:bottom w:val="nil"/>
              <w:right w:val="nil"/>
            </w:tcBorders>
            <w:shd w:val="clear" w:color="auto" w:fill="auto"/>
            <w:noWrap/>
            <w:vAlign w:val="bottom"/>
            <w:hideMark/>
          </w:tcPr>
          <w:p w14:paraId="1514CC69"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59F29223" w14:textId="35F7519B"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0231%</w:t>
            </w:r>
          </w:p>
        </w:tc>
        <w:tc>
          <w:tcPr>
            <w:tcW w:w="562" w:type="dxa"/>
            <w:tcBorders>
              <w:top w:val="nil"/>
              <w:left w:val="nil"/>
              <w:bottom w:val="nil"/>
              <w:right w:val="nil"/>
            </w:tcBorders>
            <w:shd w:val="clear" w:color="auto" w:fill="auto"/>
            <w:noWrap/>
            <w:vAlign w:val="bottom"/>
            <w:hideMark/>
          </w:tcPr>
          <w:p w14:paraId="49DD392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756BEDD8"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3BFA6F59"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Kuwait</w:t>
            </w:r>
          </w:p>
        </w:tc>
        <w:tc>
          <w:tcPr>
            <w:tcW w:w="1541" w:type="dxa"/>
            <w:tcBorders>
              <w:top w:val="nil"/>
              <w:left w:val="nil"/>
              <w:bottom w:val="nil"/>
              <w:right w:val="nil"/>
            </w:tcBorders>
            <w:shd w:val="clear" w:color="auto" w:fill="auto"/>
            <w:vAlign w:val="center"/>
            <w:hideMark/>
          </w:tcPr>
          <w:p w14:paraId="118E759D" w14:textId="33E86598"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0806%</w:t>
            </w:r>
          </w:p>
        </w:tc>
        <w:tc>
          <w:tcPr>
            <w:tcW w:w="1337" w:type="dxa"/>
            <w:tcBorders>
              <w:top w:val="nil"/>
              <w:left w:val="nil"/>
              <w:bottom w:val="nil"/>
              <w:right w:val="nil"/>
            </w:tcBorders>
            <w:shd w:val="clear" w:color="auto" w:fill="auto"/>
            <w:vAlign w:val="center"/>
            <w:hideMark/>
          </w:tcPr>
          <w:p w14:paraId="2142B811"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nil"/>
              <w:right w:val="nil"/>
            </w:tcBorders>
            <w:shd w:val="clear" w:color="auto" w:fill="auto"/>
            <w:noWrap/>
            <w:vAlign w:val="bottom"/>
            <w:hideMark/>
          </w:tcPr>
          <w:p w14:paraId="179C2837" w14:textId="6EE66704"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0522%</w:t>
            </w:r>
          </w:p>
        </w:tc>
        <w:tc>
          <w:tcPr>
            <w:tcW w:w="1193" w:type="dxa"/>
            <w:tcBorders>
              <w:top w:val="nil"/>
              <w:left w:val="nil"/>
              <w:bottom w:val="nil"/>
              <w:right w:val="nil"/>
            </w:tcBorders>
            <w:shd w:val="clear" w:color="auto" w:fill="auto"/>
            <w:noWrap/>
            <w:vAlign w:val="bottom"/>
            <w:hideMark/>
          </w:tcPr>
          <w:p w14:paraId="5CBF76C2"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383BD3D5" w14:textId="79067B0D"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0557%</w:t>
            </w:r>
          </w:p>
        </w:tc>
        <w:tc>
          <w:tcPr>
            <w:tcW w:w="562" w:type="dxa"/>
            <w:tcBorders>
              <w:top w:val="nil"/>
              <w:left w:val="nil"/>
              <w:bottom w:val="nil"/>
              <w:right w:val="nil"/>
            </w:tcBorders>
            <w:shd w:val="clear" w:color="auto" w:fill="auto"/>
            <w:noWrap/>
            <w:vAlign w:val="bottom"/>
            <w:hideMark/>
          </w:tcPr>
          <w:p w14:paraId="6A3A66AC"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5D81BB96" w14:textId="3BB1EFF2"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0266%</w:t>
            </w:r>
          </w:p>
        </w:tc>
        <w:tc>
          <w:tcPr>
            <w:tcW w:w="562" w:type="dxa"/>
            <w:tcBorders>
              <w:top w:val="nil"/>
              <w:left w:val="nil"/>
              <w:bottom w:val="nil"/>
              <w:right w:val="nil"/>
            </w:tcBorders>
            <w:shd w:val="clear" w:color="auto" w:fill="auto"/>
            <w:noWrap/>
            <w:vAlign w:val="bottom"/>
            <w:hideMark/>
          </w:tcPr>
          <w:p w14:paraId="550640E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nil"/>
              <w:right w:val="nil"/>
            </w:tcBorders>
            <w:shd w:val="clear" w:color="auto" w:fill="auto"/>
            <w:noWrap/>
            <w:vAlign w:val="bottom"/>
            <w:hideMark/>
          </w:tcPr>
          <w:p w14:paraId="6BF5E9B0" w14:textId="52C795AC"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0471%</w:t>
            </w:r>
          </w:p>
        </w:tc>
        <w:tc>
          <w:tcPr>
            <w:tcW w:w="562" w:type="dxa"/>
            <w:tcBorders>
              <w:top w:val="nil"/>
              <w:left w:val="nil"/>
              <w:bottom w:val="nil"/>
              <w:right w:val="nil"/>
            </w:tcBorders>
            <w:shd w:val="clear" w:color="auto" w:fill="auto"/>
            <w:noWrap/>
            <w:vAlign w:val="bottom"/>
            <w:hideMark/>
          </w:tcPr>
          <w:p w14:paraId="5412EF1C"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59700BEA" w14:textId="77777777" w:rsidTr="00306401">
        <w:trPr>
          <w:gridAfter w:val="1"/>
          <w:wAfter w:w="10" w:type="dxa"/>
          <w:trHeight w:val="170"/>
        </w:trPr>
        <w:tc>
          <w:tcPr>
            <w:tcW w:w="1641" w:type="dxa"/>
            <w:tcBorders>
              <w:top w:val="nil"/>
              <w:left w:val="nil"/>
              <w:bottom w:val="single" w:sz="4" w:space="0" w:color="auto"/>
              <w:right w:val="nil"/>
            </w:tcBorders>
            <w:shd w:val="clear" w:color="auto" w:fill="auto"/>
            <w:noWrap/>
            <w:vAlign w:val="bottom"/>
            <w:hideMark/>
          </w:tcPr>
          <w:p w14:paraId="48906E28"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UAE</w:t>
            </w:r>
          </w:p>
        </w:tc>
        <w:tc>
          <w:tcPr>
            <w:tcW w:w="1541" w:type="dxa"/>
            <w:tcBorders>
              <w:top w:val="nil"/>
              <w:left w:val="nil"/>
              <w:bottom w:val="single" w:sz="4" w:space="0" w:color="auto"/>
              <w:right w:val="nil"/>
            </w:tcBorders>
            <w:shd w:val="clear" w:color="auto" w:fill="auto"/>
            <w:noWrap/>
            <w:vAlign w:val="bottom"/>
            <w:hideMark/>
          </w:tcPr>
          <w:p w14:paraId="67DEC394" w14:textId="39B29B00"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0230%</w:t>
            </w:r>
          </w:p>
        </w:tc>
        <w:tc>
          <w:tcPr>
            <w:tcW w:w="1337" w:type="dxa"/>
            <w:tcBorders>
              <w:top w:val="nil"/>
              <w:left w:val="nil"/>
              <w:bottom w:val="single" w:sz="4" w:space="0" w:color="auto"/>
              <w:right w:val="nil"/>
            </w:tcBorders>
            <w:shd w:val="clear" w:color="auto" w:fill="auto"/>
            <w:noWrap/>
            <w:vAlign w:val="bottom"/>
            <w:hideMark/>
          </w:tcPr>
          <w:p w14:paraId="6801F6CE"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994" w:type="dxa"/>
            <w:tcBorders>
              <w:top w:val="nil"/>
              <w:left w:val="nil"/>
              <w:bottom w:val="single" w:sz="4" w:space="0" w:color="auto"/>
              <w:right w:val="nil"/>
            </w:tcBorders>
            <w:shd w:val="clear" w:color="auto" w:fill="auto"/>
            <w:noWrap/>
            <w:vAlign w:val="bottom"/>
            <w:hideMark/>
          </w:tcPr>
          <w:p w14:paraId="2E662836" w14:textId="270EA264"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0085%</w:t>
            </w:r>
          </w:p>
        </w:tc>
        <w:tc>
          <w:tcPr>
            <w:tcW w:w="1193" w:type="dxa"/>
            <w:tcBorders>
              <w:top w:val="nil"/>
              <w:left w:val="nil"/>
              <w:bottom w:val="single" w:sz="4" w:space="0" w:color="auto"/>
              <w:right w:val="nil"/>
            </w:tcBorders>
            <w:shd w:val="clear" w:color="auto" w:fill="auto"/>
            <w:noWrap/>
            <w:vAlign w:val="bottom"/>
            <w:hideMark/>
          </w:tcPr>
          <w:p w14:paraId="20215E42"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nil"/>
            </w:tcBorders>
            <w:shd w:val="clear" w:color="auto" w:fill="auto"/>
            <w:noWrap/>
            <w:vAlign w:val="bottom"/>
            <w:hideMark/>
          </w:tcPr>
          <w:p w14:paraId="3B29DE1F" w14:textId="677947ED"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0237%</w:t>
            </w:r>
          </w:p>
        </w:tc>
        <w:tc>
          <w:tcPr>
            <w:tcW w:w="562" w:type="dxa"/>
            <w:tcBorders>
              <w:top w:val="nil"/>
              <w:left w:val="nil"/>
              <w:bottom w:val="single" w:sz="4" w:space="0" w:color="auto"/>
              <w:right w:val="nil"/>
            </w:tcBorders>
            <w:shd w:val="clear" w:color="auto" w:fill="auto"/>
            <w:noWrap/>
            <w:vAlign w:val="bottom"/>
            <w:hideMark/>
          </w:tcPr>
          <w:p w14:paraId="503B246D"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nil"/>
            </w:tcBorders>
            <w:shd w:val="clear" w:color="auto" w:fill="auto"/>
            <w:noWrap/>
            <w:vAlign w:val="bottom"/>
            <w:hideMark/>
          </w:tcPr>
          <w:p w14:paraId="07F14949" w14:textId="6E4AA1C8"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0063%</w:t>
            </w:r>
          </w:p>
        </w:tc>
        <w:tc>
          <w:tcPr>
            <w:tcW w:w="562" w:type="dxa"/>
            <w:tcBorders>
              <w:top w:val="nil"/>
              <w:left w:val="nil"/>
              <w:bottom w:val="single" w:sz="4" w:space="0" w:color="auto"/>
              <w:right w:val="nil"/>
            </w:tcBorders>
            <w:shd w:val="clear" w:color="auto" w:fill="auto"/>
            <w:noWrap/>
            <w:vAlign w:val="bottom"/>
            <w:hideMark/>
          </w:tcPr>
          <w:p w14:paraId="4E95274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nil"/>
            </w:tcBorders>
            <w:shd w:val="clear" w:color="auto" w:fill="auto"/>
            <w:noWrap/>
            <w:vAlign w:val="bottom"/>
            <w:hideMark/>
          </w:tcPr>
          <w:p w14:paraId="4B107348" w14:textId="2A68922C"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0196%</w:t>
            </w:r>
          </w:p>
        </w:tc>
        <w:tc>
          <w:tcPr>
            <w:tcW w:w="562" w:type="dxa"/>
            <w:tcBorders>
              <w:top w:val="nil"/>
              <w:left w:val="nil"/>
              <w:bottom w:val="single" w:sz="4" w:space="0" w:color="auto"/>
              <w:right w:val="nil"/>
            </w:tcBorders>
            <w:shd w:val="clear" w:color="auto" w:fill="auto"/>
            <w:noWrap/>
            <w:vAlign w:val="bottom"/>
            <w:hideMark/>
          </w:tcPr>
          <w:p w14:paraId="51237C9A"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w:t>
            </w:r>
          </w:p>
        </w:tc>
      </w:tr>
      <w:tr w:rsidR="00306401" w:rsidRPr="00DE1826" w14:paraId="33AA1D25" w14:textId="77777777" w:rsidTr="00306401">
        <w:trPr>
          <w:gridAfter w:val="1"/>
          <w:wAfter w:w="10" w:type="dxa"/>
          <w:trHeight w:val="170"/>
        </w:trPr>
        <w:tc>
          <w:tcPr>
            <w:tcW w:w="12794" w:type="dxa"/>
            <w:gridSpan w:val="11"/>
            <w:tcBorders>
              <w:top w:val="nil"/>
              <w:left w:val="nil"/>
              <w:bottom w:val="single" w:sz="4" w:space="0" w:color="auto"/>
              <w:right w:val="nil"/>
            </w:tcBorders>
            <w:shd w:val="clear" w:color="auto" w:fill="auto"/>
            <w:noWrap/>
            <w:vAlign w:val="center"/>
            <w:hideMark/>
          </w:tcPr>
          <w:p w14:paraId="0AEFFC2E" w14:textId="0523291D" w:rsidR="00306401" w:rsidRPr="00306401" w:rsidRDefault="00306401" w:rsidP="00306401">
            <w:pPr>
              <w:spacing w:after="0" w:line="240" w:lineRule="auto"/>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 xml:space="preserve">                              Panel b: Results of ARCH LM Test </w:t>
            </w:r>
          </w:p>
        </w:tc>
      </w:tr>
      <w:tr w:rsidR="00306401" w:rsidRPr="00DE1826" w14:paraId="5E7CF62C" w14:textId="77777777" w:rsidTr="00306401">
        <w:trPr>
          <w:gridAfter w:val="1"/>
          <w:wAfter w:w="10" w:type="dxa"/>
          <w:trHeight w:val="170"/>
        </w:trPr>
        <w:tc>
          <w:tcPr>
            <w:tcW w:w="1641" w:type="dxa"/>
            <w:tcBorders>
              <w:top w:val="nil"/>
              <w:left w:val="nil"/>
              <w:bottom w:val="single" w:sz="4" w:space="0" w:color="auto"/>
              <w:right w:val="nil"/>
            </w:tcBorders>
            <w:shd w:val="clear" w:color="auto" w:fill="auto"/>
            <w:noWrap/>
            <w:vAlign w:val="center"/>
            <w:hideMark/>
          </w:tcPr>
          <w:p w14:paraId="202CE345" w14:textId="77777777" w:rsidR="00306401" w:rsidRPr="00DE1826" w:rsidRDefault="00306401" w:rsidP="00306401">
            <w:pPr>
              <w:spacing w:after="0" w:line="240" w:lineRule="auto"/>
              <w:jc w:val="center"/>
              <w:rPr>
                <w:rFonts w:ascii="Times New Roman" w:eastAsia="Times New Roman" w:hAnsi="Times New Roman" w:cs="Times New Roman"/>
                <w:b/>
                <w:bCs/>
                <w:color w:val="000000"/>
              </w:rPr>
            </w:pPr>
            <w:r w:rsidRPr="00DE1826">
              <w:rPr>
                <w:rFonts w:ascii="Times New Roman" w:eastAsia="Times New Roman" w:hAnsi="Times New Roman" w:cs="Times New Roman"/>
                <w:b/>
                <w:bCs/>
                <w:color w:val="000000"/>
              </w:rPr>
              <w:t>Category</w:t>
            </w:r>
          </w:p>
        </w:tc>
        <w:tc>
          <w:tcPr>
            <w:tcW w:w="1541" w:type="dxa"/>
            <w:tcBorders>
              <w:top w:val="nil"/>
              <w:left w:val="nil"/>
              <w:bottom w:val="single" w:sz="4" w:space="0" w:color="auto"/>
              <w:right w:val="nil"/>
            </w:tcBorders>
            <w:shd w:val="clear" w:color="auto" w:fill="auto"/>
            <w:noWrap/>
            <w:vAlign w:val="center"/>
            <w:hideMark/>
          </w:tcPr>
          <w:p w14:paraId="751784D6"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No of Funds</w:t>
            </w:r>
          </w:p>
        </w:tc>
        <w:tc>
          <w:tcPr>
            <w:tcW w:w="1337" w:type="dxa"/>
            <w:tcBorders>
              <w:top w:val="nil"/>
              <w:left w:val="nil"/>
              <w:bottom w:val="single" w:sz="4" w:space="0" w:color="auto"/>
              <w:right w:val="nil"/>
            </w:tcBorders>
            <w:shd w:val="clear" w:color="auto" w:fill="auto"/>
            <w:vAlign w:val="center"/>
            <w:hideMark/>
          </w:tcPr>
          <w:p w14:paraId="224FFD7B"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Estimate</w:t>
            </w:r>
          </w:p>
        </w:tc>
        <w:tc>
          <w:tcPr>
            <w:tcW w:w="1994" w:type="dxa"/>
            <w:tcBorders>
              <w:top w:val="nil"/>
              <w:left w:val="nil"/>
              <w:bottom w:val="single" w:sz="4" w:space="0" w:color="auto"/>
              <w:right w:val="nil"/>
            </w:tcBorders>
            <w:shd w:val="clear" w:color="auto" w:fill="auto"/>
            <w:vAlign w:val="center"/>
            <w:hideMark/>
          </w:tcPr>
          <w:p w14:paraId="71BC1559"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Test Statistic</w:t>
            </w:r>
          </w:p>
        </w:tc>
        <w:tc>
          <w:tcPr>
            <w:tcW w:w="1193" w:type="dxa"/>
            <w:tcBorders>
              <w:top w:val="nil"/>
              <w:left w:val="nil"/>
              <w:bottom w:val="single" w:sz="4" w:space="0" w:color="auto"/>
              <w:right w:val="nil"/>
            </w:tcBorders>
            <w:shd w:val="clear" w:color="auto" w:fill="auto"/>
            <w:vAlign w:val="center"/>
            <w:hideMark/>
          </w:tcPr>
          <w:p w14:paraId="578BE3FA"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Prob.</w:t>
            </w:r>
          </w:p>
        </w:tc>
        <w:tc>
          <w:tcPr>
            <w:tcW w:w="1134" w:type="dxa"/>
            <w:tcBorders>
              <w:top w:val="nil"/>
              <w:left w:val="nil"/>
              <w:bottom w:val="nil"/>
              <w:right w:val="nil"/>
            </w:tcBorders>
            <w:shd w:val="clear" w:color="auto" w:fill="auto"/>
            <w:noWrap/>
            <w:vAlign w:val="bottom"/>
            <w:hideMark/>
          </w:tcPr>
          <w:p w14:paraId="2CB5D659" w14:textId="77777777" w:rsidR="00306401" w:rsidRPr="00306401" w:rsidRDefault="00306401" w:rsidP="00306401">
            <w:pPr>
              <w:spacing w:after="0" w:line="240" w:lineRule="auto"/>
              <w:jc w:val="center"/>
              <w:rPr>
                <w:rFonts w:ascii="Times New Roman" w:eastAsia="Times New Roman" w:hAnsi="Times New Roman" w:cs="Times New Roman"/>
                <w:b/>
                <w:bCs/>
                <w:color w:val="000000"/>
                <w:sz w:val="20"/>
                <w:szCs w:val="20"/>
              </w:rPr>
            </w:pPr>
          </w:p>
        </w:tc>
        <w:tc>
          <w:tcPr>
            <w:tcW w:w="562" w:type="dxa"/>
            <w:tcBorders>
              <w:top w:val="nil"/>
              <w:left w:val="nil"/>
              <w:bottom w:val="nil"/>
              <w:right w:val="nil"/>
            </w:tcBorders>
            <w:shd w:val="clear" w:color="auto" w:fill="auto"/>
            <w:noWrap/>
            <w:vAlign w:val="bottom"/>
            <w:hideMark/>
          </w:tcPr>
          <w:p w14:paraId="56ECD6B8"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56F62822"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3C6E91A5"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78D632F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C6F2220"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6BDDC427"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7AFCD9EF"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Malaysia</w:t>
            </w:r>
          </w:p>
        </w:tc>
        <w:tc>
          <w:tcPr>
            <w:tcW w:w="1541" w:type="dxa"/>
            <w:tcBorders>
              <w:top w:val="nil"/>
              <w:left w:val="nil"/>
              <w:bottom w:val="nil"/>
              <w:right w:val="nil"/>
            </w:tcBorders>
            <w:shd w:val="clear" w:color="auto" w:fill="auto"/>
            <w:noWrap/>
            <w:vAlign w:val="bottom"/>
            <w:hideMark/>
          </w:tcPr>
          <w:p w14:paraId="5141B1DD"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377</w:t>
            </w:r>
          </w:p>
        </w:tc>
        <w:tc>
          <w:tcPr>
            <w:tcW w:w="1337" w:type="dxa"/>
            <w:tcBorders>
              <w:top w:val="nil"/>
              <w:left w:val="nil"/>
              <w:bottom w:val="nil"/>
              <w:right w:val="nil"/>
            </w:tcBorders>
            <w:shd w:val="clear" w:color="auto" w:fill="auto"/>
            <w:vAlign w:val="center"/>
            <w:hideMark/>
          </w:tcPr>
          <w:p w14:paraId="605157DB"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F-statistic</w:t>
            </w:r>
          </w:p>
        </w:tc>
        <w:tc>
          <w:tcPr>
            <w:tcW w:w="1994" w:type="dxa"/>
            <w:tcBorders>
              <w:top w:val="nil"/>
              <w:left w:val="nil"/>
              <w:bottom w:val="nil"/>
              <w:right w:val="nil"/>
            </w:tcBorders>
            <w:shd w:val="clear" w:color="auto" w:fill="auto"/>
            <w:vAlign w:val="center"/>
            <w:hideMark/>
          </w:tcPr>
          <w:p w14:paraId="2BA44DF8"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9.229***</w:t>
            </w:r>
          </w:p>
        </w:tc>
        <w:tc>
          <w:tcPr>
            <w:tcW w:w="1193" w:type="dxa"/>
            <w:tcBorders>
              <w:top w:val="nil"/>
              <w:left w:val="nil"/>
              <w:bottom w:val="nil"/>
              <w:right w:val="nil"/>
            </w:tcBorders>
            <w:shd w:val="clear" w:color="auto" w:fill="auto"/>
            <w:vAlign w:val="center"/>
            <w:hideMark/>
          </w:tcPr>
          <w:p w14:paraId="594FDBAA"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0.0001</w:t>
            </w:r>
          </w:p>
        </w:tc>
        <w:tc>
          <w:tcPr>
            <w:tcW w:w="1134" w:type="dxa"/>
            <w:tcBorders>
              <w:top w:val="nil"/>
              <w:left w:val="nil"/>
              <w:bottom w:val="nil"/>
              <w:right w:val="nil"/>
            </w:tcBorders>
            <w:shd w:val="clear" w:color="auto" w:fill="auto"/>
            <w:noWrap/>
            <w:vAlign w:val="bottom"/>
            <w:hideMark/>
          </w:tcPr>
          <w:p w14:paraId="67AAE7EA"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228FF013"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06F9CA3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37D06EFC"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523E97C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652A702"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690295FC"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35BAF07F"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1541" w:type="dxa"/>
            <w:tcBorders>
              <w:top w:val="nil"/>
              <w:left w:val="nil"/>
              <w:bottom w:val="nil"/>
              <w:right w:val="nil"/>
            </w:tcBorders>
            <w:shd w:val="clear" w:color="auto" w:fill="auto"/>
            <w:noWrap/>
            <w:vAlign w:val="bottom"/>
            <w:hideMark/>
          </w:tcPr>
          <w:p w14:paraId="5FA91A5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337" w:type="dxa"/>
            <w:tcBorders>
              <w:top w:val="nil"/>
              <w:left w:val="nil"/>
              <w:bottom w:val="nil"/>
              <w:right w:val="nil"/>
            </w:tcBorders>
            <w:shd w:val="clear" w:color="auto" w:fill="auto"/>
            <w:vAlign w:val="center"/>
            <w:hideMark/>
          </w:tcPr>
          <w:p w14:paraId="75656701"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roofErr w:type="spellStart"/>
            <w:r w:rsidRPr="00306401">
              <w:rPr>
                <w:rFonts w:ascii="Times New Roman" w:eastAsia="Times New Roman" w:hAnsi="Times New Roman" w:cs="Times New Roman"/>
                <w:color w:val="000000"/>
                <w:sz w:val="20"/>
                <w:szCs w:val="20"/>
              </w:rPr>
              <w:t>Obs</w:t>
            </w:r>
            <w:proofErr w:type="spellEnd"/>
            <w:r w:rsidRPr="00306401">
              <w:rPr>
                <w:rFonts w:ascii="Times New Roman" w:eastAsia="Times New Roman" w:hAnsi="Times New Roman" w:cs="Times New Roman"/>
                <w:color w:val="000000"/>
                <w:sz w:val="20"/>
                <w:szCs w:val="20"/>
              </w:rPr>
              <w:t>*R-squared</w:t>
            </w:r>
          </w:p>
        </w:tc>
        <w:tc>
          <w:tcPr>
            <w:tcW w:w="1994" w:type="dxa"/>
            <w:tcBorders>
              <w:top w:val="nil"/>
              <w:left w:val="nil"/>
              <w:bottom w:val="nil"/>
              <w:right w:val="nil"/>
            </w:tcBorders>
            <w:shd w:val="clear" w:color="auto" w:fill="auto"/>
            <w:vAlign w:val="center"/>
            <w:hideMark/>
          </w:tcPr>
          <w:p w14:paraId="4E2D8FEB"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8.042***</w:t>
            </w:r>
          </w:p>
        </w:tc>
        <w:tc>
          <w:tcPr>
            <w:tcW w:w="1193" w:type="dxa"/>
            <w:tcBorders>
              <w:top w:val="nil"/>
              <w:left w:val="nil"/>
              <w:bottom w:val="nil"/>
              <w:right w:val="nil"/>
            </w:tcBorders>
            <w:shd w:val="clear" w:color="auto" w:fill="auto"/>
            <w:vAlign w:val="center"/>
            <w:hideMark/>
          </w:tcPr>
          <w:p w14:paraId="44F6FC4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0.0001</w:t>
            </w:r>
          </w:p>
        </w:tc>
        <w:tc>
          <w:tcPr>
            <w:tcW w:w="1134" w:type="dxa"/>
            <w:tcBorders>
              <w:top w:val="nil"/>
              <w:left w:val="nil"/>
              <w:bottom w:val="nil"/>
              <w:right w:val="nil"/>
            </w:tcBorders>
            <w:shd w:val="clear" w:color="auto" w:fill="auto"/>
            <w:noWrap/>
            <w:vAlign w:val="center"/>
            <w:hideMark/>
          </w:tcPr>
          <w:p w14:paraId="5238AAF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center"/>
            <w:hideMark/>
          </w:tcPr>
          <w:p w14:paraId="6304E0DC" w14:textId="77777777" w:rsidR="00306401" w:rsidRPr="00306401" w:rsidRDefault="00306401" w:rsidP="00306401">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4D334B29" w14:textId="77777777" w:rsidR="00306401" w:rsidRPr="00306401" w:rsidRDefault="00306401" w:rsidP="00306401">
            <w:pPr>
              <w:spacing w:after="0" w:line="240" w:lineRule="auto"/>
              <w:jc w:val="center"/>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3D74BAC"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357ECEEA"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5CD4C125"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09300A9E"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2340D3D1"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Pakistan</w:t>
            </w:r>
          </w:p>
        </w:tc>
        <w:tc>
          <w:tcPr>
            <w:tcW w:w="1541" w:type="dxa"/>
            <w:tcBorders>
              <w:top w:val="nil"/>
              <w:left w:val="nil"/>
              <w:bottom w:val="nil"/>
              <w:right w:val="nil"/>
            </w:tcBorders>
            <w:shd w:val="clear" w:color="auto" w:fill="auto"/>
            <w:noWrap/>
            <w:vAlign w:val="bottom"/>
            <w:hideMark/>
          </w:tcPr>
          <w:p w14:paraId="090AC8A7"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155</w:t>
            </w:r>
          </w:p>
        </w:tc>
        <w:tc>
          <w:tcPr>
            <w:tcW w:w="1337" w:type="dxa"/>
            <w:tcBorders>
              <w:top w:val="nil"/>
              <w:left w:val="nil"/>
              <w:bottom w:val="nil"/>
              <w:right w:val="nil"/>
            </w:tcBorders>
            <w:shd w:val="clear" w:color="auto" w:fill="auto"/>
            <w:vAlign w:val="center"/>
            <w:hideMark/>
          </w:tcPr>
          <w:p w14:paraId="7DC06C5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F-statistic</w:t>
            </w:r>
          </w:p>
        </w:tc>
        <w:tc>
          <w:tcPr>
            <w:tcW w:w="1994" w:type="dxa"/>
            <w:tcBorders>
              <w:top w:val="nil"/>
              <w:left w:val="nil"/>
              <w:bottom w:val="nil"/>
              <w:right w:val="nil"/>
            </w:tcBorders>
            <w:shd w:val="clear" w:color="auto" w:fill="auto"/>
            <w:vAlign w:val="center"/>
            <w:hideMark/>
          </w:tcPr>
          <w:p w14:paraId="5A08E586"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7.563**</w:t>
            </w:r>
          </w:p>
        </w:tc>
        <w:tc>
          <w:tcPr>
            <w:tcW w:w="1193" w:type="dxa"/>
            <w:tcBorders>
              <w:top w:val="nil"/>
              <w:left w:val="nil"/>
              <w:bottom w:val="nil"/>
              <w:right w:val="nil"/>
            </w:tcBorders>
            <w:shd w:val="clear" w:color="auto" w:fill="auto"/>
            <w:vAlign w:val="center"/>
            <w:hideMark/>
          </w:tcPr>
          <w:p w14:paraId="225A2E3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0.0001</w:t>
            </w:r>
          </w:p>
        </w:tc>
        <w:tc>
          <w:tcPr>
            <w:tcW w:w="1134" w:type="dxa"/>
            <w:tcBorders>
              <w:top w:val="nil"/>
              <w:left w:val="nil"/>
              <w:bottom w:val="nil"/>
              <w:right w:val="nil"/>
            </w:tcBorders>
            <w:shd w:val="clear" w:color="auto" w:fill="auto"/>
            <w:noWrap/>
            <w:vAlign w:val="bottom"/>
            <w:hideMark/>
          </w:tcPr>
          <w:p w14:paraId="78AB69A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63008FD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279C2904"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2CDE517A"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67E872AF"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5B849AB5"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36E543E6"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1314025A"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1541" w:type="dxa"/>
            <w:tcBorders>
              <w:top w:val="nil"/>
              <w:left w:val="nil"/>
              <w:bottom w:val="nil"/>
              <w:right w:val="nil"/>
            </w:tcBorders>
            <w:shd w:val="clear" w:color="auto" w:fill="auto"/>
            <w:noWrap/>
            <w:vAlign w:val="bottom"/>
            <w:hideMark/>
          </w:tcPr>
          <w:p w14:paraId="01AAFDF5"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337" w:type="dxa"/>
            <w:tcBorders>
              <w:top w:val="nil"/>
              <w:left w:val="nil"/>
              <w:bottom w:val="nil"/>
              <w:right w:val="nil"/>
            </w:tcBorders>
            <w:shd w:val="clear" w:color="auto" w:fill="auto"/>
            <w:vAlign w:val="center"/>
            <w:hideMark/>
          </w:tcPr>
          <w:p w14:paraId="17DD4984"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roofErr w:type="spellStart"/>
            <w:r w:rsidRPr="00306401">
              <w:rPr>
                <w:rFonts w:ascii="Times New Roman" w:eastAsia="Times New Roman" w:hAnsi="Times New Roman" w:cs="Times New Roman"/>
                <w:color w:val="000000"/>
                <w:sz w:val="20"/>
                <w:szCs w:val="20"/>
              </w:rPr>
              <w:t>Obs</w:t>
            </w:r>
            <w:proofErr w:type="spellEnd"/>
            <w:r w:rsidRPr="00306401">
              <w:rPr>
                <w:rFonts w:ascii="Times New Roman" w:eastAsia="Times New Roman" w:hAnsi="Times New Roman" w:cs="Times New Roman"/>
                <w:color w:val="000000"/>
                <w:sz w:val="20"/>
                <w:szCs w:val="20"/>
              </w:rPr>
              <w:t>*R-squared</w:t>
            </w:r>
          </w:p>
        </w:tc>
        <w:tc>
          <w:tcPr>
            <w:tcW w:w="1994" w:type="dxa"/>
            <w:tcBorders>
              <w:top w:val="nil"/>
              <w:left w:val="nil"/>
              <w:bottom w:val="nil"/>
              <w:right w:val="nil"/>
            </w:tcBorders>
            <w:shd w:val="clear" w:color="auto" w:fill="auto"/>
            <w:vAlign w:val="center"/>
            <w:hideMark/>
          </w:tcPr>
          <w:p w14:paraId="1F5A188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7.061**</w:t>
            </w:r>
          </w:p>
        </w:tc>
        <w:tc>
          <w:tcPr>
            <w:tcW w:w="1193" w:type="dxa"/>
            <w:tcBorders>
              <w:top w:val="nil"/>
              <w:left w:val="nil"/>
              <w:bottom w:val="nil"/>
              <w:right w:val="nil"/>
            </w:tcBorders>
            <w:shd w:val="clear" w:color="auto" w:fill="auto"/>
            <w:vAlign w:val="center"/>
            <w:hideMark/>
          </w:tcPr>
          <w:p w14:paraId="5E6CFAFE"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0.0200</w:t>
            </w:r>
          </w:p>
        </w:tc>
        <w:tc>
          <w:tcPr>
            <w:tcW w:w="1134" w:type="dxa"/>
            <w:tcBorders>
              <w:top w:val="nil"/>
              <w:left w:val="nil"/>
              <w:bottom w:val="nil"/>
              <w:right w:val="nil"/>
            </w:tcBorders>
            <w:shd w:val="clear" w:color="auto" w:fill="auto"/>
            <w:noWrap/>
            <w:vAlign w:val="bottom"/>
            <w:hideMark/>
          </w:tcPr>
          <w:p w14:paraId="15E5C256"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2A5D0B79"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4E8DFD91"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384590FF"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5FD86100"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0B0E1917"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7F3C3ADF"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146A9F68"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Saudi Arabia</w:t>
            </w:r>
          </w:p>
        </w:tc>
        <w:tc>
          <w:tcPr>
            <w:tcW w:w="1541" w:type="dxa"/>
            <w:tcBorders>
              <w:top w:val="nil"/>
              <w:left w:val="nil"/>
              <w:bottom w:val="nil"/>
              <w:right w:val="nil"/>
            </w:tcBorders>
            <w:shd w:val="clear" w:color="auto" w:fill="auto"/>
            <w:noWrap/>
            <w:vAlign w:val="bottom"/>
            <w:hideMark/>
          </w:tcPr>
          <w:p w14:paraId="59720BE2"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183</w:t>
            </w:r>
          </w:p>
        </w:tc>
        <w:tc>
          <w:tcPr>
            <w:tcW w:w="1337" w:type="dxa"/>
            <w:tcBorders>
              <w:top w:val="nil"/>
              <w:left w:val="nil"/>
              <w:bottom w:val="nil"/>
              <w:right w:val="nil"/>
            </w:tcBorders>
            <w:shd w:val="clear" w:color="auto" w:fill="auto"/>
            <w:vAlign w:val="center"/>
            <w:hideMark/>
          </w:tcPr>
          <w:p w14:paraId="073EB24C"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F-statistic</w:t>
            </w:r>
          </w:p>
        </w:tc>
        <w:tc>
          <w:tcPr>
            <w:tcW w:w="1994" w:type="dxa"/>
            <w:tcBorders>
              <w:top w:val="nil"/>
              <w:left w:val="nil"/>
              <w:bottom w:val="nil"/>
              <w:right w:val="nil"/>
            </w:tcBorders>
            <w:shd w:val="clear" w:color="auto" w:fill="auto"/>
            <w:vAlign w:val="center"/>
            <w:hideMark/>
          </w:tcPr>
          <w:p w14:paraId="0B4AD53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6.267**</w:t>
            </w:r>
          </w:p>
        </w:tc>
        <w:tc>
          <w:tcPr>
            <w:tcW w:w="1193" w:type="dxa"/>
            <w:tcBorders>
              <w:top w:val="nil"/>
              <w:left w:val="nil"/>
              <w:bottom w:val="nil"/>
              <w:right w:val="nil"/>
            </w:tcBorders>
            <w:shd w:val="clear" w:color="auto" w:fill="auto"/>
            <w:vAlign w:val="center"/>
            <w:hideMark/>
          </w:tcPr>
          <w:p w14:paraId="50E377E0"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0.0095</w:t>
            </w:r>
          </w:p>
        </w:tc>
        <w:tc>
          <w:tcPr>
            <w:tcW w:w="1134" w:type="dxa"/>
            <w:tcBorders>
              <w:top w:val="nil"/>
              <w:left w:val="nil"/>
              <w:bottom w:val="nil"/>
              <w:right w:val="nil"/>
            </w:tcBorders>
            <w:shd w:val="clear" w:color="auto" w:fill="auto"/>
            <w:noWrap/>
            <w:vAlign w:val="bottom"/>
            <w:hideMark/>
          </w:tcPr>
          <w:p w14:paraId="417AA9BC"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19CE7794" w14:textId="77777777" w:rsidR="00306401" w:rsidRPr="00306401" w:rsidRDefault="00306401" w:rsidP="00306401">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20CE19EC" w14:textId="77777777" w:rsidR="00306401" w:rsidRPr="00306401" w:rsidRDefault="00306401" w:rsidP="00306401">
            <w:pPr>
              <w:spacing w:after="0" w:line="240" w:lineRule="auto"/>
              <w:jc w:val="center"/>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1DC52C35" w14:textId="77777777" w:rsidR="00306401" w:rsidRPr="00306401" w:rsidRDefault="00306401" w:rsidP="00306401">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303DACF2" w14:textId="77777777" w:rsidR="00306401" w:rsidRPr="00306401" w:rsidRDefault="00306401" w:rsidP="00306401">
            <w:pPr>
              <w:spacing w:after="0" w:line="240" w:lineRule="auto"/>
              <w:jc w:val="center"/>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9208286"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08AB302C"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44AB884E"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1541" w:type="dxa"/>
            <w:tcBorders>
              <w:top w:val="nil"/>
              <w:left w:val="nil"/>
              <w:bottom w:val="nil"/>
              <w:right w:val="nil"/>
            </w:tcBorders>
            <w:shd w:val="clear" w:color="auto" w:fill="auto"/>
            <w:noWrap/>
            <w:vAlign w:val="bottom"/>
            <w:hideMark/>
          </w:tcPr>
          <w:p w14:paraId="0398E597"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337" w:type="dxa"/>
            <w:tcBorders>
              <w:top w:val="nil"/>
              <w:left w:val="nil"/>
              <w:bottom w:val="nil"/>
              <w:right w:val="nil"/>
            </w:tcBorders>
            <w:shd w:val="clear" w:color="auto" w:fill="auto"/>
            <w:vAlign w:val="center"/>
            <w:hideMark/>
          </w:tcPr>
          <w:p w14:paraId="1BAC8FC0"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roofErr w:type="spellStart"/>
            <w:r w:rsidRPr="00306401">
              <w:rPr>
                <w:rFonts w:ascii="Times New Roman" w:eastAsia="Times New Roman" w:hAnsi="Times New Roman" w:cs="Times New Roman"/>
                <w:color w:val="000000"/>
                <w:sz w:val="20"/>
                <w:szCs w:val="20"/>
              </w:rPr>
              <w:t>Obs</w:t>
            </w:r>
            <w:proofErr w:type="spellEnd"/>
            <w:r w:rsidRPr="00306401">
              <w:rPr>
                <w:rFonts w:ascii="Times New Roman" w:eastAsia="Times New Roman" w:hAnsi="Times New Roman" w:cs="Times New Roman"/>
                <w:color w:val="000000"/>
                <w:sz w:val="20"/>
                <w:szCs w:val="20"/>
              </w:rPr>
              <w:t>*R-squared</w:t>
            </w:r>
          </w:p>
        </w:tc>
        <w:tc>
          <w:tcPr>
            <w:tcW w:w="1994" w:type="dxa"/>
            <w:tcBorders>
              <w:top w:val="nil"/>
              <w:left w:val="nil"/>
              <w:bottom w:val="nil"/>
              <w:right w:val="nil"/>
            </w:tcBorders>
            <w:shd w:val="clear" w:color="auto" w:fill="auto"/>
            <w:vAlign w:val="center"/>
            <w:hideMark/>
          </w:tcPr>
          <w:p w14:paraId="46136D9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5.107**</w:t>
            </w:r>
          </w:p>
        </w:tc>
        <w:tc>
          <w:tcPr>
            <w:tcW w:w="1193" w:type="dxa"/>
            <w:tcBorders>
              <w:top w:val="nil"/>
              <w:left w:val="nil"/>
              <w:bottom w:val="nil"/>
              <w:right w:val="nil"/>
            </w:tcBorders>
            <w:shd w:val="clear" w:color="auto" w:fill="auto"/>
            <w:vAlign w:val="center"/>
            <w:hideMark/>
          </w:tcPr>
          <w:p w14:paraId="725F7C69"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0.0099</w:t>
            </w:r>
          </w:p>
        </w:tc>
        <w:tc>
          <w:tcPr>
            <w:tcW w:w="1134" w:type="dxa"/>
            <w:tcBorders>
              <w:top w:val="nil"/>
              <w:left w:val="nil"/>
              <w:bottom w:val="nil"/>
              <w:right w:val="nil"/>
            </w:tcBorders>
            <w:shd w:val="clear" w:color="auto" w:fill="auto"/>
            <w:noWrap/>
            <w:vAlign w:val="bottom"/>
            <w:hideMark/>
          </w:tcPr>
          <w:p w14:paraId="5434CA72"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08474C76"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324D0490"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FB4DCE8"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688B8CE4"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CA8F426"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5BBC9133"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2A63BDB6"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Qatar</w:t>
            </w:r>
          </w:p>
        </w:tc>
        <w:tc>
          <w:tcPr>
            <w:tcW w:w="1541" w:type="dxa"/>
            <w:tcBorders>
              <w:top w:val="nil"/>
              <w:left w:val="nil"/>
              <w:bottom w:val="nil"/>
              <w:right w:val="nil"/>
            </w:tcBorders>
            <w:shd w:val="clear" w:color="auto" w:fill="auto"/>
            <w:noWrap/>
            <w:vAlign w:val="bottom"/>
            <w:hideMark/>
          </w:tcPr>
          <w:p w14:paraId="4F71ABA9"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151</w:t>
            </w:r>
          </w:p>
        </w:tc>
        <w:tc>
          <w:tcPr>
            <w:tcW w:w="1337" w:type="dxa"/>
            <w:tcBorders>
              <w:top w:val="nil"/>
              <w:left w:val="nil"/>
              <w:bottom w:val="nil"/>
              <w:right w:val="nil"/>
            </w:tcBorders>
            <w:shd w:val="clear" w:color="auto" w:fill="auto"/>
            <w:vAlign w:val="center"/>
            <w:hideMark/>
          </w:tcPr>
          <w:p w14:paraId="56D3433E"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F-statistic</w:t>
            </w:r>
          </w:p>
        </w:tc>
        <w:tc>
          <w:tcPr>
            <w:tcW w:w="1994" w:type="dxa"/>
            <w:tcBorders>
              <w:top w:val="nil"/>
              <w:left w:val="nil"/>
              <w:bottom w:val="nil"/>
              <w:right w:val="nil"/>
            </w:tcBorders>
            <w:shd w:val="clear" w:color="auto" w:fill="auto"/>
            <w:vAlign w:val="center"/>
            <w:hideMark/>
          </w:tcPr>
          <w:p w14:paraId="01C77AFE"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6.013**</w:t>
            </w:r>
          </w:p>
        </w:tc>
        <w:tc>
          <w:tcPr>
            <w:tcW w:w="1193" w:type="dxa"/>
            <w:tcBorders>
              <w:top w:val="nil"/>
              <w:left w:val="nil"/>
              <w:bottom w:val="nil"/>
              <w:right w:val="nil"/>
            </w:tcBorders>
            <w:shd w:val="clear" w:color="auto" w:fill="auto"/>
            <w:vAlign w:val="center"/>
            <w:hideMark/>
          </w:tcPr>
          <w:p w14:paraId="5CC6111A"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0.0012</w:t>
            </w:r>
          </w:p>
        </w:tc>
        <w:tc>
          <w:tcPr>
            <w:tcW w:w="1134" w:type="dxa"/>
            <w:tcBorders>
              <w:top w:val="nil"/>
              <w:left w:val="nil"/>
              <w:bottom w:val="nil"/>
              <w:right w:val="nil"/>
            </w:tcBorders>
            <w:shd w:val="clear" w:color="auto" w:fill="auto"/>
            <w:noWrap/>
            <w:vAlign w:val="bottom"/>
            <w:hideMark/>
          </w:tcPr>
          <w:p w14:paraId="358B0071"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309CD268"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0B40B414"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C492401"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2CF711C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1D72E4B4"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424C07EA" w14:textId="77777777" w:rsidTr="00306401">
        <w:trPr>
          <w:gridAfter w:val="1"/>
          <w:wAfter w:w="10" w:type="dxa"/>
          <w:trHeight w:val="170"/>
        </w:trPr>
        <w:tc>
          <w:tcPr>
            <w:tcW w:w="1641" w:type="dxa"/>
            <w:tcBorders>
              <w:top w:val="nil"/>
              <w:left w:val="nil"/>
              <w:bottom w:val="nil"/>
              <w:right w:val="nil"/>
            </w:tcBorders>
            <w:shd w:val="clear" w:color="auto" w:fill="auto"/>
            <w:noWrap/>
            <w:vAlign w:val="center"/>
            <w:hideMark/>
          </w:tcPr>
          <w:p w14:paraId="6C1B3A20"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1541" w:type="dxa"/>
            <w:tcBorders>
              <w:top w:val="nil"/>
              <w:left w:val="nil"/>
              <w:bottom w:val="nil"/>
              <w:right w:val="nil"/>
            </w:tcBorders>
            <w:shd w:val="clear" w:color="auto" w:fill="auto"/>
            <w:noWrap/>
            <w:vAlign w:val="center"/>
            <w:hideMark/>
          </w:tcPr>
          <w:p w14:paraId="6B91CD57" w14:textId="77777777" w:rsidR="00306401" w:rsidRPr="00306401" w:rsidRDefault="00306401" w:rsidP="00306401">
            <w:pPr>
              <w:spacing w:after="0" w:line="240" w:lineRule="auto"/>
              <w:jc w:val="center"/>
              <w:rPr>
                <w:rFonts w:ascii="Times New Roman" w:eastAsia="Times New Roman" w:hAnsi="Times New Roman" w:cs="Times New Roman"/>
                <w:sz w:val="20"/>
                <w:szCs w:val="20"/>
              </w:rPr>
            </w:pPr>
          </w:p>
        </w:tc>
        <w:tc>
          <w:tcPr>
            <w:tcW w:w="1337" w:type="dxa"/>
            <w:tcBorders>
              <w:top w:val="nil"/>
              <w:left w:val="nil"/>
              <w:bottom w:val="nil"/>
              <w:right w:val="nil"/>
            </w:tcBorders>
            <w:shd w:val="clear" w:color="auto" w:fill="auto"/>
            <w:vAlign w:val="center"/>
            <w:hideMark/>
          </w:tcPr>
          <w:p w14:paraId="537F7C37"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roofErr w:type="spellStart"/>
            <w:r w:rsidRPr="00306401">
              <w:rPr>
                <w:rFonts w:ascii="Times New Roman" w:eastAsia="Times New Roman" w:hAnsi="Times New Roman" w:cs="Times New Roman"/>
                <w:color w:val="000000"/>
                <w:sz w:val="20"/>
                <w:szCs w:val="20"/>
              </w:rPr>
              <w:t>Obs</w:t>
            </w:r>
            <w:proofErr w:type="spellEnd"/>
            <w:r w:rsidRPr="00306401">
              <w:rPr>
                <w:rFonts w:ascii="Times New Roman" w:eastAsia="Times New Roman" w:hAnsi="Times New Roman" w:cs="Times New Roman"/>
                <w:color w:val="000000"/>
                <w:sz w:val="20"/>
                <w:szCs w:val="20"/>
              </w:rPr>
              <w:t>*R-squared</w:t>
            </w:r>
          </w:p>
        </w:tc>
        <w:tc>
          <w:tcPr>
            <w:tcW w:w="1994" w:type="dxa"/>
            <w:tcBorders>
              <w:top w:val="nil"/>
              <w:left w:val="nil"/>
              <w:bottom w:val="nil"/>
              <w:right w:val="nil"/>
            </w:tcBorders>
            <w:shd w:val="clear" w:color="auto" w:fill="auto"/>
            <w:vAlign w:val="center"/>
            <w:hideMark/>
          </w:tcPr>
          <w:p w14:paraId="5CCD1C5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4.028**</w:t>
            </w:r>
          </w:p>
        </w:tc>
        <w:tc>
          <w:tcPr>
            <w:tcW w:w="1193" w:type="dxa"/>
            <w:tcBorders>
              <w:top w:val="nil"/>
              <w:left w:val="nil"/>
              <w:bottom w:val="nil"/>
              <w:right w:val="nil"/>
            </w:tcBorders>
            <w:shd w:val="clear" w:color="auto" w:fill="auto"/>
            <w:vAlign w:val="center"/>
            <w:hideMark/>
          </w:tcPr>
          <w:p w14:paraId="43C48DE5"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0.0115</w:t>
            </w:r>
          </w:p>
        </w:tc>
        <w:tc>
          <w:tcPr>
            <w:tcW w:w="1134" w:type="dxa"/>
            <w:tcBorders>
              <w:top w:val="nil"/>
              <w:left w:val="nil"/>
              <w:bottom w:val="nil"/>
              <w:right w:val="nil"/>
            </w:tcBorders>
            <w:shd w:val="clear" w:color="auto" w:fill="auto"/>
            <w:noWrap/>
            <w:vAlign w:val="bottom"/>
            <w:hideMark/>
          </w:tcPr>
          <w:p w14:paraId="668459B0"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7E71AA6C"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69A3EA3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505E33D9"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48F7F82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6BF8C936"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5441711B"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79D87A0A"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Kuwait</w:t>
            </w:r>
          </w:p>
        </w:tc>
        <w:tc>
          <w:tcPr>
            <w:tcW w:w="1541" w:type="dxa"/>
            <w:tcBorders>
              <w:top w:val="nil"/>
              <w:left w:val="nil"/>
              <w:bottom w:val="nil"/>
              <w:right w:val="nil"/>
            </w:tcBorders>
            <w:shd w:val="clear" w:color="auto" w:fill="auto"/>
            <w:noWrap/>
            <w:vAlign w:val="bottom"/>
            <w:hideMark/>
          </w:tcPr>
          <w:p w14:paraId="00CED044"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121</w:t>
            </w:r>
          </w:p>
        </w:tc>
        <w:tc>
          <w:tcPr>
            <w:tcW w:w="1337" w:type="dxa"/>
            <w:tcBorders>
              <w:top w:val="nil"/>
              <w:left w:val="nil"/>
              <w:bottom w:val="nil"/>
              <w:right w:val="nil"/>
            </w:tcBorders>
            <w:shd w:val="clear" w:color="auto" w:fill="auto"/>
            <w:vAlign w:val="center"/>
            <w:hideMark/>
          </w:tcPr>
          <w:p w14:paraId="19187348"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F-statistic</w:t>
            </w:r>
          </w:p>
        </w:tc>
        <w:tc>
          <w:tcPr>
            <w:tcW w:w="1994" w:type="dxa"/>
            <w:tcBorders>
              <w:top w:val="nil"/>
              <w:left w:val="nil"/>
              <w:bottom w:val="nil"/>
              <w:right w:val="nil"/>
            </w:tcBorders>
            <w:shd w:val="clear" w:color="auto" w:fill="auto"/>
            <w:vAlign w:val="center"/>
            <w:hideMark/>
          </w:tcPr>
          <w:p w14:paraId="5A0B5BE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7.606***</w:t>
            </w:r>
          </w:p>
        </w:tc>
        <w:tc>
          <w:tcPr>
            <w:tcW w:w="1193" w:type="dxa"/>
            <w:tcBorders>
              <w:top w:val="nil"/>
              <w:left w:val="nil"/>
              <w:bottom w:val="nil"/>
              <w:right w:val="nil"/>
            </w:tcBorders>
            <w:shd w:val="clear" w:color="auto" w:fill="auto"/>
            <w:vAlign w:val="center"/>
            <w:hideMark/>
          </w:tcPr>
          <w:p w14:paraId="00D2CFCF"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0.0057</w:t>
            </w:r>
          </w:p>
        </w:tc>
        <w:tc>
          <w:tcPr>
            <w:tcW w:w="1134" w:type="dxa"/>
            <w:tcBorders>
              <w:top w:val="nil"/>
              <w:left w:val="nil"/>
              <w:bottom w:val="nil"/>
              <w:right w:val="nil"/>
            </w:tcBorders>
            <w:shd w:val="clear" w:color="auto" w:fill="auto"/>
            <w:noWrap/>
            <w:vAlign w:val="bottom"/>
            <w:hideMark/>
          </w:tcPr>
          <w:p w14:paraId="327AEA41"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30797FFB"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402F8049"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79594646"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70E9D42D"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557DC027"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0F41B34E" w14:textId="77777777" w:rsidTr="00306401">
        <w:trPr>
          <w:gridAfter w:val="1"/>
          <w:wAfter w:w="10" w:type="dxa"/>
          <w:trHeight w:val="170"/>
        </w:trPr>
        <w:tc>
          <w:tcPr>
            <w:tcW w:w="1641" w:type="dxa"/>
            <w:tcBorders>
              <w:top w:val="nil"/>
              <w:left w:val="nil"/>
              <w:bottom w:val="nil"/>
              <w:right w:val="nil"/>
            </w:tcBorders>
            <w:shd w:val="clear" w:color="auto" w:fill="auto"/>
            <w:noWrap/>
            <w:vAlign w:val="center"/>
            <w:hideMark/>
          </w:tcPr>
          <w:p w14:paraId="6D9D09F3"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1541" w:type="dxa"/>
            <w:tcBorders>
              <w:top w:val="nil"/>
              <w:left w:val="nil"/>
              <w:bottom w:val="nil"/>
              <w:right w:val="nil"/>
            </w:tcBorders>
            <w:shd w:val="clear" w:color="auto" w:fill="auto"/>
            <w:noWrap/>
            <w:vAlign w:val="center"/>
            <w:hideMark/>
          </w:tcPr>
          <w:p w14:paraId="3C9393C2" w14:textId="77777777" w:rsidR="00306401" w:rsidRPr="00306401" w:rsidRDefault="00306401" w:rsidP="00306401">
            <w:pPr>
              <w:spacing w:after="0" w:line="240" w:lineRule="auto"/>
              <w:jc w:val="center"/>
              <w:rPr>
                <w:rFonts w:ascii="Times New Roman" w:eastAsia="Times New Roman" w:hAnsi="Times New Roman" w:cs="Times New Roman"/>
                <w:sz w:val="20"/>
                <w:szCs w:val="20"/>
              </w:rPr>
            </w:pPr>
          </w:p>
        </w:tc>
        <w:tc>
          <w:tcPr>
            <w:tcW w:w="1337" w:type="dxa"/>
            <w:tcBorders>
              <w:top w:val="nil"/>
              <w:left w:val="nil"/>
              <w:bottom w:val="nil"/>
              <w:right w:val="nil"/>
            </w:tcBorders>
            <w:shd w:val="clear" w:color="auto" w:fill="auto"/>
            <w:vAlign w:val="center"/>
            <w:hideMark/>
          </w:tcPr>
          <w:p w14:paraId="04984349"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roofErr w:type="spellStart"/>
            <w:r w:rsidRPr="00306401">
              <w:rPr>
                <w:rFonts w:ascii="Times New Roman" w:eastAsia="Times New Roman" w:hAnsi="Times New Roman" w:cs="Times New Roman"/>
                <w:color w:val="000000"/>
                <w:sz w:val="20"/>
                <w:szCs w:val="20"/>
              </w:rPr>
              <w:t>Obs</w:t>
            </w:r>
            <w:proofErr w:type="spellEnd"/>
            <w:r w:rsidRPr="00306401">
              <w:rPr>
                <w:rFonts w:ascii="Times New Roman" w:eastAsia="Times New Roman" w:hAnsi="Times New Roman" w:cs="Times New Roman"/>
                <w:color w:val="000000"/>
                <w:sz w:val="20"/>
                <w:szCs w:val="20"/>
              </w:rPr>
              <w:t>*R-squared</w:t>
            </w:r>
          </w:p>
        </w:tc>
        <w:tc>
          <w:tcPr>
            <w:tcW w:w="1994" w:type="dxa"/>
            <w:tcBorders>
              <w:top w:val="nil"/>
              <w:left w:val="nil"/>
              <w:bottom w:val="nil"/>
              <w:right w:val="nil"/>
            </w:tcBorders>
            <w:shd w:val="clear" w:color="auto" w:fill="auto"/>
            <w:vAlign w:val="center"/>
            <w:hideMark/>
          </w:tcPr>
          <w:p w14:paraId="6059F7C6"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6.454***</w:t>
            </w:r>
          </w:p>
        </w:tc>
        <w:tc>
          <w:tcPr>
            <w:tcW w:w="1193" w:type="dxa"/>
            <w:tcBorders>
              <w:top w:val="nil"/>
              <w:left w:val="nil"/>
              <w:bottom w:val="nil"/>
              <w:right w:val="nil"/>
            </w:tcBorders>
            <w:shd w:val="clear" w:color="auto" w:fill="auto"/>
            <w:vAlign w:val="center"/>
            <w:hideMark/>
          </w:tcPr>
          <w:p w14:paraId="76833FDE"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0.0069</w:t>
            </w:r>
          </w:p>
        </w:tc>
        <w:tc>
          <w:tcPr>
            <w:tcW w:w="1134" w:type="dxa"/>
            <w:tcBorders>
              <w:top w:val="nil"/>
              <w:left w:val="nil"/>
              <w:bottom w:val="nil"/>
              <w:right w:val="nil"/>
            </w:tcBorders>
            <w:shd w:val="clear" w:color="auto" w:fill="auto"/>
            <w:noWrap/>
            <w:vAlign w:val="bottom"/>
            <w:hideMark/>
          </w:tcPr>
          <w:p w14:paraId="243618CB"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4A61E203"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282864C2"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30AE2DE2"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252314EA"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DE6185E"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7CE7FBAE" w14:textId="77777777" w:rsidTr="00306401">
        <w:trPr>
          <w:gridAfter w:val="1"/>
          <w:wAfter w:w="10" w:type="dxa"/>
          <w:trHeight w:val="170"/>
        </w:trPr>
        <w:tc>
          <w:tcPr>
            <w:tcW w:w="1641" w:type="dxa"/>
            <w:tcBorders>
              <w:top w:val="nil"/>
              <w:left w:val="nil"/>
              <w:bottom w:val="nil"/>
              <w:right w:val="nil"/>
            </w:tcBorders>
            <w:shd w:val="clear" w:color="auto" w:fill="auto"/>
            <w:noWrap/>
            <w:vAlign w:val="bottom"/>
            <w:hideMark/>
          </w:tcPr>
          <w:p w14:paraId="6688730D"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UAE</w:t>
            </w:r>
          </w:p>
        </w:tc>
        <w:tc>
          <w:tcPr>
            <w:tcW w:w="1541" w:type="dxa"/>
            <w:tcBorders>
              <w:top w:val="nil"/>
              <w:left w:val="nil"/>
              <w:bottom w:val="nil"/>
              <w:right w:val="nil"/>
            </w:tcBorders>
            <w:shd w:val="clear" w:color="auto" w:fill="auto"/>
            <w:noWrap/>
            <w:vAlign w:val="bottom"/>
            <w:hideMark/>
          </w:tcPr>
          <w:p w14:paraId="1BB2B103"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80</w:t>
            </w:r>
          </w:p>
        </w:tc>
        <w:tc>
          <w:tcPr>
            <w:tcW w:w="1337" w:type="dxa"/>
            <w:tcBorders>
              <w:top w:val="nil"/>
              <w:left w:val="nil"/>
              <w:bottom w:val="nil"/>
              <w:right w:val="nil"/>
            </w:tcBorders>
            <w:shd w:val="clear" w:color="auto" w:fill="auto"/>
            <w:vAlign w:val="center"/>
            <w:hideMark/>
          </w:tcPr>
          <w:p w14:paraId="313D7A29"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F-statistic</w:t>
            </w:r>
          </w:p>
        </w:tc>
        <w:tc>
          <w:tcPr>
            <w:tcW w:w="1994" w:type="dxa"/>
            <w:tcBorders>
              <w:top w:val="nil"/>
              <w:left w:val="nil"/>
              <w:bottom w:val="nil"/>
              <w:right w:val="nil"/>
            </w:tcBorders>
            <w:shd w:val="clear" w:color="auto" w:fill="auto"/>
            <w:vAlign w:val="center"/>
            <w:hideMark/>
          </w:tcPr>
          <w:p w14:paraId="1E8447F8" w14:textId="3E74A70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612**</w:t>
            </w:r>
          </w:p>
        </w:tc>
        <w:tc>
          <w:tcPr>
            <w:tcW w:w="1193" w:type="dxa"/>
            <w:tcBorders>
              <w:top w:val="nil"/>
              <w:left w:val="nil"/>
              <w:bottom w:val="nil"/>
              <w:right w:val="nil"/>
            </w:tcBorders>
            <w:shd w:val="clear" w:color="auto" w:fill="auto"/>
            <w:vAlign w:val="center"/>
            <w:hideMark/>
          </w:tcPr>
          <w:p w14:paraId="53C9BD19" w14:textId="40FD5079"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0001</w:t>
            </w:r>
          </w:p>
        </w:tc>
        <w:tc>
          <w:tcPr>
            <w:tcW w:w="1134" w:type="dxa"/>
            <w:tcBorders>
              <w:top w:val="nil"/>
              <w:left w:val="nil"/>
              <w:bottom w:val="nil"/>
              <w:right w:val="nil"/>
            </w:tcBorders>
            <w:shd w:val="clear" w:color="auto" w:fill="auto"/>
            <w:noWrap/>
            <w:vAlign w:val="bottom"/>
            <w:hideMark/>
          </w:tcPr>
          <w:p w14:paraId="7D685746"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26E9078D"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54D36E15"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4E330ED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17CE426D"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5ED71907"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5D2F04AF" w14:textId="77777777" w:rsidTr="00306401">
        <w:trPr>
          <w:gridAfter w:val="1"/>
          <w:wAfter w:w="10" w:type="dxa"/>
          <w:trHeight w:val="170"/>
        </w:trPr>
        <w:tc>
          <w:tcPr>
            <w:tcW w:w="1641" w:type="dxa"/>
            <w:tcBorders>
              <w:top w:val="nil"/>
              <w:left w:val="nil"/>
              <w:bottom w:val="single" w:sz="4" w:space="0" w:color="auto"/>
              <w:right w:val="nil"/>
            </w:tcBorders>
            <w:shd w:val="clear" w:color="auto" w:fill="auto"/>
            <w:noWrap/>
            <w:vAlign w:val="center"/>
            <w:hideMark/>
          </w:tcPr>
          <w:p w14:paraId="6AAF2FC1" w14:textId="77777777" w:rsidR="00306401" w:rsidRPr="00DE1826" w:rsidRDefault="00306401" w:rsidP="00306401">
            <w:pPr>
              <w:spacing w:after="0" w:line="240" w:lineRule="auto"/>
              <w:jc w:val="center"/>
              <w:rPr>
                <w:rFonts w:ascii="Times New Roman" w:eastAsia="Times New Roman" w:hAnsi="Times New Roman" w:cs="Times New Roman"/>
                <w:color w:val="000000"/>
              </w:rPr>
            </w:pPr>
            <w:r w:rsidRPr="00DE1826">
              <w:rPr>
                <w:rFonts w:ascii="Times New Roman" w:eastAsia="Times New Roman" w:hAnsi="Times New Roman" w:cs="Times New Roman"/>
                <w:color w:val="000000"/>
              </w:rPr>
              <w:t> </w:t>
            </w:r>
          </w:p>
        </w:tc>
        <w:tc>
          <w:tcPr>
            <w:tcW w:w="1541" w:type="dxa"/>
            <w:tcBorders>
              <w:top w:val="nil"/>
              <w:left w:val="nil"/>
              <w:bottom w:val="single" w:sz="4" w:space="0" w:color="auto"/>
              <w:right w:val="nil"/>
            </w:tcBorders>
            <w:shd w:val="clear" w:color="auto" w:fill="auto"/>
            <w:noWrap/>
            <w:vAlign w:val="center"/>
            <w:hideMark/>
          </w:tcPr>
          <w:p w14:paraId="5DC7EE88"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 </w:t>
            </w:r>
          </w:p>
        </w:tc>
        <w:tc>
          <w:tcPr>
            <w:tcW w:w="1337" w:type="dxa"/>
            <w:tcBorders>
              <w:top w:val="nil"/>
              <w:left w:val="nil"/>
              <w:bottom w:val="single" w:sz="4" w:space="0" w:color="auto"/>
              <w:right w:val="nil"/>
            </w:tcBorders>
            <w:shd w:val="clear" w:color="auto" w:fill="auto"/>
            <w:vAlign w:val="center"/>
            <w:hideMark/>
          </w:tcPr>
          <w:p w14:paraId="5A16B511"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roofErr w:type="spellStart"/>
            <w:r w:rsidRPr="00306401">
              <w:rPr>
                <w:rFonts w:ascii="Times New Roman" w:eastAsia="Times New Roman" w:hAnsi="Times New Roman" w:cs="Times New Roman"/>
                <w:color w:val="000000"/>
                <w:sz w:val="20"/>
                <w:szCs w:val="20"/>
              </w:rPr>
              <w:t>Obs</w:t>
            </w:r>
            <w:proofErr w:type="spellEnd"/>
            <w:r w:rsidRPr="00306401">
              <w:rPr>
                <w:rFonts w:ascii="Times New Roman" w:eastAsia="Times New Roman" w:hAnsi="Times New Roman" w:cs="Times New Roman"/>
                <w:color w:val="000000"/>
                <w:sz w:val="20"/>
                <w:szCs w:val="20"/>
              </w:rPr>
              <w:t>*R-squared</w:t>
            </w:r>
          </w:p>
        </w:tc>
        <w:tc>
          <w:tcPr>
            <w:tcW w:w="1994" w:type="dxa"/>
            <w:tcBorders>
              <w:top w:val="nil"/>
              <w:left w:val="nil"/>
              <w:bottom w:val="nil"/>
              <w:right w:val="nil"/>
            </w:tcBorders>
            <w:shd w:val="clear" w:color="auto" w:fill="auto"/>
            <w:vAlign w:val="center"/>
            <w:hideMark/>
          </w:tcPr>
          <w:p w14:paraId="342D28F7" w14:textId="48914F11"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145***</w:t>
            </w:r>
          </w:p>
        </w:tc>
        <w:tc>
          <w:tcPr>
            <w:tcW w:w="1193" w:type="dxa"/>
            <w:tcBorders>
              <w:top w:val="nil"/>
              <w:left w:val="nil"/>
              <w:bottom w:val="nil"/>
              <w:right w:val="nil"/>
            </w:tcBorders>
            <w:shd w:val="clear" w:color="auto" w:fill="auto"/>
            <w:noWrap/>
            <w:vAlign w:val="bottom"/>
            <w:hideMark/>
          </w:tcPr>
          <w:p w14:paraId="438952C3" w14:textId="6C501352"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0001</w:t>
            </w:r>
          </w:p>
        </w:tc>
        <w:tc>
          <w:tcPr>
            <w:tcW w:w="1134" w:type="dxa"/>
            <w:tcBorders>
              <w:top w:val="nil"/>
              <w:left w:val="nil"/>
              <w:bottom w:val="nil"/>
              <w:right w:val="nil"/>
            </w:tcBorders>
            <w:shd w:val="clear" w:color="auto" w:fill="auto"/>
            <w:noWrap/>
            <w:vAlign w:val="bottom"/>
            <w:hideMark/>
          </w:tcPr>
          <w:p w14:paraId="0638E42D" w14:textId="77777777" w:rsidR="00306401" w:rsidRPr="00306401" w:rsidRDefault="00306401" w:rsidP="00306401">
            <w:pPr>
              <w:spacing w:after="0" w:line="240" w:lineRule="auto"/>
              <w:jc w:val="center"/>
              <w:rPr>
                <w:rFonts w:ascii="Times New Roman" w:eastAsia="Times New Roman" w:hAnsi="Times New Roman" w:cs="Times New Roman"/>
                <w:color w:val="000000"/>
                <w:sz w:val="20"/>
                <w:szCs w:val="20"/>
              </w:rPr>
            </w:pPr>
          </w:p>
        </w:tc>
        <w:tc>
          <w:tcPr>
            <w:tcW w:w="562" w:type="dxa"/>
            <w:tcBorders>
              <w:top w:val="nil"/>
              <w:left w:val="nil"/>
              <w:bottom w:val="nil"/>
              <w:right w:val="nil"/>
            </w:tcBorders>
            <w:shd w:val="clear" w:color="auto" w:fill="auto"/>
            <w:noWrap/>
            <w:vAlign w:val="bottom"/>
            <w:hideMark/>
          </w:tcPr>
          <w:p w14:paraId="4F9643F3"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52B9A48E"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36EACF47"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691E9BA6" w14:textId="77777777" w:rsidR="00306401" w:rsidRPr="00306401"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56462CBC" w14:textId="77777777" w:rsidR="00306401" w:rsidRPr="00306401" w:rsidRDefault="00306401" w:rsidP="00306401">
            <w:pPr>
              <w:spacing w:after="0" w:line="240" w:lineRule="auto"/>
              <w:rPr>
                <w:rFonts w:ascii="Times New Roman" w:eastAsia="Times New Roman" w:hAnsi="Times New Roman" w:cs="Times New Roman"/>
                <w:sz w:val="20"/>
                <w:szCs w:val="20"/>
              </w:rPr>
            </w:pPr>
          </w:p>
        </w:tc>
      </w:tr>
      <w:tr w:rsidR="00306401" w:rsidRPr="00DE1826" w14:paraId="525E1015" w14:textId="77777777" w:rsidTr="00306401">
        <w:trPr>
          <w:gridAfter w:val="1"/>
          <w:wAfter w:w="10" w:type="dxa"/>
          <w:trHeight w:val="170"/>
        </w:trPr>
        <w:tc>
          <w:tcPr>
            <w:tcW w:w="6513" w:type="dxa"/>
            <w:gridSpan w:val="4"/>
            <w:tcBorders>
              <w:top w:val="single" w:sz="4" w:space="0" w:color="auto"/>
              <w:left w:val="nil"/>
              <w:bottom w:val="nil"/>
              <w:right w:val="nil"/>
            </w:tcBorders>
            <w:shd w:val="clear" w:color="auto" w:fill="auto"/>
            <w:noWrap/>
            <w:vAlign w:val="bottom"/>
            <w:hideMark/>
          </w:tcPr>
          <w:p w14:paraId="6FD385FD" w14:textId="0666DCC2"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***represent significance at 1%</w:t>
            </w:r>
            <w:r>
              <w:rPr>
                <w:rFonts w:ascii="Times New Roman" w:eastAsia="Times New Roman" w:hAnsi="Times New Roman" w:cs="Times New Roman"/>
                <w:color w:val="000000"/>
              </w:rPr>
              <w:t>.</w:t>
            </w:r>
            <w:r w:rsidRPr="00DE1826">
              <w:rPr>
                <w:rFonts w:ascii="Times New Roman" w:eastAsia="Times New Roman" w:hAnsi="Times New Roman" w:cs="Times New Roman"/>
                <w:color w:val="000000"/>
              </w:rPr>
              <w:t xml:space="preserve"> ** at 5% and * at 10%</w:t>
            </w:r>
          </w:p>
        </w:tc>
        <w:tc>
          <w:tcPr>
            <w:tcW w:w="1193" w:type="dxa"/>
            <w:tcBorders>
              <w:top w:val="single" w:sz="4" w:space="0" w:color="auto"/>
              <w:left w:val="nil"/>
              <w:bottom w:val="nil"/>
              <w:right w:val="nil"/>
            </w:tcBorders>
            <w:shd w:val="clear" w:color="auto" w:fill="auto"/>
            <w:noWrap/>
            <w:vAlign w:val="bottom"/>
            <w:hideMark/>
          </w:tcPr>
          <w:p w14:paraId="20C821A4" w14:textId="77777777" w:rsidR="00306401" w:rsidRPr="00DE1826" w:rsidRDefault="00306401" w:rsidP="00306401">
            <w:pPr>
              <w:spacing w:after="0" w:line="240" w:lineRule="auto"/>
              <w:rPr>
                <w:rFonts w:ascii="Times New Roman" w:eastAsia="Times New Roman" w:hAnsi="Times New Roman" w:cs="Times New Roman"/>
                <w:color w:val="000000"/>
              </w:rPr>
            </w:pPr>
            <w:r w:rsidRPr="00DE1826">
              <w:rPr>
                <w:rFonts w:ascii="Times New Roman" w:eastAsia="Times New Roman" w:hAnsi="Times New Roman" w:cs="Times New Roman"/>
                <w:color w:val="000000"/>
              </w:rPr>
              <w:t> </w:t>
            </w:r>
          </w:p>
        </w:tc>
        <w:tc>
          <w:tcPr>
            <w:tcW w:w="1134" w:type="dxa"/>
            <w:tcBorders>
              <w:top w:val="nil"/>
              <w:left w:val="nil"/>
              <w:bottom w:val="nil"/>
              <w:right w:val="nil"/>
            </w:tcBorders>
            <w:shd w:val="clear" w:color="auto" w:fill="auto"/>
            <w:noWrap/>
            <w:vAlign w:val="bottom"/>
            <w:hideMark/>
          </w:tcPr>
          <w:p w14:paraId="38BF4541" w14:textId="77777777" w:rsidR="00306401" w:rsidRPr="00DE1826" w:rsidRDefault="00306401" w:rsidP="00306401">
            <w:pPr>
              <w:spacing w:after="0" w:line="240" w:lineRule="auto"/>
              <w:rPr>
                <w:rFonts w:ascii="Times New Roman" w:eastAsia="Times New Roman" w:hAnsi="Times New Roman" w:cs="Times New Roman"/>
                <w:color w:val="000000"/>
              </w:rPr>
            </w:pPr>
          </w:p>
        </w:tc>
        <w:tc>
          <w:tcPr>
            <w:tcW w:w="562" w:type="dxa"/>
            <w:tcBorders>
              <w:top w:val="nil"/>
              <w:left w:val="nil"/>
              <w:bottom w:val="nil"/>
              <w:right w:val="nil"/>
            </w:tcBorders>
            <w:shd w:val="clear" w:color="auto" w:fill="auto"/>
            <w:noWrap/>
            <w:vAlign w:val="bottom"/>
            <w:hideMark/>
          </w:tcPr>
          <w:p w14:paraId="1CD09CB1"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0A17F01F"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5363831E"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2BA9F608" w14:textId="77777777" w:rsidR="00306401" w:rsidRPr="00DE1826" w:rsidRDefault="00306401" w:rsidP="00306401">
            <w:pPr>
              <w:spacing w:after="0" w:line="240" w:lineRule="auto"/>
              <w:rPr>
                <w:rFonts w:ascii="Times New Roman" w:eastAsia="Times New Roman" w:hAnsi="Times New Roman" w:cs="Times New Roman"/>
                <w:sz w:val="20"/>
                <w:szCs w:val="20"/>
              </w:rPr>
            </w:pPr>
          </w:p>
        </w:tc>
        <w:tc>
          <w:tcPr>
            <w:tcW w:w="562" w:type="dxa"/>
            <w:tcBorders>
              <w:top w:val="nil"/>
              <w:left w:val="nil"/>
              <w:bottom w:val="nil"/>
              <w:right w:val="nil"/>
            </w:tcBorders>
            <w:shd w:val="clear" w:color="auto" w:fill="auto"/>
            <w:noWrap/>
            <w:vAlign w:val="bottom"/>
            <w:hideMark/>
          </w:tcPr>
          <w:p w14:paraId="32506C78" w14:textId="77777777" w:rsidR="00306401" w:rsidRPr="00DE1826" w:rsidRDefault="00306401" w:rsidP="00306401">
            <w:pPr>
              <w:spacing w:after="0" w:line="240" w:lineRule="auto"/>
              <w:rPr>
                <w:rFonts w:ascii="Times New Roman" w:eastAsia="Times New Roman" w:hAnsi="Times New Roman" w:cs="Times New Roman"/>
                <w:sz w:val="20"/>
                <w:szCs w:val="20"/>
              </w:rPr>
            </w:pPr>
          </w:p>
        </w:tc>
      </w:tr>
    </w:tbl>
    <w:p w14:paraId="0E37EE8D" w14:textId="77777777" w:rsidR="00306401" w:rsidRDefault="00306401" w:rsidP="004B3DBE"/>
    <w:tbl>
      <w:tblPr>
        <w:tblW w:w="5000" w:type="pct"/>
        <w:tblLook w:val="04A0" w:firstRow="1" w:lastRow="0" w:firstColumn="1" w:lastColumn="0" w:noHBand="0" w:noVBand="1"/>
      </w:tblPr>
      <w:tblGrid>
        <w:gridCol w:w="3317"/>
        <w:gridCol w:w="811"/>
        <w:gridCol w:w="805"/>
        <w:gridCol w:w="811"/>
        <w:gridCol w:w="804"/>
        <w:gridCol w:w="810"/>
        <w:gridCol w:w="804"/>
        <w:gridCol w:w="810"/>
        <w:gridCol w:w="804"/>
        <w:gridCol w:w="810"/>
        <w:gridCol w:w="804"/>
        <w:gridCol w:w="810"/>
        <w:gridCol w:w="804"/>
      </w:tblGrid>
      <w:tr w:rsidR="004B3DBE" w:rsidRPr="00F943A3" w14:paraId="67E713C4" w14:textId="77777777" w:rsidTr="00306401">
        <w:trPr>
          <w:trHeight w:val="170"/>
        </w:trPr>
        <w:tc>
          <w:tcPr>
            <w:tcW w:w="5000" w:type="pct"/>
            <w:gridSpan w:val="13"/>
            <w:tcBorders>
              <w:top w:val="nil"/>
              <w:left w:val="nil"/>
              <w:bottom w:val="nil"/>
              <w:right w:val="nil"/>
            </w:tcBorders>
            <w:shd w:val="clear" w:color="auto" w:fill="auto"/>
            <w:noWrap/>
            <w:vAlign w:val="bottom"/>
            <w:hideMark/>
          </w:tcPr>
          <w:p w14:paraId="2DE5E74C" w14:textId="77777777" w:rsidR="004B3DBE" w:rsidRPr="00F943A3" w:rsidRDefault="004B3DBE" w:rsidP="004B3DBE">
            <w:pPr>
              <w:spacing w:after="0" w:line="240" w:lineRule="auto"/>
              <w:rPr>
                <w:rFonts w:ascii="Times New Roman" w:eastAsia="Times New Roman" w:hAnsi="Times New Roman" w:cs="Times New Roman"/>
                <w:b/>
                <w:bCs/>
                <w:color w:val="000000"/>
              </w:rPr>
            </w:pPr>
            <w:r w:rsidRPr="00F943A3">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7</w:t>
            </w:r>
            <w:r w:rsidRPr="00F943A3">
              <w:rPr>
                <w:rFonts w:ascii="Times New Roman" w:eastAsia="Times New Roman" w:hAnsi="Times New Roman" w:cs="Times New Roman"/>
                <w:b/>
                <w:bCs/>
                <w:color w:val="000000"/>
              </w:rPr>
              <w:t>: Style Analysis Equity Funds - Stage 1 (Jan 1st - March 19)</w:t>
            </w:r>
          </w:p>
        </w:tc>
      </w:tr>
      <w:tr w:rsidR="004B3DBE" w:rsidRPr="00F943A3" w14:paraId="09625C6C" w14:textId="77777777" w:rsidTr="00306401">
        <w:trPr>
          <w:trHeight w:val="170"/>
        </w:trPr>
        <w:tc>
          <w:tcPr>
            <w:tcW w:w="1207" w:type="pct"/>
            <w:tcBorders>
              <w:top w:val="single" w:sz="4" w:space="0" w:color="auto"/>
              <w:left w:val="nil"/>
              <w:bottom w:val="single" w:sz="4" w:space="0" w:color="auto"/>
              <w:right w:val="nil"/>
            </w:tcBorders>
            <w:shd w:val="clear" w:color="auto" w:fill="auto"/>
            <w:noWrap/>
            <w:vAlign w:val="bottom"/>
            <w:hideMark/>
          </w:tcPr>
          <w:p w14:paraId="26EE3925"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 </w:t>
            </w:r>
          </w:p>
        </w:tc>
        <w:tc>
          <w:tcPr>
            <w:tcW w:w="632" w:type="pct"/>
            <w:gridSpan w:val="2"/>
            <w:tcBorders>
              <w:top w:val="single" w:sz="4" w:space="0" w:color="auto"/>
              <w:left w:val="nil"/>
              <w:bottom w:val="single" w:sz="4" w:space="0" w:color="auto"/>
              <w:right w:val="nil"/>
            </w:tcBorders>
            <w:shd w:val="clear" w:color="auto" w:fill="auto"/>
            <w:noWrap/>
            <w:vAlign w:val="bottom"/>
            <w:hideMark/>
          </w:tcPr>
          <w:p w14:paraId="1C130C59" w14:textId="77777777" w:rsidR="004B3DBE" w:rsidRPr="00F943A3" w:rsidRDefault="004B3DBE" w:rsidP="004B3DBE">
            <w:pPr>
              <w:spacing w:after="0" w:line="240" w:lineRule="auto"/>
              <w:jc w:val="center"/>
              <w:rPr>
                <w:rFonts w:ascii="Times New Roman" w:eastAsia="Times New Roman" w:hAnsi="Times New Roman" w:cs="Times New Roman"/>
                <w:b/>
                <w:bCs/>
                <w:color w:val="000000"/>
              </w:rPr>
            </w:pPr>
            <w:r w:rsidRPr="00F943A3">
              <w:rPr>
                <w:rFonts w:ascii="Times New Roman" w:eastAsia="Times New Roman" w:hAnsi="Times New Roman" w:cs="Times New Roman"/>
                <w:b/>
                <w:bCs/>
                <w:color w:val="000000"/>
              </w:rPr>
              <w:t>Malaysia</w:t>
            </w:r>
          </w:p>
        </w:tc>
        <w:tc>
          <w:tcPr>
            <w:tcW w:w="632" w:type="pct"/>
            <w:gridSpan w:val="2"/>
            <w:tcBorders>
              <w:top w:val="single" w:sz="4" w:space="0" w:color="auto"/>
              <w:left w:val="nil"/>
              <w:bottom w:val="single" w:sz="4" w:space="0" w:color="auto"/>
              <w:right w:val="nil"/>
            </w:tcBorders>
            <w:shd w:val="clear" w:color="auto" w:fill="auto"/>
            <w:noWrap/>
            <w:vAlign w:val="bottom"/>
            <w:hideMark/>
          </w:tcPr>
          <w:p w14:paraId="21CD65E3" w14:textId="77777777" w:rsidR="004B3DBE" w:rsidRPr="00F943A3" w:rsidRDefault="004B3DBE" w:rsidP="004B3DBE">
            <w:pPr>
              <w:spacing w:after="0" w:line="240" w:lineRule="auto"/>
              <w:jc w:val="center"/>
              <w:rPr>
                <w:rFonts w:ascii="Times New Roman" w:eastAsia="Times New Roman" w:hAnsi="Times New Roman" w:cs="Times New Roman"/>
                <w:b/>
                <w:bCs/>
                <w:color w:val="000000"/>
              </w:rPr>
            </w:pPr>
            <w:r w:rsidRPr="00F943A3">
              <w:rPr>
                <w:rFonts w:ascii="Times New Roman" w:eastAsia="Times New Roman" w:hAnsi="Times New Roman" w:cs="Times New Roman"/>
                <w:b/>
                <w:bCs/>
                <w:color w:val="000000"/>
              </w:rPr>
              <w:t>Pakistan</w:t>
            </w:r>
          </w:p>
        </w:tc>
        <w:tc>
          <w:tcPr>
            <w:tcW w:w="632" w:type="pct"/>
            <w:gridSpan w:val="2"/>
            <w:tcBorders>
              <w:top w:val="single" w:sz="4" w:space="0" w:color="auto"/>
              <w:left w:val="nil"/>
              <w:bottom w:val="single" w:sz="4" w:space="0" w:color="auto"/>
              <w:right w:val="nil"/>
            </w:tcBorders>
            <w:shd w:val="clear" w:color="auto" w:fill="auto"/>
            <w:noWrap/>
            <w:vAlign w:val="bottom"/>
            <w:hideMark/>
          </w:tcPr>
          <w:p w14:paraId="5FCA67BD" w14:textId="77777777" w:rsidR="004B3DBE" w:rsidRPr="00F943A3" w:rsidRDefault="004B3DBE" w:rsidP="004B3DBE">
            <w:pPr>
              <w:spacing w:after="0" w:line="240" w:lineRule="auto"/>
              <w:jc w:val="center"/>
              <w:rPr>
                <w:rFonts w:ascii="Times New Roman" w:eastAsia="Times New Roman" w:hAnsi="Times New Roman" w:cs="Times New Roman"/>
                <w:b/>
                <w:bCs/>
                <w:color w:val="000000"/>
              </w:rPr>
            </w:pPr>
            <w:r w:rsidRPr="00F943A3">
              <w:rPr>
                <w:rFonts w:ascii="Times New Roman" w:eastAsia="Times New Roman" w:hAnsi="Times New Roman" w:cs="Times New Roman"/>
                <w:b/>
                <w:bCs/>
                <w:color w:val="000000"/>
              </w:rPr>
              <w:t>Saudi Arabia</w:t>
            </w:r>
          </w:p>
        </w:tc>
        <w:tc>
          <w:tcPr>
            <w:tcW w:w="632" w:type="pct"/>
            <w:gridSpan w:val="2"/>
            <w:tcBorders>
              <w:top w:val="single" w:sz="4" w:space="0" w:color="auto"/>
              <w:left w:val="nil"/>
              <w:bottom w:val="single" w:sz="4" w:space="0" w:color="auto"/>
              <w:right w:val="nil"/>
            </w:tcBorders>
            <w:shd w:val="clear" w:color="auto" w:fill="auto"/>
            <w:noWrap/>
            <w:vAlign w:val="bottom"/>
            <w:hideMark/>
          </w:tcPr>
          <w:p w14:paraId="72FAB94A" w14:textId="77777777" w:rsidR="004B3DBE" w:rsidRPr="00F943A3" w:rsidRDefault="004B3DBE" w:rsidP="004B3DBE">
            <w:pPr>
              <w:spacing w:after="0" w:line="240" w:lineRule="auto"/>
              <w:jc w:val="center"/>
              <w:rPr>
                <w:rFonts w:ascii="Times New Roman" w:eastAsia="Times New Roman" w:hAnsi="Times New Roman" w:cs="Times New Roman"/>
                <w:b/>
                <w:bCs/>
                <w:color w:val="000000"/>
              </w:rPr>
            </w:pPr>
            <w:r w:rsidRPr="00F943A3">
              <w:rPr>
                <w:rFonts w:ascii="Times New Roman" w:eastAsia="Times New Roman" w:hAnsi="Times New Roman" w:cs="Times New Roman"/>
                <w:b/>
                <w:bCs/>
                <w:color w:val="000000"/>
              </w:rPr>
              <w:t>Qatar</w:t>
            </w:r>
          </w:p>
        </w:tc>
        <w:tc>
          <w:tcPr>
            <w:tcW w:w="632" w:type="pct"/>
            <w:gridSpan w:val="2"/>
            <w:tcBorders>
              <w:top w:val="single" w:sz="4" w:space="0" w:color="auto"/>
              <w:left w:val="nil"/>
              <w:bottom w:val="single" w:sz="4" w:space="0" w:color="auto"/>
              <w:right w:val="nil"/>
            </w:tcBorders>
            <w:shd w:val="clear" w:color="auto" w:fill="auto"/>
            <w:noWrap/>
            <w:vAlign w:val="bottom"/>
            <w:hideMark/>
          </w:tcPr>
          <w:p w14:paraId="17A340D9" w14:textId="77777777" w:rsidR="004B3DBE" w:rsidRPr="00F943A3" w:rsidRDefault="004B3DBE" w:rsidP="004B3DBE">
            <w:pPr>
              <w:spacing w:after="0" w:line="240" w:lineRule="auto"/>
              <w:jc w:val="center"/>
              <w:rPr>
                <w:rFonts w:ascii="Times New Roman" w:eastAsia="Times New Roman" w:hAnsi="Times New Roman" w:cs="Times New Roman"/>
                <w:b/>
                <w:bCs/>
                <w:color w:val="000000"/>
              </w:rPr>
            </w:pPr>
            <w:r w:rsidRPr="00F943A3">
              <w:rPr>
                <w:rFonts w:ascii="Times New Roman" w:eastAsia="Times New Roman" w:hAnsi="Times New Roman" w:cs="Times New Roman"/>
                <w:b/>
                <w:bCs/>
                <w:color w:val="000000"/>
              </w:rPr>
              <w:t>Kuwait</w:t>
            </w:r>
          </w:p>
        </w:tc>
        <w:tc>
          <w:tcPr>
            <w:tcW w:w="632" w:type="pct"/>
            <w:gridSpan w:val="2"/>
            <w:tcBorders>
              <w:top w:val="single" w:sz="4" w:space="0" w:color="auto"/>
              <w:left w:val="nil"/>
              <w:bottom w:val="single" w:sz="4" w:space="0" w:color="auto"/>
              <w:right w:val="nil"/>
            </w:tcBorders>
            <w:shd w:val="clear" w:color="auto" w:fill="auto"/>
            <w:noWrap/>
            <w:vAlign w:val="bottom"/>
            <w:hideMark/>
          </w:tcPr>
          <w:p w14:paraId="6CFB8D23" w14:textId="77777777" w:rsidR="004B3DBE" w:rsidRPr="00F943A3" w:rsidRDefault="004B3DBE" w:rsidP="004B3DBE">
            <w:pPr>
              <w:spacing w:after="0" w:line="240" w:lineRule="auto"/>
              <w:jc w:val="center"/>
              <w:rPr>
                <w:rFonts w:ascii="Times New Roman" w:eastAsia="Times New Roman" w:hAnsi="Times New Roman" w:cs="Times New Roman"/>
                <w:b/>
                <w:bCs/>
                <w:color w:val="000000"/>
              </w:rPr>
            </w:pPr>
            <w:r w:rsidRPr="00F943A3">
              <w:rPr>
                <w:rFonts w:ascii="Times New Roman" w:eastAsia="Times New Roman" w:hAnsi="Times New Roman" w:cs="Times New Roman"/>
                <w:b/>
                <w:bCs/>
                <w:color w:val="000000"/>
              </w:rPr>
              <w:t>UAE</w:t>
            </w:r>
          </w:p>
        </w:tc>
      </w:tr>
      <w:tr w:rsidR="004B3DBE" w:rsidRPr="00F943A3" w14:paraId="3D7475A7" w14:textId="77777777" w:rsidTr="00306401">
        <w:trPr>
          <w:trHeight w:val="170"/>
        </w:trPr>
        <w:tc>
          <w:tcPr>
            <w:tcW w:w="1207" w:type="pct"/>
            <w:tcBorders>
              <w:top w:val="nil"/>
              <w:left w:val="nil"/>
              <w:bottom w:val="single" w:sz="4" w:space="0" w:color="auto"/>
              <w:right w:val="nil"/>
            </w:tcBorders>
            <w:shd w:val="clear" w:color="auto" w:fill="auto"/>
            <w:noWrap/>
            <w:vAlign w:val="bottom"/>
            <w:hideMark/>
          </w:tcPr>
          <w:p w14:paraId="1D805382"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 </w:t>
            </w:r>
          </w:p>
        </w:tc>
        <w:tc>
          <w:tcPr>
            <w:tcW w:w="317" w:type="pct"/>
            <w:tcBorders>
              <w:top w:val="nil"/>
              <w:left w:val="nil"/>
              <w:bottom w:val="single" w:sz="4" w:space="0" w:color="auto"/>
              <w:right w:val="nil"/>
            </w:tcBorders>
            <w:shd w:val="clear" w:color="auto" w:fill="auto"/>
            <w:noWrap/>
            <w:vAlign w:val="bottom"/>
            <w:hideMark/>
          </w:tcPr>
          <w:p w14:paraId="5F106583"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Islamic</w:t>
            </w:r>
          </w:p>
        </w:tc>
        <w:tc>
          <w:tcPr>
            <w:tcW w:w="315" w:type="pct"/>
            <w:tcBorders>
              <w:top w:val="nil"/>
              <w:left w:val="nil"/>
              <w:bottom w:val="single" w:sz="4" w:space="0" w:color="auto"/>
              <w:right w:val="nil"/>
            </w:tcBorders>
            <w:shd w:val="clear" w:color="auto" w:fill="auto"/>
            <w:noWrap/>
            <w:vAlign w:val="bottom"/>
            <w:hideMark/>
          </w:tcPr>
          <w:p w14:paraId="131330C7"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Conv.</w:t>
            </w:r>
          </w:p>
        </w:tc>
        <w:tc>
          <w:tcPr>
            <w:tcW w:w="317" w:type="pct"/>
            <w:tcBorders>
              <w:top w:val="nil"/>
              <w:left w:val="nil"/>
              <w:bottom w:val="single" w:sz="4" w:space="0" w:color="auto"/>
              <w:right w:val="nil"/>
            </w:tcBorders>
            <w:shd w:val="clear" w:color="auto" w:fill="auto"/>
            <w:noWrap/>
            <w:vAlign w:val="bottom"/>
            <w:hideMark/>
          </w:tcPr>
          <w:p w14:paraId="62430221"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Islamic</w:t>
            </w:r>
          </w:p>
        </w:tc>
        <w:tc>
          <w:tcPr>
            <w:tcW w:w="315" w:type="pct"/>
            <w:tcBorders>
              <w:top w:val="nil"/>
              <w:left w:val="nil"/>
              <w:bottom w:val="single" w:sz="4" w:space="0" w:color="auto"/>
              <w:right w:val="nil"/>
            </w:tcBorders>
            <w:shd w:val="clear" w:color="auto" w:fill="auto"/>
            <w:noWrap/>
            <w:vAlign w:val="bottom"/>
            <w:hideMark/>
          </w:tcPr>
          <w:p w14:paraId="3FB5A2E6"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Conv.</w:t>
            </w:r>
          </w:p>
        </w:tc>
        <w:tc>
          <w:tcPr>
            <w:tcW w:w="317" w:type="pct"/>
            <w:tcBorders>
              <w:top w:val="nil"/>
              <w:left w:val="nil"/>
              <w:bottom w:val="single" w:sz="4" w:space="0" w:color="auto"/>
              <w:right w:val="nil"/>
            </w:tcBorders>
            <w:shd w:val="clear" w:color="auto" w:fill="auto"/>
            <w:noWrap/>
            <w:vAlign w:val="bottom"/>
            <w:hideMark/>
          </w:tcPr>
          <w:p w14:paraId="36373583"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Islamic</w:t>
            </w:r>
          </w:p>
        </w:tc>
        <w:tc>
          <w:tcPr>
            <w:tcW w:w="315" w:type="pct"/>
            <w:tcBorders>
              <w:top w:val="nil"/>
              <w:left w:val="nil"/>
              <w:bottom w:val="single" w:sz="4" w:space="0" w:color="auto"/>
              <w:right w:val="nil"/>
            </w:tcBorders>
            <w:shd w:val="clear" w:color="auto" w:fill="auto"/>
            <w:noWrap/>
            <w:vAlign w:val="bottom"/>
            <w:hideMark/>
          </w:tcPr>
          <w:p w14:paraId="7F0CA1E7"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Conv.</w:t>
            </w:r>
          </w:p>
        </w:tc>
        <w:tc>
          <w:tcPr>
            <w:tcW w:w="317" w:type="pct"/>
            <w:tcBorders>
              <w:top w:val="nil"/>
              <w:left w:val="nil"/>
              <w:bottom w:val="single" w:sz="4" w:space="0" w:color="auto"/>
              <w:right w:val="nil"/>
            </w:tcBorders>
            <w:shd w:val="clear" w:color="auto" w:fill="auto"/>
            <w:noWrap/>
            <w:vAlign w:val="bottom"/>
            <w:hideMark/>
          </w:tcPr>
          <w:p w14:paraId="22AC076B"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Islamic</w:t>
            </w:r>
          </w:p>
        </w:tc>
        <w:tc>
          <w:tcPr>
            <w:tcW w:w="315" w:type="pct"/>
            <w:tcBorders>
              <w:top w:val="nil"/>
              <w:left w:val="nil"/>
              <w:bottom w:val="single" w:sz="4" w:space="0" w:color="auto"/>
              <w:right w:val="nil"/>
            </w:tcBorders>
            <w:shd w:val="clear" w:color="auto" w:fill="auto"/>
            <w:noWrap/>
            <w:vAlign w:val="bottom"/>
            <w:hideMark/>
          </w:tcPr>
          <w:p w14:paraId="3CA547F2"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Conv.</w:t>
            </w:r>
          </w:p>
        </w:tc>
        <w:tc>
          <w:tcPr>
            <w:tcW w:w="317" w:type="pct"/>
            <w:tcBorders>
              <w:top w:val="nil"/>
              <w:left w:val="nil"/>
              <w:bottom w:val="single" w:sz="4" w:space="0" w:color="auto"/>
              <w:right w:val="nil"/>
            </w:tcBorders>
            <w:shd w:val="clear" w:color="auto" w:fill="auto"/>
            <w:noWrap/>
            <w:vAlign w:val="bottom"/>
            <w:hideMark/>
          </w:tcPr>
          <w:p w14:paraId="2BC5F1F9"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Islamic</w:t>
            </w:r>
          </w:p>
        </w:tc>
        <w:tc>
          <w:tcPr>
            <w:tcW w:w="315" w:type="pct"/>
            <w:tcBorders>
              <w:top w:val="nil"/>
              <w:left w:val="nil"/>
              <w:bottom w:val="single" w:sz="4" w:space="0" w:color="auto"/>
              <w:right w:val="nil"/>
            </w:tcBorders>
            <w:shd w:val="clear" w:color="auto" w:fill="auto"/>
            <w:noWrap/>
            <w:vAlign w:val="bottom"/>
            <w:hideMark/>
          </w:tcPr>
          <w:p w14:paraId="63E095E0"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Conv.</w:t>
            </w:r>
          </w:p>
        </w:tc>
        <w:tc>
          <w:tcPr>
            <w:tcW w:w="317" w:type="pct"/>
            <w:tcBorders>
              <w:top w:val="nil"/>
              <w:left w:val="nil"/>
              <w:bottom w:val="single" w:sz="4" w:space="0" w:color="auto"/>
              <w:right w:val="nil"/>
            </w:tcBorders>
            <w:shd w:val="clear" w:color="auto" w:fill="auto"/>
            <w:noWrap/>
            <w:vAlign w:val="bottom"/>
            <w:hideMark/>
          </w:tcPr>
          <w:p w14:paraId="39E2A9F6"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Islamic</w:t>
            </w:r>
          </w:p>
        </w:tc>
        <w:tc>
          <w:tcPr>
            <w:tcW w:w="315" w:type="pct"/>
            <w:tcBorders>
              <w:top w:val="nil"/>
              <w:left w:val="nil"/>
              <w:bottom w:val="single" w:sz="4" w:space="0" w:color="auto"/>
              <w:right w:val="nil"/>
            </w:tcBorders>
            <w:shd w:val="clear" w:color="auto" w:fill="auto"/>
            <w:noWrap/>
            <w:vAlign w:val="bottom"/>
            <w:hideMark/>
          </w:tcPr>
          <w:p w14:paraId="479F184F"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Conv.</w:t>
            </w:r>
          </w:p>
        </w:tc>
      </w:tr>
      <w:tr w:rsidR="004B3DBE" w:rsidRPr="00F943A3" w14:paraId="1A80E618" w14:textId="77777777" w:rsidTr="00306401">
        <w:trPr>
          <w:trHeight w:val="170"/>
        </w:trPr>
        <w:tc>
          <w:tcPr>
            <w:tcW w:w="5000" w:type="pct"/>
            <w:gridSpan w:val="13"/>
            <w:tcBorders>
              <w:top w:val="single" w:sz="4" w:space="0" w:color="auto"/>
              <w:left w:val="nil"/>
              <w:bottom w:val="nil"/>
              <w:right w:val="nil"/>
            </w:tcBorders>
            <w:shd w:val="clear" w:color="auto" w:fill="auto"/>
            <w:noWrap/>
            <w:vAlign w:val="bottom"/>
            <w:hideMark/>
          </w:tcPr>
          <w:p w14:paraId="37D2512C"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Size</w:t>
            </w:r>
          </w:p>
        </w:tc>
      </w:tr>
      <w:tr w:rsidR="004B3DBE" w:rsidRPr="00F943A3" w14:paraId="02B24781" w14:textId="77777777" w:rsidTr="00306401">
        <w:trPr>
          <w:trHeight w:val="170"/>
        </w:trPr>
        <w:tc>
          <w:tcPr>
            <w:tcW w:w="1207" w:type="pct"/>
            <w:tcBorders>
              <w:top w:val="nil"/>
              <w:left w:val="nil"/>
              <w:bottom w:val="nil"/>
              <w:right w:val="nil"/>
            </w:tcBorders>
            <w:shd w:val="clear" w:color="auto" w:fill="auto"/>
            <w:noWrap/>
            <w:vAlign w:val="bottom"/>
            <w:hideMark/>
          </w:tcPr>
          <w:p w14:paraId="5E07E9C7"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Large</w:t>
            </w:r>
          </w:p>
        </w:tc>
        <w:tc>
          <w:tcPr>
            <w:tcW w:w="317" w:type="pct"/>
            <w:tcBorders>
              <w:top w:val="nil"/>
              <w:left w:val="nil"/>
              <w:bottom w:val="nil"/>
              <w:right w:val="nil"/>
            </w:tcBorders>
            <w:shd w:val="clear" w:color="auto" w:fill="auto"/>
            <w:noWrap/>
            <w:vAlign w:val="bottom"/>
            <w:hideMark/>
          </w:tcPr>
          <w:p w14:paraId="70A066EF" w14:textId="452CED7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w:t>
            </w:r>
          </w:p>
        </w:tc>
        <w:tc>
          <w:tcPr>
            <w:tcW w:w="315" w:type="pct"/>
            <w:tcBorders>
              <w:top w:val="nil"/>
              <w:left w:val="nil"/>
              <w:bottom w:val="nil"/>
              <w:right w:val="nil"/>
            </w:tcBorders>
            <w:shd w:val="clear" w:color="auto" w:fill="auto"/>
            <w:noWrap/>
            <w:vAlign w:val="bottom"/>
            <w:hideMark/>
          </w:tcPr>
          <w:p w14:paraId="5499D163" w14:textId="34C9561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7" w:type="pct"/>
            <w:tcBorders>
              <w:top w:val="nil"/>
              <w:left w:val="nil"/>
              <w:bottom w:val="nil"/>
              <w:right w:val="nil"/>
            </w:tcBorders>
            <w:shd w:val="clear" w:color="auto" w:fill="auto"/>
            <w:noWrap/>
            <w:vAlign w:val="bottom"/>
            <w:hideMark/>
          </w:tcPr>
          <w:p w14:paraId="2C02B8D4" w14:textId="49F7FEB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38</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45%</w:t>
            </w:r>
          </w:p>
        </w:tc>
        <w:tc>
          <w:tcPr>
            <w:tcW w:w="315" w:type="pct"/>
            <w:tcBorders>
              <w:top w:val="nil"/>
              <w:left w:val="nil"/>
              <w:bottom w:val="nil"/>
              <w:right w:val="nil"/>
            </w:tcBorders>
            <w:shd w:val="clear" w:color="auto" w:fill="auto"/>
            <w:noWrap/>
            <w:vAlign w:val="bottom"/>
            <w:hideMark/>
          </w:tcPr>
          <w:p w14:paraId="7F796C23" w14:textId="017FAF5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7" w:type="pct"/>
            <w:tcBorders>
              <w:top w:val="nil"/>
              <w:left w:val="nil"/>
              <w:bottom w:val="nil"/>
              <w:right w:val="nil"/>
            </w:tcBorders>
            <w:shd w:val="clear" w:color="auto" w:fill="auto"/>
            <w:noWrap/>
            <w:vAlign w:val="bottom"/>
            <w:hideMark/>
          </w:tcPr>
          <w:p w14:paraId="703673B9" w14:textId="4B7FFE0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13%</w:t>
            </w:r>
          </w:p>
        </w:tc>
        <w:tc>
          <w:tcPr>
            <w:tcW w:w="315" w:type="pct"/>
            <w:tcBorders>
              <w:top w:val="nil"/>
              <w:left w:val="nil"/>
              <w:bottom w:val="nil"/>
              <w:right w:val="nil"/>
            </w:tcBorders>
            <w:shd w:val="clear" w:color="auto" w:fill="auto"/>
            <w:noWrap/>
            <w:vAlign w:val="bottom"/>
            <w:hideMark/>
          </w:tcPr>
          <w:p w14:paraId="74026788" w14:textId="642D60C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7" w:type="pct"/>
            <w:tcBorders>
              <w:top w:val="nil"/>
              <w:left w:val="nil"/>
              <w:bottom w:val="nil"/>
              <w:right w:val="nil"/>
            </w:tcBorders>
            <w:shd w:val="clear" w:color="auto" w:fill="auto"/>
            <w:noWrap/>
            <w:vAlign w:val="bottom"/>
            <w:hideMark/>
          </w:tcPr>
          <w:p w14:paraId="1B4AB8D4" w14:textId="3D85C5C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59%</w:t>
            </w:r>
          </w:p>
        </w:tc>
        <w:tc>
          <w:tcPr>
            <w:tcW w:w="315" w:type="pct"/>
            <w:tcBorders>
              <w:top w:val="nil"/>
              <w:left w:val="nil"/>
              <w:bottom w:val="nil"/>
              <w:right w:val="nil"/>
            </w:tcBorders>
            <w:shd w:val="clear" w:color="auto" w:fill="auto"/>
            <w:noWrap/>
            <w:vAlign w:val="bottom"/>
            <w:hideMark/>
          </w:tcPr>
          <w:p w14:paraId="1CA17090" w14:textId="5E64670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55%</w:t>
            </w:r>
          </w:p>
        </w:tc>
        <w:tc>
          <w:tcPr>
            <w:tcW w:w="317" w:type="pct"/>
            <w:tcBorders>
              <w:top w:val="nil"/>
              <w:left w:val="nil"/>
              <w:bottom w:val="nil"/>
              <w:right w:val="nil"/>
            </w:tcBorders>
            <w:shd w:val="clear" w:color="auto" w:fill="auto"/>
            <w:noWrap/>
            <w:vAlign w:val="bottom"/>
            <w:hideMark/>
          </w:tcPr>
          <w:p w14:paraId="78680C17" w14:textId="3A56823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13%</w:t>
            </w:r>
          </w:p>
        </w:tc>
        <w:tc>
          <w:tcPr>
            <w:tcW w:w="315" w:type="pct"/>
            <w:tcBorders>
              <w:top w:val="nil"/>
              <w:left w:val="nil"/>
              <w:bottom w:val="nil"/>
              <w:right w:val="nil"/>
            </w:tcBorders>
            <w:shd w:val="clear" w:color="auto" w:fill="auto"/>
            <w:noWrap/>
            <w:vAlign w:val="bottom"/>
            <w:hideMark/>
          </w:tcPr>
          <w:p w14:paraId="4AA4CF02" w14:textId="2E5361A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68%</w:t>
            </w:r>
          </w:p>
        </w:tc>
        <w:tc>
          <w:tcPr>
            <w:tcW w:w="317" w:type="pct"/>
            <w:tcBorders>
              <w:top w:val="nil"/>
              <w:left w:val="nil"/>
              <w:bottom w:val="nil"/>
              <w:right w:val="nil"/>
            </w:tcBorders>
            <w:shd w:val="clear" w:color="auto" w:fill="auto"/>
            <w:noWrap/>
            <w:vAlign w:val="bottom"/>
            <w:hideMark/>
          </w:tcPr>
          <w:p w14:paraId="2FA654EC" w14:textId="7FB9590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12%</w:t>
            </w:r>
          </w:p>
        </w:tc>
        <w:tc>
          <w:tcPr>
            <w:tcW w:w="315" w:type="pct"/>
            <w:tcBorders>
              <w:top w:val="nil"/>
              <w:left w:val="nil"/>
              <w:bottom w:val="nil"/>
              <w:right w:val="nil"/>
            </w:tcBorders>
            <w:shd w:val="clear" w:color="auto" w:fill="auto"/>
            <w:noWrap/>
            <w:vAlign w:val="bottom"/>
            <w:hideMark/>
          </w:tcPr>
          <w:p w14:paraId="1B14A95E" w14:textId="26E6EFF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50%</w:t>
            </w:r>
          </w:p>
        </w:tc>
      </w:tr>
      <w:tr w:rsidR="004B3DBE" w:rsidRPr="00F943A3" w14:paraId="5966C118" w14:textId="77777777" w:rsidTr="00306401">
        <w:trPr>
          <w:trHeight w:val="170"/>
        </w:trPr>
        <w:tc>
          <w:tcPr>
            <w:tcW w:w="1207" w:type="pct"/>
            <w:tcBorders>
              <w:top w:val="nil"/>
              <w:left w:val="nil"/>
              <w:bottom w:val="nil"/>
              <w:right w:val="nil"/>
            </w:tcBorders>
            <w:shd w:val="clear" w:color="auto" w:fill="auto"/>
            <w:noWrap/>
            <w:vAlign w:val="bottom"/>
            <w:hideMark/>
          </w:tcPr>
          <w:p w14:paraId="0C6DD6DD"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Mid</w:t>
            </w:r>
          </w:p>
        </w:tc>
        <w:tc>
          <w:tcPr>
            <w:tcW w:w="317" w:type="pct"/>
            <w:tcBorders>
              <w:top w:val="nil"/>
              <w:left w:val="nil"/>
              <w:bottom w:val="nil"/>
              <w:right w:val="nil"/>
            </w:tcBorders>
            <w:shd w:val="clear" w:color="auto" w:fill="auto"/>
            <w:noWrap/>
            <w:vAlign w:val="bottom"/>
            <w:hideMark/>
          </w:tcPr>
          <w:p w14:paraId="6CD89C33" w14:textId="658F790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20%</w:t>
            </w:r>
          </w:p>
        </w:tc>
        <w:tc>
          <w:tcPr>
            <w:tcW w:w="315" w:type="pct"/>
            <w:tcBorders>
              <w:top w:val="nil"/>
              <w:left w:val="nil"/>
              <w:bottom w:val="nil"/>
              <w:right w:val="nil"/>
            </w:tcBorders>
            <w:shd w:val="clear" w:color="auto" w:fill="auto"/>
            <w:noWrap/>
            <w:vAlign w:val="bottom"/>
            <w:hideMark/>
          </w:tcPr>
          <w:p w14:paraId="4CED3F09" w14:textId="6F417C0A"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55%</w:t>
            </w:r>
          </w:p>
        </w:tc>
        <w:tc>
          <w:tcPr>
            <w:tcW w:w="317" w:type="pct"/>
            <w:tcBorders>
              <w:top w:val="nil"/>
              <w:left w:val="nil"/>
              <w:bottom w:val="nil"/>
              <w:right w:val="nil"/>
            </w:tcBorders>
            <w:shd w:val="clear" w:color="auto" w:fill="auto"/>
            <w:noWrap/>
            <w:vAlign w:val="bottom"/>
            <w:hideMark/>
          </w:tcPr>
          <w:p w14:paraId="44982A30" w14:textId="4BE5923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66%</w:t>
            </w:r>
          </w:p>
        </w:tc>
        <w:tc>
          <w:tcPr>
            <w:tcW w:w="315" w:type="pct"/>
            <w:tcBorders>
              <w:top w:val="nil"/>
              <w:left w:val="nil"/>
              <w:bottom w:val="nil"/>
              <w:right w:val="nil"/>
            </w:tcBorders>
            <w:shd w:val="clear" w:color="auto" w:fill="auto"/>
            <w:noWrap/>
            <w:vAlign w:val="bottom"/>
            <w:hideMark/>
          </w:tcPr>
          <w:p w14:paraId="1C975F30" w14:textId="118C120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23%</w:t>
            </w:r>
          </w:p>
        </w:tc>
        <w:tc>
          <w:tcPr>
            <w:tcW w:w="317" w:type="pct"/>
            <w:tcBorders>
              <w:top w:val="nil"/>
              <w:left w:val="nil"/>
              <w:bottom w:val="nil"/>
              <w:right w:val="nil"/>
            </w:tcBorders>
            <w:shd w:val="clear" w:color="auto" w:fill="auto"/>
            <w:noWrap/>
            <w:vAlign w:val="bottom"/>
            <w:hideMark/>
          </w:tcPr>
          <w:p w14:paraId="762B6F8E" w14:textId="1C2EA12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7B63807C" w14:textId="0D237494"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45%</w:t>
            </w:r>
          </w:p>
        </w:tc>
        <w:tc>
          <w:tcPr>
            <w:tcW w:w="317" w:type="pct"/>
            <w:tcBorders>
              <w:top w:val="nil"/>
              <w:left w:val="nil"/>
              <w:bottom w:val="nil"/>
              <w:right w:val="nil"/>
            </w:tcBorders>
            <w:shd w:val="clear" w:color="auto" w:fill="auto"/>
            <w:noWrap/>
            <w:vAlign w:val="bottom"/>
            <w:hideMark/>
          </w:tcPr>
          <w:p w14:paraId="33451673" w14:textId="2D31D23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56%</w:t>
            </w:r>
          </w:p>
        </w:tc>
        <w:tc>
          <w:tcPr>
            <w:tcW w:w="315" w:type="pct"/>
            <w:tcBorders>
              <w:top w:val="nil"/>
              <w:left w:val="nil"/>
              <w:bottom w:val="nil"/>
              <w:right w:val="nil"/>
            </w:tcBorders>
            <w:shd w:val="clear" w:color="auto" w:fill="auto"/>
            <w:noWrap/>
            <w:vAlign w:val="bottom"/>
            <w:hideMark/>
          </w:tcPr>
          <w:p w14:paraId="7C7B07ED" w14:textId="28EB8DE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55%</w:t>
            </w:r>
          </w:p>
        </w:tc>
        <w:tc>
          <w:tcPr>
            <w:tcW w:w="317" w:type="pct"/>
            <w:tcBorders>
              <w:top w:val="nil"/>
              <w:left w:val="nil"/>
              <w:bottom w:val="nil"/>
              <w:right w:val="nil"/>
            </w:tcBorders>
            <w:shd w:val="clear" w:color="auto" w:fill="auto"/>
            <w:noWrap/>
            <w:vAlign w:val="bottom"/>
            <w:hideMark/>
          </w:tcPr>
          <w:p w14:paraId="16EBFA3F" w14:textId="435905E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75EC1322" w14:textId="7963B5B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55%</w:t>
            </w:r>
          </w:p>
        </w:tc>
        <w:tc>
          <w:tcPr>
            <w:tcW w:w="317" w:type="pct"/>
            <w:tcBorders>
              <w:top w:val="nil"/>
              <w:left w:val="nil"/>
              <w:bottom w:val="nil"/>
              <w:right w:val="nil"/>
            </w:tcBorders>
            <w:shd w:val="clear" w:color="auto" w:fill="auto"/>
            <w:noWrap/>
            <w:vAlign w:val="bottom"/>
            <w:hideMark/>
          </w:tcPr>
          <w:p w14:paraId="7CA6EDCB" w14:textId="4A9DD064"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2AFD7B0F" w14:textId="5CE84E3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60%</w:t>
            </w:r>
          </w:p>
        </w:tc>
      </w:tr>
      <w:tr w:rsidR="004B3DBE" w:rsidRPr="00F943A3" w14:paraId="40E854D0" w14:textId="77777777" w:rsidTr="00306401">
        <w:trPr>
          <w:trHeight w:val="170"/>
        </w:trPr>
        <w:tc>
          <w:tcPr>
            <w:tcW w:w="1207" w:type="pct"/>
            <w:tcBorders>
              <w:top w:val="nil"/>
              <w:left w:val="nil"/>
              <w:bottom w:val="nil"/>
              <w:right w:val="nil"/>
            </w:tcBorders>
            <w:shd w:val="clear" w:color="auto" w:fill="auto"/>
            <w:noWrap/>
            <w:vAlign w:val="bottom"/>
            <w:hideMark/>
          </w:tcPr>
          <w:p w14:paraId="560A9CF8"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Small</w:t>
            </w:r>
          </w:p>
        </w:tc>
        <w:tc>
          <w:tcPr>
            <w:tcW w:w="317" w:type="pct"/>
            <w:tcBorders>
              <w:top w:val="nil"/>
              <w:left w:val="nil"/>
              <w:bottom w:val="nil"/>
              <w:right w:val="nil"/>
            </w:tcBorders>
            <w:shd w:val="clear" w:color="auto" w:fill="auto"/>
            <w:noWrap/>
            <w:vAlign w:val="bottom"/>
            <w:hideMark/>
          </w:tcPr>
          <w:p w14:paraId="7034BB78" w14:textId="3AD8D05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70%</w:t>
            </w:r>
          </w:p>
        </w:tc>
        <w:tc>
          <w:tcPr>
            <w:tcW w:w="315" w:type="pct"/>
            <w:tcBorders>
              <w:top w:val="nil"/>
              <w:left w:val="nil"/>
              <w:bottom w:val="nil"/>
              <w:right w:val="nil"/>
            </w:tcBorders>
            <w:shd w:val="clear" w:color="auto" w:fill="auto"/>
            <w:noWrap/>
            <w:vAlign w:val="bottom"/>
            <w:hideMark/>
          </w:tcPr>
          <w:p w14:paraId="3208E195" w14:textId="3E3F8DE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61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30%</w:t>
            </w:r>
          </w:p>
        </w:tc>
        <w:tc>
          <w:tcPr>
            <w:tcW w:w="317" w:type="pct"/>
            <w:tcBorders>
              <w:top w:val="nil"/>
              <w:left w:val="nil"/>
              <w:bottom w:val="nil"/>
              <w:right w:val="nil"/>
            </w:tcBorders>
            <w:shd w:val="clear" w:color="auto" w:fill="auto"/>
            <w:noWrap/>
            <w:vAlign w:val="bottom"/>
            <w:hideMark/>
          </w:tcPr>
          <w:p w14:paraId="19C2D5B1" w14:textId="01B27AF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89%</w:t>
            </w:r>
          </w:p>
        </w:tc>
        <w:tc>
          <w:tcPr>
            <w:tcW w:w="315" w:type="pct"/>
            <w:tcBorders>
              <w:top w:val="nil"/>
              <w:left w:val="nil"/>
              <w:bottom w:val="nil"/>
              <w:right w:val="nil"/>
            </w:tcBorders>
            <w:shd w:val="clear" w:color="auto" w:fill="auto"/>
            <w:noWrap/>
            <w:vAlign w:val="bottom"/>
            <w:hideMark/>
          </w:tcPr>
          <w:p w14:paraId="628CA27E" w14:textId="66BF428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62%</w:t>
            </w:r>
          </w:p>
        </w:tc>
        <w:tc>
          <w:tcPr>
            <w:tcW w:w="317" w:type="pct"/>
            <w:tcBorders>
              <w:top w:val="nil"/>
              <w:left w:val="nil"/>
              <w:bottom w:val="nil"/>
              <w:right w:val="nil"/>
            </w:tcBorders>
            <w:shd w:val="clear" w:color="auto" w:fill="auto"/>
            <w:noWrap/>
            <w:vAlign w:val="bottom"/>
            <w:hideMark/>
          </w:tcPr>
          <w:p w14:paraId="4842A8A5" w14:textId="2F7D20F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63%</w:t>
            </w:r>
          </w:p>
        </w:tc>
        <w:tc>
          <w:tcPr>
            <w:tcW w:w="315" w:type="pct"/>
            <w:tcBorders>
              <w:top w:val="nil"/>
              <w:left w:val="nil"/>
              <w:bottom w:val="nil"/>
              <w:right w:val="nil"/>
            </w:tcBorders>
            <w:shd w:val="clear" w:color="auto" w:fill="auto"/>
            <w:noWrap/>
            <w:vAlign w:val="bottom"/>
            <w:hideMark/>
          </w:tcPr>
          <w:p w14:paraId="404C98DC" w14:textId="75DF14A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41%</w:t>
            </w:r>
          </w:p>
        </w:tc>
        <w:tc>
          <w:tcPr>
            <w:tcW w:w="317" w:type="pct"/>
            <w:tcBorders>
              <w:top w:val="nil"/>
              <w:left w:val="nil"/>
              <w:bottom w:val="nil"/>
              <w:right w:val="nil"/>
            </w:tcBorders>
            <w:shd w:val="clear" w:color="auto" w:fill="auto"/>
            <w:noWrap/>
            <w:vAlign w:val="bottom"/>
            <w:hideMark/>
          </w:tcPr>
          <w:p w14:paraId="5590FE5F" w14:textId="2C36510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85%</w:t>
            </w:r>
          </w:p>
        </w:tc>
        <w:tc>
          <w:tcPr>
            <w:tcW w:w="315" w:type="pct"/>
            <w:tcBorders>
              <w:top w:val="nil"/>
              <w:left w:val="nil"/>
              <w:bottom w:val="nil"/>
              <w:right w:val="nil"/>
            </w:tcBorders>
            <w:shd w:val="clear" w:color="auto" w:fill="auto"/>
            <w:noWrap/>
            <w:vAlign w:val="bottom"/>
            <w:hideMark/>
          </w:tcPr>
          <w:p w14:paraId="367B632C" w14:textId="19A273B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48</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90%</w:t>
            </w:r>
          </w:p>
        </w:tc>
        <w:tc>
          <w:tcPr>
            <w:tcW w:w="317" w:type="pct"/>
            <w:tcBorders>
              <w:top w:val="nil"/>
              <w:left w:val="nil"/>
              <w:bottom w:val="nil"/>
              <w:right w:val="nil"/>
            </w:tcBorders>
            <w:shd w:val="clear" w:color="auto" w:fill="auto"/>
            <w:noWrap/>
            <w:vAlign w:val="bottom"/>
            <w:hideMark/>
          </w:tcPr>
          <w:p w14:paraId="36984E99" w14:textId="32ECFE5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28</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63%</w:t>
            </w:r>
          </w:p>
        </w:tc>
        <w:tc>
          <w:tcPr>
            <w:tcW w:w="315" w:type="pct"/>
            <w:tcBorders>
              <w:top w:val="nil"/>
              <w:left w:val="nil"/>
              <w:bottom w:val="nil"/>
              <w:right w:val="nil"/>
            </w:tcBorders>
            <w:shd w:val="clear" w:color="auto" w:fill="auto"/>
            <w:noWrap/>
            <w:vAlign w:val="bottom"/>
            <w:hideMark/>
          </w:tcPr>
          <w:p w14:paraId="0C0C2597" w14:textId="6EEE58F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38</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77%</w:t>
            </w:r>
          </w:p>
        </w:tc>
        <w:tc>
          <w:tcPr>
            <w:tcW w:w="317" w:type="pct"/>
            <w:tcBorders>
              <w:top w:val="nil"/>
              <w:left w:val="nil"/>
              <w:bottom w:val="nil"/>
              <w:right w:val="nil"/>
            </w:tcBorders>
            <w:shd w:val="clear" w:color="auto" w:fill="auto"/>
            <w:noWrap/>
            <w:vAlign w:val="bottom"/>
            <w:hideMark/>
          </w:tcPr>
          <w:p w14:paraId="490ADBCF" w14:textId="7D4DCB9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63%</w:t>
            </w:r>
          </w:p>
        </w:tc>
        <w:tc>
          <w:tcPr>
            <w:tcW w:w="315" w:type="pct"/>
            <w:tcBorders>
              <w:top w:val="nil"/>
              <w:left w:val="nil"/>
              <w:bottom w:val="nil"/>
              <w:right w:val="nil"/>
            </w:tcBorders>
            <w:shd w:val="clear" w:color="auto" w:fill="auto"/>
            <w:noWrap/>
            <w:vAlign w:val="bottom"/>
            <w:hideMark/>
          </w:tcPr>
          <w:p w14:paraId="409F78C1" w14:textId="7EEF6C7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90%</w:t>
            </w:r>
          </w:p>
        </w:tc>
      </w:tr>
      <w:tr w:rsidR="004B3DBE" w:rsidRPr="00F943A3" w14:paraId="3CA8C89C" w14:textId="77777777" w:rsidTr="00306401">
        <w:trPr>
          <w:trHeight w:val="170"/>
        </w:trPr>
        <w:tc>
          <w:tcPr>
            <w:tcW w:w="1207" w:type="pct"/>
            <w:tcBorders>
              <w:top w:val="nil"/>
              <w:left w:val="nil"/>
              <w:bottom w:val="nil"/>
              <w:right w:val="nil"/>
            </w:tcBorders>
            <w:shd w:val="clear" w:color="auto" w:fill="auto"/>
            <w:noWrap/>
            <w:vAlign w:val="bottom"/>
            <w:hideMark/>
          </w:tcPr>
          <w:p w14:paraId="2C0A7B17"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R2</w:t>
            </w:r>
          </w:p>
        </w:tc>
        <w:tc>
          <w:tcPr>
            <w:tcW w:w="317" w:type="pct"/>
            <w:tcBorders>
              <w:top w:val="nil"/>
              <w:left w:val="nil"/>
              <w:bottom w:val="nil"/>
              <w:right w:val="nil"/>
            </w:tcBorders>
            <w:shd w:val="clear" w:color="auto" w:fill="auto"/>
            <w:noWrap/>
            <w:vAlign w:val="bottom"/>
            <w:hideMark/>
          </w:tcPr>
          <w:p w14:paraId="2920FECB" w14:textId="67A3C8D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931</w:t>
            </w:r>
          </w:p>
        </w:tc>
        <w:tc>
          <w:tcPr>
            <w:tcW w:w="315" w:type="pct"/>
            <w:tcBorders>
              <w:top w:val="nil"/>
              <w:left w:val="nil"/>
              <w:bottom w:val="nil"/>
              <w:right w:val="nil"/>
            </w:tcBorders>
            <w:shd w:val="clear" w:color="auto" w:fill="auto"/>
            <w:noWrap/>
            <w:vAlign w:val="bottom"/>
            <w:hideMark/>
          </w:tcPr>
          <w:p w14:paraId="71DB78A0" w14:textId="5F8A285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851</w:t>
            </w:r>
          </w:p>
        </w:tc>
        <w:tc>
          <w:tcPr>
            <w:tcW w:w="317" w:type="pct"/>
            <w:tcBorders>
              <w:top w:val="nil"/>
              <w:left w:val="nil"/>
              <w:bottom w:val="nil"/>
              <w:right w:val="nil"/>
            </w:tcBorders>
            <w:shd w:val="clear" w:color="auto" w:fill="auto"/>
            <w:noWrap/>
            <w:vAlign w:val="bottom"/>
            <w:hideMark/>
          </w:tcPr>
          <w:p w14:paraId="0BAF8BE3" w14:textId="5284A7E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864</w:t>
            </w:r>
          </w:p>
        </w:tc>
        <w:tc>
          <w:tcPr>
            <w:tcW w:w="315" w:type="pct"/>
            <w:tcBorders>
              <w:top w:val="nil"/>
              <w:left w:val="nil"/>
              <w:bottom w:val="nil"/>
              <w:right w:val="nil"/>
            </w:tcBorders>
            <w:shd w:val="clear" w:color="auto" w:fill="auto"/>
            <w:noWrap/>
            <w:vAlign w:val="bottom"/>
            <w:hideMark/>
          </w:tcPr>
          <w:p w14:paraId="68963D62" w14:textId="4F3854B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903</w:t>
            </w:r>
          </w:p>
        </w:tc>
        <w:tc>
          <w:tcPr>
            <w:tcW w:w="317" w:type="pct"/>
            <w:tcBorders>
              <w:top w:val="nil"/>
              <w:left w:val="nil"/>
              <w:bottom w:val="nil"/>
              <w:right w:val="nil"/>
            </w:tcBorders>
            <w:shd w:val="clear" w:color="auto" w:fill="auto"/>
            <w:noWrap/>
            <w:vAlign w:val="bottom"/>
            <w:hideMark/>
          </w:tcPr>
          <w:p w14:paraId="66BDC219" w14:textId="0DB22F7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912</w:t>
            </w:r>
          </w:p>
        </w:tc>
        <w:tc>
          <w:tcPr>
            <w:tcW w:w="315" w:type="pct"/>
            <w:tcBorders>
              <w:top w:val="nil"/>
              <w:left w:val="nil"/>
              <w:bottom w:val="nil"/>
              <w:right w:val="nil"/>
            </w:tcBorders>
            <w:shd w:val="clear" w:color="auto" w:fill="auto"/>
            <w:noWrap/>
            <w:vAlign w:val="bottom"/>
            <w:hideMark/>
          </w:tcPr>
          <w:p w14:paraId="18CC2FB2" w14:textId="4F72F16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876</w:t>
            </w:r>
          </w:p>
        </w:tc>
        <w:tc>
          <w:tcPr>
            <w:tcW w:w="317" w:type="pct"/>
            <w:tcBorders>
              <w:top w:val="nil"/>
              <w:left w:val="nil"/>
              <w:bottom w:val="nil"/>
              <w:right w:val="nil"/>
            </w:tcBorders>
            <w:shd w:val="clear" w:color="auto" w:fill="auto"/>
            <w:noWrap/>
            <w:vAlign w:val="bottom"/>
            <w:hideMark/>
          </w:tcPr>
          <w:p w14:paraId="6C4E87BE" w14:textId="2FF87AD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860</w:t>
            </w:r>
          </w:p>
        </w:tc>
        <w:tc>
          <w:tcPr>
            <w:tcW w:w="315" w:type="pct"/>
            <w:tcBorders>
              <w:top w:val="nil"/>
              <w:left w:val="nil"/>
              <w:bottom w:val="nil"/>
              <w:right w:val="nil"/>
            </w:tcBorders>
            <w:shd w:val="clear" w:color="auto" w:fill="auto"/>
            <w:noWrap/>
            <w:vAlign w:val="bottom"/>
            <w:hideMark/>
          </w:tcPr>
          <w:p w14:paraId="1BBA7A30" w14:textId="44D70D7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893</w:t>
            </w:r>
          </w:p>
        </w:tc>
        <w:tc>
          <w:tcPr>
            <w:tcW w:w="317" w:type="pct"/>
            <w:tcBorders>
              <w:top w:val="nil"/>
              <w:left w:val="nil"/>
              <w:bottom w:val="nil"/>
              <w:right w:val="nil"/>
            </w:tcBorders>
            <w:shd w:val="clear" w:color="auto" w:fill="auto"/>
            <w:noWrap/>
            <w:vAlign w:val="bottom"/>
            <w:hideMark/>
          </w:tcPr>
          <w:p w14:paraId="5BEE4825" w14:textId="73349774"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917</w:t>
            </w:r>
          </w:p>
        </w:tc>
        <w:tc>
          <w:tcPr>
            <w:tcW w:w="315" w:type="pct"/>
            <w:tcBorders>
              <w:top w:val="nil"/>
              <w:left w:val="nil"/>
              <w:bottom w:val="nil"/>
              <w:right w:val="nil"/>
            </w:tcBorders>
            <w:shd w:val="clear" w:color="auto" w:fill="auto"/>
            <w:noWrap/>
            <w:vAlign w:val="bottom"/>
            <w:hideMark/>
          </w:tcPr>
          <w:p w14:paraId="5F52A2EF" w14:textId="64F17344"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925</w:t>
            </w:r>
          </w:p>
        </w:tc>
        <w:tc>
          <w:tcPr>
            <w:tcW w:w="317" w:type="pct"/>
            <w:tcBorders>
              <w:top w:val="nil"/>
              <w:left w:val="nil"/>
              <w:bottom w:val="nil"/>
              <w:right w:val="nil"/>
            </w:tcBorders>
            <w:shd w:val="clear" w:color="auto" w:fill="auto"/>
            <w:noWrap/>
            <w:vAlign w:val="bottom"/>
            <w:hideMark/>
          </w:tcPr>
          <w:p w14:paraId="00418F75" w14:textId="3410F2A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951</w:t>
            </w:r>
          </w:p>
        </w:tc>
        <w:tc>
          <w:tcPr>
            <w:tcW w:w="315" w:type="pct"/>
            <w:tcBorders>
              <w:top w:val="nil"/>
              <w:left w:val="nil"/>
              <w:bottom w:val="nil"/>
              <w:right w:val="nil"/>
            </w:tcBorders>
            <w:shd w:val="clear" w:color="auto" w:fill="auto"/>
            <w:noWrap/>
            <w:vAlign w:val="bottom"/>
            <w:hideMark/>
          </w:tcPr>
          <w:p w14:paraId="6E292CCE" w14:textId="6E92407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969</w:t>
            </w:r>
          </w:p>
        </w:tc>
      </w:tr>
      <w:tr w:rsidR="004B3DBE" w:rsidRPr="00F943A3" w14:paraId="156F0B66" w14:textId="77777777" w:rsidTr="00306401">
        <w:trPr>
          <w:trHeight w:val="170"/>
        </w:trPr>
        <w:tc>
          <w:tcPr>
            <w:tcW w:w="1207" w:type="pct"/>
            <w:tcBorders>
              <w:top w:val="nil"/>
              <w:left w:val="nil"/>
              <w:bottom w:val="nil"/>
              <w:right w:val="nil"/>
            </w:tcBorders>
            <w:shd w:val="clear" w:color="auto" w:fill="auto"/>
            <w:noWrap/>
            <w:vAlign w:val="bottom"/>
            <w:hideMark/>
          </w:tcPr>
          <w:p w14:paraId="3224CE95"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Tracking Error</w:t>
            </w:r>
          </w:p>
        </w:tc>
        <w:tc>
          <w:tcPr>
            <w:tcW w:w="317" w:type="pct"/>
            <w:tcBorders>
              <w:top w:val="nil"/>
              <w:left w:val="nil"/>
              <w:bottom w:val="nil"/>
              <w:right w:val="nil"/>
            </w:tcBorders>
            <w:shd w:val="clear" w:color="auto" w:fill="auto"/>
            <w:noWrap/>
            <w:vAlign w:val="bottom"/>
            <w:hideMark/>
          </w:tcPr>
          <w:p w14:paraId="4915EFAA" w14:textId="3A41712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55%</w:t>
            </w:r>
          </w:p>
        </w:tc>
        <w:tc>
          <w:tcPr>
            <w:tcW w:w="315" w:type="pct"/>
            <w:tcBorders>
              <w:top w:val="nil"/>
              <w:left w:val="nil"/>
              <w:bottom w:val="nil"/>
              <w:right w:val="nil"/>
            </w:tcBorders>
            <w:shd w:val="clear" w:color="auto" w:fill="auto"/>
            <w:noWrap/>
            <w:vAlign w:val="bottom"/>
            <w:hideMark/>
          </w:tcPr>
          <w:p w14:paraId="699815D0" w14:textId="1394071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68%</w:t>
            </w:r>
          </w:p>
        </w:tc>
        <w:tc>
          <w:tcPr>
            <w:tcW w:w="317" w:type="pct"/>
            <w:tcBorders>
              <w:top w:val="nil"/>
              <w:left w:val="nil"/>
              <w:bottom w:val="nil"/>
              <w:right w:val="nil"/>
            </w:tcBorders>
            <w:shd w:val="clear" w:color="auto" w:fill="auto"/>
            <w:noWrap/>
            <w:vAlign w:val="bottom"/>
            <w:hideMark/>
          </w:tcPr>
          <w:p w14:paraId="0A89AA3A" w14:textId="3B0E7D7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96%</w:t>
            </w:r>
          </w:p>
        </w:tc>
        <w:tc>
          <w:tcPr>
            <w:tcW w:w="315" w:type="pct"/>
            <w:tcBorders>
              <w:top w:val="nil"/>
              <w:left w:val="nil"/>
              <w:bottom w:val="nil"/>
              <w:right w:val="nil"/>
            </w:tcBorders>
            <w:shd w:val="clear" w:color="auto" w:fill="auto"/>
            <w:noWrap/>
            <w:vAlign w:val="bottom"/>
            <w:hideMark/>
          </w:tcPr>
          <w:p w14:paraId="5E54287E" w14:textId="4DF9626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67%</w:t>
            </w:r>
          </w:p>
        </w:tc>
        <w:tc>
          <w:tcPr>
            <w:tcW w:w="317" w:type="pct"/>
            <w:tcBorders>
              <w:top w:val="nil"/>
              <w:left w:val="nil"/>
              <w:bottom w:val="nil"/>
              <w:right w:val="nil"/>
            </w:tcBorders>
            <w:shd w:val="clear" w:color="auto" w:fill="auto"/>
            <w:noWrap/>
            <w:vAlign w:val="bottom"/>
            <w:hideMark/>
          </w:tcPr>
          <w:p w14:paraId="5DA2572B" w14:textId="780243C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93%</w:t>
            </w:r>
          </w:p>
        </w:tc>
        <w:tc>
          <w:tcPr>
            <w:tcW w:w="315" w:type="pct"/>
            <w:tcBorders>
              <w:top w:val="nil"/>
              <w:left w:val="nil"/>
              <w:bottom w:val="nil"/>
              <w:right w:val="nil"/>
            </w:tcBorders>
            <w:shd w:val="clear" w:color="auto" w:fill="auto"/>
            <w:noWrap/>
            <w:vAlign w:val="bottom"/>
            <w:hideMark/>
          </w:tcPr>
          <w:p w14:paraId="37F6EDF4" w14:textId="20FEBD6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72%</w:t>
            </w:r>
          </w:p>
        </w:tc>
        <w:tc>
          <w:tcPr>
            <w:tcW w:w="317" w:type="pct"/>
            <w:tcBorders>
              <w:top w:val="nil"/>
              <w:left w:val="nil"/>
              <w:bottom w:val="nil"/>
              <w:right w:val="nil"/>
            </w:tcBorders>
            <w:shd w:val="clear" w:color="auto" w:fill="auto"/>
            <w:noWrap/>
            <w:vAlign w:val="bottom"/>
            <w:hideMark/>
          </w:tcPr>
          <w:p w14:paraId="1713819C" w14:textId="1B8F1DE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97%</w:t>
            </w:r>
          </w:p>
        </w:tc>
        <w:tc>
          <w:tcPr>
            <w:tcW w:w="315" w:type="pct"/>
            <w:tcBorders>
              <w:top w:val="nil"/>
              <w:left w:val="nil"/>
              <w:bottom w:val="nil"/>
              <w:right w:val="nil"/>
            </w:tcBorders>
            <w:shd w:val="clear" w:color="auto" w:fill="auto"/>
            <w:noWrap/>
            <w:vAlign w:val="bottom"/>
            <w:hideMark/>
          </w:tcPr>
          <w:p w14:paraId="625FFA96" w14:textId="1A0F231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38%</w:t>
            </w:r>
          </w:p>
        </w:tc>
        <w:tc>
          <w:tcPr>
            <w:tcW w:w="317" w:type="pct"/>
            <w:tcBorders>
              <w:top w:val="nil"/>
              <w:left w:val="nil"/>
              <w:bottom w:val="nil"/>
              <w:right w:val="nil"/>
            </w:tcBorders>
            <w:shd w:val="clear" w:color="auto" w:fill="auto"/>
            <w:noWrap/>
            <w:vAlign w:val="bottom"/>
            <w:hideMark/>
          </w:tcPr>
          <w:p w14:paraId="171D402F" w14:textId="01702D5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65%</w:t>
            </w:r>
          </w:p>
        </w:tc>
        <w:tc>
          <w:tcPr>
            <w:tcW w:w="315" w:type="pct"/>
            <w:tcBorders>
              <w:top w:val="nil"/>
              <w:left w:val="nil"/>
              <w:bottom w:val="nil"/>
              <w:right w:val="nil"/>
            </w:tcBorders>
            <w:shd w:val="clear" w:color="auto" w:fill="auto"/>
            <w:noWrap/>
            <w:vAlign w:val="bottom"/>
            <w:hideMark/>
          </w:tcPr>
          <w:p w14:paraId="58340FEF" w14:textId="25E6FDE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89%</w:t>
            </w:r>
          </w:p>
        </w:tc>
        <w:tc>
          <w:tcPr>
            <w:tcW w:w="317" w:type="pct"/>
            <w:tcBorders>
              <w:top w:val="nil"/>
              <w:left w:val="nil"/>
              <w:bottom w:val="nil"/>
              <w:right w:val="nil"/>
            </w:tcBorders>
            <w:shd w:val="clear" w:color="auto" w:fill="auto"/>
            <w:noWrap/>
            <w:vAlign w:val="bottom"/>
            <w:hideMark/>
          </w:tcPr>
          <w:p w14:paraId="60541AE4" w14:textId="7274548A"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63%</w:t>
            </w:r>
          </w:p>
        </w:tc>
        <w:tc>
          <w:tcPr>
            <w:tcW w:w="315" w:type="pct"/>
            <w:tcBorders>
              <w:top w:val="nil"/>
              <w:left w:val="nil"/>
              <w:bottom w:val="nil"/>
              <w:right w:val="nil"/>
            </w:tcBorders>
            <w:shd w:val="clear" w:color="auto" w:fill="auto"/>
            <w:noWrap/>
            <w:vAlign w:val="bottom"/>
            <w:hideMark/>
          </w:tcPr>
          <w:p w14:paraId="15987938" w14:textId="5F05BBB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96%</w:t>
            </w:r>
          </w:p>
        </w:tc>
      </w:tr>
      <w:tr w:rsidR="004B3DBE" w:rsidRPr="00F943A3" w14:paraId="21F0CBD6" w14:textId="77777777" w:rsidTr="00306401">
        <w:trPr>
          <w:trHeight w:val="170"/>
        </w:trPr>
        <w:tc>
          <w:tcPr>
            <w:tcW w:w="5000" w:type="pct"/>
            <w:gridSpan w:val="13"/>
            <w:tcBorders>
              <w:top w:val="nil"/>
              <w:left w:val="nil"/>
              <w:bottom w:val="nil"/>
              <w:right w:val="nil"/>
            </w:tcBorders>
            <w:shd w:val="clear" w:color="auto" w:fill="auto"/>
            <w:noWrap/>
            <w:vAlign w:val="bottom"/>
            <w:hideMark/>
          </w:tcPr>
          <w:p w14:paraId="6015086B"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Factor Strategies</w:t>
            </w:r>
          </w:p>
        </w:tc>
      </w:tr>
      <w:tr w:rsidR="004B3DBE" w:rsidRPr="00F943A3" w14:paraId="3E3B5F01" w14:textId="77777777" w:rsidTr="00306401">
        <w:trPr>
          <w:trHeight w:val="170"/>
        </w:trPr>
        <w:tc>
          <w:tcPr>
            <w:tcW w:w="1207" w:type="pct"/>
            <w:tcBorders>
              <w:top w:val="nil"/>
              <w:left w:val="nil"/>
              <w:bottom w:val="nil"/>
              <w:right w:val="nil"/>
            </w:tcBorders>
            <w:shd w:val="clear" w:color="auto" w:fill="auto"/>
            <w:noWrap/>
            <w:vAlign w:val="bottom"/>
            <w:hideMark/>
          </w:tcPr>
          <w:p w14:paraId="2DC897DA"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Growth</w:t>
            </w:r>
          </w:p>
        </w:tc>
        <w:tc>
          <w:tcPr>
            <w:tcW w:w="317" w:type="pct"/>
            <w:tcBorders>
              <w:top w:val="nil"/>
              <w:left w:val="nil"/>
              <w:bottom w:val="nil"/>
              <w:right w:val="nil"/>
            </w:tcBorders>
            <w:shd w:val="clear" w:color="auto" w:fill="auto"/>
            <w:noWrap/>
            <w:vAlign w:val="bottom"/>
            <w:hideMark/>
          </w:tcPr>
          <w:p w14:paraId="03764823" w14:textId="37CB240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50%</w:t>
            </w:r>
          </w:p>
        </w:tc>
        <w:tc>
          <w:tcPr>
            <w:tcW w:w="315" w:type="pct"/>
            <w:tcBorders>
              <w:top w:val="nil"/>
              <w:left w:val="nil"/>
              <w:bottom w:val="nil"/>
              <w:right w:val="nil"/>
            </w:tcBorders>
            <w:shd w:val="clear" w:color="auto" w:fill="auto"/>
            <w:noWrap/>
            <w:vAlign w:val="bottom"/>
            <w:hideMark/>
          </w:tcPr>
          <w:p w14:paraId="6BBA1432" w14:textId="22E0D8F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30%</w:t>
            </w:r>
          </w:p>
        </w:tc>
        <w:tc>
          <w:tcPr>
            <w:tcW w:w="317" w:type="pct"/>
            <w:tcBorders>
              <w:top w:val="nil"/>
              <w:left w:val="nil"/>
              <w:bottom w:val="nil"/>
              <w:right w:val="nil"/>
            </w:tcBorders>
            <w:shd w:val="clear" w:color="auto" w:fill="auto"/>
            <w:noWrap/>
            <w:vAlign w:val="bottom"/>
            <w:hideMark/>
          </w:tcPr>
          <w:p w14:paraId="5CA5A5D1" w14:textId="6B6BE69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55%</w:t>
            </w:r>
          </w:p>
        </w:tc>
        <w:tc>
          <w:tcPr>
            <w:tcW w:w="315" w:type="pct"/>
            <w:tcBorders>
              <w:top w:val="nil"/>
              <w:left w:val="nil"/>
              <w:bottom w:val="nil"/>
              <w:right w:val="nil"/>
            </w:tcBorders>
            <w:shd w:val="clear" w:color="auto" w:fill="auto"/>
            <w:noWrap/>
            <w:vAlign w:val="bottom"/>
            <w:hideMark/>
          </w:tcPr>
          <w:p w14:paraId="59D7333E" w14:textId="598939E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7" w:type="pct"/>
            <w:tcBorders>
              <w:top w:val="nil"/>
              <w:left w:val="nil"/>
              <w:bottom w:val="nil"/>
              <w:right w:val="nil"/>
            </w:tcBorders>
            <w:shd w:val="clear" w:color="auto" w:fill="auto"/>
            <w:noWrap/>
            <w:vAlign w:val="bottom"/>
            <w:hideMark/>
          </w:tcPr>
          <w:p w14:paraId="2FD5B614" w14:textId="47E2A6B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51%</w:t>
            </w:r>
          </w:p>
        </w:tc>
        <w:tc>
          <w:tcPr>
            <w:tcW w:w="315" w:type="pct"/>
            <w:tcBorders>
              <w:top w:val="nil"/>
              <w:left w:val="nil"/>
              <w:bottom w:val="nil"/>
              <w:right w:val="nil"/>
            </w:tcBorders>
            <w:shd w:val="clear" w:color="auto" w:fill="auto"/>
            <w:noWrap/>
            <w:vAlign w:val="bottom"/>
            <w:hideMark/>
          </w:tcPr>
          <w:p w14:paraId="34B6EDF7" w14:textId="18BF847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20%</w:t>
            </w:r>
          </w:p>
        </w:tc>
        <w:tc>
          <w:tcPr>
            <w:tcW w:w="317" w:type="pct"/>
            <w:tcBorders>
              <w:top w:val="nil"/>
              <w:left w:val="nil"/>
              <w:bottom w:val="nil"/>
              <w:right w:val="nil"/>
            </w:tcBorders>
            <w:shd w:val="clear" w:color="auto" w:fill="auto"/>
            <w:noWrap/>
            <w:vAlign w:val="bottom"/>
            <w:hideMark/>
          </w:tcPr>
          <w:p w14:paraId="68D3E842" w14:textId="30DC38F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62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2482096A" w14:textId="34DCA46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7" w:type="pct"/>
            <w:tcBorders>
              <w:top w:val="nil"/>
              <w:left w:val="nil"/>
              <w:bottom w:val="nil"/>
              <w:right w:val="nil"/>
            </w:tcBorders>
            <w:shd w:val="clear" w:color="auto" w:fill="auto"/>
            <w:noWrap/>
            <w:vAlign w:val="bottom"/>
            <w:hideMark/>
          </w:tcPr>
          <w:p w14:paraId="2BAFEE64" w14:textId="5051A0D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5" w:type="pct"/>
            <w:tcBorders>
              <w:top w:val="nil"/>
              <w:left w:val="nil"/>
              <w:bottom w:val="nil"/>
              <w:right w:val="nil"/>
            </w:tcBorders>
            <w:shd w:val="clear" w:color="auto" w:fill="auto"/>
            <w:noWrap/>
            <w:vAlign w:val="bottom"/>
            <w:hideMark/>
          </w:tcPr>
          <w:p w14:paraId="175945BA" w14:textId="758B16E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68%</w:t>
            </w:r>
          </w:p>
        </w:tc>
        <w:tc>
          <w:tcPr>
            <w:tcW w:w="317" w:type="pct"/>
            <w:tcBorders>
              <w:top w:val="nil"/>
              <w:left w:val="nil"/>
              <w:bottom w:val="nil"/>
              <w:right w:val="nil"/>
            </w:tcBorders>
            <w:shd w:val="clear" w:color="auto" w:fill="auto"/>
            <w:noWrap/>
            <w:vAlign w:val="bottom"/>
            <w:hideMark/>
          </w:tcPr>
          <w:p w14:paraId="56D4AA6A" w14:textId="4B9DC92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w:t>
            </w:r>
          </w:p>
        </w:tc>
        <w:tc>
          <w:tcPr>
            <w:tcW w:w="315" w:type="pct"/>
            <w:tcBorders>
              <w:top w:val="nil"/>
              <w:left w:val="nil"/>
              <w:bottom w:val="nil"/>
              <w:right w:val="nil"/>
            </w:tcBorders>
            <w:shd w:val="clear" w:color="auto" w:fill="auto"/>
            <w:noWrap/>
            <w:vAlign w:val="bottom"/>
            <w:hideMark/>
          </w:tcPr>
          <w:p w14:paraId="379A870A" w14:textId="66E2342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12%</w:t>
            </w:r>
          </w:p>
        </w:tc>
      </w:tr>
      <w:tr w:rsidR="004B3DBE" w:rsidRPr="00F943A3" w14:paraId="65434146" w14:textId="77777777" w:rsidTr="00306401">
        <w:trPr>
          <w:trHeight w:val="170"/>
        </w:trPr>
        <w:tc>
          <w:tcPr>
            <w:tcW w:w="1207" w:type="pct"/>
            <w:tcBorders>
              <w:top w:val="nil"/>
              <w:left w:val="nil"/>
              <w:bottom w:val="nil"/>
              <w:right w:val="nil"/>
            </w:tcBorders>
            <w:shd w:val="clear" w:color="auto" w:fill="auto"/>
            <w:noWrap/>
            <w:vAlign w:val="bottom"/>
            <w:hideMark/>
          </w:tcPr>
          <w:p w14:paraId="06B87113"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Value</w:t>
            </w:r>
          </w:p>
        </w:tc>
        <w:tc>
          <w:tcPr>
            <w:tcW w:w="317" w:type="pct"/>
            <w:tcBorders>
              <w:top w:val="nil"/>
              <w:left w:val="nil"/>
              <w:bottom w:val="nil"/>
              <w:right w:val="nil"/>
            </w:tcBorders>
            <w:shd w:val="clear" w:color="auto" w:fill="auto"/>
            <w:noWrap/>
            <w:vAlign w:val="bottom"/>
            <w:hideMark/>
          </w:tcPr>
          <w:p w14:paraId="6CD692DB" w14:textId="35351A6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w:t>
            </w:r>
          </w:p>
        </w:tc>
        <w:tc>
          <w:tcPr>
            <w:tcW w:w="315" w:type="pct"/>
            <w:tcBorders>
              <w:top w:val="nil"/>
              <w:left w:val="nil"/>
              <w:bottom w:val="nil"/>
              <w:right w:val="nil"/>
            </w:tcBorders>
            <w:shd w:val="clear" w:color="auto" w:fill="auto"/>
            <w:noWrap/>
            <w:vAlign w:val="bottom"/>
            <w:hideMark/>
          </w:tcPr>
          <w:p w14:paraId="7ECCDB28" w14:textId="7C636B6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50%</w:t>
            </w:r>
          </w:p>
        </w:tc>
        <w:tc>
          <w:tcPr>
            <w:tcW w:w="317" w:type="pct"/>
            <w:tcBorders>
              <w:top w:val="nil"/>
              <w:left w:val="nil"/>
              <w:bottom w:val="nil"/>
              <w:right w:val="nil"/>
            </w:tcBorders>
            <w:shd w:val="clear" w:color="auto" w:fill="auto"/>
            <w:noWrap/>
            <w:vAlign w:val="bottom"/>
            <w:hideMark/>
          </w:tcPr>
          <w:p w14:paraId="14009AA0" w14:textId="118E00A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20%</w:t>
            </w:r>
          </w:p>
        </w:tc>
        <w:tc>
          <w:tcPr>
            <w:tcW w:w="315" w:type="pct"/>
            <w:tcBorders>
              <w:top w:val="nil"/>
              <w:left w:val="nil"/>
              <w:bottom w:val="nil"/>
              <w:right w:val="nil"/>
            </w:tcBorders>
            <w:shd w:val="clear" w:color="auto" w:fill="auto"/>
            <w:noWrap/>
            <w:vAlign w:val="bottom"/>
            <w:hideMark/>
          </w:tcPr>
          <w:p w14:paraId="7638A0CC" w14:textId="608DDE7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20%</w:t>
            </w:r>
          </w:p>
        </w:tc>
        <w:tc>
          <w:tcPr>
            <w:tcW w:w="317" w:type="pct"/>
            <w:tcBorders>
              <w:top w:val="nil"/>
              <w:left w:val="nil"/>
              <w:bottom w:val="nil"/>
              <w:right w:val="nil"/>
            </w:tcBorders>
            <w:shd w:val="clear" w:color="auto" w:fill="auto"/>
            <w:noWrap/>
            <w:vAlign w:val="bottom"/>
            <w:hideMark/>
          </w:tcPr>
          <w:p w14:paraId="757DA68C" w14:textId="5005E55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w:t>
            </w:r>
          </w:p>
        </w:tc>
        <w:tc>
          <w:tcPr>
            <w:tcW w:w="315" w:type="pct"/>
            <w:tcBorders>
              <w:top w:val="nil"/>
              <w:left w:val="nil"/>
              <w:bottom w:val="nil"/>
              <w:right w:val="nil"/>
            </w:tcBorders>
            <w:shd w:val="clear" w:color="auto" w:fill="auto"/>
            <w:noWrap/>
            <w:vAlign w:val="bottom"/>
            <w:hideMark/>
          </w:tcPr>
          <w:p w14:paraId="706B2D30" w14:textId="30A76CA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57%</w:t>
            </w:r>
          </w:p>
        </w:tc>
        <w:tc>
          <w:tcPr>
            <w:tcW w:w="317" w:type="pct"/>
            <w:tcBorders>
              <w:top w:val="nil"/>
              <w:left w:val="nil"/>
              <w:bottom w:val="nil"/>
              <w:right w:val="nil"/>
            </w:tcBorders>
            <w:shd w:val="clear" w:color="auto" w:fill="auto"/>
            <w:noWrap/>
            <w:vAlign w:val="bottom"/>
            <w:hideMark/>
          </w:tcPr>
          <w:p w14:paraId="5AB16CAB" w14:textId="20B9131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50%</w:t>
            </w:r>
          </w:p>
        </w:tc>
        <w:tc>
          <w:tcPr>
            <w:tcW w:w="315" w:type="pct"/>
            <w:tcBorders>
              <w:top w:val="nil"/>
              <w:left w:val="nil"/>
              <w:bottom w:val="nil"/>
              <w:right w:val="nil"/>
            </w:tcBorders>
            <w:shd w:val="clear" w:color="auto" w:fill="auto"/>
            <w:noWrap/>
            <w:vAlign w:val="bottom"/>
            <w:hideMark/>
          </w:tcPr>
          <w:p w14:paraId="63A2BB0E" w14:textId="62A0B1A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45%</w:t>
            </w:r>
          </w:p>
        </w:tc>
        <w:tc>
          <w:tcPr>
            <w:tcW w:w="317" w:type="pct"/>
            <w:tcBorders>
              <w:top w:val="nil"/>
              <w:left w:val="nil"/>
              <w:bottom w:val="nil"/>
              <w:right w:val="nil"/>
            </w:tcBorders>
            <w:shd w:val="clear" w:color="auto" w:fill="auto"/>
            <w:noWrap/>
            <w:vAlign w:val="bottom"/>
            <w:hideMark/>
          </w:tcPr>
          <w:p w14:paraId="74EEE73E" w14:textId="3077C7E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61%</w:t>
            </w:r>
          </w:p>
        </w:tc>
        <w:tc>
          <w:tcPr>
            <w:tcW w:w="315" w:type="pct"/>
            <w:tcBorders>
              <w:top w:val="nil"/>
              <w:left w:val="nil"/>
              <w:bottom w:val="nil"/>
              <w:right w:val="nil"/>
            </w:tcBorders>
            <w:shd w:val="clear" w:color="auto" w:fill="auto"/>
            <w:noWrap/>
            <w:vAlign w:val="bottom"/>
            <w:hideMark/>
          </w:tcPr>
          <w:p w14:paraId="0C2A2997" w14:textId="20E8357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51%</w:t>
            </w:r>
          </w:p>
        </w:tc>
        <w:tc>
          <w:tcPr>
            <w:tcW w:w="317" w:type="pct"/>
            <w:tcBorders>
              <w:top w:val="nil"/>
              <w:left w:val="nil"/>
              <w:bottom w:val="nil"/>
              <w:right w:val="nil"/>
            </w:tcBorders>
            <w:shd w:val="clear" w:color="auto" w:fill="auto"/>
            <w:noWrap/>
            <w:vAlign w:val="bottom"/>
            <w:hideMark/>
          </w:tcPr>
          <w:p w14:paraId="488A4745" w14:textId="32653304"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55%</w:t>
            </w:r>
          </w:p>
        </w:tc>
        <w:tc>
          <w:tcPr>
            <w:tcW w:w="315" w:type="pct"/>
            <w:tcBorders>
              <w:top w:val="nil"/>
              <w:left w:val="nil"/>
              <w:bottom w:val="nil"/>
              <w:right w:val="nil"/>
            </w:tcBorders>
            <w:shd w:val="clear" w:color="auto" w:fill="auto"/>
            <w:noWrap/>
            <w:vAlign w:val="bottom"/>
            <w:hideMark/>
          </w:tcPr>
          <w:p w14:paraId="7BDCEB7E" w14:textId="42E9A3C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56%</w:t>
            </w:r>
          </w:p>
        </w:tc>
      </w:tr>
      <w:tr w:rsidR="004B3DBE" w:rsidRPr="00F943A3" w14:paraId="246F19AE" w14:textId="77777777" w:rsidTr="00306401">
        <w:trPr>
          <w:trHeight w:val="170"/>
        </w:trPr>
        <w:tc>
          <w:tcPr>
            <w:tcW w:w="1207" w:type="pct"/>
            <w:tcBorders>
              <w:top w:val="nil"/>
              <w:left w:val="nil"/>
              <w:bottom w:val="nil"/>
              <w:right w:val="nil"/>
            </w:tcBorders>
            <w:shd w:val="clear" w:color="auto" w:fill="auto"/>
            <w:noWrap/>
            <w:vAlign w:val="bottom"/>
            <w:hideMark/>
          </w:tcPr>
          <w:p w14:paraId="602C080C"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Momentum</w:t>
            </w:r>
          </w:p>
        </w:tc>
        <w:tc>
          <w:tcPr>
            <w:tcW w:w="317" w:type="pct"/>
            <w:tcBorders>
              <w:top w:val="nil"/>
              <w:left w:val="nil"/>
              <w:bottom w:val="nil"/>
              <w:right w:val="nil"/>
            </w:tcBorders>
            <w:shd w:val="clear" w:color="auto" w:fill="auto"/>
            <w:noWrap/>
            <w:vAlign w:val="bottom"/>
            <w:hideMark/>
          </w:tcPr>
          <w:p w14:paraId="143DAA99" w14:textId="5DE8D29A"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40%</w:t>
            </w:r>
          </w:p>
        </w:tc>
        <w:tc>
          <w:tcPr>
            <w:tcW w:w="315" w:type="pct"/>
            <w:tcBorders>
              <w:top w:val="nil"/>
              <w:left w:val="nil"/>
              <w:bottom w:val="nil"/>
              <w:right w:val="nil"/>
            </w:tcBorders>
            <w:shd w:val="clear" w:color="auto" w:fill="auto"/>
            <w:noWrap/>
            <w:vAlign w:val="bottom"/>
            <w:hideMark/>
          </w:tcPr>
          <w:p w14:paraId="1CC67B30" w14:textId="1CFD0080"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20%</w:t>
            </w:r>
          </w:p>
        </w:tc>
        <w:tc>
          <w:tcPr>
            <w:tcW w:w="317" w:type="pct"/>
            <w:tcBorders>
              <w:top w:val="nil"/>
              <w:left w:val="nil"/>
              <w:bottom w:val="nil"/>
              <w:right w:val="nil"/>
            </w:tcBorders>
            <w:shd w:val="clear" w:color="auto" w:fill="auto"/>
            <w:noWrap/>
            <w:vAlign w:val="bottom"/>
            <w:hideMark/>
          </w:tcPr>
          <w:p w14:paraId="05709E7B" w14:textId="3D72FE40"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16</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4C7C9772" w14:textId="6DA480D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65%</w:t>
            </w:r>
          </w:p>
        </w:tc>
        <w:tc>
          <w:tcPr>
            <w:tcW w:w="317" w:type="pct"/>
            <w:tcBorders>
              <w:top w:val="nil"/>
              <w:left w:val="nil"/>
              <w:bottom w:val="nil"/>
              <w:right w:val="nil"/>
            </w:tcBorders>
            <w:shd w:val="clear" w:color="auto" w:fill="auto"/>
            <w:noWrap/>
            <w:vAlign w:val="bottom"/>
            <w:hideMark/>
          </w:tcPr>
          <w:p w14:paraId="62CAC42F" w14:textId="30D3644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39%</w:t>
            </w:r>
          </w:p>
        </w:tc>
        <w:tc>
          <w:tcPr>
            <w:tcW w:w="315" w:type="pct"/>
            <w:tcBorders>
              <w:top w:val="nil"/>
              <w:left w:val="nil"/>
              <w:bottom w:val="nil"/>
              <w:right w:val="nil"/>
            </w:tcBorders>
            <w:shd w:val="clear" w:color="auto" w:fill="auto"/>
            <w:noWrap/>
            <w:vAlign w:val="bottom"/>
            <w:hideMark/>
          </w:tcPr>
          <w:p w14:paraId="17D51BC3" w14:textId="7E1B1A7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23%</w:t>
            </w:r>
          </w:p>
        </w:tc>
        <w:tc>
          <w:tcPr>
            <w:tcW w:w="317" w:type="pct"/>
            <w:tcBorders>
              <w:top w:val="nil"/>
              <w:left w:val="nil"/>
              <w:bottom w:val="nil"/>
              <w:right w:val="nil"/>
            </w:tcBorders>
            <w:shd w:val="clear" w:color="auto" w:fill="auto"/>
            <w:noWrap/>
            <w:vAlign w:val="bottom"/>
            <w:hideMark/>
          </w:tcPr>
          <w:p w14:paraId="6596D5C3" w14:textId="1F94ADB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66939672" w14:textId="37CCD44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40%</w:t>
            </w:r>
          </w:p>
        </w:tc>
        <w:tc>
          <w:tcPr>
            <w:tcW w:w="317" w:type="pct"/>
            <w:tcBorders>
              <w:top w:val="nil"/>
              <w:left w:val="nil"/>
              <w:bottom w:val="nil"/>
              <w:right w:val="nil"/>
            </w:tcBorders>
            <w:shd w:val="clear" w:color="auto" w:fill="auto"/>
            <w:noWrap/>
            <w:vAlign w:val="bottom"/>
            <w:hideMark/>
          </w:tcPr>
          <w:p w14:paraId="46FF6FE0" w14:textId="2113D23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24%</w:t>
            </w:r>
          </w:p>
        </w:tc>
        <w:tc>
          <w:tcPr>
            <w:tcW w:w="315" w:type="pct"/>
            <w:tcBorders>
              <w:top w:val="nil"/>
              <w:left w:val="nil"/>
              <w:bottom w:val="nil"/>
              <w:right w:val="nil"/>
            </w:tcBorders>
            <w:shd w:val="clear" w:color="auto" w:fill="auto"/>
            <w:noWrap/>
            <w:vAlign w:val="bottom"/>
            <w:hideMark/>
          </w:tcPr>
          <w:p w14:paraId="5073C3C2" w14:textId="77A6C6B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81%</w:t>
            </w:r>
          </w:p>
        </w:tc>
        <w:tc>
          <w:tcPr>
            <w:tcW w:w="317" w:type="pct"/>
            <w:tcBorders>
              <w:top w:val="nil"/>
              <w:left w:val="nil"/>
              <w:bottom w:val="nil"/>
              <w:right w:val="nil"/>
            </w:tcBorders>
            <w:shd w:val="clear" w:color="auto" w:fill="auto"/>
            <w:noWrap/>
            <w:vAlign w:val="bottom"/>
            <w:hideMark/>
          </w:tcPr>
          <w:p w14:paraId="0429CC16" w14:textId="730CEAD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40%</w:t>
            </w:r>
          </w:p>
        </w:tc>
        <w:tc>
          <w:tcPr>
            <w:tcW w:w="315" w:type="pct"/>
            <w:tcBorders>
              <w:top w:val="nil"/>
              <w:left w:val="nil"/>
              <w:bottom w:val="nil"/>
              <w:right w:val="nil"/>
            </w:tcBorders>
            <w:shd w:val="clear" w:color="auto" w:fill="auto"/>
            <w:noWrap/>
            <w:vAlign w:val="bottom"/>
            <w:hideMark/>
          </w:tcPr>
          <w:p w14:paraId="52871CF7" w14:textId="0B0242A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32%</w:t>
            </w:r>
          </w:p>
        </w:tc>
      </w:tr>
      <w:tr w:rsidR="004B3DBE" w:rsidRPr="00F943A3" w14:paraId="2C6E5BCD" w14:textId="77777777" w:rsidTr="00306401">
        <w:trPr>
          <w:trHeight w:val="170"/>
        </w:trPr>
        <w:tc>
          <w:tcPr>
            <w:tcW w:w="1207" w:type="pct"/>
            <w:tcBorders>
              <w:top w:val="nil"/>
              <w:left w:val="nil"/>
              <w:bottom w:val="nil"/>
              <w:right w:val="nil"/>
            </w:tcBorders>
            <w:shd w:val="clear" w:color="auto" w:fill="auto"/>
            <w:noWrap/>
            <w:vAlign w:val="bottom"/>
            <w:hideMark/>
          </w:tcPr>
          <w:p w14:paraId="5538FBE8"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R2</w:t>
            </w:r>
          </w:p>
        </w:tc>
        <w:tc>
          <w:tcPr>
            <w:tcW w:w="317" w:type="pct"/>
            <w:tcBorders>
              <w:top w:val="nil"/>
              <w:left w:val="nil"/>
              <w:bottom w:val="nil"/>
              <w:right w:val="nil"/>
            </w:tcBorders>
            <w:shd w:val="clear" w:color="auto" w:fill="auto"/>
            <w:noWrap/>
            <w:vAlign w:val="bottom"/>
            <w:hideMark/>
          </w:tcPr>
          <w:p w14:paraId="0624C901" w14:textId="2AE9569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923</w:t>
            </w:r>
          </w:p>
        </w:tc>
        <w:tc>
          <w:tcPr>
            <w:tcW w:w="315" w:type="pct"/>
            <w:tcBorders>
              <w:top w:val="nil"/>
              <w:left w:val="nil"/>
              <w:bottom w:val="nil"/>
              <w:right w:val="nil"/>
            </w:tcBorders>
            <w:shd w:val="clear" w:color="auto" w:fill="auto"/>
            <w:noWrap/>
            <w:vAlign w:val="bottom"/>
            <w:hideMark/>
          </w:tcPr>
          <w:p w14:paraId="4C3FD70C" w14:textId="7182115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892</w:t>
            </w:r>
          </w:p>
        </w:tc>
        <w:tc>
          <w:tcPr>
            <w:tcW w:w="317" w:type="pct"/>
            <w:tcBorders>
              <w:top w:val="nil"/>
              <w:left w:val="nil"/>
              <w:bottom w:val="nil"/>
              <w:right w:val="nil"/>
            </w:tcBorders>
            <w:shd w:val="clear" w:color="auto" w:fill="auto"/>
            <w:noWrap/>
            <w:vAlign w:val="bottom"/>
            <w:hideMark/>
          </w:tcPr>
          <w:p w14:paraId="4829BD3A" w14:textId="3819205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881</w:t>
            </w:r>
          </w:p>
        </w:tc>
        <w:tc>
          <w:tcPr>
            <w:tcW w:w="315" w:type="pct"/>
            <w:tcBorders>
              <w:top w:val="nil"/>
              <w:left w:val="nil"/>
              <w:bottom w:val="nil"/>
              <w:right w:val="nil"/>
            </w:tcBorders>
            <w:shd w:val="clear" w:color="auto" w:fill="auto"/>
            <w:noWrap/>
            <w:vAlign w:val="bottom"/>
            <w:hideMark/>
          </w:tcPr>
          <w:p w14:paraId="044D3A0F" w14:textId="3B567CE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943</w:t>
            </w:r>
          </w:p>
        </w:tc>
        <w:tc>
          <w:tcPr>
            <w:tcW w:w="317" w:type="pct"/>
            <w:tcBorders>
              <w:top w:val="nil"/>
              <w:left w:val="nil"/>
              <w:bottom w:val="nil"/>
              <w:right w:val="nil"/>
            </w:tcBorders>
            <w:shd w:val="clear" w:color="auto" w:fill="auto"/>
            <w:noWrap/>
            <w:vAlign w:val="bottom"/>
            <w:hideMark/>
          </w:tcPr>
          <w:p w14:paraId="21B8F8B7" w14:textId="5D37383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873</w:t>
            </w:r>
          </w:p>
        </w:tc>
        <w:tc>
          <w:tcPr>
            <w:tcW w:w="315" w:type="pct"/>
            <w:tcBorders>
              <w:top w:val="nil"/>
              <w:left w:val="nil"/>
              <w:bottom w:val="nil"/>
              <w:right w:val="nil"/>
            </w:tcBorders>
            <w:shd w:val="clear" w:color="auto" w:fill="auto"/>
            <w:noWrap/>
            <w:vAlign w:val="bottom"/>
            <w:hideMark/>
          </w:tcPr>
          <w:p w14:paraId="502A3ED9" w14:textId="387DD8F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921</w:t>
            </w:r>
          </w:p>
        </w:tc>
        <w:tc>
          <w:tcPr>
            <w:tcW w:w="317" w:type="pct"/>
            <w:tcBorders>
              <w:top w:val="nil"/>
              <w:left w:val="nil"/>
              <w:bottom w:val="nil"/>
              <w:right w:val="nil"/>
            </w:tcBorders>
            <w:shd w:val="clear" w:color="auto" w:fill="auto"/>
            <w:noWrap/>
            <w:vAlign w:val="bottom"/>
            <w:hideMark/>
          </w:tcPr>
          <w:p w14:paraId="7FB9F7C6" w14:textId="6B0D88E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867</w:t>
            </w:r>
          </w:p>
        </w:tc>
        <w:tc>
          <w:tcPr>
            <w:tcW w:w="315" w:type="pct"/>
            <w:tcBorders>
              <w:top w:val="nil"/>
              <w:left w:val="nil"/>
              <w:bottom w:val="nil"/>
              <w:right w:val="nil"/>
            </w:tcBorders>
            <w:shd w:val="clear" w:color="auto" w:fill="auto"/>
            <w:noWrap/>
            <w:vAlign w:val="bottom"/>
            <w:hideMark/>
          </w:tcPr>
          <w:p w14:paraId="1C636B2E" w14:textId="7FC55E3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948</w:t>
            </w:r>
          </w:p>
        </w:tc>
        <w:tc>
          <w:tcPr>
            <w:tcW w:w="317" w:type="pct"/>
            <w:tcBorders>
              <w:top w:val="nil"/>
              <w:left w:val="nil"/>
              <w:bottom w:val="nil"/>
              <w:right w:val="nil"/>
            </w:tcBorders>
            <w:shd w:val="clear" w:color="auto" w:fill="auto"/>
            <w:noWrap/>
            <w:vAlign w:val="bottom"/>
            <w:hideMark/>
          </w:tcPr>
          <w:p w14:paraId="2D138E1E" w14:textId="2C5A654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958</w:t>
            </w:r>
          </w:p>
        </w:tc>
        <w:tc>
          <w:tcPr>
            <w:tcW w:w="315" w:type="pct"/>
            <w:tcBorders>
              <w:top w:val="nil"/>
              <w:left w:val="nil"/>
              <w:bottom w:val="nil"/>
              <w:right w:val="nil"/>
            </w:tcBorders>
            <w:shd w:val="clear" w:color="auto" w:fill="auto"/>
            <w:noWrap/>
            <w:vAlign w:val="bottom"/>
            <w:hideMark/>
          </w:tcPr>
          <w:p w14:paraId="623FD689" w14:textId="546AAC3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870</w:t>
            </w:r>
          </w:p>
        </w:tc>
        <w:tc>
          <w:tcPr>
            <w:tcW w:w="317" w:type="pct"/>
            <w:tcBorders>
              <w:top w:val="nil"/>
              <w:left w:val="nil"/>
              <w:bottom w:val="nil"/>
              <w:right w:val="nil"/>
            </w:tcBorders>
            <w:shd w:val="clear" w:color="auto" w:fill="auto"/>
            <w:noWrap/>
            <w:vAlign w:val="bottom"/>
            <w:hideMark/>
          </w:tcPr>
          <w:p w14:paraId="4616241B" w14:textId="6B8D440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923</w:t>
            </w:r>
          </w:p>
        </w:tc>
        <w:tc>
          <w:tcPr>
            <w:tcW w:w="315" w:type="pct"/>
            <w:tcBorders>
              <w:top w:val="nil"/>
              <w:left w:val="nil"/>
              <w:bottom w:val="nil"/>
              <w:right w:val="nil"/>
            </w:tcBorders>
            <w:shd w:val="clear" w:color="auto" w:fill="auto"/>
            <w:noWrap/>
            <w:vAlign w:val="bottom"/>
            <w:hideMark/>
          </w:tcPr>
          <w:p w14:paraId="5A73ED95" w14:textId="11D36EC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918</w:t>
            </w:r>
          </w:p>
        </w:tc>
      </w:tr>
      <w:tr w:rsidR="004B3DBE" w:rsidRPr="00F943A3" w14:paraId="63F07F70" w14:textId="77777777" w:rsidTr="00306401">
        <w:trPr>
          <w:trHeight w:val="170"/>
        </w:trPr>
        <w:tc>
          <w:tcPr>
            <w:tcW w:w="1207" w:type="pct"/>
            <w:tcBorders>
              <w:top w:val="nil"/>
              <w:left w:val="nil"/>
              <w:bottom w:val="nil"/>
              <w:right w:val="nil"/>
            </w:tcBorders>
            <w:shd w:val="clear" w:color="auto" w:fill="auto"/>
            <w:noWrap/>
            <w:vAlign w:val="bottom"/>
            <w:hideMark/>
          </w:tcPr>
          <w:p w14:paraId="20C485D1"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Tracking Error</w:t>
            </w:r>
          </w:p>
        </w:tc>
        <w:tc>
          <w:tcPr>
            <w:tcW w:w="317" w:type="pct"/>
            <w:tcBorders>
              <w:top w:val="nil"/>
              <w:left w:val="nil"/>
              <w:bottom w:val="nil"/>
              <w:right w:val="nil"/>
            </w:tcBorders>
            <w:shd w:val="clear" w:color="auto" w:fill="auto"/>
            <w:noWrap/>
            <w:vAlign w:val="bottom"/>
            <w:hideMark/>
          </w:tcPr>
          <w:p w14:paraId="2E4E5B33" w14:textId="5D0B9E2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90%</w:t>
            </w:r>
          </w:p>
        </w:tc>
        <w:tc>
          <w:tcPr>
            <w:tcW w:w="315" w:type="pct"/>
            <w:tcBorders>
              <w:top w:val="nil"/>
              <w:left w:val="nil"/>
              <w:bottom w:val="nil"/>
              <w:right w:val="nil"/>
            </w:tcBorders>
            <w:shd w:val="clear" w:color="auto" w:fill="auto"/>
            <w:noWrap/>
            <w:vAlign w:val="bottom"/>
            <w:hideMark/>
          </w:tcPr>
          <w:p w14:paraId="0F0D76D1" w14:textId="404FD99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46%</w:t>
            </w:r>
          </w:p>
        </w:tc>
        <w:tc>
          <w:tcPr>
            <w:tcW w:w="317" w:type="pct"/>
            <w:tcBorders>
              <w:top w:val="nil"/>
              <w:left w:val="nil"/>
              <w:bottom w:val="nil"/>
              <w:right w:val="nil"/>
            </w:tcBorders>
            <w:shd w:val="clear" w:color="auto" w:fill="auto"/>
            <w:noWrap/>
            <w:vAlign w:val="bottom"/>
            <w:hideMark/>
          </w:tcPr>
          <w:p w14:paraId="1293E7C0" w14:textId="396B82F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87%</w:t>
            </w:r>
          </w:p>
        </w:tc>
        <w:tc>
          <w:tcPr>
            <w:tcW w:w="315" w:type="pct"/>
            <w:tcBorders>
              <w:top w:val="nil"/>
              <w:left w:val="nil"/>
              <w:bottom w:val="nil"/>
              <w:right w:val="nil"/>
            </w:tcBorders>
            <w:shd w:val="clear" w:color="auto" w:fill="auto"/>
            <w:noWrap/>
            <w:vAlign w:val="bottom"/>
            <w:hideMark/>
          </w:tcPr>
          <w:p w14:paraId="4F2E7097" w14:textId="30017CE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91%</w:t>
            </w:r>
          </w:p>
        </w:tc>
        <w:tc>
          <w:tcPr>
            <w:tcW w:w="317" w:type="pct"/>
            <w:tcBorders>
              <w:top w:val="nil"/>
              <w:left w:val="nil"/>
              <w:bottom w:val="nil"/>
              <w:right w:val="nil"/>
            </w:tcBorders>
            <w:shd w:val="clear" w:color="auto" w:fill="auto"/>
            <w:noWrap/>
            <w:vAlign w:val="bottom"/>
            <w:hideMark/>
          </w:tcPr>
          <w:p w14:paraId="43A22167" w14:textId="38CD3D6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40%</w:t>
            </w:r>
          </w:p>
        </w:tc>
        <w:tc>
          <w:tcPr>
            <w:tcW w:w="315" w:type="pct"/>
            <w:tcBorders>
              <w:top w:val="nil"/>
              <w:left w:val="nil"/>
              <w:bottom w:val="nil"/>
              <w:right w:val="nil"/>
            </w:tcBorders>
            <w:shd w:val="clear" w:color="auto" w:fill="auto"/>
            <w:noWrap/>
            <w:vAlign w:val="bottom"/>
            <w:hideMark/>
          </w:tcPr>
          <w:p w14:paraId="3DE8505F" w14:textId="6FCDA51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44%</w:t>
            </w:r>
          </w:p>
        </w:tc>
        <w:tc>
          <w:tcPr>
            <w:tcW w:w="317" w:type="pct"/>
            <w:tcBorders>
              <w:top w:val="nil"/>
              <w:left w:val="nil"/>
              <w:bottom w:val="nil"/>
              <w:right w:val="nil"/>
            </w:tcBorders>
            <w:shd w:val="clear" w:color="auto" w:fill="auto"/>
            <w:noWrap/>
            <w:vAlign w:val="bottom"/>
            <w:hideMark/>
          </w:tcPr>
          <w:p w14:paraId="14603231" w14:textId="198E1CD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77%</w:t>
            </w:r>
          </w:p>
        </w:tc>
        <w:tc>
          <w:tcPr>
            <w:tcW w:w="315" w:type="pct"/>
            <w:tcBorders>
              <w:top w:val="nil"/>
              <w:left w:val="nil"/>
              <w:bottom w:val="nil"/>
              <w:right w:val="nil"/>
            </w:tcBorders>
            <w:shd w:val="clear" w:color="auto" w:fill="auto"/>
            <w:noWrap/>
            <w:vAlign w:val="bottom"/>
            <w:hideMark/>
          </w:tcPr>
          <w:p w14:paraId="497247EF" w14:textId="7D07F7D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79%</w:t>
            </w:r>
          </w:p>
        </w:tc>
        <w:tc>
          <w:tcPr>
            <w:tcW w:w="317" w:type="pct"/>
            <w:tcBorders>
              <w:top w:val="nil"/>
              <w:left w:val="nil"/>
              <w:bottom w:val="nil"/>
              <w:right w:val="nil"/>
            </w:tcBorders>
            <w:shd w:val="clear" w:color="auto" w:fill="auto"/>
            <w:noWrap/>
            <w:vAlign w:val="bottom"/>
            <w:hideMark/>
          </w:tcPr>
          <w:p w14:paraId="403E7643" w14:textId="7C9620F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60%</w:t>
            </w:r>
          </w:p>
        </w:tc>
        <w:tc>
          <w:tcPr>
            <w:tcW w:w="315" w:type="pct"/>
            <w:tcBorders>
              <w:top w:val="nil"/>
              <w:left w:val="nil"/>
              <w:bottom w:val="nil"/>
              <w:right w:val="nil"/>
            </w:tcBorders>
            <w:shd w:val="clear" w:color="auto" w:fill="auto"/>
            <w:noWrap/>
            <w:vAlign w:val="bottom"/>
            <w:hideMark/>
          </w:tcPr>
          <w:p w14:paraId="374BCB65" w14:textId="15970C0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79%</w:t>
            </w:r>
          </w:p>
        </w:tc>
        <w:tc>
          <w:tcPr>
            <w:tcW w:w="317" w:type="pct"/>
            <w:tcBorders>
              <w:top w:val="nil"/>
              <w:left w:val="nil"/>
              <w:bottom w:val="nil"/>
              <w:right w:val="nil"/>
            </w:tcBorders>
            <w:shd w:val="clear" w:color="auto" w:fill="auto"/>
            <w:noWrap/>
            <w:vAlign w:val="bottom"/>
            <w:hideMark/>
          </w:tcPr>
          <w:p w14:paraId="71C6C079" w14:textId="49A398A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52%</w:t>
            </w:r>
          </w:p>
        </w:tc>
        <w:tc>
          <w:tcPr>
            <w:tcW w:w="315" w:type="pct"/>
            <w:tcBorders>
              <w:top w:val="nil"/>
              <w:left w:val="nil"/>
              <w:bottom w:val="nil"/>
              <w:right w:val="nil"/>
            </w:tcBorders>
            <w:shd w:val="clear" w:color="auto" w:fill="auto"/>
            <w:noWrap/>
            <w:vAlign w:val="bottom"/>
            <w:hideMark/>
          </w:tcPr>
          <w:p w14:paraId="70D2D98A" w14:textId="1C42318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59%</w:t>
            </w:r>
          </w:p>
        </w:tc>
      </w:tr>
      <w:tr w:rsidR="004B3DBE" w:rsidRPr="00F943A3" w14:paraId="238186F5" w14:textId="77777777" w:rsidTr="00306401">
        <w:trPr>
          <w:trHeight w:val="170"/>
        </w:trPr>
        <w:tc>
          <w:tcPr>
            <w:tcW w:w="5000" w:type="pct"/>
            <w:gridSpan w:val="13"/>
            <w:tcBorders>
              <w:top w:val="nil"/>
              <w:left w:val="nil"/>
              <w:bottom w:val="nil"/>
              <w:right w:val="nil"/>
            </w:tcBorders>
            <w:shd w:val="clear" w:color="auto" w:fill="auto"/>
            <w:noWrap/>
            <w:vAlign w:val="bottom"/>
            <w:hideMark/>
          </w:tcPr>
          <w:p w14:paraId="1C55D2B7" w14:textId="77777777" w:rsidR="004B3DBE" w:rsidRPr="00306401" w:rsidRDefault="004B3DBE" w:rsidP="004B3DBE">
            <w:pPr>
              <w:spacing w:after="0" w:line="240" w:lineRule="auto"/>
              <w:jc w:val="center"/>
              <w:rPr>
                <w:rFonts w:ascii="Times New Roman" w:eastAsia="Times New Roman" w:hAnsi="Times New Roman" w:cs="Times New Roman"/>
                <w:b/>
                <w:bCs/>
                <w:color w:val="000000"/>
                <w:sz w:val="20"/>
                <w:szCs w:val="20"/>
              </w:rPr>
            </w:pPr>
            <w:r w:rsidRPr="00306401">
              <w:rPr>
                <w:rFonts w:ascii="Times New Roman" w:eastAsia="Times New Roman" w:hAnsi="Times New Roman" w:cs="Times New Roman"/>
                <w:b/>
                <w:bCs/>
                <w:color w:val="000000"/>
                <w:sz w:val="20"/>
                <w:szCs w:val="20"/>
              </w:rPr>
              <w:t>Sector</w:t>
            </w:r>
          </w:p>
        </w:tc>
      </w:tr>
      <w:tr w:rsidR="004B3DBE" w:rsidRPr="00F943A3" w14:paraId="4A3E9ACF" w14:textId="77777777" w:rsidTr="00306401">
        <w:trPr>
          <w:trHeight w:val="170"/>
        </w:trPr>
        <w:tc>
          <w:tcPr>
            <w:tcW w:w="1207" w:type="pct"/>
            <w:tcBorders>
              <w:top w:val="nil"/>
              <w:left w:val="nil"/>
              <w:bottom w:val="nil"/>
              <w:right w:val="nil"/>
            </w:tcBorders>
            <w:shd w:val="clear" w:color="auto" w:fill="auto"/>
            <w:noWrap/>
            <w:vAlign w:val="bottom"/>
            <w:hideMark/>
          </w:tcPr>
          <w:p w14:paraId="3B231BA1"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Manufacturing</w:t>
            </w:r>
          </w:p>
        </w:tc>
        <w:tc>
          <w:tcPr>
            <w:tcW w:w="317" w:type="pct"/>
            <w:tcBorders>
              <w:top w:val="nil"/>
              <w:left w:val="nil"/>
              <w:bottom w:val="nil"/>
              <w:right w:val="nil"/>
            </w:tcBorders>
            <w:shd w:val="clear" w:color="auto" w:fill="auto"/>
            <w:noWrap/>
            <w:vAlign w:val="bottom"/>
            <w:hideMark/>
          </w:tcPr>
          <w:p w14:paraId="4CE7B2EC" w14:textId="2685A6A4"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13%</w:t>
            </w:r>
          </w:p>
        </w:tc>
        <w:tc>
          <w:tcPr>
            <w:tcW w:w="315" w:type="pct"/>
            <w:tcBorders>
              <w:top w:val="nil"/>
              <w:left w:val="nil"/>
              <w:bottom w:val="nil"/>
              <w:right w:val="nil"/>
            </w:tcBorders>
            <w:shd w:val="clear" w:color="auto" w:fill="auto"/>
            <w:noWrap/>
            <w:vAlign w:val="bottom"/>
            <w:hideMark/>
          </w:tcPr>
          <w:p w14:paraId="6FC7F3DA" w14:textId="45B7DF3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56%</w:t>
            </w:r>
          </w:p>
        </w:tc>
        <w:tc>
          <w:tcPr>
            <w:tcW w:w="317" w:type="pct"/>
            <w:tcBorders>
              <w:top w:val="nil"/>
              <w:left w:val="nil"/>
              <w:bottom w:val="nil"/>
              <w:right w:val="nil"/>
            </w:tcBorders>
            <w:shd w:val="clear" w:color="auto" w:fill="auto"/>
            <w:noWrap/>
            <w:vAlign w:val="bottom"/>
            <w:hideMark/>
          </w:tcPr>
          <w:p w14:paraId="64E2F684" w14:textId="6EC8586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72181DC3" w14:textId="4289E52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46</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12%</w:t>
            </w:r>
          </w:p>
        </w:tc>
        <w:tc>
          <w:tcPr>
            <w:tcW w:w="317" w:type="pct"/>
            <w:tcBorders>
              <w:top w:val="nil"/>
              <w:left w:val="nil"/>
              <w:bottom w:val="nil"/>
              <w:right w:val="nil"/>
            </w:tcBorders>
            <w:shd w:val="clear" w:color="auto" w:fill="auto"/>
            <w:noWrap/>
            <w:vAlign w:val="bottom"/>
            <w:hideMark/>
          </w:tcPr>
          <w:p w14:paraId="223AACB1" w14:textId="35A6EBE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5" w:type="pct"/>
            <w:tcBorders>
              <w:top w:val="nil"/>
              <w:left w:val="nil"/>
              <w:bottom w:val="nil"/>
              <w:right w:val="nil"/>
            </w:tcBorders>
            <w:shd w:val="clear" w:color="auto" w:fill="auto"/>
            <w:noWrap/>
            <w:vAlign w:val="bottom"/>
            <w:hideMark/>
          </w:tcPr>
          <w:p w14:paraId="3FFFB6AD" w14:textId="28F86AE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03%</w:t>
            </w:r>
          </w:p>
        </w:tc>
        <w:tc>
          <w:tcPr>
            <w:tcW w:w="317" w:type="pct"/>
            <w:tcBorders>
              <w:top w:val="nil"/>
              <w:left w:val="nil"/>
              <w:bottom w:val="nil"/>
              <w:right w:val="nil"/>
            </w:tcBorders>
            <w:shd w:val="clear" w:color="auto" w:fill="auto"/>
            <w:noWrap/>
            <w:vAlign w:val="bottom"/>
            <w:hideMark/>
          </w:tcPr>
          <w:p w14:paraId="500FE36A" w14:textId="465E24C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23%</w:t>
            </w:r>
          </w:p>
        </w:tc>
        <w:tc>
          <w:tcPr>
            <w:tcW w:w="315" w:type="pct"/>
            <w:tcBorders>
              <w:top w:val="nil"/>
              <w:left w:val="nil"/>
              <w:bottom w:val="nil"/>
              <w:right w:val="nil"/>
            </w:tcBorders>
            <w:shd w:val="clear" w:color="auto" w:fill="auto"/>
            <w:noWrap/>
            <w:vAlign w:val="bottom"/>
            <w:hideMark/>
          </w:tcPr>
          <w:p w14:paraId="0C9427D0" w14:textId="6E0E2DB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w:t>
            </w:r>
          </w:p>
        </w:tc>
        <w:tc>
          <w:tcPr>
            <w:tcW w:w="317" w:type="pct"/>
            <w:tcBorders>
              <w:top w:val="nil"/>
              <w:left w:val="nil"/>
              <w:bottom w:val="nil"/>
              <w:right w:val="nil"/>
            </w:tcBorders>
            <w:shd w:val="clear" w:color="auto" w:fill="auto"/>
            <w:noWrap/>
            <w:vAlign w:val="bottom"/>
            <w:hideMark/>
          </w:tcPr>
          <w:p w14:paraId="2AC802EC" w14:textId="522328A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51%</w:t>
            </w:r>
          </w:p>
        </w:tc>
        <w:tc>
          <w:tcPr>
            <w:tcW w:w="315" w:type="pct"/>
            <w:tcBorders>
              <w:top w:val="nil"/>
              <w:left w:val="nil"/>
              <w:bottom w:val="nil"/>
              <w:right w:val="nil"/>
            </w:tcBorders>
            <w:shd w:val="clear" w:color="auto" w:fill="auto"/>
            <w:noWrap/>
            <w:vAlign w:val="bottom"/>
            <w:hideMark/>
          </w:tcPr>
          <w:p w14:paraId="5624DF97" w14:textId="7B4F08F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32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w:t>
            </w:r>
          </w:p>
        </w:tc>
        <w:tc>
          <w:tcPr>
            <w:tcW w:w="317" w:type="pct"/>
            <w:tcBorders>
              <w:top w:val="nil"/>
              <w:left w:val="nil"/>
              <w:bottom w:val="nil"/>
              <w:right w:val="nil"/>
            </w:tcBorders>
            <w:shd w:val="clear" w:color="auto" w:fill="auto"/>
            <w:noWrap/>
            <w:vAlign w:val="bottom"/>
            <w:hideMark/>
          </w:tcPr>
          <w:p w14:paraId="5FA2851C" w14:textId="2C8C5C5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5" w:type="pct"/>
            <w:tcBorders>
              <w:top w:val="nil"/>
              <w:left w:val="nil"/>
              <w:bottom w:val="nil"/>
              <w:right w:val="nil"/>
            </w:tcBorders>
            <w:shd w:val="clear" w:color="auto" w:fill="auto"/>
            <w:noWrap/>
            <w:vAlign w:val="bottom"/>
            <w:hideMark/>
          </w:tcPr>
          <w:p w14:paraId="78D97A88" w14:textId="1EEF416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41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w:t>
            </w:r>
          </w:p>
        </w:tc>
      </w:tr>
      <w:tr w:rsidR="004B3DBE" w:rsidRPr="00F943A3" w14:paraId="7B55B7F3" w14:textId="77777777" w:rsidTr="00306401">
        <w:trPr>
          <w:trHeight w:val="170"/>
        </w:trPr>
        <w:tc>
          <w:tcPr>
            <w:tcW w:w="1207" w:type="pct"/>
            <w:tcBorders>
              <w:top w:val="nil"/>
              <w:left w:val="nil"/>
              <w:bottom w:val="nil"/>
              <w:right w:val="nil"/>
            </w:tcBorders>
            <w:shd w:val="clear" w:color="auto" w:fill="auto"/>
            <w:noWrap/>
            <w:vAlign w:val="bottom"/>
            <w:hideMark/>
          </w:tcPr>
          <w:p w14:paraId="5EC5C426"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Utilities</w:t>
            </w:r>
          </w:p>
        </w:tc>
        <w:tc>
          <w:tcPr>
            <w:tcW w:w="317" w:type="pct"/>
            <w:tcBorders>
              <w:top w:val="nil"/>
              <w:left w:val="nil"/>
              <w:bottom w:val="nil"/>
              <w:right w:val="nil"/>
            </w:tcBorders>
            <w:shd w:val="clear" w:color="auto" w:fill="auto"/>
            <w:noWrap/>
            <w:vAlign w:val="bottom"/>
            <w:hideMark/>
          </w:tcPr>
          <w:p w14:paraId="6402D48C" w14:textId="042F4EC0"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51%</w:t>
            </w:r>
          </w:p>
        </w:tc>
        <w:tc>
          <w:tcPr>
            <w:tcW w:w="315" w:type="pct"/>
            <w:tcBorders>
              <w:top w:val="nil"/>
              <w:left w:val="nil"/>
              <w:bottom w:val="nil"/>
              <w:right w:val="nil"/>
            </w:tcBorders>
            <w:shd w:val="clear" w:color="auto" w:fill="auto"/>
            <w:noWrap/>
            <w:vAlign w:val="bottom"/>
            <w:hideMark/>
          </w:tcPr>
          <w:p w14:paraId="5BA0EA88" w14:textId="0974CEA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7" w:type="pct"/>
            <w:tcBorders>
              <w:top w:val="nil"/>
              <w:left w:val="nil"/>
              <w:bottom w:val="nil"/>
              <w:right w:val="nil"/>
            </w:tcBorders>
            <w:shd w:val="clear" w:color="auto" w:fill="auto"/>
            <w:noWrap/>
            <w:vAlign w:val="bottom"/>
            <w:hideMark/>
          </w:tcPr>
          <w:p w14:paraId="47523DEB" w14:textId="4FE5D2E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391E4A65" w14:textId="032AC58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11%</w:t>
            </w:r>
          </w:p>
        </w:tc>
        <w:tc>
          <w:tcPr>
            <w:tcW w:w="317" w:type="pct"/>
            <w:tcBorders>
              <w:top w:val="nil"/>
              <w:left w:val="nil"/>
              <w:bottom w:val="nil"/>
              <w:right w:val="nil"/>
            </w:tcBorders>
            <w:shd w:val="clear" w:color="auto" w:fill="auto"/>
            <w:noWrap/>
            <w:vAlign w:val="bottom"/>
            <w:hideMark/>
          </w:tcPr>
          <w:p w14:paraId="5A18DF5A" w14:textId="11AE39F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10%</w:t>
            </w:r>
          </w:p>
        </w:tc>
        <w:tc>
          <w:tcPr>
            <w:tcW w:w="315" w:type="pct"/>
            <w:tcBorders>
              <w:top w:val="nil"/>
              <w:left w:val="nil"/>
              <w:bottom w:val="nil"/>
              <w:right w:val="nil"/>
            </w:tcBorders>
            <w:shd w:val="clear" w:color="auto" w:fill="auto"/>
            <w:noWrap/>
            <w:vAlign w:val="bottom"/>
            <w:hideMark/>
          </w:tcPr>
          <w:p w14:paraId="073D77A9" w14:textId="42735A7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7" w:type="pct"/>
            <w:tcBorders>
              <w:top w:val="nil"/>
              <w:left w:val="nil"/>
              <w:bottom w:val="nil"/>
              <w:right w:val="nil"/>
            </w:tcBorders>
            <w:shd w:val="clear" w:color="auto" w:fill="auto"/>
            <w:noWrap/>
            <w:vAlign w:val="bottom"/>
            <w:hideMark/>
          </w:tcPr>
          <w:p w14:paraId="5C243A73" w14:textId="5B94DB6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74E3467C" w14:textId="06336DC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18</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7" w:type="pct"/>
            <w:tcBorders>
              <w:top w:val="nil"/>
              <w:left w:val="nil"/>
              <w:bottom w:val="nil"/>
              <w:right w:val="nil"/>
            </w:tcBorders>
            <w:shd w:val="clear" w:color="auto" w:fill="auto"/>
            <w:noWrap/>
            <w:vAlign w:val="bottom"/>
            <w:hideMark/>
          </w:tcPr>
          <w:p w14:paraId="4E13F4CA" w14:textId="76E00770"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12%</w:t>
            </w:r>
          </w:p>
        </w:tc>
        <w:tc>
          <w:tcPr>
            <w:tcW w:w="315" w:type="pct"/>
            <w:tcBorders>
              <w:top w:val="nil"/>
              <w:left w:val="nil"/>
              <w:bottom w:val="nil"/>
              <w:right w:val="nil"/>
            </w:tcBorders>
            <w:shd w:val="clear" w:color="auto" w:fill="auto"/>
            <w:noWrap/>
            <w:vAlign w:val="bottom"/>
            <w:hideMark/>
          </w:tcPr>
          <w:p w14:paraId="6EA2B907" w14:textId="50C1D19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05%</w:t>
            </w:r>
          </w:p>
        </w:tc>
        <w:tc>
          <w:tcPr>
            <w:tcW w:w="317" w:type="pct"/>
            <w:tcBorders>
              <w:top w:val="nil"/>
              <w:left w:val="nil"/>
              <w:bottom w:val="nil"/>
              <w:right w:val="nil"/>
            </w:tcBorders>
            <w:shd w:val="clear" w:color="auto" w:fill="auto"/>
            <w:noWrap/>
            <w:vAlign w:val="bottom"/>
            <w:hideMark/>
          </w:tcPr>
          <w:p w14:paraId="73A144F7" w14:textId="4E7DE0C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18</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5" w:type="pct"/>
            <w:tcBorders>
              <w:top w:val="nil"/>
              <w:left w:val="nil"/>
              <w:bottom w:val="nil"/>
              <w:right w:val="nil"/>
            </w:tcBorders>
            <w:shd w:val="clear" w:color="auto" w:fill="auto"/>
            <w:noWrap/>
            <w:vAlign w:val="bottom"/>
            <w:hideMark/>
          </w:tcPr>
          <w:p w14:paraId="0CDFA8A7" w14:textId="636ADBC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12%</w:t>
            </w:r>
          </w:p>
        </w:tc>
      </w:tr>
      <w:tr w:rsidR="004B3DBE" w:rsidRPr="00F943A3" w14:paraId="75900E33" w14:textId="77777777" w:rsidTr="00306401">
        <w:trPr>
          <w:trHeight w:val="170"/>
        </w:trPr>
        <w:tc>
          <w:tcPr>
            <w:tcW w:w="1207" w:type="pct"/>
            <w:tcBorders>
              <w:top w:val="nil"/>
              <w:left w:val="nil"/>
              <w:bottom w:val="nil"/>
              <w:right w:val="nil"/>
            </w:tcBorders>
            <w:shd w:val="clear" w:color="auto" w:fill="auto"/>
            <w:noWrap/>
            <w:vAlign w:val="bottom"/>
            <w:hideMark/>
          </w:tcPr>
          <w:p w14:paraId="227EE8B4" w14:textId="0B74B2A4"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Mining</w:t>
            </w:r>
            <w:r w:rsidR="00306401">
              <w:rPr>
                <w:rFonts w:ascii="Times New Roman" w:eastAsia="Times New Roman" w:hAnsi="Times New Roman" w:cs="Times New Roman"/>
                <w:color w:val="000000"/>
              </w:rPr>
              <w:t>.</w:t>
            </w:r>
            <w:r w:rsidRPr="00F943A3">
              <w:rPr>
                <w:rFonts w:ascii="Times New Roman" w:eastAsia="Times New Roman" w:hAnsi="Times New Roman" w:cs="Times New Roman"/>
                <w:color w:val="000000"/>
              </w:rPr>
              <w:t xml:space="preserve"> Construction and Chemicals</w:t>
            </w:r>
          </w:p>
        </w:tc>
        <w:tc>
          <w:tcPr>
            <w:tcW w:w="317" w:type="pct"/>
            <w:tcBorders>
              <w:top w:val="nil"/>
              <w:left w:val="nil"/>
              <w:bottom w:val="nil"/>
              <w:right w:val="nil"/>
            </w:tcBorders>
            <w:shd w:val="clear" w:color="auto" w:fill="auto"/>
            <w:noWrap/>
            <w:vAlign w:val="bottom"/>
            <w:hideMark/>
          </w:tcPr>
          <w:p w14:paraId="79B20BF1" w14:textId="76F9378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50%</w:t>
            </w:r>
          </w:p>
        </w:tc>
        <w:tc>
          <w:tcPr>
            <w:tcW w:w="315" w:type="pct"/>
            <w:tcBorders>
              <w:top w:val="nil"/>
              <w:left w:val="nil"/>
              <w:bottom w:val="nil"/>
              <w:right w:val="nil"/>
            </w:tcBorders>
            <w:shd w:val="clear" w:color="auto" w:fill="auto"/>
            <w:noWrap/>
            <w:vAlign w:val="bottom"/>
            <w:hideMark/>
          </w:tcPr>
          <w:p w14:paraId="3E81127D" w14:textId="7911E38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31%</w:t>
            </w:r>
          </w:p>
        </w:tc>
        <w:tc>
          <w:tcPr>
            <w:tcW w:w="317" w:type="pct"/>
            <w:tcBorders>
              <w:top w:val="nil"/>
              <w:left w:val="nil"/>
              <w:bottom w:val="nil"/>
              <w:right w:val="nil"/>
            </w:tcBorders>
            <w:shd w:val="clear" w:color="auto" w:fill="auto"/>
            <w:noWrap/>
            <w:vAlign w:val="bottom"/>
            <w:hideMark/>
          </w:tcPr>
          <w:p w14:paraId="78AF1BA6" w14:textId="699A4E9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12%</w:t>
            </w:r>
          </w:p>
        </w:tc>
        <w:tc>
          <w:tcPr>
            <w:tcW w:w="315" w:type="pct"/>
            <w:tcBorders>
              <w:top w:val="nil"/>
              <w:left w:val="nil"/>
              <w:bottom w:val="nil"/>
              <w:right w:val="nil"/>
            </w:tcBorders>
            <w:shd w:val="clear" w:color="auto" w:fill="auto"/>
            <w:noWrap/>
            <w:vAlign w:val="bottom"/>
            <w:hideMark/>
          </w:tcPr>
          <w:p w14:paraId="70C4B220" w14:textId="528DF9E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51%</w:t>
            </w:r>
          </w:p>
        </w:tc>
        <w:tc>
          <w:tcPr>
            <w:tcW w:w="317" w:type="pct"/>
            <w:tcBorders>
              <w:top w:val="nil"/>
              <w:left w:val="nil"/>
              <w:bottom w:val="nil"/>
              <w:right w:val="nil"/>
            </w:tcBorders>
            <w:shd w:val="clear" w:color="auto" w:fill="auto"/>
            <w:noWrap/>
            <w:vAlign w:val="bottom"/>
            <w:hideMark/>
          </w:tcPr>
          <w:p w14:paraId="44F27B86" w14:textId="13A469F0"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28</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91%</w:t>
            </w:r>
          </w:p>
        </w:tc>
        <w:tc>
          <w:tcPr>
            <w:tcW w:w="315" w:type="pct"/>
            <w:tcBorders>
              <w:top w:val="nil"/>
              <w:left w:val="nil"/>
              <w:bottom w:val="nil"/>
              <w:right w:val="nil"/>
            </w:tcBorders>
            <w:shd w:val="clear" w:color="auto" w:fill="auto"/>
            <w:noWrap/>
            <w:vAlign w:val="bottom"/>
            <w:hideMark/>
          </w:tcPr>
          <w:p w14:paraId="25798DF0" w14:textId="5CFB784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7" w:type="pct"/>
            <w:tcBorders>
              <w:top w:val="nil"/>
              <w:left w:val="nil"/>
              <w:bottom w:val="nil"/>
              <w:right w:val="nil"/>
            </w:tcBorders>
            <w:shd w:val="clear" w:color="auto" w:fill="auto"/>
            <w:noWrap/>
            <w:vAlign w:val="bottom"/>
            <w:hideMark/>
          </w:tcPr>
          <w:p w14:paraId="4346E3E3" w14:textId="21FC85B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35%</w:t>
            </w:r>
          </w:p>
        </w:tc>
        <w:tc>
          <w:tcPr>
            <w:tcW w:w="315" w:type="pct"/>
            <w:tcBorders>
              <w:top w:val="nil"/>
              <w:left w:val="nil"/>
              <w:bottom w:val="nil"/>
              <w:right w:val="nil"/>
            </w:tcBorders>
            <w:shd w:val="clear" w:color="auto" w:fill="auto"/>
            <w:noWrap/>
            <w:vAlign w:val="bottom"/>
            <w:hideMark/>
          </w:tcPr>
          <w:p w14:paraId="11A1620B" w14:textId="6B8026C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21%</w:t>
            </w:r>
          </w:p>
        </w:tc>
        <w:tc>
          <w:tcPr>
            <w:tcW w:w="317" w:type="pct"/>
            <w:tcBorders>
              <w:top w:val="nil"/>
              <w:left w:val="nil"/>
              <w:bottom w:val="nil"/>
              <w:right w:val="nil"/>
            </w:tcBorders>
            <w:shd w:val="clear" w:color="auto" w:fill="auto"/>
            <w:noWrap/>
            <w:vAlign w:val="bottom"/>
            <w:hideMark/>
          </w:tcPr>
          <w:p w14:paraId="773B0D05" w14:textId="3BA9D09D"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55%</w:t>
            </w:r>
          </w:p>
        </w:tc>
        <w:tc>
          <w:tcPr>
            <w:tcW w:w="315" w:type="pct"/>
            <w:tcBorders>
              <w:top w:val="nil"/>
              <w:left w:val="nil"/>
              <w:bottom w:val="nil"/>
              <w:right w:val="nil"/>
            </w:tcBorders>
            <w:shd w:val="clear" w:color="auto" w:fill="auto"/>
            <w:noWrap/>
            <w:vAlign w:val="bottom"/>
            <w:hideMark/>
          </w:tcPr>
          <w:p w14:paraId="2F6F6E88" w14:textId="42FA050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52%</w:t>
            </w:r>
          </w:p>
        </w:tc>
        <w:tc>
          <w:tcPr>
            <w:tcW w:w="317" w:type="pct"/>
            <w:tcBorders>
              <w:top w:val="nil"/>
              <w:left w:val="nil"/>
              <w:bottom w:val="nil"/>
              <w:right w:val="nil"/>
            </w:tcBorders>
            <w:shd w:val="clear" w:color="auto" w:fill="auto"/>
            <w:noWrap/>
            <w:vAlign w:val="bottom"/>
            <w:hideMark/>
          </w:tcPr>
          <w:p w14:paraId="60F018AB" w14:textId="601843A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54%</w:t>
            </w:r>
          </w:p>
        </w:tc>
        <w:tc>
          <w:tcPr>
            <w:tcW w:w="315" w:type="pct"/>
            <w:tcBorders>
              <w:top w:val="nil"/>
              <w:left w:val="nil"/>
              <w:bottom w:val="nil"/>
              <w:right w:val="nil"/>
            </w:tcBorders>
            <w:shd w:val="clear" w:color="auto" w:fill="auto"/>
            <w:noWrap/>
            <w:vAlign w:val="bottom"/>
            <w:hideMark/>
          </w:tcPr>
          <w:p w14:paraId="75EF39F9" w14:textId="7DC9709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54%</w:t>
            </w:r>
          </w:p>
        </w:tc>
      </w:tr>
      <w:tr w:rsidR="004B3DBE" w:rsidRPr="00F943A3" w14:paraId="58233E01" w14:textId="77777777" w:rsidTr="00306401">
        <w:trPr>
          <w:trHeight w:val="170"/>
        </w:trPr>
        <w:tc>
          <w:tcPr>
            <w:tcW w:w="1207" w:type="pct"/>
            <w:tcBorders>
              <w:top w:val="nil"/>
              <w:left w:val="nil"/>
              <w:bottom w:val="nil"/>
              <w:right w:val="nil"/>
            </w:tcBorders>
            <w:shd w:val="clear" w:color="auto" w:fill="auto"/>
            <w:noWrap/>
            <w:vAlign w:val="bottom"/>
            <w:hideMark/>
          </w:tcPr>
          <w:p w14:paraId="327DA766"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Wholesale and Retail</w:t>
            </w:r>
          </w:p>
        </w:tc>
        <w:tc>
          <w:tcPr>
            <w:tcW w:w="317" w:type="pct"/>
            <w:tcBorders>
              <w:top w:val="nil"/>
              <w:left w:val="nil"/>
              <w:bottom w:val="nil"/>
              <w:right w:val="nil"/>
            </w:tcBorders>
            <w:shd w:val="clear" w:color="auto" w:fill="auto"/>
            <w:noWrap/>
            <w:vAlign w:val="bottom"/>
            <w:hideMark/>
          </w:tcPr>
          <w:p w14:paraId="198BCB0D" w14:textId="42006E7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22F960C8" w14:textId="241B02C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23%</w:t>
            </w:r>
          </w:p>
        </w:tc>
        <w:tc>
          <w:tcPr>
            <w:tcW w:w="317" w:type="pct"/>
            <w:tcBorders>
              <w:top w:val="nil"/>
              <w:left w:val="nil"/>
              <w:bottom w:val="nil"/>
              <w:right w:val="nil"/>
            </w:tcBorders>
            <w:shd w:val="clear" w:color="auto" w:fill="auto"/>
            <w:noWrap/>
            <w:vAlign w:val="bottom"/>
            <w:hideMark/>
          </w:tcPr>
          <w:p w14:paraId="54028ED4" w14:textId="1E63007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14%</w:t>
            </w:r>
          </w:p>
        </w:tc>
        <w:tc>
          <w:tcPr>
            <w:tcW w:w="315" w:type="pct"/>
            <w:tcBorders>
              <w:top w:val="nil"/>
              <w:left w:val="nil"/>
              <w:bottom w:val="nil"/>
              <w:right w:val="nil"/>
            </w:tcBorders>
            <w:shd w:val="clear" w:color="auto" w:fill="auto"/>
            <w:noWrap/>
            <w:vAlign w:val="bottom"/>
            <w:hideMark/>
          </w:tcPr>
          <w:p w14:paraId="012E415F" w14:textId="7D2DE38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12</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57%</w:t>
            </w:r>
          </w:p>
        </w:tc>
        <w:tc>
          <w:tcPr>
            <w:tcW w:w="317" w:type="pct"/>
            <w:tcBorders>
              <w:top w:val="nil"/>
              <w:left w:val="nil"/>
              <w:bottom w:val="nil"/>
              <w:right w:val="nil"/>
            </w:tcBorders>
            <w:shd w:val="clear" w:color="auto" w:fill="auto"/>
            <w:noWrap/>
            <w:vAlign w:val="bottom"/>
            <w:hideMark/>
          </w:tcPr>
          <w:p w14:paraId="668E91A2" w14:textId="74146A24"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5" w:type="pct"/>
            <w:tcBorders>
              <w:top w:val="nil"/>
              <w:left w:val="nil"/>
              <w:bottom w:val="nil"/>
              <w:right w:val="nil"/>
            </w:tcBorders>
            <w:shd w:val="clear" w:color="auto" w:fill="auto"/>
            <w:noWrap/>
            <w:vAlign w:val="bottom"/>
            <w:hideMark/>
          </w:tcPr>
          <w:p w14:paraId="0675CF92" w14:textId="73AF594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32%</w:t>
            </w:r>
          </w:p>
        </w:tc>
        <w:tc>
          <w:tcPr>
            <w:tcW w:w="317" w:type="pct"/>
            <w:tcBorders>
              <w:top w:val="nil"/>
              <w:left w:val="nil"/>
              <w:bottom w:val="nil"/>
              <w:right w:val="nil"/>
            </w:tcBorders>
            <w:shd w:val="clear" w:color="auto" w:fill="auto"/>
            <w:noWrap/>
            <w:vAlign w:val="bottom"/>
            <w:hideMark/>
          </w:tcPr>
          <w:p w14:paraId="70A8B933" w14:textId="2BE8F510"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5" w:type="pct"/>
            <w:tcBorders>
              <w:top w:val="nil"/>
              <w:left w:val="nil"/>
              <w:bottom w:val="nil"/>
              <w:right w:val="nil"/>
            </w:tcBorders>
            <w:shd w:val="clear" w:color="auto" w:fill="auto"/>
            <w:noWrap/>
            <w:vAlign w:val="bottom"/>
            <w:hideMark/>
          </w:tcPr>
          <w:p w14:paraId="13D5DD54" w14:textId="733DCA9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26%</w:t>
            </w:r>
          </w:p>
        </w:tc>
        <w:tc>
          <w:tcPr>
            <w:tcW w:w="317" w:type="pct"/>
            <w:tcBorders>
              <w:top w:val="nil"/>
              <w:left w:val="nil"/>
              <w:bottom w:val="nil"/>
              <w:right w:val="nil"/>
            </w:tcBorders>
            <w:shd w:val="clear" w:color="auto" w:fill="auto"/>
            <w:noWrap/>
            <w:vAlign w:val="bottom"/>
            <w:hideMark/>
          </w:tcPr>
          <w:p w14:paraId="0E98A67A" w14:textId="7493CA4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15%</w:t>
            </w:r>
          </w:p>
        </w:tc>
        <w:tc>
          <w:tcPr>
            <w:tcW w:w="315" w:type="pct"/>
            <w:tcBorders>
              <w:top w:val="nil"/>
              <w:left w:val="nil"/>
              <w:bottom w:val="nil"/>
              <w:right w:val="nil"/>
            </w:tcBorders>
            <w:shd w:val="clear" w:color="auto" w:fill="auto"/>
            <w:noWrap/>
            <w:vAlign w:val="bottom"/>
            <w:hideMark/>
          </w:tcPr>
          <w:p w14:paraId="11374A53" w14:textId="413799F4"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25%</w:t>
            </w:r>
          </w:p>
        </w:tc>
        <w:tc>
          <w:tcPr>
            <w:tcW w:w="317" w:type="pct"/>
            <w:tcBorders>
              <w:top w:val="nil"/>
              <w:left w:val="nil"/>
              <w:bottom w:val="nil"/>
              <w:right w:val="nil"/>
            </w:tcBorders>
            <w:shd w:val="clear" w:color="auto" w:fill="auto"/>
            <w:noWrap/>
            <w:vAlign w:val="bottom"/>
            <w:hideMark/>
          </w:tcPr>
          <w:p w14:paraId="112B07E1" w14:textId="377999B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45%</w:t>
            </w:r>
          </w:p>
        </w:tc>
        <w:tc>
          <w:tcPr>
            <w:tcW w:w="315" w:type="pct"/>
            <w:tcBorders>
              <w:top w:val="nil"/>
              <w:left w:val="nil"/>
              <w:bottom w:val="nil"/>
              <w:right w:val="nil"/>
            </w:tcBorders>
            <w:shd w:val="clear" w:color="auto" w:fill="auto"/>
            <w:noWrap/>
            <w:vAlign w:val="bottom"/>
            <w:hideMark/>
          </w:tcPr>
          <w:p w14:paraId="3AD9FF48" w14:textId="03161DE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23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51%</w:t>
            </w:r>
          </w:p>
        </w:tc>
      </w:tr>
      <w:tr w:rsidR="004B3DBE" w:rsidRPr="00F943A3" w14:paraId="26765BAF" w14:textId="77777777" w:rsidTr="00306401">
        <w:trPr>
          <w:trHeight w:val="170"/>
        </w:trPr>
        <w:tc>
          <w:tcPr>
            <w:tcW w:w="1207" w:type="pct"/>
            <w:tcBorders>
              <w:top w:val="nil"/>
              <w:left w:val="nil"/>
              <w:bottom w:val="nil"/>
              <w:right w:val="nil"/>
            </w:tcBorders>
            <w:shd w:val="clear" w:color="auto" w:fill="auto"/>
            <w:noWrap/>
            <w:vAlign w:val="bottom"/>
            <w:hideMark/>
          </w:tcPr>
          <w:p w14:paraId="5B0E85D4"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Services</w:t>
            </w:r>
          </w:p>
        </w:tc>
        <w:tc>
          <w:tcPr>
            <w:tcW w:w="317" w:type="pct"/>
            <w:tcBorders>
              <w:top w:val="nil"/>
              <w:left w:val="nil"/>
              <w:bottom w:val="nil"/>
              <w:right w:val="nil"/>
            </w:tcBorders>
            <w:shd w:val="clear" w:color="auto" w:fill="auto"/>
            <w:noWrap/>
            <w:vAlign w:val="bottom"/>
            <w:hideMark/>
          </w:tcPr>
          <w:p w14:paraId="5730EB35" w14:textId="098A971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61%</w:t>
            </w:r>
          </w:p>
        </w:tc>
        <w:tc>
          <w:tcPr>
            <w:tcW w:w="315" w:type="pct"/>
            <w:tcBorders>
              <w:top w:val="nil"/>
              <w:left w:val="nil"/>
              <w:bottom w:val="nil"/>
              <w:right w:val="nil"/>
            </w:tcBorders>
            <w:shd w:val="clear" w:color="auto" w:fill="auto"/>
            <w:noWrap/>
            <w:vAlign w:val="bottom"/>
            <w:hideMark/>
          </w:tcPr>
          <w:p w14:paraId="0ABC3E41" w14:textId="2D43861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66%</w:t>
            </w:r>
          </w:p>
        </w:tc>
        <w:tc>
          <w:tcPr>
            <w:tcW w:w="317" w:type="pct"/>
            <w:tcBorders>
              <w:top w:val="nil"/>
              <w:left w:val="nil"/>
              <w:bottom w:val="nil"/>
              <w:right w:val="nil"/>
            </w:tcBorders>
            <w:shd w:val="clear" w:color="auto" w:fill="auto"/>
            <w:noWrap/>
            <w:vAlign w:val="bottom"/>
            <w:hideMark/>
          </w:tcPr>
          <w:p w14:paraId="72ACE999" w14:textId="54B40560"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24%</w:t>
            </w:r>
          </w:p>
        </w:tc>
        <w:tc>
          <w:tcPr>
            <w:tcW w:w="315" w:type="pct"/>
            <w:tcBorders>
              <w:top w:val="nil"/>
              <w:left w:val="nil"/>
              <w:bottom w:val="nil"/>
              <w:right w:val="nil"/>
            </w:tcBorders>
            <w:shd w:val="clear" w:color="auto" w:fill="auto"/>
            <w:noWrap/>
            <w:vAlign w:val="bottom"/>
            <w:hideMark/>
          </w:tcPr>
          <w:p w14:paraId="6E8A964E" w14:textId="23B8CEC0"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18</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69%</w:t>
            </w:r>
          </w:p>
        </w:tc>
        <w:tc>
          <w:tcPr>
            <w:tcW w:w="317" w:type="pct"/>
            <w:tcBorders>
              <w:top w:val="nil"/>
              <w:left w:val="nil"/>
              <w:bottom w:val="nil"/>
              <w:right w:val="nil"/>
            </w:tcBorders>
            <w:shd w:val="clear" w:color="auto" w:fill="auto"/>
            <w:noWrap/>
            <w:vAlign w:val="bottom"/>
            <w:hideMark/>
          </w:tcPr>
          <w:p w14:paraId="55B514C3" w14:textId="4F54D55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11</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60%</w:t>
            </w:r>
          </w:p>
        </w:tc>
        <w:tc>
          <w:tcPr>
            <w:tcW w:w="315" w:type="pct"/>
            <w:tcBorders>
              <w:top w:val="nil"/>
              <w:left w:val="nil"/>
              <w:bottom w:val="nil"/>
              <w:right w:val="nil"/>
            </w:tcBorders>
            <w:shd w:val="clear" w:color="auto" w:fill="auto"/>
            <w:noWrap/>
            <w:vAlign w:val="bottom"/>
            <w:hideMark/>
          </w:tcPr>
          <w:p w14:paraId="1EEA625F" w14:textId="36270858"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36%</w:t>
            </w:r>
          </w:p>
        </w:tc>
        <w:tc>
          <w:tcPr>
            <w:tcW w:w="317" w:type="pct"/>
            <w:tcBorders>
              <w:top w:val="nil"/>
              <w:left w:val="nil"/>
              <w:bottom w:val="nil"/>
              <w:right w:val="nil"/>
            </w:tcBorders>
            <w:shd w:val="clear" w:color="auto" w:fill="auto"/>
            <w:noWrap/>
            <w:vAlign w:val="bottom"/>
            <w:hideMark/>
          </w:tcPr>
          <w:p w14:paraId="20CC8EB6" w14:textId="1AD2AE6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14</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02%</w:t>
            </w:r>
          </w:p>
        </w:tc>
        <w:tc>
          <w:tcPr>
            <w:tcW w:w="315" w:type="pct"/>
            <w:tcBorders>
              <w:top w:val="nil"/>
              <w:left w:val="nil"/>
              <w:bottom w:val="nil"/>
              <w:right w:val="nil"/>
            </w:tcBorders>
            <w:shd w:val="clear" w:color="auto" w:fill="auto"/>
            <w:noWrap/>
            <w:vAlign w:val="bottom"/>
            <w:hideMark/>
          </w:tcPr>
          <w:p w14:paraId="628B986F" w14:textId="2BF899E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19</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26%</w:t>
            </w:r>
          </w:p>
        </w:tc>
        <w:tc>
          <w:tcPr>
            <w:tcW w:w="317" w:type="pct"/>
            <w:tcBorders>
              <w:top w:val="nil"/>
              <w:left w:val="nil"/>
              <w:bottom w:val="nil"/>
              <w:right w:val="nil"/>
            </w:tcBorders>
            <w:shd w:val="clear" w:color="auto" w:fill="auto"/>
            <w:noWrap/>
            <w:vAlign w:val="bottom"/>
            <w:hideMark/>
          </w:tcPr>
          <w:p w14:paraId="2063BCA2" w14:textId="6A40D96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17</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67%</w:t>
            </w:r>
          </w:p>
        </w:tc>
        <w:tc>
          <w:tcPr>
            <w:tcW w:w="315" w:type="pct"/>
            <w:tcBorders>
              <w:top w:val="nil"/>
              <w:left w:val="nil"/>
              <w:bottom w:val="nil"/>
              <w:right w:val="nil"/>
            </w:tcBorders>
            <w:shd w:val="clear" w:color="auto" w:fill="auto"/>
            <w:noWrap/>
            <w:vAlign w:val="bottom"/>
            <w:hideMark/>
          </w:tcPr>
          <w:p w14:paraId="2D485251" w14:textId="78C3888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13</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13%</w:t>
            </w:r>
          </w:p>
        </w:tc>
        <w:tc>
          <w:tcPr>
            <w:tcW w:w="317" w:type="pct"/>
            <w:tcBorders>
              <w:top w:val="nil"/>
              <w:left w:val="nil"/>
              <w:bottom w:val="nil"/>
              <w:right w:val="nil"/>
            </w:tcBorders>
            <w:shd w:val="clear" w:color="auto" w:fill="auto"/>
            <w:noWrap/>
            <w:vAlign w:val="bottom"/>
            <w:hideMark/>
          </w:tcPr>
          <w:p w14:paraId="4A8AC17F" w14:textId="2E39D69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5</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71%</w:t>
            </w:r>
          </w:p>
        </w:tc>
        <w:tc>
          <w:tcPr>
            <w:tcW w:w="315" w:type="pct"/>
            <w:tcBorders>
              <w:top w:val="nil"/>
              <w:left w:val="nil"/>
              <w:bottom w:val="nil"/>
              <w:right w:val="nil"/>
            </w:tcBorders>
            <w:shd w:val="clear" w:color="auto" w:fill="auto"/>
            <w:noWrap/>
            <w:vAlign w:val="bottom"/>
            <w:hideMark/>
          </w:tcPr>
          <w:p w14:paraId="482DF755" w14:textId="0C812D1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7</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81%</w:t>
            </w:r>
          </w:p>
        </w:tc>
      </w:tr>
      <w:tr w:rsidR="004B3DBE" w:rsidRPr="00F943A3" w14:paraId="1C90C748" w14:textId="77777777" w:rsidTr="00306401">
        <w:trPr>
          <w:trHeight w:val="170"/>
        </w:trPr>
        <w:tc>
          <w:tcPr>
            <w:tcW w:w="1207" w:type="pct"/>
            <w:tcBorders>
              <w:top w:val="nil"/>
              <w:left w:val="nil"/>
              <w:bottom w:val="nil"/>
              <w:right w:val="nil"/>
            </w:tcBorders>
            <w:shd w:val="clear" w:color="auto" w:fill="auto"/>
            <w:noWrap/>
            <w:vAlign w:val="bottom"/>
            <w:hideMark/>
          </w:tcPr>
          <w:p w14:paraId="25A82051"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R2</w:t>
            </w:r>
          </w:p>
        </w:tc>
        <w:tc>
          <w:tcPr>
            <w:tcW w:w="317" w:type="pct"/>
            <w:tcBorders>
              <w:top w:val="nil"/>
              <w:left w:val="nil"/>
              <w:bottom w:val="nil"/>
              <w:right w:val="nil"/>
            </w:tcBorders>
            <w:shd w:val="clear" w:color="auto" w:fill="auto"/>
            <w:noWrap/>
            <w:vAlign w:val="bottom"/>
            <w:hideMark/>
          </w:tcPr>
          <w:p w14:paraId="3DEC91CD" w14:textId="01BE457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924</w:t>
            </w:r>
          </w:p>
        </w:tc>
        <w:tc>
          <w:tcPr>
            <w:tcW w:w="315" w:type="pct"/>
            <w:tcBorders>
              <w:top w:val="nil"/>
              <w:left w:val="nil"/>
              <w:bottom w:val="nil"/>
              <w:right w:val="nil"/>
            </w:tcBorders>
            <w:shd w:val="clear" w:color="auto" w:fill="auto"/>
            <w:noWrap/>
            <w:vAlign w:val="bottom"/>
            <w:hideMark/>
          </w:tcPr>
          <w:p w14:paraId="37A23F2A" w14:textId="369228A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935</w:t>
            </w:r>
          </w:p>
        </w:tc>
        <w:tc>
          <w:tcPr>
            <w:tcW w:w="317" w:type="pct"/>
            <w:tcBorders>
              <w:top w:val="nil"/>
              <w:left w:val="nil"/>
              <w:bottom w:val="nil"/>
              <w:right w:val="nil"/>
            </w:tcBorders>
            <w:shd w:val="clear" w:color="auto" w:fill="auto"/>
            <w:noWrap/>
            <w:vAlign w:val="bottom"/>
            <w:hideMark/>
          </w:tcPr>
          <w:p w14:paraId="665DF1FE" w14:textId="1661F54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862</w:t>
            </w:r>
          </w:p>
        </w:tc>
        <w:tc>
          <w:tcPr>
            <w:tcW w:w="315" w:type="pct"/>
            <w:tcBorders>
              <w:top w:val="nil"/>
              <w:left w:val="nil"/>
              <w:bottom w:val="nil"/>
              <w:right w:val="nil"/>
            </w:tcBorders>
            <w:shd w:val="clear" w:color="auto" w:fill="auto"/>
            <w:noWrap/>
            <w:vAlign w:val="bottom"/>
            <w:hideMark/>
          </w:tcPr>
          <w:p w14:paraId="3D197EE8" w14:textId="391E31F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907</w:t>
            </w:r>
          </w:p>
        </w:tc>
        <w:tc>
          <w:tcPr>
            <w:tcW w:w="317" w:type="pct"/>
            <w:tcBorders>
              <w:top w:val="nil"/>
              <w:left w:val="nil"/>
              <w:bottom w:val="nil"/>
              <w:right w:val="nil"/>
            </w:tcBorders>
            <w:shd w:val="clear" w:color="auto" w:fill="auto"/>
            <w:noWrap/>
            <w:vAlign w:val="bottom"/>
            <w:hideMark/>
          </w:tcPr>
          <w:p w14:paraId="162657C3" w14:textId="1CA35BFF"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911</w:t>
            </w:r>
          </w:p>
        </w:tc>
        <w:tc>
          <w:tcPr>
            <w:tcW w:w="315" w:type="pct"/>
            <w:tcBorders>
              <w:top w:val="nil"/>
              <w:left w:val="nil"/>
              <w:bottom w:val="nil"/>
              <w:right w:val="nil"/>
            </w:tcBorders>
            <w:shd w:val="clear" w:color="auto" w:fill="auto"/>
            <w:noWrap/>
            <w:vAlign w:val="bottom"/>
            <w:hideMark/>
          </w:tcPr>
          <w:p w14:paraId="58018045" w14:textId="08728B8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964</w:t>
            </w:r>
          </w:p>
        </w:tc>
        <w:tc>
          <w:tcPr>
            <w:tcW w:w="317" w:type="pct"/>
            <w:tcBorders>
              <w:top w:val="nil"/>
              <w:left w:val="nil"/>
              <w:bottom w:val="nil"/>
              <w:right w:val="nil"/>
            </w:tcBorders>
            <w:shd w:val="clear" w:color="auto" w:fill="auto"/>
            <w:noWrap/>
            <w:vAlign w:val="bottom"/>
            <w:hideMark/>
          </w:tcPr>
          <w:p w14:paraId="4CA2CC41" w14:textId="67435FF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902</w:t>
            </w:r>
          </w:p>
        </w:tc>
        <w:tc>
          <w:tcPr>
            <w:tcW w:w="315" w:type="pct"/>
            <w:tcBorders>
              <w:top w:val="nil"/>
              <w:left w:val="nil"/>
              <w:bottom w:val="nil"/>
              <w:right w:val="nil"/>
            </w:tcBorders>
            <w:shd w:val="clear" w:color="auto" w:fill="auto"/>
            <w:noWrap/>
            <w:vAlign w:val="bottom"/>
            <w:hideMark/>
          </w:tcPr>
          <w:p w14:paraId="1C82B6C0" w14:textId="35BD9AA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935</w:t>
            </w:r>
          </w:p>
        </w:tc>
        <w:tc>
          <w:tcPr>
            <w:tcW w:w="317" w:type="pct"/>
            <w:tcBorders>
              <w:top w:val="nil"/>
              <w:left w:val="nil"/>
              <w:bottom w:val="nil"/>
              <w:right w:val="nil"/>
            </w:tcBorders>
            <w:shd w:val="clear" w:color="auto" w:fill="auto"/>
            <w:noWrap/>
            <w:vAlign w:val="bottom"/>
            <w:hideMark/>
          </w:tcPr>
          <w:p w14:paraId="5DA9B51F" w14:textId="0AAF3C1A"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892</w:t>
            </w:r>
          </w:p>
        </w:tc>
        <w:tc>
          <w:tcPr>
            <w:tcW w:w="315" w:type="pct"/>
            <w:tcBorders>
              <w:top w:val="nil"/>
              <w:left w:val="nil"/>
              <w:bottom w:val="nil"/>
              <w:right w:val="nil"/>
            </w:tcBorders>
            <w:shd w:val="clear" w:color="auto" w:fill="auto"/>
            <w:noWrap/>
            <w:vAlign w:val="bottom"/>
            <w:hideMark/>
          </w:tcPr>
          <w:p w14:paraId="52964A24" w14:textId="6BDD981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902</w:t>
            </w:r>
          </w:p>
        </w:tc>
        <w:tc>
          <w:tcPr>
            <w:tcW w:w="317" w:type="pct"/>
            <w:tcBorders>
              <w:top w:val="nil"/>
              <w:left w:val="nil"/>
              <w:bottom w:val="nil"/>
              <w:right w:val="nil"/>
            </w:tcBorders>
            <w:shd w:val="clear" w:color="auto" w:fill="auto"/>
            <w:noWrap/>
            <w:vAlign w:val="bottom"/>
            <w:hideMark/>
          </w:tcPr>
          <w:p w14:paraId="6AA725C9" w14:textId="1A043396"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855</w:t>
            </w:r>
          </w:p>
        </w:tc>
        <w:tc>
          <w:tcPr>
            <w:tcW w:w="315" w:type="pct"/>
            <w:tcBorders>
              <w:top w:val="nil"/>
              <w:left w:val="nil"/>
              <w:bottom w:val="nil"/>
              <w:right w:val="nil"/>
            </w:tcBorders>
            <w:shd w:val="clear" w:color="auto" w:fill="auto"/>
            <w:noWrap/>
            <w:vAlign w:val="bottom"/>
            <w:hideMark/>
          </w:tcPr>
          <w:p w14:paraId="296180A3" w14:textId="4540ECC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865</w:t>
            </w:r>
          </w:p>
        </w:tc>
      </w:tr>
      <w:tr w:rsidR="004B3DBE" w:rsidRPr="00F943A3" w14:paraId="7D58ECEB" w14:textId="77777777" w:rsidTr="00306401">
        <w:trPr>
          <w:trHeight w:val="170"/>
        </w:trPr>
        <w:tc>
          <w:tcPr>
            <w:tcW w:w="1207" w:type="pct"/>
            <w:tcBorders>
              <w:top w:val="nil"/>
              <w:left w:val="nil"/>
              <w:bottom w:val="single" w:sz="4" w:space="0" w:color="auto"/>
              <w:right w:val="nil"/>
            </w:tcBorders>
            <w:shd w:val="clear" w:color="auto" w:fill="auto"/>
            <w:noWrap/>
            <w:vAlign w:val="bottom"/>
            <w:hideMark/>
          </w:tcPr>
          <w:p w14:paraId="7939D55E" w14:textId="77777777" w:rsidR="004B3DBE" w:rsidRPr="00F943A3" w:rsidRDefault="004B3DBE" w:rsidP="004B3DBE">
            <w:pPr>
              <w:spacing w:after="0" w:line="240" w:lineRule="auto"/>
              <w:rPr>
                <w:rFonts w:ascii="Times New Roman" w:eastAsia="Times New Roman" w:hAnsi="Times New Roman" w:cs="Times New Roman"/>
                <w:color w:val="000000"/>
              </w:rPr>
            </w:pPr>
            <w:r w:rsidRPr="00F943A3">
              <w:rPr>
                <w:rFonts w:ascii="Times New Roman" w:eastAsia="Times New Roman" w:hAnsi="Times New Roman" w:cs="Times New Roman"/>
                <w:color w:val="000000"/>
              </w:rPr>
              <w:t>Tracking Error</w:t>
            </w:r>
          </w:p>
        </w:tc>
        <w:tc>
          <w:tcPr>
            <w:tcW w:w="317" w:type="pct"/>
            <w:tcBorders>
              <w:top w:val="nil"/>
              <w:left w:val="nil"/>
              <w:bottom w:val="single" w:sz="4" w:space="0" w:color="auto"/>
              <w:right w:val="nil"/>
            </w:tcBorders>
            <w:shd w:val="clear" w:color="auto" w:fill="auto"/>
            <w:noWrap/>
            <w:vAlign w:val="bottom"/>
            <w:hideMark/>
          </w:tcPr>
          <w:p w14:paraId="3ABB6A8A" w14:textId="0FF39241"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31%</w:t>
            </w:r>
          </w:p>
        </w:tc>
        <w:tc>
          <w:tcPr>
            <w:tcW w:w="315" w:type="pct"/>
            <w:tcBorders>
              <w:top w:val="nil"/>
              <w:left w:val="nil"/>
              <w:bottom w:val="single" w:sz="4" w:space="0" w:color="auto"/>
              <w:right w:val="nil"/>
            </w:tcBorders>
            <w:shd w:val="clear" w:color="auto" w:fill="auto"/>
            <w:noWrap/>
            <w:vAlign w:val="bottom"/>
            <w:hideMark/>
          </w:tcPr>
          <w:p w14:paraId="42F2FF7B" w14:textId="0ED109D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35%</w:t>
            </w:r>
          </w:p>
        </w:tc>
        <w:tc>
          <w:tcPr>
            <w:tcW w:w="317" w:type="pct"/>
            <w:tcBorders>
              <w:top w:val="nil"/>
              <w:left w:val="nil"/>
              <w:bottom w:val="single" w:sz="4" w:space="0" w:color="auto"/>
              <w:right w:val="nil"/>
            </w:tcBorders>
            <w:shd w:val="clear" w:color="auto" w:fill="auto"/>
            <w:noWrap/>
            <w:vAlign w:val="bottom"/>
            <w:hideMark/>
          </w:tcPr>
          <w:p w14:paraId="7F3FF93B" w14:textId="5FAED97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40%</w:t>
            </w:r>
          </w:p>
        </w:tc>
        <w:tc>
          <w:tcPr>
            <w:tcW w:w="315" w:type="pct"/>
            <w:tcBorders>
              <w:top w:val="nil"/>
              <w:left w:val="nil"/>
              <w:bottom w:val="single" w:sz="4" w:space="0" w:color="auto"/>
              <w:right w:val="nil"/>
            </w:tcBorders>
            <w:shd w:val="clear" w:color="auto" w:fill="auto"/>
            <w:noWrap/>
            <w:vAlign w:val="bottom"/>
            <w:hideMark/>
          </w:tcPr>
          <w:p w14:paraId="54494DAF" w14:textId="04975BA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52%</w:t>
            </w:r>
          </w:p>
        </w:tc>
        <w:tc>
          <w:tcPr>
            <w:tcW w:w="317" w:type="pct"/>
            <w:tcBorders>
              <w:top w:val="nil"/>
              <w:left w:val="nil"/>
              <w:bottom w:val="single" w:sz="4" w:space="0" w:color="auto"/>
              <w:right w:val="nil"/>
            </w:tcBorders>
            <w:shd w:val="clear" w:color="auto" w:fill="auto"/>
            <w:noWrap/>
            <w:vAlign w:val="bottom"/>
            <w:hideMark/>
          </w:tcPr>
          <w:p w14:paraId="1B361927" w14:textId="58E554D5"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91%</w:t>
            </w:r>
          </w:p>
        </w:tc>
        <w:tc>
          <w:tcPr>
            <w:tcW w:w="315" w:type="pct"/>
            <w:tcBorders>
              <w:top w:val="nil"/>
              <w:left w:val="nil"/>
              <w:bottom w:val="single" w:sz="4" w:space="0" w:color="auto"/>
              <w:right w:val="nil"/>
            </w:tcBorders>
            <w:shd w:val="clear" w:color="auto" w:fill="auto"/>
            <w:noWrap/>
            <w:vAlign w:val="bottom"/>
            <w:hideMark/>
          </w:tcPr>
          <w:p w14:paraId="056FBA33" w14:textId="67E8CCA9"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98%</w:t>
            </w:r>
          </w:p>
        </w:tc>
        <w:tc>
          <w:tcPr>
            <w:tcW w:w="317" w:type="pct"/>
            <w:tcBorders>
              <w:top w:val="nil"/>
              <w:left w:val="nil"/>
              <w:bottom w:val="single" w:sz="4" w:space="0" w:color="auto"/>
              <w:right w:val="nil"/>
            </w:tcBorders>
            <w:shd w:val="clear" w:color="auto" w:fill="auto"/>
            <w:noWrap/>
            <w:vAlign w:val="bottom"/>
            <w:hideMark/>
          </w:tcPr>
          <w:p w14:paraId="2A46DF84" w14:textId="4B681012"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59%</w:t>
            </w:r>
          </w:p>
        </w:tc>
        <w:tc>
          <w:tcPr>
            <w:tcW w:w="315" w:type="pct"/>
            <w:tcBorders>
              <w:top w:val="nil"/>
              <w:left w:val="nil"/>
              <w:bottom w:val="single" w:sz="4" w:space="0" w:color="auto"/>
              <w:right w:val="nil"/>
            </w:tcBorders>
            <w:shd w:val="clear" w:color="auto" w:fill="auto"/>
            <w:noWrap/>
            <w:vAlign w:val="bottom"/>
            <w:hideMark/>
          </w:tcPr>
          <w:p w14:paraId="7BF98C23" w14:textId="38FC30AB"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63%</w:t>
            </w:r>
          </w:p>
        </w:tc>
        <w:tc>
          <w:tcPr>
            <w:tcW w:w="317" w:type="pct"/>
            <w:tcBorders>
              <w:top w:val="nil"/>
              <w:left w:val="nil"/>
              <w:bottom w:val="single" w:sz="4" w:space="0" w:color="auto"/>
              <w:right w:val="nil"/>
            </w:tcBorders>
            <w:shd w:val="clear" w:color="auto" w:fill="auto"/>
            <w:noWrap/>
            <w:vAlign w:val="bottom"/>
            <w:hideMark/>
          </w:tcPr>
          <w:p w14:paraId="2F821BF8" w14:textId="68CA741C"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79%</w:t>
            </w:r>
          </w:p>
        </w:tc>
        <w:tc>
          <w:tcPr>
            <w:tcW w:w="315" w:type="pct"/>
            <w:tcBorders>
              <w:top w:val="nil"/>
              <w:left w:val="nil"/>
              <w:bottom w:val="single" w:sz="4" w:space="0" w:color="auto"/>
              <w:right w:val="nil"/>
            </w:tcBorders>
            <w:shd w:val="clear" w:color="auto" w:fill="auto"/>
            <w:noWrap/>
            <w:vAlign w:val="bottom"/>
            <w:hideMark/>
          </w:tcPr>
          <w:p w14:paraId="2D77B94F" w14:textId="463D4B1E"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64%</w:t>
            </w:r>
          </w:p>
        </w:tc>
        <w:tc>
          <w:tcPr>
            <w:tcW w:w="317" w:type="pct"/>
            <w:tcBorders>
              <w:top w:val="nil"/>
              <w:left w:val="nil"/>
              <w:bottom w:val="single" w:sz="4" w:space="0" w:color="auto"/>
              <w:right w:val="nil"/>
            </w:tcBorders>
            <w:shd w:val="clear" w:color="auto" w:fill="auto"/>
            <w:noWrap/>
            <w:vAlign w:val="bottom"/>
            <w:hideMark/>
          </w:tcPr>
          <w:p w14:paraId="650CD8B9" w14:textId="614F64F3"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44%</w:t>
            </w:r>
          </w:p>
        </w:tc>
        <w:tc>
          <w:tcPr>
            <w:tcW w:w="315" w:type="pct"/>
            <w:tcBorders>
              <w:top w:val="nil"/>
              <w:left w:val="nil"/>
              <w:bottom w:val="single" w:sz="4" w:space="0" w:color="auto"/>
              <w:right w:val="nil"/>
            </w:tcBorders>
            <w:shd w:val="clear" w:color="auto" w:fill="auto"/>
            <w:noWrap/>
            <w:vAlign w:val="bottom"/>
            <w:hideMark/>
          </w:tcPr>
          <w:p w14:paraId="38E326EC" w14:textId="6CA5C3A7" w:rsidR="004B3DBE" w:rsidRPr="00306401" w:rsidRDefault="004B3DBE" w:rsidP="004B3DBE">
            <w:pPr>
              <w:spacing w:after="0" w:line="240" w:lineRule="auto"/>
              <w:jc w:val="center"/>
              <w:rPr>
                <w:rFonts w:ascii="Times New Roman" w:eastAsia="Times New Roman" w:hAnsi="Times New Roman" w:cs="Times New Roman"/>
                <w:color w:val="000000"/>
                <w:sz w:val="20"/>
                <w:szCs w:val="20"/>
              </w:rPr>
            </w:pPr>
            <w:r w:rsidRPr="00306401">
              <w:rPr>
                <w:rFonts w:ascii="Times New Roman" w:eastAsia="Times New Roman" w:hAnsi="Times New Roman" w:cs="Times New Roman"/>
                <w:color w:val="000000"/>
                <w:sz w:val="20"/>
                <w:szCs w:val="20"/>
              </w:rPr>
              <w:t>0</w:t>
            </w:r>
            <w:r w:rsidR="00306401">
              <w:rPr>
                <w:rFonts w:ascii="Times New Roman" w:eastAsia="Times New Roman" w:hAnsi="Times New Roman" w:cs="Times New Roman"/>
                <w:color w:val="000000"/>
                <w:sz w:val="20"/>
                <w:szCs w:val="20"/>
              </w:rPr>
              <w:t>.</w:t>
            </w:r>
            <w:r w:rsidRPr="00306401">
              <w:rPr>
                <w:rFonts w:ascii="Times New Roman" w:eastAsia="Times New Roman" w:hAnsi="Times New Roman" w:cs="Times New Roman"/>
                <w:color w:val="000000"/>
                <w:sz w:val="20"/>
                <w:szCs w:val="20"/>
              </w:rPr>
              <w:t>95%</w:t>
            </w:r>
          </w:p>
        </w:tc>
      </w:tr>
    </w:tbl>
    <w:p w14:paraId="5785F49F" w14:textId="77777777" w:rsidR="004B3DBE" w:rsidRDefault="004B3DBE" w:rsidP="004B3DBE">
      <w:pPr>
        <w:spacing w:after="0" w:line="240" w:lineRule="auto"/>
        <w:rPr>
          <w:rFonts w:ascii="Times New Roman" w:hAnsi="Times New Roman" w:cs="Times New Roman"/>
          <w:sz w:val="24"/>
          <w:szCs w:val="24"/>
        </w:rPr>
      </w:pPr>
    </w:p>
    <w:p w14:paraId="49065E57" w14:textId="77777777" w:rsidR="004B3DBE" w:rsidRDefault="004B3DBE" w:rsidP="004B3DBE">
      <w:pPr>
        <w:rPr>
          <w:rFonts w:ascii="Times New Roman" w:hAnsi="Times New Roman" w:cs="Times New Roman"/>
          <w:sz w:val="24"/>
          <w:szCs w:val="24"/>
        </w:rPr>
      </w:pPr>
      <w:r>
        <w:rPr>
          <w:rFonts w:ascii="Times New Roman" w:hAnsi="Times New Roman" w:cs="Times New Roman"/>
          <w:sz w:val="24"/>
          <w:szCs w:val="24"/>
        </w:rPr>
        <w:br w:type="page"/>
      </w:r>
    </w:p>
    <w:tbl>
      <w:tblPr>
        <w:tblW w:w="5000" w:type="pct"/>
        <w:tblLook w:val="04A0" w:firstRow="1" w:lastRow="0" w:firstColumn="1" w:lastColumn="0" w:noHBand="0" w:noVBand="1"/>
      </w:tblPr>
      <w:tblGrid>
        <w:gridCol w:w="3116"/>
        <w:gridCol w:w="827"/>
        <w:gridCol w:w="821"/>
        <w:gridCol w:w="827"/>
        <w:gridCol w:w="821"/>
        <w:gridCol w:w="827"/>
        <w:gridCol w:w="821"/>
        <w:gridCol w:w="827"/>
        <w:gridCol w:w="821"/>
        <w:gridCol w:w="827"/>
        <w:gridCol w:w="821"/>
        <w:gridCol w:w="827"/>
        <w:gridCol w:w="821"/>
      </w:tblGrid>
      <w:tr w:rsidR="004B3DBE" w:rsidRPr="009F0551" w14:paraId="74B1A233" w14:textId="77777777" w:rsidTr="0037161F">
        <w:trPr>
          <w:trHeight w:val="170"/>
        </w:trPr>
        <w:tc>
          <w:tcPr>
            <w:tcW w:w="5000" w:type="pct"/>
            <w:gridSpan w:val="13"/>
            <w:tcBorders>
              <w:top w:val="nil"/>
              <w:left w:val="nil"/>
              <w:bottom w:val="nil"/>
              <w:right w:val="nil"/>
            </w:tcBorders>
            <w:shd w:val="clear" w:color="auto" w:fill="auto"/>
            <w:noWrap/>
            <w:vAlign w:val="bottom"/>
            <w:hideMark/>
          </w:tcPr>
          <w:p w14:paraId="145DFCA2" w14:textId="77777777" w:rsidR="004B3DBE" w:rsidRPr="009F0551" w:rsidRDefault="004B3DBE" w:rsidP="004B3DBE">
            <w:pPr>
              <w:spacing w:after="0" w:line="240" w:lineRule="auto"/>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lastRenderedPageBreak/>
              <w:t xml:space="preserve">Table </w:t>
            </w:r>
            <w:r>
              <w:rPr>
                <w:rFonts w:ascii="Times New Roman" w:eastAsia="Times New Roman" w:hAnsi="Times New Roman" w:cs="Times New Roman"/>
                <w:b/>
                <w:bCs/>
                <w:color w:val="000000"/>
              </w:rPr>
              <w:t>8</w:t>
            </w:r>
            <w:r w:rsidRPr="009F0551">
              <w:rPr>
                <w:rFonts w:ascii="Times New Roman" w:eastAsia="Times New Roman" w:hAnsi="Times New Roman" w:cs="Times New Roman"/>
                <w:b/>
                <w:bCs/>
                <w:color w:val="000000"/>
              </w:rPr>
              <w:t xml:space="preserve">: Style Analysis Equity Funds - Stage </w:t>
            </w:r>
            <w:proofErr w:type="gramStart"/>
            <w:r w:rsidRPr="009F0551">
              <w:rPr>
                <w:rFonts w:ascii="Times New Roman" w:eastAsia="Times New Roman" w:hAnsi="Times New Roman" w:cs="Times New Roman"/>
                <w:b/>
                <w:bCs/>
                <w:color w:val="000000"/>
              </w:rPr>
              <w:t>2  (</w:t>
            </w:r>
            <w:proofErr w:type="gramEnd"/>
            <w:r w:rsidRPr="009F0551">
              <w:rPr>
                <w:rFonts w:ascii="Times New Roman" w:eastAsia="Times New Roman" w:hAnsi="Times New Roman" w:cs="Times New Roman"/>
                <w:b/>
                <w:bCs/>
                <w:color w:val="000000"/>
              </w:rPr>
              <w:t xml:space="preserve">March 20 - May 11) </w:t>
            </w:r>
          </w:p>
        </w:tc>
      </w:tr>
      <w:tr w:rsidR="004B3DBE" w:rsidRPr="009F0551" w14:paraId="57628C81" w14:textId="77777777" w:rsidTr="0037161F">
        <w:trPr>
          <w:trHeight w:val="170"/>
        </w:trPr>
        <w:tc>
          <w:tcPr>
            <w:tcW w:w="1212" w:type="pct"/>
            <w:tcBorders>
              <w:top w:val="single" w:sz="4" w:space="0" w:color="auto"/>
              <w:left w:val="nil"/>
              <w:bottom w:val="single" w:sz="4" w:space="0" w:color="auto"/>
              <w:right w:val="nil"/>
            </w:tcBorders>
            <w:shd w:val="clear" w:color="auto" w:fill="auto"/>
            <w:noWrap/>
            <w:vAlign w:val="bottom"/>
            <w:hideMark/>
          </w:tcPr>
          <w:p w14:paraId="5DA86614"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 </w:t>
            </w:r>
          </w:p>
        </w:tc>
        <w:tc>
          <w:tcPr>
            <w:tcW w:w="631" w:type="pct"/>
            <w:gridSpan w:val="2"/>
            <w:tcBorders>
              <w:top w:val="single" w:sz="4" w:space="0" w:color="auto"/>
              <w:left w:val="nil"/>
              <w:bottom w:val="single" w:sz="4" w:space="0" w:color="auto"/>
              <w:right w:val="nil"/>
            </w:tcBorders>
            <w:shd w:val="clear" w:color="auto" w:fill="auto"/>
            <w:noWrap/>
            <w:vAlign w:val="bottom"/>
            <w:hideMark/>
          </w:tcPr>
          <w:p w14:paraId="2060E84E"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Malaysia</w:t>
            </w:r>
          </w:p>
        </w:tc>
        <w:tc>
          <w:tcPr>
            <w:tcW w:w="631" w:type="pct"/>
            <w:gridSpan w:val="2"/>
            <w:tcBorders>
              <w:top w:val="single" w:sz="4" w:space="0" w:color="auto"/>
              <w:left w:val="nil"/>
              <w:bottom w:val="single" w:sz="4" w:space="0" w:color="auto"/>
              <w:right w:val="nil"/>
            </w:tcBorders>
            <w:shd w:val="clear" w:color="auto" w:fill="auto"/>
            <w:noWrap/>
            <w:vAlign w:val="bottom"/>
            <w:hideMark/>
          </w:tcPr>
          <w:p w14:paraId="40BCC669"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Pakistan</w:t>
            </w:r>
          </w:p>
        </w:tc>
        <w:tc>
          <w:tcPr>
            <w:tcW w:w="631" w:type="pct"/>
            <w:gridSpan w:val="2"/>
            <w:tcBorders>
              <w:top w:val="single" w:sz="4" w:space="0" w:color="auto"/>
              <w:left w:val="nil"/>
              <w:bottom w:val="single" w:sz="4" w:space="0" w:color="auto"/>
              <w:right w:val="nil"/>
            </w:tcBorders>
            <w:shd w:val="clear" w:color="auto" w:fill="auto"/>
            <w:noWrap/>
            <w:vAlign w:val="bottom"/>
            <w:hideMark/>
          </w:tcPr>
          <w:p w14:paraId="25148E53"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Saudi Arabia</w:t>
            </w:r>
          </w:p>
        </w:tc>
        <w:tc>
          <w:tcPr>
            <w:tcW w:w="631" w:type="pct"/>
            <w:gridSpan w:val="2"/>
            <w:tcBorders>
              <w:top w:val="single" w:sz="4" w:space="0" w:color="auto"/>
              <w:left w:val="nil"/>
              <w:bottom w:val="single" w:sz="4" w:space="0" w:color="auto"/>
              <w:right w:val="nil"/>
            </w:tcBorders>
            <w:shd w:val="clear" w:color="auto" w:fill="auto"/>
            <w:noWrap/>
            <w:vAlign w:val="bottom"/>
            <w:hideMark/>
          </w:tcPr>
          <w:p w14:paraId="20A4DA60"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Qatar</w:t>
            </w:r>
          </w:p>
        </w:tc>
        <w:tc>
          <w:tcPr>
            <w:tcW w:w="631" w:type="pct"/>
            <w:gridSpan w:val="2"/>
            <w:tcBorders>
              <w:top w:val="single" w:sz="4" w:space="0" w:color="auto"/>
              <w:left w:val="nil"/>
              <w:bottom w:val="single" w:sz="4" w:space="0" w:color="auto"/>
              <w:right w:val="nil"/>
            </w:tcBorders>
            <w:shd w:val="clear" w:color="auto" w:fill="auto"/>
            <w:noWrap/>
            <w:vAlign w:val="bottom"/>
            <w:hideMark/>
          </w:tcPr>
          <w:p w14:paraId="6F5A4EA4"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Kuwait</w:t>
            </w:r>
          </w:p>
        </w:tc>
        <w:tc>
          <w:tcPr>
            <w:tcW w:w="631" w:type="pct"/>
            <w:gridSpan w:val="2"/>
            <w:tcBorders>
              <w:top w:val="single" w:sz="4" w:space="0" w:color="auto"/>
              <w:left w:val="nil"/>
              <w:bottom w:val="single" w:sz="4" w:space="0" w:color="auto"/>
              <w:right w:val="nil"/>
            </w:tcBorders>
            <w:shd w:val="clear" w:color="auto" w:fill="auto"/>
            <w:noWrap/>
            <w:vAlign w:val="bottom"/>
            <w:hideMark/>
          </w:tcPr>
          <w:p w14:paraId="7687EB80"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UAE</w:t>
            </w:r>
          </w:p>
        </w:tc>
      </w:tr>
      <w:tr w:rsidR="004B3DBE" w:rsidRPr="009F0551" w14:paraId="1FD5494C" w14:textId="77777777" w:rsidTr="0037161F">
        <w:trPr>
          <w:trHeight w:val="170"/>
        </w:trPr>
        <w:tc>
          <w:tcPr>
            <w:tcW w:w="1212" w:type="pct"/>
            <w:tcBorders>
              <w:top w:val="nil"/>
              <w:left w:val="nil"/>
              <w:bottom w:val="single" w:sz="4" w:space="0" w:color="auto"/>
              <w:right w:val="nil"/>
            </w:tcBorders>
            <w:shd w:val="clear" w:color="auto" w:fill="auto"/>
            <w:noWrap/>
            <w:vAlign w:val="bottom"/>
            <w:hideMark/>
          </w:tcPr>
          <w:p w14:paraId="7AB50634"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 </w:t>
            </w:r>
          </w:p>
        </w:tc>
        <w:tc>
          <w:tcPr>
            <w:tcW w:w="317" w:type="pct"/>
            <w:tcBorders>
              <w:top w:val="nil"/>
              <w:left w:val="nil"/>
              <w:bottom w:val="single" w:sz="4" w:space="0" w:color="auto"/>
              <w:right w:val="nil"/>
            </w:tcBorders>
            <w:shd w:val="clear" w:color="auto" w:fill="auto"/>
            <w:noWrap/>
            <w:vAlign w:val="bottom"/>
            <w:hideMark/>
          </w:tcPr>
          <w:p w14:paraId="0DBBF4D3"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Islamic</w:t>
            </w:r>
          </w:p>
        </w:tc>
        <w:tc>
          <w:tcPr>
            <w:tcW w:w="315" w:type="pct"/>
            <w:tcBorders>
              <w:top w:val="nil"/>
              <w:left w:val="nil"/>
              <w:bottom w:val="single" w:sz="4" w:space="0" w:color="auto"/>
              <w:right w:val="nil"/>
            </w:tcBorders>
            <w:shd w:val="clear" w:color="auto" w:fill="auto"/>
            <w:noWrap/>
            <w:vAlign w:val="bottom"/>
            <w:hideMark/>
          </w:tcPr>
          <w:p w14:paraId="7EAC06E9"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Conv.</w:t>
            </w:r>
          </w:p>
        </w:tc>
        <w:tc>
          <w:tcPr>
            <w:tcW w:w="317" w:type="pct"/>
            <w:tcBorders>
              <w:top w:val="nil"/>
              <w:left w:val="nil"/>
              <w:bottom w:val="single" w:sz="4" w:space="0" w:color="auto"/>
              <w:right w:val="nil"/>
            </w:tcBorders>
            <w:shd w:val="clear" w:color="auto" w:fill="auto"/>
            <w:noWrap/>
            <w:vAlign w:val="bottom"/>
            <w:hideMark/>
          </w:tcPr>
          <w:p w14:paraId="289204B1"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Islamic</w:t>
            </w:r>
          </w:p>
        </w:tc>
        <w:tc>
          <w:tcPr>
            <w:tcW w:w="315" w:type="pct"/>
            <w:tcBorders>
              <w:top w:val="nil"/>
              <w:left w:val="nil"/>
              <w:bottom w:val="single" w:sz="4" w:space="0" w:color="auto"/>
              <w:right w:val="nil"/>
            </w:tcBorders>
            <w:shd w:val="clear" w:color="auto" w:fill="auto"/>
            <w:noWrap/>
            <w:vAlign w:val="bottom"/>
            <w:hideMark/>
          </w:tcPr>
          <w:p w14:paraId="04CAD172"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Conv.</w:t>
            </w:r>
          </w:p>
        </w:tc>
        <w:tc>
          <w:tcPr>
            <w:tcW w:w="317" w:type="pct"/>
            <w:tcBorders>
              <w:top w:val="nil"/>
              <w:left w:val="nil"/>
              <w:bottom w:val="single" w:sz="4" w:space="0" w:color="auto"/>
              <w:right w:val="nil"/>
            </w:tcBorders>
            <w:shd w:val="clear" w:color="auto" w:fill="auto"/>
            <w:noWrap/>
            <w:vAlign w:val="bottom"/>
            <w:hideMark/>
          </w:tcPr>
          <w:p w14:paraId="73D1BF67"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Islamic</w:t>
            </w:r>
          </w:p>
        </w:tc>
        <w:tc>
          <w:tcPr>
            <w:tcW w:w="315" w:type="pct"/>
            <w:tcBorders>
              <w:top w:val="nil"/>
              <w:left w:val="nil"/>
              <w:bottom w:val="single" w:sz="4" w:space="0" w:color="auto"/>
              <w:right w:val="nil"/>
            </w:tcBorders>
            <w:shd w:val="clear" w:color="auto" w:fill="auto"/>
            <w:noWrap/>
            <w:vAlign w:val="bottom"/>
            <w:hideMark/>
          </w:tcPr>
          <w:p w14:paraId="50A8CD13"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Conv.</w:t>
            </w:r>
          </w:p>
        </w:tc>
        <w:tc>
          <w:tcPr>
            <w:tcW w:w="317" w:type="pct"/>
            <w:tcBorders>
              <w:top w:val="nil"/>
              <w:left w:val="nil"/>
              <w:bottom w:val="single" w:sz="4" w:space="0" w:color="auto"/>
              <w:right w:val="nil"/>
            </w:tcBorders>
            <w:shd w:val="clear" w:color="auto" w:fill="auto"/>
            <w:noWrap/>
            <w:vAlign w:val="bottom"/>
            <w:hideMark/>
          </w:tcPr>
          <w:p w14:paraId="76D03913"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Islamic</w:t>
            </w:r>
          </w:p>
        </w:tc>
        <w:tc>
          <w:tcPr>
            <w:tcW w:w="315" w:type="pct"/>
            <w:tcBorders>
              <w:top w:val="nil"/>
              <w:left w:val="nil"/>
              <w:bottom w:val="single" w:sz="4" w:space="0" w:color="auto"/>
              <w:right w:val="nil"/>
            </w:tcBorders>
            <w:shd w:val="clear" w:color="auto" w:fill="auto"/>
            <w:noWrap/>
            <w:vAlign w:val="bottom"/>
            <w:hideMark/>
          </w:tcPr>
          <w:p w14:paraId="2D2A92AD"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Conv.</w:t>
            </w:r>
          </w:p>
        </w:tc>
        <w:tc>
          <w:tcPr>
            <w:tcW w:w="317" w:type="pct"/>
            <w:tcBorders>
              <w:top w:val="nil"/>
              <w:left w:val="nil"/>
              <w:bottom w:val="single" w:sz="4" w:space="0" w:color="auto"/>
              <w:right w:val="nil"/>
            </w:tcBorders>
            <w:shd w:val="clear" w:color="auto" w:fill="auto"/>
            <w:noWrap/>
            <w:vAlign w:val="bottom"/>
            <w:hideMark/>
          </w:tcPr>
          <w:p w14:paraId="5549CB97"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Islamic</w:t>
            </w:r>
          </w:p>
        </w:tc>
        <w:tc>
          <w:tcPr>
            <w:tcW w:w="315" w:type="pct"/>
            <w:tcBorders>
              <w:top w:val="nil"/>
              <w:left w:val="nil"/>
              <w:bottom w:val="single" w:sz="4" w:space="0" w:color="auto"/>
              <w:right w:val="nil"/>
            </w:tcBorders>
            <w:shd w:val="clear" w:color="auto" w:fill="auto"/>
            <w:noWrap/>
            <w:vAlign w:val="bottom"/>
            <w:hideMark/>
          </w:tcPr>
          <w:p w14:paraId="0B144A68"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Conv.</w:t>
            </w:r>
          </w:p>
        </w:tc>
        <w:tc>
          <w:tcPr>
            <w:tcW w:w="317" w:type="pct"/>
            <w:tcBorders>
              <w:top w:val="nil"/>
              <w:left w:val="nil"/>
              <w:bottom w:val="single" w:sz="4" w:space="0" w:color="auto"/>
              <w:right w:val="nil"/>
            </w:tcBorders>
            <w:shd w:val="clear" w:color="auto" w:fill="auto"/>
            <w:noWrap/>
            <w:vAlign w:val="bottom"/>
            <w:hideMark/>
          </w:tcPr>
          <w:p w14:paraId="24773680"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Islamic</w:t>
            </w:r>
          </w:p>
        </w:tc>
        <w:tc>
          <w:tcPr>
            <w:tcW w:w="315" w:type="pct"/>
            <w:tcBorders>
              <w:top w:val="nil"/>
              <w:left w:val="nil"/>
              <w:bottom w:val="single" w:sz="4" w:space="0" w:color="auto"/>
              <w:right w:val="nil"/>
            </w:tcBorders>
            <w:shd w:val="clear" w:color="auto" w:fill="auto"/>
            <w:noWrap/>
            <w:vAlign w:val="bottom"/>
            <w:hideMark/>
          </w:tcPr>
          <w:p w14:paraId="0C728141"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Conv.</w:t>
            </w:r>
          </w:p>
        </w:tc>
      </w:tr>
      <w:tr w:rsidR="004B3DBE" w:rsidRPr="009F0551" w14:paraId="73845EED" w14:textId="77777777" w:rsidTr="0037161F">
        <w:trPr>
          <w:trHeight w:val="170"/>
        </w:trPr>
        <w:tc>
          <w:tcPr>
            <w:tcW w:w="5000" w:type="pct"/>
            <w:gridSpan w:val="13"/>
            <w:tcBorders>
              <w:top w:val="single" w:sz="4" w:space="0" w:color="auto"/>
              <w:left w:val="nil"/>
              <w:bottom w:val="nil"/>
              <w:right w:val="nil"/>
            </w:tcBorders>
            <w:shd w:val="clear" w:color="auto" w:fill="auto"/>
            <w:noWrap/>
            <w:vAlign w:val="bottom"/>
            <w:hideMark/>
          </w:tcPr>
          <w:p w14:paraId="5469A24E"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Size</w:t>
            </w:r>
          </w:p>
        </w:tc>
      </w:tr>
      <w:tr w:rsidR="004B3DBE" w:rsidRPr="009F0551" w14:paraId="50EDA1A9" w14:textId="77777777" w:rsidTr="0037161F">
        <w:trPr>
          <w:trHeight w:val="170"/>
        </w:trPr>
        <w:tc>
          <w:tcPr>
            <w:tcW w:w="1212" w:type="pct"/>
            <w:tcBorders>
              <w:top w:val="nil"/>
              <w:left w:val="nil"/>
              <w:bottom w:val="nil"/>
              <w:right w:val="nil"/>
            </w:tcBorders>
            <w:shd w:val="clear" w:color="auto" w:fill="auto"/>
            <w:noWrap/>
            <w:vAlign w:val="bottom"/>
            <w:hideMark/>
          </w:tcPr>
          <w:p w14:paraId="383AAD13"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Large</w:t>
            </w:r>
          </w:p>
        </w:tc>
        <w:tc>
          <w:tcPr>
            <w:tcW w:w="317" w:type="pct"/>
            <w:tcBorders>
              <w:top w:val="nil"/>
              <w:left w:val="nil"/>
              <w:bottom w:val="nil"/>
              <w:right w:val="nil"/>
            </w:tcBorders>
            <w:shd w:val="clear" w:color="auto" w:fill="auto"/>
            <w:noWrap/>
            <w:vAlign w:val="bottom"/>
            <w:hideMark/>
          </w:tcPr>
          <w:p w14:paraId="3E0E78DC" w14:textId="48758BF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23%</w:t>
            </w:r>
          </w:p>
        </w:tc>
        <w:tc>
          <w:tcPr>
            <w:tcW w:w="315" w:type="pct"/>
            <w:tcBorders>
              <w:top w:val="nil"/>
              <w:left w:val="nil"/>
              <w:bottom w:val="nil"/>
              <w:right w:val="nil"/>
            </w:tcBorders>
            <w:shd w:val="clear" w:color="auto" w:fill="auto"/>
            <w:noWrap/>
            <w:vAlign w:val="bottom"/>
            <w:hideMark/>
          </w:tcPr>
          <w:p w14:paraId="4C3F6A49" w14:textId="45D7291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35%</w:t>
            </w:r>
          </w:p>
        </w:tc>
        <w:tc>
          <w:tcPr>
            <w:tcW w:w="317" w:type="pct"/>
            <w:tcBorders>
              <w:top w:val="nil"/>
              <w:left w:val="nil"/>
              <w:bottom w:val="nil"/>
              <w:right w:val="nil"/>
            </w:tcBorders>
            <w:shd w:val="clear" w:color="auto" w:fill="auto"/>
            <w:noWrap/>
            <w:vAlign w:val="bottom"/>
            <w:hideMark/>
          </w:tcPr>
          <w:p w14:paraId="37DD4E9B" w14:textId="44426C5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15%</w:t>
            </w:r>
          </w:p>
        </w:tc>
        <w:tc>
          <w:tcPr>
            <w:tcW w:w="315" w:type="pct"/>
            <w:tcBorders>
              <w:top w:val="nil"/>
              <w:left w:val="nil"/>
              <w:bottom w:val="nil"/>
              <w:right w:val="nil"/>
            </w:tcBorders>
            <w:shd w:val="clear" w:color="auto" w:fill="auto"/>
            <w:noWrap/>
            <w:vAlign w:val="bottom"/>
            <w:hideMark/>
          </w:tcPr>
          <w:p w14:paraId="401D7337" w14:textId="5A99858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48%</w:t>
            </w:r>
          </w:p>
        </w:tc>
        <w:tc>
          <w:tcPr>
            <w:tcW w:w="317" w:type="pct"/>
            <w:tcBorders>
              <w:top w:val="nil"/>
              <w:left w:val="nil"/>
              <w:bottom w:val="nil"/>
              <w:right w:val="nil"/>
            </w:tcBorders>
            <w:shd w:val="clear" w:color="auto" w:fill="auto"/>
            <w:noWrap/>
            <w:vAlign w:val="bottom"/>
            <w:hideMark/>
          </w:tcPr>
          <w:p w14:paraId="44D9D5D4" w14:textId="2CD5A18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43%</w:t>
            </w:r>
          </w:p>
        </w:tc>
        <w:tc>
          <w:tcPr>
            <w:tcW w:w="315" w:type="pct"/>
            <w:tcBorders>
              <w:top w:val="nil"/>
              <w:left w:val="nil"/>
              <w:bottom w:val="nil"/>
              <w:right w:val="nil"/>
            </w:tcBorders>
            <w:shd w:val="clear" w:color="auto" w:fill="auto"/>
            <w:noWrap/>
            <w:vAlign w:val="bottom"/>
            <w:hideMark/>
          </w:tcPr>
          <w:p w14:paraId="73ECFF7A" w14:textId="7D559B5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78%</w:t>
            </w:r>
          </w:p>
        </w:tc>
        <w:tc>
          <w:tcPr>
            <w:tcW w:w="317" w:type="pct"/>
            <w:tcBorders>
              <w:top w:val="nil"/>
              <w:left w:val="nil"/>
              <w:bottom w:val="nil"/>
              <w:right w:val="nil"/>
            </w:tcBorders>
            <w:shd w:val="clear" w:color="auto" w:fill="auto"/>
            <w:noWrap/>
            <w:vAlign w:val="bottom"/>
            <w:hideMark/>
          </w:tcPr>
          <w:p w14:paraId="6611E6E0" w14:textId="272EB67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11%</w:t>
            </w:r>
          </w:p>
        </w:tc>
        <w:tc>
          <w:tcPr>
            <w:tcW w:w="315" w:type="pct"/>
            <w:tcBorders>
              <w:top w:val="nil"/>
              <w:left w:val="nil"/>
              <w:bottom w:val="nil"/>
              <w:right w:val="nil"/>
            </w:tcBorders>
            <w:shd w:val="clear" w:color="auto" w:fill="auto"/>
            <w:noWrap/>
            <w:vAlign w:val="bottom"/>
            <w:hideMark/>
          </w:tcPr>
          <w:p w14:paraId="57D30D72" w14:textId="62DC852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35%</w:t>
            </w:r>
          </w:p>
        </w:tc>
        <w:tc>
          <w:tcPr>
            <w:tcW w:w="317" w:type="pct"/>
            <w:tcBorders>
              <w:top w:val="nil"/>
              <w:left w:val="nil"/>
              <w:bottom w:val="nil"/>
              <w:right w:val="nil"/>
            </w:tcBorders>
            <w:shd w:val="clear" w:color="auto" w:fill="auto"/>
            <w:noWrap/>
            <w:vAlign w:val="bottom"/>
            <w:hideMark/>
          </w:tcPr>
          <w:p w14:paraId="56B7A1BC" w14:textId="67053FE9"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28%</w:t>
            </w:r>
          </w:p>
        </w:tc>
        <w:tc>
          <w:tcPr>
            <w:tcW w:w="315" w:type="pct"/>
            <w:tcBorders>
              <w:top w:val="nil"/>
              <w:left w:val="nil"/>
              <w:bottom w:val="nil"/>
              <w:right w:val="nil"/>
            </w:tcBorders>
            <w:shd w:val="clear" w:color="auto" w:fill="auto"/>
            <w:noWrap/>
            <w:vAlign w:val="bottom"/>
            <w:hideMark/>
          </w:tcPr>
          <w:p w14:paraId="5DC48289" w14:textId="5BD8F0A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48%</w:t>
            </w:r>
          </w:p>
        </w:tc>
        <w:tc>
          <w:tcPr>
            <w:tcW w:w="317" w:type="pct"/>
            <w:tcBorders>
              <w:top w:val="nil"/>
              <w:left w:val="nil"/>
              <w:bottom w:val="nil"/>
              <w:right w:val="nil"/>
            </w:tcBorders>
            <w:shd w:val="clear" w:color="auto" w:fill="auto"/>
            <w:noWrap/>
            <w:vAlign w:val="bottom"/>
            <w:hideMark/>
          </w:tcPr>
          <w:p w14:paraId="56D0A86C" w14:textId="0463F70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28%</w:t>
            </w:r>
          </w:p>
        </w:tc>
        <w:tc>
          <w:tcPr>
            <w:tcW w:w="315" w:type="pct"/>
            <w:tcBorders>
              <w:top w:val="nil"/>
              <w:left w:val="nil"/>
              <w:bottom w:val="nil"/>
              <w:right w:val="nil"/>
            </w:tcBorders>
            <w:shd w:val="clear" w:color="auto" w:fill="auto"/>
            <w:noWrap/>
            <w:vAlign w:val="bottom"/>
            <w:hideMark/>
          </w:tcPr>
          <w:p w14:paraId="1DDA0B3B" w14:textId="73C888B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77%</w:t>
            </w:r>
          </w:p>
        </w:tc>
      </w:tr>
      <w:tr w:rsidR="004B3DBE" w:rsidRPr="009F0551" w14:paraId="2B3D39BC" w14:textId="77777777" w:rsidTr="0037161F">
        <w:trPr>
          <w:trHeight w:val="170"/>
        </w:trPr>
        <w:tc>
          <w:tcPr>
            <w:tcW w:w="1212" w:type="pct"/>
            <w:tcBorders>
              <w:top w:val="nil"/>
              <w:left w:val="nil"/>
              <w:bottom w:val="nil"/>
              <w:right w:val="nil"/>
            </w:tcBorders>
            <w:shd w:val="clear" w:color="auto" w:fill="auto"/>
            <w:noWrap/>
            <w:vAlign w:val="bottom"/>
            <w:hideMark/>
          </w:tcPr>
          <w:p w14:paraId="475FB852"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Mid</w:t>
            </w:r>
          </w:p>
        </w:tc>
        <w:tc>
          <w:tcPr>
            <w:tcW w:w="317" w:type="pct"/>
            <w:tcBorders>
              <w:top w:val="nil"/>
              <w:left w:val="nil"/>
              <w:bottom w:val="nil"/>
              <w:right w:val="nil"/>
            </w:tcBorders>
            <w:shd w:val="clear" w:color="auto" w:fill="auto"/>
            <w:noWrap/>
            <w:vAlign w:val="bottom"/>
            <w:hideMark/>
          </w:tcPr>
          <w:p w14:paraId="3E2EF928" w14:textId="06BEF2E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02%</w:t>
            </w:r>
          </w:p>
        </w:tc>
        <w:tc>
          <w:tcPr>
            <w:tcW w:w="315" w:type="pct"/>
            <w:tcBorders>
              <w:top w:val="nil"/>
              <w:left w:val="nil"/>
              <w:bottom w:val="nil"/>
              <w:right w:val="nil"/>
            </w:tcBorders>
            <w:shd w:val="clear" w:color="auto" w:fill="auto"/>
            <w:noWrap/>
            <w:vAlign w:val="bottom"/>
            <w:hideMark/>
          </w:tcPr>
          <w:p w14:paraId="2B19456E" w14:textId="54445F39"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15%</w:t>
            </w:r>
          </w:p>
        </w:tc>
        <w:tc>
          <w:tcPr>
            <w:tcW w:w="317" w:type="pct"/>
            <w:tcBorders>
              <w:top w:val="nil"/>
              <w:left w:val="nil"/>
              <w:bottom w:val="nil"/>
              <w:right w:val="nil"/>
            </w:tcBorders>
            <w:shd w:val="clear" w:color="auto" w:fill="auto"/>
            <w:noWrap/>
            <w:vAlign w:val="bottom"/>
            <w:hideMark/>
          </w:tcPr>
          <w:p w14:paraId="038954E5" w14:textId="26BB531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45%</w:t>
            </w:r>
          </w:p>
        </w:tc>
        <w:tc>
          <w:tcPr>
            <w:tcW w:w="315" w:type="pct"/>
            <w:tcBorders>
              <w:top w:val="nil"/>
              <w:left w:val="nil"/>
              <w:bottom w:val="nil"/>
              <w:right w:val="nil"/>
            </w:tcBorders>
            <w:shd w:val="clear" w:color="auto" w:fill="auto"/>
            <w:noWrap/>
            <w:vAlign w:val="bottom"/>
            <w:hideMark/>
          </w:tcPr>
          <w:p w14:paraId="468A970E" w14:textId="53A47A8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25%</w:t>
            </w:r>
          </w:p>
        </w:tc>
        <w:tc>
          <w:tcPr>
            <w:tcW w:w="317" w:type="pct"/>
            <w:tcBorders>
              <w:top w:val="nil"/>
              <w:left w:val="nil"/>
              <w:bottom w:val="nil"/>
              <w:right w:val="nil"/>
            </w:tcBorders>
            <w:shd w:val="clear" w:color="auto" w:fill="auto"/>
            <w:noWrap/>
            <w:vAlign w:val="bottom"/>
            <w:hideMark/>
          </w:tcPr>
          <w:p w14:paraId="4DD1C0F6" w14:textId="6CB194F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22%</w:t>
            </w:r>
          </w:p>
        </w:tc>
        <w:tc>
          <w:tcPr>
            <w:tcW w:w="315" w:type="pct"/>
            <w:tcBorders>
              <w:top w:val="nil"/>
              <w:left w:val="nil"/>
              <w:bottom w:val="nil"/>
              <w:right w:val="nil"/>
            </w:tcBorders>
            <w:shd w:val="clear" w:color="auto" w:fill="auto"/>
            <w:noWrap/>
            <w:vAlign w:val="bottom"/>
            <w:hideMark/>
          </w:tcPr>
          <w:p w14:paraId="02E48526" w14:textId="4ABD7CAF"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45%</w:t>
            </w:r>
          </w:p>
        </w:tc>
        <w:tc>
          <w:tcPr>
            <w:tcW w:w="317" w:type="pct"/>
            <w:tcBorders>
              <w:top w:val="nil"/>
              <w:left w:val="nil"/>
              <w:bottom w:val="nil"/>
              <w:right w:val="nil"/>
            </w:tcBorders>
            <w:shd w:val="clear" w:color="auto" w:fill="auto"/>
            <w:noWrap/>
            <w:vAlign w:val="bottom"/>
            <w:hideMark/>
          </w:tcPr>
          <w:p w14:paraId="13D4A5E0" w14:textId="5FB491A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15%</w:t>
            </w:r>
          </w:p>
        </w:tc>
        <w:tc>
          <w:tcPr>
            <w:tcW w:w="315" w:type="pct"/>
            <w:tcBorders>
              <w:top w:val="nil"/>
              <w:left w:val="nil"/>
              <w:bottom w:val="nil"/>
              <w:right w:val="nil"/>
            </w:tcBorders>
            <w:shd w:val="clear" w:color="auto" w:fill="auto"/>
            <w:noWrap/>
            <w:vAlign w:val="bottom"/>
            <w:hideMark/>
          </w:tcPr>
          <w:p w14:paraId="5FEC3627" w14:textId="5B828379"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15%</w:t>
            </w:r>
          </w:p>
        </w:tc>
        <w:tc>
          <w:tcPr>
            <w:tcW w:w="317" w:type="pct"/>
            <w:tcBorders>
              <w:top w:val="nil"/>
              <w:left w:val="nil"/>
              <w:bottom w:val="nil"/>
              <w:right w:val="nil"/>
            </w:tcBorders>
            <w:shd w:val="clear" w:color="auto" w:fill="auto"/>
            <w:noWrap/>
            <w:vAlign w:val="bottom"/>
            <w:hideMark/>
          </w:tcPr>
          <w:p w14:paraId="03E6545B" w14:textId="7FEFAD0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45%</w:t>
            </w:r>
          </w:p>
        </w:tc>
        <w:tc>
          <w:tcPr>
            <w:tcW w:w="315" w:type="pct"/>
            <w:tcBorders>
              <w:top w:val="nil"/>
              <w:left w:val="nil"/>
              <w:bottom w:val="nil"/>
              <w:right w:val="nil"/>
            </w:tcBorders>
            <w:shd w:val="clear" w:color="auto" w:fill="auto"/>
            <w:noWrap/>
            <w:vAlign w:val="bottom"/>
            <w:hideMark/>
          </w:tcPr>
          <w:p w14:paraId="363EE6E6" w14:textId="57AF5AE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37</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25%</w:t>
            </w:r>
          </w:p>
        </w:tc>
        <w:tc>
          <w:tcPr>
            <w:tcW w:w="317" w:type="pct"/>
            <w:tcBorders>
              <w:top w:val="nil"/>
              <w:left w:val="nil"/>
              <w:bottom w:val="nil"/>
              <w:right w:val="nil"/>
            </w:tcBorders>
            <w:shd w:val="clear" w:color="auto" w:fill="auto"/>
            <w:noWrap/>
            <w:vAlign w:val="bottom"/>
            <w:hideMark/>
          </w:tcPr>
          <w:p w14:paraId="262CD61B" w14:textId="5477A73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40%</w:t>
            </w:r>
          </w:p>
        </w:tc>
        <w:tc>
          <w:tcPr>
            <w:tcW w:w="315" w:type="pct"/>
            <w:tcBorders>
              <w:top w:val="nil"/>
              <w:left w:val="nil"/>
              <w:bottom w:val="nil"/>
              <w:right w:val="nil"/>
            </w:tcBorders>
            <w:shd w:val="clear" w:color="auto" w:fill="auto"/>
            <w:noWrap/>
            <w:vAlign w:val="bottom"/>
            <w:hideMark/>
          </w:tcPr>
          <w:p w14:paraId="211E8767" w14:textId="34CCF0E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55%</w:t>
            </w:r>
          </w:p>
        </w:tc>
      </w:tr>
      <w:tr w:rsidR="004B3DBE" w:rsidRPr="009F0551" w14:paraId="4258B058" w14:textId="77777777" w:rsidTr="0037161F">
        <w:trPr>
          <w:trHeight w:val="170"/>
        </w:trPr>
        <w:tc>
          <w:tcPr>
            <w:tcW w:w="1212" w:type="pct"/>
            <w:tcBorders>
              <w:top w:val="nil"/>
              <w:left w:val="nil"/>
              <w:bottom w:val="nil"/>
              <w:right w:val="nil"/>
            </w:tcBorders>
            <w:shd w:val="clear" w:color="auto" w:fill="auto"/>
            <w:noWrap/>
            <w:vAlign w:val="bottom"/>
            <w:hideMark/>
          </w:tcPr>
          <w:p w14:paraId="66DCA76D"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Small</w:t>
            </w:r>
          </w:p>
        </w:tc>
        <w:tc>
          <w:tcPr>
            <w:tcW w:w="317" w:type="pct"/>
            <w:tcBorders>
              <w:top w:val="nil"/>
              <w:left w:val="nil"/>
              <w:bottom w:val="nil"/>
              <w:right w:val="nil"/>
            </w:tcBorders>
            <w:shd w:val="clear" w:color="auto" w:fill="auto"/>
            <w:noWrap/>
            <w:vAlign w:val="bottom"/>
            <w:hideMark/>
          </w:tcPr>
          <w:p w14:paraId="3A100166" w14:textId="70ECFD7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75%</w:t>
            </w:r>
          </w:p>
        </w:tc>
        <w:tc>
          <w:tcPr>
            <w:tcW w:w="315" w:type="pct"/>
            <w:tcBorders>
              <w:top w:val="nil"/>
              <w:left w:val="nil"/>
              <w:bottom w:val="nil"/>
              <w:right w:val="nil"/>
            </w:tcBorders>
            <w:shd w:val="clear" w:color="auto" w:fill="auto"/>
            <w:noWrap/>
            <w:vAlign w:val="bottom"/>
            <w:hideMark/>
          </w:tcPr>
          <w:p w14:paraId="1312891D" w14:textId="1336FF8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50%</w:t>
            </w:r>
          </w:p>
        </w:tc>
        <w:tc>
          <w:tcPr>
            <w:tcW w:w="317" w:type="pct"/>
            <w:tcBorders>
              <w:top w:val="nil"/>
              <w:left w:val="nil"/>
              <w:bottom w:val="nil"/>
              <w:right w:val="nil"/>
            </w:tcBorders>
            <w:shd w:val="clear" w:color="auto" w:fill="auto"/>
            <w:noWrap/>
            <w:vAlign w:val="bottom"/>
            <w:hideMark/>
          </w:tcPr>
          <w:p w14:paraId="4922D5F5" w14:textId="42A72B8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40%</w:t>
            </w:r>
          </w:p>
        </w:tc>
        <w:tc>
          <w:tcPr>
            <w:tcW w:w="315" w:type="pct"/>
            <w:tcBorders>
              <w:top w:val="nil"/>
              <w:left w:val="nil"/>
              <w:bottom w:val="nil"/>
              <w:right w:val="nil"/>
            </w:tcBorders>
            <w:shd w:val="clear" w:color="auto" w:fill="auto"/>
            <w:noWrap/>
            <w:vAlign w:val="bottom"/>
            <w:hideMark/>
          </w:tcPr>
          <w:p w14:paraId="5876E93A" w14:textId="315EF6F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28%</w:t>
            </w:r>
          </w:p>
        </w:tc>
        <w:tc>
          <w:tcPr>
            <w:tcW w:w="317" w:type="pct"/>
            <w:tcBorders>
              <w:top w:val="nil"/>
              <w:left w:val="nil"/>
              <w:bottom w:val="nil"/>
              <w:right w:val="nil"/>
            </w:tcBorders>
            <w:shd w:val="clear" w:color="auto" w:fill="auto"/>
            <w:noWrap/>
            <w:vAlign w:val="bottom"/>
            <w:hideMark/>
          </w:tcPr>
          <w:p w14:paraId="64DE2C03" w14:textId="5BF64C8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35%</w:t>
            </w:r>
          </w:p>
        </w:tc>
        <w:tc>
          <w:tcPr>
            <w:tcW w:w="315" w:type="pct"/>
            <w:tcBorders>
              <w:top w:val="nil"/>
              <w:left w:val="nil"/>
              <w:bottom w:val="nil"/>
              <w:right w:val="nil"/>
            </w:tcBorders>
            <w:shd w:val="clear" w:color="auto" w:fill="auto"/>
            <w:noWrap/>
            <w:vAlign w:val="bottom"/>
            <w:hideMark/>
          </w:tcPr>
          <w:p w14:paraId="3A4B560B" w14:textId="1ABA618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77%</w:t>
            </w:r>
          </w:p>
        </w:tc>
        <w:tc>
          <w:tcPr>
            <w:tcW w:w="317" w:type="pct"/>
            <w:tcBorders>
              <w:top w:val="nil"/>
              <w:left w:val="nil"/>
              <w:bottom w:val="nil"/>
              <w:right w:val="nil"/>
            </w:tcBorders>
            <w:shd w:val="clear" w:color="auto" w:fill="auto"/>
            <w:noWrap/>
            <w:vAlign w:val="bottom"/>
            <w:hideMark/>
          </w:tcPr>
          <w:p w14:paraId="7730AD7F" w14:textId="54437B1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74%</w:t>
            </w:r>
          </w:p>
        </w:tc>
        <w:tc>
          <w:tcPr>
            <w:tcW w:w="315" w:type="pct"/>
            <w:tcBorders>
              <w:top w:val="nil"/>
              <w:left w:val="nil"/>
              <w:bottom w:val="nil"/>
              <w:right w:val="nil"/>
            </w:tcBorders>
            <w:shd w:val="clear" w:color="auto" w:fill="auto"/>
            <w:noWrap/>
            <w:vAlign w:val="bottom"/>
            <w:hideMark/>
          </w:tcPr>
          <w:p w14:paraId="217CE89C" w14:textId="1E7C578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50%</w:t>
            </w:r>
          </w:p>
        </w:tc>
        <w:tc>
          <w:tcPr>
            <w:tcW w:w="317" w:type="pct"/>
            <w:tcBorders>
              <w:top w:val="nil"/>
              <w:left w:val="nil"/>
              <w:bottom w:val="nil"/>
              <w:right w:val="nil"/>
            </w:tcBorders>
            <w:shd w:val="clear" w:color="auto" w:fill="auto"/>
            <w:noWrap/>
            <w:vAlign w:val="bottom"/>
            <w:hideMark/>
          </w:tcPr>
          <w:p w14:paraId="4FF46BBB" w14:textId="7A6F713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27%</w:t>
            </w:r>
          </w:p>
        </w:tc>
        <w:tc>
          <w:tcPr>
            <w:tcW w:w="315" w:type="pct"/>
            <w:tcBorders>
              <w:top w:val="nil"/>
              <w:left w:val="nil"/>
              <w:bottom w:val="nil"/>
              <w:right w:val="nil"/>
            </w:tcBorders>
            <w:shd w:val="clear" w:color="auto" w:fill="auto"/>
            <w:noWrap/>
            <w:vAlign w:val="bottom"/>
            <w:hideMark/>
          </w:tcPr>
          <w:p w14:paraId="6ED5D493" w14:textId="4E59ADE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27%</w:t>
            </w:r>
          </w:p>
        </w:tc>
        <w:tc>
          <w:tcPr>
            <w:tcW w:w="317" w:type="pct"/>
            <w:tcBorders>
              <w:top w:val="nil"/>
              <w:left w:val="nil"/>
              <w:bottom w:val="nil"/>
              <w:right w:val="nil"/>
            </w:tcBorders>
            <w:shd w:val="clear" w:color="auto" w:fill="auto"/>
            <w:noWrap/>
            <w:vAlign w:val="bottom"/>
            <w:hideMark/>
          </w:tcPr>
          <w:p w14:paraId="1C48FDF8" w14:textId="76E5F90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32%</w:t>
            </w:r>
          </w:p>
        </w:tc>
        <w:tc>
          <w:tcPr>
            <w:tcW w:w="315" w:type="pct"/>
            <w:tcBorders>
              <w:top w:val="nil"/>
              <w:left w:val="nil"/>
              <w:bottom w:val="nil"/>
              <w:right w:val="nil"/>
            </w:tcBorders>
            <w:shd w:val="clear" w:color="auto" w:fill="auto"/>
            <w:noWrap/>
            <w:vAlign w:val="bottom"/>
            <w:hideMark/>
          </w:tcPr>
          <w:p w14:paraId="3743E298" w14:textId="610953F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68%</w:t>
            </w:r>
          </w:p>
        </w:tc>
      </w:tr>
      <w:tr w:rsidR="004B3DBE" w:rsidRPr="009F0551" w14:paraId="4726C35A" w14:textId="77777777" w:rsidTr="0037161F">
        <w:trPr>
          <w:trHeight w:val="170"/>
        </w:trPr>
        <w:tc>
          <w:tcPr>
            <w:tcW w:w="1212" w:type="pct"/>
            <w:tcBorders>
              <w:top w:val="nil"/>
              <w:left w:val="nil"/>
              <w:bottom w:val="nil"/>
              <w:right w:val="nil"/>
            </w:tcBorders>
            <w:shd w:val="clear" w:color="auto" w:fill="auto"/>
            <w:noWrap/>
            <w:vAlign w:val="bottom"/>
            <w:hideMark/>
          </w:tcPr>
          <w:p w14:paraId="5F71F29D"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R2</w:t>
            </w:r>
          </w:p>
        </w:tc>
        <w:tc>
          <w:tcPr>
            <w:tcW w:w="317" w:type="pct"/>
            <w:tcBorders>
              <w:top w:val="nil"/>
              <w:left w:val="nil"/>
              <w:bottom w:val="nil"/>
              <w:right w:val="nil"/>
            </w:tcBorders>
            <w:shd w:val="clear" w:color="auto" w:fill="auto"/>
            <w:noWrap/>
            <w:vAlign w:val="bottom"/>
            <w:hideMark/>
          </w:tcPr>
          <w:p w14:paraId="3175584A" w14:textId="7E51E80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871</w:t>
            </w:r>
          </w:p>
        </w:tc>
        <w:tc>
          <w:tcPr>
            <w:tcW w:w="315" w:type="pct"/>
            <w:tcBorders>
              <w:top w:val="nil"/>
              <w:left w:val="nil"/>
              <w:bottom w:val="nil"/>
              <w:right w:val="nil"/>
            </w:tcBorders>
            <w:shd w:val="clear" w:color="auto" w:fill="auto"/>
            <w:noWrap/>
            <w:vAlign w:val="bottom"/>
            <w:hideMark/>
          </w:tcPr>
          <w:p w14:paraId="7DC8CDE5" w14:textId="621C562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923</w:t>
            </w:r>
          </w:p>
        </w:tc>
        <w:tc>
          <w:tcPr>
            <w:tcW w:w="317" w:type="pct"/>
            <w:tcBorders>
              <w:top w:val="nil"/>
              <w:left w:val="nil"/>
              <w:bottom w:val="nil"/>
              <w:right w:val="nil"/>
            </w:tcBorders>
            <w:shd w:val="clear" w:color="auto" w:fill="auto"/>
            <w:noWrap/>
            <w:vAlign w:val="bottom"/>
            <w:hideMark/>
          </w:tcPr>
          <w:p w14:paraId="1B8FC12E" w14:textId="475CCB8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866</w:t>
            </w:r>
          </w:p>
        </w:tc>
        <w:tc>
          <w:tcPr>
            <w:tcW w:w="315" w:type="pct"/>
            <w:tcBorders>
              <w:top w:val="nil"/>
              <w:left w:val="nil"/>
              <w:bottom w:val="nil"/>
              <w:right w:val="nil"/>
            </w:tcBorders>
            <w:shd w:val="clear" w:color="auto" w:fill="auto"/>
            <w:noWrap/>
            <w:vAlign w:val="bottom"/>
            <w:hideMark/>
          </w:tcPr>
          <w:p w14:paraId="74F2C644" w14:textId="60D0B52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932</w:t>
            </w:r>
          </w:p>
        </w:tc>
        <w:tc>
          <w:tcPr>
            <w:tcW w:w="317" w:type="pct"/>
            <w:tcBorders>
              <w:top w:val="nil"/>
              <w:left w:val="nil"/>
              <w:bottom w:val="nil"/>
              <w:right w:val="nil"/>
            </w:tcBorders>
            <w:shd w:val="clear" w:color="auto" w:fill="auto"/>
            <w:noWrap/>
            <w:vAlign w:val="bottom"/>
            <w:hideMark/>
          </w:tcPr>
          <w:p w14:paraId="20AD26A0" w14:textId="565963B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853</w:t>
            </w:r>
          </w:p>
        </w:tc>
        <w:tc>
          <w:tcPr>
            <w:tcW w:w="315" w:type="pct"/>
            <w:tcBorders>
              <w:top w:val="nil"/>
              <w:left w:val="nil"/>
              <w:bottom w:val="nil"/>
              <w:right w:val="nil"/>
            </w:tcBorders>
            <w:shd w:val="clear" w:color="auto" w:fill="auto"/>
            <w:noWrap/>
            <w:vAlign w:val="bottom"/>
            <w:hideMark/>
          </w:tcPr>
          <w:p w14:paraId="2DAF8EC9" w14:textId="35CA08E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875</w:t>
            </w:r>
          </w:p>
        </w:tc>
        <w:tc>
          <w:tcPr>
            <w:tcW w:w="317" w:type="pct"/>
            <w:tcBorders>
              <w:top w:val="nil"/>
              <w:left w:val="nil"/>
              <w:bottom w:val="nil"/>
              <w:right w:val="nil"/>
            </w:tcBorders>
            <w:shd w:val="clear" w:color="auto" w:fill="auto"/>
            <w:noWrap/>
            <w:vAlign w:val="bottom"/>
            <w:hideMark/>
          </w:tcPr>
          <w:p w14:paraId="43057383" w14:textId="67A7ECF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925</w:t>
            </w:r>
          </w:p>
        </w:tc>
        <w:tc>
          <w:tcPr>
            <w:tcW w:w="315" w:type="pct"/>
            <w:tcBorders>
              <w:top w:val="nil"/>
              <w:left w:val="nil"/>
              <w:bottom w:val="nil"/>
              <w:right w:val="nil"/>
            </w:tcBorders>
            <w:shd w:val="clear" w:color="auto" w:fill="auto"/>
            <w:noWrap/>
            <w:vAlign w:val="bottom"/>
            <w:hideMark/>
          </w:tcPr>
          <w:p w14:paraId="432D2ECC" w14:textId="3FDDA5A2"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874</w:t>
            </w:r>
          </w:p>
        </w:tc>
        <w:tc>
          <w:tcPr>
            <w:tcW w:w="317" w:type="pct"/>
            <w:tcBorders>
              <w:top w:val="nil"/>
              <w:left w:val="nil"/>
              <w:bottom w:val="nil"/>
              <w:right w:val="nil"/>
            </w:tcBorders>
            <w:shd w:val="clear" w:color="auto" w:fill="auto"/>
            <w:noWrap/>
            <w:vAlign w:val="bottom"/>
            <w:hideMark/>
          </w:tcPr>
          <w:p w14:paraId="37692984" w14:textId="5F18AF8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896</w:t>
            </w:r>
          </w:p>
        </w:tc>
        <w:tc>
          <w:tcPr>
            <w:tcW w:w="315" w:type="pct"/>
            <w:tcBorders>
              <w:top w:val="nil"/>
              <w:left w:val="nil"/>
              <w:bottom w:val="nil"/>
              <w:right w:val="nil"/>
            </w:tcBorders>
            <w:shd w:val="clear" w:color="auto" w:fill="auto"/>
            <w:noWrap/>
            <w:vAlign w:val="bottom"/>
            <w:hideMark/>
          </w:tcPr>
          <w:p w14:paraId="586A8BE3" w14:textId="3226DDB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832</w:t>
            </w:r>
          </w:p>
        </w:tc>
        <w:tc>
          <w:tcPr>
            <w:tcW w:w="317" w:type="pct"/>
            <w:tcBorders>
              <w:top w:val="nil"/>
              <w:left w:val="nil"/>
              <w:bottom w:val="nil"/>
              <w:right w:val="nil"/>
            </w:tcBorders>
            <w:shd w:val="clear" w:color="auto" w:fill="auto"/>
            <w:noWrap/>
            <w:vAlign w:val="bottom"/>
            <w:hideMark/>
          </w:tcPr>
          <w:p w14:paraId="0A8562A1" w14:textId="6A0FB45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937</w:t>
            </w:r>
          </w:p>
        </w:tc>
        <w:tc>
          <w:tcPr>
            <w:tcW w:w="315" w:type="pct"/>
            <w:tcBorders>
              <w:top w:val="nil"/>
              <w:left w:val="nil"/>
              <w:bottom w:val="nil"/>
              <w:right w:val="nil"/>
            </w:tcBorders>
            <w:shd w:val="clear" w:color="auto" w:fill="auto"/>
            <w:noWrap/>
            <w:vAlign w:val="bottom"/>
            <w:hideMark/>
          </w:tcPr>
          <w:p w14:paraId="3A2561D4" w14:textId="7159612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877</w:t>
            </w:r>
          </w:p>
        </w:tc>
      </w:tr>
      <w:tr w:rsidR="004B3DBE" w:rsidRPr="009F0551" w14:paraId="4436110F" w14:textId="77777777" w:rsidTr="0037161F">
        <w:trPr>
          <w:trHeight w:val="170"/>
        </w:trPr>
        <w:tc>
          <w:tcPr>
            <w:tcW w:w="1212" w:type="pct"/>
            <w:tcBorders>
              <w:top w:val="nil"/>
              <w:left w:val="nil"/>
              <w:bottom w:val="nil"/>
              <w:right w:val="nil"/>
            </w:tcBorders>
            <w:shd w:val="clear" w:color="auto" w:fill="auto"/>
            <w:noWrap/>
            <w:vAlign w:val="bottom"/>
            <w:hideMark/>
          </w:tcPr>
          <w:p w14:paraId="35213C85"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Tracking Error</w:t>
            </w:r>
          </w:p>
        </w:tc>
        <w:tc>
          <w:tcPr>
            <w:tcW w:w="317" w:type="pct"/>
            <w:tcBorders>
              <w:top w:val="nil"/>
              <w:left w:val="nil"/>
              <w:bottom w:val="nil"/>
              <w:right w:val="nil"/>
            </w:tcBorders>
            <w:shd w:val="clear" w:color="auto" w:fill="auto"/>
            <w:noWrap/>
            <w:vAlign w:val="bottom"/>
            <w:hideMark/>
          </w:tcPr>
          <w:p w14:paraId="571B9893" w14:textId="1E1766D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85%</w:t>
            </w:r>
          </w:p>
        </w:tc>
        <w:tc>
          <w:tcPr>
            <w:tcW w:w="315" w:type="pct"/>
            <w:tcBorders>
              <w:top w:val="nil"/>
              <w:left w:val="nil"/>
              <w:bottom w:val="nil"/>
              <w:right w:val="nil"/>
            </w:tcBorders>
            <w:shd w:val="clear" w:color="auto" w:fill="auto"/>
            <w:noWrap/>
            <w:vAlign w:val="bottom"/>
            <w:hideMark/>
          </w:tcPr>
          <w:p w14:paraId="58B92C92" w14:textId="2617B9E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55%</w:t>
            </w:r>
          </w:p>
        </w:tc>
        <w:tc>
          <w:tcPr>
            <w:tcW w:w="317" w:type="pct"/>
            <w:tcBorders>
              <w:top w:val="nil"/>
              <w:left w:val="nil"/>
              <w:bottom w:val="nil"/>
              <w:right w:val="nil"/>
            </w:tcBorders>
            <w:shd w:val="clear" w:color="auto" w:fill="auto"/>
            <w:noWrap/>
            <w:vAlign w:val="bottom"/>
            <w:hideMark/>
          </w:tcPr>
          <w:p w14:paraId="52EFCFD4" w14:textId="7023CBE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70%</w:t>
            </w:r>
          </w:p>
        </w:tc>
        <w:tc>
          <w:tcPr>
            <w:tcW w:w="315" w:type="pct"/>
            <w:tcBorders>
              <w:top w:val="nil"/>
              <w:left w:val="nil"/>
              <w:bottom w:val="nil"/>
              <w:right w:val="nil"/>
            </w:tcBorders>
            <w:shd w:val="clear" w:color="auto" w:fill="auto"/>
            <w:noWrap/>
            <w:vAlign w:val="bottom"/>
            <w:hideMark/>
          </w:tcPr>
          <w:p w14:paraId="5504DC58" w14:textId="21A5008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78%</w:t>
            </w:r>
          </w:p>
        </w:tc>
        <w:tc>
          <w:tcPr>
            <w:tcW w:w="317" w:type="pct"/>
            <w:tcBorders>
              <w:top w:val="nil"/>
              <w:left w:val="nil"/>
              <w:bottom w:val="nil"/>
              <w:right w:val="nil"/>
            </w:tcBorders>
            <w:shd w:val="clear" w:color="auto" w:fill="auto"/>
            <w:noWrap/>
            <w:vAlign w:val="bottom"/>
            <w:hideMark/>
          </w:tcPr>
          <w:p w14:paraId="3685FE20" w14:textId="2EC8ACA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97%</w:t>
            </w:r>
          </w:p>
        </w:tc>
        <w:tc>
          <w:tcPr>
            <w:tcW w:w="315" w:type="pct"/>
            <w:tcBorders>
              <w:top w:val="nil"/>
              <w:left w:val="nil"/>
              <w:bottom w:val="nil"/>
              <w:right w:val="nil"/>
            </w:tcBorders>
            <w:shd w:val="clear" w:color="auto" w:fill="auto"/>
            <w:noWrap/>
            <w:vAlign w:val="bottom"/>
            <w:hideMark/>
          </w:tcPr>
          <w:p w14:paraId="4D72E984" w14:textId="64D20E5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70%</w:t>
            </w:r>
          </w:p>
        </w:tc>
        <w:tc>
          <w:tcPr>
            <w:tcW w:w="317" w:type="pct"/>
            <w:tcBorders>
              <w:top w:val="nil"/>
              <w:left w:val="nil"/>
              <w:bottom w:val="nil"/>
              <w:right w:val="nil"/>
            </w:tcBorders>
            <w:shd w:val="clear" w:color="auto" w:fill="auto"/>
            <w:noWrap/>
            <w:vAlign w:val="bottom"/>
            <w:hideMark/>
          </w:tcPr>
          <w:p w14:paraId="4C754944" w14:textId="14E04C0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52%</w:t>
            </w:r>
          </w:p>
        </w:tc>
        <w:tc>
          <w:tcPr>
            <w:tcW w:w="315" w:type="pct"/>
            <w:tcBorders>
              <w:top w:val="nil"/>
              <w:left w:val="nil"/>
              <w:bottom w:val="nil"/>
              <w:right w:val="nil"/>
            </w:tcBorders>
            <w:shd w:val="clear" w:color="auto" w:fill="auto"/>
            <w:noWrap/>
            <w:vAlign w:val="bottom"/>
            <w:hideMark/>
          </w:tcPr>
          <w:p w14:paraId="4A888726" w14:textId="4349B78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88%</w:t>
            </w:r>
          </w:p>
        </w:tc>
        <w:tc>
          <w:tcPr>
            <w:tcW w:w="317" w:type="pct"/>
            <w:tcBorders>
              <w:top w:val="nil"/>
              <w:left w:val="nil"/>
              <w:bottom w:val="nil"/>
              <w:right w:val="nil"/>
            </w:tcBorders>
            <w:shd w:val="clear" w:color="auto" w:fill="auto"/>
            <w:noWrap/>
            <w:vAlign w:val="bottom"/>
            <w:hideMark/>
          </w:tcPr>
          <w:p w14:paraId="72B5A7A6" w14:textId="2DDDEC7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97%</w:t>
            </w:r>
          </w:p>
        </w:tc>
        <w:tc>
          <w:tcPr>
            <w:tcW w:w="315" w:type="pct"/>
            <w:tcBorders>
              <w:top w:val="nil"/>
              <w:left w:val="nil"/>
              <w:bottom w:val="nil"/>
              <w:right w:val="nil"/>
            </w:tcBorders>
            <w:shd w:val="clear" w:color="auto" w:fill="auto"/>
            <w:noWrap/>
            <w:vAlign w:val="bottom"/>
            <w:hideMark/>
          </w:tcPr>
          <w:p w14:paraId="3DED8C42" w14:textId="6571EFE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81%</w:t>
            </w:r>
          </w:p>
        </w:tc>
        <w:tc>
          <w:tcPr>
            <w:tcW w:w="317" w:type="pct"/>
            <w:tcBorders>
              <w:top w:val="nil"/>
              <w:left w:val="nil"/>
              <w:bottom w:val="nil"/>
              <w:right w:val="nil"/>
            </w:tcBorders>
            <w:shd w:val="clear" w:color="auto" w:fill="auto"/>
            <w:noWrap/>
            <w:vAlign w:val="bottom"/>
            <w:hideMark/>
          </w:tcPr>
          <w:p w14:paraId="5D2A8AAE" w14:textId="322F865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85%</w:t>
            </w:r>
          </w:p>
        </w:tc>
        <w:tc>
          <w:tcPr>
            <w:tcW w:w="315" w:type="pct"/>
            <w:tcBorders>
              <w:top w:val="nil"/>
              <w:left w:val="nil"/>
              <w:bottom w:val="nil"/>
              <w:right w:val="nil"/>
            </w:tcBorders>
            <w:shd w:val="clear" w:color="auto" w:fill="auto"/>
            <w:noWrap/>
            <w:vAlign w:val="bottom"/>
            <w:hideMark/>
          </w:tcPr>
          <w:p w14:paraId="441712B9" w14:textId="4560F27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88%</w:t>
            </w:r>
          </w:p>
        </w:tc>
      </w:tr>
      <w:tr w:rsidR="004B3DBE" w:rsidRPr="009F0551" w14:paraId="53B508CA" w14:textId="77777777" w:rsidTr="0037161F">
        <w:trPr>
          <w:trHeight w:val="170"/>
        </w:trPr>
        <w:tc>
          <w:tcPr>
            <w:tcW w:w="5000" w:type="pct"/>
            <w:gridSpan w:val="13"/>
            <w:tcBorders>
              <w:top w:val="nil"/>
              <w:left w:val="nil"/>
              <w:bottom w:val="nil"/>
              <w:right w:val="nil"/>
            </w:tcBorders>
            <w:shd w:val="clear" w:color="auto" w:fill="auto"/>
            <w:noWrap/>
            <w:vAlign w:val="bottom"/>
            <w:hideMark/>
          </w:tcPr>
          <w:p w14:paraId="69393BB9"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Factor Strategies</w:t>
            </w:r>
          </w:p>
        </w:tc>
      </w:tr>
      <w:tr w:rsidR="004B3DBE" w:rsidRPr="009F0551" w14:paraId="58049280" w14:textId="77777777" w:rsidTr="0037161F">
        <w:trPr>
          <w:trHeight w:val="170"/>
        </w:trPr>
        <w:tc>
          <w:tcPr>
            <w:tcW w:w="1212" w:type="pct"/>
            <w:tcBorders>
              <w:top w:val="nil"/>
              <w:left w:val="nil"/>
              <w:bottom w:val="nil"/>
              <w:right w:val="nil"/>
            </w:tcBorders>
            <w:shd w:val="clear" w:color="auto" w:fill="auto"/>
            <w:noWrap/>
            <w:vAlign w:val="bottom"/>
            <w:hideMark/>
          </w:tcPr>
          <w:p w14:paraId="631F0C64"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Growth</w:t>
            </w:r>
          </w:p>
        </w:tc>
        <w:tc>
          <w:tcPr>
            <w:tcW w:w="317" w:type="pct"/>
            <w:tcBorders>
              <w:top w:val="nil"/>
              <w:left w:val="nil"/>
              <w:bottom w:val="nil"/>
              <w:right w:val="nil"/>
            </w:tcBorders>
            <w:shd w:val="clear" w:color="auto" w:fill="auto"/>
            <w:noWrap/>
            <w:vAlign w:val="bottom"/>
            <w:hideMark/>
          </w:tcPr>
          <w:p w14:paraId="392B3E75" w14:textId="178D978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05%</w:t>
            </w:r>
          </w:p>
        </w:tc>
        <w:tc>
          <w:tcPr>
            <w:tcW w:w="315" w:type="pct"/>
            <w:tcBorders>
              <w:top w:val="nil"/>
              <w:left w:val="nil"/>
              <w:bottom w:val="nil"/>
              <w:right w:val="nil"/>
            </w:tcBorders>
            <w:shd w:val="clear" w:color="auto" w:fill="auto"/>
            <w:noWrap/>
            <w:vAlign w:val="bottom"/>
            <w:hideMark/>
          </w:tcPr>
          <w:p w14:paraId="4B07D815" w14:textId="2A37473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98%</w:t>
            </w:r>
          </w:p>
        </w:tc>
        <w:tc>
          <w:tcPr>
            <w:tcW w:w="317" w:type="pct"/>
            <w:tcBorders>
              <w:top w:val="nil"/>
              <w:left w:val="nil"/>
              <w:bottom w:val="nil"/>
              <w:right w:val="nil"/>
            </w:tcBorders>
            <w:shd w:val="clear" w:color="auto" w:fill="auto"/>
            <w:noWrap/>
            <w:vAlign w:val="bottom"/>
            <w:hideMark/>
          </w:tcPr>
          <w:p w14:paraId="06F985B5" w14:textId="061EE9C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17</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24%</w:t>
            </w:r>
          </w:p>
        </w:tc>
        <w:tc>
          <w:tcPr>
            <w:tcW w:w="315" w:type="pct"/>
            <w:tcBorders>
              <w:top w:val="nil"/>
              <w:left w:val="nil"/>
              <w:bottom w:val="nil"/>
              <w:right w:val="nil"/>
            </w:tcBorders>
            <w:shd w:val="clear" w:color="auto" w:fill="auto"/>
            <w:noWrap/>
            <w:vAlign w:val="bottom"/>
            <w:hideMark/>
          </w:tcPr>
          <w:p w14:paraId="2D8B2FB2" w14:textId="331FB4F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84%</w:t>
            </w:r>
          </w:p>
        </w:tc>
        <w:tc>
          <w:tcPr>
            <w:tcW w:w="317" w:type="pct"/>
            <w:tcBorders>
              <w:top w:val="nil"/>
              <w:left w:val="nil"/>
              <w:bottom w:val="nil"/>
              <w:right w:val="nil"/>
            </w:tcBorders>
            <w:shd w:val="clear" w:color="auto" w:fill="auto"/>
            <w:noWrap/>
            <w:vAlign w:val="bottom"/>
            <w:hideMark/>
          </w:tcPr>
          <w:p w14:paraId="4FB18951" w14:textId="1FFA851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29%</w:t>
            </w:r>
          </w:p>
        </w:tc>
        <w:tc>
          <w:tcPr>
            <w:tcW w:w="315" w:type="pct"/>
            <w:tcBorders>
              <w:top w:val="nil"/>
              <w:left w:val="nil"/>
              <w:bottom w:val="nil"/>
              <w:right w:val="nil"/>
            </w:tcBorders>
            <w:shd w:val="clear" w:color="auto" w:fill="auto"/>
            <w:noWrap/>
            <w:vAlign w:val="bottom"/>
            <w:hideMark/>
          </w:tcPr>
          <w:p w14:paraId="68EDD778" w14:textId="77D72E6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26%</w:t>
            </w:r>
          </w:p>
        </w:tc>
        <w:tc>
          <w:tcPr>
            <w:tcW w:w="317" w:type="pct"/>
            <w:tcBorders>
              <w:top w:val="nil"/>
              <w:left w:val="nil"/>
              <w:bottom w:val="nil"/>
              <w:right w:val="nil"/>
            </w:tcBorders>
            <w:shd w:val="clear" w:color="auto" w:fill="auto"/>
            <w:noWrap/>
            <w:vAlign w:val="bottom"/>
            <w:hideMark/>
          </w:tcPr>
          <w:p w14:paraId="076FF7C8" w14:textId="1D50B90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12%</w:t>
            </w:r>
          </w:p>
        </w:tc>
        <w:tc>
          <w:tcPr>
            <w:tcW w:w="315" w:type="pct"/>
            <w:tcBorders>
              <w:top w:val="nil"/>
              <w:left w:val="nil"/>
              <w:bottom w:val="nil"/>
              <w:right w:val="nil"/>
            </w:tcBorders>
            <w:shd w:val="clear" w:color="auto" w:fill="auto"/>
            <w:noWrap/>
            <w:vAlign w:val="bottom"/>
            <w:hideMark/>
          </w:tcPr>
          <w:p w14:paraId="6D815752" w14:textId="3206463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04%</w:t>
            </w:r>
          </w:p>
        </w:tc>
        <w:tc>
          <w:tcPr>
            <w:tcW w:w="317" w:type="pct"/>
            <w:tcBorders>
              <w:top w:val="nil"/>
              <w:left w:val="nil"/>
              <w:bottom w:val="nil"/>
              <w:right w:val="nil"/>
            </w:tcBorders>
            <w:shd w:val="clear" w:color="auto" w:fill="auto"/>
            <w:noWrap/>
            <w:vAlign w:val="bottom"/>
            <w:hideMark/>
          </w:tcPr>
          <w:p w14:paraId="15FFD050" w14:textId="2E8B4F2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32%</w:t>
            </w:r>
          </w:p>
        </w:tc>
        <w:tc>
          <w:tcPr>
            <w:tcW w:w="315" w:type="pct"/>
            <w:tcBorders>
              <w:top w:val="nil"/>
              <w:left w:val="nil"/>
              <w:bottom w:val="nil"/>
              <w:right w:val="nil"/>
            </w:tcBorders>
            <w:shd w:val="clear" w:color="auto" w:fill="auto"/>
            <w:noWrap/>
            <w:vAlign w:val="bottom"/>
            <w:hideMark/>
          </w:tcPr>
          <w:p w14:paraId="11E759B8" w14:textId="0C81F4B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90%</w:t>
            </w:r>
          </w:p>
        </w:tc>
        <w:tc>
          <w:tcPr>
            <w:tcW w:w="317" w:type="pct"/>
            <w:tcBorders>
              <w:top w:val="nil"/>
              <w:left w:val="nil"/>
              <w:bottom w:val="nil"/>
              <w:right w:val="nil"/>
            </w:tcBorders>
            <w:shd w:val="clear" w:color="auto" w:fill="auto"/>
            <w:noWrap/>
            <w:vAlign w:val="bottom"/>
            <w:hideMark/>
          </w:tcPr>
          <w:p w14:paraId="73699459" w14:textId="2D8DEC5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23%</w:t>
            </w:r>
          </w:p>
        </w:tc>
        <w:tc>
          <w:tcPr>
            <w:tcW w:w="315" w:type="pct"/>
            <w:tcBorders>
              <w:top w:val="nil"/>
              <w:left w:val="nil"/>
              <w:bottom w:val="nil"/>
              <w:right w:val="nil"/>
            </w:tcBorders>
            <w:shd w:val="clear" w:color="auto" w:fill="auto"/>
            <w:noWrap/>
            <w:vAlign w:val="bottom"/>
            <w:hideMark/>
          </w:tcPr>
          <w:p w14:paraId="346D167D" w14:textId="562D189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75%</w:t>
            </w:r>
          </w:p>
        </w:tc>
      </w:tr>
      <w:tr w:rsidR="004B3DBE" w:rsidRPr="009F0551" w14:paraId="4746E2D9" w14:textId="77777777" w:rsidTr="0037161F">
        <w:trPr>
          <w:trHeight w:val="170"/>
        </w:trPr>
        <w:tc>
          <w:tcPr>
            <w:tcW w:w="1212" w:type="pct"/>
            <w:tcBorders>
              <w:top w:val="nil"/>
              <w:left w:val="nil"/>
              <w:bottom w:val="nil"/>
              <w:right w:val="nil"/>
            </w:tcBorders>
            <w:shd w:val="clear" w:color="auto" w:fill="auto"/>
            <w:noWrap/>
            <w:vAlign w:val="bottom"/>
            <w:hideMark/>
          </w:tcPr>
          <w:p w14:paraId="42751137"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Value</w:t>
            </w:r>
          </w:p>
        </w:tc>
        <w:tc>
          <w:tcPr>
            <w:tcW w:w="317" w:type="pct"/>
            <w:tcBorders>
              <w:top w:val="nil"/>
              <w:left w:val="nil"/>
              <w:bottom w:val="nil"/>
              <w:right w:val="nil"/>
            </w:tcBorders>
            <w:shd w:val="clear" w:color="auto" w:fill="auto"/>
            <w:noWrap/>
            <w:vAlign w:val="bottom"/>
            <w:hideMark/>
          </w:tcPr>
          <w:p w14:paraId="20224738" w14:textId="6F75B2E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01%</w:t>
            </w:r>
          </w:p>
        </w:tc>
        <w:tc>
          <w:tcPr>
            <w:tcW w:w="315" w:type="pct"/>
            <w:tcBorders>
              <w:top w:val="nil"/>
              <w:left w:val="nil"/>
              <w:bottom w:val="nil"/>
              <w:right w:val="nil"/>
            </w:tcBorders>
            <w:shd w:val="clear" w:color="auto" w:fill="auto"/>
            <w:noWrap/>
            <w:vAlign w:val="bottom"/>
            <w:hideMark/>
          </w:tcPr>
          <w:p w14:paraId="5E12F9D2" w14:textId="5ED95A2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81%</w:t>
            </w:r>
          </w:p>
        </w:tc>
        <w:tc>
          <w:tcPr>
            <w:tcW w:w="317" w:type="pct"/>
            <w:tcBorders>
              <w:top w:val="nil"/>
              <w:left w:val="nil"/>
              <w:bottom w:val="nil"/>
              <w:right w:val="nil"/>
            </w:tcBorders>
            <w:shd w:val="clear" w:color="auto" w:fill="auto"/>
            <w:noWrap/>
            <w:vAlign w:val="bottom"/>
            <w:hideMark/>
          </w:tcPr>
          <w:p w14:paraId="1906DC43" w14:textId="3DFE4372"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67</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93%</w:t>
            </w:r>
          </w:p>
        </w:tc>
        <w:tc>
          <w:tcPr>
            <w:tcW w:w="315" w:type="pct"/>
            <w:tcBorders>
              <w:top w:val="nil"/>
              <w:left w:val="nil"/>
              <w:bottom w:val="nil"/>
              <w:right w:val="nil"/>
            </w:tcBorders>
            <w:shd w:val="clear" w:color="auto" w:fill="auto"/>
            <w:noWrap/>
            <w:vAlign w:val="bottom"/>
            <w:hideMark/>
          </w:tcPr>
          <w:p w14:paraId="373CAA31" w14:textId="47D1DA0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48%</w:t>
            </w:r>
          </w:p>
        </w:tc>
        <w:tc>
          <w:tcPr>
            <w:tcW w:w="317" w:type="pct"/>
            <w:tcBorders>
              <w:top w:val="nil"/>
              <w:left w:val="nil"/>
              <w:bottom w:val="nil"/>
              <w:right w:val="nil"/>
            </w:tcBorders>
            <w:shd w:val="clear" w:color="auto" w:fill="auto"/>
            <w:noWrap/>
            <w:vAlign w:val="bottom"/>
            <w:hideMark/>
          </w:tcPr>
          <w:p w14:paraId="2D59E7F4" w14:textId="1B3E37F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08%</w:t>
            </w:r>
          </w:p>
        </w:tc>
        <w:tc>
          <w:tcPr>
            <w:tcW w:w="315" w:type="pct"/>
            <w:tcBorders>
              <w:top w:val="nil"/>
              <w:left w:val="nil"/>
              <w:bottom w:val="nil"/>
              <w:right w:val="nil"/>
            </w:tcBorders>
            <w:shd w:val="clear" w:color="auto" w:fill="auto"/>
            <w:noWrap/>
            <w:vAlign w:val="bottom"/>
            <w:hideMark/>
          </w:tcPr>
          <w:p w14:paraId="6D24406C" w14:textId="183543D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59%</w:t>
            </w:r>
          </w:p>
        </w:tc>
        <w:tc>
          <w:tcPr>
            <w:tcW w:w="317" w:type="pct"/>
            <w:tcBorders>
              <w:top w:val="nil"/>
              <w:left w:val="nil"/>
              <w:bottom w:val="nil"/>
              <w:right w:val="nil"/>
            </w:tcBorders>
            <w:shd w:val="clear" w:color="auto" w:fill="auto"/>
            <w:noWrap/>
            <w:vAlign w:val="bottom"/>
            <w:hideMark/>
          </w:tcPr>
          <w:p w14:paraId="22C865B3" w14:textId="7EB1E2D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53%</w:t>
            </w:r>
          </w:p>
        </w:tc>
        <w:tc>
          <w:tcPr>
            <w:tcW w:w="315" w:type="pct"/>
            <w:tcBorders>
              <w:top w:val="nil"/>
              <w:left w:val="nil"/>
              <w:bottom w:val="nil"/>
              <w:right w:val="nil"/>
            </w:tcBorders>
            <w:shd w:val="clear" w:color="auto" w:fill="auto"/>
            <w:noWrap/>
            <w:vAlign w:val="bottom"/>
            <w:hideMark/>
          </w:tcPr>
          <w:p w14:paraId="7CF23E3E" w14:textId="72AF324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28%</w:t>
            </w:r>
          </w:p>
        </w:tc>
        <w:tc>
          <w:tcPr>
            <w:tcW w:w="317" w:type="pct"/>
            <w:tcBorders>
              <w:top w:val="nil"/>
              <w:left w:val="nil"/>
              <w:bottom w:val="nil"/>
              <w:right w:val="nil"/>
            </w:tcBorders>
            <w:shd w:val="clear" w:color="auto" w:fill="auto"/>
            <w:noWrap/>
            <w:vAlign w:val="bottom"/>
            <w:hideMark/>
          </w:tcPr>
          <w:p w14:paraId="744AD5E5" w14:textId="4112EED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73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47%</w:t>
            </w:r>
          </w:p>
        </w:tc>
        <w:tc>
          <w:tcPr>
            <w:tcW w:w="315" w:type="pct"/>
            <w:tcBorders>
              <w:top w:val="nil"/>
              <w:left w:val="nil"/>
              <w:bottom w:val="nil"/>
              <w:right w:val="nil"/>
            </w:tcBorders>
            <w:shd w:val="clear" w:color="auto" w:fill="auto"/>
            <w:noWrap/>
            <w:vAlign w:val="bottom"/>
            <w:hideMark/>
          </w:tcPr>
          <w:p w14:paraId="75FC9851" w14:textId="3B6D1E1F"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10%</w:t>
            </w:r>
          </w:p>
        </w:tc>
        <w:tc>
          <w:tcPr>
            <w:tcW w:w="317" w:type="pct"/>
            <w:tcBorders>
              <w:top w:val="nil"/>
              <w:left w:val="nil"/>
              <w:bottom w:val="nil"/>
              <w:right w:val="nil"/>
            </w:tcBorders>
            <w:shd w:val="clear" w:color="auto" w:fill="auto"/>
            <w:noWrap/>
            <w:vAlign w:val="bottom"/>
            <w:hideMark/>
          </w:tcPr>
          <w:p w14:paraId="766C4B71" w14:textId="231B47F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85%</w:t>
            </w:r>
          </w:p>
        </w:tc>
        <w:tc>
          <w:tcPr>
            <w:tcW w:w="315" w:type="pct"/>
            <w:tcBorders>
              <w:top w:val="nil"/>
              <w:left w:val="nil"/>
              <w:bottom w:val="nil"/>
              <w:right w:val="nil"/>
            </w:tcBorders>
            <w:shd w:val="clear" w:color="auto" w:fill="auto"/>
            <w:noWrap/>
            <w:vAlign w:val="bottom"/>
            <w:hideMark/>
          </w:tcPr>
          <w:p w14:paraId="33971D2C" w14:textId="31B2D55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07%</w:t>
            </w:r>
          </w:p>
        </w:tc>
      </w:tr>
      <w:tr w:rsidR="004B3DBE" w:rsidRPr="009F0551" w14:paraId="4E8D501F" w14:textId="77777777" w:rsidTr="0037161F">
        <w:trPr>
          <w:trHeight w:val="170"/>
        </w:trPr>
        <w:tc>
          <w:tcPr>
            <w:tcW w:w="1212" w:type="pct"/>
            <w:tcBorders>
              <w:top w:val="nil"/>
              <w:left w:val="nil"/>
              <w:bottom w:val="nil"/>
              <w:right w:val="nil"/>
            </w:tcBorders>
            <w:shd w:val="clear" w:color="auto" w:fill="auto"/>
            <w:noWrap/>
            <w:vAlign w:val="bottom"/>
            <w:hideMark/>
          </w:tcPr>
          <w:p w14:paraId="05796BB6"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Momentum</w:t>
            </w:r>
          </w:p>
        </w:tc>
        <w:tc>
          <w:tcPr>
            <w:tcW w:w="317" w:type="pct"/>
            <w:tcBorders>
              <w:top w:val="nil"/>
              <w:left w:val="nil"/>
              <w:bottom w:val="nil"/>
              <w:right w:val="nil"/>
            </w:tcBorders>
            <w:shd w:val="clear" w:color="auto" w:fill="auto"/>
            <w:noWrap/>
            <w:vAlign w:val="bottom"/>
            <w:hideMark/>
          </w:tcPr>
          <w:p w14:paraId="1E25E688" w14:textId="17FFE8F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94%</w:t>
            </w:r>
          </w:p>
        </w:tc>
        <w:tc>
          <w:tcPr>
            <w:tcW w:w="315" w:type="pct"/>
            <w:tcBorders>
              <w:top w:val="nil"/>
              <w:left w:val="nil"/>
              <w:bottom w:val="nil"/>
              <w:right w:val="nil"/>
            </w:tcBorders>
            <w:shd w:val="clear" w:color="auto" w:fill="auto"/>
            <w:noWrap/>
            <w:vAlign w:val="bottom"/>
            <w:hideMark/>
          </w:tcPr>
          <w:p w14:paraId="2F09B8D6" w14:textId="59982B7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20%</w:t>
            </w:r>
          </w:p>
        </w:tc>
        <w:tc>
          <w:tcPr>
            <w:tcW w:w="317" w:type="pct"/>
            <w:tcBorders>
              <w:top w:val="nil"/>
              <w:left w:val="nil"/>
              <w:bottom w:val="nil"/>
              <w:right w:val="nil"/>
            </w:tcBorders>
            <w:shd w:val="clear" w:color="auto" w:fill="auto"/>
            <w:noWrap/>
            <w:vAlign w:val="bottom"/>
            <w:hideMark/>
          </w:tcPr>
          <w:p w14:paraId="2304C3E2" w14:textId="43D5EED9"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84%</w:t>
            </w:r>
          </w:p>
        </w:tc>
        <w:tc>
          <w:tcPr>
            <w:tcW w:w="315" w:type="pct"/>
            <w:tcBorders>
              <w:top w:val="nil"/>
              <w:left w:val="nil"/>
              <w:bottom w:val="nil"/>
              <w:right w:val="nil"/>
            </w:tcBorders>
            <w:shd w:val="clear" w:color="auto" w:fill="auto"/>
            <w:noWrap/>
            <w:vAlign w:val="bottom"/>
            <w:hideMark/>
          </w:tcPr>
          <w:p w14:paraId="08DB7C4A" w14:textId="7A974F6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68%</w:t>
            </w:r>
          </w:p>
        </w:tc>
        <w:tc>
          <w:tcPr>
            <w:tcW w:w="317" w:type="pct"/>
            <w:tcBorders>
              <w:top w:val="nil"/>
              <w:left w:val="nil"/>
              <w:bottom w:val="nil"/>
              <w:right w:val="nil"/>
            </w:tcBorders>
            <w:shd w:val="clear" w:color="auto" w:fill="auto"/>
            <w:noWrap/>
            <w:vAlign w:val="bottom"/>
            <w:hideMark/>
          </w:tcPr>
          <w:p w14:paraId="673BC56C" w14:textId="30C9204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63%</w:t>
            </w:r>
          </w:p>
        </w:tc>
        <w:tc>
          <w:tcPr>
            <w:tcW w:w="315" w:type="pct"/>
            <w:tcBorders>
              <w:top w:val="nil"/>
              <w:left w:val="nil"/>
              <w:bottom w:val="nil"/>
              <w:right w:val="nil"/>
            </w:tcBorders>
            <w:shd w:val="clear" w:color="auto" w:fill="auto"/>
            <w:noWrap/>
            <w:vAlign w:val="bottom"/>
            <w:hideMark/>
          </w:tcPr>
          <w:p w14:paraId="7B11B651" w14:textId="26E5EA5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15%</w:t>
            </w:r>
          </w:p>
        </w:tc>
        <w:tc>
          <w:tcPr>
            <w:tcW w:w="317" w:type="pct"/>
            <w:tcBorders>
              <w:top w:val="nil"/>
              <w:left w:val="nil"/>
              <w:bottom w:val="nil"/>
              <w:right w:val="nil"/>
            </w:tcBorders>
            <w:shd w:val="clear" w:color="auto" w:fill="auto"/>
            <w:noWrap/>
            <w:vAlign w:val="bottom"/>
            <w:hideMark/>
          </w:tcPr>
          <w:p w14:paraId="718C4BD1" w14:textId="2BDC9CC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35%</w:t>
            </w:r>
          </w:p>
        </w:tc>
        <w:tc>
          <w:tcPr>
            <w:tcW w:w="315" w:type="pct"/>
            <w:tcBorders>
              <w:top w:val="nil"/>
              <w:left w:val="nil"/>
              <w:bottom w:val="nil"/>
              <w:right w:val="nil"/>
            </w:tcBorders>
            <w:shd w:val="clear" w:color="auto" w:fill="auto"/>
            <w:noWrap/>
            <w:vAlign w:val="bottom"/>
            <w:hideMark/>
          </w:tcPr>
          <w:p w14:paraId="2E457DA6" w14:textId="2115E19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54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68%</w:t>
            </w:r>
          </w:p>
        </w:tc>
        <w:tc>
          <w:tcPr>
            <w:tcW w:w="317" w:type="pct"/>
            <w:tcBorders>
              <w:top w:val="nil"/>
              <w:left w:val="nil"/>
              <w:bottom w:val="nil"/>
              <w:right w:val="nil"/>
            </w:tcBorders>
            <w:shd w:val="clear" w:color="auto" w:fill="auto"/>
            <w:noWrap/>
            <w:vAlign w:val="bottom"/>
            <w:hideMark/>
          </w:tcPr>
          <w:p w14:paraId="3AF2125C" w14:textId="59B43CC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21%</w:t>
            </w:r>
          </w:p>
        </w:tc>
        <w:tc>
          <w:tcPr>
            <w:tcW w:w="315" w:type="pct"/>
            <w:tcBorders>
              <w:top w:val="nil"/>
              <w:left w:val="nil"/>
              <w:bottom w:val="nil"/>
              <w:right w:val="nil"/>
            </w:tcBorders>
            <w:shd w:val="clear" w:color="auto" w:fill="auto"/>
            <w:noWrap/>
            <w:vAlign w:val="bottom"/>
            <w:hideMark/>
          </w:tcPr>
          <w:p w14:paraId="73B73114" w14:textId="3733B48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00%</w:t>
            </w:r>
          </w:p>
        </w:tc>
        <w:tc>
          <w:tcPr>
            <w:tcW w:w="317" w:type="pct"/>
            <w:tcBorders>
              <w:top w:val="nil"/>
              <w:left w:val="nil"/>
              <w:bottom w:val="nil"/>
              <w:right w:val="nil"/>
            </w:tcBorders>
            <w:shd w:val="clear" w:color="auto" w:fill="auto"/>
            <w:noWrap/>
            <w:vAlign w:val="bottom"/>
            <w:hideMark/>
          </w:tcPr>
          <w:p w14:paraId="55E2CE6A" w14:textId="35CB758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92%</w:t>
            </w:r>
          </w:p>
        </w:tc>
        <w:tc>
          <w:tcPr>
            <w:tcW w:w="315" w:type="pct"/>
            <w:tcBorders>
              <w:top w:val="nil"/>
              <w:left w:val="nil"/>
              <w:bottom w:val="nil"/>
              <w:right w:val="nil"/>
            </w:tcBorders>
            <w:shd w:val="clear" w:color="auto" w:fill="auto"/>
            <w:noWrap/>
            <w:vAlign w:val="bottom"/>
            <w:hideMark/>
          </w:tcPr>
          <w:p w14:paraId="7915A5FA" w14:textId="14A268F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18%</w:t>
            </w:r>
          </w:p>
        </w:tc>
      </w:tr>
      <w:tr w:rsidR="004B3DBE" w:rsidRPr="009F0551" w14:paraId="449AE3C7" w14:textId="77777777" w:rsidTr="0037161F">
        <w:trPr>
          <w:trHeight w:val="170"/>
        </w:trPr>
        <w:tc>
          <w:tcPr>
            <w:tcW w:w="1212" w:type="pct"/>
            <w:tcBorders>
              <w:top w:val="nil"/>
              <w:left w:val="nil"/>
              <w:bottom w:val="nil"/>
              <w:right w:val="nil"/>
            </w:tcBorders>
            <w:shd w:val="clear" w:color="auto" w:fill="auto"/>
            <w:noWrap/>
            <w:vAlign w:val="bottom"/>
            <w:hideMark/>
          </w:tcPr>
          <w:p w14:paraId="1E47891C"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R2</w:t>
            </w:r>
          </w:p>
        </w:tc>
        <w:tc>
          <w:tcPr>
            <w:tcW w:w="317" w:type="pct"/>
            <w:tcBorders>
              <w:top w:val="nil"/>
              <w:left w:val="nil"/>
              <w:bottom w:val="nil"/>
              <w:right w:val="nil"/>
            </w:tcBorders>
            <w:shd w:val="clear" w:color="auto" w:fill="auto"/>
            <w:noWrap/>
            <w:vAlign w:val="bottom"/>
            <w:hideMark/>
          </w:tcPr>
          <w:p w14:paraId="3963B477" w14:textId="22490EB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916</w:t>
            </w:r>
          </w:p>
        </w:tc>
        <w:tc>
          <w:tcPr>
            <w:tcW w:w="315" w:type="pct"/>
            <w:tcBorders>
              <w:top w:val="nil"/>
              <w:left w:val="nil"/>
              <w:bottom w:val="nil"/>
              <w:right w:val="nil"/>
            </w:tcBorders>
            <w:shd w:val="clear" w:color="auto" w:fill="auto"/>
            <w:noWrap/>
            <w:vAlign w:val="bottom"/>
            <w:hideMark/>
          </w:tcPr>
          <w:p w14:paraId="410F0309" w14:textId="526E710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912</w:t>
            </w:r>
          </w:p>
        </w:tc>
        <w:tc>
          <w:tcPr>
            <w:tcW w:w="317" w:type="pct"/>
            <w:tcBorders>
              <w:top w:val="nil"/>
              <w:left w:val="nil"/>
              <w:bottom w:val="nil"/>
              <w:right w:val="nil"/>
            </w:tcBorders>
            <w:shd w:val="clear" w:color="auto" w:fill="auto"/>
            <w:noWrap/>
            <w:vAlign w:val="bottom"/>
            <w:hideMark/>
          </w:tcPr>
          <w:p w14:paraId="77F446E2" w14:textId="2102896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877</w:t>
            </w:r>
          </w:p>
        </w:tc>
        <w:tc>
          <w:tcPr>
            <w:tcW w:w="315" w:type="pct"/>
            <w:tcBorders>
              <w:top w:val="nil"/>
              <w:left w:val="nil"/>
              <w:bottom w:val="nil"/>
              <w:right w:val="nil"/>
            </w:tcBorders>
            <w:shd w:val="clear" w:color="auto" w:fill="auto"/>
            <w:noWrap/>
            <w:vAlign w:val="bottom"/>
            <w:hideMark/>
          </w:tcPr>
          <w:p w14:paraId="71504B67" w14:textId="13DAB78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916</w:t>
            </w:r>
          </w:p>
        </w:tc>
        <w:tc>
          <w:tcPr>
            <w:tcW w:w="317" w:type="pct"/>
            <w:tcBorders>
              <w:top w:val="nil"/>
              <w:left w:val="nil"/>
              <w:bottom w:val="nil"/>
              <w:right w:val="nil"/>
            </w:tcBorders>
            <w:shd w:val="clear" w:color="auto" w:fill="auto"/>
            <w:noWrap/>
            <w:vAlign w:val="bottom"/>
            <w:hideMark/>
          </w:tcPr>
          <w:p w14:paraId="30699FA3" w14:textId="08D760C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949</w:t>
            </w:r>
          </w:p>
        </w:tc>
        <w:tc>
          <w:tcPr>
            <w:tcW w:w="315" w:type="pct"/>
            <w:tcBorders>
              <w:top w:val="nil"/>
              <w:left w:val="nil"/>
              <w:bottom w:val="nil"/>
              <w:right w:val="nil"/>
            </w:tcBorders>
            <w:shd w:val="clear" w:color="auto" w:fill="auto"/>
            <w:noWrap/>
            <w:vAlign w:val="bottom"/>
            <w:hideMark/>
          </w:tcPr>
          <w:p w14:paraId="5F1DF55F" w14:textId="6CBF8B29"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951</w:t>
            </w:r>
          </w:p>
        </w:tc>
        <w:tc>
          <w:tcPr>
            <w:tcW w:w="317" w:type="pct"/>
            <w:tcBorders>
              <w:top w:val="nil"/>
              <w:left w:val="nil"/>
              <w:bottom w:val="nil"/>
              <w:right w:val="nil"/>
            </w:tcBorders>
            <w:shd w:val="clear" w:color="auto" w:fill="auto"/>
            <w:noWrap/>
            <w:vAlign w:val="bottom"/>
            <w:hideMark/>
          </w:tcPr>
          <w:p w14:paraId="1B5B3074" w14:textId="492A28F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951</w:t>
            </w:r>
          </w:p>
        </w:tc>
        <w:tc>
          <w:tcPr>
            <w:tcW w:w="315" w:type="pct"/>
            <w:tcBorders>
              <w:top w:val="nil"/>
              <w:left w:val="nil"/>
              <w:bottom w:val="nil"/>
              <w:right w:val="nil"/>
            </w:tcBorders>
            <w:shd w:val="clear" w:color="auto" w:fill="auto"/>
            <w:noWrap/>
            <w:vAlign w:val="bottom"/>
            <w:hideMark/>
          </w:tcPr>
          <w:p w14:paraId="145E9E0C" w14:textId="502D5B7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839</w:t>
            </w:r>
          </w:p>
        </w:tc>
        <w:tc>
          <w:tcPr>
            <w:tcW w:w="317" w:type="pct"/>
            <w:tcBorders>
              <w:top w:val="nil"/>
              <w:left w:val="nil"/>
              <w:bottom w:val="nil"/>
              <w:right w:val="nil"/>
            </w:tcBorders>
            <w:shd w:val="clear" w:color="auto" w:fill="auto"/>
            <w:noWrap/>
            <w:vAlign w:val="bottom"/>
            <w:hideMark/>
          </w:tcPr>
          <w:p w14:paraId="0CE1E5EA" w14:textId="7DD1966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905</w:t>
            </w:r>
          </w:p>
        </w:tc>
        <w:tc>
          <w:tcPr>
            <w:tcW w:w="315" w:type="pct"/>
            <w:tcBorders>
              <w:top w:val="nil"/>
              <w:left w:val="nil"/>
              <w:bottom w:val="nil"/>
              <w:right w:val="nil"/>
            </w:tcBorders>
            <w:shd w:val="clear" w:color="auto" w:fill="auto"/>
            <w:noWrap/>
            <w:vAlign w:val="bottom"/>
            <w:hideMark/>
          </w:tcPr>
          <w:p w14:paraId="513DF449" w14:textId="799ECD59"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913</w:t>
            </w:r>
          </w:p>
        </w:tc>
        <w:tc>
          <w:tcPr>
            <w:tcW w:w="317" w:type="pct"/>
            <w:tcBorders>
              <w:top w:val="nil"/>
              <w:left w:val="nil"/>
              <w:bottom w:val="nil"/>
              <w:right w:val="nil"/>
            </w:tcBorders>
            <w:shd w:val="clear" w:color="auto" w:fill="auto"/>
            <w:noWrap/>
            <w:vAlign w:val="bottom"/>
            <w:hideMark/>
          </w:tcPr>
          <w:p w14:paraId="50D169CA" w14:textId="0765303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935</w:t>
            </w:r>
          </w:p>
        </w:tc>
        <w:tc>
          <w:tcPr>
            <w:tcW w:w="315" w:type="pct"/>
            <w:tcBorders>
              <w:top w:val="nil"/>
              <w:left w:val="nil"/>
              <w:bottom w:val="nil"/>
              <w:right w:val="nil"/>
            </w:tcBorders>
            <w:shd w:val="clear" w:color="auto" w:fill="auto"/>
            <w:noWrap/>
            <w:vAlign w:val="bottom"/>
            <w:hideMark/>
          </w:tcPr>
          <w:p w14:paraId="0CD438FC" w14:textId="5F57433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903</w:t>
            </w:r>
          </w:p>
        </w:tc>
      </w:tr>
      <w:tr w:rsidR="004B3DBE" w:rsidRPr="009F0551" w14:paraId="3AA77768" w14:textId="77777777" w:rsidTr="0037161F">
        <w:trPr>
          <w:trHeight w:val="170"/>
        </w:trPr>
        <w:tc>
          <w:tcPr>
            <w:tcW w:w="1212" w:type="pct"/>
            <w:tcBorders>
              <w:top w:val="nil"/>
              <w:left w:val="nil"/>
              <w:bottom w:val="nil"/>
              <w:right w:val="nil"/>
            </w:tcBorders>
            <w:shd w:val="clear" w:color="auto" w:fill="auto"/>
            <w:noWrap/>
            <w:vAlign w:val="bottom"/>
            <w:hideMark/>
          </w:tcPr>
          <w:p w14:paraId="05212708"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Tracking Error</w:t>
            </w:r>
          </w:p>
        </w:tc>
        <w:tc>
          <w:tcPr>
            <w:tcW w:w="317" w:type="pct"/>
            <w:tcBorders>
              <w:top w:val="nil"/>
              <w:left w:val="nil"/>
              <w:bottom w:val="nil"/>
              <w:right w:val="nil"/>
            </w:tcBorders>
            <w:shd w:val="clear" w:color="auto" w:fill="auto"/>
            <w:noWrap/>
            <w:vAlign w:val="bottom"/>
            <w:hideMark/>
          </w:tcPr>
          <w:p w14:paraId="63E31A4C" w14:textId="46DB680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84%</w:t>
            </w:r>
          </w:p>
        </w:tc>
        <w:tc>
          <w:tcPr>
            <w:tcW w:w="315" w:type="pct"/>
            <w:tcBorders>
              <w:top w:val="nil"/>
              <w:left w:val="nil"/>
              <w:bottom w:val="nil"/>
              <w:right w:val="nil"/>
            </w:tcBorders>
            <w:shd w:val="clear" w:color="auto" w:fill="auto"/>
            <w:noWrap/>
            <w:vAlign w:val="bottom"/>
            <w:hideMark/>
          </w:tcPr>
          <w:p w14:paraId="1A74BEE3" w14:textId="3652CC0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65%</w:t>
            </w:r>
          </w:p>
        </w:tc>
        <w:tc>
          <w:tcPr>
            <w:tcW w:w="317" w:type="pct"/>
            <w:tcBorders>
              <w:top w:val="nil"/>
              <w:left w:val="nil"/>
              <w:bottom w:val="nil"/>
              <w:right w:val="nil"/>
            </w:tcBorders>
            <w:shd w:val="clear" w:color="auto" w:fill="auto"/>
            <w:noWrap/>
            <w:vAlign w:val="bottom"/>
            <w:hideMark/>
          </w:tcPr>
          <w:p w14:paraId="0BCBC5D0" w14:textId="731C752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76%</w:t>
            </w:r>
          </w:p>
        </w:tc>
        <w:tc>
          <w:tcPr>
            <w:tcW w:w="315" w:type="pct"/>
            <w:tcBorders>
              <w:top w:val="nil"/>
              <w:left w:val="nil"/>
              <w:bottom w:val="nil"/>
              <w:right w:val="nil"/>
            </w:tcBorders>
            <w:shd w:val="clear" w:color="auto" w:fill="auto"/>
            <w:noWrap/>
            <w:vAlign w:val="bottom"/>
            <w:hideMark/>
          </w:tcPr>
          <w:p w14:paraId="23706AA5" w14:textId="69B41AB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66%</w:t>
            </w:r>
          </w:p>
        </w:tc>
        <w:tc>
          <w:tcPr>
            <w:tcW w:w="317" w:type="pct"/>
            <w:tcBorders>
              <w:top w:val="nil"/>
              <w:left w:val="nil"/>
              <w:bottom w:val="nil"/>
              <w:right w:val="nil"/>
            </w:tcBorders>
            <w:shd w:val="clear" w:color="auto" w:fill="auto"/>
            <w:noWrap/>
            <w:vAlign w:val="bottom"/>
            <w:hideMark/>
          </w:tcPr>
          <w:p w14:paraId="2AB80A9E" w14:textId="75C95189"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54%</w:t>
            </w:r>
          </w:p>
        </w:tc>
        <w:tc>
          <w:tcPr>
            <w:tcW w:w="315" w:type="pct"/>
            <w:tcBorders>
              <w:top w:val="nil"/>
              <w:left w:val="nil"/>
              <w:bottom w:val="nil"/>
              <w:right w:val="nil"/>
            </w:tcBorders>
            <w:shd w:val="clear" w:color="auto" w:fill="auto"/>
            <w:noWrap/>
            <w:vAlign w:val="bottom"/>
            <w:hideMark/>
          </w:tcPr>
          <w:p w14:paraId="717C1E98" w14:textId="7711D69F"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85%</w:t>
            </w:r>
          </w:p>
        </w:tc>
        <w:tc>
          <w:tcPr>
            <w:tcW w:w="317" w:type="pct"/>
            <w:tcBorders>
              <w:top w:val="nil"/>
              <w:left w:val="nil"/>
              <w:bottom w:val="nil"/>
              <w:right w:val="nil"/>
            </w:tcBorders>
            <w:shd w:val="clear" w:color="auto" w:fill="auto"/>
            <w:noWrap/>
            <w:vAlign w:val="bottom"/>
            <w:hideMark/>
          </w:tcPr>
          <w:p w14:paraId="41AEAD32" w14:textId="4273109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52%</w:t>
            </w:r>
          </w:p>
        </w:tc>
        <w:tc>
          <w:tcPr>
            <w:tcW w:w="315" w:type="pct"/>
            <w:tcBorders>
              <w:top w:val="nil"/>
              <w:left w:val="nil"/>
              <w:bottom w:val="nil"/>
              <w:right w:val="nil"/>
            </w:tcBorders>
            <w:shd w:val="clear" w:color="auto" w:fill="auto"/>
            <w:noWrap/>
            <w:vAlign w:val="bottom"/>
            <w:hideMark/>
          </w:tcPr>
          <w:p w14:paraId="65373A4B" w14:textId="35B9846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82%</w:t>
            </w:r>
          </w:p>
        </w:tc>
        <w:tc>
          <w:tcPr>
            <w:tcW w:w="317" w:type="pct"/>
            <w:tcBorders>
              <w:top w:val="nil"/>
              <w:left w:val="nil"/>
              <w:bottom w:val="nil"/>
              <w:right w:val="nil"/>
            </w:tcBorders>
            <w:shd w:val="clear" w:color="auto" w:fill="auto"/>
            <w:noWrap/>
            <w:vAlign w:val="bottom"/>
            <w:hideMark/>
          </w:tcPr>
          <w:p w14:paraId="12C43500" w14:textId="3AD679D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44%</w:t>
            </w:r>
          </w:p>
        </w:tc>
        <w:tc>
          <w:tcPr>
            <w:tcW w:w="315" w:type="pct"/>
            <w:tcBorders>
              <w:top w:val="nil"/>
              <w:left w:val="nil"/>
              <w:bottom w:val="nil"/>
              <w:right w:val="nil"/>
            </w:tcBorders>
            <w:shd w:val="clear" w:color="auto" w:fill="auto"/>
            <w:noWrap/>
            <w:vAlign w:val="bottom"/>
            <w:hideMark/>
          </w:tcPr>
          <w:p w14:paraId="0C320E1B" w14:textId="7B350A9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84%</w:t>
            </w:r>
          </w:p>
        </w:tc>
        <w:tc>
          <w:tcPr>
            <w:tcW w:w="317" w:type="pct"/>
            <w:tcBorders>
              <w:top w:val="nil"/>
              <w:left w:val="nil"/>
              <w:bottom w:val="nil"/>
              <w:right w:val="nil"/>
            </w:tcBorders>
            <w:shd w:val="clear" w:color="auto" w:fill="auto"/>
            <w:noWrap/>
            <w:vAlign w:val="bottom"/>
            <w:hideMark/>
          </w:tcPr>
          <w:p w14:paraId="7753D1C2" w14:textId="7838837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94%</w:t>
            </w:r>
          </w:p>
        </w:tc>
        <w:tc>
          <w:tcPr>
            <w:tcW w:w="315" w:type="pct"/>
            <w:tcBorders>
              <w:top w:val="nil"/>
              <w:left w:val="nil"/>
              <w:bottom w:val="nil"/>
              <w:right w:val="nil"/>
            </w:tcBorders>
            <w:shd w:val="clear" w:color="auto" w:fill="auto"/>
            <w:noWrap/>
            <w:vAlign w:val="bottom"/>
            <w:hideMark/>
          </w:tcPr>
          <w:p w14:paraId="65A30945" w14:textId="4AB5682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44%</w:t>
            </w:r>
          </w:p>
        </w:tc>
      </w:tr>
      <w:tr w:rsidR="004B3DBE" w:rsidRPr="009F0551" w14:paraId="22F4ADD8" w14:textId="77777777" w:rsidTr="0037161F">
        <w:trPr>
          <w:trHeight w:val="170"/>
        </w:trPr>
        <w:tc>
          <w:tcPr>
            <w:tcW w:w="5000" w:type="pct"/>
            <w:gridSpan w:val="13"/>
            <w:tcBorders>
              <w:top w:val="nil"/>
              <w:left w:val="nil"/>
              <w:bottom w:val="nil"/>
              <w:right w:val="nil"/>
            </w:tcBorders>
            <w:shd w:val="clear" w:color="auto" w:fill="auto"/>
            <w:noWrap/>
            <w:vAlign w:val="bottom"/>
            <w:hideMark/>
          </w:tcPr>
          <w:p w14:paraId="459C945E"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Sector</w:t>
            </w:r>
          </w:p>
        </w:tc>
      </w:tr>
      <w:tr w:rsidR="004B3DBE" w:rsidRPr="009F0551" w14:paraId="70E06957" w14:textId="77777777" w:rsidTr="0037161F">
        <w:trPr>
          <w:trHeight w:val="170"/>
        </w:trPr>
        <w:tc>
          <w:tcPr>
            <w:tcW w:w="1212" w:type="pct"/>
            <w:tcBorders>
              <w:top w:val="nil"/>
              <w:left w:val="nil"/>
              <w:bottom w:val="nil"/>
              <w:right w:val="nil"/>
            </w:tcBorders>
            <w:shd w:val="clear" w:color="auto" w:fill="auto"/>
            <w:noWrap/>
            <w:vAlign w:val="bottom"/>
            <w:hideMark/>
          </w:tcPr>
          <w:p w14:paraId="1FBE0D30"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Manufacturing</w:t>
            </w:r>
          </w:p>
        </w:tc>
        <w:tc>
          <w:tcPr>
            <w:tcW w:w="317" w:type="pct"/>
            <w:tcBorders>
              <w:top w:val="nil"/>
              <w:left w:val="nil"/>
              <w:bottom w:val="nil"/>
              <w:right w:val="nil"/>
            </w:tcBorders>
            <w:shd w:val="clear" w:color="auto" w:fill="auto"/>
            <w:noWrap/>
            <w:vAlign w:val="bottom"/>
            <w:hideMark/>
          </w:tcPr>
          <w:p w14:paraId="590CBC7C" w14:textId="4E059E8F"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19%</w:t>
            </w:r>
          </w:p>
        </w:tc>
        <w:tc>
          <w:tcPr>
            <w:tcW w:w="315" w:type="pct"/>
            <w:tcBorders>
              <w:top w:val="nil"/>
              <w:left w:val="nil"/>
              <w:bottom w:val="nil"/>
              <w:right w:val="nil"/>
            </w:tcBorders>
            <w:shd w:val="clear" w:color="auto" w:fill="auto"/>
            <w:noWrap/>
            <w:vAlign w:val="bottom"/>
            <w:hideMark/>
          </w:tcPr>
          <w:p w14:paraId="58A7B6EA" w14:textId="5979B60F"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37</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97%</w:t>
            </w:r>
          </w:p>
        </w:tc>
        <w:tc>
          <w:tcPr>
            <w:tcW w:w="317" w:type="pct"/>
            <w:tcBorders>
              <w:top w:val="nil"/>
              <w:left w:val="nil"/>
              <w:bottom w:val="nil"/>
              <w:right w:val="nil"/>
            </w:tcBorders>
            <w:shd w:val="clear" w:color="auto" w:fill="auto"/>
            <w:noWrap/>
            <w:vAlign w:val="bottom"/>
            <w:hideMark/>
          </w:tcPr>
          <w:p w14:paraId="35210EFE" w14:textId="157F694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15%</w:t>
            </w:r>
          </w:p>
        </w:tc>
        <w:tc>
          <w:tcPr>
            <w:tcW w:w="315" w:type="pct"/>
            <w:tcBorders>
              <w:top w:val="nil"/>
              <w:left w:val="nil"/>
              <w:bottom w:val="nil"/>
              <w:right w:val="nil"/>
            </w:tcBorders>
            <w:shd w:val="clear" w:color="auto" w:fill="auto"/>
            <w:noWrap/>
            <w:vAlign w:val="bottom"/>
            <w:hideMark/>
          </w:tcPr>
          <w:p w14:paraId="5048F3E6" w14:textId="5B53B93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43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92%</w:t>
            </w:r>
          </w:p>
        </w:tc>
        <w:tc>
          <w:tcPr>
            <w:tcW w:w="317" w:type="pct"/>
            <w:tcBorders>
              <w:top w:val="nil"/>
              <w:left w:val="nil"/>
              <w:bottom w:val="nil"/>
              <w:right w:val="nil"/>
            </w:tcBorders>
            <w:shd w:val="clear" w:color="auto" w:fill="auto"/>
            <w:noWrap/>
            <w:vAlign w:val="bottom"/>
            <w:hideMark/>
          </w:tcPr>
          <w:p w14:paraId="19C19F4A" w14:textId="130E8A8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93%</w:t>
            </w:r>
          </w:p>
        </w:tc>
        <w:tc>
          <w:tcPr>
            <w:tcW w:w="315" w:type="pct"/>
            <w:tcBorders>
              <w:top w:val="nil"/>
              <w:left w:val="nil"/>
              <w:bottom w:val="nil"/>
              <w:right w:val="nil"/>
            </w:tcBorders>
            <w:shd w:val="clear" w:color="auto" w:fill="auto"/>
            <w:noWrap/>
            <w:vAlign w:val="bottom"/>
            <w:hideMark/>
          </w:tcPr>
          <w:p w14:paraId="3408A077" w14:textId="7C84ABD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26%</w:t>
            </w:r>
          </w:p>
        </w:tc>
        <w:tc>
          <w:tcPr>
            <w:tcW w:w="317" w:type="pct"/>
            <w:tcBorders>
              <w:top w:val="nil"/>
              <w:left w:val="nil"/>
              <w:bottom w:val="nil"/>
              <w:right w:val="nil"/>
            </w:tcBorders>
            <w:shd w:val="clear" w:color="auto" w:fill="auto"/>
            <w:noWrap/>
            <w:vAlign w:val="bottom"/>
            <w:hideMark/>
          </w:tcPr>
          <w:p w14:paraId="4A00D31E" w14:textId="1D28687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94%</w:t>
            </w:r>
          </w:p>
        </w:tc>
        <w:tc>
          <w:tcPr>
            <w:tcW w:w="315" w:type="pct"/>
            <w:tcBorders>
              <w:top w:val="nil"/>
              <w:left w:val="nil"/>
              <w:bottom w:val="nil"/>
              <w:right w:val="nil"/>
            </w:tcBorders>
            <w:shd w:val="clear" w:color="auto" w:fill="auto"/>
            <w:noWrap/>
            <w:vAlign w:val="bottom"/>
            <w:hideMark/>
          </w:tcPr>
          <w:p w14:paraId="1CAFF03B" w14:textId="578DBE3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44%</w:t>
            </w:r>
          </w:p>
        </w:tc>
        <w:tc>
          <w:tcPr>
            <w:tcW w:w="317" w:type="pct"/>
            <w:tcBorders>
              <w:top w:val="nil"/>
              <w:left w:val="nil"/>
              <w:bottom w:val="nil"/>
              <w:right w:val="nil"/>
            </w:tcBorders>
            <w:shd w:val="clear" w:color="auto" w:fill="auto"/>
            <w:noWrap/>
            <w:vAlign w:val="bottom"/>
            <w:hideMark/>
          </w:tcPr>
          <w:p w14:paraId="249FC21B" w14:textId="533B82A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03%</w:t>
            </w:r>
          </w:p>
        </w:tc>
        <w:tc>
          <w:tcPr>
            <w:tcW w:w="315" w:type="pct"/>
            <w:tcBorders>
              <w:top w:val="nil"/>
              <w:left w:val="nil"/>
              <w:bottom w:val="nil"/>
              <w:right w:val="nil"/>
            </w:tcBorders>
            <w:shd w:val="clear" w:color="auto" w:fill="auto"/>
            <w:noWrap/>
            <w:vAlign w:val="bottom"/>
            <w:hideMark/>
          </w:tcPr>
          <w:p w14:paraId="1FE641E7" w14:textId="64E2EDA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29%</w:t>
            </w:r>
          </w:p>
        </w:tc>
        <w:tc>
          <w:tcPr>
            <w:tcW w:w="317" w:type="pct"/>
            <w:tcBorders>
              <w:top w:val="nil"/>
              <w:left w:val="nil"/>
              <w:bottom w:val="nil"/>
              <w:right w:val="nil"/>
            </w:tcBorders>
            <w:shd w:val="clear" w:color="auto" w:fill="auto"/>
            <w:noWrap/>
            <w:vAlign w:val="bottom"/>
            <w:hideMark/>
          </w:tcPr>
          <w:p w14:paraId="5F7B0851" w14:textId="548E0F7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85%</w:t>
            </w:r>
          </w:p>
        </w:tc>
        <w:tc>
          <w:tcPr>
            <w:tcW w:w="315" w:type="pct"/>
            <w:tcBorders>
              <w:top w:val="nil"/>
              <w:left w:val="nil"/>
              <w:bottom w:val="nil"/>
              <w:right w:val="nil"/>
            </w:tcBorders>
            <w:shd w:val="clear" w:color="auto" w:fill="auto"/>
            <w:noWrap/>
            <w:vAlign w:val="bottom"/>
            <w:hideMark/>
          </w:tcPr>
          <w:p w14:paraId="0DFAFD9F" w14:textId="09F4189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86%</w:t>
            </w:r>
          </w:p>
        </w:tc>
      </w:tr>
      <w:tr w:rsidR="004B3DBE" w:rsidRPr="009F0551" w14:paraId="780B0107" w14:textId="77777777" w:rsidTr="0037161F">
        <w:trPr>
          <w:trHeight w:val="170"/>
        </w:trPr>
        <w:tc>
          <w:tcPr>
            <w:tcW w:w="1212" w:type="pct"/>
            <w:tcBorders>
              <w:top w:val="nil"/>
              <w:left w:val="nil"/>
              <w:bottom w:val="nil"/>
              <w:right w:val="nil"/>
            </w:tcBorders>
            <w:shd w:val="clear" w:color="auto" w:fill="auto"/>
            <w:noWrap/>
            <w:vAlign w:val="bottom"/>
            <w:hideMark/>
          </w:tcPr>
          <w:p w14:paraId="6C3631BA"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Utilities</w:t>
            </w:r>
          </w:p>
        </w:tc>
        <w:tc>
          <w:tcPr>
            <w:tcW w:w="317" w:type="pct"/>
            <w:tcBorders>
              <w:top w:val="nil"/>
              <w:left w:val="nil"/>
              <w:bottom w:val="nil"/>
              <w:right w:val="nil"/>
            </w:tcBorders>
            <w:shd w:val="clear" w:color="auto" w:fill="auto"/>
            <w:noWrap/>
            <w:vAlign w:val="bottom"/>
            <w:hideMark/>
          </w:tcPr>
          <w:p w14:paraId="761EA7F9" w14:textId="39E4ABC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83%</w:t>
            </w:r>
          </w:p>
        </w:tc>
        <w:tc>
          <w:tcPr>
            <w:tcW w:w="315" w:type="pct"/>
            <w:tcBorders>
              <w:top w:val="nil"/>
              <w:left w:val="nil"/>
              <w:bottom w:val="nil"/>
              <w:right w:val="nil"/>
            </w:tcBorders>
            <w:shd w:val="clear" w:color="auto" w:fill="auto"/>
            <w:noWrap/>
            <w:vAlign w:val="bottom"/>
            <w:hideMark/>
          </w:tcPr>
          <w:p w14:paraId="111F01F5" w14:textId="2D0010B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80%</w:t>
            </w:r>
          </w:p>
        </w:tc>
        <w:tc>
          <w:tcPr>
            <w:tcW w:w="317" w:type="pct"/>
            <w:tcBorders>
              <w:top w:val="nil"/>
              <w:left w:val="nil"/>
              <w:bottom w:val="nil"/>
              <w:right w:val="nil"/>
            </w:tcBorders>
            <w:shd w:val="clear" w:color="auto" w:fill="auto"/>
            <w:noWrap/>
            <w:vAlign w:val="bottom"/>
            <w:hideMark/>
          </w:tcPr>
          <w:p w14:paraId="6D9AC947" w14:textId="3D0AA96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82%</w:t>
            </w:r>
          </w:p>
        </w:tc>
        <w:tc>
          <w:tcPr>
            <w:tcW w:w="315" w:type="pct"/>
            <w:tcBorders>
              <w:top w:val="nil"/>
              <w:left w:val="nil"/>
              <w:bottom w:val="nil"/>
              <w:right w:val="nil"/>
            </w:tcBorders>
            <w:shd w:val="clear" w:color="auto" w:fill="auto"/>
            <w:noWrap/>
            <w:vAlign w:val="bottom"/>
            <w:hideMark/>
          </w:tcPr>
          <w:p w14:paraId="66288840" w14:textId="6FC01DE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94%</w:t>
            </w:r>
          </w:p>
        </w:tc>
        <w:tc>
          <w:tcPr>
            <w:tcW w:w="317" w:type="pct"/>
            <w:tcBorders>
              <w:top w:val="nil"/>
              <w:left w:val="nil"/>
              <w:bottom w:val="nil"/>
              <w:right w:val="nil"/>
            </w:tcBorders>
            <w:shd w:val="clear" w:color="auto" w:fill="auto"/>
            <w:noWrap/>
            <w:vAlign w:val="bottom"/>
            <w:hideMark/>
          </w:tcPr>
          <w:p w14:paraId="3BFFE8F9" w14:textId="2E2952D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22%</w:t>
            </w:r>
          </w:p>
        </w:tc>
        <w:tc>
          <w:tcPr>
            <w:tcW w:w="315" w:type="pct"/>
            <w:tcBorders>
              <w:top w:val="nil"/>
              <w:left w:val="nil"/>
              <w:bottom w:val="nil"/>
              <w:right w:val="nil"/>
            </w:tcBorders>
            <w:shd w:val="clear" w:color="auto" w:fill="auto"/>
            <w:noWrap/>
            <w:vAlign w:val="bottom"/>
            <w:hideMark/>
          </w:tcPr>
          <w:p w14:paraId="63997D9C" w14:textId="71EA478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96%</w:t>
            </w:r>
          </w:p>
        </w:tc>
        <w:tc>
          <w:tcPr>
            <w:tcW w:w="317" w:type="pct"/>
            <w:tcBorders>
              <w:top w:val="nil"/>
              <w:left w:val="nil"/>
              <w:bottom w:val="nil"/>
              <w:right w:val="nil"/>
            </w:tcBorders>
            <w:shd w:val="clear" w:color="auto" w:fill="auto"/>
            <w:noWrap/>
            <w:vAlign w:val="bottom"/>
            <w:hideMark/>
          </w:tcPr>
          <w:p w14:paraId="1274ABC2" w14:textId="59CB3B5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15%</w:t>
            </w:r>
          </w:p>
        </w:tc>
        <w:tc>
          <w:tcPr>
            <w:tcW w:w="315" w:type="pct"/>
            <w:tcBorders>
              <w:top w:val="nil"/>
              <w:left w:val="nil"/>
              <w:bottom w:val="nil"/>
              <w:right w:val="nil"/>
            </w:tcBorders>
            <w:shd w:val="clear" w:color="auto" w:fill="auto"/>
            <w:noWrap/>
            <w:vAlign w:val="bottom"/>
            <w:hideMark/>
          </w:tcPr>
          <w:p w14:paraId="20EDDC0A" w14:textId="76365B9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17%</w:t>
            </w:r>
          </w:p>
        </w:tc>
        <w:tc>
          <w:tcPr>
            <w:tcW w:w="317" w:type="pct"/>
            <w:tcBorders>
              <w:top w:val="nil"/>
              <w:left w:val="nil"/>
              <w:bottom w:val="nil"/>
              <w:right w:val="nil"/>
            </w:tcBorders>
            <w:shd w:val="clear" w:color="auto" w:fill="auto"/>
            <w:noWrap/>
            <w:vAlign w:val="bottom"/>
            <w:hideMark/>
          </w:tcPr>
          <w:p w14:paraId="601F25B3" w14:textId="2E579D3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05%</w:t>
            </w:r>
          </w:p>
        </w:tc>
        <w:tc>
          <w:tcPr>
            <w:tcW w:w="315" w:type="pct"/>
            <w:tcBorders>
              <w:top w:val="nil"/>
              <w:left w:val="nil"/>
              <w:bottom w:val="nil"/>
              <w:right w:val="nil"/>
            </w:tcBorders>
            <w:shd w:val="clear" w:color="auto" w:fill="auto"/>
            <w:noWrap/>
            <w:vAlign w:val="bottom"/>
            <w:hideMark/>
          </w:tcPr>
          <w:p w14:paraId="25F63B77" w14:textId="2D143F7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85%</w:t>
            </w:r>
          </w:p>
        </w:tc>
        <w:tc>
          <w:tcPr>
            <w:tcW w:w="317" w:type="pct"/>
            <w:tcBorders>
              <w:top w:val="nil"/>
              <w:left w:val="nil"/>
              <w:bottom w:val="nil"/>
              <w:right w:val="nil"/>
            </w:tcBorders>
            <w:shd w:val="clear" w:color="auto" w:fill="auto"/>
            <w:noWrap/>
            <w:vAlign w:val="bottom"/>
            <w:hideMark/>
          </w:tcPr>
          <w:p w14:paraId="72540C3C" w14:textId="33A41A5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42%</w:t>
            </w:r>
          </w:p>
        </w:tc>
        <w:tc>
          <w:tcPr>
            <w:tcW w:w="315" w:type="pct"/>
            <w:tcBorders>
              <w:top w:val="nil"/>
              <w:left w:val="nil"/>
              <w:bottom w:val="nil"/>
              <w:right w:val="nil"/>
            </w:tcBorders>
            <w:shd w:val="clear" w:color="auto" w:fill="auto"/>
            <w:noWrap/>
            <w:vAlign w:val="bottom"/>
            <w:hideMark/>
          </w:tcPr>
          <w:p w14:paraId="1D6648FE" w14:textId="76A0748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71%</w:t>
            </w:r>
          </w:p>
        </w:tc>
      </w:tr>
      <w:tr w:rsidR="004B3DBE" w:rsidRPr="009F0551" w14:paraId="0099671F" w14:textId="77777777" w:rsidTr="0037161F">
        <w:trPr>
          <w:trHeight w:val="170"/>
        </w:trPr>
        <w:tc>
          <w:tcPr>
            <w:tcW w:w="1212" w:type="pct"/>
            <w:tcBorders>
              <w:top w:val="nil"/>
              <w:left w:val="nil"/>
              <w:bottom w:val="nil"/>
              <w:right w:val="nil"/>
            </w:tcBorders>
            <w:shd w:val="clear" w:color="auto" w:fill="auto"/>
            <w:noWrap/>
            <w:vAlign w:val="bottom"/>
            <w:hideMark/>
          </w:tcPr>
          <w:p w14:paraId="593351B1" w14:textId="697582A0"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Mining</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 xml:space="preserve"> Construction and Chemicals</w:t>
            </w:r>
          </w:p>
        </w:tc>
        <w:tc>
          <w:tcPr>
            <w:tcW w:w="317" w:type="pct"/>
            <w:tcBorders>
              <w:top w:val="nil"/>
              <w:left w:val="nil"/>
              <w:bottom w:val="nil"/>
              <w:right w:val="nil"/>
            </w:tcBorders>
            <w:shd w:val="clear" w:color="auto" w:fill="auto"/>
            <w:noWrap/>
            <w:vAlign w:val="bottom"/>
            <w:hideMark/>
          </w:tcPr>
          <w:p w14:paraId="20D1DFB9" w14:textId="7EC7C45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66%</w:t>
            </w:r>
          </w:p>
        </w:tc>
        <w:tc>
          <w:tcPr>
            <w:tcW w:w="315" w:type="pct"/>
            <w:tcBorders>
              <w:top w:val="nil"/>
              <w:left w:val="nil"/>
              <w:bottom w:val="nil"/>
              <w:right w:val="nil"/>
            </w:tcBorders>
            <w:shd w:val="clear" w:color="auto" w:fill="auto"/>
            <w:noWrap/>
            <w:vAlign w:val="bottom"/>
            <w:hideMark/>
          </w:tcPr>
          <w:p w14:paraId="2E808FAE" w14:textId="3C324B79"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87%</w:t>
            </w:r>
          </w:p>
        </w:tc>
        <w:tc>
          <w:tcPr>
            <w:tcW w:w="317" w:type="pct"/>
            <w:tcBorders>
              <w:top w:val="nil"/>
              <w:left w:val="nil"/>
              <w:bottom w:val="nil"/>
              <w:right w:val="nil"/>
            </w:tcBorders>
            <w:shd w:val="clear" w:color="auto" w:fill="auto"/>
            <w:noWrap/>
            <w:vAlign w:val="bottom"/>
            <w:hideMark/>
          </w:tcPr>
          <w:p w14:paraId="1514C707" w14:textId="69790B0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90%</w:t>
            </w:r>
          </w:p>
        </w:tc>
        <w:tc>
          <w:tcPr>
            <w:tcW w:w="315" w:type="pct"/>
            <w:tcBorders>
              <w:top w:val="nil"/>
              <w:left w:val="nil"/>
              <w:bottom w:val="nil"/>
              <w:right w:val="nil"/>
            </w:tcBorders>
            <w:shd w:val="clear" w:color="auto" w:fill="auto"/>
            <w:noWrap/>
            <w:vAlign w:val="bottom"/>
            <w:hideMark/>
          </w:tcPr>
          <w:p w14:paraId="59240F97" w14:textId="7EA0A24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88%</w:t>
            </w:r>
          </w:p>
        </w:tc>
        <w:tc>
          <w:tcPr>
            <w:tcW w:w="317" w:type="pct"/>
            <w:tcBorders>
              <w:top w:val="nil"/>
              <w:left w:val="nil"/>
              <w:bottom w:val="nil"/>
              <w:right w:val="nil"/>
            </w:tcBorders>
            <w:shd w:val="clear" w:color="auto" w:fill="auto"/>
            <w:noWrap/>
            <w:vAlign w:val="bottom"/>
            <w:hideMark/>
          </w:tcPr>
          <w:p w14:paraId="5776E899" w14:textId="5BEA356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75%</w:t>
            </w:r>
          </w:p>
        </w:tc>
        <w:tc>
          <w:tcPr>
            <w:tcW w:w="315" w:type="pct"/>
            <w:tcBorders>
              <w:top w:val="nil"/>
              <w:left w:val="nil"/>
              <w:bottom w:val="nil"/>
              <w:right w:val="nil"/>
            </w:tcBorders>
            <w:shd w:val="clear" w:color="auto" w:fill="auto"/>
            <w:noWrap/>
            <w:vAlign w:val="bottom"/>
            <w:hideMark/>
          </w:tcPr>
          <w:p w14:paraId="07C62022" w14:textId="1FDC916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17</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24%</w:t>
            </w:r>
          </w:p>
        </w:tc>
        <w:tc>
          <w:tcPr>
            <w:tcW w:w="317" w:type="pct"/>
            <w:tcBorders>
              <w:top w:val="nil"/>
              <w:left w:val="nil"/>
              <w:bottom w:val="nil"/>
              <w:right w:val="nil"/>
            </w:tcBorders>
            <w:shd w:val="clear" w:color="auto" w:fill="auto"/>
            <w:noWrap/>
            <w:vAlign w:val="bottom"/>
            <w:hideMark/>
          </w:tcPr>
          <w:p w14:paraId="56CB7711" w14:textId="53964A3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06%</w:t>
            </w:r>
          </w:p>
        </w:tc>
        <w:tc>
          <w:tcPr>
            <w:tcW w:w="315" w:type="pct"/>
            <w:tcBorders>
              <w:top w:val="nil"/>
              <w:left w:val="nil"/>
              <w:bottom w:val="nil"/>
              <w:right w:val="nil"/>
            </w:tcBorders>
            <w:shd w:val="clear" w:color="auto" w:fill="auto"/>
            <w:noWrap/>
            <w:vAlign w:val="bottom"/>
            <w:hideMark/>
          </w:tcPr>
          <w:p w14:paraId="56A3A24A" w14:textId="0296A3B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72%</w:t>
            </w:r>
          </w:p>
        </w:tc>
        <w:tc>
          <w:tcPr>
            <w:tcW w:w="317" w:type="pct"/>
            <w:tcBorders>
              <w:top w:val="nil"/>
              <w:left w:val="nil"/>
              <w:bottom w:val="nil"/>
              <w:right w:val="nil"/>
            </w:tcBorders>
            <w:shd w:val="clear" w:color="auto" w:fill="auto"/>
            <w:noWrap/>
            <w:vAlign w:val="bottom"/>
            <w:hideMark/>
          </w:tcPr>
          <w:p w14:paraId="5E95C5ED" w14:textId="3FB5718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37%</w:t>
            </w:r>
          </w:p>
        </w:tc>
        <w:tc>
          <w:tcPr>
            <w:tcW w:w="315" w:type="pct"/>
            <w:tcBorders>
              <w:top w:val="nil"/>
              <w:left w:val="nil"/>
              <w:bottom w:val="nil"/>
              <w:right w:val="nil"/>
            </w:tcBorders>
            <w:shd w:val="clear" w:color="auto" w:fill="auto"/>
            <w:noWrap/>
            <w:vAlign w:val="bottom"/>
            <w:hideMark/>
          </w:tcPr>
          <w:p w14:paraId="32D6F528" w14:textId="01A4073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17%</w:t>
            </w:r>
          </w:p>
        </w:tc>
        <w:tc>
          <w:tcPr>
            <w:tcW w:w="317" w:type="pct"/>
            <w:tcBorders>
              <w:top w:val="nil"/>
              <w:left w:val="nil"/>
              <w:bottom w:val="nil"/>
              <w:right w:val="nil"/>
            </w:tcBorders>
            <w:shd w:val="clear" w:color="auto" w:fill="auto"/>
            <w:noWrap/>
            <w:vAlign w:val="bottom"/>
            <w:hideMark/>
          </w:tcPr>
          <w:p w14:paraId="7B87D41F" w14:textId="1535AF5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90%</w:t>
            </w:r>
          </w:p>
        </w:tc>
        <w:tc>
          <w:tcPr>
            <w:tcW w:w="315" w:type="pct"/>
            <w:tcBorders>
              <w:top w:val="nil"/>
              <w:left w:val="nil"/>
              <w:bottom w:val="nil"/>
              <w:right w:val="nil"/>
            </w:tcBorders>
            <w:shd w:val="clear" w:color="auto" w:fill="auto"/>
            <w:noWrap/>
            <w:vAlign w:val="bottom"/>
            <w:hideMark/>
          </w:tcPr>
          <w:p w14:paraId="24E1AC3D" w14:textId="36A37072"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43%</w:t>
            </w:r>
          </w:p>
        </w:tc>
      </w:tr>
      <w:tr w:rsidR="004B3DBE" w:rsidRPr="009F0551" w14:paraId="69E68075" w14:textId="77777777" w:rsidTr="0037161F">
        <w:trPr>
          <w:trHeight w:val="170"/>
        </w:trPr>
        <w:tc>
          <w:tcPr>
            <w:tcW w:w="1212" w:type="pct"/>
            <w:tcBorders>
              <w:top w:val="nil"/>
              <w:left w:val="nil"/>
              <w:bottom w:val="nil"/>
              <w:right w:val="nil"/>
            </w:tcBorders>
            <w:shd w:val="clear" w:color="auto" w:fill="auto"/>
            <w:noWrap/>
            <w:vAlign w:val="bottom"/>
            <w:hideMark/>
          </w:tcPr>
          <w:p w14:paraId="1815C444"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Wholesale and Retail</w:t>
            </w:r>
          </w:p>
        </w:tc>
        <w:tc>
          <w:tcPr>
            <w:tcW w:w="317" w:type="pct"/>
            <w:tcBorders>
              <w:top w:val="nil"/>
              <w:left w:val="nil"/>
              <w:bottom w:val="nil"/>
              <w:right w:val="nil"/>
            </w:tcBorders>
            <w:shd w:val="clear" w:color="auto" w:fill="auto"/>
            <w:noWrap/>
            <w:vAlign w:val="bottom"/>
            <w:hideMark/>
          </w:tcPr>
          <w:p w14:paraId="16171A6E" w14:textId="07566812"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56%</w:t>
            </w:r>
          </w:p>
        </w:tc>
        <w:tc>
          <w:tcPr>
            <w:tcW w:w="315" w:type="pct"/>
            <w:tcBorders>
              <w:top w:val="nil"/>
              <w:left w:val="nil"/>
              <w:bottom w:val="nil"/>
              <w:right w:val="nil"/>
            </w:tcBorders>
            <w:shd w:val="clear" w:color="auto" w:fill="auto"/>
            <w:noWrap/>
            <w:vAlign w:val="bottom"/>
            <w:hideMark/>
          </w:tcPr>
          <w:p w14:paraId="0F5DB602" w14:textId="614BDFE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81%</w:t>
            </w:r>
          </w:p>
        </w:tc>
        <w:tc>
          <w:tcPr>
            <w:tcW w:w="317" w:type="pct"/>
            <w:tcBorders>
              <w:top w:val="nil"/>
              <w:left w:val="nil"/>
              <w:bottom w:val="nil"/>
              <w:right w:val="nil"/>
            </w:tcBorders>
            <w:shd w:val="clear" w:color="auto" w:fill="auto"/>
            <w:noWrap/>
            <w:vAlign w:val="bottom"/>
            <w:hideMark/>
          </w:tcPr>
          <w:p w14:paraId="191C23DD" w14:textId="3B78C5C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66%</w:t>
            </w:r>
          </w:p>
        </w:tc>
        <w:tc>
          <w:tcPr>
            <w:tcW w:w="315" w:type="pct"/>
            <w:tcBorders>
              <w:top w:val="nil"/>
              <w:left w:val="nil"/>
              <w:bottom w:val="nil"/>
              <w:right w:val="nil"/>
            </w:tcBorders>
            <w:shd w:val="clear" w:color="auto" w:fill="auto"/>
            <w:noWrap/>
            <w:vAlign w:val="bottom"/>
            <w:hideMark/>
          </w:tcPr>
          <w:p w14:paraId="679888CC" w14:textId="36D9A9A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49%</w:t>
            </w:r>
          </w:p>
        </w:tc>
        <w:tc>
          <w:tcPr>
            <w:tcW w:w="317" w:type="pct"/>
            <w:tcBorders>
              <w:top w:val="nil"/>
              <w:left w:val="nil"/>
              <w:bottom w:val="nil"/>
              <w:right w:val="nil"/>
            </w:tcBorders>
            <w:shd w:val="clear" w:color="auto" w:fill="auto"/>
            <w:noWrap/>
            <w:vAlign w:val="bottom"/>
            <w:hideMark/>
          </w:tcPr>
          <w:p w14:paraId="61C4E272" w14:textId="0082C8F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71%</w:t>
            </w:r>
          </w:p>
        </w:tc>
        <w:tc>
          <w:tcPr>
            <w:tcW w:w="315" w:type="pct"/>
            <w:tcBorders>
              <w:top w:val="nil"/>
              <w:left w:val="nil"/>
              <w:bottom w:val="nil"/>
              <w:right w:val="nil"/>
            </w:tcBorders>
            <w:shd w:val="clear" w:color="auto" w:fill="auto"/>
            <w:noWrap/>
            <w:vAlign w:val="bottom"/>
            <w:hideMark/>
          </w:tcPr>
          <w:p w14:paraId="593019F6" w14:textId="193272D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41%</w:t>
            </w:r>
          </w:p>
        </w:tc>
        <w:tc>
          <w:tcPr>
            <w:tcW w:w="317" w:type="pct"/>
            <w:tcBorders>
              <w:top w:val="nil"/>
              <w:left w:val="nil"/>
              <w:bottom w:val="nil"/>
              <w:right w:val="nil"/>
            </w:tcBorders>
            <w:shd w:val="clear" w:color="auto" w:fill="auto"/>
            <w:noWrap/>
            <w:vAlign w:val="bottom"/>
            <w:hideMark/>
          </w:tcPr>
          <w:p w14:paraId="2560D773" w14:textId="14CAA49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89%</w:t>
            </w:r>
          </w:p>
        </w:tc>
        <w:tc>
          <w:tcPr>
            <w:tcW w:w="315" w:type="pct"/>
            <w:tcBorders>
              <w:top w:val="nil"/>
              <w:left w:val="nil"/>
              <w:bottom w:val="nil"/>
              <w:right w:val="nil"/>
            </w:tcBorders>
            <w:shd w:val="clear" w:color="auto" w:fill="auto"/>
            <w:noWrap/>
            <w:vAlign w:val="bottom"/>
            <w:hideMark/>
          </w:tcPr>
          <w:p w14:paraId="0F360B88" w14:textId="2ABC858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11%</w:t>
            </w:r>
          </w:p>
        </w:tc>
        <w:tc>
          <w:tcPr>
            <w:tcW w:w="317" w:type="pct"/>
            <w:tcBorders>
              <w:top w:val="nil"/>
              <w:left w:val="nil"/>
              <w:bottom w:val="nil"/>
              <w:right w:val="nil"/>
            </w:tcBorders>
            <w:shd w:val="clear" w:color="auto" w:fill="auto"/>
            <w:noWrap/>
            <w:vAlign w:val="bottom"/>
            <w:hideMark/>
          </w:tcPr>
          <w:p w14:paraId="27650F17" w14:textId="79D3287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26%</w:t>
            </w:r>
          </w:p>
        </w:tc>
        <w:tc>
          <w:tcPr>
            <w:tcW w:w="315" w:type="pct"/>
            <w:tcBorders>
              <w:top w:val="nil"/>
              <w:left w:val="nil"/>
              <w:bottom w:val="nil"/>
              <w:right w:val="nil"/>
            </w:tcBorders>
            <w:shd w:val="clear" w:color="auto" w:fill="auto"/>
            <w:noWrap/>
            <w:vAlign w:val="bottom"/>
            <w:hideMark/>
          </w:tcPr>
          <w:p w14:paraId="6B009F0C" w14:textId="0DEDD94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28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31%</w:t>
            </w:r>
          </w:p>
        </w:tc>
        <w:tc>
          <w:tcPr>
            <w:tcW w:w="317" w:type="pct"/>
            <w:tcBorders>
              <w:top w:val="nil"/>
              <w:left w:val="nil"/>
              <w:bottom w:val="nil"/>
              <w:right w:val="nil"/>
            </w:tcBorders>
            <w:shd w:val="clear" w:color="auto" w:fill="auto"/>
            <w:noWrap/>
            <w:vAlign w:val="bottom"/>
            <w:hideMark/>
          </w:tcPr>
          <w:p w14:paraId="11E28A52" w14:textId="7D0B2AA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39</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25%</w:t>
            </w:r>
          </w:p>
        </w:tc>
        <w:tc>
          <w:tcPr>
            <w:tcW w:w="315" w:type="pct"/>
            <w:tcBorders>
              <w:top w:val="nil"/>
              <w:left w:val="nil"/>
              <w:bottom w:val="nil"/>
              <w:right w:val="nil"/>
            </w:tcBorders>
            <w:shd w:val="clear" w:color="auto" w:fill="auto"/>
            <w:noWrap/>
            <w:vAlign w:val="bottom"/>
            <w:hideMark/>
          </w:tcPr>
          <w:p w14:paraId="3AE1221D" w14:textId="4F7453D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02%</w:t>
            </w:r>
          </w:p>
        </w:tc>
      </w:tr>
      <w:tr w:rsidR="004B3DBE" w:rsidRPr="009F0551" w14:paraId="5F27D614" w14:textId="77777777" w:rsidTr="0037161F">
        <w:trPr>
          <w:trHeight w:val="170"/>
        </w:trPr>
        <w:tc>
          <w:tcPr>
            <w:tcW w:w="1212" w:type="pct"/>
            <w:tcBorders>
              <w:top w:val="nil"/>
              <w:left w:val="nil"/>
              <w:bottom w:val="nil"/>
              <w:right w:val="nil"/>
            </w:tcBorders>
            <w:shd w:val="clear" w:color="auto" w:fill="auto"/>
            <w:noWrap/>
            <w:vAlign w:val="bottom"/>
            <w:hideMark/>
          </w:tcPr>
          <w:p w14:paraId="4ADB051C"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Services</w:t>
            </w:r>
          </w:p>
        </w:tc>
        <w:tc>
          <w:tcPr>
            <w:tcW w:w="317" w:type="pct"/>
            <w:tcBorders>
              <w:top w:val="nil"/>
              <w:left w:val="nil"/>
              <w:bottom w:val="nil"/>
              <w:right w:val="nil"/>
            </w:tcBorders>
            <w:shd w:val="clear" w:color="auto" w:fill="auto"/>
            <w:noWrap/>
            <w:vAlign w:val="bottom"/>
            <w:hideMark/>
          </w:tcPr>
          <w:p w14:paraId="4F5FDFA2" w14:textId="01C0174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11</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76%</w:t>
            </w:r>
          </w:p>
        </w:tc>
        <w:tc>
          <w:tcPr>
            <w:tcW w:w="315" w:type="pct"/>
            <w:tcBorders>
              <w:top w:val="nil"/>
              <w:left w:val="nil"/>
              <w:bottom w:val="nil"/>
              <w:right w:val="nil"/>
            </w:tcBorders>
            <w:shd w:val="clear" w:color="auto" w:fill="auto"/>
            <w:noWrap/>
            <w:vAlign w:val="bottom"/>
            <w:hideMark/>
          </w:tcPr>
          <w:p w14:paraId="2C13293D" w14:textId="6B28278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55%</w:t>
            </w:r>
          </w:p>
        </w:tc>
        <w:tc>
          <w:tcPr>
            <w:tcW w:w="317" w:type="pct"/>
            <w:tcBorders>
              <w:top w:val="nil"/>
              <w:left w:val="nil"/>
              <w:bottom w:val="nil"/>
              <w:right w:val="nil"/>
            </w:tcBorders>
            <w:shd w:val="clear" w:color="auto" w:fill="auto"/>
            <w:noWrap/>
            <w:vAlign w:val="bottom"/>
            <w:hideMark/>
          </w:tcPr>
          <w:p w14:paraId="7621C566" w14:textId="1DC19758"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46%</w:t>
            </w:r>
          </w:p>
        </w:tc>
        <w:tc>
          <w:tcPr>
            <w:tcW w:w="315" w:type="pct"/>
            <w:tcBorders>
              <w:top w:val="nil"/>
              <w:left w:val="nil"/>
              <w:bottom w:val="nil"/>
              <w:right w:val="nil"/>
            </w:tcBorders>
            <w:shd w:val="clear" w:color="auto" w:fill="auto"/>
            <w:noWrap/>
            <w:vAlign w:val="bottom"/>
            <w:hideMark/>
          </w:tcPr>
          <w:p w14:paraId="089EDBC2" w14:textId="42AE33A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17</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77%</w:t>
            </w:r>
          </w:p>
        </w:tc>
        <w:tc>
          <w:tcPr>
            <w:tcW w:w="317" w:type="pct"/>
            <w:tcBorders>
              <w:top w:val="nil"/>
              <w:left w:val="nil"/>
              <w:bottom w:val="nil"/>
              <w:right w:val="nil"/>
            </w:tcBorders>
            <w:shd w:val="clear" w:color="auto" w:fill="auto"/>
            <w:noWrap/>
            <w:vAlign w:val="bottom"/>
            <w:hideMark/>
          </w:tcPr>
          <w:p w14:paraId="51616523" w14:textId="2D7E1DD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40%</w:t>
            </w:r>
          </w:p>
        </w:tc>
        <w:tc>
          <w:tcPr>
            <w:tcW w:w="315" w:type="pct"/>
            <w:tcBorders>
              <w:top w:val="nil"/>
              <w:left w:val="nil"/>
              <w:bottom w:val="nil"/>
              <w:right w:val="nil"/>
            </w:tcBorders>
            <w:shd w:val="clear" w:color="auto" w:fill="auto"/>
            <w:noWrap/>
            <w:vAlign w:val="bottom"/>
            <w:hideMark/>
          </w:tcPr>
          <w:p w14:paraId="2071CA61" w14:textId="37CB070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7</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13%</w:t>
            </w:r>
          </w:p>
        </w:tc>
        <w:tc>
          <w:tcPr>
            <w:tcW w:w="317" w:type="pct"/>
            <w:tcBorders>
              <w:top w:val="nil"/>
              <w:left w:val="nil"/>
              <w:bottom w:val="nil"/>
              <w:right w:val="nil"/>
            </w:tcBorders>
            <w:shd w:val="clear" w:color="auto" w:fill="auto"/>
            <w:noWrap/>
            <w:vAlign w:val="bottom"/>
            <w:hideMark/>
          </w:tcPr>
          <w:p w14:paraId="486DBCD6" w14:textId="4797E49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14</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97%</w:t>
            </w:r>
          </w:p>
        </w:tc>
        <w:tc>
          <w:tcPr>
            <w:tcW w:w="315" w:type="pct"/>
            <w:tcBorders>
              <w:top w:val="nil"/>
              <w:left w:val="nil"/>
              <w:bottom w:val="nil"/>
              <w:right w:val="nil"/>
            </w:tcBorders>
            <w:shd w:val="clear" w:color="auto" w:fill="auto"/>
            <w:noWrap/>
            <w:vAlign w:val="bottom"/>
            <w:hideMark/>
          </w:tcPr>
          <w:p w14:paraId="34F2302A" w14:textId="5626BC6D"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15</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56%</w:t>
            </w:r>
          </w:p>
        </w:tc>
        <w:tc>
          <w:tcPr>
            <w:tcW w:w="317" w:type="pct"/>
            <w:tcBorders>
              <w:top w:val="nil"/>
              <w:left w:val="nil"/>
              <w:bottom w:val="nil"/>
              <w:right w:val="nil"/>
            </w:tcBorders>
            <w:shd w:val="clear" w:color="auto" w:fill="auto"/>
            <w:noWrap/>
            <w:vAlign w:val="bottom"/>
            <w:hideMark/>
          </w:tcPr>
          <w:p w14:paraId="4A2E8D9B" w14:textId="49E1B521"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12</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29%</w:t>
            </w:r>
          </w:p>
        </w:tc>
        <w:tc>
          <w:tcPr>
            <w:tcW w:w="315" w:type="pct"/>
            <w:tcBorders>
              <w:top w:val="nil"/>
              <w:left w:val="nil"/>
              <w:bottom w:val="nil"/>
              <w:right w:val="nil"/>
            </w:tcBorders>
            <w:shd w:val="clear" w:color="auto" w:fill="auto"/>
            <w:noWrap/>
            <w:vAlign w:val="bottom"/>
            <w:hideMark/>
          </w:tcPr>
          <w:p w14:paraId="76FB3EAF" w14:textId="4341A25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8</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39%</w:t>
            </w:r>
          </w:p>
        </w:tc>
        <w:tc>
          <w:tcPr>
            <w:tcW w:w="317" w:type="pct"/>
            <w:tcBorders>
              <w:top w:val="nil"/>
              <w:left w:val="nil"/>
              <w:bottom w:val="nil"/>
              <w:right w:val="nil"/>
            </w:tcBorders>
            <w:shd w:val="clear" w:color="auto" w:fill="auto"/>
            <w:noWrap/>
            <w:vAlign w:val="bottom"/>
            <w:hideMark/>
          </w:tcPr>
          <w:p w14:paraId="1FA0B570" w14:textId="6688931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3</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58%</w:t>
            </w:r>
          </w:p>
        </w:tc>
        <w:tc>
          <w:tcPr>
            <w:tcW w:w="315" w:type="pct"/>
            <w:tcBorders>
              <w:top w:val="nil"/>
              <w:left w:val="nil"/>
              <w:bottom w:val="nil"/>
              <w:right w:val="nil"/>
            </w:tcBorders>
            <w:shd w:val="clear" w:color="auto" w:fill="auto"/>
            <w:noWrap/>
            <w:vAlign w:val="bottom"/>
            <w:hideMark/>
          </w:tcPr>
          <w:p w14:paraId="735D58E2" w14:textId="4AAEB5C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6</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97%</w:t>
            </w:r>
          </w:p>
        </w:tc>
      </w:tr>
      <w:tr w:rsidR="004B3DBE" w:rsidRPr="009F0551" w14:paraId="0A9F52E3" w14:textId="77777777" w:rsidTr="0037161F">
        <w:trPr>
          <w:trHeight w:val="170"/>
        </w:trPr>
        <w:tc>
          <w:tcPr>
            <w:tcW w:w="1212" w:type="pct"/>
            <w:tcBorders>
              <w:top w:val="nil"/>
              <w:left w:val="nil"/>
              <w:bottom w:val="nil"/>
              <w:right w:val="nil"/>
            </w:tcBorders>
            <w:shd w:val="clear" w:color="auto" w:fill="auto"/>
            <w:noWrap/>
            <w:vAlign w:val="bottom"/>
            <w:hideMark/>
          </w:tcPr>
          <w:p w14:paraId="164CA066"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R2</w:t>
            </w:r>
          </w:p>
        </w:tc>
        <w:tc>
          <w:tcPr>
            <w:tcW w:w="317" w:type="pct"/>
            <w:tcBorders>
              <w:top w:val="nil"/>
              <w:left w:val="nil"/>
              <w:bottom w:val="nil"/>
              <w:right w:val="nil"/>
            </w:tcBorders>
            <w:shd w:val="clear" w:color="auto" w:fill="auto"/>
            <w:noWrap/>
            <w:vAlign w:val="bottom"/>
            <w:hideMark/>
          </w:tcPr>
          <w:p w14:paraId="14B22872" w14:textId="10F4AE0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864</w:t>
            </w:r>
          </w:p>
        </w:tc>
        <w:tc>
          <w:tcPr>
            <w:tcW w:w="315" w:type="pct"/>
            <w:tcBorders>
              <w:top w:val="nil"/>
              <w:left w:val="nil"/>
              <w:bottom w:val="nil"/>
              <w:right w:val="nil"/>
            </w:tcBorders>
            <w:shd w:val="clear" w:color="auto" w:fill="auto"/>
            <w:noWrap/>
            <w:vAlign w:val="bottom"/>
            <w:hideMark/>
          </w:tcPr>
          <w:p w14:paraId="11C66A85" w14:textId="287EFF9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955</w:t>
            </w:r>
          </w:p>
        </w:tc>
        <w:tc>
          <w:tcPr>
            <w:tcW w:w="317" w:type="pct"/>
            <w:tcBorders>
              <w:top w:val="nil"/>
              <w:left w:val="nil"/>
              <w:bottom w:val="nil"/>
              <w:right w:val="nil"/>
            </w:tcBorders>
            <w:shd w:val="clear" w:color="auto" w:fill="auto"/>
            <w:noWrap/>
            <w:vAlign w:val="bottom"/>
            <w:hideMark/>
          </w:tcPr>
          <w:p w14:paraId="03F12046" w14:textId="0A25C71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960</w:t>
            </w:r>
          </w:p>
        </w:tc>
        <w:tc>
          <w:tcPr>
            <w:tcW w:w="315" w:type="pct"/>
            <w:tcBorders>
              <w:top w:val="nil"/>
              <w:left w:val="nil"/>
              <w:bottom w:val="nil"/>
              <w:right w:val="nil"/>
            </w:tcBorders>
            <w:shd w:val="clear" w:color="auto" w:fill="auto"/>
            <w:noWrap/>
            <w:vAlign w:val="bottom"/>
            <w:hideMark/>
          </w:tcPr>
          <w:p w14:paraId="546FDA7F" w14:textId="1D4F807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898</w:t>
            </w:r>
          </w:p>
        </w:tc>
        <w:tc>
          <w:tcPr>
            <w:tcW w:w="317" w:type="pct"/>
            <w:tcBorders>
              <w:top w:val="nil"/>
              <w:left w:val="nil"/>
              <w:bottom w:val="nil"/>
              <w:right w:val="nil"/>
            </w:tcBorders>
            <w:shd w:val="clear" w:color="auto" w:fill="auto"/>
            <w:noWrap/>
            <w:vAlign w:val="bottom"/>
            <w:hideMark/>
          </w:tcPr>
          <w:p w14:paraId="621E1566" w14:textId="51AEB09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952</w:t>
            </w:r>
          </w:p>
        </w:tc>
        <w:tc>
          <w:tcPr>
            <w:tcW w:w="315" w:type="pct"/>
            <w:tcBorders>
              <w:top w:val="nil"/>
              <w:left w:val="nil"/>
              <w:bottom w:val="nil"/>
              <w:right w:val="nil"/>
            </w:tcBorders>
            <w:shd w:val="clear" w:color="auto" w:fill="auto"/>
            <w:noWrap/>
            <w:vAlign w:val="bottom"/>
            <w:hideMark/>
          </w:tcPr>
          <w:p w14:paraId="3727CD09" w14:textId="3DDBE4DB"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905</w:t>
            </w:r>
          </w:p>
        </w:tc>
        <w:tc>
          <w:tcPr>
            <w:tcW w:w="317" w:type="pct"/>
            <w:tcBorders>
              <w:top w:val="nil"/>
              <w:left w:val="nil"/>
              <w:bottom w:val="nil"/>
              <w:right w:val="nil"/>
            </w:tcBorders>
            <w:shd w:val="clear" w:color="auto" w:fill="auto"/>
            <w:noWrap/>
            <w:vAlign w:val="bottom"/>
            <w:hideMark/>
          </w:tcPr>
          <w:p w14:paraId="0CF1AA17" w14:textId="444C1D8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894</w:t>
            </w:r>
          </w:p>
        </w:tc>
        <w:tc>
          <w:tcPr>
            <w:tcW w:w="315" w:type="pct"/>
            <w:tcBorders>
              <w:top w:val="nil"/>
              <w:left w:val="nil"/>
              <w:bottom w:val="nil"/>
              <w:right w:val="nil"/>
            </w:tcBorders>
            <w:shd w:val="clear" w:color="auto" w:fill="auto"/>
            <w:noWrap/>
            <w:vAlign w:val="bottom"/>
            <w:hideMark/>
          </w:tcPr>
          <w:p w14:paraId="2E16E356" w14:textId="66F756B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947</w:t>
            </w:r>
          </w:p>
        </w:tc>
        <w:tc>
          <w:tcPr>
            <w:tcW w:w="317" w:type="pct"/>
            <w:tcBorders>
              <w:top w:val="nil"/>
              <w:left w:val="nil"/>
              <w:bottom w:val="nil"/>
              <w:right w:val="nil"/>
            </w:tcBorders>
            <w:shd w:val="clear" w:color="auto" w:fill="auto"/>
            <w:noWrap/>
            <w:vAlign w:val="bottom"/>
            <w:hideMark/>
          </w:tcPr>
          <w:p w14:paraId="3F1C2FD0" w14:textId="0B4B8374"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891</w:t>
            </w:r>
          </w:p>
        </w:tc>
        <w:tc>
          <w:tcPr>
            <w:tcW w:w="315" w:type="pct"/>
            <w:tcBorders>
              <w:top w:val="nil"/>
              <w:left w:val="nil"/>
              <w:bottom w:val="nil"/>
              <w:right w:val="nil"/>
            </w:tcBorders>
            <w:shd w:val="clear" w:color="auto" w:fill="auto"/>
            <w:noWrap/>
            <w:vAlign w:val="bottom"/>
            <w:hideMark/>
          </w:tcPr>
          <w:p w14:paraId="376302AC" w14:textId="482DEFB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931</w:t>
            </w:r>
          </w:p>
        </w:tc>
        <w:tc>
          <w:tcPr>
            <w:tcW w:w="317" w:type="pct"/>
            <w:tcBorders>
              <w:top w:val="nil"/>
              <w:left w:val="nil"/>
              <w:bottom w:val="nil"/>
              <w:right w:val="nil"/>
            </w:tcBorders>
            <w:shd w:val="clear" w:color="auto" w:fill="auto"/>
            <w:noWrap/>
            <w:vAlign w:val="bottom"/>
            <w:hideMark/>
          </w:tcPr>
          <w:p w14:paraId="6C6A5E98" w14:textId="347D5C46"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877</w:t>
            </w:r>
          </w:p>
        </w:tc>
        <w:tc>
          <w:tcPr>
            <w:tcW w:w="315" w:type="pct"/>
            <w:tcBorders>
              <w:top w:val="nil"/>
              <w:left w:val="nil"/>
              <w:bottom w:val="nil"/>
              <w:right w:val="nil"/>
            </w:tcBorders>
            <w:shd w:val="clear" w:color="auto" w:fill="auto"/>
            <w:noWrap/>
            <w:vAlign w:val="bottom"/>
            <w:hideMark/>
          </w:tcPr>
          <w:p w14:paraId="47BBCC74" w14:textId="4D096B7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875</w:t>
            </w:r>
          </w:p>
        </w:tc>
      </w:tr>
      <w:tr w:rsidR="004B3DBE" w:rsidRPr="009F0551" w14:paraId="63ECA1C3" w14:textId="77777777" w:rsidTr="0037161F">
        <w:trPr>
          <w:trHeight w:val="170"/>
        </w:trPr>
        <w:tc>
          <w:tcPr>
            <w:tcW w:w="1212" w:type="pct"/>
            <w:tcBorders>
              <w:top w:val="nil"/>
              <w:left w:val="nil"/>
              <w:bottom w:val="single" w:sz="4" w:space="0" w:color="auto"/>
              <w:right w:val="nil"/>
            </w:tcBorders>
            <w:shd w:val="clear" w:color="auto" w:fill="auto"/>
            <w:noWrap/>
            <w:vAlign w:val="bottom"/>
            <w:hideMark/>
          </w:tcPr>
          <w:p w14:paraId="1D3B92A7"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Tracking Error</w:t>
            </w:r>
          </w:p>
        </w:tc>
        <w:tc>
          <w:tcPr>
            <w:tcW w:w="317" w:type="pct"/>
            <w:tcBorders>
              <w:top w:val="nil"/>
              <w:left w:val="nil"/>
              <w:bottom w:val="single" w:sz="4" w:space="0" w:color="auto"/>
              <w:right w:val="nil"/>
            </w:tcBorders>
            <w:shd w:val="clear" w:color="auto" w:fill="auto"/>
            <w:noWrap/>
            <w:vAlign w:val="bottom"/>
            <w:hideMark/>
          </w:tcPr>
          <w:p w14:paraId="1175CF63" w14:textId="33490F6A"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78%</w:t>
            </w:r>
          </w:p>
        </w:tc>
        <w:tc>
          <w:tcPr>
            <w:tcW w:w="315" w:type="pct"/>
            <w:tcBorders>
              <w:top w:val="nil"/>
              <w:left w:val="nil"/>
              <w:bottom w:val="single" w:sz="4" w:space="0" w:color="auto"/>
              <w:right w:val="nil"/>
            </w:tcBorders>
            <w:shd w:val="clear" w:color="auto" w:fill="auto"/>
            <w:noWrap/>
            <w:vAlign w:val="bottom"/>
            <w:hideMark/>
          </w:tcPr>
          <w:p w14:paraId="6FA1BDB6" w14:textId="1BF3D14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77%</w:t>
            </w:r>
          </w:p>
        </w:tc>
        <w:tc>
          <w:tcPr>
            <w:tcW w:w="317" w:type="pct"/>
            <w:tcBorders>
              <w:top w:val="nil"/>
              <w:left w:val="nil"/>
              <w:bottom w:val="single" w:sz="4" w:space="0" w:color="auto"/>
              <w:right w:val="nil"/>
            </w:tcBorders>
            <w:shd w:val="clear" w:color="auto" w:fill="auto"/>
            <w:noWrap/>
            <w:vAlign w:val="bottom"/>
            <w:hideMark/>
          </w:tcPr>
          <w:p w14:paraId="2AF7EA87" w14:textId="26A5CD77"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90%</w:t>
            </w:r>
          </w:p>
        </w:tc>
        <w:tc>
          <w:tcPr>
            <w:tcW w:w="315" w:type="pct"/>
            <w:tcBorders>
              <w:top w:val="nil"/>
              <w:left w:val="nil"/>
              <w:bottom w:val="single" w:sz="4" w:space="0" w:color="auto"/>
              <w:right w:val="nil"/>
            </w:tcBorders>
            <w:shd w:val="clear" w:color="auto" w:fill="auto"/>
            <w:noWrap/>
            <w:vAlign w:val="bottom"/>
            <w:hideMark/>
          </w:tcPr>
          <w:p w14:paraId="03ECF6D1" w14:textId="3363327E"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77%</w:t>
            </w:r>
          </w:p>
        </w:tc>
        <w:tc>
          <w:tcPr>
            <w:tcW w:w="317" w:type="pct"/>
            <w:tcBorders>
              <w:top w:val="nil"/>
              <w:left w:val="nil"/>
              <w:bottom w:val="single" w:sz="4" w:space="0" w:color="auto"/>
              <w:right w:val="nil"/>
            </w:tcBorders>
            <w:shd w:val="clear" w:color="auto" w:fill="auto"/>
            <w:noWrap/>
            <w:vAlign w:val="bottom"/>
            <w:hideMark/>
          </w:tcPr>
          <w:p w14:paraId="34C56520" w14:textId="0CFD57F0"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79%</w:t>
            </w:r>
          </w:p>
        </w:tc>
        <w:tc>
          <w:tcPr>
            <w:tcW w:w="315" w:type="pct"/>
            <w:tcBorders>
              <w:top w:val="nil"/>
              <w:left w:val="nil"/>
              <w:bottom w:val="single" w:sz="4" w:space="0" w:color="auto"/>
              <w:right w:val="nil"/>
            </w:tcBorders>
            <w:shd w:val="clear" w:color="auto" w:fill="auto"/>
            <w:noWrap/>
            <w:vAlign w:val="bottom"/>
            <w:hideMark/>
          </w:tcPr>
          <w:p w14:paraId="13C5551E" w14:textId="5914E95C"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88%</w:t>
            </w:r>
          </w:p>
        </w:tc>
        <w:tc>
          <w:tcPr>
            <w:tcW w:w="317" w:type="pct"/>
            <w:tcBorders>
              <w:top w:val="nil"/>
              <w:left w:val="nil"/>
              <w:bottom w:val="single" w:sz="4" w:space="0" w:color="auto"/>
              <w:right w:val="nil"/>
            </w:tcBorders>
            <w:shd w:val="clear" w:color="auto" w:fill="auto"/>
            <w:noWrap/>
            <w:vAlign w:val="bottom"/>
            <w:hideMark/>
          </w:tcPr>
          <w:p w14:paraId="145F273C" w14:textId="249ED363"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53%</w:t>
            </w:r>
          </w:p>
        </w:tc>
        <w:tc>
          <w:tcPr>
            <w:tcW w:w="315" w:type="pct"/>
            <w:tcBorders>
              <w:top w:val="nil"/>
              <w:left w:val="nil"/>
              <w:bottom w:val="single" w:sz="4" w:space="0" w:color="auto"/>
              <w:right w:val="nil"/>
            </w:tcBorders>
            <w:shd w:val="clear" w:color="auto" w:fill="auto"/>
            <w:noWrap/>
            <w:vAlign w:val="bottom"/>
            <w:hideMark/>
          </w:tcPr>
          <w:p w14:paraId="2170D947" w14:textId="7D5EC92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94%</w:t>
            </w:r>
          </w:p>
        </w:tc>
        <w:tc>
          <w:tcPr>
            <w:tcW w:w="317" w:type="pct"/>
            <w:tcBorders>
              <w:top w:val="nil"/>
              <w:left w:val="nil"/>
              <w:bottom w:val="single" w:sz="4" w:space="0" w:color="auto"/>
              <w:right w:val="nil"/>
            </w:tcBorders>
            <w:shd w:val="clear" w:color="auto" w:fill="auto"/>
            <w:noWrap/>
            <w:vAlign w:val="bottom"/>
            <w:hideMark/>
          </w:tcPr>
          <w:p w14:paraId="014C4047" w14:textId="130153EF"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71%</w:t>
            </w:r>
          </w:p>
        </w:tc>
        <w:tc>
          <w:tcPr>
            <w:tcW w:w="315" w:type="pct"/>
            <w:tcBorders>
              <w:top w:val="nil"/>
              <w:left w:val="nil"/>
              <w:bottom w:val="single" w:sz="4" w:space="0" w:color="auto"/>
              <w:right w:val="nil"/>
            </w:tcBorders>
            <w:shd w:val="clear" w:color="auto" w:fill="auto"/>
            <w:noWrap/>
            <w:vAlign w:val="bottom"/>
            <w:hideMark/>
          </w:tcPr>
          <w:p w14:paraId="654AA235" w14:textId="010C2CE2"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98%</w:t>
            </w:r>
          </w:p>
        </w:tc>
        <w:tc>
          <w:tcPr>
            <w:tcW w:w="317" w:type="pct"/>
            <w:tcBorders>
              <w:top w:val="nil"/>
              <w:left w:val="nil"/>
              <w:bottom w:val="single" w:sz="4" w:space="0" w:color="auto"/>
              <w:right w:val="nil"/>
            </w:tcBorders>
            <w:shd w:val="clear" w:color="auto" w:fill="auto"/>
            <w:noWrap/>
            <w:vAlign w:val="bottom"/>
            <w:hideMark/>
          </w:tcPr>
          <w:p w14:paraId="7B3DB0DB" w14:textId="08648F85"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71%</w:t>
            </w:r>
          </w:p>
        </w:tc>
        <w:tc>
          <w:tcPr>
            <w:tcW w:w="315" w:type="pct"/>
            <w:tcBorders>
              <w:top w:val="nil"/>
              <w:left w:val="nil"/>
              <w:bottom w:val="single" w:sz="4" w:space="0" w:color="auto"/>
              <w:right w:val="nil"/>
            </w:tcBorders>
            <w:shd w:val="clear" w:color="auto" w:fill="auto"/>
            <w:noWrap/>
            <w:vAlign w:val="bottom"/>
            <w:hideMark/>
          </w:tcPr>
          <w:p w14:paraId="08B6B28E" w14:textId="52BB09B2" w:rsidR="004B3DBE" w:rsidRPr="009F0551" w:rsidRDefault="004B3DBE" w:rsidP="004B3DBE">
            <w:pPr>
              <w:spacing w:after="0" w:line="240" w:lineRule="auto"/>
              <w:jc w:val="center"/>
              <w:rPr>
                <w:rFonts w:ascii="Times New Roman" w:eastAsia="Times New Roman" w:hAnsi="Times New Roman" w:cs="Times New Roman"/>
                <w:color w:val="000000"/>
              </w:rPr>
            </w:pPr>
            <w:r w:rsidRPr="009F0551">
              <w:rPr>
                <w:rFonts w:ascii="Times New Roman" w:eastAsia="Times New Roman" w:hAnsi="Times New Roman" w:cs="Times New Roman"/>
                <w:color w:val="000000"/>
              </w:rPr>
              <w:t>0</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78%</w:t>
            </w:r>
          </w:p>
        </w:tc>
      </w:tr>
    </w:tbl>
    <w:p w14:paraId="65D32BFD" w14:textId="77777777" w:rsidR="004B3DBE" w:rsidRDefault="004B3DBE" w:rsidP="004B3DBE">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Look w:val="04A0" w:firstRow="1" w:lastRow="0" w:firstColumn="1" w:lastColumn="0" w:noHBand="0" w:noVBand="1"/>
      </w:tblPr>
      <w:tblGrid>
        <w:gridCol w:w="3317"/>
        <w:gridCol w:w="811"/>
        <w:gridCol w:w="805"/>
        <w:gridCol w:w="811"/>
        <w:gridCol w:w="804"/>
        <w:gridCol w:w="810"/>
        <w:gridCol w:w="804"/>
        <w:gridCol w:w="810"/>
        <w:gridCol w:w="804"/>
        <w:gridCol w:w="810"/>
        <w:gridCol w:w="804"/>
        <w:gridCol w:w="810"/>
        <w:gridCol w:w="804"/>
      </w:tblGrid>
      <w:tr w:rsidR="004B3DBE" w:rsidRPr="009F0551" w14:paraId="77F51BEF" w14:textId="77777777" w:rsidTr="0037161F">
        <w:trPr>
          <w:trHeight w:val="198"/>
        </w:trPr>
        <w:tc>
          <w:tcPr>
            <w:tcW w:w="0" w:type="auto"/>
            <w:gridSpan w:val="13"/>
            <w:tcBorders>
              <w:top w:val="nil"/>
              <w:left w:val="nil"/>
              <w:bottom w:val="nil"/>
              <w:right w:val="nil"/>
            </w:tcBorders>
            <w:shd w:val="clear" w:color="auto" w:fill="auto"/>
            <w:noWrap/>
            <w:vAlign w:val="bottom"/>
            <w:hideMark/>
          </w:tcPr>
          <w:p w14:paraId="714B7C86" w14:textId="627EE76D" w:rsidR="004B3DBE" w:rsidRPr="009F0551" w:rsidRDefault="004B3DBE" w:rsidP="004B3DBE">
            <w:pPr>
              <w:spacing w:after="0" w:line="240" w:lineRule="auto"/>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lastRenderedPageBreak/>
              <w:t xml:space="preserve">Table </w:t>
            </w:r>
            <w:r>
              <w:rPr>
                <w:rFonts w:ascii="Times New Roman" w:eastAsia="Times New Roman" w:hAnsi="Times New Roman" w:cs="Times New Roman"/>
                <w:b/>
                <w:bCs/>
                <w:color w:val="000000"/>
              </w:rPr>
              <w:t>9</w:t>
            </w:r>
            <w:r w:rsidRPr="009F0551">
              <w:rPr>
                <w:rFonts w:ascii="Times New Roman" w:eastAsia="Times New Roman" w:hAnsi="Times New Roman" w:cs="Times New Roman"/>
                <w:b/>
                <w:bCs/>
                <w:color w:val="000000"/>
              </w:rPr>
              <w:t xml:space="preserve">: Style Analysis - Stage 3 (May 12 - June 14) </w:t>
            </w:r>
          </w:p>
        </w:tc>
      </w:tr>
      <w:tr w:rsidR="004B3DBE" w:rsidRPr="009F0551" w14:paraId="723A7F39" w14:textId="77777777" w:rsidTr="0037161F">
        <w:trPr>
          <w:trHeight w:val="198"/>
        </w:trPr>
        <w:tc>
          <w:tcPr>
            <w:tcW w:w="0" w:type="auto"/>
            <w:tcBorders>
              <w:top w:val="single" w:sz="4" w:space="0" w:color="auto"/>
              <w:left w:val="nil"/>
              <w:bottom w:val="single" w:sz="4" w:space="0" w:color="auto"/>
              <w:right w:val="nil"/>
            </w:tcBorders>
            <w:shd w:val="clear" w:color="auto" w:fill="auto"/>
            <w:noWrap/>
            <w:vAlign w:val="bottom"/>
            <w:hideMark/>
          </w:tcPr>
          <w:p w14:paraId="113D9863"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 </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030BCB7C"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Malaysia</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768A0C64"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Pakistan</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290A48F3"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Saudi Arabia</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0A9D5CFC"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Qatar</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5204E6B1"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Kuwait</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21130884"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r w:rsidRPr="009F0551">
              <w:rPr>
                <w:rFonts w:ascii="Times New Roman" w:eastAsia="Times New Roman" w:hAnsi="Times New Roman" w:cs="Times New Roman"/>
                <w:b/>
                <w:bCs/>
                <w:color w:val="000000"/>
              </w:rPr>
              <w:t>UAE</w:t>
            </w:r>
          </w:p>
        </w:tc>
      </w:tr>
      <w:tr w:rsidR="0037161F" w:rsidRPr="009F0551" w14:paraId="0B5331CC" w14:textId="77777777" w:rsidTr="0037161F">
        <w:trPr>
          <w:trHeight w:val="198"/>
        </w:trPr>
        <w:tc>
          <w:tcPr>
            <w:tcW w:w="0" w:type="auto"/>
            <w:tcBorders>
              <w:top w:val="nil"/>
              <w:left w:val="nil"/>
              <w:bottom w:val="nil"/>
              <w:right w:val="nil"/>
            </w:tcBorders>
            <w:shd w:val="clear" w:color="auto" w:fill="auto"/>
            <w:noWrap/>
            <w:vAlign w:val="bottom"/>
            <w:hideMark/>
          </w:tcPr>
          <w:p w14:paraId="492FB4A7" w14:textId="77777777" w:rsidR="004B3DBE" w:rsidRPr="009F0551" w:rsidRDefault="004B3DBE" w:rsidP="004B3DBE">
            <w:pPr>
              <w:spacing w:after="0" w:line="240" w:lineRule="auto"/>
              <w:jc w:val="center"/>
              <w:rPr>
                <w:rFonts w:ascii="Times New Roman" w:eastAsia="Times New Roman" w:hAnsi="Times New Roman" w:cs="Times New Roman"/>
                <w:b/>
                <w:bCs/>
                <w:color w:val="000000"/>
              </w:rPr>
            </w:pPr>
          </w:p>
        </w:tc>
        <w:tc>
          <w:tcPr>
            <w:tcW w:w="0" w:type="auto"/>
            <w:tcBorders>
              <w:top w:val="nil"/>
              <w:left w:val="nil"/>
              <w:bottom w:val="nil"/>
              <w:right w:val="nil"/>
            </w:tcBorders>
            <w:shd w:val="clear" w:color="auto" w:fill="auto"/>
            <w:noWrap/>
            <w:vAlign w:val="bottom"/>
            <w:hideMark/>
          </w:tcPr>
          <w:p w14:paraId="463249C0"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Islamic</w:t>
            </w:r>
          </w:p>
        </w:tc>
        <w:tc>
          <w:tcPr>
            <w:tcW w:w="0" w:type="auto"/>
            <w:tcBorders>
              <w:top w:val="nil"/>
              <w:left w:val="nil"/>
              <w:bottom w:val="nil"/>
              <w:right w:val="nil"/>
            </w:tcBorders>
            <w:shd w:val="clear" w:color="auto" w:fill="auto"/>
            <w:noWrap/>
            <w:vAlign w:val="bottom"/>
            <w:hideMark/>
          </w:tcPr>
          <w:p w14:paraId="124437D9"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Conv.</w:t>
            </w:r>
          </w:p>
        </w:tc>
        <w:tc>
          <w:tcPr>
            <w:tcW w:w="0" w:type="auto"/>
            <w:tcBorders>
              <w:top w:val="nil"/>
              <w:left w:val="nil"/>
              <w:bottom w:val="nil"/>
              <w:right w:val="nil"/>
            </w:tcBorders>
            <w:shd w:val="clear" w:color="auto" w:fill="auto"/>
            <w:noWrap/>
            <w:vAlign w:val="bottom"/>
            <w:hideMark/>
          </w:tcPr>
          <w:p w14:paraId="5E1F454A"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Islamic</w:t>
            </w:r>
          </w:p>
        </w:tc>
        <w:tc>
          <w:tcPr>
            <w:tcW w:w="0" w:type="auto"/>
            <w:tcBorders>
              <w:top w:val="nil"/>
              <w:left w:val="nil"/>
              <w:bottom w:val="nil"/>
              <w:right w:val="nil"/>
            </w:tcBorders>
            <w:shd w:val="clear" w:color="auto" w:fill="auto"/>
            <w:noWrap/>
            <w:vAlign w:val="bottom"/>
            <w:hideMark/>
          </w:tcPr>
          <w:p w14:paraId="70B21055"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Conv.</w:t>
            </w:r>
          </w:p>
        </w:tc>
        <w:tc>
          <w:tcPr>
            <w:tcW w:w="0" w:type="auto"/>
            <w:tcBorders>
              <w:top w:val="nil"/>
              <w:left w:val="nil"/>
              <w:bottom w:val="nil"/>
              <w:right w:val="nil"/>
            </w:tcBorders>
            <w:shd w:val="clear" w:color="auto" w:fill="auto"/>
            <w:noWrap/>
            <w:vAlign w:val="bottom"/>
            <w:hideMark/>
          </w:tcPr>
          <w:p w14:paraId="7A296EA8"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Islamic</w:t>
            </w:r>
          </w:p>
        </w:tc>
        <w:tc>
          <w:tcPr>
            <w:tcW w:w="0" w:type="auto"/>
            <w:tcBorders>
              <w:top w:val="nil"/>
              <w:left w:val="nil"/>
              <w:bottom w:val="nil"/>
              <w:right w:val="nil"/>
            </w:tcBorders>
            <w:shd w:val="clear" w:color="auto" w:fill="auto"/>
            <w:noWrap/>
            <w:vAlign w:val="bottom"/>
            <w:hideMark/>
          </w:tcPr>
          <w:p w14:paraId="228724E2"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Conv.</w:t>
            </w:r>
          </w:p>
        </w:tc>
        <w:tc>
          <w:tcPr>
            <w:tcW w:w="0" w:type="auto"/>
            <w:tcBorders>
              <w:top w:val="nil"/>
              <w:left w:val="nil"/>
              <w:bottom w:val="nil"/>
              <w:right w:val="nil"/>
            </w:tcBorders>
            <w:shd w:val="clear" w:color="auto" w:fill="auto"/>
            <w:noWrap/>
            <w:vAlign w:val="bottom"/>
            <w:hideMark/>
          </w:tcPr>
          <w:p w14:paraId="359EC3B3"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Islamic</w:t>
            </w:r>
          </w:p>
        </w:tc>
        <w:tc>
          <w:tcPr>
            <w:tcW w:w="0" w:type="auto"/>
            <w:tcBorders>
              <w:top w:val="nil"/>
              <w:left w:val="nil"/>
              <w:bottom w:val="nil"/>
              <w:right w:val="nil"/>
            </w:tcBorders>
            <w:shd w:val="clear" w:color="auto" w:fill="auto"/>
            <w:noWrap/>
            <w:vAlign w:val="bottom"/>
            <w:hideMark/>
          </w:tcPr>
          <w:p w14:paraId="26C67C73"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Conv.</w:t>
            </w:r>
          </w:p>
        </w:tc>
        <w:tc>
          <w:tcPr>
            <w:tcW w:w="0" w:type="auto"/>
            <w:tcBorders>
              <w:top w:val="nil"/>
              <w:left w:val="nil"/>
              <w:bottom w:val="nil"/>
              <w:right w:val="nil"/>
            </w:tcBorders>
            <w:shd w:val="clear" w:color="auto" w:fill="auto"/>
            <w:noWrap/>
            <w:vAlign w:val="bottom"/>
            <w:hideMark/>
          </w:tcPr>
          <w:p w14:paraId="27A11A20"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Islamic</w:t>
            </w:r>
          </w:p>
        </w:tc>
        <w:tc>
          <w:tcPr>
            <w:tcW w:w="0" w:type="auto"/>
            <w:tcBorders>
              <w:top w:val="nil"/>
              <w:left w:val="nil"/>
              <w:bottom w:val="nil"/>
              <w:right w:val="nil"/>
            </w:tcBorders>
            <w:shd w:val="clear" w:color="auto" w:fill="auto"/>
            <w:noWrap/>
            <w:vAlign w:val="bottom"/>
            <w:hideMark/>
          </w:tcPr>
          <w:p w14:paraId="6A740900"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Conv.</w:t>
            </w:r>
          </w:p>
        </w:tc>
        <w:tc>
          <w:tcPr>
            <w:tcW w:w="0" w:type="auto"/>
            <w:tcBorders>
              <w:top w:val="nil"/>
              <w:left w:val="nil"/>
              <w:bottom w:val="nil"/>
              <w:right w:val="nil"/>
            </w:tcBorders>
            <w:shd w:val="clear" w:color="auto" w:fill="auto"/>
            <w:noWrap/>
            <w:vAlign w:val="bottom"/>
            <w:hideMark/>
          </w:tcPr>
          <w:p w14:paraId="008A3ADE"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Islamic</w:t>
            </w:r>
          </w:p>
        </w:tc>
        <w:tc>
          <w:tcPr>
            <w:tcW w:w="0" w:type="auto"/>
            <w:tcBorders>
              <w:top w:val="nil"/>
              <w:left w:val="nil"/>
              <w:bottom w:val="nil"/>
              <w:right w:val="nil"/>
            </w:tcBorders>
            <w:shd w:val="clear" w:color="auto" w:fill="auto"/>
            <w:noWrap/>
            <w:vAlign w:val="bottom"/>
            <w:hideMark/>
          </w:tcPr>
          <w:p w14:paraId="5200FF69"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Conv.</w:t>
            </w:r>
          </w:p>
        </w:tc>
      </w:tr>
      <w:tr w:rsidR="004B3DBE" w:rsidRPr="009F0551" w14:paraId="42926D71" w14:textId="77777777" w:rsidTr="0037161F">
        <w:trPr>
          <w:trHeight w:val="198"/>
        </w:trPr>
        <w:tc>
          <w:tcPr>
            <w:tcW w:w="0" w:type="auto"/>
            <w:gridSpan w:val="13"/>
            <w:tcBorders>
              <w:top w:val="nil"/>
              <w:left w:val="nil"/>
              <w:bottom w:val="nil"/>
              <w:right w:val="nil"/>
            </w:tcBorders>
            <w:shd w:val="clear" w:color="auto" w:fill="auto"/>
            <w:noWrap/>
            <w:vAlign w:val="bottom"/>
            <w:hideMark/>
          </w:tcPr>
          <w:p w14:paraId="11AA051A"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Size</w:t>
            </w:r>
          </w:p>
        </w:tc>
      </w:tr>
      <w:tr w:rsidR="0037161F" w:rsidRPr="009F0551" w14:paraId="765AF415" w14:textId="77777777" w:rsidTr="0037161F">
        <w:trPr>
          <w:trHeight w:val="198"/>
        </w:trPr>
        <w:tc>
          <w:tcPr>
            <w:tcW w:w="0" w:type="auto"/>
            <w:tcBorders>
              <w:top w:val="nil"/>
              <w:left w:val="nil"/>
              <w:bottom w:val="nil"/>
              <w:right w:val="nil"/>
            </w:tcBorders>
            <w:shd w:val="clear" w:color="auto" w:fill="auto"/>
            <w:noWrap/>
            <w:vAlign w:val="bottom"/>
            <w:hideMark/>
          </w:tcPr>
          <w:p w14:paraId="067D6E55"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Large</w:t>
            </w:r>
          </w:p>
        </w:tc>
        <w:tc>
          <w:tcPr>
            <w:tcW w:w="0" w:type="auto"/>
            <w:tcBorders>
              <w:top w:val="nil"/>
              <w:left w:val="nil"/>
              <w:bottom w:val="nil"/>
              <w:right w:val="nil"/>
            </w:tcBorders>
            <w:shd w:val="clear" w:color="auto" w:fill="auto"/>
            <w:noWrap/>
            <w:vAlign w:val="bottom"/>
            <w:hideMark/>
          </w:tcPr>
          <w:p w14:paraId="14FE6409" w14:textId="1715AE9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67</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05%</w:t>
            </w:r>
          </w:p>
        </w:tc>
        <w:tc>
          <w:tcPr>
            <w:tcW w:w="0" w:type="auto"/>
            <w:tcBorders>
              <w:top w:val="nil"/>
              <w:left w:val="nil"/>
              <w:bottom w:val="nil"/>
              <w:right w:val="nil"/>
            </w:tcBorders>
            <w:shd w:val="clear" w:color="auto" w:fill="auto"/>
            <w:noWrap/>
            <w:vAlign w:val="bottom"/>
            <w:hideMark/>
          </w:tcPr>
          <w:p w14:paraId="7E5066BC" w14:textId="2BCE0EE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24%</w:t>
            </w:r>
          </w:p>
        </w:tc>
        <w:tc>
          <w:tcPr>
            <w:tcW w:w="0" w:type="auto"/>
            <w:tcBorders>
              <w:top w:val="nil"/>
              <w:left w:val="nil"/>
              <w:bottom w:val="nil"/>
              <w:right w:val="nil"/>
            </w:tcBorders>
            <w:shd w:val="clear" w:color="auto" w:fill="auto"/>
            <w:noWrap/>
            <w:vAlign w:val="bottom"/>
            <w:hideMark/>
          </w:tcPr>
          <w:p w14:paraId="6D8246B6" w14:textId="2105CBF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51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31%</w:t>
            </w:r>
          </w:p>
        </w:tc>
        <w:tc>
          <w:tcPr>
            <w:tcW w:w="0" w:type="auto"/>
            <w:tcBorders>
              <w:top w:val="nil"/>
              <w:left w:val="nil"/>
              <w:bottom w:val="nil"/>
              <w:right w:val="nil"/>
            </w:tcBorders>
            <w:shd w:val="clear" w:color="auto" w:fill="auto"/>
            <w:noWrap/>
            <w:vAlign w:val="bottom"/>
            <w:hideMark/>
          </w:tcPr>
          <w:p w14:paraId="39DF9D3E" w14:textId="221F655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56%</w:t>
            </w:r>
          </w:p>
        </w:tc>
        <w:tc>
          <w:tcPr>
            <w:tcW w:w="0" w:type="auto"/>
            <w:tcBorders>
              <w:top w:val="nil"/>
              <w:left w:val="nil"/>
              <w:bottom w:val="nil"/>
              <w:right w:val="nil"/>
            </w:tcBorders>
            <w:shd w:val="clear" w:color="auto" w:fill="auto"/>
            <w:noWrap/>
            <w:vAlign w:val="bottom"/>
            <w:hideMark/>
          </w:tcPr>
          <w:p w14:paraId="52A0275E" w14:textId="4BC0212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60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45%</w:t>
            </w:r>
          </w:p>
        </w:tc>
        <w:tc>
          <w:tcPr>
            <w:tcW w:w="0" w:type="auto"/>
            <w:tcBorders>
              <w:top w:val="nil"/>
              <w:left w:val="nil"/>
              <w:bottom w:val="nil"/>
              <w:right w:val="nil"/>
            </w:tcBorders>
            <w:shd w:val="clear" w:color="auto" w:fill="auto"/>
            <w:noWrap/>
            <w:vAlign w:val="bottom"/>
            <w:hideMark/>
          </w:tcPr>
          <w:p w14:paraId="651324CD" w14:textId="02BAA43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14%</w:t>
            </w:r>
          </w:p>
        </w:tc>
        <w:tc>
          <w:tcPr>
            <w:tcW w:w="0" w:type="auto"/>
            <w:tcBorders>
              <w:top w:val="nil"/>
              <w:left w:val="nil"/>
              <w:bottom w:val="nil"/>
              <w:right w:val="nil"/>
            </w:tcBorders>
            <w:shd w:val="clear" w:color="auto" w:fill="auto"/>
            <w:noWrap/>
            <w:vAlign w:val="bottom"/>
            <w:hideMark/>
          </w:tcPr>
          <w:p w14:paraId="2A77BCA4" w14:textId="3D2EECF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58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11%</w:t>
            </w:r>
          </w:p>
        </w:tc>
        <w:tc>
          <w:tcPr>
            <w:tcW w:w="0" w:type="auto"/>
            <w:tcBorders>
              <w:top w:val="nil"/>
              <w:left w:val="nil"/>
              <w:bottom w:val="nil"/>
              <w:right w:val="nil"/>
            </w:tcBorders>
            <w:shd w:val="clear" w:color="auto" w:fill="auto"/>
            <w:noWrap/>
            <w:vAlign w:val="bottom"/>
            <w:hideMark/>
          </w:tcPr>
          <w:p w14:paraId="4E8CB632" w14:textId="01CB3EB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40%</w:t>
            </w:r>
          </w:p>
        </w:tc>
        <w:tc>
          <w:tcPr>
            <w:tcW w:w="0" w:type="auto"/>
            <w:tcBorders>
              <w:top w:val="nil"/>
              <w:left w:val="nil"/>
              <w:bottom w:val="nil"/>
              <w:right w:val="nil"/>
            </w:tcBorders>
            <w:shd w:val="clear" w:color="auto" w:fill="auto"/>
            <w:noWrap/>
            <w:vAlign w:val="bottom"/>
            <w:hideMark/>
          </w:tcPr>
          <w:p w14:paraId="0736751C" w14:textId="13BB5D5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72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w:t>
            </w:r>
          </w:p>
        </w:tc>
        <w:tc>
          <w:tcPr>
            <w:tcW w:w="0" w:type="auto"/>
            <w:tcBorders>
              <w:top w:val="nil"/>
              <w:left w:val="nil"/>
              <w:bottom w:val="nil"/>
              <w:right w:val="nil"/>
            </w:tcBorders>
            <w:shd w:val="clear" w:color="auto" w:fill="auto"/>
            <w:noWrap/>
            <w:vAlign w:val="bottom"/>
            <w:hideMark/>
          </w:tcPr>
          <w:p w14:paraId="4F375796" w14:textId="0C2856E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75%</w:t>
            </w:r>
          </w:p>
        </w:tc>
        <w:tc>
          <w:tcPr>
            <w:tcW w:w="0" w:type="auto"/>
            <w:tcBorders>
              <w:top w:val="nil"/>
              <w:left w:val="nil"/>
              <w:bottom w:val="nil"/>
              <w:right w:val="nil"/>
            </w:tcBorders>
            <w:shd w:val="clear" w:color="auto" w:fill="auto"/>
            <w:noWrap/>
            <w:vAlign w:val="bottom"/>
            <w:hideMark/>
          </w:tcPr>
          <w:p w14:paraId="1927F9F9" w14:textId="7BDB459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71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21%</w:t>
            </w:r>
          </w:p>
        </w:tc>
        <w:tc>
          <w:tcPr>
            <w:tcW w:w="0" w:type="auto"/>
            <w:tcBorders>
              <w:top w:val="nil"/>
              <w:left w:val="nil"/>
              <w:bottom w:val="nil"/>
              <w:right w:val="nil"/>
            </w:tcBorders>
            <w:shd w:val="clear" w:color="auto" w:fill="auto"/>
            <w:noWrap/>
            <w:vAlign w:val="bottom"/>
            <w:hideMark/>
          </w:tcPr>
          <w:p w14:paraId="2DAD8F30" w14:textId="0BB6B82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78%</w:t>
            </w:r>
          </w:p>
        </w:tc>
      </w:tr>
      <w:tr w:rsidR="0037161F" w:rsidRPr="009F0551" w14:paraId="47C76E5D" w14:textId="77777777" w:rsidTr="0037161F">
        <w:trPr>
          <w:trHeight w:val="198"/>
        </w:trPr>
        <w:tc>
          <w:tcPr>
            <w:tcW w:w="0" w:type="auto"/>
            <w:tcBorders>
              <w:top w:val="nil"/>
              <w:left w:val="nil"/>
              <w:bottom w:val="nil"/>
              <w:right w:val="nil"/>
            </w:tcBorders>
            <w:shd w:val="clear" w:color="auto" w:fill="auto"/>
            <w:noWrap/>
            <w:vAlign w:val="bottom"/>
            <w:hideMark/>
          </w:tcPr>
          <w:p w14:paraId="1A52CD0E"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Mid</w:t>
            </w:r>
          </w:p>
        </w:tc>
        <w:tc>
          <w:tcPr>
            <w:tcW w:w="0" w:type="auto"/>
            <w:tcBorders>
              <w:top w:val="nil"/>
              <w:left w:val="nil"/>
              <w:bottom w:val="nil"/>
              <w:right w:val="nil"/>
            </w:tcBorders>
            <w:shd w:val="clear" w:color="auto" w:fill="auto"/>
            <w:noWrap/>
            <w:vAlign w:val="bottom"/>
            <w:hideMark/>
          </w:tcPr>
          <w:p w14:paraId="75915CA3" w14:textId="745EB5D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24%</w:t>
            </w:r>
          </w:p>
        </w:tc>
        <w:tc>
          <w:tcPr>
            <w:tcW w:w="0" w:type="auto"/>
            <w:tcBorders>
              <w:top w:val="nil"/>
              <w:left w:val="nil"/>
              <w:bottom w:val="nil"/>
              <w:right w:val="nil"/>
            </w:tcBorders>
            <w:shd w:val="clear" w:color="auto" w:fill="auto"/>
            <w:noWrap/>
            <w:vAlign w:val="bottom"/>
            <w:hideMark/>
          </w:tcPr>
          <w:p w14:paraId="649BCF26" w14:textId="78EF31E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25%</w:t>
            </w:r>
          </w:p>
        </w:tc>
        <w:tc>
          <w:tcPr>
            <w:tcW w:w="0" w:type="auto"/>
            <w:tcBorders>
              <w:top w:val="nil"/>
              <w:left w:val="nil"/>
              <w:bottom w:val="nil"/>
              <w:right w:val="nil"/>
            </w:tcBorders>
            <w:shd w:val="clear" w:color="auto" w:fill="auto"/>
            <w:noWrap/>
            <w:vAlign w:val="bottom"/>
            <w:hideMark/>
          </w:tcPr>
          <w:p w14:paraId="4866E169" w14:textId="2F60733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66%</w:t>
            </w:r>
          </w:p>
        </w:tc>
        <w:tc>
          <w:tcPr>
            <w:tcW w:w="0" w:type="auto"/>
            <w:tcBorders>
              <w:top w:val="nil"/>
              <w:left w:val="nil"/>
              <w:bottom w:val="nil"/>
              <w:right w:val="nil"/>
            </w:tcBorders>
            <w:shd w:val="clear" w:color="auto" w:fill="auto"/>
            <w:noWrap/>
            <w:vAlign w:val="bottom"/>
            <w:hideMark/>
          </w:tcPr>
          <w:p w14:paraId="2DE2559C" w14:textId="3734500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56%</w:t>
            </w:r>
          </w:p>
        </w:tc>
        <w:tc>
          <w:tcPr>
            <w:tcW w:w="0" w:type="auto"/>
            <w:tcBorders>
              <w:top w:val="nil"/>
              <w:left w:val="nil"/>
              <w:bottom w:val="nil"/>
              <w:right w:val="nil"/>
            </w:tcBorders>
            <w:shd w:val="clear" w:color="auto" w:fill="auto"/>
            <w:noWrap/>
            <w:vAlign w:val="bottom"/>
            <w:hideMark/>
          </w:tcPr>
          <w:p w14:paraId="5EFAFAB1" w14:textId="0C9E689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57%</w:t>
            </w:r>
          </w:p>
        </w:tc>
        <w:tc>
          <w:tcPr>
            <w:tcW w:w="0" w:type="auto"/>
            <w:tcBorders>
              <w:top w:val="nil"/>
              <w:left w:val="nil"/>
              <w:bottom w:val="nil"/>
              <w:right w:val="nil"/>
            </w:tcBorders>
            <w:shd w:val="clear" w:color="auto" w:fill="auto"/>
            <w:noWrap/>
            <w:vAlign w:val="bottom"/>
            <w:hideMark/>
          </w:tcPr>
          <w:p w14:paraId="5D703AE8" w14:textId="33C9393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58%</w:t>
            </w:r>
          </w:p>
        </w:tc>
        <w:tc>
          <w:tcPr>
            <w:tcW w:w="0" w:type="auto"/>
            <w:tcBorders>
              <w:top w:val="nil"/>
              <w:left w:val="nil"/>
              <w:bottom w:val="nil"/>
              <w:right w:val="nil"/>
            </w:tcBorders>
            <w:shd w:val="clear" w:color="auto" w:fill="auto"/>
            <w:noWrap/>
            <w:vAlign w:val="bottom"/>
            <w:hideMark/>
          </w:tcPr>
          <w:p w14:paraId="3590B19F" w14:textId="61137C0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34%</w:t>
            </w:r>
          </w:p>
        </w:tc>
        <w:tc>
          <w:tcPr>
            <w:tcW w:w="0" w:type="auto"/>
            <w:tcBorders>
              <w:top w:val="nil"/>
              <w:left w:val="nil"/>
              <w:bottom w:val="nil"/>
              <w:right w:val="nil"/>
            </w:tcBorders>
            <w:shd w:val="clear" w:color="auto" w:fill="auto"/>
            <w:noWrap/>
            <w:vAlign w:val="bottom"/>
            <w:hideMark/>
          </w:tcPr>
          <w:p w14:paraId="0AFAE45A" w14:textId="1D32F62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55%</w:t>
            </w:r>
          </w:p>
        </w:tc>
        <w:tc>
          <w:tcPr>
            <w:tcW w:w="0" w:type="auto"/>
            <w:tcBorders>
              <w:top w:val="nil"/>
              <w:left w:val="nil"/>
              <w:bottom w:val="nil"/>
              <w:right w:val="nil"/>
            </w:tcBorders>
            <w:shd w:val="clear" w:color="auto" w:fill="auto"/>
            <w:noWrap/>
            <w:vAlign w:val="bottom"/>
            <w:hideMark/>
          </w:tcPr>
          <w:p w14:paraId="5616FE07" w14:textId="36F7367C"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36%</w:t>
            </w:r>
          </w:p>
        </w:tc>
        <w:tc>
          <w:tcPr>
            <w:tcW w:w="0" w:type="auto"/>
            <w:tcBorders>
              <w:top w:val="nil"/>
              <w:left w:val="nil"/>
              <w:bottom w:val="nil"/>
              <w:right w:val="nil"/>
            </w:tcBorders>
            <w:shd w:val="clear" w:color="auto" w:fill="auto"/>
            <w:noWrap/>
            <w:vAlign w:val="bottom"/>
            <w:hideMark/>
          </w:tcPr>
          <w:p w14:paraId="4B1C2843" w14:textId="111F5D9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66%</w:t>
            </w:r>
          </w:p>
        </w:tc>
        <w:tc>
          <w:tcPr>
            <w:tcW w:w="0" w:type="auto"/>
            <w:tcBorders>
              <w:top w:val="nil"/>
              <w:left w:val="nil"/>
              <w:bottom w:val="nil"/>
              <w:right w:val="nil"/>
            </w:tcBorders>
            <w:shd w:val="clear" w:color="auto" w:fill="auto"/>
            <w:noWrap/>
            <w:vAlign w:val="bottom"/>
            <w:hideMark/>
          </w:tcPr>
          <w:p w14:paraId="12416464" w14:textId="37E88FE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33%</w:t>
            </w:r>
          </w:p>
        </w:tc>
        <w:tc>
          <w:tcPr>
            <w:tcW w:w="0" w:type="auto"/>
            <w:tcBorders>
              <w:top w:val="nil"/>
              <w:left w:val="nil"/>
              <w:bottom w:val="nil"/>
              <w:right w:val="nil"/>
            </w:tcBorders>
            <w:shd w:val="clear" w:color="auto" w:fill="auto"/>
            <w:noWrap/>
            <w:vAlign w:val="bottom"/>
            <w:hideMark/>
          </w:tcPr>
          <w:p w14:paraId="71B4FFD4" w14:textId="51FAC69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33%</w:t>
            </w:r>
          </w:p>
        </w:tc>
      </w:tr>
      <w:tr w:rsidR="0037161F" w:rsidRPr="009F0551" w14:paraId="7E0E46FB" w14:textId="77777777" w:rsidTr="0037161F">
        <w:trPr>
          <w:trHeight w:val="198"/>
        </w:trPr>
        <w:tc>
          <w:tcPr>
            <w:tcW w:w="0" w:type="auto"/>
            <w:tcBorders>
              <w:top w:val="nil"/>
              <w:left w:val="nil"/>
              <w:bottom w:val="nil"/>
              <w:right w:val="nil"/>
            </w:tcBorders>
            <w:shd w:val="clear" w:color="auto" w:fill="auto"/>
            <w:noWrap/>
            <w:vAlign w:val="bottom"/>
            <w:hideMark/>
          </w:tcPr>
          <w:p w14:paraId="48E1B37C"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Small</w:t>
            </w:r>
          </w:p>
        </w:tc>
        <w:tc>
          <w:tcPr>
            <w:tcW w:w="0" w:type="auto"/>
            <w:tcBorders>
              <w:top w:val="nil"/>
              <w:left w:val="nil"/>
              <w:bottom w:val="nil"/>
              <w:right w:val="nil"/>
            </w:tcBorders>
            <w:shd w:val="clear" w:color="auto" w:fill="auto"/>
            <w:noWrap/>
            <w:vAlign w:val="bottom"/>
            <w:hideMark/>
          </w:tcPr>
          <w:p w14:paraId="15AF83C0" w14:textId="7BB8129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71%</w:t>
            </w:r>
          </w:p>
        </w:tc>
        <w:tc>
          <w:tcPr>
            <w:tcW w:w="0" w:type="auto"/>
            <w:tcBorders>
              <w:top w:val="nil"/>
              <w:left w:val="nil"/>
              <w:bottom w:val="nil"/>
              <w:right w:val="nil"/>
            </w:tcBorders>
            <w:shd w:val="clear" w:color="auto" w:fill="auto"/>
            <w:noWrap/>
            <w:vAlign w:val="bottom"/>
            <w:hideMark/>
          </w:tcPr>
          <w:p w14:paraId="095E1F37" w14:textId="4912A84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51%</w:t>
            </w:r>
          </w:p>
        </w:tc>
        <w:tc>
          <w:tcPr>
            <w:tcW w:w="0" w:type="auto"/>
            <w:tcBorders>
              <w:top w:val="nil"/>
              <w:left w:val="nil"/>
              <w:bottom w:val="nil"/>
              <w:right w:val="nil"/>
            </w:tcBorders>
            <w:shd w:val="clear" w:color="auto" w:fill="auto"/>
            <w:noWrap/>
            <w:vAlign w:val="bottom"/>
            <w:hideMark/>
          </w:tcPr>
          <w:p w14:paraId="7AE038E0" w14:textId="50B78E4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03%</w:t>
            </w:r>
          </w:p>
        </w:tc>
        <w:tc>
          <w:tcPr>
            <w:tcW w:w="0" w:type="auto"/>
            <w:tcBorders>
              <w:top w:val="nil"/>
              <w:left w:val="nil"/>
              <w:bottom w:val="nil"/>
              <w:right w:val="nil"/>
            </w:tcBorders>
            <w:shd w:val="clear" w:color="auto" w:fill="auto"/>
            <w:noWrap/>
            <w:vAlign w:val="bottom"/>
            <w:hideMark/>
          </w:tcPr>
          <w:p w14:paraId="06F2D68D" w14:textId="2C9E9A7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88%</w:t>
            </w:r>
          </w:p>
        </w:tc>
        <w:tc>
          <w:tcPr>
            <w:tcW w:w="0" w:type="auto"/>
            <w:tcBorders>
              <w:top w:val="nil"/>
              <w:left w:val="nil"/>
              <w:bottom w:val="nil"/>
              <w:right w:val="nil"/>
            </w:tcBorders>
            <w:shd w:val="clear" w:color="auto" w:fill="auto"/>
            <w:noWrap/>
            <w:vAlign w:val="bottom"/>
            <w:hideMark/>
          </w:tcPr>
          <w:p w14:paraId="2D1D855D" w14:textId="2C0EB21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98%</w:t>
            </w:r>
          </w:p>
        </w:tc>
        <w:tc>
          <w:tcPr>
            <w:tcW w:w="0" w:type="auto"/>
            <w:tcBorders>
              <w:top w:val="nil"/>
              <w:left w:val="nil"/>
              <w:bottom w:val="nil"/>
              <w:right w:val="nil"/>
            </w:tcBorders>
            <w:shd w:val="clear" w:color="auto" w:fill="auto"/>
            <w:noWrap/>
            <w:vAlign w:val="bottom"/>
            <w:hideMark/>
          </w:tcPr>
          <w:p w14:paraId="609205B8" w14:textId="39C342B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28%</w:t>
            </w:r>
          </w:p>
        </w:tc>
        <w:tc>
          <w:tcPr>
            <w:tcW w:w="0" w:type="auto"/>
            <w:tcBorders>
              <w:top w:val="nil"/>
              <w:left w:val="nil"/>
              <w:bottom w:val="nil"/>
              <w:right w:val="nil"/>
            </w:tcBorders>
            <w:shd w:val="clear" w:color="auto" w:fill="auto"/>
            <w:noWrap/>
            <w:vAlign w:val="bottom"/>
            <w:hideMark/>
          </w:tcPr>
          <w:p w14:paraId="5CF241E1" w14:textId="0CE8D3F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55%</w:t>
            </w:r>
          </w:p>
        </w:tc>
        <w:tc>
          <w:tcPr>
            <w:tcW w:w="0" w:type="auto"/>
            <w:tcBorders>
              <w:top w:val="nil"/>
              <w:left w:val="nil"/>
              <w:bottom w:val="nil"/>
              <w:right w:val="nil"/>
            </w:tcBorders>
            <w:shd w:val="clear" w:color="auto" w:fill="auto"/>
            <w:noWrap/>
            <w:vAlign w:val="bottom"/>
            <w:hideMark/>
          </w:tcPr>
          <w:p w14:paraId="54D62D01" w14:textId="39207A9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47</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05%</w:t>
            </w:r>
          </w:p>
        </w:tc>
        <w:tc>
          <w:tcPr>
            <w:tcW w:w="0" w:type="auto"/>
            <w:tcBorders>
              <w:top w:val="nil"/>
              <w:left w:val="nil"/>
              <w:bottom w:val="nil"/>
              <w:right w:val="nil"/>
            </w:tcBorders>
            <w:shd w:val="clear" w:color="auto" w:fill="auto"/>
            <w:noWrap/>
            <w:vAlign w:val="bottom"/>
            <w:hideMark/>
          </w:tcPr>
          <w:p w14:paraId="37895827" w14:textId="06288D9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75%</w:t>
            </w:r>
          </w:p>
        </w:tc>
        <w:tc>
          <w:tcPr>
            <w:tcW w:w="0" w:type="auto"/>
            <w:tcBorders>
              <w:top w:val="nil"/>
              <w:left w:val="nil"/>
              <w:bottom w:val="nil"/>
              <w:right w:val="nil"/>
            </w:tcBorders>
            <w:shd w:val="clear" w:color="auto" w:fill="auto"/>
            <w:noWrap/>
            <w:vAlign w:val="bottom"/>
            <w:hideMark/>
          </w:tcPr>
          <w:p w14:paraId="2B07B360" w14:textId="27DF120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59%</w:t>
            </w:r>
          </w:p>
        </w:tc>
        <w:tc>
          <w:tcPr>
            <w:tcW w:w="0" w:type="auto"/>
            <w:tcBorders>
              <w:top w:val="nil"/>
              <w:left w:val="nil"/>
              <w:bottom w:val="nil"/>
              <w:right w:val="nil"/>
            </w:tcBorders>
            <w:shd w:val="clear" w:color="auto" w:fill="auto"/>
            <w:noWrap/>
            <w:vAlign w:val="bottom"/>
            <w:hideMark/>
          </w:tcPr>
          <w:p w14:paraId="6179303B" w14:textId="01F0F17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47%</w:t>
            </w:r>
          </w:p>
        </w:tc>
        <w:tc>
          <w:tcPr>
            <w:tcW w:w="0" w:type="auto"/>
            <w:tcBorders>
              <w:top w:val="nil"/>
              <w:left w:val="nil"/>
              <w:bottom w:val="nil"/>
              <w:right w:val="nil"/>
            </w:tcBorders>
            <w:shd w:val="clear" w:color="auto" w:fill="auto"/>
            <w:noWrap/>
            <w:vAlign w:val="bottom"/>
            <w:hideMark/>
          </w:tcPr>
          <w:p w14:paraId="013C36C8" w14:textId="3D34AE9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90%</w:t>
            </w:r>
          </w:p>
        </w:tc>
      </w:tr>
      <w:tr w:rsidR="0037161F" w:rsidRPr="009F0551" w14:paraId="6C777FA2" w14:textId="77777777" w:rsidTr="0037161F">
        <w:trPr>
          <w:trHeight w:val="198"/>
        </w:trPr>
        <w:tc>
          <w:tcPr>
            <w:tcW w:w="0" w:type="auto"/>
            <w:tcBorders>
              <w:top w:val="nil"/>
              <w:left w:val="nil"/>
              <w:bottom w:val="nil"/>
              <w:right w:val="nil"/>
            </w:tcBorders>
            <w:shd w:val="clear" w:color="auto" w:fill="auto"/>
            <w:noWrap/>
            <w:vAlign w:val="bottom"/>
            <w:hideMark/>
          </w:tcPr>
          <w:p w14:paraId="04C61176"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R2</w:t>
            </w:r>
          </w:p>
        </w:tc>
        <w:tc>
          <w:tcPr>
            <w:tcW w:w="0" w:type="auto"/>
            <w:tcBorders>
              <w:top w:val="nil"/>
              <w:left w:val="nil"/>
              <w:bottom w:val="nil"/>
              <w:right w:val="nil"/>
            </w:tcBorders>
            <w:shd w:val="clear" w:color="auto" w:fill="auto"/>
            <w:noWrap/>
            <w:vAlign w:val="bottom"/>
            <w:hideMark/>
          </w:tcPr>
          <w:p w14:paraId="3D9887B3" w14:textId="7E0264F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903</w:t>
            </w:r>
          </w:p>
        </w:tc>
        <w:tc>
          <w:tcPr>
            <w:tcW w:w="0" w:type="auto"/>
            <w:tcBorders>
              <w:top w:val="nil"/>
              <w:left w:val="nil"/>
              <w:bottom w:val="nil"/>
              <w:right w:val="nil"/>
            </w:tcBorders>
            <w:shd w:val="clear" w:color="auto" w:fill="auto"/>
            <w:noWrap/>
            <w:vAlign w:val="bottom"/>
            <w:hideMark/>
          </w:tcPr>
          <w:p w14:paraId="1F9AC1D6" w14:textId="3748EBB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851</w:t>
            </w:r>
          </w:p>
        </w:tc>
        <w:tc>
          <w:tcPr>
            <w:tcW w:w="0" w:type="auto"/>
            <w:tcBorders>
              <w:top w:val="nil"/>
              <w:left w:val="nil"/>
              <w:bottom w:val="nil"/>
              <w:right w:val="nil"/>
            </w:tcBorders>
            <w:shd w:val="clear" w:color="auto" w:fill="auto"/>
            <w:noWrap/>
            <w:vAlign w:val="bottom"/>
            <w:hideMark/>
          </w:tcPr>
          <w:p w14:paraId="0F0AE020" w14:textId="2E7558F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857</w:t>
            </w:r>
          </w:p>
        </w:tc>
        <w:tc>
          <w:tcPr>
            <w:tcW w:w="0" w:type="auto"/>
            <w:tcBorders>
              <w:top w:val="nil"/>
              <w:left w:val="nil"/>
              <w:bottom w:val="nil"/>
              <w:right w:val="nil"/>
            </w:tcBorders>
            <w:shd w:val="clear" w:color="auto" w:fill="auto"/>
            <w:noWrap/>
            <w:vAlign w:val="bottom"/>
            <w:hideMark/>
          </w:tcPr>
          <w:p w14:paraId="2F44D3A3" w14:textId="0E32133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926</w:t>
            </w:r>
          </w:p>
        </w:tc>
        <w:tc>
          <w:tcPr>
            <w:tcW w:w="0" w:type="auto"/>
            <w:tcBorders>
              <w:top w:val="nil"/>
              <w:left w:val="nil"/>
              <w:bottom w:val="nil"/>
              <w:right w:val="nil"/>
            </w:tcBorders>
            <w:shd w:val="clear" w:color="auto" w:fill="auto"/>
            <w:noWrap/>
            <w:vAlign w:val="bottom"/>
            <w:hideMark/>
          </w:tcPr>
          <w:p w14:paraId="7E77EDE7" w14:textId="4B1F04B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919</w:t>
            </w:r>
          </w:p>
        </w:tc>
        <w:tc>
          <w:tcPr>
            <w:tcW w:w="0" w:type="auto"/>
            <w:tcBorders>
              <w:top w:val="nil"/>
              <w:left w:val="nil"/>
              <w:bottom w:val="nil"/>
              <w:right w:val="nil"/>
            </w:tcBorders>
            <w:shd w:val="clear" w:color="auto" w:fill="auto"/>
            <w:noWrap/>
            <w:vAlign w:val="bottom"/>
            <w:hideMark/>
          </w:tcPr>
          <w:p w14:paraId="59EEA104" w14:textId="3D6FE82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896</w:t>
            </w:r>
          </w:p>
        </w:tc>
        <w:tc>
          <w:tcPr>
            <w:tcW w:w="0" w:type="auto"/>
            <w:tcBorders>
              <w:top w:val="nil"/>
              <w:left w:val="nil"/>
              <w:bottom w:val="nil"/>
              <w:right w:val="nil"/>
            </w:tcBorders>
            <w:shd w:val="clear" w:color="auto" w:fill="auto"/>
            <w:noWrap/>
            <w:vAlign w:val="bottom"/>
            <w:hideMark/>
          </w:tcPr>
          <w:p w14:paraId="32A3F816" w14:textId="2855363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908</w:t>
            </w:r>
          </w:p>
        </w:tc>
        <w:tc>
          <w:tcPr>
            <w:tcW w:w="0" w:type="auto"/>
            <w:tcBorders>
              <w:top w:val="nil"/>
              <w:left w:val="nil"/>
              <w:bottom w:val="nil"/>
              <w:right w:val="nil"/>
            </w:tcBorders>
            <w:shd w:val="clear" w:color="auto" w:fill="auto"/>
            <w:noWrap/>
            <w:vAlign w:val="bottom"/>
            <w:hideMark/>
          </w:tcPr>
          <w:p w14:paraId="57713178" w14:textId="45B33DE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872</w:t>
            </w:r>
          </w:p>
        </w:tc>
        <w:tc>
          <w:tcPr>
            <w:tcW w:w="0" w:type="auto"/>
            <w:tcBorders>
              <w:top w:val="nil"/>
              <w:left w:val="nil"/>
              <w:bottom w:val="nil"/>
              <w:right w:val="nil"/>
            </w:tcBorders>
            <w:shd w:val="clear" w:color="auto" w:fill="auto"/>
            <w:noWrap/>
            <w:vAlign w:val="bottom"/>
            <w:hideMark/>
          </w:tcPr>
          <w:p w14:paraId="2C839B64" w14:textId="14832A6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946</w:t>
            </w:r>
          </w:p>
        </w:tc>
        <w:tc>
          <w:tcPr>
            <w:tcW w:w="0" w:type="auto"/>
            <w:tcBorders>
              <w:top w:val="nil"/>
              <w:left w:val="nil"/>
              <w:bottom w:val="nil"/>
              <w:right w:val="nil"/>
            </w:tcBorders>
            <w:shd w:val="clear" w:color="auto" w:fill="auto"/>
            <w:noWrap/>
            <w:vAlign w:val="bottom"/>
            <w:hideMark/>
          </w:tcPr>
          <w:p w14:paraId="4FED1A27" w14:textId="1533336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873</w:t>
            </w:r>
          </w:p>
        </w:tc>
        <w:tc>
          <w:tcPr>
            <w:tcW w:w="0" w:type="auto"/>
            <w:tcBorders>
              <w:top w:val="nil"/>
              <w:left w:val="nil"/>
              <w:bottom w:val="nil"/>
              <w:right w:val="nil"/>
            </w:tcBorders>
            <w:shd w:val="clear" w:color="auto" w:fill="auto"/>
            <w:noWrap/>
            <w:vAlign w:val="bottom"/>
            <w:hideMark/>
          </w:tcPr>
          <w:p w14:paraId="5611274E" w14:textId="76EFE44C"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912</w:t>
            </w:r>
          </w:p>
        </w:tc>
        <w:tc>
          <w:tcPr>
            <w:tcW w:w="0" w:type="auto"/>
            <w:tcBorders>
              <w:top w:val="nil"/>
              <w:left w:val="nil"/>
              <w:bottom w:val="nil"/>
              <w:right w:val="nil"/>
            </w:tcBorders>
            <w:shd w:val="clear" w:color="auto" w:fill="auto"/>
            <w:noWrap/>
            <w:vAlign w:val="bottom"/>
            <w:hideMark/>
          </w:tcPr>
          <w:p w14:paraId="6B1DACB5" w14:textId="29DB4A2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865</w:t>
            </w:r>
          </w:p>
        </w:tc>
      </w:tr>
      <w:tr w:rsidR="0037161F" w:rsidRPr="009F0551" w14:paraId="361266A8" w14:textId="77777777" w:rsidTr="0037161F">
        <w:trPr>
          <w:trHeight w:val="198"/>
        </w:trPr>
        <w:tc>
          <w:tcPr>
            <w:tcW w:w="0" w:type="auto"/>
            <w:tcBorders>
              <w:top w:val="nil"/>
              <w:left w:val="nil"/>
              <w:bottom w:val="nil"/>
              <w:right w:val="nil"/>
            </w:tcBorders>
            <w:shd w:val="clear" w:color="auto" w:fill="auto"/>
            <w:noWrap/>
            <w:vAlign w:val="bottom"/>
            <w:hideMark/>
          </w:tcPr>
          <w:p w14:paraId="3F6848A3"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Tracking Error</w:t>
            </w:r>
          </w:p>
        </w:tc>
        <w:tc>
          <w:tcPr>
            <w:tcW w:w="0" w:type="auto"/>
            <w:tcBorders>
              <w:top w:val="nil"/>
              <w:left w:val="nil"/>
              <w:bottom w:val="nil"/>
              <w:right w:val="nil"/>
            </w:tcBorders>
            <w:shd w:val="clear" w:color="auto" w:fill="auto"/>
            <w:noWrap/>
            <w:vAlign w:val="bottom"/>
            <w:hideMark/>
          </w:tcPr>
          <w:p w14:paraId="1EB76684" w14:textId="35CCE07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68%</w:t>
            </w:r>
          </w:p>
        </w:tc>
        <w:tc>
          <w:tcPr>
            <w:tcW w:w="0" w:type="auto"/>
            <w:tcBorders>
              <w:top w:val="nil"/>
              <w:left w:val="nil"/>
              <w:bottom w:val="nil"/>
              <w:right w:val="nil"/>
            </w:tcBorders>
            <w:shd w:val="clear" w:color="auto" w:fill="auto"/>
            <w:noWrap/>
            <w:vAlign w:val="bottom"/>
            <w:hideMark/>
          </w:tcPr>
          <w:p w14:paraId="7CE48C7F" w14:textId="0117770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44%</w:t>
            </w:r>
          </w:p>
        </w:tc>
        <w:tc>
          <w:tcPr>
            <w:tcW w:w="0" w:type="auto"/>
            <w:tcBorders>
              <w:top w:val="nil"/>
              <w:left w:val="nil"/>
              <w:bottom w:val="nil"/>
              <w:right w:val="nil"/>
            </w:tcBorders>
            <w:shd w:val="clear" w:color="auto" w:fill="auto"/>
            <w:noWrap/>
            <w:vAlign w:val="bottom"/>
            <w:hideMark/>
          </w:tcPr>
          <w:p w14:paraId="66EEED54" w14:textId="1803BD2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75%</w:t>
            </w:r>
          </w:p>
        </w:tc>
        <w:tc>
          <w:tcPr>
            <w:tcW w:w="0" w:type="auto"/>
            <w:tcBorders>
              <w:top w:val="nil"/>
              <w:left w:val="nil"/>
              <w:bottom w:val="nil"/>
              <w:right w:val="nil"/>
            </w:tcBorders>
            <w:shd w:val="clear" w:color="auto" w:fill="auto"/>
            <w:noWrap/>
            <w:vAlign w:val="bottom"/>
            <w:hideMark/>
          </w:tcPr>
          <w:p w14:paraId="77139FD5" w14:textId="48B61A7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95%</w:t>
            </w:r>
          </w:p>
        </w:tc>
        <w:tc>
          <w:tcPr>
            <w:tcW w:w="0" w:type="auto"/>
            <w:tcBorders>
              <w:top w:val="nil"/>
              <w:left w:val="nil"/>
              <w:bottom w:val="nil"/>
              <w:right w:val="nil"/>
            </w:tcBorders>
            <w:shd w:val="clear" w:color="auto" w:fill="auto"/>
            <w:noWrap/>
            <w:vAlign w:val="bottom"/>
            <w:hideMark/>
          </w:tcPr>
          <w:p w14:paraId="46E792EF" w14:textId="477F635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38%</w:t>
            </w:r>
          </w:p>
        </w:tc>
        <w:tc>
          <w:tcPr>
            <w:tcW w:w="0" w:type="auto"/>
            <w:tcBorders>
              <w:top w:val="nil"/>
              <w:left w:val="nil"/>
              <w:bottom w:val="nil"/>
              <w:right w:val="nil"/>
            </w:tcBorders>
            <w:shd w:val="clear" w:color="auto" w:fill="auto"/>
            <w:noWrap/>
            <w:vAlign w:val="bottom"/>
            <w:hideMark/>
          </w:tcPr>
          <w:p w14:paraId="3CFCABAC" w14:textId="5433FD0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81%</w:t>
            </w:r>
          </w:p>
        </w:tc>
        <w:tc>
          <w:tcPr>
            <w:tcW w:w="0" w:type="auto"/>
            <w:tcBorders>
              <w:top w:val="nil"/>
              <w:left w:val="nil"/>
              <w:bottom w:val="nil"/>
              <w:right w:val="nil"/>
            </w:tcBorders>
            <w:shd w:val="clear" w:color="auto" w:fill="auto"/>
            <w:noWrap/>
            <w:vAlign w:val="bottom"/>
            <w:hideMark/>
          </w:tcPr>
          <w:p w14:paraId="4452BEF3" w14:textId="514B777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50%</w:t>
            </w:r>
          </w:p>
        </w:tc>
        <w:tc>
          <w:tcPr>
            <w:tcW w:w="0" w:type="auto"/>
            <w:tcBorders>
              <w:top w:val="nil"/>
              <w:left w:val="nil"/>
              <w:bottom w:val="nil"/>
              <w:right w:val="nil"/>
            </w:tcBorders>
            <w:shd w:val="clear" w:color="auto" w:fill="auto"/>
            <w:noWrap/>
            <w:vAlign w:val="bottom"/>
            <w:hideMark/>
          </w:tcPr>
          <w:p w14:paraId="35744579" w14:textId="4CAB408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65%</w:t>
            </w:r>
          </w:p>
        </w:tc>
        <w:tc>
          <w:tcPr>
            <w:tcW w:w="0" w:type="auto"/>
            <w:tcBorders>
              <w:top w:val="nil"/>
              <w:left w:val="nil"/>
              <w:bottom w:val="nil"/>
              <w:right w:val="nil"/>
            </w:tcBorders>
            <w:shd w:val="clear" w:color="auto" w:fill="auto"/>
            <w:noWrap/>
            <w:vAlign w:val="bottom"/>
            <w:hideMark/>
          </w:tcPr>
          <w:p w14:paraId="4899FA97" w14:textId="65DF7E2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54%</w:t>
            </w:r>
          </w:p>
        </w:tc>
        <w:tc>
          <w:tcPr>
            <w:tcW w:w="0" w:type="auto"/>
            <w:tcBorders>
              <w:top w:val="nil"/>
              <w:left w:val="nil"/>
              <w:bottom w:val="nil"/>
              <w:right w:val="nil"/>
            </w:tcBorders>
            <w:shd w:val="clear" w:color="auto" w:fill="auto"/>
            <w:noWrap/>
            <w:vAlign w:val="bottom"/>
            <w:hideMark/>
          </w:tcPr>
          <w:p w14:paraId="562F3F35" w14:textId="1BBCA22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47%</w:t>
            </w:r>
          </w:p>
        </w:tc>
        <w:tc>
          <w:tcPr>
            <w:tcW w:w="0" w:type="auto"/>
            <w:tcBorders>
              <w:top w:val="nil"/>
              <w:left w:val="nil"/>
              <w:bottom w:val="nil"/>
              <w:right w:val="nil"/>
            </w:tcBorders>
            <w:shd w:val="clear" w:color="auto" w:fill="auto"/>
            <w:noWrap/>
            <w:vAlign w:val="bottom"/>
            <w:hideMark/>
          </w:tcPr>
          <w:p w14:paraId="6D98B19D" w14:textId="426BEDA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91%</w:t>
            </w:r>
          </w:p>
        </w:tc>
        <w:tc>
          <w:tcPr>
            <w:tcW w:w="0" w:type="auto"/>
            <w:tcBorders>
              <w:top w:val="nil"/>
              <w:left w:val="nil"/>
              <w:bottom w:val="nil"/>
              <w:right w:val="nil"/>
            </w:tcBorders>
            <w:shd w:val="clear" w:color="auto" w:fill="auto"/>
            <w:noWrap/>
            <w:vAlign w:val="bottom"/>
            <w:hideMark/>
          </w:tcPr>
          <w:p w14:paraId="15E2BA51" w14:textId="1901B5B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63%</w:t>
            </w:r>
          </w:p>
        </w:tc>
      </w:tr>
      <w:tr w:rsidR="004B3DBE" w:rsidRPr="009F0551" w14:paraId="3CD40C87" w14:textId="77777777" w:rsidTr="0037161F">
        <w:trPr>
          <w:trHeight w:val="198"/>
        </w:trPr>
        <w:tc>
          <w:tcPr>
            <w:tcW w:w="0" w:type="auto"/>
            <w:gridSpan w:val="13"/>
            <w:tcBorders>
              <w:top w:val="nil"/>
              <w:left w:val="nil"/>
              <w:bottom w:val="nil"/>
              <w:right w:val="nil"/>
            </w:tcBorders>
            <w:shd w:val="clear" w:color="auto" w:fill="auto"/>
            <w:noWrap/>
            <w:vAlign w:val="bottom"/>
            <w:hideMark/>
          </w:tcPr>
          <w:p w14:paraId="7AF8FB77"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Factor Strategies</w:t>
            </w:r>
          </w:p>
        </w:tc>
      </w:tr>
      <w:tr w:rsidR="0037161F" w:rsidRPr="009F0551" w14:paraId="6D1CB3D5" w14:textId="77777777" w:rsidTr="0037161F">
        <w:trPr>
          <w:trHeight w:val="198"/>
        </w:trPr>
        <w:tc>
          <w:tcPr>
            <w:tcW w:w="0" w:type="auto"/>
            <w:tcBorders>
              <w:top w:val="nil"/>
              <w:left w:val="nil"/>
              <w:bottom w:val="nil"/>
              <w:right w:val="nil"/>
            </w:tcBorders>
            <w:shd w:val="clear" w:color="auto" w:fill="auto"/>
            <w:noWrap/>
            <w:vAlign w:val="bottom"/>
            <w:hideMark/>
          </w:tcPr>
          <w:p w14:paraId="2DF15A1B"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Growth</w:t>
            </w:r>
          </w:p>
        </w:tc>
        <w:tc>
          <w:tcPr>
            <w:tcW w:w="0" w:type="auto"/>
            <w:tcBorders>
              <w:top w:val="nil"/>
              <w:left w:val="nil"/>
              <w:bottom w:val="nil"/>
              <w:right w:val="nil"/>
            </w:tcBorders>
            <w:shd w:val="clear" w:color="auto" w:fill="auto"/>
            <w:noWrap/>
            <w:vAlign w:val="bottom"/>
            <w:hideMark/>
          </w:tcPr>
          <w:p w14:paraId="1F1A8717" w14:textId="7455DFD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67%</w:t>
            </w:r>
          </w:p>
        </w:tc>
        <w:tc>
          <w:tcPr>
            <w:tcW w:w="0" w:type="auto"/>
            <w:tcBorders>
              <w:top w:val="nil"/>
              <w:left w:val="nil"/>
              <w:bottom w:val="nil"/>
              <w:right w:val="nil"/>
            </w:tcBorders>
            <w:shd w:val="clear" w:color="auto" w:fill="auto"/>
            <w:noWrap/>
            <w:vAlign w:val="bottom"/>
            <w:hideMark/>
          </w:tcPr>
          <w:p w14:paraId="57BD498E" w14:textId="269B677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53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32%</w:t>
            </w:r>
          </w:p>
        </w:tc>
        <w:tc>
          <w:tcPr>
            <w:tcW w:w="0" w:type="auto"/>
            <w:tcBorders>
              <w:top w:val="nil"/>
              <w:left w:val="nil"/>
              <w:bottom w:val="nil"/>
              <w:right w:val="nil"/>
            </w:tcBorders>
            <w:shd w:val="clear" w:color="auto" w:fill="auto"/>
            <w:noWrap/>
            <w:vAlign w:val="bottom"/>
            <w:hideMark/>
          </w:tcPr>
          <w:p w14:paraId="13BBC260" w14:textId="6AB06E8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88%</w:t>
            </w:r>
          </w:p>
        </w:tc>
        <w:tc>
          <w:tcPr>
            <w:tcW w:w="0" w:type="auto"/>
            <w:tcBorders>
              <w:top w:val="nil"/>
              <w:left w:val="nil"/>
              <w:bottom w:val="nil"/>
              <w:right w:val="nil"/>
            </w:tcBorders>
            <w:shd w:val="clear" w:color="auto" w:fill="auto"/>
            <w:noWrap/>
            <w:vAlign w:val="bottom"/>
            <w:hideMark/>
          </w:tcPr>
          <w:p w14:paraId="251CA508" w14:textId="5A36FC3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56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26%</w:t>
            </w:r>
          </w:p>
        </w:tc>
        <w:tc>
          <w:tcPr>
            <w:tcW w:w="0" w:type="auto"/>
            <w:tcBorders>
              <w:top w:val="nil"/>
              <w:left w:val="nil"/>
              <w:bottom w:val="nil"/>
              <w:right w:val="nil"/>
            </w:tcBorders>
            <w:shd w:val="clear" w:color="auto" w:fill="auto"/>
            <w:noWrap/>
            <w:vAlign w:val="bottom"/>
            <w:hideMark/>
          </w:tcPr>
          <w:p w14:paraId="56F3FAAC" w14:textId="70108BF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93%</w:t>
            </w:r>
          </w:p>
        </w:tc>
        <w:tc>
          <w:tcPr>
            <w:tcW w:w="0" w:type="auto"/>
            <w:tcBorders>
              <w:top w:val="nil"/>
              <w:left w:val="nil"/>
              <w:bottom w:val="nil"/>
              <w:right w:val="nil"/>
            </w:tcBorders>
            <w:shd w:val="clear" w:color="auto" w:fill="auto"/>
            <w:noWrap/>
            <w:vAlign w:val="bottom"/>
            <w:hideMark/>
          </w:tcPr>
          <w:p w14:paraId="68E47F5C" w14:textId="2FEB3E4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39%</w:t>
            </w:r>
          </w:p>
        </w:tc>
        <w:tc>
          <w:tcPr>
            <w:tcW w:w="0" w:type="auto"/>
            <w:tcBorders>
              <w:top w:val="nil"/>
              <w:left w:val="nil"/>
              <w:bottom w:val="nil"/>
              <w:right w:val="nil"/>
            </w:tcBorders>
            <w:shd w:val="clear" w:color="auto" w:fill="auto"/>
            <w:noWrap/>
            <w:vAlign w:val="bottom"/>
            <w:hideMark/>
          </w:tcPr>
          <w:p w14:paraId="20F6D553" w14:textId="7A6AF56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29%</w:t>
            </w:r>
          </w:p>
        </w:tc>
        <w:tc>
          <w:tcPr>
            <w:tcW w:w="0" w:type="auto"/>
            <w:tcBorders>
              <w:top w:val="nil"/>
              <w:left w:val="nil"/>
              <w:bottom w:val="nil"/>
              <w:right w:val="nil"/>
            </w:tcBorders>
            <w:shd w:val="clear" w:color="auto" w:fill="auto"/>
            <w:noWrap/>
            <w:vAlign w:val="bottom"/>
            <w:hideMark/>
          </w:tcPr>
          <w:p w14:paraId="38629005" w14:textId="1AF9F24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03%</w:t>
            </w:r>
          </w:p>
        </w:tc>
        <w:tc>
          <w:tcPr>
            <w:tcW w:w="0" w:type="auto"/>
            <w:tcBorders>
              <w:top w:val="nil"/>
              <w:left w:val="nil"/>
              <w:bottom w:val="nil"/>
              <w:right w:val="nil"/>
            </w:tcBorders>
            <w:shd w:val="clear" w:color="auto" w:fill="auto"/>
            <w:noWrap/>
            <w:vAlign w:val="bottom"/>
            <w:hideMark/>
          </w:tcPr>
          <w:p w14:paraId="383BD281" w14:textId="535E505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25%</w:t>
            </w:r>
          </w:p>
        </w:tc>
        <w:tc>
          <w:tcPr>
            <w:tcW w:w="0" w:type="auto"/>
            <w:tcBorders>
              <w:top w:val="nil"/>
              <w:left w:val="nil"/>
              <w:bottom w:val="nil"/>
              <w:right w:val="nil"/>
            </w:tcBorders>
            <w:shd w:val="clear" w:color="auto" w:fill="auto"/>
            <w:noWrap/>
            <w:vAlign w:val="bottom"/>
            <w:hideMark/>
          </w:tcPr>
          <w:p w14:paraId="6A076BAA" w14:textId="2C470EB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25%</w:t>
            </w:r>
          </w:p>
        </w:tc>
        <w:tc>
          <w:tcPr>
            <w:tcW w:w="0" w:type="auto"/>
            <w:tcBorders>
              <w:top w:val="nil"/>
              <w:left w:val="nil"/>
              <w:bottom w:val="nil"/>
              <w:right w:val="nil"/>
            </w:tcBorders>
            <w:shd w:val="clear" w:color="auto" w:fill="auto"/>
            <w:noWrap/>
            <w:vAlign w:val="bottom"/>
            <w:hideMark/>
          </w:tcPr>
          <w:p w14:paraId="39BA3991" w14:textId="1265EFE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97%</w:t>
            </w:r>
          </w:p>
        </w:tc>
        <w:tc>
          <w:tcPr>
            <w:tcW w:w="0" w:type="auto"/>
            <w:tcBorders>
              <w:top w:val="nil"/>
              <w:left w:val="nil"/>
              <w:bottom w:val="nil"/>
              <w:right w:val="nil"/>
            </w:tcBorders>
            <w:shd w:val="clear" w:color="auto" w:fill="auto"/>
            <w:noWrap/>
            <w:vAlign w:val="bottom"/>
            <w:hideMark/>
          </w:tcPr>
          <w:p w14:paraId="383F3D3A" w14:textId="07A2934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29%</w:t>
            </w:r>
          </w:p>
        </w:tc>
      </w:tr>
      <w:tr w:rsidR="0037161F" w:rsidRPr="009F0551" w14:paraId="0F7A67F9" w14:textId="77777777" w:rsidTr="0037161F">
        <w:trPr>
          <w:trHeight w:val="198"/>
        </w:trPr>
        <w:tc>
          <w:tcPr>
            <w:tcW w:w="0" w:type="auto"/>
            <w:tcBorders>
              <w:top w:val="nil"/>
              <w:left w:val="nil"/>
              <w:bottom w:val="nil"/>
              <w:right w:val="nil"/>
            </w:tcBorders>
            <w:shd w:val="clear" w:color="auto" w:fill="auto"/>
            <w:noWrap/>
            <w:vAlign w:val="bottom"/>
            <w:hideMark/>
          </w:tcPr>
          <w:p w14:paraId="012BE373"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Value</w:t>
            </w:r>
          </w:p>
        </w:tc>
        <w:tc>
          <w:tcPr>
            <w:tcW w:w="0" w:type="auto"/>
            <w:tcBorders>
              <w:top w:val="nil"/>
              <w:left w:val="nil"/>
              <w:bottom w:val="nil"/>
              <w:right w:val="nil"/>
            </w:tcBorders>
            <w:shd w:val="clear" w:color="auto" w:fill="auto"/>
            <w:noWrap/>
            <w:vAlign w:val="bottom"/>
            <w:hideMark/>
          </w:tcPr>
          <w:p w14:paraId="0BC16A01" w14:textId="29EACA7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63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35%</w:t>
            </w:r>
          </w:p>
        </w:tc>
        <w:tc>
          <w:tcPr>
            <w:tcW w:w="0" w:type="auto"/>
            <w:tcBorders>
              <w:top w:val="nil"/>
              <w:left w:val="nil"/>
              <w:bottom w:val="nil"/>
              <w:right w:val="nil"/>
            </w:tcBorders>
            <w:shd w:val="clear" w:color="auto" w:fill="auto"/>
            <w:noWrap/>
            <w:vAlign w:val="bottom"/>
            <w:hideMark/>
          </w:tcPr>
          <w:p w14:paraId="160C56D3" w14:textId="2523D37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33%</w:t>
            </w:r>
          </w:p>
        </w:tc>
        <w:tc>
          <w:tcPr>
            <w:tcW w:w="0" w:type="auto"/>
            <w:tcBorders>
              <w:top w:val="nil"/>
              <w:left w:val="nil"/>
              <w:bottom w:val="nil"/>
              <w:right w:val="nil"/>
            </w:tcBorders>
            <w:shd w:val="clear" w:color="auto" w:fill="auto"/>
            <w:noWrap/>
            <w:vAlign w:val="bottom"/>
            <w:hideMark/>
          </w:tcPr>
          <w:p w14:paraId="726B8CF1" w14:textId="0B05AE8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67</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13%</w:t>
            </w:r>
          </w:p>
        </w:tc>
        <w:tc>
          <w:tcPr>
            <w:tcW w:w="0" w:type="auto"/>
            <w:tcBorders>
              <w:top w:val="nil"/>
              <w:left w:val="nil"/>
              <w:bottom w:val="nil"/>
              <w:right w:val="nil"/>
            </w:tcBorders>
            <w:shd w:val="clear" w:color="auto" w:fill="auto"/>
            <w:noWrap/>
            <w:vAlign w:val="bottom"/>
            <w:hideMark/>
          </w:tcPr>
          <w:p w14:paraId="230AE929" w14:textId="5D3536B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56%</w:t>
            </w:r>
          </w:p>
        </w:tc>
        <w:tc>
          <w:tcPr>
            <w:tcW w:w="0" w:type="auto"/>
            <w:tcBorders>
              <w:top w:val="nil"/>
              <w:left w:val="nil"/>
              <w:bottom w:val="nil"/>
              <w:right w:val="nil"/>
            </w:tcBorders>
            <w:shd w:val="clear" w:color="auto" w:fill="auto"/>
            <w:noWrap/>
            <w:vAlign w:val="bottom"/>
            <w:hideMark/>
          </w:tcPr>
          <w:p w14:paraId="749F7F77" w14:textId="0E90E76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59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02%</w:t>
            </w:r>
          </w:p>
        </w:tc>
        <w:tc>
          <w:tcPr>
            <w:tcW w:w="0" w:type="auto"/>
            <w:tcBorders>
              <w:top w:val="nil"/>
              <w:left w:val="nil"/>
              <w:bottom w:val="nil"/>
              <w:right w:val="nil"/>
            </w:tcBorders>
            <w:shd w:val="clear" w:color="auto" w:fill="auto"/>
            <w:noWrap/>
            <w:vAlign w:val="bottom"/>
            <w:hideMark/>
          </w:tcPr>
          <w:p w14:paraId="25E9F390" w14:textId="0F85EF6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52%</w:t>
            </w:r>
          </w:p>
        </w:tc>
        <w:tc>
          <w:tcPr>
            <w:tcW w:w="0" w:type="auto"/>
            <w:tcBorders>
              <w:top w:val="nil"/>
              <w:left w:val="nil"/>
              <w:bottom w:val="nil"/>
              <w:right w:val="nil"/>
            </w:tcBorders>
            <w:shd w:val="clear" w:color="auto" w:fill="auto"/>
            <w:noWrap/>
            <w:vAlign w:val="bottom"/>
            <w:hideMark/>
          </w:tcPr>
          <w:p w14:paraId="1B31B48E" w14:textId="78226D3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17%</w:t>
            </w:r>
          </w:p>
        </w:tc>
        <w:tc>
          <w:tcPr>
            <w:tcW w:w="0" w:type="auto"/>
            <w:tcBorders>
              <w:top w:val="nil"/>
              <w:left w:val="nil"/>
              <w:bottom w:val="nil"/>
              <w:right w:val="nil"/>
            </w:tcBorders>
            <w:shd w:val="clear" w:color="auto" w:fill="auto"/>
            <w:noWrap/>
            <w:vAlign w:val="bottom"/>
            <w:hideMark/>
          </w:tcPr>
          <w:p w14:paraId="5CE86BDF" w14:textId="18A839D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23%</w:t>
            </w:r>
          </w:p>
        </w:tc>
        <w:tc>
          <w:tcPr>
            <w:tcW w:w="0" w:type="auto"/>
            <w:tcBorders>
              <w:top w:val="nil"/>
              <w:left w:val="nil"/>
              <w:bottom w:val="nil"/>
              <w:right w:val="nil"/>
            </w:tcBorders>
            <w:shd w:val="clear" w:color="auto" w:fill="auto"/>
            <w:noWrap/>
            <w:vAlign w:val="bottom"/>
            <w:hideMark/>
          </w:tcPr>
          <w:p w14:paraId="5B7F445E" w14:textId="13FFA14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78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38%</w:t>
            </w:r>
          </w:p>
        </w:tc>
        <w:tc>
          <w:tcPr>
            <w:tcW w:w="0" w:type="auto"/>
            <w:tcBorders>
              <w:top w:val="nil"/>
              <w:left w:val="nil"/>
              <w:bottom w:val="nil"/>
              <w:right w:val="nil"/>
            </w:tcBorders>
            <w:shd w:val="clear" w:color="auto" w:fill="auto"/>
            <w:noWrap/>
            <w:vAlign w:val="bottom"/>
            <w:hideMark/>
          </w:tcPr>
          <w:p w14:paraId="3C6EBBBE" w14:textId="61007F3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13%</w:t>
            </w:r>
          </w:p>
        </w:tc>
        <w:tc>
          <w:tcPr>
            <w:tcW w:w="0" w:type="auto"/>
            <w:tcBorders>
              <w:top w:val="nil"/>
              <w:left w:val="nil"/>
              <w:bottom w:val="nil"/>
              <w:right w:val="nil"/>
            </w:tcBorders>
            <w:shd w:val="clear" w:color="auto" w:fill="auto"/>
            <w:noWrap/>
            <w:vAlign w:val="bottom"/>
            <w:hideMark/>
          </w:tcPr>
          <w:p w14:paraId="7F252995" w14:textId="6938DCC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75%</w:t>
            </w:r>
          </w:p>
        </w:tc>
        <w:tc>
          <w:tcPr>
            <w:tcW w:w="0" w:type="auto"/>
            <w:tcBorders>
              <w:top w:val="nil"/>
              <w:left w:val="nil"/>
              <w:bottom w:val="nil"/>
              <w:right w:val="nil"/>
            </w:tcBorders>
            <w:shd w:val="clear" w:color="auto" w:fill="auto"/>
            <w:noWrap/>
            <w:vAlign w:val="bottom"/>
            <w:hideMark/>
          </w:tcPr>
          <w:p w14:paraId="4FB936DC" w14:textId="72C1FB2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55%</w:t>
            </w:r>
          </w:p>
        </w:tc>
      </w:tr>
      <w:tr w:rsidR="0037161F" w:rsidRPr="009F0551" w14:paraId="37A6543C" w14:textId="77777777" w:rsidTr="0037161F">
        <w:trPr>
          <w:trHeight w:val="198"/>
        </w:trPr>
        <w:tc>
          <w:tcPr>
            <w:tcW w:w="0" w:type="auto"/>
            <w:tcBorders>
              <w:top w:val="nil"/>
              <w:left w:val="nil"/>
              <w:bottom w:val="nil"/>
              <w:right w:val="nil"/>
            </w:tcBorders>
            <w:shd w:val="clear" w:color="auto" w:fill="auto"/>
            <w:noWrap/>
            <w:vAlign w:val="bottom"/>
            <w:hideMark/>
          </w:tcPr>
          <w:p w14:paraId="65F36AF6"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Momentum</w:t>
            </w:r>
          </w:p>
        </w:tc>
        <w:tc>
          <w:tcPr>
            <w:tcW w:w="0" w:type="auto"/>
            <w:tcBorders>
              <w:top w:val="nil"/>
              <w:left w:val="nil"/>
              <w:bottom w:val="nil"/>
              <w:right w:val="nil"/>
            </w:tcBorders>
            <w:shd w:val="clear" w:color="auto" w:fill="auto"/>
            <w:noWrap/>
            <w:vAlign w:val="bottom"/>
            <w:hideMark/>
          </w:tcPr>
          <w:p w14:paraId="465B3F5A" w14:textId="7261AB8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98%</w:t>
            </w:r>
          </w:p>
        </w:tc>
        <w:tc>
          <w:tcPr>
            <w:tcW w:w="0" w:type="auto"/>
            <w:tcBorders>
              <w:top w:val="nil"/>
              <w:left w:val="nil"/>
              <w:bottom w:val="nil"/>
              <w:right w:val="nil"/>
            </w:tcBorders>
            <w:shd w:val="clear" w:color="auto" w:fill="auto"/>
            <w:noWrap/>
            <w:vAlign w:val="bottom"/>
            <w:hideMark/>
          </w:tcPr>
          <w:p w14:paraId="359A2D52" w14:textId="5A89FFE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35%</w:t>
            </w:r>
          </w:p>
        </w:tc>
        <w:tc>
          <w:tcPr>
            <w:tcW w:w="0" w:type="auto"/>
            <w:tcBorders>
              <w:top w:val="nil"/>
              <w:left w:val="nil"/>
              <w:bottom w:val="nil"/>
              <w:right w:val="nil"/>
            </w:tcBorders>
            <w:shd w:val="clear" w:color="auto" w:fill="auto"/>
            <w:noWrap/>
            <w:vAlign w:val="bottom"/>
            <w:hideMark/>
          </w:tcPr>
          <w:p w14:paraId="76C98385" w14:textId="5900528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99%</w:t>
            </w:r>
          </w:p>
        </w:tc>
        <w:tc>
          <w:tcPr>
            <w:tcW w:w="0" w:type="auto"/>
            <w:tcBorders>
              <w:top w:val="nil"/>
              <w:left w:val="nil"/>
              <w:bottom w:val="nil"/>
              <w:right w:val="nil"/>
            </w:tcBorders>
            <w:shd w:val="clear" w:color="auto" w:fill="auto"/>
            <w:noWrap/>
            <w:vAlign w:val="bottom"/>
            <w:hideMark/>
          </w:tcPr>
          <w:p w14:paraId="2BC77244" w14:textId="1E0BAA8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18%</w:t>
            </w:r>
          </w:p>
        </w:tc>
        <w:tc>
          <w:tcPr>
            <w:tcW w:w="0" w:type="auto"/>
            <w:tcBorders>
              <w:top w:val="nil"/>
              <w:left w:val="nil"/>
              <w:bottom w:val="nil"/>
              <w:right w:val="nil"/>
            </w:tcBorders>
            <w:shd w:val="clear" w:color="auto" w:fill="auto"/>
            <w:noWrap/>
            <w:vAlign w:val="bottom"/>
            <w:hideMark/>
          </w:tcPr>
          <w:p w14:paraId="1D775261" w14:textId="3DD9DCD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05%</w:t>
            </w:r>
          </w:p>
        </w:tc>
        <w:tc>
          <w:tcPr>
            <w:tcW w:w="0" w:type="auto"/>
            <w:tcBorders>
              <w:top w:val="nil"/>
              <w:left w:val="nil"/>
              <w:bottom w:val="nil"/>
              <w:right w:val="nil"/>
            </w:tcBorders>
            <w:shd w:val="clear" w:color="auto" w:fill="auto"/>
            <w:noWrap/>
            <w:vAlign w:val="bottom"/>
            <w:hideMark/>
          </w:tcPr>
          <w:p w14:paraId="05A00525" w14:textId="2C35B5D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09%</w:t>
            </w:r>
          </w:p>
        </w:tc>
        <w:tc>
          <w:tcPr>
            <w:tcW w:w="0" w:type="auto"/>
            <w:tcBorders>
              <w:top w:val="nil"/>
              <w:left w:val="nil"/>
              <w:bottom w:val="nil"/>
              <w:right w:val="nil"/>
            </w:tcBorders>
            <w:shd w:val="clear" w:color="auto" w:fill="auto"/>
            <w:noWrap/>
            <w:vAlign w:val="bottom"/>
            <w:hideMark/>
          </w:tcPr>
          <w:p w14:paraId="66F20EDE" w14:textId="7C11665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54%</w:t>
            </w:r>
          </w:p>
        </w:tc>
        <w:tc>
          <w:tcPr>
            <w:tcW w:w="0" w:type="auto"/>
            <w:tcBorders>
              <w:top w:val="nil"/>
              <w:left w:val="nil"/>
              <w:bottom w:val="nil"/>
              <w:right w:val="nil"/>
            </w:tcBorders>
            <w:shd w:val="clear" w:color="auto" w:fill="auto"/>
            <w:noWrap/>
            <w:vAlign w:val="bottom"/>
            <w:hideMark/>
          </w:tcPr>
          <w:p w14:paraId="6F313DDA" w14:textId="5C78CE6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74%</w:t>
            </w:r>
          </w:p>
        </w:tc>
        <w:tc>
          <w:tcPr>
            <w:tcW w:w="0" w:type="auto"/>
            <w:tcBorders>
              <w:top w:val="nil"/>
              <w:left w:val="nil"/>
              <w:bottom w:val="nil"/>
              <w:right w:val="nil"/>
            </w:tcBorders>
            <w:shd w:val="clear" w:color="auto" w:fill="auto"/>
            <w:noWrap/>
            <w:vAlign w:val="bottom"/>
            <w:hideMark/>
          </w:tcPr>
          <w:p w14:paraId="4F1EC0EA" w14:textId="03A14F0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37%</w:t>
            </w:r>
          </w:p>
        </w:tc>
        <w:tc>
          <w:tcPr>
            <w:tcW w:w="0" w:type="auto"/>
            <w:tcBorders>
              <w:top w:val="nil"/>
              <w:left w:val="nil"/>
              <w:bottom w:val="nil"/>
              <w:right w:val="nil"/>
            </w:tcBorders>
            <w:shd w:val="clear" w:color="auto" w:fill="auto"/>
            <w:noWrap/>
            <w:vAlign w:val="bottom"/>
            <w:hideMark/>
          </w:tcPr>
          <w:p w14:paraId="69DBC06D" w14:textId="7DDF6CE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62%</w:t>
            </w:r>
          </w:p>
        </w:tc>
        <w:tc>
          <w:tcPr>
            <w:tcW w:w="0" w:type="auto"/>
            <w:tcBorders>
              <w:top w:val="nil"/>
              <w:left w:val="nil"/>
              <w:bottom w:val="nil"/>
              <w:right w:val="nil"/>
            </w:tcBorders>
            <w:shd w:val="clear" w:color="auto" w:fill="auto"/>
            <w:noWrap/>
            <w:vAlign w:val="bottom"/>
            <w:hideMark/>
          </w:tcPr>
          <w:p w14:paraId="2E71F342" w14:textId="41F1BEF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28%</w:t>
            </w:r>
          </w:p>
        </w:tc>
        <w:tc>
          <w:tcPr>
            <w:tcW w:w="0" w:type="auto"/>
            <w:tcBorders>
              <w:top w:val="nil"/>
              <w:left w:val="nil"/>
              <w:bottom w:val="nil"/>
              <w:right w:val="nil"/>
            </w:tcBorders>
            <w:shd w:val="clear" w:color="auto" w:fill="auto"/>
            <w:noWrap/>
            <w:vAlign w:val="bottom"/>
            <w:hideMark/>
          </w:tcPr>
          <w:p w14:paraId="648E06C3" w14:textId="5E65774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16%</w:t>
            </w:r>
          </w:p>
        </w:tc>
      </w:tr>
      <w:tr w:rsidR="0037161F" w:rsidRPr="009F0551" w14:paraId="584D2382" w14:textId="77777777" w:rsidTr="0037161F">
        <w:trPr>
          <w:trHeight w:val="198"/>
        </w:trPr>
        <w:tc>
          <w:tcPr>
            <w:tcW w:w="0" w:type="auto"/>
            <w:tcBorders>
              <w:top w:val="nil"/>
              <w:left w:val="nil"/>
              <w:bottom w:val="nil"/>
              <w:right w:val="nil"/>
            </w:tcBorders>
            <w:shd w:val="clear" w:color="auto" w:fill="auto"/>
            <w:noWrap/>
            <w:vAlign w:val="bottom"/>
            <w:hideMark/>
          </w:tcPr>
          <w:p w14:paraId="02FA6322"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R2</w:t>
            </w:r>
          </w:p>
        </w:tc>
        <w:tc>
          <w:tcPr>
            <w:tcW w:w="0" w:type="auto"/>
            <w:tcBorders>
              <w:top w:val="nil"/>
              <w:left w:val="nil"/>
              <w:bottom w:val="nil"/>
              <w:right w:val="nil"/>
            </w:tcBorders>
            <w:shd w:val="clear" w:color="auto" w:fill="auto"/>
            <w:noWrap/>
            <w:vAlign w:val="bottom"/>
            <w:hideMark/>
          </w:tcPr>
          <w:p w14:paraId="5AB9C0F4" w14:textId="698E838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873</w:t>
            </w:r>
          </w:p>
        </w:tc>
        <w:tc>
          <w:tcPr>
            <w:tcW w:w="0" w:type="auto"/>
            <w:tcBorders>
              <w:top w:val="nil"/>
              <w:left w:val="nil"/>
              <w:bottom w:val="nil"/>
              <w:right w:val="nil"/>
            </w:tcBorders>
            <w:shd w:val="clear" w:color="auto" w:fill="auto"/>
            <w:noWrap/>
            <w:vAlign w:val="bottom"/>
            <w:hideMark/>
          </w:tcPr>
          <w:p w14:paraId="232C33ED" w14:textId="3C666B7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957</w:t>
            </w:r>
          </w:p>
        </w:tc>
        <w:tc>
          <w:tcPr>
            <w:tcW w:w="0" w:type="auto"/>
            <w:tcBorders>
              <w:top w:val="nil"/>
              <w:left w:val="nil"/>
              <w:bottom w:val="nil"/>
              <w:right w:val="nil"/>
            </w:tcBorders>
            <w:shd w:val="clear" w:color="auto" w:fill="auto"/>
            <w:noWrap/>
            <w:vAlign w:val="bottom"/>
            <w:hideMark/>
          </w:tcPr>
          <w:p w14:paraId="71D0C910" w14:textId="4D67C2B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851</w:t>
            </w:r>
          </w:p>
        </w:tc>
        <w:tc>
          <w:tcPr>
            <w:tcW w:w="0" w:type="auto"/>
            <w:tcBorders>
              <w:top w:val="nil"/>
              <w:left w:val="nil"/>
              <w:bottom w:val="nil"/>
              <w:right w:val="nil"/>
            </w:tcBorders>
            <w:shd w:val="clear" w:color="auto" w:fill="auto"/>
            <w:noWrap/>
            <w:vAlign w:val="bottom"/>
            <w:hideMark/>
          </w:tcPr>
          <w:p w14:paraId="71BE4CF7" w14:textId="3511C56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941</w:t>
            </w:r>
          </w:p>
        </w:tc>
        <w:tc>
          <w:tcPr>
            <w:tcW w:w="0" w:type="auto"/>
            <w:tcBorders>
              <w:top w:val="nil"/>
              <w:left w:val="nil"/>
              <w:bottom w:val="nil"/>
              <w:right w:val="nil"/>
            </w:tcBorders>
            <w:shd w:val="clear" w:color="auto" w:fill="auto"/>
            <w:noWrap/>
            <w:vAlign w:val="bottom"/>
            <w:hideMark/>
          </w:tcPr>
          <w:p w14:paraId="2C9B9E23" w14:textId="4747C9E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862</w:t>
            </w:r>
          </w:p>
        </w:tc>
        <w:tc>
          <w:tcPr>
            <w:tcW w:w="0" w:type="auto"/>
            <w:tcBorders>
              <w:top w:val="nil"/>
              <w:left w:val="nil"/>
              <w:bottom w:val="nil"/>
              <w:right w:val="nil"/>
            </w:tcBorders>
            <w:shd w:val="clear" w:color="auto" w:fill="auto"/>
            <w:noWrap/>
            <w:vAlign w:val="bottom"/>
            <w:hideMark/>
          </w:tcPr>
          <w:p w14:paraId="690E68AC" w14:textId="6013DF2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948</w:t>
            </w:r>
          </w:p>
        </w:tc>
        <w:tc>
          <w:tcPr>
            <w:tcW w:w="0" w:type="auto"/>
            <w:tcBorders>
              <w:top w:val="nil"/>
              <w:left w:val="nil"/>
              <w:bottom w:val="nil"/>
              <w:right w:val="nil"/>
            </w:tcBorders>
            <w:shd w:val="clear" w:color="auto" w:fill="auto"/>
            <w:noWrap/>
            <w:vAlign w:val="bottom"/>
            <w:hideMark/>
          </w:tcPr>
          <w:p w14:paraId="68D28505" w14:textId="252744A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861</w:t>
            </w:r>
          </w:p>
        </w:tc>
        <w:tc>
          <w:tcPr>
            <w:tcW w:w="0" w:type="auto"/>
            <w:tcBorders>
              <w:top w:val="nil"/>
              <w:left w:val="nil"/>
              <w:bottom w:val="nil"/>
              <w:right w:val="nil"/>
            </w:tcBorders>
            <w:shd w:val="clear" w:color="auto" w:fill="auto"/>
            <w:noWrap/>
            <w:vAlign w:val="bottom"/>
            <w:hideMark/>
          </w:tcPr>
          <w:p w14:paraId="6F45F84A" w14:textId="203BF18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854</w:t>
            </w:r>
          </w:p>
        </w:tc>
        <w:tc>
          <w:tcPr>
            <w:tcW w:w="0" w:type="auto"/>
            <w:tcBorders>
              <w:top w:val="nil"/>
              <w:left w:val="nil"/>
              <w:bottom w:val="nil"/>
              <w:right w:val="nil"/>
            </w:tcBorders>
            <w:shd w:val="clear" w:color="auto" w:fill="auto"/>
            <w:noWrap/>
            <w:vAlign w:val="bottom"/>
            <w:hideMark/>
          </w:tcPr>
          <w:p w14:paraId="6A53292A" w14:textId="1B64BD2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879</w:t>
            </w:r>
          </w:p>
        </w:tc>
        <w:tc>
          <w:tcPr>
            <w:tcW w:w="0" w:type="auto"/>
            <w:tcBorders>
              <w:top w:val="nil"/>
              <w:left w:val="nil"/>
              <w:bottom w:val="nil"/>
              <w:right w:val="nil"/>
            </w:tcBorders>
            <w:shd w:val="clear" w:color="auto" w:fill="auto"/>
            <w:noWrap/>
            <w:vAlign w:val="bottom"/>
            <w:hideMark/>
          </w:tcPr>
          <w:p w14:paraId="135F1AE2" w14:textId="3066014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883</w:t>
            </w:r>
          </w:p>
        </w:tc>
        <w:tc>
          <w:tcPr>
            <w:tcW w:w="0" w:type="auto"/>
            <w:tcBorders>
              <w:top w:val="nil"/>
              <w:left w:val="nil"/>
              <w:bottom w:val="nil"/>
              <w:right w:val="nil"/>
            </w:tcBorders>
            <w:shd w:val="clear" w:color="auto" w:fill="auto"/>
            <w:noWrap/>
            <w:vAlign w:val="bottom"/>
            <w:hideMark/>
          </w:tcPr>
          <w:p w14:paraId="429715C9" w14:textId="53DFBBE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904</w:t>
            </w:r>
          </w:p>
        </w:tc>
        <w:tc>
          <w:tcPr>
            <w:tcW w:w="0" w:type="auto"/>
            <w:tcBorders>
              <w:top w:val="nil"/>
              <w:left w:val="nil"/>
              <w:bottom w:val="nil"/>
              <w:right w:val="nil"/>
            </w:tcBorders>
            <w:shd w:val="clear" w:color="auto" w:fill="auto"/>
            <w:noWrap/>
            <w:vAlign w:val="bottom"/>
            <w:hideMark/>
          </w:tcPr>
          <w:p w14:paraId="392B9703" w14:textId="0700E57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896</w:t>
            </w:r>
          </w:p>
        </w:tc>
      </w:tr>
      <w:tr w:rsidR="0037161F" w:rsidRPr="009F0551" w14:paraId="1DC3DC9F" w14:textId="77777777" w:rsidTr="0037161F">
        <w:trPr>
          <w:trHeight w:val="198"/>
        </w:trPr>
        <w:tc>
          <w:tcPr>
            <w:tcW w:w="0" w:type="auto"/>
            <w:tcBorders>
              <w:top w:val="nil"/>
              <w:left w:val="nil"/>
              <w:bottom w:val="nil"/>
              <w:right w:val="nil"/>
            </w:tcBorders>
            <w:shd w:val="clear" w:color="auto" w:fill="auto"/>
            <w:noWrap/>
            <w:vAlign w:val="bottom"/>
            <w:hideMark/>
          </w:tcPr>
          <w:p w14:paraId="22580EC4"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Tracking Error</w:t>
            </w:r>
          </w:p>
        </w:tc>
        <w:tc>
          <w:tcPr>
            <w:tcW w:w="0" w:type="auto"/>
            <w:tcBorders>
              <w:top w:val="nil"/>
              <w:left w:val="nil"/>
              <w:bottom w:val="nil"/>
              <w:right w:val="nil"/>
            </w:tcBorders>
            <w:shd w:val="clear" w:color="auto" w:fill="auto"/>
            <w:noWrap/>
            <w:vAlign w:val="bottom"/>
            <w:hideMark/>
          </w:tcPr>
          <w:p w14:paraId="273B3532" w14:textId="71EBF66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53%</w:t>
            </w:r>
          </w:p>
        </w:tc>
        <w:tc>
          <w:tcPr>
            <w:tcW w:w="0" w:type="auto"/>
            <w:tcBorders>
              <w:top w:val="nil"/>
              <w:left w:val="nil"/>
              <w:bottom w:val="nil"/>
              <w:right w:val="nil"/>
            </w:tcBorders>
            <w:shd w:val="clear" w:color="auto" w:fill="auto"/>
            <w:noWrap/>
            <w:vAlign w:val="bottom"/>
            <w:hideMark/>
          </w:tcPr>
          <w:p w14:paraId="2574774A" w14:textId="0CE9E02C"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11%</w:t>
            </w:r>
          </w:p>
        </w:tc>
        <w:tc>
          <w:tcPr>
            <w:tcW w:w="0" w:type="auto"/>
            <w:tcBorders>
              <w:top w:val="nil"/>
              <w:left w:val="nil"/>
              <w:bottom w:val="nil"/>
              <w:right w:val="nil"/>
            </w:tcBorders>
            <w:shd w:val="clear" w:color="auto" w:fill="auto"/>
            <w:noWrap/>
            <w:vAlign w:val="bottom"/>
            <w:hideMark/>
          </w:tcPr>
          <w:p w14:paraId="0011073C" w14:textId="3F8819E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84%</w:t>
            </w:r>
          </w:p>
        </w:tc>
        <w:tc>
          <w:tcPr>
            <w:tcW w:w="0" w:type="auto"/>
            <w:tcBorders>
              <w:top w:val="nil"/>
              <w:left w:val="nil"/>
              <w:bottom w:val="nil"/>
              <w:right w:val="nil"/>
            </w:tcBorders>
            <w:shd w:val="clear" w:color="auto" w:fill="auto"/>
            <w:noWrap/>
            <w:vAlign w:val="bottom"/>
            <w:hideMark/>
          </w:tcPr>
          <w:p w14:paraId="284F48DD" w14:textId="0E9306E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81%</w:t>
            </w:r>
          </w:p>
        </w:tc>
        <w:tc>
          <w:tcPr>
            <w:tcW w:w="0" w:type="auto"/>
            <w:tcBorders>
              <w:top w:val="nil"/>
              <w:left w:val="nil"/>
              <w:bottom w:val="nil"/>
              <w:right w:val="nil"/>
            </w:tcBorders>
            <w:shd w:val="clear" w:color="auto" w:fill="auto"/>
            <w:noWrap/>
            <w:vAlign w:val="bottom"/>
            <w:hideMark/>
          </w:tcPr>
          <w:p w14:paraId="04AB0561" w14:textId="0D5D637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15%</w:t>
            </w:r>
          </w:p>
        </w:tc>
        <w:tc>
          <w:tcPr>
            <w:tcW w:w="0" w:type="auto"/>
            <w:tcBorders>
              <w:top w:val="nil"/>
              <w:left w:val="nil"/>
              <w:bottom w:val="nil"/>
              <w:right w:val="nil"/>
            </w:tcBorders>
            <w:shd w:val="clear" w:color="auto" w:fill="auto"/>
            <w:noWrap/>
            <w:vAlign w:val="bottom"/>
            <w:hideMark/>
          </w:tcPr>
          <w:p w14:paraId="2FFA191B" w14:textId="41987EF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46%</w:t>
            </w:r>
          </w:p>
        </w:tc>
        <w:tc>
          <w:tcPr>
            <w:tcW w:w="0" w:type="auto"/>
            <w:tcBorders>
              <w:top w:val="nil"/>
              <w:left w:val="nil"/>
              <w:bottom w:val="nil"/>
              <w:right w:val="nil"/>
            </w:tcBorders>
            <w:shd w:val="clear" w:color="auto" w:fill="auto"/>
            <w:noWrap/>
            <w:vAlign w:val="bottom"/>
            <w:hideMark/>
          </w:tcPr>
          <w:p w14:paraId="28A1E37F" w14:textId="2032FB0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26%</w:t>
            </w:r>
          </w:p>
        </w:tc>
        <w:tc>
          <w:tcPr>
            <w:tcW w:w="0" w:type="auto"/>
            <w:tcBorders>
              <w:top w:val="nil"/>
              <w:left w:val="nil"/>
              <w:bottom w:val="nil"/>
              <w:right w:val="nil"/>
            </w:tcBorders>
            <w:shd w:val="clear" w:color="auto" w:fill="auto"/>
            <w:noWrap/>
            <w:vAlign w:val="bottom"/>
            <w:hideMark/>
          </w:tcPr>
          <w:p w14:paraId="65A14BF0" w14:textId="5972C0A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14%</w:t>
            </w:r>
          </w:p>
        </w:tc>
        <w:tc>
          <w:tcPr>
            <w:tcW w:w="0" w:type="auto"/>
            <w:tcBorders>
              <w:top w:val="nil"/>
              <w:left w:val="nil"/>
              <w:bottom w:val="nil"/>
              <w:right w:val="nil"/>
            </w:tcBorders>
            <w:shd w:val="clear" w:color="auto" w:fill="auto"/>
            <w:noWrap/>
            <w:vAlign w:val="bottom"/>
            <w:hideMark/>
          </w:tcPr>
          <w:p w14:paraId="77EB16FE" w14:textId="5AEFE99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30%</w:t>
            </w:r>
          </w:p>
        </w:tc>
        <w:tc>
          <w:tcPr>
            <w:tcW w:w="0" w:type="auto"/>
            <w:tcBorders>
              <w:top w:val="nil"/>
              <w:left w:val="nil"/>
              <w:bottom w:val="nil"/>
              <w:right w:val="nil"/>
            </w:tcBorders>
            <w:shd w:val="clear" w:color="auto" w:fill="auto"/>
            <w:noWrap/>
            <w:vAlign w:val="bottom"/>
            <w:hideMark/>
          </w:tcPr>
          <w:p w14:paraId="10DE0231" w14:textId="3E86005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73%</w:t>
            </w:r>
          </w:p>
        </w:tc>
        <w:tc>
          <w:tcPr>
            <w:tcW w:w="0" w:type="auto"/>
            <w:tcBorders>
              <w:top w:val="nil"/>
              <w:left w:val="nil"/>
              <w:bottom w:val="nil"/>
              <w:right w:val="nil"/>
            </w:tcBorders>
            <w:shd w:val="clear" w:color="auto" w:fill="auto"/>
            <w:noWrap/>
            <w:vAlign w:val="bottom"/>
            <w:hideMark/>
          </w:tcPr>
          <w:p w14:paraId="3006C547" w14:textId="2E0BAA1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76%</w:t>
            </w:r>
          </w:p>
        </w:tc>
        <w:tc>
          <w:tcPr>
            <w:tcW w:w="0" w:type="auto"/>
            <w:tcBorders>
              <w:top w:val="nil"/>
              <w:left w:val="nil"/>
              <w:bottom w:val="nil"/>
              <w:right w:val="nil"/>
            </w:tcBorders>
            <w:shd w:val="clear" w:color="auto" w:fill="auto"/>
            <w:noWrap/>
            <w:vAlign w:val="bottom"/>
            <w:hideMark/>
          </w:tcPr>
          <w:p w14:paraId="0ECB0678" w14:textId="68F46FF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w:t>
            </w:r>
          </w:p>
        </w:tc>
      </w:tr>
      <w:tr w:rsidR="004B3DBE" w:rsidRPr="009F0551" w14:paraId="039AEEAB" w14:textId="77777777" w:rsidTr="0037161F">
        <w:trPr>
          <w:trHeight w:val="198"/>
        </w:trPr>
        <w:tc>
          <w:tcPr>
            <w:tcW w:w="0" w:type="auto"/>
            <w:gridSpan w:val="13"/>
            <w:tcBorders>
              <w:top w:val="nil"/>
              <w:left w:val="nil"/>
              <w:bottom w:val="nil"/>
              <w:right w:val="nil"/>
            </w:tcBorders>
            <w:shd w:val="clear" w:color="auto" w:fill="auto"/>
            <w:noWrap/>
            <w:vAlign w:val="bottom"/>
            <w:hideMark/>
          </w:tcPr>
          <w:p w14:paraId="7DF38DFC" w14:textId="77777777" w:rsidR="004B3DBE" w:rsidRPr="0037161F" w:rsidRDefault="004B3DBE" w:rsidP="004B3DBE">
            <w:pPr>
              <w:spacing w:after="0" w:line="240" w:lineRule="auto"/>
              <w:jc w:val="center"/>
              <w:rPr>
                <w:rFonts w:ascii="Times New Roman" w:eastAsia="Times New Roman" w:hAnsi="Times New Roman" w:cs="Times New Roman"/>
                <w:b/>
                <w:bCs/>
                <w:color w:val="000000"/>
                <w:sz w:val="20"/>
                <w:szCs w:val="20"/>
              </w:rPr>
            </w:pPr>
            <w:r w:rsidRPr="0037161F">
              <w:rPr>
                <w:rFonts w:ascii="Times New Roman" w:eastAsia="Times New Roman" w:hAnsi="Times New Roman" w:cs="Times New Roman"/>
                <w:b/>
                <w:bCs/>
                <w:color w:val="000000"/>
                <w:sz w:val="20"/>
                <w:szCs w:val="20"/>
              </w:rPr>
              <w:t>Sector</w:t>
            </w:r>
          </w:p>
        </w:tc>
      </w:tr>
      <w:tr w:rsidR="0037161F" w:rsidRPr="009F0551" w14:paraId="523A35EE" w14:textId="77777777" w:rsidTr="0037161F">
        <w:trPr>
          <w:trHeight w:val="198"/>
        </w:trPr>
        <w:tc>
          <w:tcPr>
            <w:tcW w:w="0" w:type="auto"/>
            <w:tcBorders>
              <w:top w:val="nil"/>
              <w:left w:val="nil"/>
              <w:bottom w:val="nil"/>
              <w:right w:val="nil"/>
            </w:tcBorders>
            <w:shd w:val="clear" w:color="auto" w:fill="auto"/>
            <w:noWrap/>
            <w:vAlign w:val="bottom"/>
            <w:hideMark/>
          </w:tcPr>
          <w:p w14:paraId="69C2BBCF"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Manufacturing</w:t>
            </w:r>
          </w:p>
        </w:tc>
        <w:tc>
          <w:tcPr>
            <w:tcW w:w="0" w:type="auto"/>
            <w:tcBorders>
              <w:top w:val="nil"/>
              <w:left w:val="nil"/>
              <w:bottom w:val="nil"/>
              <w:right w:val="nil"/>
            </w:tcBorders>
            <w:shd w:val="clear" w:color="auto" w:fill="auto"/>
            <w:noWrap/>
            <w:vAlign w:val="bottom"/>
            <w:hideMark/>
          </w:tcPr>
          <w:p w14:paraId="6EABDC0C" w14:textId="04C8FA0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29%</w:t>
            </w:r>
          </w:p>
        </w:tc>
        <w:tc>
          <w:tcPr>
            <w:tcW w:w="0" w:type="auto"/>
            <w:tcBorders>
              <w:top w:val="nil"/>
              <w:left w:val="nil"/>
              <w:bottom w:val="nil"/>
              <w:right w:val="nil"/>
            </w:tcBorders>
            <w:shd w:val="clear" w:color="auto" w:fill="auto"/>
            <w:noWrap/>
            <w:vAlign w:val="bottom"/>
            <w:hideMark/>
          </w:tcPr>
          <w:p w14:paraId="5225AF1F" w14:textId="2007B13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15%</w:t>
            </w:r>
          </w:p>
        </w:tc>
        <w:tc>
          <w:tcPr>
            <w:tcW w:w="0" w:type="auto"/>
            <w:tcBorders>
              <w:top w:val="nil"/>
              <w:left w:val="nil"/>
              <w:bottom w:val="nil"/>
              <w:right w:val="nil"/>
            </w:tcBorders>
            <w:shd w:val="clear" w:color="auto" w:fill="auto"/>
            <w:noWrap/>
            <w:vAlign w:val="bottom"/>
            <w:hideMark/>
          </w:tcPr>
          <w:p w14:paraId="0ABC0E5C" w14:textId="762A5BA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16%</w:t>
            </w:r>
          </w:p>
        </w:tc>
        <w:tc>
          <w:tcPr>
            <w:tcW w:w="0" w:type="auto"/>
            <w:tcBorders>
              <w:top w:val="nil"/>
              <w:left w:val="nil"/>
              <w:bottom w:val="nil"/>
              <w:right w:val="nil"/>
            </w:tcBorders>
            <w:shd w:val="clear" w:color="auto" w:fill="auto"/>
            <w:noWrap/>
            <w:vAlign w:val="bottom"/>
            <w:hideMark/>
          </w:tcPr>
          <w:p w14:paraId="6B7F8795" w14:textId="6C24E76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39%</w:t>
            </w:r>
          </w:p>
        </w:tc>
        <w:tc>
          <w:tcPr>
            <w:tcW w:w="0" w:type="auto"/>
            <w:tcBorders>
              <w:top w:val="nil"/>
              <w:left w:val="nil"/>
              <w:bottom w:val="nil"/>
              <w:right w:val="nil"/>
            </w:tcBorders>
            <w:shd w:val="clear" w:color="auto" w:fill="auto"/>
            <w:noWrap/>
            <w:vAlign w:val="bottom"/>
            <w:hideMark/>
          </w:tcPr>
          <w:p w14:paraId="168146C2" w14:textId="4B24A1C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19%</w:t>
            </w:r>
          </w:p>
        </w:tc>
        <w:tc>
          <w:tcPr>
            <w:tcW w:w="0" w:type="auto"/>
            <w:tcBorders>
              <w:top w:val="nil"/>
              <w:left w:val="nil"/>
              <w:bottom w:val="nil"/>
              <w:right w:val="nil"/>
            </w:tcBorders>
            <w:shd w:val="clear" w:color="auto" w:fill="auto"/>
            <w:noWrap/>
            <w:vAlign w:val="bottom"/>
            <w:hideMark/>
          </w:tcPr>
          <w:p w14:paraId="78843C0B" w14:textId="757B146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95%</w:t>
            </w:r>
          </w:p>
        </w:tc>
        <w:tc>
          <w:tcPr>
            <w:tcW w:w="0" w:type="auto"/>
            <w:tcBorders>
              <w:top w:val="nil"/>
              <w:left w:val="nil"/>
              <w:bottom w:val="nil"/>
              <w:right w:val="nil"/>
            </w:tcBorders>
            <w:shd w:val="clear" w:color="auto" w:fill="auto"/>
            <w:noWrap/>
            <w:vAlign w:val="bottom"/>
            <w:hideMark/>
          </w:tcPr>
          <w:p w14:paraId="04005B59" w14:textId="290B0EA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58%</w:t>
            </w:r>
          </w:p>
        </w:tc>
        <w:tc>
          <w:tcPr>
            <w:tcW w:w="0" w:type="auto"/>
            <w:tcBorders>
              <w:top w:val="nil"/>
              <w:left w:val="nil"/>
              <w:bottom w:val="nil"/>
              <w:right w:val="nil"/>
            </w:tcBorders>
            <w:shd w:val="clear" w:color="auto" w:fill="auto"/>
            <w:noWrap/>
            <w:vAlign w:val="bottom"/>
            <w:hideMark/>
          </w:tcPr>
          <w:p w14:paraId="1CBD27CC" w14:textId="7E54798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11%</w:t>
            </w:r>
          </w:p>
        </w:tc>
        <w:tc>
          <w:tcPr>
            <w:tcW w:w="0" w:type="auto"/>
            <w:tcBorders>
              <w:top w:val="nil"/>
              <w:left w:val="nil"/>
              <w:bottom w:val="nil"/>
              <w:right w:val="nil"/>
            </w:tcBorders>
            <w:shd w:val="clear" w:color="auto" w:fill="auto"/>
            <w:noWrap/>
            <w:vAlign w:val="bottom"/>
            <w:hideMark/>
          </w:tcPr>
          <w:p w14:paraId="1FAC7502" w14:textId="28BDD46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56%</w:t>
            </w:r>
          </w:p>
        </w:tc>
        <w:tc>
          <w:tcPr>
            <w:tcW w:w="0" w:type="auto"/>
            <w:tcBorders>
              <w:top w:val="nil"/>
              <w:left w:val="nil"/>
              <w:bottom w:val="nil"/>
              <w:right w:val="nil"/>
            </w:tcBorders>
            <w:shd w:val="clear" w:color="auto" w:fill="auto"/>
            <w:noWrap/>
            <w:vAlign w:val="bottom"/>
            <w:hideMark/>
          </w:tcPr>
          <w:p w14:paraId="36119489" w14:textId="0CD5C4E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65%</w:t>
            </w:r>
          </w:p>
        </w:tc>
        <w:tc>
          <w:tcPr>
            <w:tcW w:w="0" w:type="auto"/>
            <w:tcBorders>
              <w:top w:val="nil"/>
              <w:left w:val="nil"/>
              <w:bottom w:val="nil"/>
              <w:right w:val="nil"/>
            </w:tcBorders>
            <w:shd w:val="clear" w:color="auto" w:fill="auto"/>
            <w:noWrap/>
            <w:vAlign w:val="bottom"/>
            <w:hideMark/>
          </w:tcPr>
          <w:p w14:paraId="5B7C1832" w14:textId="0D3A1E9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12%</w:t>
            </w:r>
          </w:p>
        </w:tc>
        <w:tc>
          <w:tcPr>
            <w:tcW w:w="0" w:type="auto"/>
            <w:tcBorders>
              <w:top w:val="nil"/>
              <w:left w:val="nil"/>
              <w:bottom w:val="nil"/>
              <w:right w:val="nil"/>
            </w:tcBorders>
            <w:shd w:val="clear" w:color="auto" w:fill="auto"/>
            <w:noWrap/>
            <w:vAlign w:val="bottom"/>
            <w:hideMark/>
          </w:tcPr>
          <w:p w14:paraId="42B91A7E" w14:textId="50E3E7B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48%</w:t>
            </w:r>
          </w:p>
        </w:tc>
      </w:tr>
      <w:tr w:rsidR="0037161F" w:rsidRPr="009F0551" w14:paraId="7A66B5C5" w14:textId="77777777" w:rsidTr="0037161F">
        <w:trPr>
          <w:trHeight w:val="198"/>
        </w:trPr>
        <w:tc>
          <w:tcPr>
            <w:tcW w:w="0" w:type="auto"/>
            <w:tcBorders>
              <w:top w:val="nil"/>
              <w:left w:val="nil"/>
              <w:bottom w:val="nil"/>
              <w:right w:val="nil"/>
            </w:tcBorders>
            <w:shd w:val="clear" w:color="auto" w:fill="auto"/>
            <w:noWrap/>
            <w:vAlign w:val="bottom"/>
            <w:hideMark/>
          </w:tcPr>
          <w:p w14:paraId="1E33C35B"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Utilities</w:t>
            </w:r>
          </w:p>
        </w:tc>
        <w:tc>
          <w:tcPr>
            <w:tcW w:w="0" w:type="auto"/>
            <w:tcBorders>
              <w:top w:val="nil"/>
              <w:left w:val="nil"/>
              <w:bottom w:val="nil"/>
              <w:right w:val="nil"/>
            </w:tcBorders>
            <w:shd w:val="clear" w:color="auto" w:fill="auto"/>
            <w:noWrap/>
            <w:vAlign w:val="bottom"/>
            <w:hideMark/>
          </w:tcPr>
          <w:p w14:paraId="42DA3002" w14:textId="0D414F0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83%</w:t>
            </w:r>
          </w:p>
        </w:tc>
        <w:tc>
          <w:tcPr>
            <w:tcW w:w="0" w:type="auto"/>
            <w:tcBorders>
              <w:top w:val="nil"/>
              <w:left w:val="nil"/>
              <w:bottom w:val="nil"/>
              <w:right w:val="nil"/>
            </w:tcBorders>
            <w:shd w:val="clear" w:color="auto" w:fill="auto"/>
            <w:noWrap/>
            <w:vAlign w:val="bottom"/>
            <w:hideMark/>
          </w:tcPr>
          <w:p w14:paraId="47708E2C" w14:textId="67A7E5C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12%</w:t>
            </w:r>
          </w:p>
        </w:tc>
        <w:tc>
          <w:tcPr>
            <w:tcW w:w="0" w:type="auto"/>
            <w:tcBorders>
              <w:top w:val="nil"/>
              <w:left w:val="nil"/>
              <w:bottom w:val="nil"/>
              <w:right w:val="nil"/>
            </w:tcBorders>
            <w:shd w:val="clear" w:color="auto" w:fill="auto"/>
            <w:noWrap/>
            <w:vAlign w:val="bottom"/>
            <w:hideMark/>
          </w:tcPr>
          <w:p w14:paraId="440B18D5" w14:textId="00ECF3C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82%</w:t>
            </w:r>
          </w:p>
        </w:tc>
        <w:tc>
          <w:tcPr>
            <w:tcW w:w="0" w:type="auto"/>
            <w:tcBorders>
              <w:top w:val="nil"/>
              <w:left w:val="nil"/>
              <w:bottom w:val="nil"/>
              <w:right w:val="nil"/>
            </w:tcBorders>
            <w:shd w:val="clear" w:color="auto" w:fill="auto"/>
            <w:noWrap/>
            <w:vAlign w:val="bottom"/>
            <w:hideMark/>
          </w:tcPr>
          <w:p w14:paraId="78C47DF7" w14:textId="65EE3C0C"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51%</w:t>
            </w:r>
          </w:p>
        </w:tc>
        <w:tc>
          <w:tcPr>
            <w:tcW w:w="0" w:type="auto"/>
            <w:tcBorders>
              <w:top w:val="nil"/>
              <w:left w:val="nil"/>
              <w:bottom w:val="nil"/>
              <w:right w:val="nil"/>
            </w:tcBorders>
            <w:shd w:val="clear" w:color="auto" w:fill="auto"/>
            <w:noWrap/>
            <w:vAlign w:val="bottom"/>
            <w:hideMark/>
          </w:tcPr>
          <w:p w14:paraId="25215DB9" w14:textId="4D2B503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16%</w:t>
            </w:r>
          </w:p>
        </w:tc>
        <w:tc>
          <w:tcPr>
            <w:tcW w:w="0" w:type="auto"/>
            <w:tcBorders>
              <w:top w:val="nil"/>
              <w:left w:val="nil"/>
              <w:bottom w:val="nil"/>
              <w:right w:val="nil"/>
            </w:tcBorders>
            <w:shd w:val="clear" w:color="auto" w:fill="auto"/>
            <w:noWrap/>
            <w:vAlign w:val="bottom"/>
            <w:hideMark/>
          </w:tcPr>
          <w:p w14:paraId="0C1558C1" w14:textId="68650DB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97%</w:t>
            </w:r>
          </w:p>
        </w:tc>
        <w:tc>
          <w:tcPr>
            <w:tcW w:w="0" w:type="auto"/>
            <w:tcBorders>
              <w:top w:val="nil"/>
              <w:left w:val="nil"/>
              <w:bottom w:val="nil"/>
              <w:right w:val="nil"/>
            </w:tcBorders>
            <w:shd w:val="clear" w:color="auto" w:fill="auto"/>
            <w:noWrap/>
            <w:vAlign w:val="bottom"/>
            <w:hideMark/>
          </w:tcPr>
          <w:p w14:paraId="29FA8FB9" w14:textId="48D53D3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99%</w:t>
            </w:r>
          </w:p>
        </w:tc>
        <w:tc>
          <w:tcPr>
            <w:tcW w:w="0" w:type="auto"/>
            <w:tcBorders>
              <w:top w:val="nil"/>
              <w:left w:val="nil"/>
              <w:bottom w:val="nil"/>
              <w:right w:val="nil"/>
            </w:tcBorders>
            <w:shd w:val="clear" w:color="auto" w:fill="auto"/>
            <w:noWrap/>
            <w:vAlign w:val="bottom"/>
            <w:hideMark/>
          </w:tcPr>
          <w:p w14:paraId="0C687B1C" w14:textId="6493572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64%</w:t>
            </w:r>
          </w:p>
        </w:tc>
        <w:tc>
          <w:tcPr>
            <w:tcW w:w="0" w:type="auto"/>
            <w:tcBorders>
              <w:top w:val="nil"/>
              <w:left w:val="nil"/>
              <w:bottom w:val="nil"/>
              <w:right w:val="nil"/>
            </w:tcBorders>
            <w:shd w:val="clear" w:color="auto" w:fill="auto"/>
            <w:noWrap/>
            <w:vAlign w:val="bottom"/>
            <w:hideMark/>
          </w:tcPr>
          <w:p w14:paraId="1F479EEA" w14:textId="453E022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w:t>
            </w:r>
          </w:p>
        </w:tc>
        <w:tc>
          <w:tcPr>
            <w:tcW w:w="0" w:type="auto"/>
            <w:tcBorders>
              <w:top w:val="nil"/>
              <w:left w:val="nil"/>
              <w:bottom w:val="nil"/>
              <w:right w:val="nil"/>
            </w:tcBorders>
            <w:shd w:val="clear" w:color="auto" w:fill="auto"/>
            <w:noWrap/>
            <w:vAlign w:val="bottom"/>
            <w:hideMark/>
          </w:tcPr>
          <w:p w14:paraId="19A84443" w14:textId="49F1984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23</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15%</w:t>
            </w:r>
          </w:p>
        </w:tc>
        <w:tc>
          <w:tcPr>
            <w:tcW w:w="0" w:type="auto"/>
            <w:tcBorders>
              <w:top w:val="nil"/>
              <w:left w:val="nil"/>
              <w:bottom w:val="nil"/>
              <w:right w:val="nil"/>
            </w:tcBorders>
            <w:shd w:val="clear" w:color="auto" w:fill="auto"/>
            <w:noWrap/>
            <w:vAlign w:val="bottom"/>
            <w:hideMark/>
          </w:tcPr>
          <w:p w14:paraId="674F7C3B" w14:textId="1919BDB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12%</w:t>
            </w:r>
          </w:p>
        </w:tc>
        <w:tc>
          <w:tcPr>
            <w:tcW w:w="0" w:type="auto"/>
            <w:tcBorders>
              <w:top w:val="nil"/>
              <w:left w:val="nil"/>
              <w:bottom w:val="nil"/>
              <w:right w:val="nil"/>
            </w:tcBorders>
            <w:shd w:val="clear" w:color="auto" w:fill="auto"/>
            <w:noWrap/>
            <w:vAlign w:val="bottom"/>
            <w:hideMark/>
          </w:tcPr>
          <w:p w14:paraId="6F5DBE9E" w14:textId="329F609C"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38%</w:t>
            </w:r>
          </w:p>
        </w:tc>
      </w:tr>
      <w:tr w:rsidR="0037161F" w:rsidRPr="009F0551" w14:paraId="31689FD0" w14:textId="77777777" w:rsidTr="0037161F">
        <w:trPr>
          <w:trHeight w:val="198"/>
        </w:trPr>
        <w:tc>
          <w:tcPr>
            <w:tcW w:w="0" w:type="auto"/>
            <w:tcBorders>
              <w:top w:val="nil"/>
              <w:left w:val="nil"/>
              <w:bottom w:val="nil"/>
              <w:right w:val="nil"/>
            </w:tcBorders>
            <w:shd w:val="clear" w:color="auto" w:fill="auto"/>
            <w:noWrap/>
            <w:vAlign w:val="bottom"/>
            <w:hideMark/>
          </w:tcPr>
          <w:p w14:paraId="515848DE" w14:textId="5CFF9244"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Mining</w:t>
            </w:r>
            <w:r w:rsidR="00306401">
              <w:rPr>
                <w:rFonts w:ascii="Times New Roman" w:eastAsia="Times New Roman" w:hAnsi="Times New Roman" w:cs="Times New Roman"/>
                <w:color w:val="000000"/>
              </w:rPr>
              <w:t>.</w:t>
            </w:r>
            <w:r w:rsidRPr="009F0551">
              <w:rPr>
                <w:rFonts w:ascii="Times New Roman" w:eastAsia="Times New Roman" w:hAnsi="Times New Roman" w:cs="Times New Roman"/>
                <w:color w:val="000000"/>
              </w:rPr>
              <w:t xml:space="preserve"> Construction and Chemicals</w:t>
            </w:r>
          </w:p>
        </w:tc>
        <w:tc>
          <w:tcPr>
            <w:tcW w:w="0" w:type="auto"/>
            <w:tcBorders>
              <w:top w:val="nil"/>
              <w:left w:val="nil"/>
              <w:bottom w:val="nil"/>
              <w:right w:val="nil"/>
            </w:tcBorders>
            <w:shd w:val="clear" w:color="auto" w:fill="auto"/>
            <w:noWrap/>
            <w:vAlign w:val="bottom"/>
            <w:hideMark/>
          </w:tcPr>
          <w:p w14:paraId="42F041B1" w14:textId="0192119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66%</w:t>
            </w:r>
          </w:p>
        </w:tc>
        <w:tc>
          <w:tcPr>
            <w:tcW w:w="0" w:type="auto"/>
            <w:tcBorders>
              <w:top w:val="nil"/>
              <w:left w:val="nil"/>
              <w:bottom w:val="nil"/>
              <w:right w:val="nil"/>
            </w:tcBorders>
            <w:shd w:val="clear" w:color="auto" w:fill="auto"/>
            <w:noWrap/>
            <w:vAlign w:val="bottom"/>
            <w:hideMark/>
          </w:tcPr>
          <w:p w14:paraId="1615035D" w14:textId="0575C0D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86%</w:t>
            </w:r>
          </w:p>
        </w:tc>
        <w:tc>
          <w:tcPr>
            <w:tcW w:w="0" w:type="auto"/>
            <w:tcBorders>
              <w:top w:val="nil"/>
              <w:left w:val="nil"/>
              <w:bottom w:val="nil"/>
              <w:right w:val="nil"/>
            </w:tcBorders>
            <w:shd w:val="clear" w:color="auto" w:fill="auto"/>
            <w:noWrap/>
            <w:vAlign w:val="bottom"/>
            <w:hideMark/>
          </w:tcPr>
          <w:p w14:paraId="3F2EB504" w14:textId="261B822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13%</w:t>
            </w:r>
          </w:p>
        </w:tc>
        <w:tc>
          <w:tcPr>
            <w:tcW w:w="0" w:type="auto"/>
            <w:tcBorders>
              <w:top w:val="nil"/>
              <w:left w:val="nil"/>
              <w:bottom w:val="nil"/>
              <w:right w:val="nil"/>
            </w:tcBorders>
            <w:shd w:val="clear" w:color="auto" w:fill="auto"/>
            <w:noWrap/>
            <w:vAlign w:val="bottom"/>
            <w:hideMark/>
          </w:tcPr>
          <w:p w14:paraId="7DE33710" w14:textId="47BE083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88%</w:t>
            </w:r>
          </w:p>
        </w:tc>
        <w:tc>
          <w:tcPr>
            <w:tcW w:w="0" w:type="auto"/>
            <w:tcBorders>
              <w:top w:val="nil"/>
              <w:left w:val="nil"/>
              <w:bottom w:val="nil"/>
              <w:right w:val="nil"/>
            </w:tcBorders>
            <w:shd w:val="clear" w:color="auto" w:fill="auto"/>
            <w:noWrap/>
            <w:vAlign w:val="bottom"/>
            <w:hideMark/>
          </w:tcPr>
          <w:p w14:paraId="10C44E23" w14:textId="3482A39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15%</w:t>
            </w:r>
          </w:p>
        </w:tc>
        <w:tc>
          <w:tcPr>
            <w:tcW w:w="0" w:type="auto"/>
            <w:tcBorders>
              <w:top w:val="nil"/>
              <w:left w:val="nil"/>
              <w:bottom w:val="nil"/>
              <w:right w:val="nil"/>
            </w:tcBorders>
            <w:shd w:val="clear" w:color="auto" w:fill="auto"/>
            <w:noWrap/>
            <w:vAlign w:val="bottom"/>
            <w:hideMark/>
          </w:tcPr>
          <w:p w14:paraId="55F648CA" w14:textId="59989FF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15%</w:t>
            </w:r>
          </w:p>
        </w:tc>
        <w:tc>
          <w:tcPr>
            <w:tcW w:w="0" w:type="auto"/>
            <w:tcBorders>
              <w:top w:val="nil"/>
              <w:left w:val="nil"/>
              <w:bottom w:val="nil"/>
              <w:right w:val="nil"/>
            </w:tcBorders>
            <w:shd w:val="clear" w:color="auto" w:fill="auto"/>
            <w:noWrap/>
            <w:vAlign w:val="bottom"/>
            <w:hideMark/>
          </w:tcPr>
          <w:p w14:paraId="64535070" w14:textId="7DBB032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56%</w:t>
            </w:r>
          </w:p>
        </w:tc>
        <w:tc>
          <w:tcPr>
            <w:tcW w:w="0" w:type="auto"/>
            <w:tcBorders>
              <w:top w:val="nil"/>
              <w:left w:val="nil"/>
              <w:bottom w:val="nil"/>
              <w:right w:val="nil"/>
            </w:tcBorders>
            <w:shd w:val="clear" w:color="auto" w:fill="auto"/>
            <w:noWrap/>
            <w:vAlign w:val="bottom"/>
            <w:hideMark/>
          </w:tcPr>
          <w:p w14:paraId="6B41B778" w14:textId="542F7BF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47%</w:t>
            </w:r>
          </w:p>
        </w:tc>
        <w:tc>
          <w:tcPr>
            <w:tcW w:w="0" w:type="auto"/>
            <w:tcBorders>
              <w:top w:val="nil"/>
              <w:left w:val="nil"/>
              <w:bottom w:val="nil"/>
              <w:right w:val="nil"/>
            </w:tcBorders>
            <w:shd w:val="clear" w:color="auto" w:fill="auto"/>
            <w:noWrap/>
            <w:vAlign w:val="bottom"/>
            <w:hideMark/>
          </w:tcPr>
          <w:p w14:paraId="53286E2E" w14:textId="4A5EE5A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24%</w:t>
            </w:r>
          </w:p>
        </w:tc>
        <w:tc>
          <w:tcPr>
            <w:tcW w:w="0" w:type="auto"/>
            <w:tcBorders>
              <w:top w:val="nil"/>
              <w:left w:val="nil"/>
              <w:bottom w:val="nil"/>
              <w:right w:val="nil"/>
            </w:tcBorders>
            <w:shd w:val="clear" w:color="auto" w:fill="auto"/>
            <w:noWrap/>
            <w:vAlign w:val="bottom"/>
            <w:hideMark/>
          </w:tcPr>
          <w:p w14:paraId="5117B0A7" w14:textId="0625E44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7</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72%</w:t>
            </w:r>
          </w:p>
        </w:tc>
        <w:tc>
          <w:tcPr>
            <w:tcW w:w="0" w:type="auto"/>
            <w:tcBorders>
              <w:top w:val="nil"/>
              <w:left w:val="nil"/>
              <w:bottom w:val="nil"/>
              <w:right w:val="nil"/>
            </w:tcBorders>
            <w:shd w:val="clear" w:color="auto" w:fill="auto"/>
            <w:noWrap/>
            <w:vAlign w:val="bottom"/>
            <w:hideMark/>
          </w:tcPr>
          <w:p w14:paraId="14E0DD9F" w14:textId="56473CE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91%</w:t>
            </w:r>
          </w:p>
        </w:tc>
        <w:tc>
          <w:tcPr>
            <w:tcW w:w="0" w:type="auto"/>
            <w:tcBorders>
              <w:top w:val="nil"/>
              <w:left w:val="nil"/>
              <w:bottom w:val="nil"/>
              <w:right w:val="nil"/>
            </w:tcBorders>
            <w:shd w:val="clear" w:color="auto" w:fill="auto"/>
            <w:noWrap/>
            <w:vAlign w:val="bottom"/>
            <w:hideMark/>
          </w:tcPr>
          <w:p w14:paraId="11A2E645" w14:textId="4B088EE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35%</w:t>
            </w:r>
          </w:p>
        </w:tc>
      </w:tr>
      <w:tr w:rsidR="0037161F" w:rsidRPr="009F0551" w14:paraId="53132685" w14:textId="77777777" w:rsidTr="0037161F">
        <w:trPr>
          <w:trHeight w:val="198"/>
        </w:trPr>
        <w:tc>
          <w:tcPr>
            <w:tcW w:w="0" w:type="auto"/>
            <w:tcBorders>
              <w:top w:val="nil"/>
              <w:left w:val="nil"/>
              <w:bottom w:val="nil"/>
              <w:right w:val="nil"/>
            </w:tcBorders>
            <w:shd w:val="clear" w:color="auto" w:fill="auto"/>
            <w:noWrap/>
            <w:vAlign w:val="bottom"/>
            <w:hideMark/>
          </w:tcPr>
          <w:p w14:paraId="15C7B1A0"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Wholesale and Retail</w:t>
            </w:r>
          </w:p>
        </w:tc>
        <w:tc>
          <w:tcPr>
            <w:tcW w:w="0" w:type="auto"/>
            <w:tcBorders>
              <w:top w:val="nil"/>
              <w:left w:val="nil"/>
              <w:bottom w:val="nil"/>
              <w:right w:val="nil"/>
            </w:tcBorders>
            <w:shd w:val="clear" w:color="auto" w:fill="auto"/>
            <w:noWrap/>
            <w:vAlign w:val="bottom"/>
            <w:hideMark/>
          </w:tcPr>
          <w:p w14:paraId="28F61068" w14:textId="626C821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56%</w:t>
            </w:r>
          </w:p>
        </w:tc>
        <w:tc>
          <w:tcPr>
            <w:tcW w:w="0" w:type="auto"/>
            <w:tcBorders>
              <w:top w:val="nil"/>
              <w:left w:val="nil"/>
              <w:bottom w:val="nil"/>
              <w:right w:val="nil"/>
            </w:tcBorders>
            <w:shd w:val="clear" w:color="auto" w:fill="auto"/>
            <w:noWrap/>
            <w:vAlign w:val="bottom"/>
            <w:hideMark/>
          </w:tcPr>
          <w:p w14:paraId="02E031FD" w14:textId="6627DD8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16</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45%</w:t>
            </w:r>
          </w:p>
        </w:tc>
        <w:tc>
          <w:tcPr>
            <w:tcW w:w="0" w:type="auto"/>
            <w:tcBorders>
              <w:top w:val="nil"/>
              <w:left w:val="nil"/>
              <w:bottom w:val="nil"/>
              <w:right w:val="nil"/>
            </w:tcBorders>
            <w:shd w:val="clear" w:color="auto" w:fill="auto"/>
            <w:noWrap/>
            <w:vAlign w:val="bottom"/>
            <w:hideMark/>
          </w:tcPr>
          <w:p w14:paraId="6DEA5FF8" w14:textId="5A437BA6"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16%</w:t>
            </w:r>
          </w:p>
        </w:tc>
        <w:tc>
          <w:tcPr>
            <w:tcW w:w="0" w:type="auto"/>
            <w:tcBorders>
              <w:top w:val="nil"/>
              <w:left w:val="nil"/>
              <w:bottom w:val="nil"/>
              <w:right w:val="nil"/>
            </w:tcBorders>
            <w:shd w:val="clear" w:color="auto" w:fill="auto"/>
            <w:noWrap/>
            <w:vAlign w:val="bottom"/>
            <w:hideMark/>
          </w:tcPr>
          <w:p w14:paraId="53709B9D" w14:textId="0B3293D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84%</w:t>
            </w:r>
          </w:p>
        </w:tc>
        <w:tc>
          <w:tcPr>
            <w:tcW w:w="0" w:type="auto"/>
            <w:tcBorders>
              <w:top w:val="nil"/>
              <w:left w:val="nil"/>
              <w:bottom w:val="nil"/>
              <w:right w:val="nil"/>
            </w:tcBorders>
            <w:shd w:val="clear" w:color="auto" w:fill="auto"/>
            <w:noWrap/>
            <w:vAlign w:val="bottom"/>
            <w:hideMark/>
          </w:tcPr>
          <w:p w14:paraId="220EC3CF" w14:textId="542259E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26%</w:t>
            </w:r>
          </w:p>
        </w:tc>
        <w:tc>
          <w:tcPr>
            <w:tcW w:w="0" w:type="auto"/>
            <w:tcBorders>
              <w:top w:val="nil"/>
              <w:left w:val="nil"/>
              <w:bottom w:val="nil"/>
              <w:right w:val="nil"/>
            </w:tcBorders>
            <w:shd w:val="clear" w:color="auto" w:fill="auto"/>
            <w:noWrap/>
            <w:vAlign w:val="bottom"/>
            <w:hideMark/>
          </w:tcPr>
          <w:p w14:paraId="2B7A93A6" w14:textId="68AB08C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25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87%</w:t>
            </w:r>
          </w:p>
        </w:tc>
        <w:tc>
          <w:tcPr>
            <w:tcW w:w="0" w:type="auto"/>
            <w:tcBorders>
              <w:top w:val="nil"/>
              <w:left w:val="nil"/>
              <w:bottom w:val="nil"/>
              <w:right w:val="nil"/>
            </w:tcBorders>
            <w:shd w:val="clear" w:color="auto" w:fill="auto"/>
            <w:noWrap/>
            <w:vAlign w:val="bottom"/>
            <w:hideMark/>
          </w:tcPr>
          <w:p w14:paraId="187F0AAB" w14:textId="271E0AE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15%</w:t>
            </w:r>
          </w:p>
        </w:tc>
        <w:tc>
          <w:tcPr>
            <w:tcW w:w="0" w:type="auto"/>
            <w:tcBorders>
              <w:top w:val="nil"/>
              <w:left w:val="nil"/>
              <w:bottom w:val="nil"/>
              <w:right w:val="nil"/>
            </w:tcBorders>
            <w:shd w:val="clear" w:color="auto" w:fill="auto"/>
            <w:noWrap/>
            <w:vAlign w:val="bottom"/>
            <w:hideMark/>
          </w:tcPr>
          <w:p w14:paraId="5CC900E9" w14:textId="6F3595F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21%</w:t>
            </w:r>
          </w:p>
        </w:tc>
        <w:tc>
          <w:tcPr>
            <w:tcW w:w="0" w:type="auto"/>
            <w:tcBorders>
              <w:top w:val="nil"/>
              <w:left w:val="nil"/>
              <w:bottom w:val="nil"/>
              <w:right w:val="nil"/>
            </w:tcBorders>
            <w:shd w:val="clear" w:color="auto" w:fill="auto"/>
            <w:noWrap/>
            <w:vAlign w:val="bottom"/>
            <w:hideMark/>
          </w:tcPr>
          <w:p w14:paraId="2634CCBA" w14:textId="484FAC5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36%</w:t>
            </w:r>
          </w:p>
        </w:tc>
        <w:tc>
          <w:tcPr>
            <w:tcW w:w="0" w:type="auto"/>
            <w:tcBorders>
              <w:top w:val="nil"/>
              <w:left w:val="nil"/>
              <w:bottom w:val="nil"/>
              <w:right w:val="nil"/>
            </w:tcBorders>
            <w:shd w:val="clear" w:color="auto" w:fill="auto"/>
            <w:noWrap/>
            <w:vAlign w:val="bottom"/>
            <w:hideMark/>
          </w:tcPr>
          <w:p w14:paraId="529ECC7E" w14:textId="4E92634C"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35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73%</w:t>
            </w:r>
          </w:p>
        </w:tc>
        <w:tc>
          <w:tcPr>
            <w:tcW w:w="0" w:type="auto"/>
            <w:tcBorders>
              <w:top w:val="nil"/>
              <w:left w:val="nil"/>
              <w:bottom w:val="nil"/>
              <w:right w:val="nil"/>
            </w:tcBorders>
            <w:shd w:val="clear" w:color="auto" w:fill="auto"/>
            <w:noWrap/>
            <w:vAlign w:val="bottom"/>
            <w:hideMark/>
          </w:tcPr>
          <w:p w14:paraId="3117DE35" w14:textId="2B51C4D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73%</w:t>
            </w:r>
          </w:p>
        </w:tc>
        <w:tc>
          <w:tcPr>
            <w:tcW w:w="0" w:type="auto"/>
            <w:tcBorders>
              <w:top w:val="nil"/>
              <w:left w:val="nil"/>
              <w:bottom w:val="nil"/>
              <w:right w:val="nil"/>
            </w:tcBorders>
            <w:shd w:val="clear" w:color="auto" w:fill="auto"/>
            <w:noWrap/>
            <w:vAlign w:val="bottom"/>
            <w:hideMark/>
          </w:tcPr>
          <w:p w14:paraId="7BB46853" w14:textId="54121B6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12%</w:t>
            </w:r>
          </w:p>
        </w:tc>
      </w:tr>
      <w:tr w:rsidR="0037161F" w:rsidRPr="009F0551" w14:paraId="09A606AC" w14:textId="77777777" w:rsidTr="0037161F">
        <w:trPr>
          <w:trHeight w:val="198"/>
        </w:trPr>
        <w:tc>
          <w:tcPr>
            <w:tcW w:w="0" w:type="auto"/>
            <w:tcBorders>
              <w:top w:val="nil"/>
              <w:left w:val="nil"/>
              <w:bottom w:val="nil"/>
              <w:right w:val="nil"/>
            </w:tcBorders>
            <w:shd w:val="clear" w:color="auto" w:fill="auto"/>
            <w:noWrap/>
            <w:vAlign w:val="bottom"/>
            <w:hideMark/>
          </w:tcPr>
          <w:p w14:paraId="20B9AB96"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Services</w:t>
            </w:r>
          </w:p>
        </w:tc>
        <w:tc>
          <w:tcPr>
            <w:tcW w:w="0" w:type="auto"/>
            <w:tcBorders>
              <w:top w:val="nil"/>
              <w:left w:val="nil"/>
              <w:bottom w:val="nil"/>
              <w:right w:val="nil"/>
            </w:tcBorders>
            <w:shd w:val="clear" w:color="auto" w:fill="auto"/>
            <w:noWrap/>
            <w:vAlign w:val="bottom"/>
            <w:hideMark/>
          </w:tcPr>
          <w:p w14:paraId="0DF86938" w14:textId="56ED833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66%</w:t>
            </w:r>
          </w:p>
        </w:tc>
        <w:tc>
          <w:tcPr>
            <w:tcW w:w="0" w:type="auto"/>
            <w:tcBorders>
              <w:top w:val="nil"/>
              <w:left w:val="nil"/>
              <w:bottom w:val="nil"/>
              <w:right w:val="nil"/>
            </w:tcBorders>
            <w:shd w:val="clear" w:color="auto" w:fill="auto"/>
            <w:noWrap/>
            <w:vAlign w:val="bottom"/>
            <w:hideMark/>
          </w:tcPr>
          <w:p w14:paraId="0DE94703" w14:textId="166545C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15</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42%</w:t>
            </w:r>
          </w:p>
        </w:tc>
        <w:tc>
          <w:tcPr>
            <w:tcW w:w="0" w:type="auto"/>
            <w:tcBorders>
              <w:top w:val="nil"/>
              <w:left w:val="nil"/>
              <w:bottom w:val="nil"/>
              <w:right w:val="nil"/>
            </w:tcBorders>
            <w:shd w:val="clear" w:color="auto" w:fill="auto"/>
            <w:noWrap/>
            <w:vAlign w:val="bottom"/>
            <w:hideMark/>
          </w:tcPr>
          <w:p w14:paraId="4956045F" w14:textId="26A7EF5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73%</w:t>
            </w:r>
          </w:p>
        </w:tc>
        <w:tc>
          <w:tcPr>
            <w:tcW w:w="0" w:type="auto"/>
            <w:tcBorders>
              <w:top w:val="nil"/>
              <w:left w:val="nil"/>
              <w:bottom w:val="nil"/>
              <w:right w:val="nil"/>
            </w:tcBorders>
            <w:shd w:val="clear" w:color="auto" w:fill="auto"/>
            <w:noWrap/>
            <w:vAlign w:val="bottom"/>
            <w:hideMark/>
          </w:tcPr>
          <w:p w14:paraId="03F298E4" w14:textId="6239F53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17</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38%</w:t>
            </w:r>
          </w:p>
        </w:tc>
        <w:tc>
          <w:tcPr>
            <w:tcW w:w="0" w:type="auto"/>
            <w:tcBorders>
              <w:top w:val="nil"/>
              <w:left w:val="nil"/>
              <w:bottom w:val="nil"/>
              <w:right w:val="nil"/>
            </w:tcBorders>
            <w:shd w:val="clear" w:color="auto" w:fill="auto"/>
            <w:noWrap/>
            <w:vAlign w:val="bottom"/>
            <w:hideMark/>
          </w:tcPr>
          <w:p w14:paraId="0CE01748" w14:textId="5A9627A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19</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24%</w:t>
            </w:r>
          </w:p>
        </w:tc>
        <w:tc>
          <w:tcPr>
            <w:tcW w:w="0" w:type="auto"/>
            <w:tcBorders>
              <w:top w:val="nil"/>
              <w:left w:val="nil"/>
              <w:bottom w:val="nil"/>
              <w:right w:val="nil"/>
            </w:tcBorders>
            <w:shd w:val="clear" w:color="auto" w:fill="auto"/>
            <w:noWrap/>
            <w:vAlign w:val="bottom"/>
            <w:hideMark/>
          </w:tcPr>
          <w:p w14:paraId="0BE9DE54" w14:textId="345D9DF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06%</w:t>
            </w:r>
          </w:p>
        </w:tc>
        <w:tc>
          <w:tcPr>
            <w:tcW w:w="0" w:type="auto"/>
            <w:tcBorders>
              <w:top w:val="nil"/>
              <w:left w:val="nil"/>
              <w:bottom w:val="nil"/>
              <w:right w:val="nil"/>
            </w:tcBorders>
            <w:shd w:val="clear" w:color="auto" w:fill="auto"/>
            <w:noWrap/>
            <w:vAlign w:val="bottom"/>
            <w:hideMark/>
          </w:tcPr>
          <w:p w14:paraId="260306B2" w14:textId="4A1F517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72%</w:t>
            </w:r>
          </w:p>
        </w:tc>
        <w:tc>
          <w:tcPr>
            <w:tcW w:w="0" w:type="auto"/>
            <w:tcBorders>
              <w:top w:val="nil"/>
              <w:left w:val="nil"/>
              <w:bottom w:val="nil"/>
              <w:right w:val="nil"/>
            </w:tcBorders>
            <w:shd w:val="clear" w:color="auto" w:fill="auto"/>
            <w:noWrap/>
            <w:vAlign w:val="bottom"/>
            <w:hideMark/>
          </w:tcPr>
          <w:p w14:paraId="5D24ADC2" w14:textId="698C3AD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12</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57%</w:t>
            </w:r>
          </w:p>
        </w:tc>
        <w:tc>
          <w:tcPr>
            <w:tcW w:w="0" w:type="auto"/>
            <w:tcBorders>
              <w:top w:val="nil"/>
              <w:left w:val="nil"/>
              <w:bottom w:val="nil"/>
              <w:right w:val="nil"/>
            </w:tcBorders>
            <w:shd w:val="clear" w:color="auto" w:fill="auto"/>
            <w:noWrap/>
            <w:vAlign w:val="bottom"/>
            <w:hideMark/>
          </w:tcPr>
          <w:p w14:paraId="632AD62C" w14:textId="49B665B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11</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95%</w:t>
            </w:r>
          </w:p>
        </w:tc>
        <w:tc>
          <w:tcPr>
            <w:tcW w:w="0" w:type="auto"/>
            <w:tcBorders>
              <w:top w:val="nil"/>
              <w:left w:val="nil"/>
              <w:bottom w:val="nil"/>
              <w:right w:val="nil"/>
            </w:tcBorders>
            <w:shd w:val="clear" w:color="auto" w:fill="auto"/>
            <w:noWrap/>
            <w:vAlign w:val="bottom"/>
            <w:hideMark/>
          </w:tcPr>
          <w:p w14:paraId="7D6748FF" w14:textId="4C680F40"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7</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75%</w:t>
            </w:r>
          </w:p>
        </w:tc>
        <w:tc>
          <w:tcPr>
            <w:tcW w:w="0" w:type="auto"/>
            <w:tcBorders>
              <w:top w:val="nil"/>
              <w:left w:val="nil"/>
              <w:bottom w:val="nil"/>
              <w:right w:val="nil"/>
            </w:tcBorders>
            <w:shd w:val="clear" w:color="auto" w:fill="auto"/>
            <w:noWrap/>
            <w:vAlign w:val="bottom"/>
            <w:hideMark/>
          </w:tcPr>
          <w:p w14:paraId="7E6857DE" w14:textId="4A9B82D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4</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12%</w:t>
            </w:r>
          </w:p>
        </w:tc>
        <w:tc>
          <w:tcPr>
            <w:tcW w:w="0" w:type="auto"/>
            <w:tcBorders>
              <w:top w:val="nil"/>
              <w:left w:val="nil"/>
              <w:bottom w:val="nil"/>
              <w:right w:val="nil"/>
            </w:tcBorders>
            <w:shd w:val="clear" w:color="auto" w:fill="auto"/>
            <w:noWrap/>
            <w:vAlign w:val="bottom"/>
            <w:hideMark/>
          </w:tcPr>
          <w:p w14:paraId="03FFDBF5" w14:textId="6BCD094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8</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67%</w:t>
            </w:r>
          </w:p>
        </w:tc>
      </w:tr>
      <w:tr w:rsidR="0037161F" w:rsidRPr="009F0551" w14:paraId="7DF0261A" w14:textId="77777777" w:rsidTr="0037161F">
        <w:trPr>
          <w:trHeight w:val="198"/>
        </w:trPr>
        <w:tc>
          <w:tcPr>
            <w:tcW w:w="0" w:type="auto"/>
            <w:tcBorders>
              <w:top w:val="nil"/>
              <w:left w:val="nil"/>
              <w:bottom w:val="nil"/>
              <w:right w:val="nil"/>
            </w:tcBorders>
            <w:shd w:val="clear" w:color="auto" w:fill="auto"/>
            <w:noWrap/>
            <w:vAlign w:val="bottom"/>
            <w:hideMark/>
          </w:tcPr>
          <w:p w14:paraId="415A9E98"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R2</w:t>
            </w:r>
          </w:p>
        </w:tc>
        <w:tc>
          <w:tcPr>
            <w:tcW w:w="0" w:type="auto"/>
            <w:tcBorders>
              <w:top w:val="nil"/>
              <w:left w:val="nil"/>
              <w:bottom w:val="nil"/>
              <w:right w:val="nil"/>
            </w:tcBorders>
            <w:shd w:val="clear" w:color="auto" w:fill="auto"/>
            <w:noWrap/>
            <w:vAlign w:val="bottom"/>
            <w:hideMark/>
          </w:tcPr>
          <w:p w14:paraId="4C830A34" w14:textId="4FADDF0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934</w:t>
            </w:r>
          </w:p>
        </w:tc>
        <w:tc>
          <w:tcPr>
            <w:tcW w:w="0" w:type="auto"/>
            <w:tcBorders>
              <w:top w:val="nil"/>
              <w:left w:val="nil"/>
              <w:bottom w:val="nil"/>
              <w:right w:val="nil"/>
            </w:tcBorders>
            <w:shd w:val="clear" w:color="auto" w:fill="auto"/>
            <w:noWrap/>
            <w:vAlign w:val="bottom"/>
            <w:hideMark/>
          </w:tcPr>
          <w:p w14:paraId="5A2B56B0" w14:textId="4F982D9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895</w:t>
            </w:r>
          </w:p>
        </w:tc>
        <w:tc>
          <w:tcPr>
            <w:tcW w:w="0" w:type="auto"/>
            <w:tcBorders>
              <w:top w:val="nil"/>
              <w:left w:val="nil"/>
              <w:bottom w:val="nil"/>
              <w:right w:val="nil"/>
            </w:tcBorders>
            <w:shd w:val="clear" w:color="auto" w:fill="auto"/>
            <w:noWrap/>
            <w:vAlign w:val="bottom"/>
            <w:hideMark/>
          </w:tcPr>
          <w:p w14:paraId="4BA98A0F" w14:textId="0BD1313F"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899</w:t>
            </w:r>
          </w:p>
        </w:tc>
        <w:tc>
          <w:tcPr>
            <w:tcW w:w="0" w:type="auto"/>
            <w:tcBorders>
              <w:top w:val="nil"/>
              <w:left w:val="nil"/>
              <w:bottom w:val="nil"/>
              <w:right w:val="nil"/>
            </w:tcBorders>
            <w:shd w:val="clear" w:color="auto" w:fill="auto"/>
            <w:noWrap/>
            <w:vAlign w:val="bottom"/>
            <w:hideMark/>
          </w:tcPr>
          <w:p w14:paraId="42223F69" w14:textId="037CE7D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964</w:t>
            </w:r>
          </w:p>
        </w:tc>
        <w:tc>
          <w:tcPr>
            <w:tcW w:w="0" w:type="auto"/>
            <w:tcBorders>
              <w:top w:val="nil"/>
              <w:left w:val="nil"/>
              <w:bottom w:val="nil"/>
              <w:right w:val="nil"/>
            </w:tcBorders>
            <w:shd w:val="clear" w:color="auto" w:fill="auto"/>
            <w:noWrap/>
            <w:vAlign w:val="bottom"/>
            <w:hideMark/>
          </w:tcPr>
          <w:p w14:paraId="36E77071" w14:textId="176274A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905</w:t>
            </w:r>
          </w:p>
        </w:tc>
        <w:tc>
          <w:tcPr>
            <w:tcW w:w="0" w:type="auto"/>
            <w:tcBorders>
              <w:top w:val="nil"/>
              <w:left w:val="nil"/>
              <w:bottom w:val="nil"/>
              <w:right w:val="nil"/>
            </w:tcBorders>
            <w:shd w:val="clear" w:color="auto" w:fill="auto"/>
            <w:noWrap/>
            <w:vAlign w:val="bottom"/>
            <w:hideMark/>
          </w:tcPr>
          <w:p w14:paraId="67D17BF6" w14:textId="0BAF588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894</w:t>
            </w:r>
          </w:p>
        </w:tc>
        <w:tc>
          <w:tcPr>
            <w:tcW w:w="0" w:type="auto"/>
            <w:tcBorders>
              <w:top w:val="nil"/>
              <w:left w:val="nil"/>
              <w:bottom w:val="nil"/>
              <w:right w:val="nil"/>
            </w:tcBorders>
            <w:shd w:val="clear" w:color="auto" w:fill="auto"/>
            <w:noWrap/>
            <w:vAlign w:val="bottom"/>
            <w:hideMark/>
          </w:tcPr>
          <w:p w14:paraId="6A8D6F32" w14:textId="30E7630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873</w:t>
            </w:r>
          </w:p>
        </w:tc>
        <w:tc>
          <w:tcPr>
            <w:tcW w:w="0" w:type="auto"/>
            <w:tcBorders>
              <w:top w:val="nil"/>
              <w:left w:val="nil"/>
              <w:bottom w:val="nil"/>
              <w:right w:val="nil"/>
            </w:tcBorders>
            <w:shd w:val="clear" w:color="auto" w:fill="auto"/>
            <w:noWrap/>
            <w:vAlign w:val="bottom"/>
            <w:hideMark/>
          </w:tcPr>
          <w:p w14:paraId="4EEFC168" w14:textId="0A6DD04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892</w:t>
            </w:r>
          </w:p>
        </w:tc>
        <w:tc>
          <w:tcPr>
            <w:tcW w:w="0" w:type="auto"/>
            <w:tcBorders>
              <w:top w:val="nil"/>
              <w:left w:val="nil"/>
              <w:bottom w:val="nil"/>
              <w:right w:val="nil"/>
            </w:tcBorders>
            <w:shd w:val="clear" w:color="auto" w:fill="auto"/>
            <w:noWrap/>
            <w:vAlign w:val="bottom"/>
            <w:hideMark/>
          </w:tcPr>
          <w:p w14:paraId="5EDB905D" w14:textId="411D8C73"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916</w:t>
            </w:r>
          </w:p>
        </w:tc>
        <w:tc>
          <w:tcPr>
            <w:tcW w:w="0" w:type="auto"/>
            <w:tcBorders>
              <w:top w:val="nil"/>
              <w:left w:val="nil"/>
              <w:bottom w:val="nil"/>
              <w:right w:val="nil"/>
            </w:tcBorders>
            <w:shd w:val="clear" w:color="auto" w:fill="auto"/>
            <w:noWrap/>
            <w:vAlign w:val="bottom"/>
            <w:hideMark/>
          </w:tcPr>
          <w:p w14:paraId="283E3AF8" w14:textId="4F381DA8"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893</w:t>
            </w:r>
          </w:p>
        </w:tc>
        <w:tc>
          <w:tcPr>
            <w:tcW w:w="0" w:type="auto"/>
            <w:tcBorders>
              <w:top w:val="nil"/>
              <w:left w:val="nil"/>
              <w:bottom w:val="nil"/>
              <w:right w:val="nil"/>
            </w:tcBorders>
            <w:shd w:val="clear" w:color="auto" w:fill="auto"/>
            <w:noWrap/>
            <w:vAlign w:val="bottom"/>
            <w:hideMark/>
          </w:tcPr>
          <w:p w14:paraId="7669073E" w14:textId="63C9C81C"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951</w:t>
            </w:r>
          </w:p>
        </w:tc>
        <w:tc>
          <w:tcPr>
            <w:tcW w:w="0" w:type="auto"/>
            <w:tcBorders>
              <w:top w:val="nil"/>
              <w:left w:val="nil"/>
              <w:bottom w:val="nil"/>
              <w:right w:val="nil"/>
            </w:tcBorders>
            <w:shd w:val="clear" w:color="auto" w:fill="auto"/>
            <w:noWrap/>
            <w:vAlign w:val="bottom"/>
            <w:hideMark/>
          </w:tcPr>
          <w:p w14:paraId="3647DCD8" w14:textId="02C92102"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941</w:t>
            </w:r>
          </w:p>
        </w:tc>
      </w:tr>
      <w:tr w:rsidR="0037161F" w:rsidRPr="009F0551" w14:paraId="49F01F64" w14:textId="77777777" w:rsidTr="0037161F">
        <w:trPr>
          <w:trHeight w:val="198"/>
        </w:trPr>
        <w:tc>
          <w:tcPr>
            <w:tcW w:w="0" w:type="auto"/>
            <w:tcBorders>
              <w:top w:val="nil"/>
              <w:left w:val="nil"/>
              <w:bottom w:val="single" w:sz="4" w:space="0" w:color="auto"/>
              <w:right w:val="nil"/>
            </w:tcBorders>
            <w:shd w:val="clear" w:color="auto" w:fill="auto"/>
            <w:noWrap/>
            <w:vAlign w:val="bottom"/>
            <w:hideMark/>
          </w:tcPr>
          <w:p w14:paraId="00F2B945" w14:textId="77777777" w:rsidR="004B3DBE" w:rsidRPr="009F0551" w:rsidRDefault="004B3DBE" w:rsidP="004B3DBE">
            <w:pPr>
              <w:spacing w:after="0" w:line="240" w:lineRule="auto"/>
              <w:rPr>
                <w:rFonts w:ascii="Times New Roman" w:eastAsia="Times New Roman" w:hAnsi="Times New Roman" w:cs="Times New Roman"/>
                <w:color w:val="000000"/>
              </w:rPr>
            </w:pPr>
            <w:r w:rsidRPr="009F0551">
              <w:rPr>
                <w:rFonts w:ascii="Times New Roman" w:eastAsia="Times New Roman" w:hAnsi="Times New Roman" w:cs="Times New Roman"/>
                <w:color w:val="000000"/>
              </w:rPr>
              <w:t>Tracking Error</w:t>
            </w:r>
          </w:p>
        </w:tc>
        <w:tc>
          <w:tcPr>
            <w:tcW w:w="0" w:type="auto"/>
            <w:tcBorders>
              <w:top w:val="nil"/>
              <w:left w:val="nil"/>
              <w:bottom w:val="single" w:sz="4" w:space="0" w:color="auto"/>
              <w:right w:val="nil"/>
            </w:tcBorders>
            <w:shd w:val="clear" w:color="auto" w:fill="auto"/>
            <w:noWrap/>
            <w:vAlign w:val="bottom"/>
            <w:hideMark/>
          </w:tcPr>
          <w:p w14:paraId="7ABA4F6C" w14:textId="2674E3D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45%</w:t>
            </w:r>
          </w:p>
        </w:tc>
        <w:tc>
          <w:tcPr>
            <w:tcW w:w="0" w:type="auto"/>
            <w:tcBorders>
              <w:top w:val="nil"/>
              <w:left w:val="nil"/>
              <w:bottom w:val="single" w:sz="4" w:space="0" w:color="auto"/>
              <w:right w:val="nil"/>
            </w:tcBorders>
            <w:shd w:val="clear" w:color="auto" w:fill="auto"/>
            <w:noWrap/>
            <w:vAlign w:val="bottom"/>
            <w:hideMark/>
          </w:tcPr>
          <w:p w14:paraId="5885EDC0" w14:textId="72A1D655"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49%</w:t>
            </w:r>
          </w:p>
        </w:tc>
        <w:tc>
          <w:tcPr>
            <w:tcW w:w="0" w:type="auto"/>
            <w:tcBorders>
              <w:top w:val="nil"/>
              <w:left w:val="nil"/>
              <w:bottom w:val="single" w:sz="4" w:space="0" w:color="auto"/>
              <w:right w:val="nil"/>
            </w:tcBorders>
            <w:shd w:val="clear" w:color="auto" w:fill="auto"/>
            <w:noWrap/>
            <w:vAlign w:val="bottom"/>
            <w:hideMark/>
          </w:tcPr>
          <w:p w14:paraId="24FECC5F" w14:textId="6BB4A44E"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36%</w:t>
            </w:r>
          </w:p>
        </w:tc>
        <w:tc>
          <w:tcPr>
            <w:tcW w:w="0" w:type="auto"/>
            <w:tcBorders>
              <w:top w:val="nil"/>
              <w:left w:val="nil"/>
              <w:bottom w:val="single" w:sz="4" w:space="0" w:color="auto"/>
              <w:right w:val="nil"/>
            </w:tcBorders>
            <w:shd w:val="clear" w:color="auto" w:fill="auto"/>
            <w:noWrap/>
            <w:vAlign w:val="bottom"/>
            <w:hideMark/>
          </w:tcPr>
          <w:p w14:paraId="5DF32862" w14:textId="63FA784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86%</w:t>
            </w:r>
          </w:p>
        </w:tc>
        <w:tc>
          <w:tcPr>
            <w:tcW w:w="0" w:type="auto"/>
            <w:tcBorders>
              <w:top w:val="nil"/>
              <w:left w:val="nil"/>
              <w:bottom w:val="single" w:sz="4" w:space="0" w:color="auto"/>
              <w:right w:val="nil"/>
            </w:tcBorders>
            <w:shd w:val="clear" w:color="auto" w:fill="auto"/>
            <w:noWrap/>
            <w:vAlign w:val="bottom"/>
            <w:hideMark/>
          </w:tcPr>
          <w:p w14:paraId="54612991" w14:textId="7B912D19"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79%</w:t>
            </w:r>
          </w:p>
        </w:tc>
        <w:tc>
          <w:tcPr>
            <w:tcW w:w="0" w:type="auto"/>
            <w:tcBorders>
              <w:top w:val="nil"/>
              <w:left w:val="nil"/>
              <w:bottom w:val="single" w:sz="4" w:space="0" w:color="auto"/>
              <w:right w:val="nil"/>
            </w:tcBorders>
            <w:shd w:val="clear" w:color="auto" w:fill="auto"/>
            <w:noWrap/>
            <w:vAlign w:val="bottom"/>
            <w:hideMark/>
          </w:tcPr>
          <w:p w14:paraId="2E848415" w14:textId="2F8EFECB"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85%</w:t>
            </w:r>
          </w:p>
        </w:tc>
        <w:tc>
          <w:tcPr>
            <w:tcW w:w="0" w:type="auto"/>
            <w:tcBorders>
              <w:top w:val="nil"/>
              <w:left w:val="nil"/>
              <w:bottom w:val="single" w:sz="4" w:space="0" w:color="auto"/>
              <w:right w:val="nil"/>
            </w:tcBorders>
            <w:shd w:val="clear" w:color="auto" w:fill="auto"/>
            <w:noWrap/>
            <w:vAlign w:val="bottom"/>
            <w:hideMark/>
          </w:tcPr>
          <w:p w14:paraId="2CCBDC64" w14:textId="4D6113A4"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65%</w:t>
            </w:r>
          </w:p>
        </w:tc>
        <w:tc>
          <w:tcPr>
            <w:tcW w:w="0" w:type="auto"/>
            <w:tcBorders>
              <w:top w:val="nil"/>
              <w:left w:val="nil"/>
              <w:bottom w:val="single" w:sz="4" w:space="0" w:color="auto"/>
              <w:right w:val="nil"/>
            </w:tcBorders>
            <w:shd w:val="clear" w:color="auto" w:fill="auto"/>
            <w:noWrap/>
            <w:vAlign w:val="bottom"/>
            <w:hideMark/>
          </w:tcPr>
          <w:p w14:paraId="23D2BC1A" w14:textId="22A61611"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79%</w:t>
            </w:r>
          </w:p>
        </w:tc>
        <w:tc>
          <w:tcPr>
            <w:tcW w:w="0" w:type="auto"/>
            <w:tcBorders>
              <w:top w:val="nil"/>
              <w:left w:val="nil"/>
              <w:bottom w:val="single" w:sz="4" w:space="0" w:color="auto"/>
              <w:right w:val="nil"/>
            </w:tcBorders>
            <w:shd w:val="clear" w:color="auto" w:fill="auto"/>
            <w:noWrap/>
            <w:vAlign w:val="bottom"/>
            <w:hideMark/>
          </w:tcPr>
          <w:p w14:paraId="6686E7C4" w14:textId="71C8892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49%</w:t>
            </w:r>
          </w:p>
        </w:tc>
        <w:tc>
          <w:tcPr>
            <w:tcW w:w="0" w:type="auto"/>
            <w:tcBorders>
              <w:top w:val="nil"/>
              <w:left w:val="nil"/>
              <w:bottom w:val="single" w:sz="4" w:space="0" w:color="auto"/>
              <w:right w:val="nil"/>
            </w:tcBorders>
            <w:shd w:val="clear" w:color="auto" w:fill="auto"/>
            <w:noWrap/>
            <w:vAlign w:val="bottom"/>
            <w:hideMark/>
          </w:tcPr>
          <w:p w14:paraId="60763E7D" w14:textId="57097DC7"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80%</w:t>
            </w:r>
          </w:p>
        </w:tc>
        <w:tc>
          <w:tcPr>
            <w:tcW w:w="0" w:type="auto"/>
            <w:tcBorders>
              <w:top w:val="nil"/>
              <w:left w:val="nil"/>
              <w:bottom w:val="single" w:sz="4" w:space="0" w:color="auto"/>
              <w:right w:val="nil"/>
            </w:tcBorders>
            <w:shd w:val="clear" w:color="auto" w:fill="auto"/>
            <w:noWrap/>
            <w:vAlign w:val="bottom"/>
            <w:hideMark/>
          </w:tcPr>
          <w:p w14:paraId="33483E04" w14:textId="6C858C1D"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51%</w:t>
            </w:r>
          </w:p>
        </w:tc>
        <w:tc>
          <w:tcPr>
            <w:tcW w:w="0" w:type="auto"/>
            <w:tcBorders>
              <w:top w:val="nil"/>
              <w:left w:val="nil"/>
              <w:bottom w:val="single" w:sz="4" w:space="0" w:color="auto"/>
              <w:right w:val="nil"/>
            </w:tcBorders>
            <w:shd w:val="clear" w:color="auto" w:fill="auto"/>
            <w:noWrap/>
            <w:vAlign w:val="bottom"/>
            <w:hideMark/>
          </w:tcPr>
          <w:p w14:paraId="757FFBE9" w14:textId="40CC15BA" w:rsidR="004B3DBE" w:rsidRPr="0037161F" w:rsidRDefault="004B3DBE" w:rsidP="004B3DBE">
            <w:pPr>
              <w:spacing w:after="0" w:line="240" w:lineRule="auto"/>
              <w:jc w:val="center"/>
              <w:rPr>
                <w:rFonts w:ascii="Times New Roman" w:eastAsia="Times New Roman" w:hAnsi="Times New Roman" w:cs="Times New Roman"/>
                <w:color w:val="000000"/>
                <w:sz w:val="20"/>
                <w:szCs w:val="20"/>
              </w:rPr>
            </w:pPr>
            <w:r w:rsidRPr="0037161F">
              <w:rPr>
                <w:rFonts w:ascii="Times New Roman" w:eastAsia="Times New Roman" w:hAnsi="Times New Roman" w:cs="Times New Roman"/>
                <w:color w:val="000000"/>
                <w:sz w:val="20"/>
                <w:szCs w:val="20"/>
              </w:rPr>
              <w:t>0</w:t>
            </w:r>
            <w:r w:rsidR="00306401" w:rsidRPr="0037161F">
              <w:rPr>
                <w:rFonts w:ascii="Times New Roman" w:eastAsia="Times New Roman" w:hAnsi="Times New Roman" w:cs="Times New Roman"/>
                <w:color w:val="000000"/>
                <w:sz w:val="20"/>
                <w:szCs w:val="20"/>
              </w:rPr>
              <w:t>.</w:t>
            </w:r>
            <w:r w:rsidRPr="0037161F">
              <w:rPr>
                <w:rFonts w:ascii="Times New Roman" w:eastAsia="Times New Roman" w:hAnsi="Times New Roman" w:cs="Times New Roman"/>
                <w:color w:val="000000"/>
                <w:sz w:val="20"/>
                <w:szCs w:val="20"/>
              </w:rPr>
              <w:t>98%</w:t>
            </w:r>
          </w:p>
        </w:tc>
      </w:tr>
    </w:tbl>
    <w:p w14:paraId="0CB28909" w14:textId="4E0B0447" w:rsidR="004B3DBE" w:rsidRDefault="004B3DBE" w:rsidP="004B3DBE">
      <w:pPr>
        <w:rPr>
          <w:rFonts w:ascii="Times New Roman" w:hAnsi="Times New Roman" w:cs="Times New Roman"/>
          <w:sz w:val="24"/>
          <w:szCs w:val="24"/>
        </w:rPr>
      </w:pPr>
      <w:r>
        <w:rPr>
          <w:rFonts w:ascii="Times New Roman" w:hAnsi="Times New Roman" w:cs="Times New Roman"/>
          <w:sz w:val="24"/>
          <w:szCs w:val="24"/>
        </w:rPr>
        <w:br w:type="page"/>
      </w:r>
    </w:p>
    <w:tbl>
      <w:tblPr>
        <w:tblW w:w="5000" w:type="pct"/>
        <w:tblLook w:val="04A0" w:firstRow="1" w:lastRow="0" w:firstColumn="1" w:lastColumn="0" w:noHBand="0" w:noVBand="1"/>
      </w:tblPr>
      <w:tblGrid>
        <w:gridCol w:w="3312"/>
        <w:gridCol w:w="868"/>
        <w:gridCol w:w="746"/>
        <w:gridCol w:w="868"/>
        <w:gridCol w:w="746"/>
        <w:gridCol w:w="869"/>
        <w:gridCol w:w="747"/>
        <w:gridCol w:w="869"/>
        <w:gridCol w:w="747"/>
        <w:gridCol w:w="869"/>
        <w:gridCol w:w="747"/>
        <w:gridCol w:w="869"/>
        <w:gridCol w:w="747"/>
      </w:tblGrid>
      <w:tr w:rsidR="001F4B9D" w:rsidRPr="001F4B9D" w14:paraId="1A356DA7" w14:textId="77777777" w:rsidTr="001F4B9D">
        <w:trPr>
          <w:trHeight w:val="292"/>
        </w:trPr>
        <w:tc>
          <w:tcPr>
            <w:tcW w:w="5000" w:type="pct"/>
            <w:gridSpan w:val="13"/>
            <w:tcBorders>
              <w:top w:val="nil"/>
              <w:left w:val="nil"/>
              <w:bottom w:val="nil"/>
              <w:right w:val="nil"/>
            </w:tcBorders>
            <w:shd w:val="clear" w:color="000000" w:fill="FFFF00"/>
            <w:noWrap/>
            <w:vAlign w:val="bottom"/>
            <w:hideMark/>
          </w:tcPr>
          <w:p w14:paraId="1653717C" w14:textId="77777777" w:rsidR="001F4B9D" w:rsidRPr="001F4B9D" w:rsidRDefault="001F4B9D" w:rsidP="00CD0BBE">
            <w:pPr>
              <w:spacing w:after="0" w:line="240" w:lineRule="auto"/>
              <w:rPr>
                <w:rFonts w:ascii="Times New Roman" w:eastAsia="Times New Roman" w:hAnsi="Times New Roman" w:cs="Times New Roman"/>
                <w:b/>
                <w:bCs/>
                <w:color w:val="000000"/>
                <w:sz w:val="18"/>
                <w:szCs w:val="18"/>
                <w:lang w:eastAsia="en-GB"/>
              </w:rPr>
            </w:pPr>
            <w:r w:rsidRPr="001F4B9D">
              <w:rPr>
                <w:rFonts w:ascii="Times New Roman" w:eastAsia="Times New Roman" w:hAnsi="Times New Roman" w:cs="Times New Roman"/>
                <w:b/>
                <w:bCs/>
                <w:color w:val="000000"/>
                <w:lang w:eastAsia="en-GB"/>
              </w:rPr>
              <w:lastRenderedPageBreak/>
              <w:t>Table 10: Style Analysis - Stage 4 (June 15 - September 1)</w:t>
            </w:r>
          </w:p>
        </w:tc>
      </w:tr>
      <w:tr w:rsidR="001F4B9D" w:rsidRPr="001F4B9D" w14:paraId="14BBBE8C" w14:textId="77777777" w:rsidTr="001F4B9D">
        <w:trPr>
          <w:trHeight w:val="292"/>
        </w:trPr>
        <w:tc>
          <w:tcPr>
            <w:tcW w:w="1252" w:type="pct"/>
            <w:tcBorders>
              <w:top w:val="single" w:sz="4" w:space="0" w:color="auto"/>
              <w:left w:val="nil"/>
              <w:bottom w:val="single" w:sz="4" w:space="0" w:color="auto"/>
              <w:right w:val="nil"/>
            </w:tcBorders>
            <w:shd w:val="clear" w:color="auto" w:fill="auto"/>
            <w:noWrap/>
            <w:vAlign w:val="bottom"/>
            <w:hideMark/>
          </w:tcPr>
          <w:p w14:paraId="0EBC5DB6" w14:textId="77777777" w:rsidR="001F4B9D" w:rsidRPr="001F4B9D" w:rsidRDefault="001F4B9D" w:rsidP="00CD0BBE">
            <w:pPr>
              <w:spacing w:after="0" w:line="240" w:lineRule="auto"/>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 </w:t>
            </w:r>
          </w:p>
        </w:tc>
        <w:tc>
          <w:tcPr>
            <w:tcW w:w="624" w:type="pct"/>
            <w:gridSpan w:val="2"/>
            <w:tcBorders>
              <w:top w:val="single" w:sz="4" w:space="0" w:color="auto"/>
              <w:left w:val="nil"/>
              <w:bottom w:val="single" w:sz="4" w:space="0" w:color="auto"/>
              <w:right w:val="nil"/>
            </w:tcBorders>
            <w:shd w:val="clear" w:color="auto" w:fill="auto"/>
            <w:noWrap/>
            <w:vAlign w:val="bottom"/>
            <w:hideMark/>
          </w:tcPr>
          <w:p w14:paraId="6B63D1E0"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Malaysia</w:t>
            </w:r>
          </w:p>
        </w:tc>
        <w:tc>
          <w:tcPr>
            <w:tcW w:w="624" w:type="pct"/>
            <w:gridSpan w:val="2"/>
            <w:tcBorders>
              <w:top w:val="single" w:sz="4" w:space="0" w:color="auto"/>
              <w:left w:val="nil"/>
              <w:bottom w:val="single" w:sz="4" w:space="0" w:color="auto"/>
              <w:right w:val="nil"/>
            </w:tcBorders>
            <w:shd w:val="clear" w:color="auto" w:fill="auto"/>
            <w:noWrap/>
            <w:vAlign w:val="bottom"/>
            <w:hideMark/>
          </w:tcPr>
          <w:p w14:paraId="6F777881"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Pakistan</w:t>
            </w:r>
          </w:p>
        </w:tc>
        <w:tc>
          <w:tcPr>
            <w:tcW w:w="624" w:type="pct"/>
            <w:gridSpan w:val="2"/>
            <w:tcBorders>
              <w:top w:val="single" w:sz="4" w:space="0" w:color="auto"/>
              <w:left w:val="nil"/>
              <w:bottom w:val="single" w:sz="4" w:space="0" w:color="auto"/>
              <w:right w:val="nil"/>
            </w:tcBorders>
            <w:shd w:val="clear" w:color="auto" w:fill="auto"/>
            <w:noWrap/>
            <w:vAlign w:val="bottom"/>
            <w:hideMark/>
          </w:tcPr>
          <w:p w14:paraId="5556F010"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Saudi Arabia</w:t>
            </w:r>
          </w:p>
        </w:tc>
        <w:tc>
          <w:tcPr>
            <w:tcW w:w="624" w:type="pct"/>
            <w:gridSpan w:val="2"/>
            <w:tcBorders>
              <w:top w:val="single" w:sz="4" w:space="0" w:color="auto"/>
              <w:left w:val="nil"/>
              <w:bottom w:val="single" w:sz="4" w:space="0" w:color="auto"/>
              <w:right w:val="nil"/>
            </w:tcBorders>
            <w:shd w:val="clear" w:color="auto" w:fill="auto"/>
            <w:noWrap/>
            <w:vAlign w:val="bottom"/>
            <w:hideMark/>
          </w:tcPr>
          <w:p w14:paraId="034471C1"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Qatar</w:t>
            </w:r>
          </w:p>
        </w:tc>
        <w:tc>
          <w:tcPr>
            <w:tcW w:w="624" w:type="pct"/>
            <w:gridSpan w:val="2"/>
            <w:tcBorders>
              <w:top w:val="single" w:sz="4" w:space="0" w:color="auto"/>
              <w:left w:val="nil"/>
              <w:bottom w:val="single" w:sz="4" w:space="0" w:color="auto"/>
              <w:right w:val="nil"/>
            </w:tcBorders>
            <w:shd w:val="clear" w:color="auto" w:fill="auto"/>
            <w:noWrap/>
            <w:vAlign w:val="bottom"/>
            <w:hideMark/>
          </w:tcPr>
          <w:p w14:paraId="73CCA7B7"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Kuwait</w:t>
            </w:r>
          </w:p>
        </w:tc>
        <w:tc>
          <w:tcPr>
            <w:tcW w:w="626" w:type="pct"/>
            <w:gridSpan w:val="2"/>
            <w:tcBorders>
              <w:top w:val="single" w:sz="4" w:space="0" w:color="auto"/>
              <w:left w:val="nil"/>
              <w:bottom w:val="single" w:sz="4" w:space="0" w:color="auto"/>
              <w:right w:val="nil"/>
            </w:tcBorders>
            <w:shd w:val="clear" w:color="auto" w:fill="auto"/>
            <w:noWrap/>
            <w:vAlign w:val="bottom"/>
            <w:hideMark/>
          </w:tcPr>
          <w:p w14:paraId="0D4B16F0"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UAE</w:t>
            </w:r>
          </w:p>
        </w:tc>
      </w:tr>
      <w:tr w:rsidR="001F4B9D" w:rsidRPr="001F4B9D" w14:paraId="5FAD61D7" w14:textId="77777777" w:rsidTr="001F4B9D">
        <w:trPr>
          <w:trHeight w:val="292"/>
        </w:trPr>
        <w:tc>
          <w:tcPr>
            <w:tcW w:w="1252" w:type="pct"/>
            <w:tcBorders>
              <w:top w:val="nil"/>
              <w:left w:val="nil"/>
              <w:bottom w:val="nil"/>
              <w:right w:val="nil"/>
            </w:tcBorders>
            <w:shd w:val="clear" w:color="auto" w:fill="auto"/>
            <w:noWrap/>
            <w:vAlign w:val="bottom"/>
            <w:hideMark/>
          </w:tcPr>
          <w:p w14:paraId="0189ADAC" w14:textId="77777777" w:rsidR="001F4B9D" w:rsidRPr="001F4B9D" w:rsidRDefault="001F4B9D" w:rsidP="00CD0BBE">
            <w:pPr>
              <w:spacing w:after="0" w:line="240" w:lineRule="auto"/>
              <w:jc w:val="center"/>
              <w:rPr>
                <w:rFonts w:ascii="Times New Roman" w:eastAsia="Times New Roman" w:hAnsi="Times New Roman" w:cs="Times New Roman"/>
                <w:b/>
                <w:bCs/>
                <w:color w:val="000000"/>
                <w:sz w:val="18"/>
                <w:szCs w:val="18"/>
                <w:lang w:eastAsia="en-GB"/>
              </w:rPr>
            </w:pPr>
          </w:p>
        </w:tc>
        <w:tc>
          <w:tcPr>
            <w:tcW w:w="313" w:type="pct"/>
            <w:tcBorders>
              <w:top w:val="nil"/>
              <w:left w:val="nil"/>
              <w:bottom w:val="nil"/>
              <w:right w:val="nil"/>
            </w:tcBorders>
            <w:shd w:val="clear" w:color="auto" w:fill="auto"/>
            <w:noWrap/>
            <w:vAlign w:val="bottom"/>
            <w:hideMark/>
          </w:tcPr>
          <w:p w14:paraId="19D8446D"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18C5D222"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Conv.</w:t>
            </w:r>
          </w:p>
        </w:tc>
        <w:tc>
          <w:tcPr>
            <w:tcW w:w="313" w:type="pct"/>
            <w:tcBorders>
              <w:top w:val="nil"/>
              <w:left w:val="nil"/>
              <w:bottom w:val="nil"/>
              <w:right w:val="nil"/>
            </w:tcBorders>
            <w:shd w:val="clear" w:color="auto" w:fill="auto"/>
            <w:noWrap/>
            <w:vAlign w:val="bottom"/>
            <w:hideMark/>
          </w:tcPr>
          <w:p w14:paraId="781B1ABB"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42DD7F37"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Conv.</w:t>
            </w:r>
          </w:p>
        </w:tc>
        <w:tc>
          <w:tcPr>
            <w:tcW w:w="313" w:type="pct"/>
            <w:tcBorders>
              <w:top w:val="nil"/>
              <w:left w:val="nil"/>
              <w:bottom w:val="nil"/>
              <w:right w:val="nil"/>
            </w:tcBorders>
            <w:shd w:val="clear" w:color="auto" w:fill="auto"/>
            <w:noWrap/>
            <w:vAlign w:val="bottom"/>
            <w:hideMark/>
          </w:tcPr>
          <w:p w14:paraId="46664C34"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5D863DF5"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Conv.</w:t>
            </w:r>
          </w:p>
        </w:tc>
        <w:tc>
          <w:tcPr>
            <w:tcW w:w="313" w:type="pct"/>
            <w:tcBorders>
              <w:top w:val="nil"/>
              <w:left w:val="nil"/>
              <w:bottom w:val="nil"/>
              <w:right w:val="nil"/>
            </w:tcBorders>
            <w:shd w:val="clear" w:color="auto" w:fill="auto"/>
            <w:noWrap/>
            <w:vAlign w:val="bottom"/>
            <w:hideMark/>
          </w:tcPr>
          <w:p w14:paraId="0203BC65"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645F20BE"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Conv.</w:t>
            </w:r>
          </w:p>
        </w:tc>
        <w:tc>
          <w:tcPr>
            <w:tcW w:w="313" w:type="pct"/>
            <w:tcBorders>
              <w:top w:val="nil"/>
              <w:left w:val="nil"/>
              <w:bottom w:val="nil"/>
              <w:right w:val="nil"/>
            </w:tcBorders>
            <w:shd w:val="clear" w:color="auto" w:fill="auto"/>
            <w:noWrap/>
            <w:vAlign w:val="bottom"/>
            <w:hideMark/>
          </w:tcPr>
          <w:p w14:paraId="3077FFC1"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069B5AB8"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Conv.</w:t>
            </w:r>
          </w:p>
        </w:tc>
        <w:tc>
          <w:tcPr>
            <w:tcW w:w="313" w:type="pct"/>
            <w:tcBorders>
              <w:top w:val="nil"/>
              <w:left w:val="nil"/>
              <w:bottom w:val="nil"/>
              <w:right w:val="nil"/>
            </w:tcBorders>
            <w:shd w:val="clear" w:color="auto" w:fill="auto"/>
            <w:noWrap/>
            <w:vAlign w:val="bottom"/>
            <w:hideMark/>
          </w:tcPr>
          <w:p w14:paraId="10F402E3"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7C1F8139"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Conv.</w:t>
            </w:r>
          </w:p>
        </w:tc>
      </w:tr>
      <w:tr w:rsidR="001F4B9D" w:rsidRPr="001F4B9D" w14:paraId="2A47666A" w14:textId="77777777" w:rsidTr="001F4B9D">
        <w:trPr>
          <w:trHeight w:val="292"/>
        </w:trPr>
        <w:tc>
          <w:tcPr>
            <w:tcW w:w="5000" w:type="pct"/>
            <w:gridSpan w:val="13"/>
            <w:tcBorders>
              <w:top w:val="nil"/>
              <w:left w:val="nil"/>
              <w:bottom w:val="nil"/>
              <w:right w:val="nil"/>
            </w:tcBorders>
            <w:shd w:val="clear" w:color="auto" w:fill="auto"/>
            <w:noWrap/>
            <w:vAlign w:val="bottom"/>
            <w:hideMark/>
          </w:tcPr>
          <w:p w14:paraId="198F51F2" w14:textId="77777777" w:rsidR="001F4B9D" w:rsidRPr="001F4B9D" w:rsidRDefault="001F4B9D" w:rsidP="00CD0BBE">
            <w:pPr>
              <w:spacing w:after="0" w:line="240" w:lineRule="auto"/>
              <w:jc w:val="center"/>
              <w:rPr>
                <w:rFonts w:ascii="Times New Roman" w:eastAsia="Times New Roman" w:hAnsi="Times New Roman" w:cs="Times New Roman"/>
                <w:b/>
                <w:bCs/>
                <w:color w:val="000000"/>
                <w:sz w:val="18"/>
                <w:szCs w:val="18"/>
                <w:lang w:eastAsia="en-GB"/>
              </w:rPr>
            </w:pPr>
            <w:r w:rsidRPr="001F4B9D">
              <w:rPr>
                <w:rFonts w:ascii="Times New Roman" w:eastAsia="Times New Roman" w:hAnsi="Times New Roman" w:cs="Times New Roman"/>
                <w:b/>
                <w:bCs/>
                <w:color w:val="000000"/>
                <w:sz w:val="18"/>
                <w:szCs w:val="18"/>
                <w:lang w:eastAsia="en-GB"/>
              </w:rPr>
              <w:t>Size</w:t>
            </w:r>
          </w:p>
        </w:tc>
      </w:tr>
      <w:tr w:rsidR="001F4B9D" w:rsidRPr="001F4B9D" w14:paraId="75A48F54" w14:textId="77777777" w:rsidTr="001F4B9D">
        <w:trPr>
          <w:trHeight w:val="292"/>
        </w:trPr>
        <w:tc>
          <w:tcPr>
            <w:tcW w:w="1252" w:type="pct"/>
            <w:tcBorders>
              <w:top w:val="nil"/>
              <w:left w:val="nil"/>
              <w:bottom w:val="nil"/>
              <w:right w:val="nil"/>
            </w:tcBorders>
            <w:shd w:val="clear" w:color="auto" w:fill="auto"/>
            <w:noWrap/>
            <w:vAlign w:val="bottom"/>
            <w:hideMark/>
          </w:tcPr>
          <w:p w14:paraId="1030BE83"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Large</w:t>
            </w:r>
          </w:p>
        </w:tc>
        <w:tc>
          <w:tcPr>
            <w:tcW w:w="313" w:type="pct"/>
            <w:tcBorders>
              <w:top w:val="nil"/>
              <w:left w:val="nil"/>
              <w:bottom w:val="nil"/>
              <w:right w:val="nil"/>
            </w:tcBorders>
            <w:shd w:val="clear" w:color="auto" w:fill="auto"/>
            <w:noWrap/>
            <w:vAlign w:val="bottom"/>
            <w:hideMark/>
          </w:tcPr>
          <w:p w14:paraId="39095E7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82.92%</w:t>
            </w:r>
          </w:p>
        </w:tc>
        <w:tc>
          <w:tcPr>
            <w:tcW w:w="311" w:type="pct"/>
            <w:tcBorders>
              <w:top w:val="nil"/>
              <w:left w:val="nil"/>
              <w:bottom w:val="nil"/>
              <w:right w:val="nil"/>
            </w:tcBorders>
            <w:shd w:val="clear" w:color="auto" w:fill="auto"/>
            <w:noWrap/>
            <w:vAlign w:val="bottom"/>
            <w:hideMark/>
          </w:tcPr>
          <w:p w14:paraId="3778C70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31.22%</w:t>
            </w:r>
          </w:p>
        </w:tc>
        <w:tc>
          <w:tcPr>
            <w:tcW w:w="313" w:type="pct"/>
            <w:tcBorders>
              <w:top w:val="nil"/>
              <w:left w:val="nil"/>
              <w:bottom w:val="nil"/>
              <w:right w:val="nil"/>
            </w:tcBorders>
            <w:shd w:val="clear" w:color="auto" w:fill="auto"/>
            <w:noWrap/>
            <w:vAlign w:val="bottom"/>
            <w:hideMark/>
          </w:tcPr>
          <w:p w14:paraId="2F78374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63.45%</w:t>
            </w:r>
          </w:p>
        </w:tc>
        <w:tc>
          <w:tcPr>
            <w:tcW w:w="311" w:type="pct"/>
            <w:tcBorders>
              <w:top w:val="nil"/>
              <w:left w:val="nil"/>
              <w:bottom w:val="nil"/>
              <w:right w:val="nil"/>
            </w:tcBorders>
            <w:shd w:val="clear" w:color="auto" w:fill="auto"/>
            <w:noWrap/>
            <w:vAlign w:val="bottom"/>
            <w:hideMark/>
          </w:tcPr>
          <w:p w14:paraId="31EE640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32.84%</w:t>
            </w:r>
          </w:p>
        </w:tc>
        <w:tc>
          <w:tcPr>
            <w:tcW w:w="313" w:type="pct"/>
            <w:tcBorders>
              <w:top w:val="nil"/>
              <w:left w:val="nil"/>
              <w:bottom w:val="nil"/>
              <w:right w:val="nil"/>
            </w:tcBorders>
            <w:shd w:val="clear" w:color="auto" w:fill="auto"/>
            <w:noWrap/>
            <w:vAlign w:val="bottom"/>
            <w:hideMark/>
          </w:tcPr>
          <w:p w14:paraId="21815A2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74.74%</w:t>
            </w:r>
          </w:p>
        </w:tc>
        <w:tc>
          <w:tcPr>
            <w:tcW w:w="311" w:type="pct"/>
            <w:tcBorders>
              <w:top w:val="nil"/>
              <w:left w:val="nil"/>
              <w:bottom w:val="nil"/>
              <w:right w:val="nil"/>
            </w:tcBorders>
            <w:shd w:val="clear" w:color="auto" w:fill="auto"/>
            <w:noWrap/>
            <w:vAlign w:val="bottom"/>
            <w:hideMark/>
          </w:tcPr>
          <w:p w14:paraId="7A6D828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27.38%</w:t>
            </w:r>
          </w:p>
        </w:tc>
        <w:tc>
          <w:tcPr>
            <w:tcW w:w="313" w:type="pct"/>
            <w:tcBorders>
              <w:top w:val="nil"/>
              <w:left w:val="nil"/>
              <w:bottom w:val="nil"/>
              <w:right w:val="nil"/>
            </w:tcBorders>
            <w:shd w:val="clear" w:color="auto" w:fill="auto"/>
            <w:noWrap/>
            <w:vAlign w:val="bottom"/>
            <w:hideMark/>
          </w:tcPr>
          <w:p w14:paraId="563583D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71.86%</w:t>
            </w:r>
          </w:p>
        </w:tc>
        <w:tc>
          <w:tcPr>
            <w:tcW w:w="311" w:type="pct"/>
            <w:tcBorders>
              <w:top w:val="nil"/>
              <w:left w:val="nil"/>
              <w:bottom w:val="nil"/>
              <w:right w:val="nil"/>
            </w:tcBorders>
            <w:shd w:val="clear" w:color="auto" w:fill="auto"/>
            <w:noWrap/>
            <w:vAlign w:val="bottom"/>
            <w:hideMark/>
          </w:tcPr>
          <w:p w14:paraId="5E104A7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26.46%</w:t>
            </w:r>
          </w:p>
        </w:tc>
        <w:tc>
          <w:tcPr>
            <w:tcW w:w="313" w:type="pct"/>
            <w:tcBorders>
              <w:top w:val="nil"/>
              <w:left w:val="nil"/>
              <w:bottom w:val="nil"/>
              <w:right w:val="nil"/>
            </w:tcBorders>
            <w:shd w:val="clear" w:color="auto" w:fill="auto"/>
            <w:noWrap/>
            <w:vAlign w:val="bottom"/>
            <w:hideMark/>
          </w:tcPr>
          <w:p w14:paraId="320686C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90.13%</w:t>
            </w:r>
          </w:p>
        </w:tc>
        <w:tc>
          <w:tcPr>
            <w:tcW w:w="311" w:type="pct"/>
            <w:tcBorders>
              <w:top w:val="nil"/>
              <w:left w:val="nil"/>
              <w:bottom w:val="nil"/>
              <w:right w:val="nil"/>
            </w:tcBorders>
            <w:shd w:val="clear" w:color="auto" w:fill="auto"/>
            <w:noWrap/>
            <w:vAlign w:val="bottom"/>
            <w:hideMark/>
          </w:tcPr>
          <w:p w14:paraId="3F6CA92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36.79%</w:t>
            </w:r>
          </w:p>
        </w:tc>
        <w:tc>
          <w:tcPr>
            <w:tcW w:w="313" w:type="pct"/>
            <w:tcBorders>
              <w:top w:val="nil"/>
              <w:left w:val="nil"/>
              <w:bottom w:val="nil"/>
              <w:right w:val="nil"/>
            </w:tcBorders>
            <w:shd w:val="clear" w:color="auto" w:fill="auto"/>
            <w:noWrap/>
            <w:vAlign w:val="bottom"/>
            <w:hideMark/>
          </w:tcPr>
          <w:p w14:paraId="46A20D7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88.05%</w:t>
            </w:r>
          </w:p>
        </w:tc>
        <w:tc>
          <w:tcPr>
            <w:tcW w:w="311" w:type="pct"/>
            <w:tcBorders>
              <w:top w:val="nil"/>
              <w:left w:val="nil"/>
              <w:bottom w:val="nil"/>
              <w:right w:val="nil"/>
            </w:tcBorders>
            <w:shd w:val="clear" w:color="auto" w:fill="auto"/>
            <w:noWrap/>
            <w:vAlign w:val="bottom"/>
            <w:hideMark/>
          </w:tcPr>
          <w:p w14:paraId="51EC69D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29.40%</w:t>
            </w:r>
          </w:p>
        </w:tc>
      </w:tr>
      <w:tr w:rsidR="001F4B9D" w:rsidRPr="001F4B9D" w14:paraId="5C866B2C" w14:textId="77777777" w:rsidTr="001F4B9D">
        <w:trPr>
          <w:trHeight w:val="292"/>
        </w:trPr>
        <w:tc>
          <w:tcPr>
            <w:tcW w:w="1252" w:type="pct"/>
            <w:tcBorders>
              <w:top w:val="nil"/>
              <w:left w:val="nil"/>
              <w:bottom w:val="nil"/>
              <w:right w:val="nil"/>
            </w:tcBorders>
            <w:shd w:val="clear" w:color="auto" w:fill="auto"/>
            <w:noWrap/>
            <w:vAlign w:val="bottom"/>
            <w:hideMark/>
          </w:tcPr>
          <w:p w14:paraId="451B74E3"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Mid</w:t>
            </w:r>
          </w:p>
        </w:tc>
        <w:tc>
          <w:tcPr>
            <w:tcW w:w="313" w:type="pct"/>
            <w:tcBorders>
              <w:top w:val="nil"/>
              <w:left w:val="nil"/>
              <w:bottom w:val="nil"/>
              <w:right w:val="nil"/>
            </w:tcBorders>
            <w:shd w:val="clear" w:color="auto" w:fill="auto"/>
            <w:noWrap/>
            <w:vAlign w:val="bottom"/>
            <w:hideMark/>
          </w:tcPr>
          <w:p w14:paraId="49600D8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15.24%</w:t>
            </w:r>
          </w:p>
        </w:tc>
        <w:tc>
          <w:tcPr>
            <w:tcW w:w="311" w:type="pct"/>
            <w:tcBorders>
              <w:top w:val="nil"/>
              <w:left w:val="nil"/>
              <w:bottom w:val="nil"/>
              <w:right w:val="nil"/>
            </w:tcBorders>
            <w:shd w:val="clear" w:color="auto" w:fill="auto"/>
            <w:noWrap/>
            <w:vAlign w:val="bottom"/>
            <w:hideMark/>
          </w:tcPr>
          <w:p w14:paraId="04F4689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33.15%</w:t>
            </w:r>
          </w:p>
        </w:tc>
        <w:tc>
          <w:tcPr>
            <w:tcW w:w="313" w:type="pct"/>
            <w:tcBorders>
              <w:top w:val="nil"/>
              <w:left w:val="nil"/>
              <w:bottom w:val="nil"/>
              <w:right w:val="nil"/>
            </w:tcBorders>
            <w:shd w:val="clear" w:color="auto" w:fill="auto"/>
            <w:noWrap/>
            <w:vAlign w:val="bottom"/>
            <w:hideMark/>
          </w:tcPr>
          <w:p w14:paraId="2F5DFDB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23.35%</w:t>
            </w:r>
          </w:p>
        </w:tc>
        <w:tc>
          <w:tcPr>
            <w:tcW w:w="311" w:type="pct"/>
            <w:tcBorders>
              <w:top w:val="nil"/>
              <w:left w:val="nil"/>
              <w:bottom w:val="nil"/>
              <w:right w:val="nil"/>
            </w:tcBorders>
            <w:shd w:val="clear" w:color="auto" w:fill="auto"/>
            <w:noWrap/>
            <w:vAlign w:val="bottom"/>
            <w:hideMark/>
          </w:tcPr>
          <w:p w14:paraId="43DB358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39.64%</w:t>
            </w:r>
          </w:p>
        </w:tc>
        <w:tc>
          <w:tcPr>
            <w:tcW w:w="313" w:type="pct"/>
            <w:tcBorders>
              <w:top w:val="nil"/>
              <w:left w:val="nil"/>
              <w:bottom w:val="nil"/>
              <w:right w:val="nil"/>
            </w:tcBorders>
            <w:shd w:val="clear" w:color="auto" w:fill="auto"/>
            <w:noWrap/>
            <w:vAlign w:val="bottom"/>
            <w:hideMark/>
          </w:tcPr>
          <w:p w14:paraId="4BA1C3B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24.18%</w:t>
            </w:r>
          </w:p>
        </w:tc>
        <w:tc>
          <w:tcPr>
            <w:tcW w:w="311" w:type="pct"/>
            <w:tcBorders>
              <w:top w:val="nil"/>
              <w:left w:val="nil"/>
              <w:bottom w:val="nil"/>
              <w:right w:val="nil"/>
            </w:tcBorders>
            <w:shd w:val="clear" w:color="auto" w:fill="auto"/>
            <w:noWrap/>
            <w:vAlign w:val="bottom"/>
            <w:hideMark/>
          </w:tcPr>
          <w:p w14:paraId="17DE932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32.38%</w:t>
            </w:r>
          </w:p>
        </w:tc>
        <w:tc>
          <w:tcPr>
            <w:tcW w:w="313" w:type="pct"/>
            <w:tcBorders>
              <w:top w:val="nil"/>
              <w:left w:val="nil"/>
              <w:bottom w:val="nil"/>
              <w:right w:val="nil"/>
            </w:tcBorders>
            <w:shd w:val="clear" w:color="auto" w:fill="auto"/>
            <w:noWrap/>
            <w:vAlign w:val="bottom"/>
            <w:hideMark/>
          </w:tcPr>
          <w:p w14:paraId="50C1390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20.33%</w:t>
            </w:r>
          </w:p>
        </w:tc>
        <w:tc>
          <w:tcPr>
            <w:tcW w:w="311" w:type="pct"/>
            <w:tcBorders>
              <w:top w:val="nil"/>
              <w:left w:val="nil"/>
              <w:bottom w:val="nil"/>
              <w:right w:val="nil"/>
            </w:tcBorders>
            <w:shd w:val="clear" w:color="auto" w:fill="auto"/>
            <w:noWrap/>
            <w:vAlign w:val="bottom"/>
            <w:hideMark/>
          </w:tcPr>
          <w:p w14:paraId="1FB5C24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28.71%</w:t>
            </w:r>
          </w:p>
        </w:tc>
        <w:tc>
          <w:tcPr>
            <w:tcW w:w="313" w:type="pct"/>
            <w:tcBorders>
              <w:top w:val="nil"/>
              <w:left w:val="nil"/>
              <w:bottom w:val="nil"/>
              <w:right w:val="nil"/>
            </w:tcBorders>
            <w:shd w:val="clear" w:color="auto" w:fill="auto"/>
            <w:noWrap/>
            <w:vAlign w:val="bottom"/>
            <w:hideMark/>
          </w:tcPr>
          <w:p w14:paraId="1AEAAD2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11.25%</w:t>
            </w:r>
          </w:p>
        </w:tc>
        <w:tc>
          <w:tcPr>
            <w:tcW w:w="311" w:type="pct"/>
            <w:tcBorders>
              <w:top w:val="nil"/>
              <w:left w:val="nil"/>
              <w:bottom w:val="nil"/>
              <w:right w:val="nil"/>
            </w:tcBorders>
            <w:shd w:val="clear" w:color="auto" w:fill="auto"/>
            <w:noWrap/>
            <w:vAlign w:val="bottom"/>
            <w:hideMark/>
          </w:tcPr>
          <w:p w14:paraId="3801941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32.45%</w:t>
            </w:r>
          </w:p>
        </w:tc>
        <w:tc>
          <w:tcPr>
            <w:tcW w:w="313" w:type="pct"/>
            <w:tcBorders>
              <w:top w:val="nil"/>
              <w:left w:val="nil"/>
              <w:bottom w:val="nil"/>
              <w:right w:val="nil"/>
            </w:tcBorders>
            <w:shd w:val="clear" w:color="auto" w:fill="auto"/>
            <w:noWrap/>
            <w:vAlign w:val="bottom"/>
            <w:hideMark/>
          </w:tcPr>
          <w:p w14:paraId="2F9A6DC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13.95%</w:t>
            </w:r>
          </w:p>
        </w:tc>
        <w:tc>
          <w:tcPr>
            <w:tcW w:w="311" w:type="pct"/>
            <w:tcBorders>
              <w:top w:val="nil"/>
              <w:left w:val="nil"/>
              <w:bottom w:val="nil"/>
              <w:right w:val="nil"/>
            </w:tcBorders>
            <w:shd w:val="clear" w:color="auto" w:fill="auto"/>
            <w:noWrap/>
            <w:vAlign w:val="bottom"/>
            <w:hideMark/>
          </w:tcPr>
          <w:p w14:paraId="5271383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37.61%</w:t>
            </w:r>
          </w:p>
        </w:tc>
      </w:tr>
      <w:tr w:rsidR="001F4B9D" w:rsidRPr="001F4B9D" w14:paraId="73A897E6" w14:textId="77777777" w:rsidTr="001F4B9D">
        <w:trPr>
          <w:trHeight w:val="292"/>
        </w:trPr>
        <w:tc>
          <w:tcPr>
            <w:tcW w:w="1252" w:type="pct"/>
            <w:tcBorders>
              <w:top w:val="nil"/>
              <w:left w:val="nil"/>
              <w:bottom w:val="nil"/>
              <w:right w:val="nil"/>
            </w:tcBorders>
            <w:shd w:val="clear" w:color="auto" w:fill="auto"/>
            <w:noWrap/>
            <w:vAlign w:val="bottom"/>
            <w:hideMark/>
          </w:tcPr>
          <w:p w14:paraId="2BCA64FB"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Small</w:t>
            </w:r>
          </w:p>
        </w:tc>
        <w:tc>
          <w:tcPr>
            <w:tcW w:w="313" w:type="pct"/>
            <w:tcBorders>
              <w:top w:val="nil"/>
              <w:left w:val="nil"/>
              <w:bottom w:val="nil"/>
              <w:right w:val="nil"/>
            </w:tcBorders>
            <w:shd w:val="clear" w:color="auto" w:fill="auto"/>
            <w:noWrap/>
            <w:vAlign w:val="bottom"/>
            <w:hideMark/>
          </w:tcPr>
          <w:p w14:paraId="0E90BD8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1.84%</w:t>
            </w:r>
          </w:p>
        </w:tc>
        <w:tc>
          <w:tcPr>
            <w:tcW w:w="311" w:type="pct"/>
            <w:tcBorders>
              <w:top w:val="nil"/>
              <w:left w:val="nil"/>
              <w:bottom w:val="nil"/>
              <w:right w:val="nil"/>
            </w:tcBorders>
            <w:shd w:val="clear" w:color="auto" w:fill="auto"/>
            <w:noWrap/>
            <w:vAlign w:val="bottom"/>
            <w:hideMark/>
          </w:tcPr>
          <w:p w14:paraId="61C40E2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35.63%</w:t>
            </w:r>
          </w:p>
        </w:tc>
        <w:tc>
          <w:tcPr>
            <w:tcW w:w="313" w:type="pct"/>
            <w:tcBorders>
              <w:top w:val="nil"/>
              <w:left w:val="nil"/>
              <w:bottom w:val="nil"/>
              <w:right w:val="nil"/>
            </w:tcBorders>
            <w:shd w:val="clear" w:color="auto" w:fill="auto"/>
            <w:noWrap/>
            <w:vAlign w:val="bottom"/>
            <w:hideMark/>
          </w:tcPr>
          <w:p w14:paraId="395EEE4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13.20%</w:t>
            </w:r>
          </w:p>
        </w:tc>
        <w:tc>
          <w:tcPr>
            <w:tcW w:w="311" w:type="pct"/>
            <w:tcBorders>
              <w:top w:val="nil"/>
              <w:left w:val="nil"/>
              <w:bottom w:val="nil"/>
              <w:right w:val="nil"/>
            </w:tcBorders>
            <w:shd w:val="clear" w:color="auto" w:fill="auto"/>
            <w:noWrap/>
            <w:vAlign w:val="bottom"/>
            <w:hideMark/>
          </w:tcPr>
          <w:p w14:paraId="09E77E3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27.52%</w:t>
            </w:r>
          </w:p>
        </w:tc>
        <w:tc>
          <w:tcPr>
            <w:tcW w:w="313" w:type="pct"/>
            <w:tcBorders>
              <w:top w:val="nil"/>
              <w:left w:val="nil"/>
              <w:bottom w:val="nil"/>
              <w:right w:val="nil"/>
            </w:tcBorders>
            <w:shd w:val="clear" w:color="auto" w:fill="auto"/>
            <w:noWrap/>
            <w:vAlign w:val="bottom"/>
            <w:hideMark/>
          </w:tcPr>
          <w:p w14:paraId="10E20A2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1.08%</w:t>
            </w:r>
          </w:p>
        </w:tc>
        <w:tc>
          <w:tcPr>
            <w:tcW w:w="311" w:type="pct"/>
            <w:tcBorders>
              <w:top w:val="nil"/>
              <w:left w:val="nil"/>
              <w:bottom w:val="nil"/>
              <w:right w:val="nil"/>
            </w:tcBorders>
            <w:shd w:val="clear" w:color="auto" w:fill="auto"/>
            <w:noWrap/>
            <w:vAlign w:val="bottom"/>
            <w:hideMark/>
          </w:tcPr>
          <w:p w14:paraId="4AAD466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40.24%</w:t>
            </w:r>
          </w:p>
        </w:tc>
        <w:tc>
          <w:tcPr>
            <w:tcW w:w="313" w:type="pct"/>
            <w:tcBorders>
              <w:top w:val="nil"/>
              <w:left w:val="nil"/>
              <w:bottom w:val="nil"/>
              <w:right w:val="nil"/>
            </w:tcBorders>
            <w:shd w:val="clear" w:color="auto" w:fill="auto"/>
            <w:noWrap/>
            <w:vAlign w:val="bottom"/>
            <w:hideMark/>
          </w:tcPr>
          <w:p w14:paraId="7472A00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7.82%</w:t>
            </w:r>
          </w:p>
        </w:tc>
        <w:tc>
          <w:tcPr>
            <w:tcW w:w="311" w:type="pct"/>
            <w:tcBorders>
              <w:top w:val="nil"/>
              <w:left w:val="nil"/>
              <w:bottom w:val="nil"/>
              <w:right w:val="nil"/>
            </w:tcBorders>
            <w:shd w:val="clear" w:color="auto" w:fill="auto"/>
            <w:noWrap/>
            <w:vAlign w:val="bottom"/>
            <w:hideMark/>
          </w:tcPr>
          <w:p w14:paraId="6C7218B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44.83%</w:t>
            </w:r>
          </w:p>
        </w:tc>
        <w:tc>
          <w:tcPr>
            <w:tcW w:w="313" w:type="pct"/>
            <w:tcBorders>
              <w:top w:val="nil"/>
              <w:left w:val="nil"/>
              <w:bottom w:val="nil"/>
              <w:right w:val="nil"/>
            </w:tcBorders>
            <w:shd w:val="clear" w:color="auto" w:fill="auto"/>
            <w:noWrap/>
            <w:vAlign w:val="bottom"/>
            <w:hideMark/>
          </w:tcPr>
          <w:p w14:paraId="702BEF9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-1.38%</w:t>
            </w:r>
          </w:p>
        </w:tc>
        <w:tc>
          <w:tcPr>
            <w:tcW w:w="311" w:type="pct"/>
            <w:tcBorders>
              <w:top w:val="nil"/>
              <w:left w:val="nil"/>
              <w:bottom w:val="nil"/>
              <w:right w:val="nil"/>
            </w:tcBorders>
            <w:shd w:val="clear" w:color="auto" w:fill="auto"/>
            <w:noWrap/>
            <w:vAlign w:val="bottom"/>
            <w:hideMark/>
          </w:tcPr>
          <w:p w14:paraId="6093411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30.77%</w:t>
            </w:r>
          </w:p>
        </w:tc>
        <w:tc>
          <w:tcPr>
            <w:tcW w:w="313" w:type="pct"/>
            <w:tcBorders>
              <w:top w:val="nil"/>
              <w:left w:val="nil"/>
              <w:bottom w:val="nil"/>
              <w:right w:val="nil"/>
            </w:tcBorders>
            <w:shd w:val="clear" w:color="auto" w:fill="auto"/>
            <w:noWrap/>
            <w:vAlign w:val="bottom"/>
            <w:hideMark/>
          </w:tcPr>
          <w:p w14:paraId="0C358D2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-2.00%</w:t>
            </w:r>
          </w:p>
        </w:tc>
        <w:tc>
          <w:tcPr>
            <w:tcW w:w="311" w:type="pct"/>
            <w:tcBorders>
              <w:top w:val="nil"/>
              <w:left w:val="nil"/>
              <w:bottom w:val="nil"/>
              <w:right w:val="nil"/>
            </w:tcBorders>
            <w:shd w:val="clear" w:color="auto" w:fill="auto"/>
            <w:noWrap/>
            <w:vAlign w:val="bottom"/>
            <w:hideMark/>
          </w:tcPr>
          <w:p w14:paraId="7D7459D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32.99%</w:t>
            </w:r>
          </w:p>
        </w:tc>
      </w:tr>
      <w:tr w:rsidR="001F4B9D" w:rsidRPr="001F4B9D" w14:paraId="4AC24A1D" w14:textId="77777777" w:rsidTr="001F4B9D">
        <w:trPr>
          <w:trHeight w:val="292"/>
        </w:trPr>
        <w:tc>
          <w:tcPr>
            <w:tcW w:w="1252" w:type="pct"/>
            <w:tcBorders>
              <w:top w:val="nil"/>
              <w:left w:val="nil"/>
              <w:bottom w:val="nil"/>
              <w:right w:val="nil"/>
            </w:tcBorders>
            <w:shd w:val="clear" w:color="auto" w:fill="auto"/>
            <w:noWrap/>
            <w:vAlign w:val="bottom"/>
            <w:hideMark/>
          </w:tcPr>
          <w:p w14:paraId="25D8554E"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R2</w:t>
            </w:r>
          </w:p>
        </w:tc>
        <w:tc>
          <w:tcPr>
            <w:tcW w:w="313" w:type="pct"/>
            <w:tcBorders>
              <w:top w:val="nil"/>
              <w:left w:val="nil"/>
              <w:bottom w:val="nil"/>
              <w:right w:val="nil"/>
            </w:tcBorders>
            <w:shd w:val="clear" w:color="auto" w:fill="auto"/>
            <w:noWrap/>
            <w:vAlign w:val="bottom"/>
            <w:hideMark/>
          </w:tcPr>
          <w:p w14:paraId="774D69D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0.902</w:t>
            </w:r>
          </w:p>
        </w:tc>
        <w:tc>
          <w:tcPr>
            <w:tcW w:w="311" w:type="pct"/>
            <w:tcBorders>
              <w:top w:val="nil"/>
              <w:left w:val="nil"/>
              <w:bottom w:val="nil"/>
              <w:right w:val="nil"/>
            </w:tcBorders>
            <w:shd w:val="clear" w:color="auto" w:fill="auto"/>
            <w:noWrap/>
            <w:vAlign w:val="bottom"/>
            <w:hideMark/>
          </w:tcPr>
          <w:p w14:paraId="6FE1B15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0.871</w:t>
            </w:r>
          </w:p>
        </w:tc>
        <w:tc>
          <w:tcPr>
            <w:tcW w:w="313" w:type="pct"/>
            <w:tcBorders>
              <w:top w:val="nil"/>
              <w:left w:val="nil"/>
              <w:bottom w:val="nil"/>
              <w:right w:val="nil"/>
            </w:tcBorders>
            <w:shd w:val="clear" w:color="auto" w:fill="auto"/>
            <w:noWrap/>
            <w:vAlign w:val="bottom"/>
            <w:hideMark/>
          </w:tcPr>
          <w:p w14:paraId="405D7A2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0.957</w:t>
            </w:r>
          </w:p>
        </w:tc>
        <w:tc>
          <w:tcPr>
            <w:tcW w:w="311" w:type="pct"/>
            <w:tcBorders>
              <w:top w:val="nil"/>
              <w:left w:val="nil"/>
              <w:bottom w:val="nil"/>
              <w:right w:val="nil"/>
            </w:tcBorders>
            <w:shd w:val="clear" w:color="auto" w:fill="auto"/>
            <w:noWrap/>
            <w:vAlign w:val="bottom"/>
            <w:hideMark/>
          </w:tcPr>
          <w:p w14:paraId="5D24D7E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0.902</w:t>
            </w:r>
          </w:p>
        </w:tc>
        <w:tc>
          <w:tcPr>
            <w:tcW w:w="313" w:type="pct"/>
            <w:tcBorders>
              <w:top w:val="nil"/>
              <w:left w:val="nil"/>
              <w:bottom w:val="nil"/>
              <w:right w:val="nil"/>
            </w:tcBorders>
            <w:shd w:val="clear" w:color="auto" w:fill="auto"/>
            <w:noWrap/>
            <w:vAlign w:val="bottom"/>
            <w:hideMark/>
          </w:tcPr>
          <w:p w14:paraId="697BA4A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0.929</w:t>
            </w:r>
          </w:p>
        </w:tc>
        <w:tc>
          <w:tcPr>
            <w:tcW w:w="311" w:type="pct"/>
            <w:tcBorders>
              <w:top w:val="nil"/>
              <w:left w:val="nil"/>
              <w:bottom w:val="nil"/>
              <w:right w:val="nil"/>
            </w:tcBorders>
            <w:shd w:val="clear" w:color="auto" w:fill="auto"/>
            <w:noWrap/>
            <w:vAlign w:val="bottom"/>
            <w:hideMark/>
          </w:tcPr>
          <w:p w14:paraId="4768EF3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0.880</w:t>
            </w:r>
          </w:p>
        </w:tc>
        <w:tc>
          <w:tcPr>
            <w:tcW w:w="313" w:type="pct"/>
            <w:tcBorders>
              <w:top w:val="nil"/>
              <w:left w:val="nil"/>
              <w:bottom w:val="nil"/>
              <w:right w:val="nil"/>
            </w:tcBorders>
            <w:shd w:val="clear" w:color="auto" w:fill="auto"/>
            <w:noWrap/>
            <w:vAlign w:val="bottom"/>
            <w:hideMark/>
          </w:tcPr>
          <w:p w14:paraId="1FAEDD1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0.902</w:t>
            </w:r>
          </w:p>
        </w:tc>
        <w:tc>
          <w:tcPr>
            <w:tcW w:w="311" w:type="pct"/>
            <w:tcBorders>
              <w:top w:val="nil"/>
              <w:left w:val="nil"/>
              <w:bottom w:val="nil"/>
              <w:right w:val="nil"/>
            </w:tcBorders>
            <w:shd w:val="clear" w:color="auto" w:fill="auto"/>
            <w:noWrap/>
            <w:vAlign w:val="bottom"/>
            <w:hideMark/>
          </w:tcPr>
          <w:p w14:paraId="126389D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0.820</w:t>
            </w:r>
          </w:p>
        </w:tc>
        <w:tc>
          <w:tcPr>
            <w:tcW w:w="313" w:type="pct"/>
            <w:tcBorders>
              <w:top w:val="nil"/>
              <w:left w:val="nil"/>
              <w:bottom w:val="nil"/>
              <w:right w:val="nil"/>
            </w:tcBorders>
            <w:shd w:val="clear" w:color="auto" w:fill="auto"/>
            <w:noWrap/>
            <w:vAlign w:val="bottom"/>
            <w:hideMark/>
          </w:tcPr>
          <w:p w14:paraId="0FAC3E4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0.902</w:t>
            </w:r>
          </w:p>
        </w:tc>
        <w:tc>
          <w:tcPr>
            <w:tcW w:w="311" w:type="pct"/>
            <w:tcBorders>
              <w:top w:val="nil"/>
              <w:left w:val="nil"/>
              <w:bottom w:val="nil"/>
              <w:right w:val="nil"/>
            </w:tcBorders>
            <w:shd w:val="clear" w:color="auto" w:fill="auto"/>
            <w:noWrap/>
            <w:vAlign w:val="bottom"/>
            <w:hideMark/>
          </w:tcPr>
          <w:p w14:paraId="5DDDC13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0.860</w:t>
            </w:r>
          </w:p>
        </w:tc>
        <w:tc>
          <w:tcPr>
            <w:tcW w:w="313" w:type="pct"/>
            <w:tcBorders>
              <w:top w:val="nil"/>
              <w:left w:val="nil"/>
              <w:bottom w:val="nil"/>
              <w:right w:val="nil"/>
            </w:tcBorders>
            <w:shd w:val="clear" w:color="auto" w:fill="auto"/>
            <w:noWrap/>
            <w:vAlign w:val="bottom"/>
            <w:hideMark/>
          </w:tcPr>
          <w:p w14:paraId="1F4B621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0.901</w:t>
            </w:r>
          </w:p>
        </w:tc>
        <w:tc>
          <w:tcPr>
            <w:tcW w:w="311" w:type="pct"/>
            <w:tcBorders>
              <w:top w:val="nil"/>
              <w:left w:val="nil"/>
              <w:bottom w:val="nil"/>
              <w:right w:val="nil"/>
            </w:tcBorders>
            <w:shd w:val="clear" w:color="auto" w:fill="auto"/>
            <w:noWrap/>
            <w:vAlign w:val="bottom"/>
            <w:hideMark/>
          </w:tcPr>
          <w:p w14:paraId="29FF85F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0.880</w:t>
            </w:r>
          </w:p>
        </w:tc>
      </w:tr>
      <w:tr w:rsidR="001F4B9D" w:rsidRPr="001F4B9D" w14:paraId="4F1DC680" w14:textId="77777777" w:rsidTr="001F4B9D">
        <w:trPr>
          <w:trHeight w:val="292"/>
        </w:trPr>
        <w:tc>
          <w:tcPr>
            <w:tcW w:w="1252" w:type="pct"/>
            <w:tcBorders>
              <w:top w:val="nil"/>
              <w:left w:val="nil"/>
              <w:bottom w:val="nil"/>
              <w:right w:val="nil"/>
            </w:tcBorders>
            <w:shd w:val="clear" w:color="auto" w:fill="auto"/>
            <w:noWrap/>
            <w:vAlign w:val="bottom"/>
            <w:hideMark/>
          </w:tcPr>
          <w:p w14:paraId="1AA21307"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Tracking Error</w:t>
            </w:r>
          </w:p>
        </w:tc>
        <w:tc>
          <w:tcPr>
            <w:tcW w:w="313" w:type="pct"/>
            <w:tcBorders>
              <w:top w:val="nil"/>
              <w:left w:val="nil"/>
              <w:bottom w:val="nil"/>
              <w:right w:val="nil"/>
            </w:tcBorders>
            <w:shd w:val="clear" w:color="auto" w:fill="auto"/>
            <w:noWrap/>
            <w:vAlign w:val="bottom"/>
            <w:hideMark/>
          </w:tcPr>
          <w:p w14:paraId="56C0BAE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0.61%</w:t>
            </w:r>
          </w:p>
        </w:tc>
        <w:tc>
          <w:tcPr>
            <w:tcW w:w="311" w:type="pct"/>
            <w:tcBorders>
              <w:top w:val="nil"/>
              <w:left w:val="nil"/>
              <w:bottom w:val="nil"/>
              <w:right w:val="nil"/>
            </w:tcBorders>
            <w:shd w:val="clear" w:color="auto" w:fill="auto"/>
            <w:noWrap/>
            <w:vAlign w:val="bottom"/>
            <w:hideMark/>
          </w:tcPr>
          <w:p w14:paraId="3ACDFA3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0.40%</w:t>
            </w:r>
          </w:p>
        </w:tc>
        <w:tc>
          <w:tcPr>
            <w:tcW w:w="313" w:type="pct"/>
            <w:tcBorders>
              <w:top w:val="nil"/>
              <w:left w:val="nil"/>
              <w:bottom w:val="nil"/>
              <w:right w:val="nil"/>
            </w:tcBorders>
            <w:shd w:val="clear" w:color="auto" w:fill="auto"/>
            <w:noWrap/>
            <w:vAlign w:val="bottom"/>
            <w:hideMark/>
          </w:tcPr>
          <w:p w14:paraId="0B04FDD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0.68%</w:t>
            </w:r>
          </w:p>
        </w:tc>
        <w:tc>
          <w:tcPr>
            <w:tcW w:w="311" w:type="pct"/>
            <w:tcBorders>
              <w:top w:val="nil"/>
              <w:left w:val="nil"/>
              <w:bottom w:val="nil"/>
              <w:right w:val="nil"/>
            </w:tcBorders>
            <w:shd w:val="clear" w:color="auto" w:fill="auto"/>
            <w:noWrap/>
            <w:vAlign w:val="bottom"/>
            <w:hideMark/>
          </w:tcPr>
          <w:p w14:paraId="598A6C6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0.86%</w:t>
            </w:r>
          </w:p>
        </w:tc>
        <w:tc>
          <w:tcPr>
            <w:tcW w:w="313" w:type="pct"/>
            <w:tcBorders>
              <w:top w:val="nil"/>
              <w:left w:val="nil"/>
              <w:bottom w:val="nil"/>
              <w:right w:val="nil"/>
            </w:tcBorders>
            <w:shd w:val="clear" w:color="auto" w:fill="auto"/>
            <w:noWrap/>
            <w:vAlign w:val="bottom"/>
            <w:hideMark/>
          </w:tcPr>
          <w:p w14:paraId="2E6E9D9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0.34%</w:t>
            </w:r>
          </w:p>
        </w:tc>
        <w:tc>
          <w:tcPr>
            <w:tcW w:w="311" w:type="pct"/>
            <w:tcBorders>
              <w:top w:val="nil"/>
              <w:left w:val="nil"/>
              <w:bottom w:val="nil"/>
              <w:right w:val="nil"/>
            </w:tcBorders>
            <w:shd w:val="clear" w:color="auto" w:fill="auto"/>
            <w:noWrap/>
            <w:vAlign w:val="bottom"/>
            <w:hideMark/>
          </w:tcPr>
          <w:p w14:paraId="649F82D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0.73%</w:t>
            </w:r>
          </w:p>
        </w:tc>
        <w:tc>
          <w:tcPr>
            <w:tcW w:w="313" w:type="pct"/>
            <w:tcBorders>
              <w:top w:val="nil"/>
              <w:left w:val="nil"/>
              <w:bottom w:val="nil"/>
              <w:right w:val="nil"/>
            </w:tcBorders>
            <w:shd w:val="clear" w:color="auto" w:fill="auto"/>
            <w:noWrap/>
            <w:vAlign w:val="bottom"/>
            <w:hideMark/>
          </w:tcPr>
          <w:p w14:paraId="566B50A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0.45%</w:t>
            </w:r>
          </w:p>
        </w:tc>
        <w:tc>
          <w:tcPr>
            <w:tcW w:w="311" w:type="pct"/>
            <w:tcBorders>
              <w:top w:val="nil"/>
              <w:left w:val="nil"/>
              <w:bottom w:val="nil"/>
              <w:right w:val="nil"/>
            </w:tcBorders>
            <w:shd w:val="clear" w:color="auto" w:fill="auto"/>
            <w:noWrap/>
            <w:vAlign w:val="bottom"/>
            <w:hideMark/>
          </w:tcPr>
          <w:p w14:paraId="6E026C7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0.59%</w:t>
            </w:r>
          </w:p>
        </w:tc>
        <w:tc>
          <w:tcPr>
            <w:tcW w:w="313" w:type="pct"/>
            <w:tcBorders>
              <w:top w:val="nil"/>
              <w:left w:val="nil"/>
              <w:bottom w:val="nil"/>
              <w:right w:val="nil"/>
            </w:tcBorders>
            <w:shd w:val="clear" w:color="auto" w:fill="auto"/>
            <w:noWrap/>
            <w:vAlign w:val="bottom"/>
            <w:hideMark/>
          </w:tcPr>
          <w:p w14:paraId="6E06E6F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0.49%</w:t>
            </w:r>
          </w:p>
        </w:tc>
        <w:tc>
          <w:tcPr>
            <w:tcW w:w="311" w:type="pct"/>
            <w:tcBorders>
              <w:top w:val="nil"/>
              <w:left w:val="nil"/>
              <w:bottom w:val="nil"/>
              <w:right w:val="nil"/>
            </w:tcBorders>
            <w:shd w:val="clear" w:color="auto" w:fill="auto"/>
            <w:noWrap/>
            <w:vAlign w:val="bottom"/>
            <w:hideMark/>
          </w:tcPr>
          <w:p w14:paraId="19D8841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0.42%</w:t>
            </w:r>
          </w:p>
        </w:tc>
        <w:tc>
          <w:tcPr>
            <w:tcW w:w="313" w:type="pct"/>
            <w:tcBorders>
              <w:top w:val="nil"/>
              <w:left w:val="nil"/>
              <w:bottom w:val="nil"/>
              <w:right w:val="nil"/>
            </w:tcBorders>
            <w:shd w:val="clear" w:color="auto" w:fill="auto"/>
            <w:noWrap/>
            <w:vAlign w:val="bottom"/>
            <w:hideMark/>
          </w:tcPr>
          <w:p w14:paraId="2250AD9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0.82%</w:t>
            </w:r>
          </w:p>
        </w:tc>
        <w:tc>
          <w:tcPr>
            <w:tcW w:w="311" w:type="pct"/>
            <w:tcBorders>
              <w:top w:val="nil"/>
              <w:left w:val="nil"/>
              <w:bottom w:val="nil"/>
              <w:right w:val="nil"/>
            </w:tcBorders>
            <w:shd w:val="clear" w:color="auto" w:fill="auto"/>
            <w:noWrap/>
            <w:vAlign w:val="bottom"/>
            <w:hideMark/>
          </w:tcPr>
          <w:p w14:paraId="0C20530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0.57%</w:t>
            </w:r>
          </w:p>
        </w:tc>
      </w:tr>
      <w:tr w:rsidR="001F4B9D" w:rsidRPr="001F4B9D" w14:paraId="0A391C41" w14:textId="77777777" w:rsidTr="001F4B9D">
        <w:trPr>
          <w:trHeight w:val="292"/>
        </w:trPr>
        <w:tc>
          <w:tcPr>
            <w:tcW w:w="5000" w:type="pct"/>
            <w:gridSpan w:val="13"/>
            <w:tcBorders>
              <w:top w:val="nil"/>
              <w:left w:val="nil"/>
              <w:bottom w:val="nil"/>
              <w:right w:val="nil"/>
            </w:tcBorders>
            <w:shd w:val="clear" w:color="auto" w:fill="auto"/>
            <w:noWrap/>
            <w:vAlign w:val="bottom"/>
            <w:hideMark/>
          </w:tcPr>
          <w:p w14:paraId="4454F49E"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Factor Strategies</w:t>
            </w:r>
          </w:p>
        </w:tc>
      </w:tr>
      <w:tr w:rsidR="001F4B9D" w:rsidRPr="001F4B9D" w14:paraId="630F1C96" w14:textId="77777777" w:rsidTr="001F4B9D">
        <w:trPr>
          <w:trHeight w:val="292"/>
        </w:trPr>
        <w:tc>
          <w:tcPr>
            <w:tcW w:w="1252" w:type="pct"/>
            <w:tcBorders>
              <w:top w:val="nil"/>
              <w:left w:val="nil"/>
              <w:bottom w:val="nil"/>
              <w:right w:val="nil"/>
            </w:tcBorders>
            <w:shd w:val="clear" w:color="auto" w:fill="auto"/>
            <w:noWrap/>
            <w:vAlign w:val="bottom"/>
            <w:hideMark/>
          </w:tcPr>
          <w:p w14:paraId="4BFDAEB2"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Growth</w:t>
            </w:r>
          </w:p>
        </w:tc>
        <w:tc>
          <w:tcPr>
            <w:tcW w:w="313" w:type="pct"/>
            <w:tcBorders>
              <w:top w:val="nil"/>
              <w:left w:val="nil"/>
              <w:bottom w:val="nil"/>
              <w:right w:val="nil"/>
            </w:tcBorders>
            <w:shd w:val="clear" w:color="auto" w:fill="auto"/>
            <w:noWrap/>
            <w:vAlign w:val="bottom"/>
            <w:hideMark/>
          </w:tcPr>
          <w:p w14:paraId="5E23CEA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19.28%</w:t>
            </w:r>
          </w:p>
        </w:tc>
        <w:tc>
          <w:tcPr>
            <w:tcW w:w="311" w:type="pct"/>
            <w:tcBorders>
              <w:top w:val="nil"/>
              <w:left w:val="nil"/>
              <w:bottom w:val="nil"/>
              <w:right w:val="nil"/>
            </w:tcBorders>
            <w:shd w:val="clear" w:color="auto" w:fill="auto"/>
            <w:noWrap/>
            <w:vAlign w:val="bottom"/>
            <w:hideMark/>
          </w:tcPr>
          <w:p w14:paraId="1EBB133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52.25%</w:t>
            </w:r>
          </w:p>
        </w:tc>
        <w:tc>
          <w:tcPr>
            <w:tcW w:w="313" w:type="pct"/>
            <w:tcBorders>
              <w:top w:val="nil"/>
              <w:left w:val="nil"/>
              <w:bottom w:val="nil"/>
              <w:right w:val="nil"/>
            </w:tcBorders>
            <w:shd w:val="clear" w:color="auto" w:fill="auto"/>
            <w:noWrap/>
            <w:vAlign w:val="bottom"/>
            <w:hideMark/>
          </w:tcPr>
          <w:p w14:paraId="09DDE4B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13.60%</w:t>
            </w:r>
          </w:p>
        </w:tc>
        <w:tc>
          <w:tcPr>
            <w:tcW w:w="311" w:type="pct"/>
            <w:tcBorders>
              <w:top w:val="nil"/>
              <w:left w:val="nil"/>
              <w:bottom w:val="nil"/>
              <w:right w:val="nil"/>
            </w:tcBorders>
            <w:shd w:val="clear" w:color="auto" w:fill="auto"/>
            <w:noWrap/>
            <w:vAlign w:val="bottom"/>
            <w:hideMark/>
          </w:tcPr>
          <w:p w14:paraId="209B833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55.14%</w:t>
            </w:r>
          </w:p>
        </w:tc>
        <w:tc>
          <w:tcPr>
            <w:tcW w:w="313" w:type="pct"/>
            <w:tcBorders>
              <w:top w:val="nil"/>
              <w:left w:val="nil"/>
              <w:bottom w:val="nil"/>
              <w:right w:val="nil"/>
            </w:tcBorders>
            <w:shd w:val="clear" w:color="auto" w:fill="auto"/>
            <w:noWrap/>
            <w:vAlign w:val="bottom"/>
            <w:hideMark/>
          </w:tcPr>
          <w:p w14:paraId="0904B25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11.69%</w:t>
            </w:r>
          </w:p>
        </w:tc>
        <w:tc>
          <w:tcPr>
            <w:tcW w:w="311" w:type="pct"/>
            <w:tcBorders>
              <w:top w:val="nil"/>
              <w:left w:val="nil"/>
              <w:bottom w:val="nil"/>
              <w:right w:val="nil"/>
            </w:tcBorders>
            <w:shd w:val="clear" w:color="auto" w:fill="auto"/>
            <w:noWrap/>
            <w:vAlign w:val="bottom"/>
            <w:hideMark/>
          </w:tcPr>
          <w:p w14:paraId="143973C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45.46%</w:t>
            </w:r>
          </w:p>
        </w:tc>
        <w:tc>
          <w:tcPr>
            <w:tcW w:w="313" w:type="pct"/>
            <w:tcBorders>
              <w:top w:val="nil"/>
              <w:left w:val="nil"/>
              <w:bottom w:val="nil"/>
              <w:right w:val="nil"/>
            </w:tcBorders>
            <w:shd w:val="clear" w:color="auto" w:fill="auto"/>
            <w:noWrap/>
            <w:vAlign w:val="bottom"/>
            <w:hideMark/>
          </w:tcPr>
          <w:p w14:paraId="7B1BE63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21.84%</w:t>
            </w:r>
          </w:p>
        </w:tc>
        <w:tc>
          <w:tcPr>
            <w:tcW w:w="311" w:type="pct"/>
            <w:tcBorders>
              <w:top w:val="nil"/>
              <w:left w:val="nil"/>
              <w:bottom w:val="nil"/>
              <w:right w:val="nil"/>
            </w:tcBorders>
            <w:shd w:val="clear" w:color="auto" w:fill="auto"/>
            <w:noWrap/>
            <w:vAlign w:val="bottom"/>
            <w:hideMark/>
          </w:tcPr>
          <w:p w14:paraId="785BEA6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22.57%</w:t>
            </w:r>
          </w:p>
        </w:tc>
        <w:tc>
          <w:tcPr>
            <w:tcW w:w="313" w:type="pct"/>
            <w:tcBorders>
              <w:top w:val="nil"/>
              <w:left w:val="nil"/>
              <w:bottom w:val="nil"/>
              <w:right w:val="nil"/>
            </w:tcBorders>
            <w:shd w:val="clear" w:color="auto" w:fill="auto"/>
            <w:noWrap/>
            <w:vAlign w:val="bottom"/>
            <w:hideMark/>
          </w:tcPr>
          <w:p w14:paraId="793B64C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10.04%</w:t>
            </w:r>
          </w:p>
        </w:tc>
        <w:tc>
          <w:tcPr>
            <w:tcW w:w="311" w:type="pct"/>
            <w:tcBorders>
              <w:top w:val="nil"/>
              <w:left w:val="nil"/>
              <w:bottom w:val="nil"/>
              <w:right w:val="nil"/>
            </w:tcBorders>
            <w:shd w:val="clear" w:color="auto" w:fill="auto"/>
            <w:noWrap/>
            <w:vAlign w:val="bottom"/>
            <w:hideMark/>
          </w:tcPr>
          <w:p w14:paraId="7696028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43.37%</w:t>
            </w:r>
          </w:p>
        </w:tc>
        <w:tc>
          <w:tcPr>
            <w:tcW w:w="313" w:type="pct"/>
            <w:tcBorders>
              <w:top w:val="nil"/>
              <w:left w:val="nil"/>
              <w:bottom w:val="nil"/>
              <w:right w:val="nil"/>
            </w:tcBorders>
            <w:shd w:val="clear" w:color="auto" w:fill="auto"/>
            <w:noWrap/>
            <w:vAlign w:val="bottom"/>
            <w:hideMark/>
          </w:tcPr>
          <w:p w14:paraId="73EBE5F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15.65%</w:t>
            </w:r>
          </w:p>
        </w:tc>
        <w:tc>
          <w:tcPr>
            <w:tcW w:w="311" w:type="pct"/>
            <w:tcBorders>
              <w:top w:val="nil"/>
              <w:left w:val="nil"/>
              <w:bottom w:val="nil"/>
              <w:right w:val="nil"/>
            </w:tcBorders>
            <w:shd w:val="clear" w:color="auto" w:fill="auto"/>
            <w:noWrap/>
            <w:vAlign w:val="bottom"/>
            <w:hideMark/>
          </w:tcPr>
          <w:p w14:paraId="3BE1DE0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48.30%</w:t>
            </w:r>
          </w:p>
        </w:tc>
      </w:tr>
      <w:tr w:rsidR="001F4B9D" w:rsidRPr="001F4B9D" w14:paraId="60AB1C14" w14:textId="77777777" w:rsidTr="001F4B9D">
        <w:trPr>
          <w:trHeight w:val="292"/>
        </w:trPr>
        <w:tc>
          <w:tcPr>
            <w:tcW w:w="1252" w:type="pct"/>
            <w:tcBorders>
              <w:top w:val="nil"/>
              <w:left w:val="nil"/>
              <w:bottom w:val="nil"/>
              <w:right w:val="nil"/>
            </w:tcBorders>
            <w:shd w:val="clear" w:color="auto" w:fill="auto"/>
            <w:noWrap/>
            <w:vAlign w:val="bottom"/>
            <w:hideMark/>
          </w:tcPr>
          <w:p w14:paraId="55C89E3A"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Value</w:t>
            </w:r>
          </w:p>
        </w:tc>
        <w:tc>
          <w:tcPr>
            <w:tcW w:w="313" w:type="pct"/>
            <w:tcBorders>
              <w:top w:val="nil"/>
              <w:left w:val="nil"/>
              <w:bottom w:val="nil"/>
              <w:right w:val="nil"/>
            </w:tcBorders>
            <w:shd w:val="clear" w:color="auto" w:fill="auto"/>
            <w:noWrap/>
            <w:vAlign w:val="bottom"/>
            <w:hideMark/>
          </w:tcPr>
          <w:p w14:paraId="0C6AFAF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62.08%</w:t>
            </w:r>
          </w:p>
        </w:tc>
        <w:tc>
          <w:tcPr>
            <w:tcW w:w="311" w:type="pct"/>
            <w:tcBorders>
              <w:top w:val="nil"/>
              <w:left w:val="nil"/>
              <w:bottom w:val="nil"/>
              <w:right w:val="nil"/>
            </w:tcBorders>
            <w:shd w:val="clear" w:color="auto" w:fill="auto"/>
            <w:noWrap/>
            <w:vAlign w:val="bottom"/>
            <w:hideMark/>
          </w:tcPr>
          <w:p w14:paraId="7F2A1AF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22.86%</w:t>
            </w:r>
          </w:p>
        </w:tc>
        <w:tc>
          <w:tcPr>
            <w:tcW w:w="313" w:type="pct"/>
            <w:tcBorders>
              <w:top w:val="nil"/>
              <w:left w:val="nil"/>
              <w:bottom w:val="nil"/>
              <w:right w:val="nil"/>
            </w:tcBorders>
            <w:shd w:val="clear" w:color="auto" w:fill="auto"/>
            <w:noWrap/>
            <w:vAlign w:val="bottom"/>
            <w:hideMark/>
          </w:tcPr>
          <w:p w14:paraId="0D5A262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65.79%</w:t>
            </w:r>
          </w:p>
        </w:tc>
        <w:tc>
          <w:tcPr>
            <w:tcW w:w="311" w:type="pct"/>
            <w:tcBorders>
              <w:top w:val="nil"/>
              <w:left w:val="nil"/>
              <w:bottom w:val="nil"/>
              <w:right w:val="nil"/>
            </w:tcBorders>
            <w:shd w:val="clear" w:color="auto" w:fill="auto"/>
            <w:noWrap/>
            <w:vAlign w:val="bottom"/>
            <w:hideMark/>
          </w:tcPr>
          <w:p w14:paraId="5676F36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24.06%</w:t>
            </w:r>
          </w:p>
        </w:tc>
        <w:tc>
          <w:tcPr>
            <w:tcW w:w="313" w:type="pct"/>
            <w:tcBorders>
              <w:top w:val="nil"/>
              <w:left w:val="nil"/>
              <w:bottom w:val="nil"/>
              <w:right w:val="nil"/>
            </w:tcBorders>
            <w:shd w:val="clear" w:color="auto" w:fill="auto"/>
            <w:noWrap/>
            <w:vAlign w:val="bottom"/>
            <w:hideMark/>
          </w:tcPr>
          <w:p w14:paraId="2C64573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57.84%</w:t>
            </w:r>
          </w:p>
        </w:tc>
        <w:tc>
          <w:tcPr>
            <w:tcW w:w="311" w:type="pct"/>
            <w:tcBorders>
              <w:top w:val="nil"/>
              <w:left w:val="nil"/>
              <w:bottom w:val="nil"/>
              <w:right w:val="nil"/>
            </w:tcBorders>
            <w:shd w:val="clear" w:color="auto" w:fill="auto"/>
            <w:noWrap/>
            <w:vAlign w:val="bottom"/>
            <w:hideMark/>
          </w:tcPr>
          <w:p w14:paraId="2073881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15.21%</w:t>
            </w:r>
          </w:p>
        </w:tc>
        <w:tc>
          <w:tcPr>
            <w:tcW w:w="313" w:type="pct"/>
            <w:tcBorders>
              <w:top w:val="nil"/>
              <w:left w:val="nil"/>
              <w:bottom w:val="nil"/>
              <w:right w:val="nil"/>
            </w:tcBorders>
            <w:shd w:val="clear" w:color="auto" w:fill="auto"/>
            <w:noWrap/>
            <w:vAlign w:val="bottom"/>
            <w:hideMark/>
          </w:tcPr>
          <w:p w14:paraId="0B37C3E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43.29%</w:t>
            </w:r>
          </w:p>
        </w:tc>
        <w:tc>
          <w:tcPr>
            <w:tcW w:w="311" w:type="pct"/>
            <w:tcBorders>
              <w:top w:val="nil"/>
              <w:left w:val="nil"/>
              <w:bottom w:val="nil"/>
              <w:right w:val="nil"/>
            </w:tcBorders>
            <w:shd w:val="clear" w:color="auto" w:fill="auto"/>
            <w:noWrap/>
            <w:vAlign w:val="bottom"/>
            <w:hideMark/>
          </w:tcPr>
          <w:p w14:paraId="7563329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30.60%</w:t>
            </w:r>
          </w:p>
        </w:tc>
        <w:tc>
          <w:tcPr>
            <w:tcW w:w="313" w:type="pct"/>
            <w:tcBorders>
              <w:top w:val="nil"/>
              <w:left w:val="nil"/>
              <w:bottom w:val="nil"/>
              <w:right w:val="nil"/>
            </w:tcBorders>
            <w:shd w:val="clear" w:color="auto" w:fill="auto"/>
            <w:noWrap/>
            <w:vAlign w:val="bottom"/>
            <w:hideMark/>
          </w:tcPr>
          <w:p w14:paraId="79986AC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76.81%</w:t>
            </w:r>
          </w:p>
        </w:tc>
        <w:tc>
          <w:tcPr>
            <w:tcW w:w="311" w:type="pct"/>
            <w:tcBorders>
              <w:top w:val="nil"/>
              <w:left w:val="nil"/>
              <w:bottom w:val="nil"/>
              <w:right w:val="nil"/>
            </w:tcBorders>
            <w:shd w:val="clear" w:color="auto" w:fill="auto"/>
            <w:noWrap/>
            <w:vAlign w:val="bottom"/>
            <w:hideMark/>
          </w:tcPr>
          <w:p w14:paraId="6745167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19.72%</w:t>
            </w:r>
          </w:p>
        </w:tc>
        <w:tc>
          <w:tcPr>
            <w:tcW w:w="313" w:type="pct"/>
            <w:tcBorders>
              <w:top w:val="nil"/>
              <w:left w:val="nil"/>
              <w:bottom w:val="nil"/>
              <w:right w:val="nil"/>
            </w:tcBorders>
            <w:shd w:val="clear" w:color="auto" w:fill="auto"/>
            <w:noWrap/>
            <w:vAlign w:val="bottom"/>
            <w:hideMark/>
          </w:tcPr>
          <w:p w14:paraId="607B48F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47.78%</w:t>
            </w:r>
          </w:p>
        </w:tc>
        <w:tc>
          <w:tcPr>
            <w:tcW w:w="311" w:type="pct"/>
            <w:tcBorders>
              <w:top w:val="nil"/>
              <w:left w:val="nil"/>
              <w:bottom w:val="nil"/>
              <w:right w:val="nil"/>
            </w:tcBorders>
            <w:shd w:val="clear" w:color="auto" w:fill="auto"/>
            <w:noWrap/>
            <w:vAlign w:val="bottom"/>
            <w:hideMark/>
          </w:tcPr>
          <w:p w14:paraId="74AB09F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14.26%</w:t>
            </w:r>
          </w:p>
        </w:tc>
      </w:tr>
      <w:tr w:rsidR="001F4B9D" w:rsidRPr="001F4B9D" w14:paraId="36265C6C" w14:textId="77777777" w:rsidTr="001F4B9D">
        <w:trPr>
          <w:trHeight w:val="292"/>
        </w:trPr>
        <w:tc>
          <w:tcPr>
            <w:tcW w:w="1252" w:type="pct"/>
            <w:tcBorders>
              <w:top w:val="nil"/>
              <w:left w:val="nil"/>
              <w:bottom w:val="nil"/>
              <w:right w:val="nil"/>
            </w:tcBorders>
            <w:shd w:val="clear" w:color="auto" w:fill="auto"/>
            <w:noWrap/>
            <w:vAlign w:val="bottom"/>
            <w:hideMark/>
          </w:tcPr>
          <w:p w14:paraId="1F611E22"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Momentum</w:t>
            </w:r>
          </w:p>
        </w:tc>
        <w:tc>
          <w:tcPr>
            <w:tcW w:w="313" w:type="pct"/>
            <w:tcBorders>
              <w:top w:val="nil"/>
              <w:left w:val="nil"/>
              <w:bottom w:val="nil"/>
              <w:right w:val="nil"/>
            </w:tcBorders>
            <w:shd w:val="clear" w:color="auto" w:fill="auto"/>
            <w:noWrap/>
            <w:vAlign w:val="bottom"/>
            <w:hideMark/>
          </w:tcPr>
          <w:p w14:paraId="6BCDC34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18.64%</w:t>
            </w:r>
          </w:p>
        </w:tc>
        <w:tc>
          <w:tcPr>
            <w:tcW w:w="311" w:type="pct"/>
            <w:tcBorders>
              <w:top w:val="nil"/>
              <w:left w:val="nil"/>
              <w:bottom w:val="nil"/>
              <w:right w:val="nil"/>
            </w:tcBorders>
            <w:shd w:val="clear" w:color="auto" w:fill="auto"/>
            <w:noWrap/>
            <w:vAlign w:val="bottom"/>
            <w:hideMark/>
          </w:tcPr>
          <w:p w14:paraId="4FC9A58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24.89%</w:t>
            </w:r>
          </w:p>
        </w:tc>
        <w:tc>
          <w:tcPr>
            <w:tcW w:w="313" w:type="pct"/>
            <w:tcBorders>
              <w:top w:val="nil"/>
              <w:left w:val="nil"/>
              <w:bottom w:val="nil"/>
              <w:right w:val="nil"/>
            </w:tcBorders>
            <w:shd w:val="clear" w:color="auto" w:fill="auto"/>
            <w:noWrap/>
            <w:vAlign w:val="bottom"/>
            <w:hideMark/>
          </w:tcPr>
          <w:p w14:paraId="05E110E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20.61%</w:t>
            </w:r>
          </w:p>
        </w:tc>
        <w:tc>
          <w:tcPr>
            <w:tcW w:w="311" w:type="pct"/>
            <w:tcBorders>
              <w:top w:val="nil"/>
              <w:left w:val="nil"/>
              <w:bottom w:val="nil"/>
              <w:right w:val="nil"/>
            </w:tcBorders>
            <w:shd w:val="clear" w:color="auto" w:fill="auto"/>
            <w:noWrap/>
            <w:vAlign w:val="bottom"/>
            <w:hideMark/>
          </w:tcPr>
          <w:p w14:paraId="265333D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20.80%</w:t>
            </w:r>
          </w:p>
        </w:tc>
        <w:tc>
          <w:tcPr>
            <w:tcW w:w="313" w:type="pct"/>
            <w:tcBorders>
              <w:top w:val="nil"/>
              <w:left w:val="nil"/>
              <w:bottom w:val="nil"/>
              <w:right w:val="nil"/>
            </w:tcBorders>
            <w:shd w:val="clear" w:color="auto" w:fill="auto"/>
            <w:noWrap/>
            <w:vAlign w:val="bottom"/>
            <w:hideMark/>
          </w:tcPr>
          <w:p w14:paraId="60F937A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30.47%</w:t>
            </w:r>
          </w:p>
        </w:tc>
        <w:tc>
          <w:tcPr>
            <w:tcW w:w="311" w:type="pct"/>
            <w:tcBorders>
              <w:top w:val="nil"/>
              <w:left w:val="nil"/>
              <w:bottom w:val="nil"/>
              <w:right w:val="nil"/>
            </w:tcBorders>
            <w:shd w:val="clear" w:color="auto" w:fill="auto"/>
            <w:noWrap/>
            <w:vAlign w:val="bottom"/>
            <w:hideMark/>
          </w:tcPr>
          <w:p w14:paraId="53D87BA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39.33%</w:t>
            </w:r>
          </w:p>
        </w:tc>
        <w:tc>
          <w:tcPr>
            <w:tcW w:w="313" w:type="pct"/>
            <w:tcBorders>
              <w:top w:val="nil"/>
              <w:left w:val="nil"/>
              <w:bottom w:val="nil"/>
              <w:right w:val="nil"/>
            </w:tcBorders>
            <w:shd w:val="clear" w:color="auto" w:fill="auto"/>
            <w:noWrap/>
            <w:vAlign w:val="bottom"/>
            <w:hideMark/>
          </w:tcPr>
          <w:p w14:paraId="330D614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34.87%</w:t>
            </w:r>
          </w:p>
        </w:tc>
        <w:tc>
          <w:tcPr>
            <w:tcW w:w="311" w:type="pct"/>
            <w:tcBorders>
              <w:top w:val="nil"/>
              <w:left w:val="nil"/>
              <w:bottom w:val="nil"/>
              <w:right w:val="nil"/>
            </w:tcBorders>
            <w:shd w:val="clear" w:color="auto" w:fill="auto"/>
            <w:noWrap/>
            <w:vAlign w:val="bottom"/>
            <w:hideMark/>
          </w:tcPr>
          <w:p w14:paraId="235AD5C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46.83%</w:t>
            </w:r>
          </w:p>
        </w:tc>
        <w:tc>
          <w:tcPr>
            <w:tcW w:w="313" w:type="pct"/>
            <w:tcBorders>
              <w:top w:val="nil"/>
              <w:left w:val="nil"/>
              <w:bottom w:val="nil"/>
              <w:right w:val="nil"/>
            </w:tcBorders>
            <w:shd w:val="clear" w:color="auto" w:fill="auto"/>
            <w:noWrap/>
            <w:vAlign w:val="bottom"/>
            <w:hideMark/>
          </w:tcPr>
          <w:p w14:paraId="6EC861C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13.15%</w:t>
            </w:r>
          </w:p>
        </w:tc>
        <w:tc>
          <w:tcPr>
            <w:tcW w:w="311" w:type="pct"/>
            <w:tcBorders>
              <w:top w:val="nil"/>
              <w:left w:val="nil"/>
              <w:bottom w:val="nil"/>
              <w:right w:val="nil"/>
            </w:tcBorders>
            <w:shd w:val="clear" w:color="auto" w:fill="auto"/>
            <w:noWrap/>
            <w:vAlign w:val="bottom"/>
            <w:hideMark/>
          </w:tcPr>
          <w:p w14:paraId="185CD0E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36.91%</w:t>
            </w:r>
          </w:p>
        </w:tc>
        <w:tc>
          <w:tcPr>
            <w:tcW w:w="313" w:type="pct"/>
            <w:tcBorders>
              <w:top w:val="nil"/>
              <w:left w:val="nil"/>
              <w:bottom w:val="nil"/>
              <w:right w:val="nil"/>
            </w:tcBorders>
            <w:shd w:val="clear" w:color="auto" w:fill="auto"/>
            <w:noWrap/>
            <w:vAlign w:val="bottom"/>
            <w:hideMark/>
          </w:tcPr>
          <w:p w14:paraId="3BC65F0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36.57%</w:t>
            </w:r>
          </w:p>
        </w:tc>
        <w:tc>
          <w:tcPr>
            <w:tcW w:w="311" w:type="pct"/>
            <w:tcBorders>
              <w:top w:val="nil"/>
              <w:left w:val="nil"/>
              <w:bottom w:val="nil"/>
              <w:right w:val="nil"/>
            </w:tcBorders>
            <w:shd w:val="clear" w:color="auto" w:fill="auto"/>
            <w:noWrap/>
            <w:vAlign w:val="bottom"/>
            <w:hideMark/>
          </w:tcPr>
          <w:p w14:paraId="4438126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37.44%</w:t>
            </w:r>
          </w:p>
        </w:tc>
      </w:tr>
      <w:tr w:rsidR="001F4B9D" w:rsidRPr="001F4B9D" w14:paraId="6FCC71C4" w14:textId="77777777" w:rsidTr="001F4B9D">
        <w:trPr>
          <w:trHeight w:val="292"/>
        </w:trPr>
        <w:tc>
          <w:tcPr>
            <w:tcW w:w="1252" w:type="pct"/>
            <w:tcBorders>
              <w:top w:val="nil"/>
              <w:left w:val="nil"/>
              <w:bottom w:val="nil"/>
              <w:right w:val="nil"/>
            </w:tcBorders>
            <w:shd w:val="clear" w:color="auto" w:fill="auto"/>
            <w:noWrap/>
            <w:vAlign w:val="bottom"/>
            <w:hideMark/>
          </w:tcPr>
          <w:p w14:paraId="78B469C2"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R2</w:t>
            </w:r>
          </w:p>
        </w:tc>
        <w:tc>
          <w:tcPr>
            <w:tcW w:w="313" w:type="pct"/>
            <w:tcBorders>
              <w:top w:val="nil"/>
              <w:left w:val="nil"/>
              <w:bottom w:val="nil"/>
              <w:right w:val="nil"/>
            </w:tcBorders>
            <w:shd w:val="clear" w:color="auto" w:fill="auto"/>
            <w:noWrap/>
            <w:vAlign w:val="bottom"/>
            <w:hideMark/>
          </w:tcPr>
          <w:p w14:paraId="3C4A1F1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0.8294</w:t>
            </w:r>
          </w:p>
        </w:tc>
        <w:tc>
          <w:tcPr>
            <w:tcW w:w="311" w:type="pct"/>
            <w:tcBorders>
              <w:top w:val="nil"/>
              <w:left w:val="nil"/>
              <w:bottom w:val="nil"/>
              <w:right w:val="nil"/>
            </w:tcBorders>
            <w:shd w:val="clear" w:color="auto" w:fill="auto"/>
            <w:noWrap/>
            <w:vAlign w:val="bottom"/>
            <w:hideMark/>
          </w:tcPr>
          <w:p w14:paraId="02980A6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0.9092</w:t>
            </w:r>
          </w:p>
        </w:tc>
        <w:tc>
          <w:tcPr>
            <w:tcW w:w="313" w:type="pct"/>
            <w:tcBorders>
              <w:top w:val="nil"/>
              <w:left w:val="nil"/>
              <w:bottom w:val="nil"/>
              <w:right w:val="nil"/>
            </w:tcBorders>
            <w:shd w:val="clear" w:color="auto" w:fill="auto"/>
            <w:noWrap/>
            <w:vAlign w:val="bottom"/>
            <w:hideMark/>
          </w:tcPr>
          <w:p w14:paraId="1DD2EE3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0.8085</w:t>
            </w:r>
          </w:p>
        </w:tc>
        <w:tc>
          <w:tcPr>
            <w:tcW w:w="311" w:type="pct"/>
            <w:tcBorders>
              <w:top w:val="nil"/>
              <w:left w:val="nil"/>
              <w:bottom w:val="nil"/>
              <w:right w:val="nil"/>
            </w:tcBorders>
            <w:shd w:val="clear" w:color="auto" w:fill="auto"/>
            <w:noWrap/>
            <w:vAlign w:val="bottom"/>
            <w:hideMark/>
          </w:tcPr>
          <w:p w14:paraId="4009E96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0.8937</w:t>
            </w:r>
          </w:p>
        </w:tc>
        <w:tc>
          <w:tcPr>
            <w:tcW w:w="313" w:type="pct"/>
            <w:tcBorders>
              <w:top w:val="nil"/>
              <w:left w:val="nil"/>
              <w:bottom w:val="nil"/>
              <w:right w:val="nil"/>
            </w:tcBorders>
            <w:shd w:val="clear" w:color="auto" w:fill="auto"/>
            <w:noWrap/>
            <w:vAlign w:val="bottom"/>
            <w:hideMark/>
          </w:tcPr>
          <w:p w14:paraId="574B3BE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0.819</w:t>
            </w:r>
          </w:p>
        </w:tc>
        <w:tc>
          <w:tcPr>
            <w:tcW w:w="311" w:type="pct"/>
            <w:tcBorders>
              <w:top w:val="nil"/>
              <w:left w:val="nil"/>
              <w:bottom w:val="nil"/>
              <w:right w:val="nil"/>
            </w:tcBorders>
            <w:shd w:val="clear" w:color="auto" w:fill="auto"/>
            <w:noWrap/>
            <w:vAlign w:val="bottom"/>
            <w:hideMark/>
          </w:tcPr>
          <w:p w14:paraId="7C46DF7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0.9006</w:t>
            </w:r>
          </w:p>
        </w:tc>
        <w:tc>
          <w:tcPr>
            <w:tcW w:w="313" w:type="pct"/>
            <w:tcBorders>
              <w:top w:val="nil"/>
              <w:left w:val="nil"/>
              <w:bottom w:val="nil"/>
              <w:right w:val="nil"/>
            </w:tcBorders>
            <w:shd w:val="clear" w:color="auto" w:fill="auto"/>
            <w:noWrap/>
            <w:vAlign w:val="bottom"/>
            <w:hideMark/>
          </w:tcPr>
          <w:p w14:paraId="45F6E4E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0.818</w:t>
            </w:r>
          </w:p>
        </w:tc>
        <w:tc>
          <w:tcPr>
            <w:tcW w:w="311" w:type="pct"/>
            <w:tcBorders>
              <w:top w:val="nil"/>
              <w:left w:val="nil"/>
              <w:bottom w:val="nil"/>
              <w:right w:val="nil"/>
            </w:tcBorders>
            <w:shd w:val="clear" w:color="auto" w:fill="auto"/>
            <w:noWrap/>
            <w:vAlign w:val="bottom"/>
            <w:hideMark/>
          </w:tcPr>
          <w:p w14:paraId="2BB8D06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0.8113</w:t>
            </w:r>
          </w:p>
        </w:tc>
        <w:tc>
          <w:tcPr>
            <w:tcW w:w="313" w:type="pct"/>
            <w:tcBorders>
              <w:top w:val="nil"/>
              <w:left w:val="nil"/>
              <w:bottom w:val="nil"/>
              <w:right w:val="nil"/>
            </w:tcBorders>
            <w:shd w:val="clear" w:color="auto" w:fill="auto"/>
            <w:noWrap/>
            <w:vAlign w:val="bottom"/>
            <w:hideMark/>
          </w:tcPr>
          <w:p w14:paraId="6C1EFE3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0.8351</w:t>
            </w:r>
          </w:p>
        </w:tc>
        <w:tc>
          <w:tcPr>
            <w:tcW w:w="311" w:type="pct"/>
            <w:tcBorders>
              <w:top w:val="nil"/>
              <w:left w:val="nil"/>
              <w:bottom w:val="nil"/>
              <w:right w:val="nil"/>
            </w:tcBorders>
            <w:shd w:val="clear" w:color="auto" w:fill="auto"/>
            <w:noWrap/>
            <w:vAlign w:val="bottom"/>
            <w:hideMark/>
          </w:tcPr>
          <w:p w14:paraId="7C0C64A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0.8389</w:t>
            </w:r>
          </w:p>
        </w:tc>
        <w:tc>
          <w:tcPr>
            <w:tcW w:w="313" w:type="pct"/>
            <w:tcBorders>
              <w:top w:val="nil"/>
              <w:left w:val="nil"/>
              <w:bottom w:val="nil"/>
              <w:right w:val="nil"/>
            </w:tcBorders>
            <w:shd w:val="clear" w:color="auto" w:fill="auto"/>
            <w:noWrap/>
            <w:vAlign w:val="bottom"/>
            <w:hideMark/>
          </w:tcPr>
          <w:p w14:paraId="027ECD5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0.8588</w:t>
            </w:r>
          </w:p>
        </w:tc>
        <w:tc>
          <w:tcPr>
            <w:tcW w:w="311" w:type="pct"/>
            <w:tcBorders>
              <w:top w:val="nil"/>
              <w:left w:val="nil"/>
              <w:bottom w:val="nil"/>
              <w:right w:val="nil"/>
            </w:tcBorders>
            <w:shd w:val="clear" w:color="auto" w:fill="auto"/>
            <w:noWrap/>
            <w:vAlign w:val="bottom"/>
            <w:hideMark/>
          </w:tcPr>
          <w:p w14:paraId="5599292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0.8512</w:t>
            </w:r>
          </w:p>
        </w:tc>
      </w:tr>
      <w:tr w:rsidR="001F4B9D" w:rsidRPr="001F4B9D" w14:paraId="685FB8CD" w14:textId="77777777" w:rsidTr="001F4B9D">
        <w:trPr>
          <w:trHeight w:val="292"/>
        </w:trPr>
        <w:tc>
          <w:tcPr>
            <w:tcW w:w="1252" w:type="pct"/>
            <w:tcBorders>
              <w:top w:val="nil"/>
              <w:left w:val="nil"/>
              <w:bottom w:val="nil"/>
              <w:right w:val="nil"/>
            </w:tcBorders>
            <w:shd w:val="clear" w:color="auto" w:fill="auto"/>
            <w:noWrap/>
            <w:vAlign w:val="bottom"/>
            <w:hideMark/>
          </w:tcPr>
          <w:p w14:paraId="113570AE"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Tracking Error</w:t>
            </w:r>
          </w:p>
        </w:tc>
        <w:tc>
          <w:tcPr>
            <w:tcW w:w="313" w:type="pct"/>
            <w:tcBorders>
              <w:top w:val="nil"/>
              <w:left w:val="nil"/>
              <w:bottom w:val="nil"/>
              <w:right w:val="nil"/>
            </w:tcBorders>
            <w:shd w:val="clear" w:color="auto" w:fill="auto"/>
            <w:noWrap/>
            <w:vAlign w:val="bottom"/>
            <w:hideMark/>
          </w:tcPr>
          <w:p w14:paraId="4A307C1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0.005</w:t>
            </w:r>
          </w:p>
        </w:tc>
        <w:tc>
          <w:tcPr>
            <w:tcW w:w="311" w:type="pct"/>
            <w:tcBorders>
              <w:top w:val="nil"/>
              <w:left w:val="nil"/>
              <w:bottom w:val="nil"/>
              <w:right w:val="nil"/>
            </w:tcBorders>
            <w:shd w:val="clear" w:color="auto" w:fill="auto"/>
            <w:noWrap/>
            <w:vAlign w:val="bottom"/>
            <w:hideMark/>
          </w:tcPr>
          <w:p w14:paraId="4115064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0.001</w:t>
            </w:r>
          </w:p>
        </w:tc>
        <w:tc>
          <w:tcPr>
            <w:tcW w:w="313" w:type="pct"/>
            <w:tcBorders>
              <w:top w:val="nil"/>
              <w:left w:val="nil"/>
              <w:bottom w:val="nil"/>
              <w:right w:val="nil"/>
            </w:tcBorders>
            <w:shd w:val="clear" w:color="auto" w:fill="auto"/>
            <w:noWrap/>
            <w:vAlign w:val="bottom"/>
            <w:hideMark/>
          </w:tcPr>
          <w:p w14:paraId="5E9F753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0.008</w:t>
            </w:r>
          </w:p>
        </w:tc>
        <w:tc>
          <w:tcPr>
            <w:tcW w:w="311" w:type="pct"/>
            <w:tcBorders>
              <w:top w:val="nil"/>
              <w:left w:val="nil"/>
              <w:bottom w:val="nil"/>
              <w:right w:val="nil"/>
            </w:tcBorders>
            <w:shd w:val="clear" w:color="auto" w:fill="auto"/>
            <w:noWrap/>
            <w:vAlign w:val="bottom"/>
            <w:hideMark/>
          </w:tcPr>
          <w:p w14:paraId="265F9BA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0.0077</w:t>
            </w:r>
          </w:p>
        </w:tc>
        <w:tc>
          <w:tcPr>
            <w:tcW w:w="313" w:type="pct"/>
            <w:tcBorders>
              <w:top w:val="nil"/>
              <w:left w:val="nil"/>
              <w:bottom w:val="nil"/>
              <w:right w:val="nil"/>
            </w:tcBorders>
            <w:shd w:val="clear" w:color="auto" w:fill="auto"/>
            <w:noWrap/>
            <w:vAlign w:val="bottom"/>
            <w:hideMark/>
          </w:tcPr>
          <w:p w14:paraId="3CE296F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0.0014</w:t>
            </w:r>
          </w:p>
        </w:tc>
        <w:tc>
          <w:tcPr>
            <w:tcW w:w="311" w:type="pct"/>
            <w:tcBorders>
              <w:top w:val="nil"/>
              <w:left w:val="nil"/>
              <w:bottom w:val="nil"/>
              <w:right w:val="nil"/>
            </w:tcBorders>
            <w:shd w:val="clear" w:color="auto" w:fill="auto"/>
            <w:noWrap/>
            <w:vAlign w:val="bottom"/>
            <w:hideMark/>
          </w:tcPr>
          <w:p w14:paraId="5BC5E73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0.0044</w:t>
            </w:r>
          </w:p>
        </w:tc>
        <w:tc>
          <w:tcPr>
            <w:tcW w:w="313" w:type="pct"/>
            <w:tcBorders>
              <w:top w:val="nil"/>
              <w:left w:val="nil"/>
              <w:bottom w:val="nil"/>
              <w:right w:val="nil"/>
            </w:tcBorders>
            <w:shd w:val="clear" w:color="auto" w:fill="auto"/>
            <w:noWrap/>
            <w:vAlign w:val="bottom"/>
            <w:hideMark/>
          </w:tcPr>
          <w:p w14:paraId="5243AA8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0.0025</w:t>
            </w:r>
          </w:p>
        </w:tc>
        <w:tc>
          <w:tcPr>
            <w:tcW w:w="311" w:type="pct"/>
            <w:tcBorders>
              <w:top w:val="nil"/>
              <w:left w:val="nil"/>
              <w:bottom w:val="nil"/>
              <w:right w:val="nil"/>
            </w:tcBorders>
            <w:shd w:val="clear" w:color="auto" w:fill="auto"/>
            <w:noWrap/>
            <w:vAlign w:val="bottom"/>
            <w:hideMark/>
          </w:tcPr>
          <w:p w14:paraId="08F2DC4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0.0013</w:t>
            </w:r>
          </w:p>
        </w:tc>
        <w:tc>
          <w:tcPr>
            <w:tcW w:w="313" w:type="pct"/>
            <w:tcBorders>
              <w:top w:val="nil"/>
              <w:left w:val="nil"/>
              <w:bottom w:val="nil"/>
              <w:right w:val="nil"/>
            </w:tcBorders>
            <w:shd w:val="clear" w:color="auto" w:fill="auto"/>
            <w:noWrap/>
            <w:vAlign w:val="bottom"/>
            <w:hideMark/>
          </w:tcPr>
          <w:p w14:paraId="67FA8A8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0.0029</w:t>
            </w:r>
          </w:p>
        </w:tc>
        <w:tc>
          <w:tcPr>
            <w:tcW w:w="311" w:type="pct"/>
            <w:tcBorders>
              <w:top w:val="nil"/>
              <w:left w:val="nil"/>
              <w:bottom w:val="nil"/>
              <w:right w:val="nil"/>
            </w:tcBorders>
            <w:shd w:val="clear" w:color="auto" w:fill="auto"/>
            <w:noWrap/>
            <w:vAlign w:val="bottom"/>
            <w:hideMark/>
          </w:tcPr>
          <w:p w14:paraId="11A24AD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0.0069</w:t>
            </w:r>
          </w:p>
        </w:tc>
        <w:tc>
          <w:tcPr>
            <w:tcW w:w="313" w:type="pct"/>
            <w:tcBorders>
              <w:top w:val="nil"/>
              <w:left w:val="nil"/>
              <w:bottom w:val="nil"/>
              <w:right w:val="nil"/>
            </w:tcBorders>
            <w:shd w:val="clear" w:color="auto" w:fill="auto"/>
            <w:noWrap/>
            <w:vAlign w:val="bottom"/>
            <w:hideMark/>
          </w:tcPr>
          <w:p w14:paraId="1A1E117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0.0072</w:t>
            </w:r>
          </w:p>
        </w:tc>
        <w:tc>
          <w:tcPr>
            <w:tcW w:w="311" w:type="pct"/>
            <w:tcBorders>
              <w:top w:val="nil"/>
              <w:left w:val="nil"/>
              <w:bottom w:val="nil"/>
              <w:right w:val="nil"/>
            </w:tcBorders>
            <w:shd w:val="clear" w:color="auto" w:fill="auto"/>
            <w:noWrap/>
            <w:vAlign w:val="bottom"/>
            <w:hideMark/>
          </w:tcPr>
          <w:p w14:paraId="0E90E9A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0.0085</w:t>
            </w:r>
          </w:p>
        </w:tc>
      </w:tr>
      <w:tr w:rsidR="001F4B9D" w:rsidRPr="001F4B9D" w14:paraId="5ABA4CA7" w14:textId="77777777" w:rsidTr="001F4B9D">
        <w:trPr>
          <w:trHeight w:val="292"/>
        </w:trPr>
        <w:tc>
          <w:tcPr>
            <w:tcW w:w="5000" w:type="pct"/>
            <w:gridSpan w:val="13"/>
            <w:tcBorders>
              <w:top w:val="nil"/>
              <w:left w:val="nil"/>
              <w:bottom w:val="nil"/>
              <w:right w:val="nil"/>
            </w:tcBorders>
            <w:shd w:val="clear" w:color="auto" w:fill="auto"/>
            <w:noWrap/>
            <w:vAlign w:val="bottom"/>
            <w:hideMark/>
          </w:tcPr>
          <w:p w14:paraId="3B417F38"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Sector</w:t>
            </w:r>
          </w:p>
        </w:tc>
      </w:tr>
      <w:tr w:rsidR="001F4B9D" w:rsidRPr="001F4B9D" w14:paraId="72D6715F" w14:textId="77777777" w:rsidTr="001F4B9D">
        <w:trPr>
          <w:trHeight w:val="292"/>
        </w:trPr>
        <w:tc>
          <w:tcPr>
            <w:tcW w:w="1252" w:type="pct"/>
            <w:tcBorders>
              <w:top w:val="nil"/>
              <w:left w:val="nil"/>
              <w:bottom w:val="nil"/>
              <w:right w:val="nil"/>
            </w:tcBorders>
            <w:shd w:val="clear" w:color="auto" w:fill="auto"/>
            <w:noWrap/>
            <w:vAlign w:val="bottom"/>
            <w:hideMark/>
          </w:tcPr>
          <w:p w14:paraId="381B7D2F"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Manufacturing</w:t>
            </w:r>
          </w:p>
        </w:tc>
        <w:tc>
          <w:tcPr>
            <w:tcW w:w="313" w:type="pct"/>
            <w:tcBorders>
              <w:top w:val="nil"/>
              <w:left w:val="nil"/>
              <w:bottom w:val="nil"/>
              <w:right w:val="nil"/>
            </w:tcBorders>
            <w:shd w:val="clear" w:color="auto" w:fill="auto"/>
            <w:noWrap/>
            <w:vAlign w:val="bottom"/>
            <w:hideMark/>
          </w:tcPr>
          <w:p w14:paraId="119E37B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24.28%</w:t>
            </w:r>
          </w:p>
        </w:tc>
        <w:tc>
          <w:tcPr>
            <w:tcW w:w="311" w:type="pct"/>
            <w:tcBorders>
              <w:top w:val="nil"/>
              <w:left w:val="nil"/>
              <w:bottom w:val="nil"/>
              <w:right w:val="nil"/>
            </w:tcBorders>
            <w:shd w:val="clear" w:color="auto" w:fill="auto"/>
            <w:noWrap/>
            <w:vAlign w:val="bottom"/>
            <w:hideMark/>
          </w:tcPr>
          <w:p w14:paraId="7DCD01F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33.39%</w:t>
            </w:r>
          </w:p>
        </w:tc>
        <w:tc>
          <w:tcPr>
            <w:tcW w:w="313" w:type="pct"/>
            <w:tcBorders>
              <w:top w:val="nil"/>
              <w:left w:val="nil"/>
              <w:bottom w:val="nil"/>
              <w:right w:val="nil"/>
            </w:tcBorders>
            <w:shd w:val="clear" w:color="auto" w:fill="auto"/>
            <w:noWrap/>
            <w:vAlign w:val="bottom"/>
            <w:hideMark/>
          </w:tcPr>
          <w:p w14:paraId="3CD10BF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16.77%</w:t>
            </w:r>
          </w:p>
        </w:tc>
        <w:tc>
          <w:tcPr>
            <w:tcW w:w="311" w:type="pct"/>
            <w:tcBorders>
              <w:top w:val="nil"/>
              <w:left w:val="nil"/>
              <w:bottom w:val="nil"/>
              <w:right w:val="nil"/>
            </w:tcBorders>
            <w:shd w:val="clear" w:color="auto" w:fill="auto"/>
            <w:noWrap/>
            <w:vAlign w:val="bottom"/>
            <w:hideMark/>
          </w:tcPr>
          <w:p w14:paraId="3AC4D53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37.31%</w:t>
            </w:r>
          </w:p>
        </w:tc>
        <w:tc>
          <w:tcPr>
            <w:tcW w:w="313" w:type="pct"/>
            <w:tcBorders>
              <w:top w:val="nil"/>
              <w:left w:val="nil"/>
              <w:bottom w:val="nil"/>
              <w:right w:val="nil"/>
            </w:tcBorders>
            <w:shd w:val="clear" w:color="auto" w:fill="auto"/>
            <w:noWrap/>
            <w:vAlign w:val="bottom"/>
            <w:hideMark/>
          </w:tcPr>
          <w:p w14:paraId="2C34EB6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16.80%</w:t>
            </w:r>
          </w:p>
        </w:tc>
        <w:tc>
          <w:tcPr>
            <w:tcW w:w="311" w:type="pct"/>
            <w:tcBorders>
              <w:top w:val="nil"/>
              <w:left w:val="nil"/>
              <w:bottom w:val="nil"/>
              <w:right w:val="nil"/>
            </w:tcBorders>
            <w:shd w:val="clear" w:color="auto" w:fill="auto"/>
            <w:noWrap/>
            <w:vAlign w:val="bottom"/>
            <w:hideMark/>
          </w:tcPr>
          <w:p w14:paraId="0536FC3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26.74%</w:t>
            </w:r>
          </w:p>
        </w:tc>
        <w:tc>
          <w:tcPr>
            <w:tcW w:w="313" w:type="pct"/>
            <w:tcBorders>
              <w:top w:val="nil"/>
              <w:left w:val="nil"/>
              <w:bottom w:val="nil"/>
              <w:right w:val="nil"/>
            </w:tcBorders>
            <w:shd w:val="clear" w:color="auto" w:fill="auto"/>
            <w:noWrap/>
            <w:vAlign w:val="bottom"/>
            <w:hideMark/>
          </w:tcPr>
          <w:p w14:paraId="2976E69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9.77%</w:t>
            </w:r>
          </w:p>
        </w:tc>
        <w:tc>
          <w:tcPr>
            <w:tcW w:w="311" w:type="pct"/>
            <w:tcBorders>
              <w:top w:val="nil"/>
              <w:left w:val="nil"/>
              <w:bottom w:val="nil"/>
              <w:right w:val="nil"/>
            </w:tcBorders>
            <w:shd w:val="clear" w:color="auto" w:fill="auto"/>
            <w:noWrap/>
            <w:vAlign w:val="bottom"/>
            <w:hideMark/>
          </w:tcPr>
          <w:p w14:paraId="5178ADB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20.42%</w:t>
            </w:r>
          </w:p>
        </w:tc>
        <w:tc>
          <w:tcPr>
            <w:tcW w:w="313" w:type="pct"/>
            <w:tcBorders>
              <w:top w:val="nil"/>
              <w:left w:val="nil"/>
              <w:bottom w:val="nil"/>
              <w:right w:val="nil"/>
            </w:tcBorders>
            <w:shd w:val="clear" w:color="auto" w:fill="auto"/>
            <w:noWrap/>
            <w:vAlign w:val="bottom"/>
            <w:hideMark/>
          </w:tcPr>
          <w:p w14:paraId="1DADC35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11.60%</w:t>
            </w:r>
          </w:p>
        </w:tc>
        <w:tc>
          <w:tcPr>
            <w:tcW w:w="311" w:type="pct"/>
            <w:tcBorders>
              <w:top w:val="nil"/>
              <w:left w:val="nil"/>
              <w:bottom w:val="nil"/>
              <w:right w:val="nil"/>
            </w:tcBorders>
            <w:shd w:val="clear" w:color="auto" w:fill="auto"/>
            <w:noWrap/>
            <w:vAlign w:val="bottom"/>
            <w:hideMark/>
          </w:tcPr>
          <w:p w14:paraId="2E2BA35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23.69%</w:t>
            </w:r>
          </w:p>
        </w:tc>
        <w:tc>
          <w:tcPr>
            <w:tcW w:w="313" w:type="pct"/>
            <w:tcBorders>
              <w:top w:val="nil"/>
              <w:left w:val="nil"/>
              <w:bottom w:val="nil"/>
              <w:right w:val="nil"/>
            </w:tcBorders>
            <w:shd w:val="clear" w:color="auto" w:fill="auto"/>
            <w:noWrap/>
            <w:vAlign w:val="bottom"/>
            <w:hideMark/>
          </w:tcPr>
          <w:p w14:paraId="5B2720E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18.58%</w:t>
            </w:r>
          </w:p>
        </w:tc>
        <w:tc>
          <w:tcPr>
            <w:tcW w:w="311" w:type="pct"/>
            <w:tcBorders>
              <w:top w:val="nil"/>
              <w:left w:val="nil"/>
              <w:bottom w:val="nil"/>
              <w:right w:val="nil"/>
            </w:tcBorders>
            <w:shd w:val="clear" w:color="auto" w:fill="auto"/>
            <w:noWrap/>
            <w:vAlign w:val="bottom"/>
            <w:hideMark/>
          </w:tcPr>
          <w:p w14:paraId="0726B41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23.53%</w:t>
            </w:r>
          </w:p>
        </w:tc>
      </w:tr>
      <w:tr w:rsidR="001F4B9D" w:rsidRPr="001F4B9D" w14:paraId="1A9D189D" w14:textId="77777777" w:rsidTr="001F4B9D">
        <w:trPr>
          <w:trHeight w:val="292"/>
        </w:trPr>
        <w:tc>
          <w:tcPr>
            <w:tcW w:w="1252" w:type="pct"/>
            <w:tcBorders>
              <w:top w:val="nil"/>
              <w:left w:val="nil"/>
              <w:bottom w:val="nil"/>
              <w:right w:val="nil"/>
            </w:tcBorders>
            <w:shd w:val="clear" w:color="auto" w:fill="auto"/>
            <w:noWrap/>
            <w:vAlign w:val="bottom"/>
            <w:hideMark/>
          </w:tcPr>
          <w:p w14:paraId="27C8461F"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Utilities</w:t>
            </w:r>
          </w:p>
        </w:tc>
        <w:tc>
          <w:tcPr>
            <w:tcW w:w="313" w:type="pct"/>
            <w:tcBorders>
              <w:top w:val="nil"/>
              <w:left w:val="nil"/>
              <w:bottom w:val="nil"/>
              <w:right w:val="nil"/>
            </w:tcBorders>
            <w:shd w:val="clear" w:color="auto" w:fill="auto"/>
            <w:noWrap/>
            <w:vAlign w:val="bottom"/>
            <w:hideMark/>
          </w:tcPr>
          <w:p w14:paraId="4936C96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14.62%</w:t>
            </w:r>
          </w:p>
        </w:tc>
        <w:tc>
          <w:tcPr>
            <w:tcW w:w="311" w:type="pct"/>
            <w:tcBorders>
              <w:top w:val="nil"/>
              <w:left w:val="nil"/>
              <w:bottom w:val="nil"/>
              <w:right w:val="nil"/>
            </w:tcBorders>
            <w:shd w:val="clear" w:color="auto" w:fill="auto"/>
            <w:noWrap/>
            <w:vAlign w:val="bottom"/>
            <w:hideMark/>
          </w:tcPr>
          <w:p w14:paraId="55DA8DA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11.20%</w:t>
            </w:r>
          </w:p>
        </w:tc>
        <w:tc>
          <w:tcPr>
            <w:tcW w:w="313" w:type="pct"/>
            <w:tcBorders>
              <w:top w:val="nil"/>
              <w:left w:val="nil"/>
              <w:bottom w:val="nil"/>
              <w:right w:val="nil"/>
            </w:tcBorders>
            <w:shd w:val="clear" w:color="auto" w:fill="auto"/>
            <w:noWrap/>
            <w:vAlign w:val="bottom"/>
            <w:hideMark/>
          </w:tcPr>
          <w:p w14:paraId="3C7A045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11.84%</w:t>
            </w:r>
          </w:p>
        </w:tc>
        <w:tc>
          <w:tcPr>
            <w:tcW w:w="311" w:type="pct"/>
            <w:tcBorders>
              <w:top w:val="nil"/>
              <w:left w:val="nil"/>
              <w:bottom w:val="nil"/>
              <w:right w:val="nil"/>
            </w:tcBorders>
            <w:shd w:val="clear" w:color="auto" w:fill="auto"/>
            <w:noWrap/>
            <w:vAlign w:val="bottom"/>
            <w:hideMark/>
          </w:tcPr>
          <w:p w14:paraId="30050C9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11.55%</w:t>
            </w:r>
          </w:p>
        </w:tc>
        <w:tc>
          <w:tcPr>
            <w:tcW w:w="313" w:type="pct"/>
            <w:tcBorders>
              <w:top w:val="nil"/>
              <w:left w:val="nil"/>
              <w:bottom w:val="nil"/>
              <w:right w:val="nil"/>
            </w:tcBorders>
            <w:shd w:val="clear" w:color="auto" w:fill="auto"/>
            <w:noWrap/>
            <w:vAlign w:val="bottom"/>
            <w:hideMark/>
          </w:tcPr>
          <w:p w14:paraId="4CC0E34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21.39%</w:t>
            </w:r>
          </w:p>
        </w:tc>
        <w:tc>
          <w:tcPr>
            <w:tcW w:w="311" w:type="pct"/>
            <w:tcBorders>
              <w:top w:val="nil"/>
              <w:left w:val="nil"/>
              <w:bottom w:val="nil"/>
              <w:right w:val="nil"/>
            </w:tcBorders>
            <w:shd w:val="clear" w:color="auto" w:fill="auto"/>
            <w:noWrap/>
            <w:vAlign w:val="bottom"/>
            <w:hideMark/>
          </w:tcPr>
          <w:p w14:paraId="1EDC269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19.37%</w:t>
            </w:r>
          </w:p>
        </w:tc>
        <w:tc>
          <w:tcPr>
            <w:tcW w:w="313" w:type="pct"/>
            <w:tcBorders>
              <w:top w:val="nil"/>
              <w:left w:val="nil"/>
              <w:bottom w:val="nil"/>
              <w:right w:val="nil"/>
            </w:tcBorders>
            <w:shd w:val="clear" w:color="auto" w:fill="auto"/>
            <w:noWrap/>
            <w:vAlign w:val="bottom"/>
            <w:hideMark/>
          </w:tcPr>
          <w:p w14:paraId="7EC2064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22.16%</w:t>
            </w:r>
          </w:p>
        </w:tc>
        <w:tc>
          <w:tcPr>
            <w:tcW w:w="311" w:type="pct"/>
            <w:tcBorders>
              <w:top w:val="nil"/>
              <w:left w:val="nil"/>
              <w:bottom w:val="nil"/>
              <w:right w:val="nil"/>
            </w:tcBorders>
            <w:shd w:val="clear" w:color="auto" w:fill="auto"/>
            <w:noWrap/>
            <w:vAlign w:val="bottom"/>
            <w:hideMark/>
          </w:tcPr>
          <w:p w14:paraId="74771F2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19.99%</w:t>
            </w:r>
          </w:p>
        </w:tc>
        <w:tc>
          <w:tcPr>
            <w:tcW w:w="313" w:type="pct"/>
            <w:tcBorders>
              <w:top w:val="nil"/>
              <w:left w:val="nil"/>
              <w:bottom w:val="nil"/>
              <w:right w:val="nil"/>
            </w:tcBorders>
            <w:shd w:val="clear" w:color="auto" w:fill="auto"/>
            <w:noWrap/>
            <w:vAlign w:val="bottom"/>
            <w:hideMark/>
          </w:tcPr>
          <w:p w14:paraId="18F28A0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22.99%</w:t>
            </w:r>
          </w:p>
        </w:tc>
        <w:tc>
          <w:tcPr>
            <w:tcW w:w="311" w:type="pct"/>
            <w:tcBorders>
              <w:top w:val="nil"/>
              <w:left w:val="nil"/>
              <w:bottom w:val="nil"/>
              <w:right w:val="nil"/>
            </w:tcBorders>
            <w:shd w:val="clear" w:color="auto" w:fill="auto"/>
            <w:noWrap/>
            <w:vAlign w:val="bottom"/>
            <w:hideMark/>
          </w:tcPr>
          <w:p w14:paraId="2BA5582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21.38%</w:t>
            </w:r>
          </w:p>
        </w:tc>
        <w:tc>
          <w:tcPr>
            <w:tcW w:w="313" w:type="pct"/>
            <w:tcBorders>
              <w:top w:val="nil"/>
              <w:left w:val="nil"/>
              <w:bottom w:val="nil"/>
              <w:right w:val="nil"/>
            </w:tcBorders>
            <w:shd w:val="clear" w:color="auto" w:fill="auto"/>
            <w:noWrap/>
            <w:vAlign w:val="bottom"/>
            <w:hideMark/>
          </w:tcPr>
          <w:p w14:paraId="0133997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19.51%</w:t>
            </w:r>
          </w:p>
        </w:tc>
        <w:tc>
          <w:tcPr>
            <w:tcW w:w="311" w:type="pct"/>
            <w:tcBorders>
              <w:top w:val="nil"/>
              <w:left w:val="nil"/>
              <w:bottom w:val="nil"/>
              <w:right w:val="nil"/>
            </w:tcBorders>
            <w:shd w:val="clear" w:color="auto" w:fill="auto"/>
            <w:noWrap/>
            <w:vAlign w:val="bottom"/>
            <w:hideMark/>
          </w:tcPr>
          <w:p w14:paraId="33929CF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14.21%</w:t>
            </w:r>
          </w:p>
        </w:tc>
      </w:tr>
      <w:tr w:rsidR="001F4B9D" w:rsidRPr="001F4B9D" w14:paraId="5E604AE6" w14:textId="77777777" w:rsidTr="001F4B9D">
        <w:trPr>
          <w:trHeight w:val="292"/>
        </w:trPr>
        <w:tc>
          <w:tcPr>
            <w:tcW w:w="1252" w:type="pct"/>
            <w:tcBorders>
              <w:top w:val="nil"/>
              <w:left w:val="nil"/>
              <w:bottom w:val="nil"/>
              <w:right w:val="nil"/>
            </w:tcBorders>
            <w:shd w:val="clear" w:color="auto" w:fill="auto"/>
            <w:noWrap/>
            <w:vAlign w:val="bottom"/>
            <w:hideMark/>
          </w:tcPr>
          <w:p w14:paraId="17C5EC55"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Mining, Construction and Chemicals</w:t>
            </w:r>
          </w:p>
        </w:tc>
        <w:tc>
          <w:tcPr>
            <w:tcW w:w="313" w:type="pct"/>
            <w:tcBorders>
              <w:top w:val="nil"/>
              <w:left w:val="nil"/>
              <w:bottom w:val="nil"/>
              <w:right w:val="nil"/>
            </w:tcBorders>
            <w:shd w:val="clear" w:color="auto" w:fill="auto"/>
            <w:noWrap/>
            <w:vAlign w:val="bottom"/>
            <w:hideMark/>
          </w:tcPr>
          <w:p w14:paraId="1F0837E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9.85%</w:t>
            </w:r>
          </w:p>
        </w:tc>
        <w:tc>
          <w:tcPr>
            <w:tcW w:w="311" w:type="pct"/>
            <w:tcBorders>
              <w:top w:val="nil"/>
              <w:left w:val="nil"/>
              <w:bottom w:val="nil"/>
              <w:right w:val="nil"/>
            </w:tcBorders>
            <w:shd w:val="clear" w:color="auto" w:fill="auto"/>
            <w:noWrap/>
            <w:vAlign w:val="bottom"/>
            <w:hideMark/>
          </w:tcPr>
          <w:p w14:paraId="19568CC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18.34%</w:t>
            </w:r>
          </w:p>
        </w:tc>
        <w:tc>
          <w:tcPr>
            <w:tcW w:w="313" w:type="pct"/>
            <w:tcBorders>
              <w:top w:val="nil"/>
              <w:left w:val="nil"/>
              <w:bottom w:val="nil"/>
              <w:right w:val="nil"/>
            </w:tcBorders>
            <w:shd w:val="clear" w:color="auto" w:fill="auto"/>
            <w:noWrap/>
            <w:vAlign w:val="bottom"/>
            <w:hideMark/>
          </w:tcPr>
          <w:p w14:paraId="2862776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13.97%</w:t>
            </w:r>
          </w:p>
        </w:tc>
        <w:tc>
          <w:tcPr>
            <w:tcW w:w="311" w:type="pct"/>
            <w:tcBorders>
              <w:top w:val="nil"/>
              <w:left w:val="nil"/>
              <w:bottom w:val="nil"/>
              <w:right w:val="nil"/>
            </w:tcBorders>
            <w:shd w:val="clear" w:color="auto" w:fill="auto"/>
            <w:noWrap/>
            <w:vAlign w:val="bottom"/>
            <w:hideMark/>
          </w:tcPr>
          <w:p w14:paraId="648C98B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10.05%</w:t>
            </w:r>
          </w:p>
        </w:tc>
        <w:tc>
          <w:tcPr>
            <w:tcW w:w="313" w:type="pct"/>
            <w:tcBorders>
              <w:top w:val="nil"/>
              <w:left w:val="nil"/>
              <w:bottom w:val="nil"/>
              <w:right w:val="nil"/>
            </w:tcBorders>
            <w:shd w:val="clear" w:color="auto" w:fill="auto"/>
            <w:noWrap/>
            <w:vAlign w:val="bottom"/>
            <w:hideMark/>
          </w:tcPr>
          <w:p w14:paraId="00CB1C8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17.69%</w:t>
            </w:r>
          </w:p>
        </w:tc>
        <w:tc>
          <w:tcPr>
            <w:tcW w:w="311" w:type="pct"/>
            <w:tcBorders>
              <w:top w:val="nil"/>
              <w:left w:val="nil"/>
              <w:bottom w:val="nil"/>
              <w:right w:val="nil"/>
            </w:tcBorders>
            <w:shd w:val="clear" w:color="auto" w:fill="auto"/>
            <w:noWrap/>
            <w:vAlign w:val="bottom"/>
            <w:hideMark/>
          </w:tcPr>
          <w:p w14:paraId="0B113A4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14.92%</w:t>
            </w:r>
          </w:p>
        </w:tc>
        <w:tc>
          <w:tcPr>
            <w:tcW w:w="313" w:type="pct"/>
            <w:tcBorders>
              <w:top w:val="nil"/>
              <w:left w:val="nil"/>
              <w:bottom w:val="nil"/>
              <w:right w:val="nil"/>
            </w:tcBorders>
            <w:shd w:val="clear" w:color="auto" w:fill="auto"/>
            <w:noWrap/>
            <w:vAlign w:val="bottom"/>
            <w:hideMark/>
          </w:tcPr>
          <w:p w14:paraId="2EF4D51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13.45%</w:t>
            </w:r>
          </w:p>
        </w:tc>
        <w:tc>
          <w:tcPr>
            <w:tcW w:w="311" w:type="pct"/>
            <w:tcBorders>
              <w:top w:val="nil"/>
              <w:left w:val="nil"/>
              <w:bottom w:val="nil"/>
              <w:right w:val="nil"/>
            </w:tcBorders>
            <w:shd w:val="clear" w:color="auto" w:fill="auto"/>
            <w:noWrap/>
            <w:vAlign w:val="bottom"/>
            <w:hideMark/>
          </w:tcPr>
          <w:p w14:paraId="019E990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7.82%</w:t>
            </w:r>
          </w:p>
        </w:tc>
        <w:tc>
          <w:tcPr>
            <w:tcW w:w="313" w:type="pct"/>
            <w:tcBorders>
              <w:top w:val="nil"/>
              <w:left w:val="nil"/>
              <w:bottom w:val="nil"/>
              <w:right w:val="nil"/>
            </w:tcBorders>
            <w:shd w:val="clear" w:color="auto" w:fill="auto"/>
            <w:noWrap/>
            <w:vAlign w:val="bottom"/>
            <w:hideMark/>
          </w:tcPr>
          <w:p w14:paraId="3C62357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14.08%</w:t>
            </w:r>
          </w:p>
        </w:tc>
        <w:tc>
          <w:tcPr>
            <w:tcW w:w="311" w:type="pct"/>
            <w:tcBorders>
              <w:top w:val="nil"/>
              <w:left w:val="nil"/>
              <w:bottom w:val="nil"/>
              <w:right w:val="nil"/>
            </w:tcBorders>
            <w:shd w:val="clear" w:color="auto" w:fill="auto"/>
            <w:noWrap/>
            <w:vAlign w:val="bottom"/>
            <w:hideMark/>
          </w:tcPr>
          <w:p w14:paraId="1EA9FF1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7.13%</w:t>
            </w:r>
          </w:p>
        </w:tc>
        <w:tc>
          <w:tcPr>
            <w:tcW w:w="313" w:type="pct"/>
            <w:tcBorders>
              <w:top w:val="nil"/>
              <w:left w:val="nil"/>
              <w:bottom w:val="nil"/>
              <w:right w:val="nil"/>
            </w:tcBorders>
            <w:shd w:val="clear" w:color="auto" w:fill="auto"/>
            <w:noWrap/>
            <w:vAlign w:val="bottom"/>
            <w:hideMark/>
          </w:tcPr>
          <w:p w14:paraId="7AAC15C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8.23%</w:t>
            </w:r>
          </w:p>
        </w:tc>
        <w:tc>
          <w:tcPr>
            <w:tcW w:w="311" w:type="pct"/>
            <w:tcBorders>
              <w:top w:val="nil"/>
              <w:left w:val="nil"/>
              <w:bottom w:val="nil"/>
              <w:right w:val="nil"/>
            </w:tcBorders>
            <w:shd w:val="clear" w:color="auto" w:fill="auto"/>
            <w:noWrap/>
            <w:vAlign w:val="bottom"/>
            <w:hideMark/>
          </w:tcPr>
          <w:p w14:paraId="36CC803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5.87%</w:t>
            </w:r>
          </w:p>
        </w:tc>
      </w:tr>
      <w:tr w:rsidR="001F4B9D" w:rsidRPr="001F4B9D" w14:paraId="3A133247" w14:textId="77777777" w:rsidTr="001F4B9D">
        <w:trPr>
          <w:trHeight w:val="292"/>
        </w:trPr>
        <w:tc>
          <w:tcPr>
            <w:tcW w:w="1252" w:type="pct"/>
            <w:tcBorders>
              <w:top w:val="nil"/>
              <w:left w:val="nil"/>
              <w:bottom w:val="nil"/>
              <w:right w:val="nil"/>
            </w:tcBorders>
            <w:shd w:val="clear" w:color="auto" w:fill="auto"/>
            <w:noWrap/>
            <w:vAlign w:val="bottom"/>
            <w:hideMark/>
          </w:tcPr>
          <w:p w14:paraId="2F262FE0"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Wholesale and Retail</w:t>
            </w:r>
          </w:p>
        </w:tc>
        <w:tc>
          <w:tcPr>
            <w:tcW w:w="313" w:type="pct"/>
            <w:tcBorders>
              <w:top w:val="nil"/>
              <w:left w:val="nil"/>
              <w:bottom w:val="nil"/>
              <w:right w:val="nil"/>
            </w:tcBorders>
            <w:shd w:val="clear" w:color="auto" w:fill="auto"/>
            <w:noWrap/>
            <w:vAlign w:val="bottom"/>
            <w:hideMark/>
          </w:tcPr>
          <w:p w14:paraId="6707617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32.84%</w:t>
            </w:r>
          </w:p>
        </w:tc>
        <w:tc>
          <w:tcPr>
            <w:tcW w:w="311" w:type="pct"/>
            <w:tcBorders>
              <w:top w:val="nil"/>
              <w:left w:val="nil"/>
              <w:bottom w:val="nil"/>
              <w:right w:val="nil"/>
            </w:tcBorders>
            <w:shd w:val="clear" w:color="auto" w:fill="auto"/>
            <w:noWrap/>
            <w:vAlign w:val="bottom"/>
            <w:hideMark/>
          </w:tcPr>
          <w:p w14:paraId="2132075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15.19%</w:t>
            </w:r>
          </w:p>
        </w:tc>
        <w:tc>
          <w:tcPr>
            <w:tcW w:w="313" w:type="pct"/>
            <w:tcBorders>
              <w:top w:val="nil"/>
              <w:left w:val="nil"/>
              <w:bottom w:val="nil"/>
              <w:right w:val="nil"/>
            </w:tcBorders>
            <w:shd w:val="clear" w:color="auto" w:fill="auto"/>
            <w:noWrap/>
            <w:vAlign w:val="bottom"/>
            <w:hideMark/>
          </w:tcPr>
          <w:p w14:paraId="174F6B0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36.17%</w:t>
            </w:r>
          </w:p>
        </w:tc>
        <w:tc>
          <w:tcPr>
            <w:tcW w:w="311" w:type="pct"/>
            <w:tcBorders>
              <w:top w:val="nil"/>
              <w:left w:val="nil"/>
              <w:bottom w:val="nil"/>
              <w:right w:val="nil"/>
            </w:tcBorders>
            <w:shd w:val="clear" w:color="auto" w:fill="auto"/>
            <w:noWrap/>
            <w:vAlign w:val="bottom"/>
            <w:hideMark/>
          </w:tcPr>
          <w:p w14:paraId="5CCA5CD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17.40%</w:t>
            </w:r>
          </w:p>
        </w:tc>
        <w:tc>
          <w:tcPr>
            <w:tcW w:w="313" w:type="pct"/>
            <w:tcBorders>
              <w:top w:val="nil"/>
              <w:left w:val="nil"/>
              <w:bottom w:val="nil"/>
              <w:right w:val="nil"/>
            </w:tcBorders>
            <w:shd w:val="clear" w:color="auto" w:fill="auto"/>
            <w:noWrap/>
            <w:vAlign w:val="bottom"/>
            <w:hideMark/>
          </w:tcPr>
          <w:p w14:paraId="5A576CE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18.71%</w:t>
            </w:r>
          </w:p>
        </w:tc>
        <w:tc>
          <w:tcPr>
            <w:tcW w:w="311" w:type="pct"/>
            <w:tcBorders>
              <w:top w:val="nil"/>
              <w:left w:val="nil"/>
              <w:bottom w:val="nil"/>
              <w:right w:val="nil"/>
            </w:tcBorders>
            <w:shd w:val="clear" w:color="auto" w:fill="auto"/>
            <w:noWrap/>
            <w:vAlign w:val="bottom"/>
            <w:hideMark/>
          </w:tcPr>
          <w:p w14:paraId="66F9D5D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23.89%</w:t>
            </w:r>
          </w:p>
        </w:tc>
        <w:tc>
          <w:tcPr>
            <w:tcW w:w="313" w:type="pct"/>
            <w:tcBorders>
              <w:top w:val="nil"/>
              <w:left w:val="nil"/>
              <w:bottom w:val="nil"/>
              <w:right w:val="nil"/>
            </w:tcBorders>
            <w:shd w:val="clear" w:color="auto" w:fill="auto"/>
            <w:noWrap/>
            <w:vAlign w:val="bottom"/>
            <w:hideMark/>
          </w:tcPr>
          <w:p w14:paraId="198DD04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35.24%</w:t>
            </w:r>
          </w:p>
        </w:tc>
        <w:tc>
          <w:tcPr>
            <w:tcW w:w="311" w:type="pct"/>
            <w:tcBorders>
              <w:top w:val="nil"/>
              <w:left w:val="nil"/>
              <w:bottom w:val="nil"/>
              <w:right w:val="nil"/>
            </w:tcBorders>
            <w:shd w:val="clear" w:color="auto" w:fill="auto"/>
            <w:noWrap/>
            <w:vAlign w:val="bottom"/>
            <w:hideMark/>
          </w:tcPr>
          <w:p w14:paraId="707D1E7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32.52%</w:t>
            </w:r>
          </w:p>
        </w:tc>
        <w:tc>
          <w:tcPr>
            <w:tcW w:w="313" w:type="pct"/>
            <w:tcBorders>
              <w:top w:val="nil"/>
              <w:left w:val="nil"/>
              <w:bottom w:val="nil"/>
              <w:right w:val="nil"/>
            </w:tcBorders>
            <w:shd w:val="clear" w:color="auto" w:fill="auto"/>
            <w:noWrap/>
            <w:vAlign w:val="bottom"/>
            <w:hideMark/>
          </w:tcPr>
          <w:p w14:paraId="0B05DAA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32.66%</w:t>
            </w:r>
          </w:p>
        </w:tc>
        <w:tc>
          <w:tcPr>
            <w:tcW w:w="311" w:type="pct"/>
            <w:tcBorders>
              <w:top w:val="nil"/>
              <w:left w:val="nil"/>
              <w:bottom w:val="nil"/>
              <w:right w:val="nil"/>
            </w:tcBorders>
            <w:shd w:val="clear" w:color="auto" w:fill="auto"/>
            <w:noWrap/>
            <w:vAlign w:val="bottom"/>
            <w:hideMark/>
          </w:tcPr>
          <w:p w14:paraId="7AA1E70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33.00%</w:t>
            </w:r>
          </w:p>
        </w:tc>
        <w:tc>
          <w:tcPr>
            <w:tcW w:w="313" w:type="pct"/>
            <w:tcBorders>
              <w:top w:val="nil"/>
              <w:left w:val="nil"/>
              <w:bottom w:val="nil"/>
              <w:right w:val="nil"/>
            </w:tcBorders>
            <w:shd w:val="clear" w:color="auto" w:fill="auto"/>
            <w:noWrap/>
            <w:vAlign w:val="bottom"/>
            <w:hideMark/>
          </w:tcPr>
          <w:p w14:paraId="3029A1E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42.24%</w:t>
            </w:r>
          </w:p>
        </w:tc>
        <w:tc>
          <w:tcPr>
            <w:tcW w:w="311" w:type="pct"/>
            <w:tcBorders>
              <w:top w:val="nil"/>
              <w:left w:val="nil"/>
              <w:bottom w:val="nil"/>
              <w:right w:val="nil"/>
            </w:tcBorders>
            <w:shd w:val="clear" w:color="auto" w:fill="auto"/>
            <w:noWrap/>
            <w:vAlign w:val="bottom"/>
            <w:hideMark/>
          </w:tcPr>
          <w:p w14:paraId="4835268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40.75%</w:t>
            </w:r>
          </w:p>
        </w:tc>
      </w:tr>
      <w:tr w:rsidR="001F4B9D" w:rsidRPr="001F4B9D" w14:paraId="25FD273E" w14:textId="77777777" w:rsidTr="001F4B9D">
        <w:trPr>
          <w:trHeight w:val="292"/>
        </w:trPr>
        <w:tc>
          <w:tcPr>
            <w:tcW w:w="1252" w:type="pct"/>
            <w:tcBorders>
              <w:top w:val="nil"/>
              <w:left w:val="nil"/>
              <w:bottom w:val="nil"/>
              <w:right w:val="nil"/>
            </w:tcBorders>
            <w:shd w:val="clear" w:color="auto" w:fill="auto"/>
            <w:noWrap/>
            <w:vAlign w:val="bottom"/>
            <w:hideMark/>
          </w:tcPr>
          <w:p w14:paraId="0D7C9A99"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Services</w:t>
            </w:r>
          </w:p>
        </w:tc>
        <w:tc>
          <w:tcPr>
            <w:tcW w:w="313" w:type="pct"/>
            <w:tcBorders>
              <w:top w:val="nil"/>
              <w:left w:val="nil"/>
              <w:bottom w:val="nil"/>
              <w:right w:val="nil"/>
            </w:tcBorders>
            <w:shd w:val="clear" w:color="auto" w:fill="auto"/>
            <w:noWrap/>
            <w:vAlign w:val="bottom"/>
            <w:hideMark/>
          </w:tcPr>
          <w:p w14:paraId="00439A0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18.40%</w:t>
            </w:r>
          </w:p>
        </w:tc>
        <w:tc>
          <w:tcPr>
            <w:tcW w:w="311" w:type="pct"/>
            <w:tcBorders>
              <w:top w:val="nil"/>
              <w:left w:val="nil"/>
              <w:bottom w:val="nil"/>
              <w:right w:val="nil"/>
            </w:tcBorders>
            <w:shd w:val="clear" w:color="auto" w:fill="auto"/>
            <w:noWrap/>
            <w:vAlign w:val="bottom"/>
            <w:hideMark/>
          </w:tcPr>
          <w:p w14:paraId="3C78CC1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21.87%</w:t>
            </w:r>
          </w:p>
        </w:tc>
        <w:tc>
          <w:tcPr>
            <w:tcW w:w="313" w:type="pct"/>
            <w:tcBorders>
              <w:top w:val="nil"/>
              <w:left w:val="nil"/>
              <w:bottom w:val="nil"/>
              <w:right w:val="nil"/>
            </w:tcBorders>
            <w:shd w:val="clear" w:color="auto" w:fill="auto"/>
            <w:noWrap/>
            <w:vAlign w:val="bottom"/>
            <w:hideMark/>
          </w:tcPr>
          <w:p w14:paraId="013A8E7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21.24%</w:t>
            </w:r>
          </w:p>
        </w:tc>
        <w:tc>
          <w:tcPr>
            <w:tcW w:w="311" w:type="pct"/>
            <w:tcBorders>
              <w:top w:val="nil"/>
              <w:left w:val="nil"/>
              <w:bottom w:val="nil"/>
              <w:right w:val="nil"/>
            </w:tcBorders>
            <w:shd w:val="clear" w:color="auto" w:fill="auto"/>
            <w:noWrap/>
            <w:vAlign w:val="bottom"/>
            <w:hideMark/>
          </w:tcPr>
          <w:p w14:paraId="3E79042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23.69%</w:t>
            </w:r>
          </w:p>
        </w:tc>
        <w:tc>
          <w:tcPr>
            <w:tcW w:w="313" w:type="pct"/>
            <w:tcBorders>
              <w:top w:val="nil"/>
              <w:left w:val="nil"/>
              <w:bottom w:val="nil"/>
              <w:right w:val="nil"/>
            </w:tcBorders>
            <w:shd w:val="clear" w:color="auto" w:fill="auto"/>
            <w:noWrap/>
            <w:vAlign w:val="bottom"/>
            <w:hideMark/>
          </w:tcPr>
          <w:p w14:paraId="43A08B6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25.40%</w:t>
            </w:r>
          </w:p>
        </w:tc>
        <w:tc>
          <w:tcPr>
            <w:tcW w:w="311" w:type="pct"/>
            <w:tcBorders>
              <w:top w:val="nil"/>
              <w:left w:val="nil"/>
              <w:bottom w:val="nil"/>
              <w:right w:val="nil"/>
            </w:tcBorders>
            <w:shd w:val="clear" w:color="auto" w:fill="auto"/>
            <w:noWrap/>
            <w:vAlign w:val="bottom"/>
            <w:hideMark/>
          </w:tcPr>
          <w:p w14:paraId="0111E2A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15.08%</w:t>
            </w:r>
          </w:p>
        </w:tc>
        <w:tc>
          <w:tcPr>
            <w:tcW w:w="313" w:type="pct"/>
            <w:tcBorders>
              <w:top w:val="nil"/>
              <w:left w:val="nil"/>
              <w:bottom w:val="nil"/>
              <w:right w:val="nil"/>
            </w:tcBorders>
            <w:shd w:val="clear" w:color="auto" w:fill="auto"/>
            <w:noWrap/>
            <w:vAlign w:val="bottom"/>
            <w:hideMark/>
          </w:tcPr>
          <w:p w14:paraId="2631563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19.38%</w:t>
            </w:r>
          </w:p>
        </w:tc>
        <w:tc>
          <w:tcPr>
            <w:tcW w:w="311" w:type="pct"/>
            <w:tcBorders>
              <w:top w:val="nil"/>
              <w:left w:val="nil"/>
              <w:bottom w:val="nil"/>
              <w:right w:val="nil"/>
            </w:tcBorders>
            <w:shd w:val="clear" w:color="auto" w:fill="auto"/>
            <w:noWrap/>
            <w:vAlign w:val="bottom"/>
            <w:hideMark/>
          </w:tcPr>
          <w:p w14:paraId="4DC5809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19.25%</w:t>
            </w:r>
          </w:p>
        </w:tc>
        <w:tc>
          <w:tcPr>
            <w:tcW w:w="313" w:type="pct"/>
            <w:tcBorders>
              <w:top w:val="nil"/>
              <w:left w:val="nil"/>
              <w:bottom w:val="nil"/>
              <w:right w:val="nil"/>
            </w:tcBorders>
            <w:shd w:val="clear" w:color="auto" w:fill="auto"/>
            <w:noWrap/>
            <w:vAlign w:val="bottom"/>
            <w:hideMark/>
          </w:tcPr>
          <w:p w14:paraId="2CE38C9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18.67%</w:t>
            </w:r>
          </w:p>
        </w:tc>
        <w:tc>
          <w:tcPr>
            <w:tcW w:w="311" w:type="pct"/>
            <w:tcBorders>
              <w:top w:val="nil"/>
              <w:left w:val="nil"/>
              <w:bottom w:val="nil"/>
              <w:right w:val="nil"/>
            </w:tcBorders>
            <w:shd w:val="clear" w:color="auto" w:fill="auto"/>
            <w:noWrap/>
            <w:vAlign w:val="bottom"/>
            <w:hideMark/>
          </w:tcPr>
          <w:p w14:paraId="3096648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14.79%</w:t>
            </w:r>
          </w:p>
        </w:tc>
        <w:tc>
          <w:tcPr>
            <w:tcW w:w="313" w:type="pct"/>
            <w:tcBorders>
              <w:top w:val="nil"/>
              <w:left w:val="nil"/>
              <w:bottom w:val="nil"/>
              <w:right w:val="nil"/>
            </w:tcBorders>
            <w:shd w:val="clear" w:color="auto" w:fill="auto"/>
            <w:noWrap/>
            <w:vAlign w:val="bottom"/>
            <w:hideMark/>
          </w:tcPr>
          <w:p w14:paraId="149ACAA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11.44%</w:t>
            </w:r>
          </w:p>
        </w:tc>
        <w:tc>
          <w:tcPr>
            <w:tcW w:w="311" w:type="pct"/>
            <w:tcBorders>
              <w:top w:val="nil"/>
              <w:left w:val="nil"/>
              <w:bottom w:val="nil"/>
              <w:right w:val="nil"/>
            </w:tcBorders>
            <w:shd w:val="clear" w:color="auto" w:fill="auto"/>
            <w:noWrap/>
            <w:vAlign w:val="bottom"/>
            <w:hideMark/>
          </w:tcPr>
          <w:p w14:paraId="115C88E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15.64%</w:t>
            </w:r>
          </w:p>
        </w:tc>
      </w:tr>
      <w:tr w:rsidR="001F4B9D" w:rsidRPr="001F4B9D" w14:paraId="3095CCE0" w14:textId="77777777" w:rsidTr="001F4B9D">
        <w:trPr>
          <w:trHeight w:val="292"/>
        </w:trPr>
        <w:tc>
          <w:tcPr>
            <w:tcW w:w="1252" w:type="pct"/>
            <w:tcBorders>
              <w:top w:val="nil"/>
              <w:left w:val="nil"/>
              <w:bottom w:val="nil"/>
              <w:right w:val="nil"/>
            </w:tcBorders>
            <w:shd w:val="clear" w:color="auto" w:fill="auto"/>
            <w:noWrap/>
            <w:vAlign w:val="bottom"/>
            <w:hideMark/>
          </w:tcPr>
          <w:p w14:paraId="7BD72BC5"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R2</w:t>
            </w:r>
          </w:p>
        </w:tc>
        <w:tc>
          <w:tcPr>
            <w:tcW w:w="313" w:type="pct"/>
            <w:tcBorders>
              <w:top w:val="nil"/>
              <w:left w:val="nil"/>
              <w:bottom w:val="nil"/>
              <w:right w:val="nil"/>
            </w:tcBorders>
            <w:shd w:val="clear" w:color="auto" w:fill="auto"/>
            <w:noWrap/>
            <w:vAlign w:val="bottom"/>
            <w:hideMark/>
          </w:tcPr>
          <w:p w14:paraId="08B711E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0.9433</w:t>
            </w:r>
          </w:p>
        </w:tc>
        <w:tc>
          <w:tcPr>
            <w:tcW w:w="311" w:type="pct"/>
            <w:tcBorders>
              <w:top w:val="nil"/>
              <w:left w:val="nil"/>
              <w:bottom w:val="nil"/>
              <w:right w:val="nil"/>
            </w:tcBorders>
            <w:shd w:val="clear" w:color="auto" w:fill="auto"/>
            <w:noWrap/>
            <w:vAlign w:val="bottom"/>
            <w:hideMark/>
          </w:tcPr>
          <w:p w14:paraId="72360BE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0.904</w:t>
            </w:r>
          </w:p>
        </w:tc>
        <w:tc>
          <w:tcPr>
            <w:tcW w:w="313" w:type="pct"/>
            <w:tcBorders>
              <w:top w:val="nil"/>
              <w:left w:val="nil"/>
              <w:bottom w:val="nil"/>
              <w:right w:val="nil"/>
            </w:tcBorders>
            <w:shd w:val="clear" w:color="auto" w:fill="auto"/>
            <w:noWrap/>
            <w:vAlign w:val="bottom"/>
            <w:hideMark/>
          </w:tcPr>
          <w:p w14:paraId="1E737FF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0.908</w:t>
            </w:r>
          </w:p>
        </w:tc>
        <w:tc>
          <w:tcPr>
            <w:tcW w:w="311" w:type="pct"/>
            <w:tcBorders>
              <w:top w:val="nil"/>
              <w:left w:val="nil"/>
              <w:bottom w:val="nil"/>
              <w:right w:val="nil"/>
            </w:tcBorders>
            <w:shd w:val="clear" w:color="auto" w:fill="auto"/>
            <w:noWrap/>
            <w:vAlign w:val="bottom"/>
            <w:hideMark/>
          </w:tcPr>
          <w:p w14:paraId="5001526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0.9736</w:t>
            </w:r>
          </w:p>
        </w:tc>
        <w:tc>
          <w:tcPr>
            <w:tcW w:w="313" w:type="pct"/>
            <w:tcBorders>
              <w:top w:val="nil"/>
              <w:left w:val="nil"/>
              <w:bottom w:val="nil"/>
              <w:right w:val="nil"/>
            </w:tcBorders>
            <w:shd w:val="clear" w:color="auto" w:fill="auto"/>
            <w:noWrap/>
            <w:vAlign w:val="bottom"/>
            <w:hideMark/>
          </w:tcPr>
          <w:p w14:paraId="5DC2A57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0.9141</w:t>
            </w:r>
          </w:p>
        </w:tc>
        <w:tc>
          <w:tcPr>
            <w:tcW w:w="311" w:type="pct"/>
            <w:tcBorders>
              <w:top w:val="nil"/>
              <w:left w:val="nil"/>
              <w:bottom w:val="nil"/>
              <w:right w:val="nil"/>
            </w:tcBorders>
            <w:shd w:val="clear" w:color="auto" w:fill="auto"/>
            <w:noWrap/>
            <w:vAlign w:val="bottom"/>
            <w:hideMark/>
          </w:tcPr>
          <w:p w14:paraId="0F537A1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0.9032</w:t>
            </w:r>
          </w:p>
        </w:tc>
        <w:tc>
          <w:tcPr>
            <w:tcW w:w="313" w:type="pct"/>
            <w:tcBorders>
              <w:top w:val="nil"/>
              <w:left w:val="nil"/>
              <w:bottom w:val="nil"/>
              <w:right w:val="nil"/>
            </w:tcBorders>
            <w:shd w:val="clear" w:color="auto" w:fill="auto"/>
            <w:noWrap/>
            <w:vAlign w:val="bottom"/>
            <w:hideMark/>
          </w:tcPr>
          <w:p w14:paraId="10806BE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0.8817</w:t>
            </w:r>
          </w:p>
        </w:tc>
        <w:tc>
          <w:tcPr>
            <w:tcW w:w="311" w:type="pct"/>
            <w:tcBorders>
              <w:top w:val="nil"/>
              <w:left w:val="nil"/>
              <w:bottom w:val="nil"/>
              <w:right w:val="nil"/>
            </w:tcBorders>
            <w:shd w:val="clear" w:color="auto" w:fill="auto"/>
            <w:noWrap/>
            <w:vAlign w:val="bottom"/>
            <w:hideMark/>
          </w:tcPr>
          <w:p w14:paraId="29B732D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0.9009</w:t>
            </w:r>
          </w:p>
        </w:tc>
        <w:tc>
          <w:tcPr>
            <w:tcW w:w="313" w:type="pct"/>
            <w:tcBorders>
              <w:top w:val="nil"/>
              <w:left w:val="nil"/>
              <w:bottom w:val="nil"/>
              <w:right w:val="nil"/>
            </w:tcBorders>
            <w:shd w:val="clear" w:color="auto" w:fill="auto"/>
            <w:noWrap/>
            <w:vAlign w:val="bottom"/>
            <w:hideMark/>
          </w:tcPr>
          <w:p w14:paraId="74261A0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0.9251</w:t>
            </w:r>
          </w:p>
        </w:tc>
        <w:tc>
          <w:tcPr>
            <w:tcW w:w="311" w:type="pct"/>
            <w:tcBorders>
              <w:top w:val="nil"/>
              <w:left w:val="nil"/>
              <w:bottom w:val="nil"/>
              <w:right w:val="nil"/>
            </w:tcBorders>
            <w:shd w:val="clear" w:color="auto" w:fill="auto"/>
            <w:noWrap/>
            <w:vAlign w:val="bottom"/>
            <w:hideMark/>
          </w:tcPr>
          <w:p w14:paraId="74C05F2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0.9019</w:t>
            </w:r>
          </w:p>
        </w:tc>
        <w:tc>
          <w:tcPr>
            <w:tcW w:w="313" w:type="pct"/>
            <w:tcBorders>
              <w:top w:val="nil"/>
              <w:left w:val="nil"/>
              <w:bottom w:val="nil"/>
              <w:right w:val="nil"/>
            </w:tcBorders>
            <w:shd w:val="clear" w:color="auto" w:fill="auto"/>
            <w:noWrap/>
            <w:vAlign w:val="bottom"/>
            <w:hideMark/>
          </w:tcPr>
          <w:p w14:paraId="130FE77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0.96</w:t>
            </w:r>
          </w:p>
        </w:tc>
        <w:tc>
          <w:tcPr>
            <w:tcW w:w="311" w:type="pct"/>
            <w:tcBorders>
              <w:top w:val="nil"/>
              <w:left w:val="nil"/>
              <w:bottom w:val="nil"/>
              <w:right w:val="nil"/>
            </w:tcBorders>
            <w:shd w:val="clear" w:color="auto" w:fill="auto"/>
            <w:noWrap/>
            <w:vAlign w:val="bottom"/>
            <w:hideMark/>
          </w:tcPr>
          <w:p w14:paraId="64306B6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0.9507</w:t>
            </w:r>
          </w:p>
        </w:tc>
      </w:tr>
      <w:tr w:rsidR="001F4B9D" w:rsidRPr="001F4B9D" w14:paraId="70BC1CFD" w14:textId="77777777" w:rsidTr="001F4B9D">
        <w:trPr>
          <w:trHeight w:val="292"/>
        </w:trPr>
        <w:tc>
          <w:tcPr>
            <w:tcW w:w="1252" w:type="pct"/>
            <w:tcBorders>
              <w:top w:val="nil"/>
              <w:left w:val="nil"/>
              <w:bottom w:val="single" w:sz="4" w:space="0" w:color="auto"/>
              <w:right w:val="nil"/>
            </w:tcBorders>
            <w:shd w:val="clear" w:color="auto" w:fill="auto"/>
            <w:noWrap/>
            <w:vAlign w:val="bottom"/>
            <w:hideMark/>
          </w:tcPr>
          <w:p w14:paraId="7DE18184"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Tracking Error</w:t>
            </w:r>
          </w:p>
        </w:tc>
        <w:tc>
          <w:tcPr>
            <w:tcW w:w="313" w:type="pct"/>
            <w:tcBorders>
              <w:top w:val="nil"/>
              <w:left w:val="nil"/>
              <w:bottom w:val="single" w:sz="4" w:space="0" w:color="auto"/>
              <w:right w:val="nil"/>
            </w:tcBorders>
            <w:shd w:val="clear" w:color="auto" w:fill="auto"/>
            <w:noWrap/>
            <w:vAlign w:val="bottom"/>
            <w:hideMark/>
          </w:tcPr>
          <w:p w14:paraId="4F32A47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0.45%</w:t>
            </w:r>
          </w:p>
        </w:tc>
        <w:tc>
          <w:tcPr>
            <w:tcW w:w="311" w:type="pct"/>
            <w:tcBorders>
              <w:top w:val="nil"/>
              <w:left w:val="nil"/>
              <w:bottom w:val="single" w:sz="4" w:space="0" w:color="auto"/>
              <w:right w:val="nil"/>
            </w:tcBorders>
            <w:shd w:val="clear" w:color="auto" w:fill="auto"/>
            <w:noWrap/>
            <w:vAlign w:val="bottom"/>
            <w:hideMark/>
          </w:tcPr>
          <w:p w14:paraId="64DCE28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0.49%</w:t>
            </w:r>
          </w:p>
        </w:tc>
        <w:tc>
          <w:tcPr>
            <w:tcW w:w="313" w:type="pct"/>
            <w:tcBorders>
              <w:top w:val="nil"/>
              <w:left w:val="nil"/>
              <w:bottom w:val="single" w:sz="4" w:space="0" w:color="auto"/>
              <w:right w:val="nil"/>
            </w:tcBorders>
            <w:shd w:val="clear" w:color="auto" w:fill="auto"/>
            <w:noWrap/>
            <w:vAlign w:val="bottom"/>
            <w:hideMark/>
          </w:tcPr>
          <w:p w14:paraId="08EAC80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0.36%</w:t>
            </w:r>
          </w:p>
        </w:tc>
        <w:tc>
          <w:tcPr>
            <w:tcW w:w="311" w:type="pct"/>
            <w:tcBorders>
              <w:top w:val="nil"/>
              <w:left w:val="nil"/>
              <w:bottom w:val="single" w:sz="4" w:space="0" w:color="auto"/>
              <w:right w:val="nil"/>
            </w:tcBorders>
            <w:shd w:val="clear" w:color="auto" w:fill="auto"/>
            <w:noWrap/>
            <w:vAlign w:val="bottom"/>
            <w:hideMark/>
          </w:tcPr>
          <w:p w14:paraId="3207B75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0.87%</w:t>
            </w:r>
          </w:p>
        </w:tc>
        <w:tc>
          <w:tcPr>
            <w:tcW w:w="313" w:type="pct"/>
            <w:tcBorders>
              <w:top w:val="nil"/>
              <w:left w:val="nil"/>
              <w:bottom w:val="single" w:sz="4" w:space="0" w:color="auto"/>
              <w:right w:val="nil"/>
            </w:tcBorders>
            <w:shd w:val="clear" w:color="auto" w:fill="auto"/>
            <w:noWrap/>
            <w:vAlign w:val="bottom"/>
            <w:hideMark/>
          </w:tcPr>
          <w:p w14:paraId="6D114A7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0.80%</w:t>
            </w:r>
          </w:p>
        </w:tc>
        <w:tc>
          <w:tcPr>
            <w:tcW w:w="311" w:type="pct"/>
            <w:tcBorders>
              <w:top w:val="nil"/>
              <w:left w:val="nil"/>
              <w:bottom w:val="single" w:sz="4" w:space="0" w:color="auto"/>
              <w:right w:val="nil"/>
            </w:tcBorders>
            <w:shd w:val="clear" w:color="auto" w:fill="auto"/>
            <w:noWrap/>
            <w:vAlign w:val="bottom"/>
            <w:hideMark/>
          </w:tcPr>
          <w:p w14:paraId="4B618F9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0.86%</w:t>
            </w:r>
          </w:p>
        </w:tc>
        <w:tc>
          <w:tcPr>
            <w:tcW w:w="313" w:type="pct"/>
            <w:tcBorders>
              <w:top w:val="nil"/>
              <w:left w:val="nil"/>
              <w:bottom w:val="single" w:sz="4" w:space="0" w:color="auto"/>
              <w:right w:val="nil"/>
            </w:tcBorders>
            <w:shd w:val="clear" w:color="auto" w:fill="auto"/>
            <w:noWrap/>
            <w:vAlign w:val="bottom"/>
            <w:hideMark/>
          </w:tcPr>
          <w:p w14:paraId="78CF6DA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0.66%</w:t>
            </w:r>
          </w:p>
        </w:tc>
        <w:tc>
          <w:tcPr>
            <w:tcW w:w="311" w:type="pct"/>
            <w:tcBorders>
              <w:top w:val="nil"/>
              <w:left w:val="nil"/>
              <w:bottom w:val="single" w:sz="4" w:space="0" w:color="auto"/>
              <w:right w:val="nil"/>
            </w:tcBorders>
            <w:shd w:val="clear" w:color="auto" w:fill="auto"/>
            <w:noWrap/>
            <w:vAlign w:val="bottom"/>
            <w:hideMark/>
          </w:tcPr>
          <w:p w14:paraId="48AE5D8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0.80%</w:t>
            </w:r>
          </w:p>
        </w:tc>
        <w:tc>
          <w:tcPr>
            <w:tcW w:w="313" w:type="pct"/>
            <w:tcBorders>
              <w:top w:val="nil"/>
              <w:left w:val="nil"/>
              <w:bottom w:val="single" w:sz="4" w:space="0" w:color="auto"/>
              <w:right w:val="nil"/>
            </w:tcBorders>
            <w:shd w:val="clear" w:color="auto" w:fill="auto"/>
            <w:noWrap/>
            <w:vAlign w:val="bottom"/>
            <w:hideMark/>
          </w:tcPr>
          <w:p w14:paraId="6448124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0.49%</w:t>
            </w:r>
          </w:p>
        </w:tc>
        <w:tc>
          <w:tcPr>
            <w:tcW w:w="311" w:type="pct"/>
            <w:tcBorders>
              <w:top w:val="nil"/>
              <w:left w:val="nil"/>
              <w:bottom w:val="single" w:sz="4" w:space="0" w:color="auto"/>
              <w:right w:val="nil"/>
            </w:tcBorders>
            <w:shd w:val="clear" w:color="auto" w:fill="auto"/>
            <w:noWrap/>
            <w:vAlign w:val="bottom"/>
            <w:hideMark/>
          </w:tcPr>
          <w:p w14:paraId="3BF2647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0.81%</w:t>
            </w:r>
          </w:p>
        </w:tc>
        <w:tc>
          <w:tcPr>
            <w:tcW w:w="313" w:type="pct"/>
            <w:tcBorders>
              <w:top w:val="nil"/>
              <w:left w:val="nil"/>
              <w:bottom w:val="single" w:sz="4" w:space="0" w:color="auto"/>
              <w:right w:val="nil"/>
            </w:tcBorders>
            <w:shd w:val="clear" w:color="auto" w:fill="auto"/>
            <w:noWrap/>
            <w:vAlign w:val="bottom"/>
            <w:hideMark/>
          </w:tcPr>
          <w:p w14:paraId="5D05234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0.52%</w:t>
            </w:r>
          </w:p>
        </w:tc>
        <w:tc>
          <w:tcPr>
            <w:tcW w:w="311" w:type="pct"/>
            <w:tcBorders>
              <w:top w:val="nil"/>
              <w:left w:val="nil"/>
              <w:bottom w:val="single" w:sz="4" w:space="0" w:color="auto"/>
              <w:right w:val="nil"/>
            </w:tcBorders>
            <w:shd w:val="clear" w:color="auto" w:fill="auto"/>
            <w:noWrap/>
            <w:vAlign w:val="bottom"/>
            <w:hideMark/>
          </w:tcPr>
          <w:p w14:paraId="2927A39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0.99%</w:t>
            </w:r>
          </w:p>
        </w:tc>
      </w:tr>
    </w:tbl>
    <w:p w14:paraId="7BB11223" w14:textId="77777777" w:rsidR="001F4B9D" w:rsidRPr="00663DE1" w:rsidRDefault="001F4B9D" w:rsidP="001F4B9D">
      <w:pPr>
        <w:rPr>
          <w:rFonts w:ascii="Times New Roman" w:hAnsi="Times New Roman" w:cs="Times New Roman"/>
        </w:rPr>
      </w:pPr>
    </w:p>
    <w:p w14:paraId="5311CF36" w14:textId="77777777" w:rsidR="001F4B9D" w:rsidRPr="00663DE1" w:rsidRDefault="001F4B9D" w:rsidP="001F4B9D">
      <w:pPr>
        <w:rPr>
          <w:rFonts w:ascii="Times New Roman" w:hAnsi="Times New Roman" w:cs="Times New Roman"/>
        </w:rPr>
      </w:pPr>
    </w:p>
    <w:p w14:paraId="518212EA" w14:textId="77777777" w:rsidR="001F4B9D" w:rsidRPr="00663DE1" w:rsidRDefault="001F4B9D" w:rsidP="001F4B9D">
      <w:pPr>
        <w:rPr>
          <w:rFonts w:ascii="Times New Roman" w:hAnsi="Times New Roman" w:cs="Times New Roman"/>
        </w:rPr>
      </w:pPr>
    </w:p>
    <w:tbl>
      <w:tblPr>
        <w:tblW w:w="5000" w:type="pct"/>
        <w:tblLook w:val="04A0" w:firstRow="1" w:lastRow="0" w:firstColumn="1" w:lastColumn="0" w:noHBand="0" w:noVBand="1"/>
      </w:tblPr>
      <w:tblGrid>
        <w:gridCol w:w="3116"/>
        <w:gridCol w:w="827"/>
        <w:gridCol w:w="821"/>
        <w:gridCol w:w="827"/>
        <w:gridCol w:w="821"/>
        <w:gridCol w:w="827"/>
        <w:gridCol w:w="821"/>
        <w:gridCol w:w="827"/>
        <w:gridCol w:w="821"/>
        <w:gridCol w:w="827"/>
        <w:gridCol w:w="821"/>
        <w:gridCol w:w="827"/>
        <w:gridCol w:w="821"/>
      </w:tblGrid>
      <w:tr w:rsidR="001F4B9D" w:rsidRPr="001D505C" w14:paraId="33D52A01" w14:textId="77777777" w:rsidTr="001F4B9D">
        <w:trPr>
          <w:trHeight w:val="291"/>
        </w:trPr>
        <w:tc>
          <w:tcPr>
            <w:tcW w:w="5000" w:type="pct"/>
            <w:gridSpan w:val="13"/>
            <w:tcBorders>
              <w:top w:val="nil"/>
              <w:left w:val="nil"/>
              <w:bottom w:val="nil"/>
              <w:right w:val="nil"/>
            </w:tcBorders>
            <w:shd w:val="clear" w:color="000000" w:fill="FFFF00"/>
            <w:noWrap/>
            <w:vAlign w:val="bottom"/>
            <w:hideMark/>
          </w:tcPr>
          <w:p w14:paraId="64A89E7E" w14:textId="77777777" w:rsidR="001F4B9D" w:rsidRPr="001D505C" w:rsidRDefault="001F4B9D" w:rsidP="00CD0BBE">
            <w:pPr>
              <w:spacing w:after="0" w:line="240" w:lineRule="auto"/>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 xml:space="preserve">Table 11: Style Analysis - Stage 5 (September 2 - December 31) </w:t>
            </w:r>
          </w:p>
        </w:tc>
      </w:tr>
      <w:tr w:rsidR="001F4B9D" w:rsidRPr="001D505C" w14:paraId="36AAE985" w14:textId="77777777" w:rsidTr="001F4B9D">
        <w:trPr>
          <w:trHeight w:val="291"/>
        </w:trPr>
        <w:tc>
          <w:tcPr>
            <w:tcW w:w="1249" w:type="pct"/>
            <w:tcBorders>
              <w:top w:val="single" w:sz="4" w:space="0" w:color="auto"/>
              <w:left w:val="nil"/>
              <w:bottom w:val="single" w:sz="4" w:space="0" w:color="auto"/>
              <w:right w:val="nil"/>
            </w:tcBorders>
            <w:shd w:val="clear" w:color="auto" w:fill="auto"/>
            <w:noWrap/>
            <w:vAlign w:val="bottom"/>
            <w:hideMark/>
          </w:tcPr>
          <w:p w14:paraId="13B9473A"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 </w:t>
            </w:r>
          </w:p>
        </w:tc>
        <w:tc>
          <w:tcPr>
            <w:tcW w:w="625" w:type="pct"/>
            <w:gridSpan w:val="2"/>
            <w:tcBorders>
              <w:top w:val="single" w:sz="4" w:space="0" w:color="auto"/>
              <w:left w:val="nil"/>
              <w:bottom w:val="single" w:sz="4" w:space="0" w:color="auto"/>
              <w:right w:val="nil"/>
            </w:tcBorders>
            <w:shd w:val="clear" w:color="auto" w:fill="auto"/>
            <w:noWrap/>
            <w:vAlign w:val="bottom"/>
            <w:hideMark/>
          </w:tcPr>
          <w:p w14:paraId="45EE2DE6"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Malaysia</w:t>
            </w:r>
          </w:p>
        </w:tc>
        <w:tc>
          <w:tcPr>
            <w:tcW w:w="625" w:type="pct"/>
            <w:gridSpan w:val="2"/>
            <w:tcBorders>
              <w:top w:val="single" w:sz="4" w:space="0" w:color="auto"/>
              <w:left w:val="nil"/>
              <w:bottom w:val="single" w:sz="4" w:space="0" w:color="auto"/>
              <w:right w:val="nil"/>
            </w:tcBorders>
            <w:shd w:val="clear" w:color="auto" w:fill="auto"/>
            <w:noWrap/>
            <w:vAlign w:val="bottom"/>
            <w:hideMark/>
          </w:tcPr>
          <w:p w14:paraId="5D63A260"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Pakistan</w:t>
            </w:r>
          </w:p>
        </w:tc>
        <w:tc>
          <w:tcPr>
            <w:tcW w:w="625" w:type="pct"/>
            <w:gridSpan w:val="2"/>
            <w:tcBorders>
              <w:top w:val="single" w:sz="4" w:space="0" w:color="auto"/>
              <w:left w:val="nil"/>
              <w:bottom w:val="single" w:sz="4" w:space="0" w:color="auto"/>
              <w:right w:val="nil"/>
            </w:tcBorders>
            <w:shd w:val="clear" w:color="auto" w:fill="auto"/>
            <w:noWrap/>
            <w:vAlign w:val="bottom"/>
            <w:hideMark/>
          </w:tcPr>
          <w:p w14:paraId="52592433"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Saudi Arabia</w:t>
            </w:r>
          </w:p>
        </w:tc>
        <w:tc>
          <w:tcPr>
            <w:tcW w:w="625" w:type="pct"/>
            <w:gridSpan w:val="2"/>
            <w:tcBorders>
              <w:top w:val="single" w:sz="4" w:space="0" w:color="auto"/>
              <w:left w:val="nil"/>
              <w:bottom w:val="single" w:sz="4" w:space="0" w:color="auto"/>
              <w:right w:val="nil"/>
            </w:tcBorders>
            <w:shd w:val="clear" w:color="auto" w:fill="auto"/>
            <w:noWrap/>
            <w:vAlign w:val="bottom"/>
            <w:hideMark/>
          </w:tcPr>
          <w:p w14:paraId="40CEA4E0"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Qatar</w:t>
            </w:r>
          </w:p>
        </w:tc>
        <w:tc>
          <w:tcPr>
            <w:tcW w:w="625" w:type="pct"/>
            <w:gridSpan w:val="2"/>
            <w:tcBorders>
              <w:top w:val="single" w:sz="4" w:space="0" w:color="auto"/>
              <w:left w:val="nil"/>
              <w:bottom w:val="single" w:sz="4" w:space="0" w:color="auto"/>
              <w:right w:val="nil"/>
            </w:tcBorders>
            <w:shd w:val="clear" w:color="auto" w:fill="auto"/>
            <w:noWrap/>
            <w:vAlign w:val="bottom"/>
            <w:hideMark/>
          </w:tcPr>
          <w:p w14:paraId="5297F1E0"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Kuwait</w:t>
            </w:r>
          </w:p>
        </w:tc>
        <w:tc>
          <w:tcPr>
            <w:tcW w:w="625" w:type="pct"/>
            <w:gridSpan w:val="2"/>
            <w:tcBorders>
              <w:top w:val="single" w:sz="4" w:space="0" w:color="auto"/>
              <w:left w:val="nil"/>
              <w:bottom w:val="single" w:sz="4" w:space="0" w:color="auto"/>
              <w:right w:val="nil"/>
            </w:tcBorders>
            <w:shd w:val="clear" w:color="auto" w:fill="auto"/>
            <w:noWrap/>
            <w:vAlign w:val="bottom"/>
            <w:hideMark/>
          </w:tcPr>
          <w:p w14:paraId="2A2709AD"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UAE</w:t>
            </w:r>
          </w:p>
        </w:tc>
      </w:tr>
      <w:tr w:rsidR="001F4B9D" w:rsidRPr="00663DE1" w14:paraId="4D9304B8" w14:textId="77777777" w:rsidTr="001F4B9D">
        <w:trPr>
          <w:trHeight w:val="291"/>
        </w:trPr>
        <w:tc>
          <w:tcPr>
            <w:tcW w:w="1249" w:type="pct"/>
            <w:tcBorders>
              <w:top w:val="nil"/>
              <w:left w:val="nil"/>
              <w:bottom w:val="nil"/>
              <w:right w:val="nil"/>
            </w:tcBorders>
            <w:shd w:val="clear" w:color="auto" w:fill="auto"/>
            <w:noWrap/>
            <w:vAlign w:val="bottom"/>
            <w:hideMark/>
          </w:tcPr>
          <w:p w14:paraId="55CD6B95"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p>
        </w:tc>
        <w:tc>
          <w:tcPr>
            <w:tcW w:w="314" w:type="pct"/>
            <w:tcBorders>
              <w:top w:val="nil"/>
              <w:left w:val="nil"/>
              <w:bottom w:val="nil"/>
              <w:right w:val="nil"/>
            </w:tcBorders>
            <w:shd w:val="clear" w:color="auto" w:fill="auto"/>
            <w:noWrap/>
            <w:vAlign w:val="bottom"/>
            <w:hideMark/>
          </w:tcPr>
          <w:p w14:paraId="44A50BEB"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0AC71994"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132D0920"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41C3D99B"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117FE601"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72A76DE8"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1C304A4E"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039F50E8"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11EF7B19"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2B522502"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096276AD"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Islamic</w:t>
            </w:r>
          </w:p>
        </w:tc>
        <w:tc>
          <w:tcPr>
            <w:tcW w:w="311" w:type="pct"/>
            <w:tcBorders>
              <w:top w:val="nil"/>
              <w:left w:val="nil"/>
              <w:bottom w:val="nil"/>
              <w:right w:val="nil"/>
            </w:tcBorders>
            <w:shd w:val="clear" w:color="auto" w:fill="auto"/>
            <w:noWrap/>
            <w:vAlign w:val="bottom"/>
            <w:hideMark/>
          </w:tcPr>
          <w:p w14:paraId="216F8020"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Conv.</w:t>
            </w:r>
          </w:p>
        </w:tc>
      </w:tr>
      <w:tr w:rsidR="001F4B9D" w:rsidRPr="001D505C" w14:paraId="699C1016" w14:textId="77777777" w:rsidTr="001F4B9D">
        <w:trPr>
          <w:trHeight w:val="291"/>
        </w:trPr>
        <w:tc>
          <w:tcPr>
            <w:tcW w:w="5000" w:type="pct"/>
            <w:gridSpan w:val="13"/>
            <w:tcBorders>
              <w:top w:val="nil"/>
              <w:left w:val="nil"/>
              <w:bottom w:val="nil"/>
              <w:right w:val="nil"/>
            </w:tcBorders>
            <w:shd w:val="clear" w:color="auto" w:fill="auto"/>
            <w:noWrap/>
            <w:vAlign w:val="bottom"/>
            <w:hideMark/>
          </w:tcPr>
          <w:p w14:paraId="1C28F06C"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Size</w:t>
            </w:r>
          </w:p>
        </w:tc>
      </w:tr>
      <w:tr w:rsidR="001F4B9D" w:rsidRPr="00663DE1" w14:paraId="286D669E" w14:textId="77777777" w:rsidTr="001F4B9D">
        <w:trPr>
          <w:trHeight w:val="291"/>
        </w:trPr>
        <w:tc>
          <w:tcPr>
            <w:tcW w:w="1249" w:type="pct"/>
            <w:tcBorders>
              <w:top w:val="nil"/>
              <w:left w:val="nil"/>
              <w:bottom w:val="nil"/>
              <w:right w:val="nil"/>
            </w:tcBorders>
            <w:shd w:val="clear" w:color="auto" w:fill="auto"/>
            <w:noWrap/>
            <w:vAlign w:val="bottom"/>
            <w:hideMark/>
          </w:tcPr>
          <w:p w14:paraId="23220651"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Large</w:t>
            </w:r>
          </w:p>
        </w:tc>
        <w:tc>
          <w:tcPr>
            <w:tcW w:w="314" w:type="pct"/>
            <w:tcBorders>
              <w:top w:val="nil"/>
              <w:left w:val="nil"/>
              <w:bottom w:val="nil"/>
              <w:right w:val="nil"/>
            </w:tcBorders>
            <w:shd w:val="clear" w:color="auto" w:fill="auto"/>
            <w:noWrap/>
            <w:vAlign w:val="bottom"/>
            <w:hideMark/>
          </w:tcPr>
          <w:p w14:paraId="6B59219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63.70%</w:t>
            </w:r>
          </w:p>
        </w:tc>
        <w:tc>
          <w:tcPr>
            <w:tcW w:w="311" w:type="pct"/>
            <w:tcBorders>
              <w:top w:val="nil"/>
              <w:left w:val="nil"/>
              <w:bottom w:val="nil"/>
              <w:right w:val="nil"/>
            </w:tcBorders>
            <w:shd w:val="clear" w:color="auto" w:fill="auto"/>
            <w:noWrap/>
            <w:vAlign w:val="bottom"/>
            <w:hideMark/>
          </w:tcPr>
          <w:p w14:paraId="556AD20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23.98%</w:t>
            </w:r>
          </w:p>
        </w:tc>
        <w:tc>
          <w:tcPr>
            <w:tcW w:w="314" w:type="pct"/>
            <w:tcBorders>
              <w:top w:val="nil"/>
              <w:left w:val="nil"/>
              <w:bottom w:val="nil"/>
              <w:right w:val="nil"/>
            </w:tcBorders>
            <w:shd w:val="clear" w:color="auto" w:fill="auto"/>
            <w:noWrap/>
            <w:vAlign w:val="bottom"/>
            <w:hideMark/>
          </w:tcPr>
          <w:p w14:paraId="7E095D7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48.74%</w:t>
            </w:r>
          </w:p>
        </w:tc>
        <w:tc>
          <w:tcPr>
            <w:tcW w:w="311" w:type="pct"/>
            <w:tcBorders>
              <w:top w:val="nil"/>
              <w:left w:val="nil"/>
              <w:bottom w:val="nil"/>
              <w:right w:val="nil"/>
            </w:tcBorders>
            <w:shd w:val="clear" w:color="auto" w:fill="auto"/>
            <w:noWrap/>
            <w:vAlign w:val="bottom"/>
            <w:hideMark/>
          </w:tcPr>
          <w:p w14:paraId="4852A9A4"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25.23%</w:t>
            </w:r>
          </w:p>
        </w:tc>
        <w:tc>
          <w:tcPr>
            <w:tcW w:w="314" w:type="pct"/>
            <w:tcBorders>
              <w:top w:val="nil"/>
              <w:left w:val="nil"/>
              <w:bottom w:val="nil"/>
              <w:right w:val="nil"/>
            </w:tcBorders>
            <w:shd w:val="clear" w:color="auto" w:fill="auto"/>
            <w:noWrap/>
            <w:vAlign w:val="bottom"/>
            <w:hideMark/>
          </w:tcPr>
          <w:p w14:paraId="2642E08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57.42%</w:t>
            </w:r>
          </w:p>
        </w:tc>
        <w:tc>
          <w:tcPr>
            <w:tcW w:w="311" w:type="pct"/>
            <w:tcBorders>
              <w:top w:val="nil"/>
              <w:left w:val="nil"/>
              <w:bottom w:val="nil"/>
              <w:right w:val="nil"/>
            </w:tcBorders>
            <w:shd w:val="clear" w:color="auto" w:fill="auto"/>
            <w:noWrap/>
            <w:vAlign w:val="bottom"/>
            <w:hideMark/>
          </w:tcPr>
          <w:p w14:paraId="6EAB8C3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21.04%</w:t>
            </w:r>
          </w:p>
        </w:tc>
        <w:tc>
          <w:tcPr>
            <w:tcW w:w="314" w:type="pct"/>
            <w:tcBorders>
              <w:top w:val="nil"/>
              <w:left w:val="nil"/>
              <w:bottom w:val="nil"/>
              <w:right w:val="nil"/>
            </w:tcBorders>
            <w:shd w:val="clear" w:color="auto" w:fill="auto"/>
            <w:noWrap/>
            <w:vAlign w:val="bottom"/>
            <w:hideMark/>
          </w:tcPr>
          <w:p w14:paraId="462F855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55.20%</w:t>
            </w:r>
          </w:p>
        </w:tc>
        <w:tc>
          <w:tcPr>
            <w:tcW w:w="311" w:type="pct"/>
            <w:tcBorders>
              <w:top w:val="nil"/>
              <w:left w:val="nil"/>
              <w:bottom w:val="nil"/>
              <w:right w:val="nil"/>
            </w:tcBorders>
            <w:shd w:val="clear" w:color="auto" w:fill="auto"/>
            <w:noWrap/>
            <w:vAlign w:val="bottom"/>
            <w:hideMark/>
          </w:tcPr>
          <w:p w14:paraId="281AD5E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20.33%</w:t>
            </w:r>
          </w:p>
        </w:tc>
        <w:tc>
          <w:tcPr>
            <w:tcW w:w="314" w:type="pct"/>
            <w:tcBorders>
              <w:top w:val="nil"/>
              <w:left w:val="nil"/>
              <w:bottom w:val="nil"/>
              <w:right w:val="nil"/>
            </w:tcBorders>
            <w:shd w:val="clear" w:color="auto" w:fill="auto"/>
            <w:noWrap/>
            <w:vAlign w:val="bottom"/>
            <w:hideMark/>
          </w:tcPr>
          <w:p w14:paraId="288C2E4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69.24%</w:t>
            </w:r>
          </w:p>
        </w:tc>
        <w:tc>
          <w:tcPr>
            <w:tcW w:w="311" w:type="pct"/>
            <w:tcBorders>
              <w:top w:val="nil"/>
              <w:left w:val="nil"/>
              <w:bottom w:val="nil"/>
              <w:right w:val="nil"/>
            </w:tcBorders>
            <w:shd w:val="clear" w:color="auto" w:fill="auto"/>
            <w:noWrap/>
            <w:vAlign w:val="bottom"/>
            <w:hideMark/>
          </w:tcPr>
          <w:p w14:paraId="24D8E25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28.26%</w:t>
            </w:r>
          </w:p>
        </w:tc>
        <w:tc>
          <w:tcPr>
            <w:tcW w:w="314" w:type="pct"/>
            <w:tcBorders>
              <w:top w:val="nil"/>
              <w:left w:val="nil"/>
              <w:bottom w:val="nil"/>
              <w:right w:val="nil"/>
            </w:tcBorders>
            <w:shd w:val="clear" w:color="auto" w:fill="auto"/>
            <w:noWrap/>
            <w:vAlign w:val="bottom"/>
            <w:hideMark/>
          </w:tcPr>
          <w:p w14:paraId="2F70F1F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67.65%</w:t>
            </w:r>
          </w:p>
        </w:tc>
        <w:tc>
          <w:tcPr>
            <w:tcW w:w="311" w:type="pct"/>
            <w:tcBorders>
              <w:top w:val="nil"/>
              <w:left w:val="nil"/>
              <w:bottom w:val="nil"/>
              <w:right w:val="nil"/>
            </w:tcBorders>
            <w:shd w:val="clear" w:color="auto" w:fill="auto"/>
            <w:noWrap/>
            <w:vAlign w:val="bottom"/>
            <w:hideMark/>
          </w:tcPr>
          <w:p w14:paraId="1AFE4A1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22.59%</w:t>
            </w:r>
          </w:p>
        </w:tc>
      </w:tr>
      <w:tr w:rsidR="001F4B9D" w:rsidRPr="00663DE1" w14:paraId="6502872B" w14:textId="77777777" w:rsidTr="001F4B9D">
        <w:trPr>
          <w:trHeight w:val="291"/>
        </w:trPr>
        <w:tc>
          <w:tcPr>
            <w:tcW w:w="1249" w:type="pct"/>
            <w:tcBorders>
              <w:top w:val="nil"/>
              <w:left w:val="nil"/>
              <w:bottom w:val="nil"/>
              <w:right w:val="nil"/>
            </w:tcBorders>
            <w:shd w:val="clear" w:color="auto" w:fill="auto"/>
            <w:noWrap/>
            <w:vAlign w:val="bottom"/>
            <w:hideMark/>
          </w:tcPr>
          <w:p w14:paraId="08068475"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Mid</w:t>
            </w:r>
          </w:p>
        </w:tc>
        <w:tc>
          <w:tcPr>
            <w:tcW w:w="314" w:type="pct"/>
            <w:tcBorders>
              <w:top w:val="nil"/>
              <w:left w:val="nil"/>
              <w:bottom w:val="nil"/>
              <w:right w:val="nil"/>
            </w:tcBorders>
            <w:shd w:val="clear" w:color="auto" w:fill="auto"/>
            <w:noWrap/>
            <w:vAlign w:val="bottom"/>
            <w:hideMark/>
          </w:tcPr>
          <w:p w14:paraId="7D1433C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17.32%</w:t>
            </w:r>
          </w:p>
        </w:tc>
        <w:tc>
          <w:tcPr>
            <w:tcW w:w="311" w:type="pct"/>
            <w:tcBorders>
              <w:top w:val="nil"/>
              <w:left w:val="nil"/>
              <w:bottom w:val="nil"/>
              <w:right w:val="nil"/>
            </w:tcBorders>
            <w:shd w:val="clear" w:color="auto" w:fill="auto"/>
            <w:noWrap/>
            <w:vAlign w:val="bottom"/>
            <w:hideMark/>
          </w:tcPr>
          <w:p w14:paraId="0B141B4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29.69%</w:t>
            </w:r>
          </w:p>
        </w:tc>
        <w:tc>
          <w:tcPr>
            <w:tcW w:w="314" w:type="pct"/>
            <w:tcBorders>
              <w:top w:val="nil"/>
              <w:left w:val="nil"/>
              <w:bottom w:val="nil"/>
              <w:right w:val="nil"/>
            </w:tcBorders>
            <w:shd w:val="clear" w:color="auto" w:fill="auto"/>
            <w:noWrap/>
            <w:vAlign w:val="bottom"/>
            <w:hideMark/>
          </w:tcPr>
          <w:p w14:paraId="1D66A07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24.38%</w:t>
            </w:r>
          </w:p>
        </w:tc>
        <w:tc>
          <w:tcPr>
            <w:tcW w:w="311" w:type="pct"/>
            <w:tcBorders>
              <w:top w:val="nil"/>
              <w:left w:val="nil"/>
              <w:bottom w:val="nil"/>
              <w:right w:val="nil"/>
            </w:tcBorders>
            <w:shd w:val="clear" w:color="auto" w:fill="auto"/>
            <w:noWrap/>
            <w:vAlign w:val="bottom"/>
            <w:hideMark/>
          </w:tcPr>
          <w:p w14:paraId="05261DB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41.38%</w:t>
            </w:r>
          </w:p>
        </w:tc>
        <w:tc>
          <w:tcPr>
            <w:tcW w:w="314" w:type="pct"/>
            <w:tcBorders>
              <w:top w:val="nil"/>
              <w:left w:val="nil"/>
              <w:bottom w:val="nil"/>
              <w:right w:val="nil"/>
            </w:tcBorders>
            <w:shd w:val="clear" w:color="auto" w:fill="auto"/>
            <w:noWrap/>
            <w:vAlign w:val="bottom"/>
            <w:hideMark/>
          </w:tcPr>
          <w:p w14:paraId="224EC954"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25.24%</w:t>
            </w:r>
          </w:p>
        </w:tc>
        <w:tc>
          <w:tcPr>
            <w:tcW w:w="311" w:type="pct"/>
            <w:tcBorders>
              <w:top w:val="nil"/>
              <w:left w:val="nil"/>
              <w:bottom w:val="nil"/>
              <w:right w:val="nil"/>
            </w:tcBorders>
            <w:shd w:val="clear" w:color="auto" w:fill="auto"/>
            <w:noWrap/>
            <w:vAlign w:val="bottom"/>
            <w:hideMark/>
          </w:tcPr>
          <w:p w14:paraId="438E58C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33.80%</w:t>
            </w:r>
          </w:p>
        </w:tc>
        <w:tc>
          <w:tcPr>
            <w:tcW w:w="314" w:type="pct"/>
            <w:tcBorders>
              <w:top w:val="nil"/>
              <w:left w:val="nil"/>
              <w:bottom w:val="nil"/>
              <w:right w:val="nil"/>
            </w:tcBorders>
            <w:shd w:val="clear" w:color="auto" w:fill="auto"/>
            <w:noWrap/>
            <w:vAlign w:val="bottom"/>
            <w:hideMark/>
          </w:tcPr>
          <w:p w14:paraId="46F1C70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21.22%</w:t>
            </w:r>
          </w:p>
        </w:tc>
        <w:tc>
          <w:tcPr>
            <w:tcW w:w="311" w:type="pct"/>
            <w:tcBorders>
              <w:top w:val="nil"/>
              <w:left w:val="nil"/>
              <w:bottom w:val="nil"/>
              <w:right w:val="nil"/>
            </w:tcBorders>
            <w:shd w:val="clear" w:color="auto" w:fill="auto"/>
            <w:noWrap/>
            <w:vAlign w:val="bottom"/>
            <w:hideMark/>
          </w:tcPr>
          <w:p w14:paraId="446C47F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29.97%</w:t>
            </w:r>
          </w:p>
        </w:tc>
        <w:tc>
          <w:tcPr>
            <w:tcW w:w="314" w:type="pct"/>
            <w:tcBorders>
              <w:top w:val="nil"/>
              <w:left w:val="nil"/>
              <w:bottom w:val="nil"/>
              <w:right w:val="nil"/>
            </w:tcBorders>
            <w:shd w:val="clear" w:color="auto" w:fill="auto"/>
            <w:noWrap/>
            <w:vAlign w:val="bottom"/>
            <w:hideMark/>
          </w:tcPr>
          <w:p w14:paraId="0912412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11.74%</w:t>
            </w:r>
          </w:p>
        </w:tc>
        <w:tc>
          <w:tcPr>
            <w:tcW w:w="311" w:type="pct"/>
            <w:tcBorders>
              <w:top w:val="nil"/>
              <w:left w:val="nil"/>
              <w:bottom w:val="nil"/>
              <w:right w:val="nil"/>
            </w:tcBorders>
            <w:shd w:val="clear" w:color="auto" w:fill="auto"/>
            <w:noWrap/>
            <w:vAlign w:val="bottom"/>
            <w:hideMark/>
          </w:tcPr>
          <w:p w14:paraId="1C59336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33.87%</w:t>
            </w:r>
          </w:p>
        </w:tc>
        <w:tc>
          <w:tcPr>
            <w:tcW w:w="314" w:type="pct"/>
            <w:tcBorders>
              <w:top w:val="nil"/>
              <w:left w:val="nil"/>
              <w:bottom w:val="nil"/>
              <w:right w:val="nil"/>
            </w:tcBorders>
            <w:shd w:val="clear" w:color="auto" w:fill="auto"/>
            <w:noWrap/>
            <w:vAlign w:val="bottom"/>
            <w:hideMark/>
          </w:tcPr>
          <w:p w14:paraId="2515DAE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14.56%</w:t>
            </w:r>
          </w:p>
        </w:tc>
        <w:tc>
          <w:tcPr>
            <w:tcW w:w="311" w:type="pct"/>
            <w:tcBorders>
              <w:top w:val="nil"/>
              <w:left w:val="nil"/>
              <w:bottom w:val="nil"/>
              <w:right w:val="nil"/>
            </w:tcBorders>
            <w:shd w:val="clear" w:color="auto" w:fill="auto"/>
            <w:noWrap/>
            <w:vAlign w:val="bottom"/>
            <w:hideMark/>
          </w:tcPr>
          <w:p w14:paraId="527B734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39.26%</w:t>
            </w:r>
          </w:p>
        </w:tc>
      </w:tr>
      <w:tr w:rsidR="001F4B9D" w:rsidRPr="00663DE1" w14:paraId="2B8AAE8E" w14:textId="77777777" w:rsidTr="001F4B9D">
        <w:trPr>
          <w:trHeight w:val="291"/>
        </w:trPr>
        <w:tc>
          <w:tcPr>
            <w:tcW w:w="1249" w:type="pct"/>
            <w:tcBorders>
              <w:top w:val="nil"/>
              <w:left w:val="nil"/>
              <w:bottom w:val="nil"/>
              <w:right w:val="nil"/>
            </w:tcBorders>
            <w:shd w:val="clear" w:color="auto" w:fill="auto"/>
            <w:noWrap/>
            <w:vAlign w:val="bottom"/>
            <w:hideMark/>
          </w:tcPr>
          <w:p w14:paraId="2D0859AF"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Small</w:t>
            </w:r>
          </w:p>
        </w:tc>
        <w:tc>
          <w:tcPr>
            <w:tcW w:w="314" w:type="pct"/>
            <w:tcBorders>
              <w:top w:val="nil"/>
              <w:left w:val="nil"/>
              <w:bottom w:val="nil"/>
              <w:right w:val="nil"/>
            </w:tcBorders>
            <w:shd w:val="clear" w:color="auto" w:fill="auto"/>
            <w:noWrap/>
            <w:vAlign w:val="bottom"/>
            <w:hideMark/>
          </w:tcPr>
          <w:p w14:paraId="346558F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18.98%</w:t>
            </w:r>
          </w:p>
        </w:tc>
        <w:tc>
          <w:tcPr>
            <w:tcW w:w="311" w:type="pct"/>
            <w:tcBorders>
              <w:top w:val="nil"/>
              <w:left w:val="nil"/>
              <w:bottom w:val="nil"/>
              <w:right w:val="nil"/>
            </w:tcBorders>
            <w:shd w:val="clear" w:color="auto" w:fill="auto"/>
            <w:noWrap/>
            <w:vAlign w:val="bottom"/>
            <w:hideMark/>
          </w:tcPr>
          <w:p w14:paraId="2F1356D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46.33%</w:t>
            </w:r>
          </w:p>
        </w:tc>
        <w:tc>
          <w:tcPr>
            <w:tcW w:w="314" w:type="pct"/>
            <w:tcBorders>
              <w:top w:val="nil"/>
              <w:left w:val="nil"/>
              <w:bottom w:val="nil"/>
              <w:right w:val="nil"/>
            </w:tcBorders>
            <w:shd w:val="clear" w:color="auto" w:fill="auto"/>
            <w:noWrap/>
            <w:vAlign w:val="bottom"/>
            <w:hideMark/>
          </w:tcPr>
          <w:p w14:paraId="13F694A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26.88%</w:t>
            </w:r>
          </w:p>
        </w:tc>
        <w:tc>
          <w:tcPr>
            <w:tcW w:w="311" w:type="pct"/>
            <w:tcBorders>
              <w:top w:val="nil"/>
              <w:left w:val="nil"/>
              <w:bottom w:val="nil"/>
              <w:right w:val="nil"/>
            </w:tcBorders>
            <w:shd w:val="clear" w:color="auto" w:fill="auto"/>
            <w:noWrap/>
            <w:vAlign w:val="bottom"/>
            <w:hideMark/>
          </w:tcPr>
          <w:p w14:paraId="75B08BE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33.39%</w:t>
            </w:r>
          </w:p>
        </w:tc>
        <w:tc>
          <w:tcPr>
            <w:tcW w:w="314" w:type="pct"/>
            <w:tcBorders>
              <w:top w:val="nil"/>
              <w:left w:val="nil"/>
              <w:bottom w:val="nil"/>
              <w:right w:val="nil"/>
            </w:tcBorders>
            <w:shd w:val="clear" w:color="auto" w:fill="auto"/>
            <w:noWrap/>
            <w:vAlign w:val="bottom"/>
            <w:hideMark/>
          </w:tcPr>
          <w:p w14:paraId="10F3E53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17.34%</w:t>
            </w:r>
          </w:p>
        </w:tc>
        <w:tc>
          <w:tcPr>
            <w:tcW w:w="311" w:type="pct"/>
            <w:tcBorders>
              <w:top w:val="nil"/>
              <w:left w:val="nil"/>
              <w:bottom w:val="nil"/>
              <w:right w:val="nil"/>
            </w:tcBorders>
            <w:shd w:val="clear" w:color="auto" w:fill="auto"/>
            <w:noWrap/>
            <w:vAlign w:val="bottom"/>
            <w:hideMark/>
          </w:tcPr>
          <w:p w14:paraId="77ADA07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45.16%</w:t>
            </w:r>
          </w:p>
        </w:tc>
        <w:tc>
          <w:tcPr>
            <w:tcW w:w="314" w:type="pct"/>
            <w:tcBorders>
              <w:top w:val="nil"/>
              <w:left w:val="nil"/>
              <w:bottom w:val="nil"/>
              <w:right w:val="nil"/>
            </w:tcBorders>
            <w:shd w:val="clear" w:color="auto" w:fill="auto"/>
            <w:noWrap/>
            <w:vAlign w:val="bottom"/>
            <w:hideMark/>
          </w:tcPr>
          <w:p w14:paraId="5AF29AA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23.57%</w:t>
            </w:r>
          </w:p>
        </w:tc>
        <w:tc>
          <w:tcPr>
            <w:tcW w:w="311" w:type="pct"/>
            <w:tcBorders>
              <w:top w:val="nil"/>
              <w:left w:val="nil"/>
              <w:bottom w:val="nil"/>
              <w:right w:val="nil"/>
            </w:tcBorders>
            <w:shd w:val="clear" w:color="auto" w:fill="auto"/>
            <w:noWrap/>
            <w:vAlign w:val="bottom"/>
            <w:hideMark/>
          </w:tcPr>
          <w:p w14:paraId="2823B7D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49.70%</w:t>
            </w:r>
          </w:p>
        </w:tc>
        <w:tc>
          <w:tcPr>
            <w:tcW w:w="314" w:type="pct"/>
            <w:tcBorders>
              <w:top w:val="nil"/>
              <w:left w:val="nil"/>
              <w:bottom w:val="nil"/>
              <w:right w:val="nil"/>
            </w:tcBorders>
            <w:shd w:val="clear" w:color="auto" w:fill="auto"/>
            <w:noWrap/>
            <w:vAlign w:val="bottom"/>
            <w:hideMark/>
          </w:tcPr>
          <w:p w14:paraId="7D5044E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19.01%</w:t>
            </w:r>
          </w:p>
        </w:tc>
        <w:tc>
          <w:tcPr>
            <w:tcW w:w="311" w:type="pct"/>
            <w:tcBorders>
              <w:top w:val="nil"/>
              <w:left w:val="nil"/>
              <w:bottom w:val="nil"/>
              <w:right w:val="nil"/>
            </w:tcBorders>
            <w:shd w:val="clear" w:color="auto" w:fill="auto"/>
            <w:noWrap/>
            <w:vAlign w:val="bottom"/>
            <w:hideMark/>
          </w:tcPr>
          <w:p w14:paraId="0B718DD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37.86%</w:t>
            </w:r>
          </w:p>
        </w:tc>
        <w:tc>
          <w:tcPr>
            <w:tcW w:w="314" w:type="pct"/>
            <w:tcBorders>
              <w:top w:val="nil"/>
              <w:left w:val="nil"/>
              <w:bottom w:val="nil"/>
              <w:right w:val="nil"/>
            </w:tcBorders>
            <w:shd w:val="clear" w:color="auto" w:fill="auto"/>
            <w:noWrap/>
            <w:vAlign w:val="bottom"/>
            <w:hideMark/>
          </w:tcPr>
          <w:p w14:paraId="1E5C600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17.79%</w:t>
            </w:r>
          </w:p>
        </w:tc>
        <w:tc>
          <w:tcPr>
            <w:tcW w:w="311" w:type="pct"/>
            <w:tcBorders>
              <w:top w:val="nil"/>
              <w:left w:val="nil"/>
              <w:bottom w:val="nil"/>
              <w:right w:val="nil"/>
            </w:tcBorders>
            <w:shd w:val="clear" w:color="auto" w:fill="auto"/>
            <w:noWrap/>
            <w:vAlign w:val="bottom"/>
            <w:hideMark/>
          </w:tcPr>
          <w:p w14:paraId="58DCD95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38.15%</w:t>
            </w:r>
          </w:p>
        </w:tc>
      </w:tr>
      <w:tr w:rsidR="001F4B9D" w:rsidRPr="00663DE1" w14:paraId="7CD8C43E" w14:textId="77777777" w:rsidTr="001F4B9D">
        <w:trPr>
          <w:trHeight w:val="291"/>
        </w:trPr>
        <w:tc>
          <w:tcPr>
            <w:tcW w:w="1249" w:type="pct"/>
            <w:tcBorders>
              <w:top w:val="nil"/>
              <w:left w:val="nil"/>
              <w:bottom w:val="nil"/>
              <w:right w:val="nil"/>
            </w:tcBorders>
            <w:shd w:val="clear" w:color="auto" w:fill="auto"/>
            <w:noWrap/>
            <w:vAlign w:val="bottom"/>
            <w:hideMark/>
          </w:tcPr>
          <w:p w14:paraId="02575029"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R2</w:t>
            </w:r>
          </w:p>
        </w:tc>
        <w:tc>
          <w:tcPr>
            <w:tcW w:w="314" w:type="pct"/>
            <w:tcBorders>
              <w:top w:val="nil"/>
              <w:left w:val="nil"/>
              <w:bottom w:val="nil"/>
              <w:right w:val="nil"/>
            </w:tcBorders>
            <w:shd w:val="clear" w:color="auto" w:fill="auto"/>
            <w:noWrap/>
            <w:vAlign w:val="bottom"/>
            <w:hideMark/>
          </w:tcPr>
          <w:p w14:paraId="6AAAEED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0.9211</w:t>
            </w:r>
          </w:p>
        </w:tc>
        <w:tc>
          <w:tcPr>
            <w:tcW w:w="311" w:type="pct"/>
            <w:tcBorders>
              <w:top w:val="nil"/>
              <w:left w:val="nil"/>
              <w:bottom w:val="nil"/>
              <w:right w:val="nil"/>
            </w:tcBorders>
            <w:shd w:val="clear" w:color="auto" w:fill="auto"/>
            <w:noWrap/>
            <w:vAlign w:val="bottom"/>
            <w:hideMark/>
          </w:tcPr>
          <w:p w14:paraId="3A988B1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0.868</w:t>
            </w:r>
          </w:p>
        </w:tc>
        <w:tc>
          <w:tcPr>
            <w:tcW w:w="314" w:type="pct"/>
            <w:tcBorders>
              <w:top w:val="nil"/>
              <w:left w:val="nil"/>
              <w:bottom w:val="nil"/>
              <w:right w:val="nil"/>
            </w:tcBorders>
            <w:shd w:val="clear" w:color="auto" w:fill="auto"/>
            <w:noWrap/>
            <w:vAlign w:val="bottom"/>
            <w:hideMark/>
          </w:tcPr>
          <w:p w14:paraId="091BCC1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0.8736</w:t>
            </w:r>
          </w:p>
        </w:tc>
        <w:tc>
          <w:tcPr>
            <w:tcW w:w="311" w:type="pct"/>
            <w:tcBorders>
              <w:top w:val="nil"/>
              <w:left w:val="nil"/>
              <w:bottom w:val="nil"/>
              <w:right w:val="nil"/>
            </w:tcBorders>
            <w:shd w:val="clear" w:color="auto" w:fill="auto"/>
            <w:noWrap/>
            <w:vAlign w:val="bottom"/>
            <w:hideMark/>
          </w:tcPr>
          <w:p w14:paraId="0A70673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0.9441</w:t>
            </w:r>
          </w:p>
        </w:tc>
        <w:tc>
          <w:tcPr>
            <w:tcW w:w="314" w:type="pct"/>
            <w:tcBorders>
              <w:top w:val="nil"/>
              <w:left w:val="nil"/>
              <w:bottom w:val="nil"/>
              <w:right w:val="nil"/>
            </w:tcBorders>
            <w:shd w:val="clear" w:color="auto" w:fill="auto"/>
            <w:noWrap/>
            <w:vAlign w:val="bottom"/>
            <w:hideMark/>
          </w:tcPr>
          <w:p w14:paraId="1533936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0.9371</w:t>
            </w:r>
          </w:p>
        </w:tc>
        <w:tc>
          <w:tcPr>
            <w:tcW w:w="311" w:type="pct"/>
            <w:tcBorders>
              <w:top w:val="nil"/>
              <w:left w:val="nil"/>
              <w:bottom w:val="nil"/>
              <w:right w:val="nil"/>
            </w:tcBorders>
            <w:shd w:val="clear" w:color="auto" w:fill="auto"/>
            <w:noWrap/>
            <w:vAlign w:val="bottom"/>
            <w:hideMark/>
          </w:tcPr>
          <w:p w14:paraId="76AB812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0.9142</w:t>
            </w:r>
          </w:p>
        </w:tc>
        <w:tc>
          <w:tcPr>
            <w:tcW w:w="314" w:type="pct"/>
            <w:tcBorders>
              <w:top w:val="nil"/>
              <w:left w:val="nil"/>
              <w:bottom w:val="nil"/>
              <w:right w:val="nil"/>
            </w:tcBorders>
            <w:shd w:val="clear" w:color="auto" w:fill="auto"/>
            <w:noWrap/>
            <w:vAlign w:val="bottom"/>
            <w:hideMark/>
          </w:tcPr>
          <w:p w14:paraId="2C86BD1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0.9257</w:t>
            </w:r>
          </w:p>
        </w:tc>
        <w:tc>
          <w:tcPr>
            <w:tcW w:w="311" w:type="pct"/>
            <w:tcBorders>
              <w:top w:val="nil"/>
              <w:left w:val="nil"/>
              <w:bottom w:val="nil"/>
              <w:right w:val="nil"/>
            </w:tcBorders>
            <w:shd w:val="clear" w:color="auto" w:fill="auto"/>
            <w:noWrap/>
            <w:vAlign w:val="bottom"/>
            <w:hideMark/>
          </w:tcPr>
          <w:p w14:paraId="4810E20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0.8895</w:t>
            </w:r>
          </w:p>
        </w:tc>
        <w:tc>
          <w:tcPr>
            <w:tcW w:w="314" w:type="pct"/>
            <w:tcBorders>
              <w:top w:val="nil"/>
              <w:left w:val="nil"/>
              <w:bottom w:val="nil"/>
              <w:right w:val="nil"/>
            </w:tcBorders>
            <w:shd w:val="clear" w:color="auto" w:fill="auto"/>
            <w:noWrap/>
            <w:vAlign w:val="bottom"/>
            <w:hideMark/>
          </w:tcPr>
          <w:p w14:paraId="4ABB71F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0.9649</w:t>
            </w:r>
          </w:p>
        </w:tc>
        <w:tc>
          <w:tcPr>
            <w:tcW w:w="311" w:type="pct"/>
            <w:tcBorders>
              <w:top w:val="nil"/>
              <w:left w:val="nil"/>
              <w:bottom w:val="nil"/>
              <w:right w:val="nil"/>
            </w:tcBorders>
            <w:shd w:val="clear" w:color="auto" w:fill="auto"/>
            <w:noWrap/>
            <w:vAlign w:val="bottom"/>
            <w:hideMark/>
          </w:tcPr>
          <w:p w14:paraId="140F172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0.8905</w:t>
            </w:r>
          </w:p>
        </w:tc>
        <w:tc>
          <w:tcPr>
            <w:tcW w:w="314" w:type="pct"/>
            <w:tcBorders>
              <w:top w:val="nil"/>
              <w:left w:val="nil"/>
              <w:bottom w:val="nil"/>
              <w:right w:val="nil"/>
            </w:tcBorders>
            <w:shd w:val="clear" w:color="auto" w:fill="auto"/>
            <w:noWrap/>
            <w:vAlign w:val="bottom"/>
            <w:hideMark/>
          </w:tcPr>
          <w:p w14:paraId="21F6E1A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0.9306</w:t>
            </w:r>
          </w:p>
        </w:tc>
        <w:tc>
          <w:tcPr>
            <w:tcW w:w="311" w:type="pct"/>
            <w:tcBorders>
              <w:top w:val="nil"/>
              <w:left w:val="nil"/>
              <w:bottom w:val="nil"/>
              <w:right w:val="nil"/>
            </w:tcBorders>
            <w:shd w:val="clear" w:color="auto" w:fill="auto"/>
            <w:noWrap/>
            <w:vAlign w:val="bottom"/>
            <w:hideMark/>
          </w:tcPr>
          <w:p w14:paraId="173C3C0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0.8823</w:t>
            </w:r>
          </w:p>
        </w:tc>
      </w:tr>
      <w:tr w:rsidR="001F4B9D" w:rsidRPr="00663DE1" w14:paraId="3C3B24E0" w14:textId="77777777" w:rsidTr="001F4B9D">
        <w:trPr>
          <w:trHeight w:val="291"/>
        </w:trPr>
        <w:tc>
          <w:tcPr>
            <w:tcW w:w="1249" w:type="pct"/>
            <w:tcBorders>
              <w:top w:val="nil"/>
              <w:left w:val="nil"/>
              <w:bottom w:val="nil"/>
              <w:right w:val="nil"/>
            </w:tcBorders>
            <w:shd w:val="clear" w:color="auto" w:fill="auto"/>
            <w:noWrap/>
            <w:vAlign w:val="bottom"/>
            <w:hideMark/>
          </w:tcPr>
          <w:p w14:paraId="22ED7297"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Tracking Error</w:t>
            </w:r>
          </w:p>
        </w:tc>
        <w:tc>
          <w:tcPr>
            <w:tcW w:w="314" w:type="pct"/>
            <w:tcBorders>
              <w:top w:val="nil"/>
              <w:left w:val="nil"/>
              <w:bottom w:val="nil"/>
              <w:right w:val="nil"/>
            </w:tcBorders>
            <w:shd w:val="clear" w:color="auto" w:fill="auto"/>
            <w:noWrap/>
            <w:vAlign w:val="bottom"/>
            <w:hideMark/>
          </w:tcPr>
          <w:p w14:paraId="0A51CC4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0.69%</w:t>
            </w:r>
          </w:p>
        </w:tc>
        <w:tc>
          <w:tcPr>
            <w:tcW w:w="311" w:type="pct"/>
            <w:tcBorders>
              <w:top w:val="nil"/>
              <w:left w:val="nil"/>
              <w:bottom w:val="nil"/>
              <w:right w:val="nil"/>
            </w:tcBorders>
            <w:shd w:val="clear" w:color="auto" w:fill="auto"/>
            <w:noWrap/>
            <w:vAlign w:val="bottom"/>
            <w:hideMark/>
          </w:tcPr>
          <w:p w14:paraId="7F163C7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0.45%</w:t>
            </w:r>
          </w:p>
        </w:tc>
        <w:tc>
          <w:tcPr>
            <w:tcW w:w="314" w:type="pct"/>
            <w:tcBorders>
              <w:top w:val="nil"/>
              <w:left w:val="nil"/>
              <w:bottom w:val="nil"/>
              <w:right w:val="nil"/>
            </w:tcBorders>
            <w:shd w:val="clear" w:color="auto" w:fill="auto"/>
            <w:noWrap/>
            <w:vAlign w:val="bottom"/>
            <w:hideMark/>
          </w:tcPr>
          <w:p w14:paraId="131BAE4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0.77%</w:t>
            </w:r>
          </w:p>
        </w:tc>
        <w:tc>
          <w:tcPr>
            <w:tcW w:w="311" w:type="pct"/>
            <w:tcBorders>
              <w:top w:val="nil"/>
              <w:left w:val="nil"/>
              <w:bottom w:val="nil"/>
              <w:right w:val="nil"/>
            </w:tcBorders>
            <w:shd w:val="clear" w:color="auto" w:fill="auto"/>
            <w:noWrap/>
            <w:vAlign w:val="bottom"/>
            <w:hideMark/>
          </w:tcPr>
          <w:p w14:paraId="27F9A10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0.97%</w:t>
            </w:r>
          </w:p>
        </w:tc>
        <w:tc>
          <w:tcPr>
            <w:tcW w:w="314" w:type="pct"/>
            <w:tcBorders>
              <w:top w:val="nil"/>
              <w:left w:val="nil"/>
              <w:bottom w:val="nil"/>
              <w:right w:val="nil"/>
            </w:tcBorders>
            <w:shd w:val="clear" w:color="auto" w:fill="auto"/>
            <w:noWrap/>
            <w:vAlign w:val="bottom"/>
            <w:hideMark/>
          </w:tcPr>
          <w:p w14:paraId="2EA43F9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0.39%</w:t>
            </w:r>
          </w:p>
        </w:tc>
        <w:tc>
          <w:tcPr>
            <w:tcW w:w="311" w:type="pct"/>
            <w:tcBorders>
              <w:top w:val="nil"/>
              <w:left w:val="nil"/>
              <w:bottom w:val="nil"/>
              <w:right w:val="nil"/>
            </w:tcBorders>
            <w:shd w:val="clear" w:color="auto" w:fill="auto"/>
            <w:noWrap/>
            <w:vAlign w:val="bottom"/>
            <w:hideMark/>
          </w:tcPr>
          <w:p w14:paraId="6E289C2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0.83%</w:t>
            </w:r>
          </w:p>
        </w:tc>
        <w:tc>
          <w:tcPr>
            <w:tcW w:w="314" w:type="pct"/>
            <w:tcBorders>
              <w:top w:val="nil"/>
              <w:left w:val="nil"/>
              <w:bottom w:val="nil"/>
              <w:right w:val="nil"/>
            </w:tcBorders>
            <w:shd w:val="clear" w:color="auto" w:fill="auto"/>
            <w:noWrap/>
            <w:vAlign w:val="bottom"/>
            <w:hideMark/>
          </w:tcPr>
          <w:p w14:paraId="26FC9B7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0.51%</w:t>
            </w:r>
          </w:p>
        </w:tc>
        <w:tc>
          <w:tcPr>
            <w:tcW w:w="311" w:type="pct"/>
            <w:tcBorders>
              <w:top w:val="nil"/>
              <w:left w:val="nil"/>
              <w:bottom w:val="nil"/>
              <w:right w:val="nil"/>
            </w:tcBorders>
            <w:shd w:val="clear" w:color="auto" w:fill="auto"/>
            <w:noWrap/>
            <w:vAlign w:val="bottom"/>
            <w:hideMark/>
          </w:tcPr>
          <w:p w14:paraId="43E5807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0.66%</w:t>
            </w:r>
          </w:p>
        </w:tc>
        <w:tc>
          <w:tcPr>
            <w:tcW w:w="314" w:type="pct"/>
            <w:tcBorders>
              <w:top w:val="nil"/>
              <w:left w:val="nil"/>
              <w:bottom w:val="nil"/>
              <w:right w:val="nil"/>
            </w:tcBorders>
            <w:shd w:val="clear" w:color="auto" w:fill="auto"/>
            <w:noWrap/>
            <w:vAlign w:val="bottom"/>
            <w:hideMark/>
          </w:tcPr>
          <w:p w14:paraId="567D692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0.55%</w:t>
            </w:r>
          </w:p>
        </w:tc>
        <w:tc>
          <w:tcPr>
            <w:tcW w:w="311" w:type="pct"/>
            <w:tcBorders>
              <w:top w:val="nil"/>
              <w:left w:val="nil"/>
              <w:bottom w:val="nil"/>
              <w:right w:val="nil"/>
            </w:tcBorders>
            <w:shd w:val="clear" w:color="auto" w:fill="auto"/>
            <w:noWrap/>
            <w:vAlign w:val="bottom"/>
            <w:hideMark/>
          </w:tcPr>
          <w:p w14:paraId="24390CC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0.48%</w:t>
            </w:r>
          </w:p>
        </w:tc>
        <w:tc>
          <w:tcPr>
            <w:tcW w:w="314" w:type="pct"/>
            <w:tcBorders>
              <w:top w:val="nil"/>
              <w:left w:val="nil"/>
              <w:bottom w:val="nil"/>
              <w:right w:val="nil"/>
            </w:tcBorders>
            <w:shd w:val="clear" w:color="auto" w:fill="auto"/>
            <w:noWrap/>
            <w:vAlign w:val="bottom"/>
            <w:hideMark/>
          </w:tcPr>
          <w:p w14:paraId="3BAB62C4"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0.93%</w:t>
            </w:r>
          </w:p>
        </w:tc>
        <w:tc>
          <w:tcPr>
            <w:tcW w:w="311" w:type="pct"/>
            <w:tcBorders>
              <w:top w:val="nil"/>
              <w:left w:val="nil"/>
              <w:bottom w:val="nil"/>
              <w:right w:val="nil"/>
            </w:tcBorders>
            <w:shd w:val="clear" w:color="auto" w:fill="auto"/>
            <w:noWrap/>
            <w:vAlign w:val="bottom"/>
            <w:hideMark/>
          </w:tcPr>
          <w:p w14:paraId="38F8CF7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0.64%</w:t>
            </w:r>
          </w:p>
        </w:tc>
      </w:tr>
      <w:tr w:rsidR="001F4B9D" w:rsidRPr="001D505C" w14:paraId="2FABE915" w14:textId="77777777" w:rsidTr="001F4B9D">
        <w:trPr>
          <w:trHeight w:val="291"/>
        </w:trPr>
        <w:tc>
          <w:tcPr>
            <w:tcW w:w="5000" w:type="pct"/>
            <w:gridSpan w:val="13"/>
            <w:tcBorders>
              <w:top w:val="nil"/>
              <w:left w:val="nil"/>
              <w:bottom w:val="nil"/>
              <w:right w:val="nil"/>
            </w:tcBorders>
            <w:shd w:val="clear" w:color="auto" w:fill="auto"/>
            <w:noWrap/>
            <w:vAlign w:val="bottom"/>
            <w:hideMark/>
          </w:tcPr>
          <w:p w14:paraId="440284C2"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Factor Strategies</w:t>
            </w:r>
          </w:p>
        </w:tc>
      </w:tr>
      <w:tr w:rsidR="001F4B9D" w:rsidRPr="00663DE1" w14:paraId="2B87C953" w14:textId="77777777" w:rsidTr="001F4B9D">
        <w:trPr>
          <w:trHeight w:val="291"/>
        </w:trPr>
        <w:tc>
          <w:tcPr>
            <w:tcW w:w="1249" w:type="pct"/>
            <w:tcBorders>
              <w:top w:val="nil"/>
              <w:left w:val="nil"/>
              <w:bottom w:val="nil"/>
              <w:right w:val="nil"/>
            </w:tcBorders>
            <w:shd w:val="clear" w:color="auto" w:fill="auto"/>
            <w:noWrap/>
            <w:vAlign w:val="bottom"/>
            <w:hideMark/>
          </w:tcPr>
          <w:p w14:paraId="7119A5F7"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Growth</w:t>
            </w:r>
          </w:p>
        </w:tc>
        <w:tc>
          <w:tcPr>
            <w:tcW w:w="314" w:type="pct"/>
            <w:tcBorders>
              <w:top w:val="nil"/>
              <w:left w:val="nil"/>
              <w:bottom w:val="nil"/>
              <w:right w:val="nil"/>
            </w:tcBorders>
            <w:shd w:val="clear" w:color="auto" w:fill="auto"/>
            <w:noWrap/>
            <w:vAlign w:val="bottom"/>
            <w:hideMark/>
          </w:tcPr>
          <w:p w14:paraId="0000DEA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21.64%</w:t>
            </w:r>
          </w:p>
        </w:tc>
        <w:tc>
          <w:tcPr>
            <w:tcW w:w="311" w:type="pct"/>
            <w:tcBorders>
              <w:top w:val="nil"/>
              <w:left w:val="nil"/>
              <w:bottom w:val="nil"/>
              <w:right w:val="nil"/>
            </w:tcBorders>
            <w:shd w:val="clear" w:color="auto" w:fill="auto"/>
            <w:noWrap/>
            <w:vAlign w:val="bottom"/>
            <w:hideMark/>
          </w:tcPr>
          <w:p w14:paraId="3C6B8D0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58.65%</w:t>
            </w:r>
          </w:p>
        </w:tc>
        <w:tc>
          <w:tcPr>
            <w:tcW w:w="314" w:type="pct"/>
            <w:tcBorders>
              <w:top w:val="nil"/>
              <w:left w:val="nil"/>
              <w:bottom w:val="nil"/>
              <w:right w:val="nil"/>
            </w:tcBorders>
            <w:shd w:val="clear" w:color="auto" w:fill="auto"/>
            <w:noWrap/>
            <w:vAlign w:val="bottom"/>
            <w:hideMark/>
          </w:tcPr>
          <w:p w14:paraId="050F35B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15.27%</w:t>
            </w:r>
          </w:p>
        </w:tc>
        <w:tc>
          <w:tcPr>
            <w:tcW w:w="311" w:type="pct"/>
            <w:tcBorders>
              <w:top w:val="nil"/>
              <w:left w:val="nil"/>
              <w:bottom w:val="nil"/>
              <w:right w:val="nil"/>
            </w:tcBorders>
            <w:shd w:val="clear" w:color="auto" w:fill="auto"/>
            <w:noWrap/>
            <w:vAlign w:val="bottom"/>
            <w:hideMark/>
          </w:tcPr>
          <w:p w14:paraId="338D919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61.89%</w:t>
            </w:r>
          </w:p>
        </w:tc>
        <w:tc>
          <w:tcPr>
            <w:tcW w:w="314" w:type="pct"/>
            <w:tcBorders>
              <w:top w:val="nil"/>
              <w:left w:val="nil"/>
              <w:bottom w:val="nil"/>
              <w:right w:val="nil"/>
            </w:tcBorders>
            <w:shd w:val="clear" w:color="auto" w:fill="auto"/>
            <w:noWrap/>
            <w:vAlign w:val="bottom"/>
            <w:hideMark/>
          </w:tcPr>
          <w:p w14:paraId="59181AD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13.12%</w:t>
            </w:r>
          </w:p>
        </w:tc>
        <w:tc>
          <w:tcPr>
            <w:tcW w:w="311" w:type="pct"/>
            <w:tcBorders>
              <w:top w:val="nil"/>
              <w:left w:val="nil"/>
              <w:bottom w:val="nil"/>
              <w:right w:val="nil"/>
            </w:tcBorders>
            <w:shd w:val="clear" w:color="auto" w:fill="auto"/>
            <w:noWrap/>
            <w:vAlign w:val="bottom"/>
            <w:hideMark/>
          </w:tcPr>
          <w:p w14:paraId="0CCA65A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51.02%</w:t>
            </w:r>
          </w:p>
        </w:tc>
        <w:tc>
          <w:tcPr>
            <w:tcW w:w="314" w:type="pct"/>
            <w:tcBorders>
              <w:top w:val="nil"/>
              <w:left w:val="nil"/>
              <w:bottom w:val="nil"/>
              <w:right w:val="nil"/>
            </w:tcBorders>
            <w:shd w:val="clear" w:color="auto" w:fill="auto"/>
            <w:noWrap/>
            <w:vAlign w:val="bottom"/>
            <w:hideMark/>
          </w:tcPr>
          <w:p w14:paraId="4BAB60D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24.52%</w:t>
            </w:r>
          </w:p>
        </w:tc>
        <w:tc>
          <w:tcPr>
            <w:tcW w:w="311" w:type="pct"/>
            <w:tcBorders>
              <w:top w:val="nil"/>
              <w:left w:val="nil"/>
              <w:bottom w:val="nil"/>
              <w:right w:val="nil"/>
            </w:tcBorders>
            <w:shd w:val="clear" w:color="auto" w:fill="auto"/>
            <w:noWrap/>
            <w:vAlign w:val="bottom"/>
            <w:hideMark/>
          </w:tcPr>
          <w:p w14:paraId="08AEB40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25.33%</w:t>
            </w:r>
          </w:p>
        </w:tc>
        <w:tc>
          <w:tcPr>
            <w:tcW w:w="314" w:type="pct"/>
            <w:tcBorders>
              <w:top w:val="nil"/>
              <w:left w:val="nil"/>
              <w:bottom w:val="nil"/>
              <w:right w:val="nil"/>
            </w:tcBorders>
            <w:shd w:val="clear" w:color="auto" w:fill="auto"/>
            <w:noWrap/>
            <w:vAlign w:val="bottom"/>
            <w:hideMark/>
          </w:tcPr>
          <w:p w14:paraId="313E4D6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11.27%</w:t>
            </w:r>
          </w:p>
        </w:tc>
        <w:tc>
          <w:tcPr>
            <w:tcW w:w="311" w:type="pct"/>
            <w:tcBorders>
              <w:top w:val="nil"/>
              <w:left w:val="nil"/>
              <w:bottom w:val="nil"/>
              <w:right w:val="nil"/>
            </w:tcBorders>
            <w:shd w:val="clear" w:color="auto" w:fill="auto"/>
            <w:noWrap/>
            <w:vAlign w:val="bottom"/>
            <w:hideMark/>
          </w:tcPr>
          <w:p w14:paraId="3E2C843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48.68%</w:t>
            </w:r>
          </w:p>
        </w:tc>
        <w:tc>
          <w:tcPr>
            <w:tcW w:w="314" w:type="pct"/>
            <w:tcBorders>
              <w:top w:val="nil"/>
              <w:left w:val="nil"/>
              <w:bottom w:val="nil"/>
              <w:right w:val="nil"/>
            </w:tcBorders>
            <w:shd w:val="clear" w:color="auto" w:fill="auto"/>
            <w:noWrap/>
            <w:vAlign w:val="bottom"/>
            <w:hideMark/>
          </w:tcPr>
          <w:p w14:paraId="4CD83DD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17.57%</w:t>
            </w:r>
          </w:p>
        </w:tc>
        <w:tc>
          <w:tcPr>
            <w:tcW w:w="311" w:type="pct"/>
            <w:tcBorders>
              <w:top w:val="nil"/>
              <w:left w:val="nil"/>
              <w:bottom w:val="nil"/>
              <w:right w:val="nil"/>
            </w:tcBorders>
            <w:shd w:val="clear" w:color="auto" w:fill="auto"/>
            <w:noWrap/>
            <w:vAlign w:val="bottom"/>
            <w:hideMark/>
          </w:tcPr>
          <w:p w14:paraId="1EC94C7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54.21%</w:t>
            </w:r>
          </w:p>
        </w:tc>
      </w:tr>
      <w:tr w:rsidR="001F4B9D" w:rsidRPr="00663DE1" w14:paraId="4413EF92" w14:textId="77777777" w:rsidTr="001F4B9D">
        <w:trPr>
          <w:trHeight w:val="291"/>
        </w:trPr>
        <w:tc>
          <w:tcPr>
            <w:tcW w:w="1249" w:type="pct"/>
            <w:tcBorders>
              <w:top w:val="nil"/>
              <w:left w:val="nil"/>
              <w:bottom w:val="nil"/>
              <w:right w:val="nil"/>
            </w:tcBorders>
            <w:shd w:val="clear" w:color="auto" w:fill="auto"/>
            <w:noWrap/>
            <w:vAlign w:val="bottom"/>
            <w:hideMark/>
          </w:tcPr>
          <w:p w14:paraId="1343494D"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Value</w:t>
            </w:r>
          </w:p>
        </w:tc>
        <w:tc>
          <w:tcPr>
            <w:tcW w:w="314" w:type="pct"/>
            <w:tcBorders>
              <w:top w:val="nil"/>
              <w:left w:val="nil"/>
              <w:bottom w:val="nil"/>
              <w:right w:val="nil"/>
            </w:tcBorders>
            <w:shd w:val="clear" w:color="auto" w:fill="auto"/>
            <w:noWrap/>
            <w:vAlign w:val="bottom"/>
            <w:hideMark/>
          </w:tcPr>
          <w:p w14:paraId="175FC1C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69.69%</w:t>
            </w:r>
          </w:p>
        </w:tc>
        <w:tc>
          <w:tcPr>
            <w:tcW w:w="311" w:type="pct"/>
            <w:tcBorders>
              <w:top w:val="nil"/>
              <w:left w:val="nil"/>
              <w:bottom w:val="nil"/>
              <w:right w:val="nil"/>
            </w:tcBorders>
            <w:shd w:val="clear" w:color="auto" w:fill="auto"/>
            <w:noWrap/>
            <w:vAlign w:val="bottom"/>
            <w:hideMark/>
          </w:tcPr>
          <w:p w14:paraId="4F99A89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25.66%</w:t>
            </w:r>
          </w:p>
        </w:tc>
        <w:tc>
          <w:tcPr>
            <w:tcW w:w="314" w:type="pct"/>
            <w:tcBorders>
              <w:top w:val="nil"/>
              <w:left w:val="nil"/>
              <w:bottom w:val="nil"/>
              <w:right w:val="nil"/>
            </w:tcBorders>
            <w:shd w:val="clear" w:color="auto" w:fill="auto"/>
            <w:noWrap/>
            <w:vAlign w:val="bottom"/>
            <w:hideMark/>
          </w:tcPr>
          <w:p w14:paraId="54E6672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73.85%</w:t>
            </w:r>
          </w:p>
        </w:tc>
        <w:tc>
          <w:tcPr>
            <w:tcW w:w="311" w:type="pct"/>
            <w:tcBorders>
              <w:top w:val="nil"/>
              <w:left w:val="nil"/>
              <w:bottom w:val="nil"/>
              <w:right w:val="nil"/>
            </w:tcBorders>
            <w:shd w:val="clear" w:color="auto" w:fill="auto"/>
            <w:noWrap/>
            <w:vAlign w:val="bottom"/>
            <w:hideMark/>
          </w:tcPr>
          <w:p w14:paraId="26100E0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27.01%</w:t>
            </w:r>
          </w:p>
        </w:tc>
        <w:tc>
          <w:tcPr>
            <w:tcW w:w="314" w:type="pct"/>
            <w:tcBorders>
              <w:top w:val="nil"/>
              <w:left w:val="nil"/>
              <w:bottom w:val="nil"/>
              <w:right w:val="nil"/>
            </w:tcBorders>
            <w:shd w:val="clear" w:color="auto" w:fill="auto"/>
            <w:noWrap/>
            <w:vAlign w:val="bottom"/>
            <w:hideMark/>
          </w:tcPr>
          <w:p w14:paraId="50F6C14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64.92%</w:t>
            </w:r>
          </w:p>
        </w:tc>
        <w:tc>
          <w:tcPr>
            <w:tcW w:w="311" w:type="pct"/>
            <w:tcBorders>
              <w:top w:val="nil"/>
              <w:left w:val="nil"/>
              <w:bottom w:val="nil"/>
              <w:right w:val="nil"/>
            </w:tcBorders>
            <w:shd w:val="clear" w:color="auto" w:fill="auto"/>
            <w:noWrap/>
            <w:vAlign w:val="bottom"/>
            <w:hideMark/>
          </w:tcPr>
          <w:p w14:paraId="2561135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17.07%</w:t>
            </w:r>
          </w:p>
        </w:tc>
        <w:tc>
          <w:tcPr>
            <w:tcW w:w="314" w:type="pct"/>
            <w:tcBorders>
              <w:top w:val="nil"/>
              <w:left w:val="nil"/>
              <w:bottom w:val="nil"/>
              <w:right w:val="nil"/>
            </w:tcBorders>
            <w:shd w:val="clear" w:color="auto" w:fill="auto"/>
            <w:noWrap/>
            <w:vAlign w:val="bottom"/>
            <w:hideMark/>
          </w:tcPr>
          <w:p w14:paraId="182EB41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48.59%</w:t>
            </w:r>
          </w:p>
        </w:tc>
        <w:tc>
          <w:tcPr>
            <w:tcW w:w="311" w:type="pct"/>
            <w:tcBorders>
              <w:top w:val="nil"/>
              <w:left w:val="nil"/>
              <w:bottom w:val="nil"/>
              <w:right w:val="nil"/>
            </w:tcBorders>
            <w:shd w:val="clear" w:color="auto" w:fill="auto"/>
            <w:noWrap/>
            <w:vAlign w:val="bottom"/>
            <w:hideMark/>
          </w:tcPr>
          <w:p w14:paraId="52BF898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34.35%</w:t>
            </w:r>
          </w:p>
        </w:tc>
        <w:tc>
          <w:tcPr>
            <w:tcW w:w="314" w:type="pct"/>
            <w:tcBorders>
              <w:top w:val="nil"/>
              <w:left w:val="nil"/>
              <w:bottom w:val="nil"/>
              <w:right w:val="nil"/>
            </w:tcBorders>
            <w:shd w:val="clear" w:color="auto" w:fill="auto"/>
            <w:noWrap/>
            <w:vAlign w:val="bottom"/>
            <w:hideMark/>
          </w:tcPr>
          <w:p w14:paraId="190C029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86.22%</w:t>
            </w:r>
          </w:p>
        </w:tc>
        <w:tc>
          <w:tcPr>
            <w:tcW w:w="311" w:type="pct"/>
            <w:tcBorders>
              <w:top w:val="nil"/>
              <w:left w:val="nil"/>
              <w:bottom w:val="nil"/>
              <w:right w:val="nil"/>
            </w:tcBorders>
            <w:shd w:val="clear" w:color="auto" w:fill="auto"/>
            <w:noWrap/>
            <w:vAlign w:val="bottom"/>
            <w:hideMark/>
          </w:tcPr>
          <w:p w14:paraId="7CCB5E8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22.14%</w:t>
            </w:r>
          </w:p>
        </w:tc>
        <w:tc>
          <w:tcPr>
            <w:tcW w:w="314" w:type="pct"/>
            <w:tcBorders>
              <w:top w:val="nil"/>
              <w:left w:val="nil"/>
              <w:bottom w:val="nil"/>
              <w:right w:val="nil"/>
            </w:tcBorders>
            <w:shd w:val="clear" w:color="auto" w:fill="auto"/>
            <w:noWrap/>
            <w:vAlign w:val="bottom"/>
            <w:hideMark/>
          </w:tcPr>
          <w:p w14:paraId="20F713F4"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53.63%</w:t>
            </w:r>
          </w:p>
        </w:tc>
        <w:tc>
          <w:tcPr>
            <w:tcW w:w="311" w:type="pct"/>
            <w:tcBorders>
              <w:top w:val="nil"/>
              <w:left w:val="nil"/>
              <w:bottom w:val="nil"/>
              <w:right w:val="nil"/>
            </w:tcBorders>
            <w:shd w:val="clear" w:color="auto" w:fill="auto"/>
            <w:noWrap/>
            <w:vAlign w:val="bottom"/>
            <w:hideMark/>
          </w:tcPr>
          <w:p w14:paraId="41C52B1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16.01%</w:t>
            </w:r>
          </w:p>
        </w:tc>
      </w:tr>
      <w:tr w:rsidR="001F4B9D" w:rsidRPr="00663DE1" w14:paraId="71164AC3" w14:textId="77777777" w:rsidTr="001F4B9D">
        <w:trPr>
          <w:trHeight w:val="291"/>
        </w:trPr>
        <w:tc>
          <w:tcPr>
            <w:tcW w:w="1249" w:type="pct"/>
            <w:tcBorders>
              <w:top w:val="nil"/>
              <w:left w:val="nil"/>
              <w:bottom w:val="nil"/>
              <w:right w:val="nil"/>
            </w:tcBorders>
            <w:shd w:val="clear" w:color="auto" w:fill="auto"/>
            <w:noWrap/>
            <w:vAlign w:val="bottom"/>
            <w:hideMark/>
          </w:tcPr>
          <w:p w14:paraId="4BDA8D6E"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Momentum</w:t>
            </w:r>
          </w:p>
        </w:tc>
        <w:tc>
          <w:tcPr>
            <w:tcW w:w="314" w:type="pct"/>
            <w:tcBorders>
              <w:top w:val="nil"/>
              <w:left w:val="nil"/>
              <w:bottom w:val="nil"/>
              <w:right w:val="nil"/>
            </w:tcBorders>
            <w:shd w:val="clear" w:color="auto" w:fill="auto"/>
            <w:noWrap/>
            <w:vAlign w:val="bottom"/>
            <w:hideMark/>
          </w:tcPr>
          <w:p w14:paraId="1A70833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8.68%</w:t>
            </w:r>
          </w:p>
        </w:tc>
        <w:tc>
          <w:tcPr>
            <w:tcW w:w="311" w:type="pct"/>
            <w:tcBorders>
              <w:top w:val="nil"/>
              <w:left w:val="nil"/>
              <w:bottom w:val="nil"/>
              <w:right w:val="nil"/>
            </w:tcBorders>
            <w:shd w:val="clear" w:color="auto" w:fill="auto"/>
            <w:noWrap/>
            <w:vAlign w:val="bottom"/>
            <w:hideMark/>
          </w:tcPr>
          <w:p w14:paraId="6965943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15.69%</w:t>
            </w:r>
          </w:p>
        </w:tc>
        <w:tc>
          <w:tcPr>
            <w:tcW w:w="314" w:type="pct"/>
            <w:tcBorders>
              <w:top w:val="nil"/>
              <w:left w:val="nil"/>
              <w:bottom w:val="nil"/>
              <w:right w:val="nil"/>
            </w:tcBorders>
            <w:shd w:val="clear" w:color="auto" w:fill="auto"/>
            <w:noWrap/>
            <w:vAlign w:val="bottom"/>
            <w:hideMark/>
          </w:tcPr>
          <w:p w14:paraId="78F2E7C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10.89%</w:t>
            </w:r>
          </w:p>
        </w:tc>
        <w:tc>
          <w:tcPr>
            <w:tcW w:w="311" w:type="pct"/>
            <w:tcBorders>
              <w:top w:val="nil"/>
              <w:left w:val="nil"/>
              <w:bottom w:val="nil"/>
              <w:right w:val="nil"/>
            </w:tcBorders>
            <w:shd w:val="clear" w:color="auto" w:fill="auto"/>
            <w:noWrap/>
            <w:vAlign w:val="bottom"/>
            <w:hideMark/>
          </w:tcPr>
          <w:p w14:paraId="19B29E2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11.10%</w:t>
            </w:r>
          </w:p>
        </w:tc>
        <w:tc>
          <w:tcPr>
            <w:tcW w:w="314" w:type="pct"/>
            <w:tcBorders>
              <w:top w:val="nil"/>
              <w:left w:val="nil"/>
              <w:bottom w:val="nil"/>
              <w:right w:val="nil"/>
            </w:tcBorders>
            <w:shd w:val="clear" w:color="auto" w:fill="auto"/>
            <w:noWrap/>
            <w:vAlign w:val="bottom"/>
            <w:hideMark/>
          </w:tcPr>
          <w:p w14:paraId="746AF8F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21.96%</w:t>
            </w:r>
          </w:p>
        </w:tc>
        <w:tc>
          <w:tcPr>
            <w:tcW w:w="311" w:type="pct"/>
            <w:tcBorders>
              <w:top w:val="nil"/>
              <w:left w:val="nil"/>
              <w:bottom w:val="nil"/>
              <w:right w:val="nil"/>
            </w:tcBorders>
            <w:shd w:val="clear" w:color="auto" w:fill="auto"/>
            <w:noWrap/>
            <w:vAlign w:val="bottom"/>
            <w:hideMark/>
          </w:tcPr>
          <w:p w14:paraId="46DD122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31.90%</w:t>
            </w:r>
          </w:p>
        </w:tc>
        <w:tc>
          <w:tcPr>
            <w:tcW w:w="314" w:type="pct"/>
            <w:tcBorders>
              <w:top w:val="nil"/>
              <w:left w:val="nil"/>
              <w:bottom w:val="nil"/>
              <w:right w:val="nil"/>
            </w:tcBorders>
            <w:shd w:val="clear" w:color="auto" w:fill="auto"/>
            <w:noWrap/>
            <w:vAlign w:val="bottom"/>
            <w:hideMark/>
          </w:tcPr>
          <w:p w14:paraId="2A0E9C3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26.89%</w:t>
            </w:r>
          </w:p>
        </w:tc>
        <w:tc>
          <w:tcPr>
            <w:tcW w:w="311" w:type="pct"/>
            <w:tcBorders>
              <w:top w:val="nil"/>
              <w:left w:val="nil"/>
              <w:bottom w:val="nil"/>
              <w:right w:val="nil"/>
            </w:tcBorders>
            <w:shd w:val="clear" w:color="auto" w:fill="auto"/>
            <w:noWrap/>
            <w:vAlign w:val="bottom"/>
            <w:hideMark/>
          </w:tcPr>
          <w:p w14:paraId="0D8BC45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40.32%</w:t>
            </w:r>
          </w:p>
        </w:tc>
        <w:tc>
          <w:tcPr>
            <w:tcW w:w="314" w:type="pct"/>
            <w:tcBorders>
              <w:top w:val="nil"/>
              <w:left w:val="nil"/>
              <w:bottom w:val="nil"/>
              <w:right w:val="nil"/>
            </w:tcBorders>
            <w:shd w:val="clear" w:color="auto" w:fill="auto"/>
            <w:noWrap/>
            <w:vAlign w:val="bottom"/>
            <w:hideMark/>
          </w:tcPr>
          <w:p w14:paraId="45F8400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2.51%</w:t>
            </w:r>
          </w:p>
        </w:tc>
        <w:tc>
          <w:tcPr>
            <w:tcW w:w="311" w:type="pct"/>
            <w:tcBorders>
              <w:top w:val="nil"/>
              <w:left w:val="nil"/>
              <w:bottom w:val="nil"/>
              <w:right w:val="nil"/>
            </w:tcBorders>
            <w:shd w:val="clear" w:color="auto" w:fill="auto"/>
            <w:noWrap/>
            <w:vAlign w:val="bottom"/>
            <w:hideMark/>
          </w:tcPr>
          <w:p w14:paraId="5FBE3BF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29.18%</w:t>
            </w:r>
          </w:p>
        </w:tc>
        <w:tc>
          <w:tcPr>
            <w:tcW w:w="314" w:type="pct"/>
            <w:tcBorders>
              <w:top w:val="nil"/>
              <w:left w:val="nil"/>
              <w:bottom w:val="nil"/>
              <w:right w:val="nil"/>
            </w:tcBorders>
            <w:shd w:val="clear" w:color="auto" w:fill="auto"/>
            <w:noWrap/>
            <w:vAlign w:val="bottom"/>
            <w:hideMark/>
          </w:tcPr>
          <w:p w14:paraId="2010502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28.80%</w:t>
            </w:r>
          </w:p>
        </w:tc>
        <w:tc>
          <w:tcPr>
            <w:tcW w:w="311" w:type="pct"/>
            <w:tcBorders>
              <w:top w:val="nil"/>
              <w:left w:val="nil"/>
              <w:bottom w:val="nil"/>
              <w:right w:val="nil"/>
            </w:tcBorders>
            <w:shd w:val="clear" w:color="auto" w:fill="auto"/>
            <w:noWrap/>
            <w:vAlign w:val="bottom"/>
            <w:hideMark/>
          </w:tcPr>
          <w:p w14:paraId="2CDE8EB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29.78%</w:t>
            </w:r>
          </w:p>
        </w:tc>
      </w:tr>
      <w:tr w:rsidR="001F4B9D" w:rsidRPr="00663DE1" w14:paraId="7B067466" w14:textId="77777777" w:rsidTr="001F4B9D">
        <w:trPr>
          <w:trHeight w:val="291"/>
        </w:trPr>
        <w:tc>
          <w:tcPr>
            <w:tcW w:w="1249" w:type="pct"/>
            <w:tcBorders>
              <w:top w:val="nil"/>
              <w:left w:val="nil"/>
              <w:bottom w:val="nil"/>
              <w:right w:val="nil"/>
            </w:tcBorders>
            <w:shd w:val="clear" w:color="auto" w:fill="auto"/>
            <w:noWrap/>
            <w:vAlign w:val="bottom"/>
            <w:hideMark/>
          </w:tcPr>
          <w:p w14:paraId="7F3F08D5"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R2</w:t>
            </w:r>
          </w:p>
        </w:tc>
        <w:tc>
          <w:tcPr>
            <w:tcW w:w="314" w:type="pct"/>
            <w:tcBorders>
              <w:top w:val="nil"/>
              <w:left w:val="nil"/>
              <w:bottom w:val="nil"/>
              <w:right w:val="nil"/>
            </w:tcBorders>
            <w:shd w:val="clear" w:color="auto" w:fill="auto"/>
            <w:noWrap/>
            <w:vAlign w:val="bottom"/>
            <w:hideMark/>
          </w:tcPr>
          <w:p w14:paraId="3042C61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0.8129</w:t>
            </w:r>
          </w:p>
        </w:tc>
        <w:tc>
          <w:tcPr>
            <w:tcW w:w="311" w:type="pct"/>
            <w:tcBorders>
              <w:top w:val="nil"/>
              <w:left w:val="nil"/>
              <w:bottom w:val="nil"/>
              <w:right w:val="nil"/>
            </w:tcBorders>
            <w:shd w:val="clear" w:color="auto" w:fill="auto"/>
            <w:noWrap/>
            <w:vAlign w:val="bottom"/>
            <w:hideMark/>
          </w:tcPr>
          <w:p w14:paraId="0CB6642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0.8912</w:t>
            </w:r>
          </w:p>
        </w:tc>
        <w:tc>
          <w:tcPr>
            <w:tcW w:w="314" w:type="pct"/>
            <w:tcBorders>
              <w:top w:val="nil"/>
              <w:left w:val="nil"/>
              <w:bottom w:val="nil"/>
              <w:right w:val="nil"/>
            </w:tcBorders>
            <w:shd w:val="clear" w:color="auto" w:fill="auto"/>
            <w:noWrap/>
            <w:vAlign w:val="bottom"/>
            <w:hideMark/>
          </w:tcPr>
          <w:p w14:paraId="4C2D196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0.7925</w:t>
            </w:r>
          </w:p>
        </w:tc>
        <w:tc>
          <w:tcPr>
            <w:tcW w:w="311" w:type="pct"/>
            <w:tcBorders>
              <w:top w:val="nil"/>
              <w:left w:val="nil"/>
              <w:bottom w:val="nil"/>
              <w:right w:val="nil"/>
            </w:tcBorders>
            <w:shd w:val="clear" w:color="auto" w:fill="auto"/>
            <w:noWrap/>
            <w:vAlign w:val="bottom"/>
            <w:hideMark/>
          </w:tcPr>
          <w:p w14:paraId="7934CAE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0.876</w:t>
            </w:r>
          </w:p>
        </w:tc>
        <w:tc>
          <w:tcPr>
            <w:tcW w:w="314" w:type="pct"/>
            <w:tcBorders>
              <w:top w:val="nil"/>
              <w:left w:val="nil"/>
              <w:bottom w:val="nil"/>
              <w:right w:val="nil"/>
            </w:tcBorders>
            <w:shd w:val="clear" w:color="auto" w:fill="auto"/>
            <w:noWrap/>
            <w:vAlign w:val="bottom"/>
            <w:hideMark/>
          </w:tcPr>
          <w:p w14:paraId="7958E01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0.8028</w:t>
            </w:r>
          </w:p>
        </w:tc>
        <w:tc>
          <w:tcPr>
            <w:tcW w:w="311" w:type="pct"/>
            <w:tcBorders>
              <w:top w:val="nil"/>
              <w:left w:val="nil"/>
              <w:bottom w:val="nil"/>
              <w:right w:val="nil"/>
            </w:tcBorders>
            <w:shd w:val="clear" w:color="auto" w:fill="auto"/>
            <w:noWrap/>
            <w:vAlign w:val="bottom"/>
            <w:hideMark/>
          </w:tcPr>
          <w:p w14:paraId="619B0E2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0.8828</w:t>
            </w:r>
          </w:p>
        </w:tc>
        <w:tc>
          <w:tcPr>
            <w:tcW w:w="314" w:type="pct"/>
            <w:tcBorders>
              <w:top w:val="nil"/>
              <w:left w:val="nil"/>
              <w:bottom w:val="nil"/>
              <w:right w:val="nil"/>
            </w:tcBorders>
            <w:shd w:val="clear" w:color="auto" w:fill="auto"/>
            <w:noWrap/>
            <w:vAlign w:val="bottom"/>
            <w:hideMark/>
          </w:tcPr>
          <w:p w14:paraId="147AE8F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0.8018</w:t>
            </w:r>
          </w:p>
        </w:tc>
        <w:tc>
          <w:tcPr>
            <w:tcW w:w="311" w:type="pct"/>
            <w:tcBorders>
              <w:top w:val="nil"/>
              <w:left w:val="nil"/>
              <w:bottom w:val="nil"/>
              <w:right w:val="nil"/>
            </w:tcBorders>
            <w:shd w:val="clear" w:color="auto" w:fill="auto"/>
            <w:noWrap/>
            <w:vAlign w:val="bottom"/>
            <w:hideMark/>
          </w:tcPr>
          <w:p w14:paraId="4A488D7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0.7952</w:t>
            </w:r>
          </w:p>
        </w:tc>
        <w:tc>
          <w:tcPr>
            <w:tcW w:w="314" w:type="pct"/>
            <w:tcBorders>
              <w:top w:val="nil"/>
              <w:left w:val="nil"/>
              <w:bottom w:val="nil"/>
              <w:right w:val="nil"/>
            </w:tcBorders>
            <w:shd w:val="clear" w:color="auto" w:fill="auto"/>
            <w:noWrap/>
            <w:vAlign w:val="bottom"/>
            <w:hideMark/>
          </w:tcPr>
          <w:p w14:paraId="5C69105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0.8185</w:t>
            </w:r>
          </w:p>
        </w:tc>
        <w:tc>
          <w:tcPr>
            <w:tcW w:w="311" w:type="pct"/>
            <w:tcBorders>
              <w:top w:val="nil"/>
              <w:left w:val="nil"/>
              <w:bottom w:val="nil"/>
              <w:right w:val="nil"/>
            </w:tcBorders>
            <w:shd w:val="clear" w:color="auto" w:fill="auto"/>
            <w:noWrap/>
            <w:vAlign w:val="bottom"/>
            <w:hideMark/>
          </w:tcPr>
          <w:p w14:paraId="45A48CD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0.8222</w:t>
            </w:r>
          </w:p>
        </w:tc>
        <w:tc>
          <w:tcPr>
            <w:tcW w:w="314" w:type="pct"/>
            <w:tcBorders>
              <w:top w:val="nil"/>
              <w:left w:val="nil"/>
              <w:bottom w:val="nil"/>
              <w:right w:val="nil"/>
            </w:tcBorders>
            <w:shd w:val="clear" w:color="auto" w:fill="auto"/>
            <w:noWrap/>
            <w:vAlign w:val="bottom"/>
            <w:hideMark/>
          </w:tcPr>
          <w:p w14:paraId="54BC90B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0.8418</w:t>
            </w:r>
          </w:p>
        </w:tc>
        <w:tc>
          <w:tcPr>
            <w:tcW w:w="311" w:type="pct"/>
            <w:tcBorders>
              <w:top w:val="nil"/>
              <w:left w:val="nil"/>
              <w:bottom w:val="nil"/>
              <w:right w:val="nil"/>
            </w:tcBorders>
            <w:shd w:val="clear" w:color="auto" w:fill="auto"/>
            <w:noWrap/>
            <w:vAlign w:val="bottom"/>
            <w:hideMark/>
          </w:tcPr>
          <w:p w14:paraId="610795B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0.8344</w:t>
            </w:r>
          </w:p>
        </w:tc>
      </w:tr>
      <w:tr w:rsidR="001F4B9D" w:rsidRPr="00663DE1" w14:paraId="1833DA77" w14:textId="77777777" w:rsidTr="001F4B9D">
        <w:trPr>
          <w:trHeight w:val="291"/>
        </w:trPr>
        <w:tc>
          <w:tcPr>
            <w:tcW w:w="1249" w:type="pct"/>
            <w:tcBorders>
              <w:top w:val="nil"/>
              <w:left w:val="nil"/>
              <w:bottom w:val="nil"/>
              <w:right w:val="nil"/>
            </w:tcBorders>
            <w:shd w:val="clear" w:color="auto" w:fill="auto"/>
            <w:noWrap/>
            <w:vAlign w:val="bottom"/>
            <w:hideMark/>
          </w:tcPr>
          <w:p w14:paraId="41AC69BC"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Tracking Error</w:t>
            </w:r>
          </w:p>
        </w:tc>
        <w:tc>
          <w:tcPr>
            <w:tcW w:w="314" w:type="pct"/>
            <w:tcBorders>
              <w:top w:val="nil"/>
              <w:left w:val="nil"/>
              <w:bottom w:val="nil"/>
              <w:right w:val="nil"/>
            </w:tcBorders>
            <w:shd w:val="clear" w:color="auto" w:fill="auto"/>
            <w:noWrap/>
            <w:vAlign w:val="bottom"/>
            <w:hideMark/>
          </w:tcPr>
          <w:p w14:paraId="0E6134B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0.49%</w:t>
            </w:r>
          </w:p>
        </w:tc>
        <w:tc>
          <w:tcPr>
            <w:tcW w:w="311" w:type="pct"/>
            <w:tcBorders>
              <w:top w:val="nil"/>
              <w:left w:val="nil"/>
              <w:bottom w:val="nil"/>
              <w:right w:val="nil"/>
            </w:tcBorders>
            <w:shd w:val="clear" w:color="auto" w:fill="auto"/>
            <w:noWrap/>
            <w:vAlign w:val="bottom"/>
            <w:hideMark/>
          </w:tcPr>
          <w:p w14:paraId="42309ED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0.10%</w:t>
            </w:r>
          </w:p>
        </w:tc>
        <w:tc>
          <w:tcPr>
            <w:tcW w:w="314" w:type="pct"/>
            <w:tcBorders>
              <w:top w:val="nil"/>
              <w:left w:val="nil"/>
              <w:bottom w:val="nil"/>
              <w:right w:val="nil"/>
            </w:tcBorders>
            <w:shd w:val="clear" w:color="auto" w:fill="auto"/>
            <w:noWrap/>
            <w:vAlign w:val="bottom"/>
            <w:hideMark/>
          </w:tcPr>
          <w:p w14:paraId="5E4A345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0.78%</w:t>
            </w:r>
          </w:p>
        </w:tc>
        <w:tc>
          <w:tcPr>
            <w:tcW w:w="311" w:type="pct"/>
            <w:tcBorders>
              <w:top w:val="nil"/>
              <w:left w:val="nil"/>
              <w:bottom w:val="nil"/>
              <w:right w:val="nil"/>
            </w:tcBorders>
            <w:shd w:val="clear" w:color="auto" w:fill="auto"/>
            <w:noWrap/>
            <w:vAlign w:val="bottom"/>
            <w:hideMark/>
          </w:tcPr>
          <w:p w14:paraId="5FC7853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0.75%</w:t>
            </w:r>
          </w:p>
        </w:tc>
        <w:tc>
          <w:tcPr>
            <w:tcW w:w="314" w:type="pct"/>
            <w:tcBorders>
              <w:top w:val="nil"/>
              <w:left w:val="nil"/>
              <w:bottom w:val="nil"/>
              <w:right w:val="nil"/>
            </w:tcBorders>
            <w:shd w:val="clear" w:color="auto" w:fill="auto"/>
            <w:noWrap/>
            <w:vAlign w:val="bottom"/>
            <w:hideMark/>
          </w:tcPr>
          <w:p w14:paraId="044F4A8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0.14%</w:t>
            </w:r>
          </w:p>
        </w:tc>
        <w:tc>
          <w:tcPr>
            <w:tcW w:w="311" w:type="pct"/>
            <w:tcBorders>
              <w:top w:val="nil"/>
              <w:left w:val="nil"/>
              <w:bottom w:val="nil"/>
              <w:right w:val="nil"/>
            </w:tcBorders>
            <w:shd w:val="clear" w:color="auto" w:fill="auto"/>
            <w:noWrap/>
            <w:vAlign w:val="bottom"/>
            <w:hideMark/>
          </w:tcPr>
          <w:p w14:paraId="70EA0C6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0.43%</w:t>
            </w:r>
          </w:p>
        </w:tc>
        <w:tc>
          <w:tcPr>
            <w:tcW w:w="314" w:type="pct"/>
            <w:tcBorders>
              <w:top w:val="nil"/>
              <w:left w:val="nil"/>
              <w:bottom w:val="nil"/>
              <w:right w:val="nil"/>
            </w:tcBorders>
            <w:shd w:val="clear" w:color="auto" w:fill="auto"/>
            <w:noWrap/>
            <w:vAlign w:val="bottom"/>
            <w:hideMark/>
          </w:tcPr>
          <w:p w14:paraId="5DEBC26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0.24%</w:t>
            </w:r>
          </w:p>
        </w:tc>
        <w:tc>
          <w:tcPr>
            <w:tcW w:w="311" w:type="pct"/>
            <w:tcBorders>
              <w:top w:val="nil"/>
              <w:left w:val="nil"/>
              <w:bottom w:val="nil"/>
              <w:right w:val="nil"/>
            </w:tcBorders>
            <w:shd w:val="clear" w:color="auto" w:fill="auto"/>
            <w:noWrap/>
            <w:vAlign w:val="bottom"/>
            <w:hideMark/>
          </w:tcPr>
          <w:p w14:paraId="388EFA8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0.13%</w:t>
            </w:r>
          </w:p>
        </w:tc>
        <w:tc>
          <w:tcPr>
            <w:tcW w:w="314" w:type="pct"/>
            <w:tcBorders>
              <w:top w:val="nil"/>
              <w:left w:val="nil"/>
              <w:bottom w:val="nil"/>
              <w:right w:val="nil"/>
            </w:tcBorders>
            <w:shd w:val="clear" w:color="auto" w:fill="auto"/>
            <w:noWrap/>
            <w:vAlign w:val="bottom"/>
            <w:hideMark/>
          </w:tcPr>
          <w:p w14:paraId="602D336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0.28%</w:t>
            </w:r>
          </w:p>
        </w:tc>
        <w:tc>
          <w:tcPr>
            <w:tcW w:w="311" w:type="pct"/>
            <w:tcBorders>
              <w:top w:val="nil"/>
              <w:left w:val="nil"/>
              <w:bottom w:val="nil"/>
              <w:right w:val="nil"/>
            </w:tcBorders>
            <w:shd w:val="clear" w:color="auto" w:fill="auto"/>
            <w:noWrap/>
            <w:vAlign w:val="bottom"/>
            <w:hideMark/>
          </w:tcPr>
          <w:p w14:paraId="411AD38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0.68%</w:t>
            </w:r>
          </w:p>
        </w:tc>
        <w:tc>
          <w:tcPr>
            <w:tcW w:w="314" w:type="pct"/>
            <w:tcBorders>
              <w:top w:val="nil"/>
              <w:left w:val="nil"/>
              <w:bottom w:val="nil"/>
              <w:right w:val="nil"/>
            </w:tcBorders>
            <w:shd w:val="clear" w:color="auto" w:fill="auto"/>
            <w:noWrap/>
            <w:vAlign w:val="bottom"/>
            <w:hideMark/>
          </w:tcPr>
          <w:p w14:paraId="3D31062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0.71%</w:t>
            </w:r>
          </w:p>
        </w:tc>
        <w:tc>
          <w:tcPr>
            <w:tcW w:w="311" w:type="pct"/>
            <w:tcBorders>
              <w:top w:val="nil"/>
              <w:left w:val="nil"/>
              <w:bottom w:val="nil"/>
              <w:right w:val="nil"/>
            </w:tcBorders>
            <w:shd w:val="clear" w:color="auto" w:fill="auto"/>
            <w:noWrap/>
            <w:vAlign w:val="bottom"/>
            <w:hideMark/>
          </w:tcPr>
          <w:p w14:paraId="1CC6F864"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0.83%</w:t>
            </w:r>
          </w:p>
        </w:tc>
      </w:tr>
      <w:tr w:rsidR="001F4B9D" w:rsidRPr="001D505C" w14:paraId="6C2E8264" w14:textId="77777777" w:rsidTr="001F4B9D">
        <w:trPr>
          <w:trHeight w:val="291"/>
        </w:trPr>
        <w:tc>
          <w:tcPr>
            <w:tcW w:w="5000" w:type="pct"/>
            <w:gridSpan w:val="13"/>
            <w:tcBorders>
              <w:top w:val="nil"/>
              <w:left w:val="nil"/>
              <w:bottom w:val="nil"/>
              <w:right w:val="nil"/>
            </w:tcBorders>
            <w:shd w:val="clear" w:color="auto" w:fill="auto"/>
            <w:noWrap/>
            <w:vAlign w:val="bottom"/>
            <w:hideMark/>
          </w:tcPr>
          <w:p w14:paraId="1850BB4F" w14:textId="77777777" w:rsidR="001F4B9D" w:rsidRPr="001D505C" w:rsidRDefault="001F4B9D" w:rsidP="00CD0BBE">
            <w:pPr>
              <w:spacing w:after="0" w:line="240" w:lineRule="auto"/>
              <w:jc w:val="center"/>
              <w:rPr>
                <w:rFonts w:ascii="Times New Roman" w:eastAsia="Times New Roman" w:hAnsi="Times New Roman" w:cs="Times New Roman"/>
                <w:b/>
                <w:bCs/>
                <w:color w:val="000000"/>
                <w:lang w:eastAsia="en-GB"/>
              </w:rPr>
            </w:pPr>
            <w:r w:rsidRPr="001D505C">
              <w:rPr>
                <w:rFonts w:ascii="Times New Roman" w:eastAsia="Times New Roman" w:hAnsi="Times New Roman" w:cs="Times New Roman"/>
                <w:b/>
                <w:bCs/>
                <w:color w:val="000000"/>
                <w:lang w:eastAsia="en-GB"/>
              </w:rPr>
              <w:t>Sector</w:t>
            </w:r>
          </w:p>
        </w:tc>
      </w:tr>
      <w:tr w:rsidR="001F4B9D" w:rsidRPr="00663DE1" w14:paraId="22DD1B31" w14:textId="77777777" w:rsidTr="001F4B9D">
        <w:trPr>
          <w:trHeight w:val="291"/>
        </w:trPr>
        <w:tc>
          <w:tcPr>
            <w:tcW w:w="1249" w:type="pct"/>
            <w:tcBorders>
              <w:top w:val="nil"/>
              <w:left w:val="nil"/>
              <w:bottom w:val="nil"/>
              <w:right w:val="nil"/>
            </w:tcBorders>
            <w:shd w:val="clear" w:color="auto" w:fill="auto"/>
            <w:noWrap/>
            <w:vAlign w:val="bottom"/>
            <w:hideMark/>
          </w:tcPr>
          <w:p w14:paraId="4F4D151D"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Manufacturing</w:t>
            </w:r>
          </w:p>
        </w:tc>
        <w:tc>
          <w:tcPr>
            <w:tcW w:w="314" w:type="pct"/>
            <w:tcBorders>
              <w:top w:val="nil"/>
              <w:left w:val="nil"/>
              <w:bottom w:val="nil"/>
              <w:right w:val="nil"/>
            </w:tcBorders>
            <w:shd w:val="clear" w:color="auto" w:fill="auto"/>
            <w:noWrap/>
            <w:vAlign w:val="bottom"/>
            <w:hideMark/>
          </w:tcPr>
          <w:p w14:paraId="5B2FCAD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23.92%</w:t>
            </w:r>
          </w:p>
        </w:tc>
        <w:tc>
          <w:tcPr>
            <w:tcW w:w="311" w:type="pct"/>
            <w:tcBorders>
              <w:top w:val="nil"/>
              <w:left w:val="nil"/>
              <w:bottom w:val="nil"/>
              <w:right w:val="nil"/>
            </w:tcBorders>
            <w:shd w:val="clear" w:color="auto" w:fill="auto"/>
            <w:noWrap/>
            <w:vAlign w:val="bottom"/>
            <w:hideMark/>
          </w:tcPr>
          <w:p w14:paraId="53852A4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32.90%</w:t>
            </w:r>
          </w:p>
        </w:tc>
        <w:tc>
          <w:tcPr>
            <w:tcW w:w="314" w:type="pct"/>
            <w:tcBorders>
              <w:top w:val="nil"/>
              <w:left w:val="nil"/>
              <w:bottom w:val="nil"/>
              <w:right w:val="nil"/>
            </w:tcBorders>
            <w:shd w:val="clear" w:color="auto" w:fill="auto"/>
            <w:noWrap/>
            <w:vAlign w:val="bottom"/>
            <w:hideMark/>
          </w:tcPr>
          <w:p w14:paraId="36B43BB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16.53%</w:t>
            </w:r>
          </w:p>
        </w:tc>
        <w:tc>
          <w:tcPr>
            <w:tcW w:w="311" w:type="pct"/>
            <w:tcBorders>
              <w:top w:val="nil"/>
              <w:left w:val="nil"/>
              <w:bottom w:val="nil"/>
              <w:right w:val="nil"/>
            </w:tcBorders>
            <w:shd w:val="clear" w:color="auto" w:fill="auto"/>
            <w:noWrap/>
            <w:vAlign w:val="bottom"/>
            <w:hideMark/>
          </w:tcPr>
          <w:p w14:paraId="3B63A55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36.76%</w:t>
            </w:r>
          </w:p>
        </w:tc>
        <w:tc>
          <w:tcPr>
            <w:tcW w:w="314" w:type="pct"/>
            <w:tcBorders>
              <w:top w:val="nil"/>
              <w:left w:val="nil"/>
              <w:bottom w:val="nil"/>
              <w:right w:val="nil"/>
            </w:tcBorders>
            <w:shd w:val="clear" w:color="auto" w:fill="auto"/>
            <w:noWrap/>
            <w:vAlign w:val="bottom"/>
            <w:hideMark/>
          </w:tcPr>
          <w:p w14:paraId="78CB980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16.56%</w:t>
            </w:r>
          </w:p>
        </w:tc>
        <w:tc>
          <w:tcPr>
            <w:tcW w:w="311" w:type="pct"/>
            <w:tcBorders>
              <w:top w:val="nil"/>
              <w:left w:val="nil"/>
              <w:bottom w:val="nil"/>
              <w:right w:val="nil"/>
            </w:tcBorders>
            <w:shd w:val="clear" w:color="auto" w:fill="auto"/>
            <w:noWrap/>
            <w:vAlign w:val="bottom"/>
            <w:hideMark/>
          </w:tcPr>
          <w:p w14:paraId="3593598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26.34%</w:t>
            </w:r>
          </w:p>
        </w:tc>
        <w:tc>
          <w:tcPr>
            <w:tcW w:w="314" w:type="pct"/>
            <w:tcBorders>
              <w:top w:val="nil"/>
              <w:left w:val="nil"/>
              <w:bottom w:val="nil"/>
              <w:right w:val="nil"/>
            </w:tcBorders>
            <w:shd w:val="clear" w:color="auto" w:fill="auto"/>
            <w:noWrap/>
            <w:vAlign w:val="bottom"/>
            <w:hideMark/>
          </w:tcPr>
          <w:p w14:paraId="70DF1B0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9.63%</w:t>
            </w:r>
          </w:p>
        </w:tc>
        <w:tc>
          <w:tcPr>
            <w:tcW w:w="311" w:type="pct"/>
            <w:tcBorders>
              <w:top w:val="nil"/>
              <w:left w:val="nil"/>
              <w:bottom w:val="nil"/>
              <w:right w:val="nil"/>
            </w:tcBorders>
            <w:shd w:val="clear" w:color="auto" w:fill="auto"/>
            <w:noWrap/>
            <w:vAlign w:val="bottom"/>
            <w:hideMark/>
          </w:tcPr>
          <w:p w14:paraId="3A1C230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20.12%</w:t>
            </w:r>
          </w:p>
        </w:tc>
        <w:tc>
          <w:tcPr>
            <w:tcW w:w="314" w:type="pct"/>
            <w:tcBorders>
              <w:top w:val="nil"/>
              <w:left w:val="nil"/>
              <w:bottom w:val="nil"/>
              <w:right w:val="nil"/>
            </w:tcBorders>
            <w:shd w:val="clear" w:color="auto" w:fill="auto"/>
            <w:noWrap/>
            <w:vAlign w:val="bottom"/>
            <w:hideMark/>
          </w:tcPr>
          <w:p w14:paraId="64795EF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11.43%</w:t>
            </w:r>
          </w:p>
        </w:tc>
        <w:tc>
          <w:tcPr>
            <w:tcW w:w="311" w:type="pct"/>
            <w:tcBorders>
              <w:top w:val="nil"/>
              <w:left w:val="nil"/>
              <w:bottom w:val="nil"/>
              <w:right w:val="nil"/>
            </w:tcBorders>
            <w:shd w:val="clear" w:color="auto" w:fill="auto"/>
            <w:noWrap/>
            <w:vAlign w:val="bottom"/>
            <w:hideMark/>
          </w:tcPr>
          <w:p w14:paraId="1F3E3C1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23.34%</w:t>
            </w:r>
          </w:p>
        </w:tc>
        <w:tc>
          <w:tcPr>
            <w:tcW w:w="314" w:type="pct"/>
            <w:tcBorders>
              <w:top w:val="nil"/>
              <w:left w:val="nil"/>
              <w:bottom w:val="nil"/>
              <w:right w:val="nil"/>
            </w:tcBorders>
            <w:shd w:val="clear" w:color="auto" w:fill="auto"/>
            <w:noWrap/>
            <w:vAlign w:val="bottom"/>
            <w:hideMark/>
          </w:tcPr>
          <w:p w14:paraId="31944E4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18.31%</w:t>
            </w:r>
          </w:p>
        </w:tc>
        <w:tc>
          <w:tcPr>
            <w:tcW w:w="311" w:type="pct"/>
            <w:tcBorders>
              <w:top w:val="nil"/>
              <w:left w:val="nil"/>
              <w:bottom w:val="nil"/>
              <w:right w:val="nil"/>
            </w:tcBorders>
            <w:shd w:val="clear" w:color="auto" w:fill="auto"/>
            <w:noWrap/>
            <w:vAlign w:val="bottom"/>
            <w:hideMark/>
          </w:tcPr>
          <w:p w14:paraId="218C6A7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23.19%</w:t>
            </w:r>
          </w:p>
        </w:tc>
      </w:tr>
      <w:tr w:rsidR="001F4B9D" w:rsidRPr="00663DE1" w14:paraId="460DA73E" w14:textId="77777777" w:rsidTr="001F4B9D">
        <w:trPr>
          <w:trHeight w:val="291"/>
        </w:trPr>
        <w:tc>
          <w:tcPr>
            <w:tcW w:w="1249" w:type="pct"/>
            <w:tcBorders>
              <w:top w:val="nil"/>
              <w:left w:val="nil"/>
              <w:bottom w:val="nil"/>
              <w:right w:val="nil"/>
            </w:tcBorders>
            <w:shd w:val="clear" w:color="auto" w:fill="auto"/>
            <w:noWrap/>
            <w:vAlign w:val="bottom"/>
            <w:hideMark/>
          </w:tcPr>
          <w:p w14:paraId="1768F6FA"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Utilities</w:t>
            </w:r>
          </w:p>
        </w:tc>
        <w:tc>
          <w:tcPr>
            <w:tcW w:w="314" w:type="pct"/>
            <w:tcBorders>
              <w:top w:val="nil"/>
              <w:left w:val="nil"/>
              <w:bottom w:val="nil"/>
              <w:right w:val="nil"/>
            </w:tcBorders>
            <w:shd w:val="clear" w:color="auto" w:fill="auto"/>
            <w:noWrap/>
            <w:vAlign w:val="bottom"/>
            <w:hideMark/>
          </w:tcPr>
          <w:p w14:paraId="30D795E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14.41%</w:t>
            </w:r>
          </w:p>
        </w:tc>
        <w:tc>
          <w:tcPr>
            <w:tcW w:w="311" w:type="pct"/>
            <w:tcBorders>
              <w:top w:val="nil"/>
              <w:left w:val="nil"/>
              <w:bottom w:val="nil"/>
              <w:right w:val="nil"/>
            </w:tcBorders>
            <w:shd w:val="clear" w:color="auto" w:fill="auto"/>
            <w:noWrap/>
            <w:vAlign w:val="bottom"/>
            <w:hideMark/>
          </w:tcPr>
          <w:p w14:paraId="599FC5B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11.03%</w:t>
            </w:r>
          </w:p>
        </w:tc>
        <w:tc>
          <w:tcPr>
            <w:tcW w:w="314" w:type="pct"/>
            <w:tcBorders>
              <w:top w:val="nil"/>
              <w:left w:val="nil"/>
              <w:bottom w:val="nil"/>
              <w:right w:val="nil"/>
            </w:tcBorders>
            <w:shd w:val="clear" w:color="auto" w:fill="auto"/>
            <w:noWrap/>
            <w:vAlign w:val="bottom"/>
            <w:hideMark/>
          </w:tcPr>
          <w:p w14:paraId="6171F4A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11.67%</w:t>
            </w:r>
          </w:p>
        </w:tc>
        <w:tc>
          <w:tcPr>
            <w:tcW w:w="311" w:type="pct"/>
            <w:tcBorders>
              <w:top w:val="nil"/>
              <w:left w:val="nil"/>
              <w:bottom w:val="nil"/>
              <w:right w:val="nil"/>
            </w:tcBorders>
            <w:shd w:val="clear" w:color="auto" w:fill="auto"/>
            <w:noWrap/>
            <w:vAlign w:val="bottom"/>
            <w:hideMark/>
          </w:tcPr>
          <w:p w14:paraId="6BC349F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11.38%</w:t>
            </w:r>
          </w:p>
        </w:tc>
        <w:tc>
          <w:tcPr>
            <w:tcW w:w="314" w:type="pct"/>
            <w:tcBorders>
              <w:top w:val="nil"/>
              <w:left w:val="nil"/>
              <w:bottom w:val="nil"/>
              <w:right w:val="nil"/>
            </w:tcBorders>
            <w:shd w:val="clear" w:color="auto" w:fill="auto"/>
            <w:noWrap/>
            <w:vAlign w:val="bottom"/>
            <w:hideMark/>
          </w:tcPr>
          <w:p w14:paraId="3DFA45E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21.07%</w:t>
            </w:r>
          </w:p>
        </w:tc>
        <w:tc>
          <w:tcPr>
            <w:tcW w:w="311" w:type="pct"/>
            <w:tcBorders>
              <w:top w:val="nil"/>
              <w:left w:val="nil"/>
              <w:bottom w:val="nil"/>
              <w:right w:val="nil"/>
            </w:tcBorders>
            <w:shd w:val="clear" w:color="auto" w:fill="auto"/>
            <w:noWrap/>
            <w:vAlign w:val="bottom"/>
            <w:hideMark/>
          </w:tcPr>
          <w:p w14:paraId="4558846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19.08%</w:t>
            </w:r>
          </w:p>
        </w:tc>
        <w:tc>
          <w:tcPr>
            <w:tcW w:w="314" w:type="pct"/>
            <w:tcBorders>
              <w:top w:val="nil"/>
              <w:left w:val="nil"/>
              <w:bottom w:val="nil"/>
              <w:right w:val="nil"/>
            </w:tcBorders>
            <w:shd w:val="clear" w:color="auto" w:fill="auto"/>
            <w:noWrap/>
            <w:vAlign w:val="bottom"/>
            <w:hideMark/>
          </w:tcPr>
          <w:p w14:paraId="6FDC93A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21.83%</w:t>
            </w:r>
          </w:p>
        </w:tc>
        <w:tc>
          <w:tcPr>
            <w:tcW w:w="311" w:type="pct"/>
            <w:tcBorders>
              <w:top w:val="nil"/>
              <w:left w:val="nil"/>
              <w:bottom w:val="nil"/>
              <w:right w:val="nil"/>
            </w:tcBorders>
            <w:shd w:val="clear" w:color="auto" w:fill="auto"/>
            <w:noWrap/>
            <w:vAlign w:val="bottom"/>
            <w:hideMark/>
          </w:tcPr>
          <w:p w14:paraId="7C19298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19.69%</w:t>
            </w:r>
          </w:p>
        </w:tc>
        <w:tc>
          <w:tcPr>
            <w:tcW w:w="314" w:type="pct"/>
            <w:tcBorders>
              <w:top w:val="nil"/>
              <w:left w:val="nil"/>
              <w:bottom w:val="nil"/>
              <w:right w:val="nil"/>
            </w:tcBorders>
            <w:shd w:val="clear" w:color="auto" w:fill="auto"/>
            <w:noWrap/>
            <w:vAlign w:val="bottom"/>
            <w:hideMark/>
          </w:tcPr>
          <w:p w14:paraId="6C5B4BB4"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22.65%</w:t>
            </w:r>
          </w:p>
        </w:tc>
        <w:tc>
          <w:tcPr>
            <w:tcW w:w="311" w:type="pct"/>
            <w:tcBorders>
              <w:top w:val="nil"/>
              <w:left w:val="nil"/>
              <w:bottom w:val="nil"/>
              <w:right w:val="nil"/>
            </w:tcBorders>
            <w:shd w:val="clear" w:color="auto" w:fill="auto"/>
            <w:noWrap/>
            <w:vAlign w:val="bottom"/>
            <w:hideMark/>
          </w:tcPr>
          <w:p w14:paraId="057417A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21.07%</w:t>
            </w:r>
          </w:p>
        </w:tc>
        <w:tc>
          <w:tcPr>
            <w:tcW w:w="314" w:type="pct"/>
            <w:tcBorders>
              <w:top w:val="nil"/>
              <w:left w:val="nil"/>
              <w:bottom w:val="nil"/>
              <w:right w:val="nil"/>
            </w:tcBorders>
            <w:shd w:val="clear" w:color="auto" w:fill="auto"/>
            <w:noWrap/>
            <w:vAlign w:val="bottom"/>
            <w:hideMark/>
          </w:tcPr>
          <w:p w14:paraId="51BB29D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19.22%</w:t>
            </w:r>
          </w:p>
        </w:tc>
        <w:tc>
          <w:tcPr>
            <w:tcW w:w="311" w:type="pct"/>
            <w:tcBorders>
              <w:top w:val="nil"/>
              <w:left w:val="nil"/>
              <w:bottom w:val="nil"/>
              <w:right w:val="nil"/>
            </w:tcBorders>
            <w:shd w:val="clear" w:color="auto" w:fill="auto"/>
            <w:noWrap/>
            <w:vAlign w:val="bottom"/>
            <w:hideMark/>
          </w:tcPr>
          <w:p w14:paraId="1442143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14.00%</w:t>
            </w:r>
          </w:p>
        </w:tc>
      </w:tr>
      <w:tr w:rsidR="001F4B9D" w:rsidRPr="00663DE1" w14:paraId="7963B7A0" w14:textId="77777777" w:rsidTr="001F4B9D">
        <w:trPr>
          <w:trHeight w:val="291"/>
        </w:trPr>
        <w:tc>
          <w:tcPr>
            <w:tcW w:w="1249" w:type="pct"/>
            <w:tcBorders>
              <w:top w:val="nil"/>
              <w:left w:val="nil"/>
              <w:bottom w:val="nil"/>
              <w:right w:val="nil"/>
            </w:tcBorders>
            <w:shd w:val="clear" w:color="auto" w:fill="auto"/>
            <w:noWrap/>
            <w:vAlign w:val="bottom"/>
            <w:hideMark/>
          </w:tcPr>
          <w:p w14:paraId="14D5D0A4"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Mining, Construction and Chemicals</w:t>
            </w:r>
          </w:p>
        </w:tc>
        <w:tc>
          <w:tcPr>
            <w:tcW w:w="314" w:type="pct"/>
            <w:tcBorders>
              <w:top w:val="nil"/>
              <w:left w:val="nil"/>
              <w:bottom w:val="nil"/>
              <w:right w:val="nil"/>
            </w:tcBorders>
            <w:shd w:val="clear" w:color="auto" w:fill="auto"/>
            <w:noWrap/>
            <w:vAlign w:val="bottom"/>
            <w:hideMark/>
          </w:tcPr>
          <w:p w14:paraId="69B1D242"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9.70%</w:t>
            </w:r>
          </w:p>
        </w:tc>
        <w:tc>
          <w:tcPr>
            <w:tcW w:w="311" w:type="pct"/>
            <w:tcBorders>
              <w:top w:val="nil"/>
              <w:left w:val="nil"/>
              <w:bottom w:val="nil"/>
              <w:right w:val="nil"/>
            </w:tcBorders>
            <w:shd w:val="clear" w:color="auto" w:fill="auto"/>
            <w:noWrap/>
            <w:vAlign w:val="bottom"/>
            <w:hideMark/>
          </w:tcPr>
          <w:p w14:paraId="65DC0E0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18.07%</w:t>
            </w:r>
          </w:p>
        </w:tc>
        <w:tc>
          <w:tcPr>
            <w:tcW w:w="314" w:type="pct"/>
            <w:tcBorders>
              <w:top w:val="nil"/>
              <w:left w:val="nil"/>
              <w:bottom w:val="nil"/>
              <w:right w:val="nil"/>
            </w:tcBorders>
            <w:shd w:val="clear" w:color="auto" w:fill="auto"/>
            <w:noWrap/>
            <w:vAlign w:val="bottom"/>
            <w:hideMark/>
          </w:tcPr>
          <w:p w14:paraId="461343D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13.77%</w:t>
            </w:r>
          </w:p>
        </w:tc>
        <w:tc>
          <w:tcPr>
            <w:tcW w:w="311" w:type="pct"/>
            <w:tcBorders>
              <w:top w:val="nil"/>
              <w:left w:val="nil"/>
              <w:bottom w:val="nil"/>
              <w:right w:val="nil"/>
            </w:tcBorders>
            <w:shd w:val="clear" w:color="auto" w:fill="auto"/>
            <w:noWrap/>
            <w:vAlign w:val="bottom"/>
            <w:hideMark/>
          </w:tcPr>
          <w:p w14:paraId="6C1F51E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9.90%</w:t>
            </w:r>
          </w:p>
        </w:tc>
        <w:tc>
          <w:tcPr>
            <w:tcW w:w="314" w:type="pct"/>
            <w:tcBorders>
              <w:top w:val="nil"/>
              <w:left w:val="nil"/>
              <w:bottom w:val="nil"/>
              <w:right w:val="nil"/>
            </w:tcBorders>
            <w:shd w:val="clear" w:color="auto" w:fill="auto"/>
            <w:noWrap/>
            <w:vAlign w:val="bottom"/>
            <w:hideMark/>
          </w:tcPr>
          <w:p w14:paraId="0895AB84"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17.43%</w:t>
            </w:r>
          </w:p>
        </w:tc>
        <w:tc>
          <w:tcPr>
            <w:tcW w:w="311" w:type="pct"/>
            <w:tcBorders>
              <w:top w:val="nil"/>
              <w:left w:val="nil"/>
              <w:bottom w:val="nil"/>
              <w:right w:val="nil"/>
            </w:tcBorders>
            <w:shd w:val="clear" w:color="auto" w:fill="auto"/>
            <w:noWrap/>
            <w:vAlign w:val="bottom"/>
            <w:hideMark/>
          </w:tcPr>
          <w:p w14:paraId="70E19B0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14.70%</w:t>
            </w:r>
          </w:p>
        </w:tc>
        <w:tc>
          <w:tcPr>
            <w:tcW w:w="314" w:type="pct"/>
            <w:tcBorders>
              <w:top w:val="nil"/>
              <w:left w:val="nil"/>
              <w:bottom w:val="nil"/>
              <w:right w:val="nil"/>
            </w:tcBorders>
            <w:shd w:val="clear" w:color="auto" w:fill="auto"/>
            <w:noWrap/>
            <w:vAlign w:val="bottom"/>
            <w:hideMark/>
          </w:tcPr>
          <w:p w14:paraId="1A053E9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13.25%</w:t>
            </w:r>
          </w:p>
        </w:tc>
        <w:tc>
          <w:tcPr>
            <w:tcW w:w="311" w:type="pct"/>
            <w:tcBorders>
              <w:top w:val="nil"/>
              <w:left w:val="nil"/>
              <w:bottom w:val="nil"/>
              <w:right w:val="nil"/>
            </w:tcBorders>
            <w:shd w:val="clear" w:color="auto" w:fill="auto"/>
            <w:noWrap/>
            <w:vAlign w:val="bottom"/>
            <w:hideMark/>
          </w:tcPr>
          <w:p w14:paraId="563F5284"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7.71%</w:t>
            </w:r>
          </w:p>
        </w:tc>
        <w:tc>
          <w:tcPr>
            <w:tcW w:w="314" w:type="pct"/>
            <w:tcBorders>
              <w:top w:val="nil"/>
              <w:left w:val="nil"/>
              <w:bottom w:val="nil"/>
              <w:right w:val="nil"/>
            </w:tcBorders>
            <w:shd w:val="clear" w:color="auto" w:fill="auto"/>
            <w:noWrap/>
            <w:vAlign w:val="bottom"/>
            <w:hideMark/>
          </w:tcPr>
          <w:p w14:paraId="564D711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13.87%</w:t>
            </w:r>
          </w:p>
        </w:tc>
        <w:tc>
          <w:tcPr>
            <w:tcW w:w="311" w:type="pct"/>
            <w:tcBorders>
              <w:top w:val="nil"/>
              <w:left w:val="nil"/>
              <w:bottom w:val="nil"/>
              <w:right w:val="nil"/>
            </w:tcBorders>
            <w:shd w:val="clear" w:color="auto" w:fill="auto"/>
            <w:noWrap/>
            <w:vAlign w:val="bottom"/>
            <w:hideMark/>
          </w:tcPr>
          <w:p w14:paraId="73F9333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7.03%</w:t>
            </w:r>
          </w:p>
        </w:tc>
        <w:tc>
          <w:tcPr>
            <w:tcW w:w="314" w:type="pct"/>
            <w:tcBorders>
              <w:top w:val="nil"/>
              <w:left w:val="nil"/>
              <w:bottom w:val="nil"/>
              <w:right w:val="nil"/>
            </w:tcBorders>
            <w:shd w:val="clear" w:color="auto" w:fill="auto"/>
            <w:noWrap/>
            <w:vAlign w:val="bottom"/>
            <w:hideMark/>
          </w:tcPr>
          <w:p w14:paraId="3A2F6C8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8.11%</w:t>
            </w:r>
          </w:p>
        </w:tc>
        <w:tc>
          <w:tcPr>
            <w:tcW w:w="311" w:type="pct"/>
            <w:tcBorders>
              <w:top w:val="nil"/>
              <w:left w:val="nil"/>
              <w:bottom w:val="nil"/>
              <w:right w:val="nil"/>
            </w:tcBorders>
            <w:shd w:val="clear" w:color="auto" w:fill="auto"/>
            <w:noWrap/>
            <w:vAlign w:val="bottom"/>
            <w:hideMark/>
          </w:tcPr>
          <w:p w14:paraId="48622CF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5.78%</w:t>
            </w:r>
          </w:p>
        </w:tc>
      </w:tr>
      <w:tr w:rsidR="001F4B9D" w:rsidRPr="00663DE1" w14:paraId="4090917F" w14:textId="77777777" w:rsidTr="001F4B9D">
        <w:trPr>
          <w:trHeight w:val="291"/>
        </w:trPr>
        <w:tc>
          <w:tcPr>
            <w:tcW w:w="1249" w:type="pct"/>
            <w:tcBorders>
              <w:top w:val="nil"/>
              <w:left w:val="nil"/>
              <w:bottom w:val="nil"/>
              <w:right w:val="nil"/>
            </w:tcBorders>
            <w:shd w:val="clear" w:color="auto" w:fill="auto"/>
            <w:noWrap/>
            <w:vAlign w:val="bottom"/>
            <w:hideMark/>
          </w:tcPr>
          <w:p w14:paraId="0188624D"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Wholesale and Retail</w:t>
            </w:r>
          </w:p>
        </w:tc>
        <w:tc>
          <w:tcPr>
            <w:tcW w:w="314" w:type="pct"/>
            <w:tcBorders>
              <w:top w:val="nil"/>
              <w:left w:val="nil"/>
              <w:bottom w:val="nil"/>
              <w:right w:val="nil"/>
            </w:tcBorders>
            <w:shd w:val="clear" w:color="auto" w:fill="auto"/>
            <w:noWrap/>
            <w:vAlign w:val="bottom"/>
            <w:hideMark/>
          </w:tcPr>
          <w:p w14:paraId="682FCA1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32.36%</w:t>
            </w:r>
          </w:p>
        </w:tc>
        <w:tc>
          <w:tcPr>
            <w:tcW w:w="311" w:type="pct"/>
            <w:tcBorders>
              <w:top w:val="nil"/>
              <w:left w:val="nil"/>
              <w:bottom w:val="nil"/>
              <w:right w:val="nil"/>
            </w:tcBorders>
            <w:shd w:val="clear" w:color="auto" w:fill="auto"/>
            <w:noWrap/>
            <w:vAlign w:val="bottom"/>
            <w:hideMark/>
          </w:tcPr>
          <w:p w14:paraId="0C697F7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14.97%</w:t>
            </w:r>
          </w:p>
        </w:tc>
        <w:tc>
          <w:tcPr>
            <w:tcW w:w="314" w:type="pct"/>
            <w:tcBorders>
              <w:top w:val="nil"/>
              <w:left w:val="nil"/>
              <w:bottom w:val="nil"/>
              <w:right w:val="nil"/>
            </w:tcBorders>
            <w:shd w:val="clear" w:color="auto" w:fill="auto"/>
            <w:noWrap/>
            <w:vAlign w:val="bottom"/>
            <w:hideMark/>
          </w:tcPr>
          <w:p w14:paraId="464C081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35.63%</w:t>
            </w:r>
          </w:p>
        </w:tc>
        <w:tc>
          <w:tcPr>
            <w:tcW w:w="311" w:type="pct"/>
            <w:tcBorders>
              <w:top w:val="nil"/>
              <w:left w:val="nil"/>
              <w:bottom w:val="nil"/>
              <w:right w:val="nil"/>
            </w:tcBorders>
            <w:shd w:val="clear" w:color="auto" w:fill="auto"/>
            <w:noWrap/>
            <w:vAlign w:val="bottom"/>
            <w:hideMark/>
          </w:tcPr>
          <w:p w14:paraId="6DDF50F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17.14%</w:t>
            </w:r>
          </w:p>
        </w:tc>
        <w:tc>
          <w:tcPr>
            <w:tcW w:w="314" w:type="pct"/>
            <w:tcBorders>
              <w:top w:val="nil"/>
              <w:left w:val="nil"/>
              <w:bottom w:val="nil"/>
              <w:right w:val="nil"/>
            </w:tcBorders>
            <w:shd w:val="clear" w:color="auto" w:fill="auto"/>
            <w:noWrap/>
            <w:vAlign w:val="bottom"/>
            <w:hideMark/>
          </w:tcPr>
          <w:p w14:paraId="2B32022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18.44%</w:t>
            </w:r>
          </w:p>
        </w:tc>
        <w:tc>
          <w:tcPr>
            <w:tcW w:w="311" w:type="pct"/>
            <w:tcBorders>
              <w:top w:val="nil"/>
              <w:left w:val="nil"/>
              <w:bottom w:val="nil"/>
              <w:right w:val="nil"/>
            </w:tcBorders>
            <w:shd w:val="clear" w:color="auto" w:fill="auto"/>
            <w:noWrap/>
            <w:vAlign w:val="bottom"/>
            <w:hideMark/>
          </w:tcPr>
          <w:p w14:paraId="388A484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23.54%</w:t>
            </w:r>
          </w:p>
        </w:tc>
        <w:tc>
          <w:tcPr>
            <w:tcW w:w="314" w:type="pct"/>
            <w:tcBorders>
              <w:top w:val="nil"/>
              <w:left w:val="nil"/>
              <w:bottom w:val="nil"/>
              <w:right w:val="nil"/>
            </w:tcBorders>
            <w:shd w:val="clear" w:color="auto" w:fill="auto"/>
            <w:noWrap/>
            <w:vAlign w:val="bottom"/>
            <w:hideMark/>
          </w:tcPr>
          <w:p w14:paraId="2C045E2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34.72%</w:t>
            </w:r>
          </w:p>
        </w:tc>
        <w:tc>
          <w:tcPr>
            <w:tcW w:w="311" w:type="pct"/>
            <w:tcBorders>
              <w:top w:val="nil"/>
              <w:left w:val="nil"/>
              <w:bottom w:val="nil"/>
              <w:right w:val="nil"/>
            </w:tcBorders>
            <w:shd w:val="clear" w:color="auto" w:fill="auto"/>
            <w:noWrap/>
            <w:vAlign w:val="bottom"/>
            <w:hideMark/>
          </w:tcPr>
          <w:p w14:paraId="3E9DEAF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32.04%</w:t>
            </w:r>
          </w:p>
        </w:tc>
        <w:tc>
          <w:tcPr>
            <w:tcW w:w="314" w:type="pct"/>
            <w:tcBorders>
              <w:top w:val="nil"/>
              <w:left w:val="nil"/>
              <w:bottom w:val="nil"/>
              <w:right w:val="nil"/>
            </w:tcBorders>
            <w:shd w:val="clear" w:color="auto" w:fill="auto"/>
            <w:noWrap/>
            <w:vAlign w:val="bottom"/>
            <w:hideMark/>
          </w:tcPr>
          <w:p w14:paraId="4B4CFBC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32.18%</w:t>
            </w:r>
          </w:p>
        </w:tc>
        <w:tc>
          <w:tcPr>
            <w:tcW w:w="311" w:type="pct"/>
            <w:tcBorders>
              <w:top w:val="nil"/>
              <w:left w:val="nil"/>
              <w:bottom w:val="nil"/>
              <w:right w:val="nil"/>
            </w:tcBorders>
            <w:shd w:val="clear" w:color="auto" w:fill="auto"/>
            <w:noWrap/>
            <w:vAlign w:val="bottom"/>
            <w:hideMark/>
          </w:tcPr>
          <w:p w14:paraId="6363AB2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32.51%</w:t>
            </w:r>
          </w:p>
        </w:tc>
        <w:tc>
          <w:tcPr>
            <w:tcW w:w="314" w:type="pct"/>
            <w:tcBorders>
              <w:top w:val="nil"/>
              <w:left w:val="nil"/>
              <w:bottom w:val="nil"/>
              <w:right w:val="nil"/>
            </w:tcBorders>
            <w:shd w:val="clear" w:color="auto" w:fill="auto"/>
            <w:noWrap/>
            <w:vAlign w:val="bottom"/>
            <w:hideMark/>
          </w:tcPr>
          <w:p w14:paraId="01AACBC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41.61%</w:t>
            </w:r>
          </w:p>
        </w:tc>
        <w:tc>
          <w:tcPr>
            <w:tcW w:w="311" w:type="pct"/>
            <w:tcBorders>
              <w:top w:val="nil"/>
              <w:left w:val="nil"/>
              <w:bottom w:val="nil"/>
              <w:right w:val="nil"/>
            </w:tcBorders>
            <w:shd w:val="clear" w:color="auto" w:fill="auto"/>
            <w:noWrap/>
            <w:vAlign w:val="bottom"/>
            <w:hideMark/>
          </w:tcPr>
          <w:p w14:paraId="1058FA8C"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40.15%</w:t>
            </w:r>
          </w:p>
        </w:tc>
      </w:tr>
      <w:tr w:rsidR="001F4B9D" w:rsidRPr="00663DE1" w14:paraId="5291F809" w14:textId="77777777" w:rsidTr="001F4B9D">
        <w:trPr>
          <w:trHeight w:val="291"/>
        </w:trPr>
        <w:tc>
          <w:tcPr>
            <w:tcW w:w="1249" w:type="pct"/>
            <w:tcBorders>
              <w:top w:val="nil"/>
              <w:left w:val="nil"/>
              <w:bottom w:val="nil"/>
              <w:right w:val="nil"/>
            </w:tcBorders>
            <w:shd w:val="clear" w:color="auto" w:fill="auto"/>
            <w:noWrap/>
            <w:vAlign w:val="bottom"/>
            <w:hideMark/>
          </w:tcPr>
          <w:p w14:paraId="052A8E4E"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Services</w:t>
            </w:r>
          </w:p>
        </w:tc>
        <w:tc>
          <w:tcPr>
            <w:tcW w:w="314" w:type="pct"/>
            <w:tcBorders>
              <w:top w:val="nil"/>
              <w:left w:val="nil"/>
              <w:bottom w:val="nil"/>
              <w:right w:val="nil"/>
            </w:tcBorders>
            <w:shd w:val="clear" w:color="auto" w:fill="auto"/>
            <w:noWrap/>
            <w:vAlign w:val="bottom"/>
            <w:hideMark/>
          </w:tcPr>
          <w:p w14:paraId="4CA1FFA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19.61%</w:t>
            </w:r>
          </w:p>
        </w:tc>
        <w:tc>
          <w:tcPr>
            <w:tcW w:w="311" w:type="pct"/>
            <w:tcBorders>
              <w:top w:val="nil"/>
              <w:left w:val="nil"/>
              <w:bottom w:val="nil"/>
              <w:right w:val="nil"/>
            </w:tcBorders>
            <w:shd w:val="clear" w:color="auto" w:fill="auto"/>
            <w:noWrap/>
            <w:vAlign w:val="bottom"/>
            <w:hideMark/>
          </w:tcPr>
          <w:p w14:paraId="7DD9A82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23.03%</w:t>
            </w:r>
          </w:p>
        </w:tc>
        <w:tc>
          <w:tcPr>
            <w:tcW w:w="314" w:type="pct"/>
            <w:tcBorders>
              <w:top w:val="nil"/>
              <w:left w:val="nil"/>
              <w:bottom w:val="nil"/>
              <w:right w:val="nil"/>
            </w:tcBorders>
            <w:shd w:val="clear" w:color="auto" w:fill="auto"/>
            <w:noWrap/>
            <w:vAlign w:val="bottom"/>
            <w:hideMark/>
          </w:tcPr>
          <w:p w14:paraId="221484A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22.41%</w:t>
            </w:r>
          </w:p>
        </w:tc>
        <w:tc>
          <w:tcPr>
            <w:tcW w:w="311" w:type="pct"/>
            <w:tcBorders>
              <w:top w:val="nil"/>
              <w:left w:val="nil"/>
              <w:bottom w:val="nil"/>
              <w:right w:val="nil"/>
            </w:tcBorders>
            <w:shd w:val="clear" w:color="auto" w:fill="auto"/>
            <w:noWrap/>
            <w:vAlign w:val="bottom"/>
            <w:hideMark/>
          </w:tcPr>
          <w:p w14:paraId="08320C8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24.81%</w:t>
            </w:r>
          </w:p>
        </w:tc>
        <w:tc>
          <w:tcPr>
            <w:tcW w:w="314" w:type="pct"/>
            <w:tcBorders>
              <w:top w:val="nil"/>
              <w:left w:val="nil"/>
              <w:bottom w:val="nil"/>
              <w:right w:val="nil"/>
            </w:tcBorders>
            <w:shd w:val="clear" w:color="auto" w:fill="auto"/>
            <w:noWrap/>
            <w:vAlign w:val="bottom"/>
            <w:hideMark/>
          </w:tcPr>
          <w:p w14:paraId="0318702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26.51%</w:t>
            </w:r>
          </w:p>
        </w:tc>
        <w:tc>
          <w:tcPr>
            <w:tcW w:w="311" w:type="pct"/>
            <w:tcBorders>
              <w:top w:val="nil"/>
              <w:left w:val="nil"/>
              <w:bottom w:val="nil"/>
              <w:right w:val="nil"/>
            </w:tcBorders>
            <w:shd w:val="clear" w:color="auto" w:fill="auto"/>
            <w:noWrap/>
            <w:vAlign w:val="bottom"/>
            <w:hideMark/>
          </w:tcPr>
          <w:p w14:paraId="5B93C72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16.33%</w:t>
            </w:r>
          </w:p>
        </w:tc>
        <w:tc>
          <w:tcPr>
            <w:tcW w:w="314" w:type="pct"/>
            <w:tcBorders>
              <w:top w:val="nil"/>
              <w:left w:val="nil"/>
              <w:bottom w:val="nil"/>
              <w:right w:val="nil"/>
            </w:tcBorders>
            <w:shd w:val="clear" w:color="auto" w:fill="auto"/>
            <w:noWrap/>
            <w:vAlign w:val="bottom"/>
            <w:hideMark/>
          </w:tcPr>
          <w:p w14:paraId="4F4C49C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20.58%</w:t>
            </w:r>
          </w:p>
        </w:tc>
        <w:tc>
          <w:tcPr>
            <w:tcW w:w="311" w:type="pct"/>
            <w:tcBorders>
              <w:top w:val="nil"/>
              <w:left w:val="nil"/>
              <w:bottom w:val="nil"/>
              <w:right w:val="nil"/>
            </w:tcBorders>
            <w:shd w:val="clear" w:color="auto" w:fill="auto"/>
            <w:noWrap/>
            <w:vAlign w:val="bottom"/>
            <w:hideMark/>
          </w:tcPr>
          <w:p w14:paraId="3CB879D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20.44%</w:t>
            </w:r>
          </w:p>
        </w:tc>
        <w:tc>
          <w:tcPr>
            <w:tcW w:w="314" w:type="pct"/>
            <w:tcBorders>
              <w:top w:val="nil"/>
              <w:left w:val="nil"/>
              <w:bottom w:val="nil"/>
              <w:right w:val="nil"/>
            </w:tcBorders>
            <w:shd w:val="clear" w:color="auto" w:fill="auto"/>
            <w:noWrap/>
            <w:vAlign w:val="bottom"/>
            <w:hideMark/>
          </w:tcPr>
          <w:p w14:paraId="0C271FA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19.87%</w:t>
            </w:r>
          </w:p>
        </w:tc>
        <w:tc>
          <w:tcPr>
            <w:tcW w:w="311" w:type="pct"/>
            <w:tcBorders>
              <w:top w:val="nil"/>
              <w:left w:val="nil"/>
              <w:bottom w:val="nil"/>
              <w:right w:val="nil"/>
            </w:tcBorders>
            <w:shd w:val="clear" w:color="auto" w:fill="auto"/>
            <w:noWrap/>
            <w:vAlign w:val="bottom"/>
            <w:hideMark/>
          </w:tcPr>
          <w:p w14:paraId="53F6D8E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16.05%</w:t>
            </w:r>
          </w:p>
        </w:tc>
        <w:tc>
          <w:tcPr>
            <w:tcW w:w="314" w:type="pct"/>
            <w:tcBorders>
              <w:top w:val="nil"/>
              <w:left w:val="nil"/>
              <w:bottom w:val="nil"/>
              <w:right w:val="nil"/>
            </w:tcBorders>
            <w:shd w:val="clear" w:color="auto" w:fill="auto"/>
            <w:noWrap/>
            <w:vAlign w:val="bottom"/>
            <w:hideMark/>
          </w:tcPr>
          <w:p w14:paraId="3FEC2AC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12.75%</w:t>
            </w:r>
          </w:p>
        </w:tc>
        <w:tc>
          <w:tcPr>
            <w:tcW w:w="311" w:type="pct"/>
            <w:tcBorders>
              <w:top w:val="nil"/>
              <w:left w:val="nil"/>
              <w:bottom w:val="nil"/>
              <w:right w:val="nil"/>
            </w:tcBorders>
            <w:shd w:val="clear" w:color="auto" w:fill="auto"/>
            <w:noWrap/>
            <w:vAlign w:val="bottom"/>
            <w:hideMark/>
          </w:tcPr>
          <w:p w14:paraId="6232D13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16.89%</w:t>
            </w:r>
          </w:p>
        </w:tc>
      </w:tr>
      <w:tr w:rsidR="001F4B9D" w:rsidRPr="00663DE1" w14:paraId="5DB4499D" w14:textId="77777777" w:rsidTr="001F4B9D">
        <w:trPr>
          <w:trHeight w:val="291"/>
        </w:trPr>
        <w:tc>
          <w:tcPr>
            <w:tcW w:w="1249" w:type="pct"/>
            <w:tcBorders>
              <w:top w:val="nil"/>
              <w:left w:val="nil"/>
              <w:bottom w:val="nil"/>
              <w:right w:val="nil"/>
            </w:tcBorders>
            <w:shd w:val="clear" w:color="auto" w:fill="auto"/>
            <w:noWrap/>
            <w:vAlign w:val="bottom"/>
            <w:hideMark/>
          </w:tcPr>
          <w:p w14:paraId="44E55A2B"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lastRenderedPageBreak/>
              <w:t>R2</w:t>
            </w:r>
          </w:p>
        </w:tc>
        <w:tc>
          <w:tcPr>
            <w:tcW w:w="314" w:type="pct"/>
            <w:tcBorders>
              <w:top w:val="nil"/>
              <w:left w:val="nil"/>
              <w:bottom w:val="nil"/>
              <w:right w:val="nil"/>
            </w:tcBorders>
            <w:shd w:val="clear" w:color="auto" w:fill="auto"/>
            <w:noWrap/>
            <w:vAlign w:val="bottom"/>
            <w:hideMark/>
          </w:tcPr>
          <w:p w14:paraId="2DC108D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0.906</w:t>
            </w:r>
          </w:p>
        </w:tc>
        <w:tc>
          <w:tcPr>
            <w:tcW w:w="311" w:type="pct"/>
            <w:tcBorders>
              <w:top w:val="nil"/>
              <w:left w:val="nil"/>
              <w:bottom w:val="nil"/>
              <w:right w:val="nil"/>
            </w:tcBorders>
            <w:shd w:val="clear" w:color="auto" w:fill="auto"/>
            <w:noWrap/>
            <w:vAlign w:val="bottom"/>
            <w:hideMark/>
          </w:tcPr>
          <w:p w14:paraId="617D55E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0.8682</w:t>
            </w:r>
          </w:p>
        </w:tc>
        <w:tc>
          <w:tcPr>
            <w:tcW w:w="314" w:type="pct"/>
            <w:tcBorders>
              <w:top w:val="nil"/>
              <w:left w:val="nil"/>
              <w:bottom w:val="nil"/>
              <w:right w:val="nil"/>
            </w:tcBorders>
            <w:shd w:val="clear" w:color="auto" w:fill="auto"/>
            <w:noWrap/>
            <w:vAlign w:val="bottom"/>
            <w:hideMark/>
          </w:tcPr>
          <w:p w14:paraId="20548BE8"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0.872</w:t>
            </w:r>
          </w:p>
        </w:tc>
        <w:tc>
          <w:tcPr>
            <w:tcW w:w="311" w:type="pct"/>
            <w:tcBorders>
              <w:top w:val="nil"/>
              <w:left w:val="nil"/>
              <w:bottom w:val="nil"/>
              <w:right w:val="nil"/>
            </w:tcBorders>
            <w:shd w:val="clear" w:color="auto" w:fill="auto"/>
            <w:noWrap/>
            <w:vAlign w:val="bottom"/>
            <w:hideMark/>
          </w:tcPr>
          <w:p w14:paraId="6687FDB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0.9351</w:t>
            </w:r>
          </w:p>
        </w:tc>
        <w:tc>
          <w:tcPr>
            <w:tcW w:w="314" w:type="pct"/>
            <w:tcBorders>
              <w:top w:val="nil"/>
              <w:left w:val="nil"/>
              <w:bottom w:val="nil"/>
              <w:right w:val="nil"/>
            </w:tcBorders>
            <w:shd w:val="clear" w:color="auto" w:fill="auto"/>
            <w:noWrap/>
            <w:vAlign w:val="bottom"/>
            <w:hideMark/>
          </w:tcPr>
          <w:p w14:paraId="0A1D9620"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0.8779</w:t>
            </w:r>
          </w:p>
        </w:tc>
        <w:tc>
          <w:tcPr>
            <w:tcW w:w="311" w:type="pct"/>
            <w:tcBorders>
              <w:top w:val="nil"/>
              <w:left w:val="nil"/>
              <w:bottom w:val="nil"/>
              <w:right w:val="nil"/>
            </w:tcBorders>
            <w:shd w:val="clear" w:color="auto" w:fill="auto"/>
            <w:noWrap/>
            <w:vAlign w:val="bottom"/>
            <w:hideMark/>
          </w:tcPr>
          <w:p w14:paraId="2C14FD0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0.8675</w:t>
            </w:r>
          </w:p>
        </w:tc>
        <w:tc>
          <w:tcPr>
            <w:tcW w:w="314" w:type="pct"/>
            <w:tcBorders>
              <w:top w:val="nil"/>
              <w:left w:val="nil"/>
              <w:bottom w:val="nil"/>
              <w:right w:val="nil"/>
            </w:tcBorders>
            <w:shd w:val="clear" w:color="auto" w:fill="auto"/>
            <w:noWrap/>
            <w:vAlign w:val="bottom"/>
            <w:hideMark/>
          </w:tcPr>
          <w:p w14:paraId="3C3BC03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0.8468</w:t>
            </w:r>
          </w:p>
        </w:tc>
        <w:tc>
          <w:tcPr>
            <w:tcW w:w="311" w:type="pct"/>
            <w:tcBorders>
              <w:top w:val="nil"/>
              <w:left w:val="nil"/>
              <w:bottom w:val="nil"/>
              <w:right w:val="nil"/>
            </w:tcBorders>
            <w:shd w:val="clear" w:color="auto" w:fill="auto"/>
            <w:noWrap/>
            <w:vAlign w:val="bottom"/>
            <w:hideMark/>
          </w:tcPr>
          <w:p w14:paraId="5B4B0E65"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0.8652</w:t>
            </w:r>
          </w:p>
        </w:tc>
        <w:tc>
          <w:tcPr>
            <w:tcW w:w="314" w:type="pct"/>
            <w:tcBorders>
              <w:top w:val="nil"/>
              <w:left w:val="nil"/>
              <w:bottom w:val="nil"/>
              <w:right w:val="nil"/>
            </w:tcBorders>
            <w:shd w:val="clear" w:color="auto" w:fill="auto"/>
            <w:noWrap/>
            <w:vAlign w:val="bottom"/>
            <w:hideMark/>
          </w:tcPr>
          <w:p w14:paraId="69742CE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0.8884</w:t>
            </w:r>
          </w:p>
        </w:tc>
        <w:tc>
          <w:tcPr>
            <w:tcW w:w="311" w:type="pct"/>
            <w:tcBorders>
              <w:top w:val="nil"/>
              <w:left w:val="nil"/>
              <w:bottom w:val="nil"/>
              <w:right w:val="nil"/>
            </w:tcBorders>
            <w:shd w:val="clear" w:color="auto" w:fill="auto"/>
            <w:noWrap/>
            <w:vAlign w:val="bottom"/>
            <w:hideMark/>
          </w:tcPr>
          <w:p w14:paraId="28EB8F8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0.8662</w:t>
            </w:r>
          </w:p>
        </w:tc>
        <w:tc>
          <w:tcPr>
            <w:tcW w:w="314" w:type="pct"/>
            <w:tcBorders>
              <w:top w:val="nil"/>
              <w:left w:val="nil"/>
              <w:bottom w:val="nil"/>
              <w:right w:val="nil"/>
            </w:tcBorders>
            <w:shd w:val="clear" w:color="auto" w:fill="auto"/>
            <w:noWrap/>
            <w:vAlign w:val="bottom"/>
            <w:hideMark/>
          </w:tcPr>
          <w:p w14:paraId="6FEF1B2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0.922</w:t>
            </w:r>
          </w:p>
        </w:tc>
        <w:tc>
          <w:tcPr>
            <w:tcW w:w="311" w:type="pct"/>
            <w:tcBorders>
              <w:top w:val="nil"/>
              <w:left w:val="nil"/>
              <w:bottom w:val="nil"/>
              <w:right w:val="nil"/>
            </w:tcBorders>
            <w:shd w:val="clear" w:color="auto" w:fill="auto"/>
            <w:noWrap/>
            <w:vAlign w:val="bottom"/>
            <w:hideMark/>
          </w:tcPr>
          <w:p w14:paraId="42F21FA1"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0.9131</w:t>
            </w:r>
          </w:p>
        </w:tc>
      </w:tr>
      <w:tr w:rsidR="001F4B9D" w:rsidRPr="00663DE1" w14:paraId="49B83A0C" w14:textId="77777777" w:rsidTr="001F4B9D">
        <w:trPr>
          <w:trHeight w:val="291"/>
        </w:trPr>
        <w:tc>
          <w:tcPr>
            <w:tcW w:w="1249" w:type="pct"/>
            <w:tcBorders>
              <w:top w:val="nil"/>
              <w:left w:val="nil"/>
              <w:bottom w:val="single" w:sz="4" w:space="0" w:color="auto"/>
              <w:right w:val="nil"/>
            </w:tcBorders>
            <w:shd w:val="clear" w:color="auto" w:fill="auto"/>
            <w:noWrap/>
            <w:vAlign w:val="bottom"/>
            <w:hideMark/>
          </w:tcPr>
          <w:p w14:paraId="6878FBFA" w14:textId="77777777" w:rsidR="001F4B9D" w:rsidRPr="001D505C" w:rsidRDefault="001F4B9D" w:rsidP="00CD0BBE">
            <w:pPr>
              <w:spacing w:after="0" w:line="240" w:lineRule="auto"/>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Tracking Error</w:t>
            </w:r>
          </w:p>
        </w:tc>
        <w:tc>
          <w:tcPr>
            <w:tcW w:w="314" w:type="pct"/>
            <w:tcBorders>
              <w:top w:val="nil"/>
              <w:left w:val="nil"/>
              <w:bottom w:val="single" w:sz="4" w:space="0" w:color="auto"/>
              <w:right w:val="nil"/>
            </w:tcBorders>
            <w:shd w:val="clear" w:color="auto" w:fill="auto"/>
            <w:noWrap/>
            <w:vAlign w:val="bottom"/>
            <w:hideMark/>
          </w:tcPr>
          <w:p w14:paraId="04678DE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0.44%</w:t>
            </w:r>
          </w:p>
        </w:tc>
        <w:tc>
          <w:tcPr>
            <w:tcW w:w="311" w:type="pct"/>
            <w:tcBorders>
              <w:top w:val="nil"/>
              <w:left w:val="nil"/>
              <w:bottom w:val="single" w:sz="4" w:space="0" w:color="auto"/>
              <w:right w:val="nil"/>
            </w:tcBorders>
            <w:shd w:val="clear" w:color="auto" w:fill="auto"/>
            <w:noWrap/>
            <w:vAlign w:val="bottom"/>
            <w:hideMark/>
          </w:tcPr>
          <w:p w14:paraId="13BB6F7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0.48%</w:t>
            </w:r>
          </w:p>
        </w:tc>
        <w:tc>
          <w:tcPr>
            <w:tcW w:w="314" w:type="pct"/>
            <w:tcBorders>
              <w:top w:val="nil"/>
              <w:left w:val="nil"/>
              <w:bottom w:val="single" w:sz="4" w:space="0" w:color="auto"/>
              <w:right w:val="nil"/>
            </w:tcBorders>
            <w:shd w:val="clear" w:color="auto" w:fill="auto"/>
            <w:noWrap/>
            <w:vAlign w:val="bottom"/>
            <w:hideMark/>
          </w:tcPr>
          <w:p w14:paraId="18B124C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0.35%</w:t>
            </w:r>
          </w:p>
        </w:tc>
        <w:tc>
          <w:tcPr>
            <w:tcW w:w="311" w:type="pct"/>
            <w:tcBorders>
              <w:top w:val="nil"/>
              <w:left w:val="nil"/>
              <w:bottom w:val="single" w:sz="4" w:space="0" w:color="auto"/>
              <w:right w:val="nil"/>
            </w:tcBorders>
            <w:shd w:val="clear" w:color="auto" w:fill="auto"/>
            <w:noWrap/>
            <w:vAlign w:val="bottom"/>
            <w:hideMark/>
          </w:tcPr>
          <w:p w14:paraId="5EDD486D"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0.83%</w:t>
            </w:r>
          </w:p>
        </w:tc>
        <w:tc>
          <w:tcPr>
            <w:tcW w:w="314" w:type="pct"/>
            <w:tcBorders>
              <w:top w:val="nil"/>
              <w:left w:val="nil"/>
              <w:bottom w:val="single" w:sz="4" w:space="0" w:color="auto"/>
              <w:right w:val="nil"/>
            </w:tcBorders>
            <w:shd w:val="clear" w:color="auto" w:fill="auto"/>
            <w:noWrap/>
            <w:vAlign w:val="bottom"/>
            <w:hideMark/>
          </w:tcPr>
          <w:p w14:paraId="6A305EC7"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0.77%</w:t>
            </w:r>
          </w:p>
        </w:tc>
        <w:tc>
          <w:tcPr>
            <w:tcW w:w="311" w:type="pct"/>
            <w:tcBorders>
              <w:top w:val="nil"/>
              <w:left w:val="nil"/>
              <w:bottom w:val="single" w:sz="4" w:space="0" w:color="auto"/>
              <w:right w:val="nil"/>
            </w:tcBorders>
            <w:shd w:val="clear" w:color="auto" w:fill="auto"/>
            <w:noWrap/>
            <w:vAlign w:val="bottom"/>
            <w:hideMark/>
          </w:tcPr>
          <w:p w14:paraId="5CB0E8AF"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0.82%</w:t>
            </w:r>
          </w:p>
        </w:tc>
        <w:tc>
          <w:tcPr>
            <w:tcW w:w="314" w:type="pct"/>
            <w:tcBorders>
              <w:top w:val="nil"/>
              <w:left w:val="nil"/>
              <w:bottom w:val="single" w:sz="4" w:space="0" w:color="auto"/>
              <w:right w:val="nil"/>
            </w:tcBorders>
            <w:shd w:val="clear" w:color="auto" w:fill="auto"/>
            <w:noWrap/>
            <w:vAlign w:val="bottom"/>
            <w:hideMark/>
          </w:tcPr>
          <w:p w14:paraId="09DB6D1A"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0.63%</w:t>
            </w:r>
          </w:p>
        </w:tc>
        <w:tc>
          <w:tcPr>
            <w:tcW w:w="311" w:type="pct"/>
            <w:tcBorders>
              <w:top w:val="nil"/>
              <w:left w:val="nil"/>
              <w:bottom w:val="single" w:sz="4" w:space="0" w:color="auto"/>
              <w:right w:val="nil"/>
            </w:tcBorders>
            <w:shd w:val="clear" w:color="auto" w:fill="auto"/>
            <w:noWrap/>
            <w:vAlign w:val="bottom"/>
            <w:hideMark/>
          </w:tcPr>
          <w:p w14:paraId="41F524A9"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0.77%</w:t>
            </w:r>
          </w:p>
        </w:tc>
        <w:tc>
          <w:tcPr>
            <w:tcW w:w="314" w:type="pct"/>
            <w:tcBorders>
              <w:top w:val="nil"/>
              <w:left w:val="nil"/>
              <w:bottom w:val="single" w:sz="4" w:space="0" w:color="auto"/>
              <w:right w:val="nil"/>
            </w:tcBorders>
            <w:shd w:val="clear" w:color="auto" w:fill="auto"/>
            <w:noWrap/>
            <w:vAlign w:val="bottom"/>
            <w:hideMark/>
          </w:tcPr>
          <w:p w14:paraId="748C334B"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0.48%</w:t>
            </w:r>
          </w:p>
        </w:tc>
        <w:tc>
          <w:tcPr>
            <w:tcW w:w="311" w:type="pct"/>
            <w:tcBorders>
              <w:top w:val="nil"/>
              <w:left w:val="nil"/>
              <w:bottom w:val="single" w:sz="4" w:space="0" w:color="auto"/>
              <w:right w:val="nil"/>
            </w:tcBorders>
            <w:shd w:val="clear" w:color="auto" w:fill="auto"/>
            <w:noWrap/>
            <w:vAlign w:val="bottom"/>
            <w:hideMark/>
          </w:tcPr>
          <w:p w14:paraId="4198C486"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0.78%</w:t>
            </w:r>
          </w:p>
        </w:tc>
        <w:tc>
          <w:tcPr>
            <w:tcW w:w="314" w:type="pct"/>
            <w:tcBorders>
              <w:top w:val="nil"/>
              <w:left w:val="nil"/>
              <w:bottom w:val="single" w:sz="4" w:space="0" w:color="auto"/>
              <w:right w:val="nil"/>
            </w:tcBorders>
            <w:shd w:val="clear" w:color="auto" w:fill="auto"/>
            <w:noWrap/>
            <w:vAlign w:val="bottom"/>
            <w:hideMark/>
          </w:tcPr>
          <w:p w14:paraId="1CB82153"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0.49%</w:t>
            </w:r>
          </w:p>
        </w:tc>
        <w:tc>
          <w:tcPr>
            <w:tcW w:w="311" w:type="pct"/>
            <w:tcBorders>
              <w:top w:val="nil"/>
              <w:left w:val="nil"/>
              <w:bottom w:val="single" w:sz="4" w:space="0" w:color="auto"/>
              <w:right w:val="nil"/>
            </w:tcBorders>
            <w:shd w:val="clear" w:color="auto" w:fill="auto"/>
            <w:noWrap/>
            <w:vAlign w:val="bottom"/>
            <w:hideMark/>
          </w:tcPr>
          <w:p w14:paraId="5EE31C0E" w14:textId="77777777" w:rsidR="001F4B9D" w:rsidRPr="001D505C" w:rsidRDefault="001F4B9D" w:rsidP="00CD0BBE">
            <w:pPr>
              <w:spacing w:after="0" w:line="240" w:lineRule="auto"/>
              <w:jc w:val="center"/>
              <w:rPr>
                <w:rFonts w:ascii="Times New Roman" w:eastAsia="Times New Roman" w:hAnsi="Times New Roman" w:cs="Times New Roman"/>
                <w:color w:val="000000"/>
                <w:lang w:eastAsia="en-GB"/>
              </w:rPr>
            </w:pPr>
            <w:r w:rsidRPr="001D505C">
              <w:rPr>
                <w:rFonts w:ascii="Times New Roman" w:eastAsia="Times New Roman" w:hAnsi="Times New Roman" w:cs="Times New Roman"/>
                <w:color w:val="000000"/>
                <w:lang w:eastAsia="en-GB"/>
              </w:rPr>
              <w:t>0.95%</w:t>
            </w:r>
          </w:p>
        </w:tc>
      </w:tr>
    </w:tbl>
    <w:p w14:paraId="3B97CCF4" w14:textId="77777777" w:rsidR="001F4B9D" w:rsidRPr="00663DE1" w:rsidRDefault="001F4B9D" w:rsidP="001F4B9D">
      <w:pPr>
        <w:rPr>
          <w:rFonts w:ascii="Times New Roman" w:hAnsi="Times New Roman" w:cs="Times New Roman"/>
        </w:rPr>
      </w:pPr>
    </w:p>
    <w:p w14:paraId="499E8A60" w14:textId="77777777" w:rsidR="001F4B9D" w:rsidRPr="00663DE1" w:rsidRDefault="001F4B9D" w:rsidP="001F4B9D">
      <w:pPr>
        <w:rPr>
          <w:rFonts w:ascii="Times New Roman" w:hAnsi="Times New Roman" w:cs="Times New Roman"/>
        </w:rPr>
      </w:pPr>
    </w:p>
    <w:p w14:paraId="66373E8B" w14:textId="77777777" w:rsidR="001F4B9D" w:rsidRPr="00663DE1" w:rsidRDefault="001F4B9D" w:rsidP="001F4B9D">
      <w:pPr>
        <w:rPr>
          <w:rFonts w:ascii="Times New Roman" w:hAnsi="Times New Roman" w:cs="Times New Roman"/>
        </w:rPr>
      </w:pPr>
    </w:p>
    <w:tbl>
      <w:tblPr>
        <w:tblW w:w="5000" w:type="pct"/>
        <w:tblLook w:val="04A0" w:firstRow="1" w:lastRow="0" w:firstColumn="1" w:lastColumn="0" w:noHBand="0" w:noVBand="1"/>
      </w:tblPr>
      <w:tblGrid>
        <w:gridCol w:w="3312"/>
        <w:gridCol w:w="868"/>
        <w:gridCol w:w="746"/>
        <w:gridCol w:w="868"/>
        <w:gridCol w:w="746"/>
        <w:gridCol w:w="869"/>
        <w:gridCol w:w="747"/>
        <w:gridCol w:w="869"/>
        <w:gridCol w:w="747"/>
        <w:gridCol w:w="869"/>
        <w:gridCol w:w="747"/>
        <w:gridCol w:w="869"/>
        <w:gridCol w:w="747"/>
      </w:tblGrid>
      <w:tr w:rsidR="001F4B9D" w:rsidRPr="00F536BF" w14:paraId="47406003" w14:textId="77777777" w:rsidTr="001F4B9D">
        <w:trPr>
          <w:trHeight w:val="289"/>
        </w:trPr>
        <w:tc>
          <w:tcPr>
            <w:tcW w:w="5000" w:type="pct"/>
            <w:gridSpan w:val="13"/>
            <w:tcBorders>
              <w:top w:val="nil"/>
              <w:left w:val="nil"/>
              <w:bottom w:val="nil"/>
              <w:right w:val="nil"/>
            </w:tcBorders>
            <w:shd w:val="clear" w:color="000000" w:fill="FFFF00"/>
            <w:noWrap/>
            <w:vAlign w:val="bottom"/>
            <w:hideMark/>
          </w:tcPr>
          <w:p w14:paraId="7067554D" w14:textId="77777777" w:rsidR="001F4B9D" w:rsidRPr="00F536BF" w:rsidRDefault="001F4B9D" w:rsidP="00CD0BBE">
            <w:pPr>
              <w:spacing w:after="0" w:line="240" w:lineRule="auto"/>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 xml:space="preserve">Table 12: Style Analysis - Stage 6 (January 1 - May </w:t>
            </w:r>
            <w:proofErr w:type="gramStart"/>
            <w:r w:rsidRPr="00F536BF">
              <w:rPr>
                <w:rFonts w:ascii="Times New Roman" w:eastAsia="Times New Roman" w:hAnsi="Times New Roman" w:cs="Times New Roman"/>
                <w:b/>
                <w:bCs/>
                <w:color w:val="000000"/>
                <w:lang w:eastAsia="en-GB"/>
              </w:rPr>
              <w:t>31</w:t>
            </w:r>
            <w:proofErr w:type="gramEnd"/>
            <w:r w:rsidRPr="00F536BF">
              <w:rPr>
                <w:rFonts w:ascii="Times New Roman" w:eastAsia="Times New Roman" w:hAnsi="Times New Roman" w:cs="Times New Roman"/>
                <w:b/>
                <w:bCs/>
                <w:color w:val="000000"/>
                <w:lang w:eastAsia="en-GB"/>
              </w:rPr>
              <w:t xml:space="preserve"> 2021)</w:t>
            </w:r>
          </w:p>
        </w:tc>
      </w:tr>
      <w:tr w:rsidR="001F4B9D" w:rsidRPr="00F536BF" w14:paraId="3F9BE544" w14:textId="77777777" w:rsidTr="001F4B9D">
        <w:trPr>
          <w:trHeight w:val="289"/>
        </w:trPr>
        <w:tc>
          <w:tcPr>
            <w:tcW w:w="1241" w:type="pct"/>
            <w:tcBorders>
              <w:top w:val="single" w:sz="4" w:space="0" w:color="auto"/>
              <w:left w:val="nil"/>
              <w:bottom w:val="single" w:sz="4" w:space="0" w:color="auto"/>
              <w:right w:val="nil"/>
            </w:tcBorders>
            <w:shd w:val="clear" w:color="auto" w:fill="auto"/>
            <w:noWrap/>
            <w:vAlign w:val="bottom"/>
            <w:hideMark/>
          </w:tcPr>
          <w:p w14:paraId="0BB02271" w14:textId="77777777" w:rsidR="001F4B9D" w:rsidRPr="00F536BF" w:rsidRDefault="001F4B9D" w:rsidP="00CD0BBE">
            <w:pPr>
              <w:spacing w:after="0" w:line="240" w:lineRule="auto"/>
              <w:rPr>
                <w:rFonts w:ascii="Times New Roman" w:eastAsia="Times New Roman" w:hAnsi="Times New Roman" w:cs="Times New Roman"/>
                <w:color w:val="000000"/>
                <w:lang w:eastAsia="en-GB"/>
              </w:rPr>
            </w:pPr>
            <w:r w:rsidRPr="00F536BF">
              <w:rPr>
                <w:rFonts w:ascii="Times New Roman" w:eastAsia="Times New Roman" w:hAnsi="Times New Roman" w:cs="Times New Roman"/>
                <w:color w:val="000000"/>
                <w:lang w:eastAsia="en-GB"/>
              </w:rPr>
              <w:t> </w:t>
            </w:r>
          </w:p>
        </w:tc>
        <w:tc>
          <w:tcPr>
            <w:tcW w:w="627" w:type="pct"/>
            <w:gridSpan w:val="2"/>
            <w:tcBorders>
              <w:top w:val="single" w:sz="4" w:space="0" w:color="auto"/>
              <w:left w:val="nil"/>
              <w:bottom w:val="single" w:sz="4" w:space="0" w:color="auto"/>
              <w:right w:val="nil"/>
            </w:tcBorders>
            <w:shd w:val="clear" w:color="auto" w:fill="auto"/>
            <w:noWrap/>
            <w:vAlign w:val="bottom"/>
            <w:hideMark/>
          </w:tcPr>
          <w:p w14:paraId="7F260A3C"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Malaysia</w:t>
            </w:r>
          </w:p>
        </w:tc>
        <w:tc>
          <w:tcPr>
            <w:tcW w:w="627" w:type="pct"/>
            <w:gridSpan w:val="2"/>
            <w:tcBorders>
              <w:top w:val="single" w:sz="4" w:space="0" w:color="auto"/>
              <w:left w:val="nil"/>
              <w:bottom w:val="single" w:sz="4" w:space="0" w:color="auto"/>
              <w:right w:val="nil"/>
            </w:tcBorders>
            <w:shd w:val="clear" w:color="auto" w:fill="auto"/>
            <w:noWrap/>
            <w:vAlign w:val="bottom"/>
            <w:hideMark/>
          </w:tcPr>
          <w:p w14:paraId="7163A10C"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Pakistan</w:t>
            </w:r>
          </w:p>
        </w:tc>
        <w:tc>
          <w:tcPr>
            <w:tcW w:w="627" w:type="pct"/>
            <w:gridSpan w:val="2"/>
            <w:tcBorders>
              <w:top w:val="single" w:sz="4" w:space="0" w:color="auto"/>
              <w:left w:val="nil"/>
              <w:bottom w:val="single" w:sz="4" w:space="0" w:color="auto"/>
              <w:right w:val="nil"/>
            </w:tcBorders>
            <w:shd w:val="clear" w:color="auto" w:fill="auto"/>
            <w:noWrap/>
            <w:vAlign w:val="bottom"/>
            <w:hideMark/>
          </w:tcPr>
          <w:p w14:paraId="16262FF0"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Saudi Arabia</w:t>
            </w:r>
          </w:p>
        </w:tc>
        <w:tc>
          <w:tcPr>
            <w:tcW w:w="627" w:type="pct"/>
            <w:gridSpan w:val="2"/>
            <w:tcBorders>
              <w:top w:val="single" w:sz="4" w:space="0" w:color="auto"/>
              <w:left w:val="nil"/>
              <w:bottom w:val="single" w:sz="4" w:space="0" w:color="auto"/>
              <w:right w:val="nil"/>
            </w:tcBorders>
            <w:shd w:val="clear" w:color="auto" w:fill="auto"/>
            <w:noWrap/>
            <w:vAlign w:val="bottom"/>
            <w:hideMark/>
          </w:tcPr>
          <w:p w14:paraId="5209D74A"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Qatar</w:t>
            </w:r>
          </w:p>
        </w:tc>
        <w:tc>
          <w:tcPr>
            <w:tcW w:w="627" w:type="pct"/>
            <w:gridSpan w:val="2"/>
            <w:tcBorders>
              <w:top w:val="single" w:sz="4" w:space="0" w:color="auto"/>
              <w:left w:val="nil"/>
              <w:bottom w:val="single" w:sz="4" w:space="0" w:color="auto"/>
              <w:right w:val="nil"/>
            </w:tcBorders>
            <w:shd w:val="clear" w:color="auto" w:fill="auto"/>
            <w:noWrap/>
            <w:vAlign w:val="bottom"/>
            <w:hideMark/>
          </w:tcPr>
          <w:p w14:paraId="5E950833"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Kuwait</w:t>
            </w:r>
          </w:p>
        </w:tc>
        <w:tc>
          <w:tcPr>
            <w:tcW w:w="627" w:type="pct"/>
            <w:gridSpan w:val="2"/>
            <w:tcBorders>
              <w:top w:val="single" w:sz="4" w:space="0" w:color="auto"/>
              <w:left w:val="nil"/>
              <w:bottom w:val="single" w:sz="4" w:space="0" w:color="auto"/>
              <w:right w:val="nil"/>
            </w:tcBorders>
            <w:shd w:val="clear" w:color="auto" w:fill="auto"/>
            <w:noWrap/>
            <w:vAlign w:val="bottom"/>
            <w:hideMark/>
          </w:tcPr>
          <w:p w14:paraId="16686FF6"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UAE</w:t>
            </w:r>
          </w:p>
        </w:tc>
      </w:tr>
      <w:tr w:rsidR="001F4B9D" w:rsidRPr="00663DE1" w14:paraId="190B1454" w14:textId="77777777" w:rsidTr="001F4B9D">
        <w:trPr>
          <w:trHeight w:val="289"/>
        </w:trPr>
        <w:tc>
          <w:tcPr>
            <w:tcW w:w="1241" w:type="pct"/>
            <w:tcBorders>
              <w:top w:val="nil"/>
              <w:left w:val="nil"/>
              <w:bottom w:val="nil"/>
              <w:right w:val="nil"/>
            </w:tcBorders>
            <w:shd w:val="clear" w:color="auto" w:fill="auto"/>
            <w:noWrap/>
            <w:vAlign w:val="bottom"/>
            <w:hideMark/>
          </w:tcPr>
          <w:p w14:paraId="5AB744AF"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p>
        </w:tc>
        <w:tc>
          <w:tcPr>
            <w:tcW w:w="314" w:type="pct"/>
            <w:tcBorders>
              <w:top w:val="nil"/>
              <w:left w:val="nil"/>
              <w:bottom w:val="nil"/>
              <w:right w:val="nil"/>
            </w:tcBorders>
            <w:shd w:val="clear" w:color="auto" w:fill="auto"/>
            <w:noWrap/>
            <w:vAlign w:val="bottom"/>
            <w:hideMark/>
          </w:tcPr>
          <w:p w14:paraId="43D2C564"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Islamic</w:t>
            </w:r>
          </w:p>
        </w:tc>
        <w:tc>
          <w:tcPr>
            <w:tcW w:w="312" w:type="pct"/>
            <w:tcBorders>
              <w:top w:val="nil"/>
              <w:left w:val="nil"/>
              <w:bottom w:val="nil"/>
              <w:right w:val="nil"/>
            </w:tcBorders>
            <w:shd w:val="clear" w:color="auto" w:fill="auto"/>
            <w:noWrap/>
            <w:vAlign w:val="bottom"/>
            <w:hideMark/>
          </w:tcPr>
          <w:p w14:paraId="07EB62AD"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6C35360D"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Islamic</w:t>
            </w:r>
          </w:p>
        </w:tc>
        <w:tc>
          <w:tcPr>
            <w:tcW w:w="312" w:type="pct"/>
            <w:tcBorders>
              <w:top w:val="nil"/>
              <w:left w:val="nil"/>
              <w:bottom w:val="nil"/>
              <w:right w:val="nil"/>
            </w:tcBorders>
            <w:shd w:val="clear" w:color="auto" w:fill="auto"/>
            <w:noWrap/>
            <w:vAlign w:val="bottom"/>
            <w:hideMark/>
          </w:tcPr>
          <w:p w14:paraId="50677B32"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2CEE0B5A"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Islamic</w:t>
            </w:r>
          </w:p>
        </w:tc>
        <w:tc>
          <w:tcPr>
            <w:tcW w:w="312" w:type="pct"/>
            <w:tcBorders>
              <w:top w:val="nil"/>
              <w:left w:val="nil"/>
              <w:bottom w:val="nil"/>
              <w:right w:val="nil"/>
            </w:tcBorders>
            <w:shd w:val="clear" w:color="auto" w:fill="auto"/>
            <w:noWrap/>
            <w:vAlign w:val="bottom"/>
            <w:hideMark/>
          </w:tcPr>
          <w:p w14:paraId="43363B89"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1296C752"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Islamic</w:t>
            </w:r>
          </w:p>
        </w:tc>
        <w:tc>
          <w:tcPr>
            <w:tcW w:w="312" w:type="pct"/>
            <w:tcBorders>
              <w:top w:val="nil"/>
              <w:left w:val="nil"/>
              <w:bottom w:val="nil"/>
              <w:right w:val="nil"/>
            </w:tcBorders>
            <w:shd w:val="clear" w:color="auto" w:fill="auto"/>
            <w:noWrap/>
            <w:vAlign w:val="bottom"/>
            <w:hideMark/>
          </w:tcPr>
          <w:p w14:paraId="3D695261"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0C8A38EB"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Islamic</w:t>
            </w:r>
          </w:p>
        </w:tc>
        <w:tc>
          <w:tcPr>
            <w:tcW w:w="312" w:type="pct"/>
            <w:tcBorders>
              <w:top w:val="nil"/>
              <w:left w:val="nil"/>
              <w:bottom w:val="nil"/>
              <w:right w:val="nil"/>
            </w:tcBorders>
            <w:shd w:val="clear" w:color="auto" w:fill="auto"/>
            <w:noWrap/>
            <w:vAlign w:val="bottom"/>
            <w:hideMark/>
          </w:tcPr>
          <w:p w14:paraId="2DB65581"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Conv.</w:t>
            </w:r>
          </w:p>
        </w:tc>
        <w:tc>
          <w:tcPr>
            <w:tcW w:w="314" w:type="pct"/>
            <w:tcBorders>
              <w:top w:val="nil"/>
              <w:left w:val="nil"/>
              <w:bottom w:val="nil"/>
              <w:right w:val="nil"/>
            </w:tcBorders>
            <w:shd w:val="clear" w:color="auto" w:fill="auto"/>
            <w:noWrap/>
            <w:vAlign w:val="bottom"/>
            <w:hideMark/>
          </w:tcPr>
          <w:p w14:paraId="46FB104D"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Islamic</w:t>
            </w:r>
          </w:p>
        </w:tc>
        <w:tc>
          <w:tcPr>
            <w:tcW w:w="312" w:type="pct"/>
            <w:tcBorders>
              <w:top w:val="nil"/>
              <w:left w:val="nil"/>
              <w:bottom w:val="nil"/>
              <w:right w:val="nil"/>
            </w:tcBorders>
            <w:shd w:val="clear" w:color="auto" w:fill="auto"/>
            <w:noWrap/>
            <w:vAlign w:val="bottom"/>
            <w:hideMark/>
          </w:tcPr>
          <w:p w14:paraId="28AD3D08"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Conv.</w:t>
            </w:r>
          </w:p>
        </w:tc>
      </w:tr>
      <w:tr w:rsidR="001F4B9D" w:rsidRPr="00F536BF" w14:paraId="7C244799" w14:textId="77777777" w:rsidTr="001F4B9D">
        <w:trPr>
          <w:trHeight w:val="289"/>
        </w:trPr>
        <w:tc>
          <w:tcPr>
            <w:tcW w:w="5000" w:type="pct"/>
            <w:gridSpan w:val="13"/>
            <w:tcBorders>
              <w:top w:val="nil"/>
              <w:left w:val="nil"/>
              <w:bottom w:val="nil"/>
              <w:right w:val="nil"/>
            </w:tcBorders>
            <w:shd w:val="clear" w:color="auto" w:fill="auto"/>
            <w:noWrap/>
            <w:vAlign w:val="bottom"/>
            <w:hideMark/>
          </w:tcPr>
          <w:p w14:paraId="5917ABBD" w14:textId="77777777" w:rsidR="001F4B9D" w:rsidRPr="00F536BF" w:rsidRDefault="001F4B9D" w:rsidP="00CD0BBE">
            <w:pPr>
              <w:spacing w:after="0" w:line="240" w:lineRule="auto"/>
              <w:jc w:val="center"/>
              <w:rPr>
                <w:rFonts w:ascii="Times New Roman" w:eastAsia="Times New Roman" w:hAnsi="Times New Roman" w:cs="Times New Roman"/>
                <w:b/>
                <w:bCs/>
                <w:color w:val="000000"/>
                <w:lang w:eastAsia="en-GB"/>
              </w:rPr>
            </w:pPr>
            <w:r w:rsidRPr="00F536BF">
              <w:rPr>
                <w:rFonts w:ascii="Times New Roman" w:eastAsia="Times New Roman" w:hAnsi="Times New Roman" w:cs="Times New Roman"/>
                <w:b/>
                <w:bCs/>
                <w:color w:val="000000"/>
                <w:lang w:eastAsia="en-GB"/>
              </w:rPr>
              <w:t>Size</w:t>
            </w:r>
          </w:p>
        </w:tc>
      </w:tr>
      <w:tr w:rsidR="001F4B9D" w:rsidRPr="001F4B9D" w14:paraId="0C50CC9C" w14:textId="77777777" w:rsidTr="001F4B9D">
        <w:trPr>
          <w:trHeight w:val="289"/>
        </w:trPr>
        <w:tc>
          <w:tcPr>
            <w:tcW w:w="1241" w:type="pct"/>
            <w:tcBorders>
              <w:top w:val="nil"/>
              <w:left w:val="nil"/>
              <w:bottom w:val="nil"/>
              <w:right w:val="nil"/>
            </w:tcBorders>
            <w:shd w:val="clear" w:color="auto" w:fill="auto"/>
            <w:noWrap/>
            <w:vAlign w:val="bottom"/>
            <w:hideMark/>
          </w:tcPr>
          <w:p w14:paraId="16DBC5E6"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Large</w:t>
            </w:r>
          </w:p>
        </w:tc>
        <w:tc>
          <w:tcPr>
            <w:tcW w:w="314" w:type="pct"/>
            <w:tcBorders>
              <w:top w:val="nil"/>
              <w:left w:val="nil"/>
              <w:bottom w:val="nil"/>
              <w:right w:val="nil"/>
            </w:tcBorders>
            <w:shd w:val="clear" w:color="auto" w:fill="auto"/>
            <w:noWrap/>
            <w:vAlign w:val="bottom"/>
            <w:hideMark/>
          </w:tcPr>
          <w:p w14:paraId="0843D23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73.76%</w:t>
            </w:r>
          </w:p>
        </w:tc>
        <w:tc>
          <w:tcPr>
            <w:tcW w:w="312" w:type="pct"/>
            <w:tcBorders>
              <w:top w:val="nil"/>
              <w:left w:val="nil"/>
              <w:bottom w:val="nil"/>
              <w:right w:val="nil"/>
            </w:tcBorders>
            <w:shd w:val="clear" w:color="auto" w:fill="auto"/>
            <w:noWrap/>
            <w:vAlign w:val="bottom"/>
            <w:hideMark/>
          </w:tcPr>
          <w:p w14:paraId="2CE42A4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27.77%</w:t>
            </w:r>
          </w:p>
        </w:tc>
        <w:tc>
          <w:tcPr>
            <w:tcW w:w="314" w:type="pct"/>
            <w:tcBorders>
              <w:top w:val="nil"/>
              <w:left w:val="nil"/>
              <w:bottom w:val="nil"/>
              <w:right w:val="nil"/>
            </w:tcBorders>
            <w:shd w:val="clear" w:color="auto" w:fill="auto"/>
            <w:noWrap/>
            <w:vAlign w:val="bottom"/>
            <w:hideMark/>
          </w:tcPr>
          <w:p w14:paraId="483786C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56.44%</w:t>
            </w:r>
          </w:p>
        </w:tc>
        <w:tc>
          <w:tcPr>
            <w:tcW w:w="312" w:type="pct"/>
            <w:tcBorders>
              <w:top w:val="nil"/>
              <w:left w:val="nil"/>
              <w:bottom w:val="nil"/>
              <w:right w:val="nil"/>
            </w:tcBorders>
            <w:shd w:val="clear" w:color="auto" w:fill="auto"/>
            <w:noWrap/>
            <w:vAlign w:val="bottom"/>
            <w:hideMark/>
          </w:tcPr>
          <w:p w14:paraId="153AE3C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29.21%</w:t>
            </w:r>
          </w:p>
        </w:tc>
        <w:tc>
          <w:tcPr>
            <w:tcW w:w="314" w:type="pct"/>
            <w:tcBorders>
              <w:top w:val="nil"/>
              <w:left w:val="nil"/>
              <w:bottom w:val="nil"/>
              <w:right w:val="nil"/>
            </w:tcBorders>
            <w:shd w:val="clear" w:color="auto" w:fill="auto"/>
            <w:noWrap/>
            <w:vAlign w:val="bottom"/>
            <w:hideMark/>
          </w:tcPr>
          <w:p w14:paraId="0F410E7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66.49%</w:t>
            </w:r>
          </w:p>
        </w:tc>
        <w:tc>
          <w:tcPr>
            <w:tcW w:w="312" w:type="pct"/>
            <w:tcBorders>
              <w:top w:val="nil"/>
              <w:left w:val="nil"/>
              <w:bottom w:val="nil"/>
              <w:right w:val="nil"/>
            </w:tcBorders>
            <w:shd w:val="clear" w:color="auto" w:fill="auto"/>
            <w:noWrap/>
            <w:vAlign w:val="bottom"/>
            <w:hideMark/>
          </w:tcPr>
          <w:p w14:paraId="4DD444B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24.36%</w:t>
            </w:r>
          </w:p>
        </w:tc>
        <w:tc>
          <w:tcPr>
            <w:tcW w:w="314" w:type="pct"/>
            <w:tcBorders>
              <w:top w:val="nil"/>
              <w:left w:val="nil"/>
              <w:bottom w:val="nil"/>
              <w:right w:val="nil"/>
            </w:tcBorders>
            <w:shd w:val="clear" w:color="auto" w:fill="auto"/>
            <w:noWrap/>
            <w:vAlign w:val="bottom"/>
            <w:hideMark/>
          </w:tcPr>
          <w:p w14:paraId="635D12B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63.92%</w:t>
            </w:r>
          </w:p>
        </w:tc>
        <w:tc>
          <w:tcPr>
            <w:tcW w:w="312" w:type="pct"/>
            <w:tcBorders>
              <w:top w:val="nil"/>
              <w:left w:val="nil"/>
              <w:bottom w:val="nil"/>
              <w:right w:val="nil"/>
            </w:tcBorders>
            <w:shd w:val="clear" w:color="auto" w:fill="auto"/>
            <w:noWrap/>
            <w:vAlign w:val="bottom"/>
            <w:hideMark/>
          </w:tcPr>
          <w:p w14:paraId="04A5034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23.54%</w:t>
            </w:r>
          </w:p>
        </w:tc>
        <w:tc>
          <w:tcPr>
            <w:tcW w:w="314" w:type="pct"/>
            <w:tcBorders>
              <w:top w:val="nil"/>
              <w:left w:val="nil"/>
              <w:bottom w:val="nil"/>
              <w:right w:val="nil"/>
            </w:tcBorders>
            <w:shd w:val="clear" w:color="auto" w:fill="auto"/>
            <w:noWrap/>
            <w:vAlign w:val="bottom"/>
            <w:hideMark/>
          </w:tcPr>
          <w:p w14:paraId="497C799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80.18%</w:t>
            </w:r>
          </w:p>
        </w:tc>
        <w:tc>
          <w:tcPr>
            <w:tcW w:w="312" w:type="pct"/>
            <w:tcBorders>
              <w:top w:val="nil"/>
              <w:left w:val="nil"/>
              <w:bottom w:val="nil"/>
              <w:right w:val="nil"/>
            </w:tcBorders>
            <w:shd w:val="clear" w:color="auto" w:fill="auto"/>
            <w:noWrap/>
            <w:vAlign w:val="bottom"/>
            <w:hideMark/>
          </w:tcPr>
          <w:p w14:paraId="4752514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32.72%</w:t>
            </w:r>
          </w:p>
        </w:tc>
        <w:tc>
          <w:tcPr>
            <w:tcW w:w="314" w:type="pct"/>
            <w:tcBorders>
              <w:top w:val="nil"/>
              <w:left w:val="nil"/>
              <w:bottom w:val="nil"/>
              <w:right w:val="nil"/>
            </w:tcBorders>
            <w:shd w:val="clear" w:color="auto" w:fill="auto"/>
            <w:noWrap/>
            <w:vAlign w:val="bottom"/>
            <w:hideMark/>
          </w:tcPr>
          <w:p w14:paraId="3C05EBF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78.33%</w:t>
            </w:r>
          </w:p>
        </w:tc>
        <w:tc>
          <w:tcPr>
            <w:tcW w:w="312" w:type="pct"/>
            <w:tcBorders>
              <w:top w:val="nil"/>
              <w:left w:val="nil"/>
              <w:bottom w:val="nil"/>
              <w:right w:val="nil"/>
            </w:tcBorders>
            <w:shd w:val="clear" w:color="auto" w:fill="auto"/>
            <w:noWrap/>
            <w:vAlign w:val="bottom"/>
            <w:hideMark/>
          </w:tcPr>
          <w:p w14:paraId="4A391E6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26.16%</w:t>
            </w:r>
          </w:p>
        </w:tc>
      </w:tr>
      <w:tr w:rsidR="001F4B9D" w:rsidRPr="001F4B9D" w14:paraId="46DDD55F" w14:textId="77777777" w:rsidTr="001F4B9D">
        <w:trPr>
          <w:trHeight w:val="289"/>
        </w:trPr>
        <w:tc>
          <w:tcPr>
            <w:tcW w:w="1241" w:type="pct"/>
            <w:tcBorders>
              <w:top w:val="nil"/>
              <w:left w:val="nil"/>
              <w:bottom w:val="nil"/>
              <w:right w:val="nil"/>
            </w:tcBorders>
            <w:shd w:val="clear" w:color="auto" w:fill="auto"/>
            <w:noWrap/>
            <w:vAlign w:val="bottom"/>
            <w:hideMark/>
          </w:tcPr>
          <w:p w14:paraId="12C63911"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Mid</w:t>
            </w:r>
          </w:p>
        </w:tc>
        <w:tc>
          <w:tcPr>
            <w:tcW w:w="314" w:type="pct"/>
            <w:tcBorders>
              <w:top w:val="nil"/>
              <w:left w:val="nil"/>
              <w:bottom w:val="nil"/>
              <w:right w:val="nil"/>
            </w:tcBorders>
            <w:shd w:val="clear" w:color="auto" w:fill="auto"/>
            <w:noWrap/>
            <w:vAlign w:val="bottom"/>
            <w:hideMark/>
          </w:tcPr>
          <w:p w14:paraId="5988041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20.06%</w:t>
            </w:r>
          </w:p>
        </w:tc>
        <w:tc>
          <w:tcPr>
            <w:tcW w:w="312" w:type="pct"/>
            <w:tcBorders>
              <w:top w:val="nil"/>
              <w:left w:val="nil"/>
              <w:bottom w:val="nil"/>
              <w:right w:val="nil"/>
            </w:tcBorders>
            <w:shd w:val="clear" w:color="auto" w:fill="auto"/>
            <w:noWrap/>
            <w:vAlign w:val="bottom"/>
            <w:hideMark/>
          </w:tcPr>
          <w:p w14:paraId="5211A1B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34.38%</w:t>
            </w:r>
          </w:p>
        </w:tc>
        <w:tc>
          <w:tcPr>
            <w:tcW w:w="314" w:type="pct"/>
            <w:tcBorders>
              <w:top w:val="nil"/>
              <w:left w:val="nil"/>
              <w:bottom w:val="nil"/>
              <w:right w:val="nil"/>
            </w:tcBorders>
            <w:shd w:val="clear" w:color="auto" w:fill="auto"/>
            <w:noWrap/>
            <w:vAlign w:val="bottom"/>
            <w:hideMark/>
          </w:tcPr>
          <w:p w14:paraId="0975247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28.23%</w:t>
            </w:r>
          </w:p>
        </w:tc>
        <w:tc>
          <w:tcPr>
            <w:tcW w:w="312" w:type="pct"/>
            <w:tcBorders>
              <w:top w:val="nil"/>
              <w:left w:val="nil"/>
              <w:bottom w:val="nil"/>
              <w:right w:val="nil"/>
            </w:tcBorders>
            <w:shd w:val="clear" w:color="auto" w:fill="auto"/>
            <w:noWrap/>
            <w:vAlign w:val="bottom"/>
            <w:hideMark/>
          </w:tcPr>
          <w:p w14:paraId="6E0504A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47.92%</w:t>
            </w:r>
          </w:p>
        </w:tc>
        <w:tc>
          <w:tcPr>
            <w:tcW w:w="314" w:type="pct"/>
            <w:tcBorders>
              <w:top w:val="nil"/>
              <w:left w:val="nil"/>
              <w:bottom w:val="nil"/>
              <w:right w:val="nil"/>
            </w:tcBorders>
            <w:shd w:val="clear" w:color="auto" w:fill="auto"/>
            <w:noWrap/>
            <w:vAlign w:val="bottom"/>
            <w:hideMark/>
          </w:tcPr>
          <w:p w14:paraId="518F8A0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29.23%</w:t>
            </w:r>
          </w:p>
        </w:tc>
        <w:tc>
          <w:tcPr>
            <w:tcW w:w="312" w:type="pct"/>
            <w:tcBorders>
              <w:top w:val="nil"/>
              <w:left w:val="nil"/>
              <w:bottom w:val="nil"/>
              <w:right w:val="nil"/>
            </w:tcBorders>
            <w:shd w:val="clear" w:color="auto" w:fill="auto"/>
            <w:noWrap/>
            <w:vAlign w:val="bottom"/>
            <w:hideMark/>
          </w:tcPr>
          <w:p w14:paraId="0AAFEE6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39.14%</w:t>
            </w:r>
          </w:p>
        </w:tc>
        <w:tc>
          <w:tcPr>
            <w:tcW w:w="314" w:type="pct"/>
            <w:tcBorders>
              <w:top w:val="nil"/>
              <w:left w:val="nil"/>
              <w:bottom w:val="nil"/>
              <w:right w:val="nil"/>
            </w:tcBorders>
            <w:shd w:val="clear" w:color="auto" w:fill="auto"/>
            <w:noWrap/>
            <w:vAlign w:val="bottom"/>
            <w:hideMark/>
          </w:tcPr>
          <w:p w14:paraId="1A5A1C3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24.57%</w:t>
            </w:r>
          </w:p>
        </w:tc>
        <w:tc>
          <w:tcPr>
            <w:tcW w:w="312" w:type="pct"/>
            <w:tcBorders>
              <w:top w:val="nil"/>
              <w:left w:val="nil"/>
              <w:bottom w:val="nil"/>
              <w:right w:val="nil"/>
            </w:tcBorders>
            <w:shd w:val="clear" w:color="auto" w:fill="auto"/>
            <w:noWrap/>
            <w:vAlign w:val="bottom"/>
            <w:hideMark/>
          </w:tcPr>
          <w:p w14:paraId="0DFA582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34.70%</w:t>
            </w:r>
          </w:p>
        </w:tc>
        <w:tc>
          <w:tcPr>
            <w:tcW w:w="314" w:type="pct"/>
            <w:tcBorders>
              <w:top w:val="nil"/>
              <w:left w:val="nil"/>
              <w:bottom w:val="nil"/>
              <w:right w:val="nil"/>
            </w:tcBorders>
            <w:shd w:val="clear" w:color="auto" w:fill="auto"/>
            <w:noWrap/>
            <w:vAlign w:val="bottom"/>
            <w:hideMark/>
          </w:tcPr>
          <w:p w14:paraId="5814C40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13.60%</w:t>
            </w:r>
          </w:p>
        </w:tc>
        <w:tc>
          <w:tcPr>
            <w:tcW w:w="312" w:type="pct"/>
            <w:tcBorders>
              <w:top w:val="nil"/>
              <w:left w:val="nil"/>
              <w:bottom w:val="nil"/>
              <w:right w:val="nil"/>
            </w:tcBorders>
            <w:shd w:val="clear" w:color="auto" w:fill="auto"/>
            <w:noWrap/>
            <w:vAlign w:val="bottom"/>
            <w:hideMark/>
          </w:tcPr>
          <w:p w14:paraId="2FB0538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39.22%</w:t>
            </w:r>
          </w:p>
        </w:tc>
        <w:tc>
          <w:tcPr>
            <w:tcW w:w="314" w:type="pct"/>
            <w:tcBorders>
              <w:top w:val="nil"/>
              <w:left w:val="nil"/>
              <w:bottom w:val="nil"/>
              <w:right w:val="nil"/>
            </w:tcBorders>
            <w:shd w:val="clear" w:color="auto" w:fill="auto"/>
            <w:noWrap/>
            <w:vAlign w:val="bottom"/>
            <w:hideMark/>
          </w:tcPr>
          <w:p w14:paraId="1A810A8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16.86%</w:t>
            </w:r>
          </w:p>
        </w:tc>
        <w:tc>
          <w:tcPr>
            <w:tcW w:w="312" w:type="pct"/>
            <w:tcBorders>
              <w:top w:val="nil"/>
              <w:left w:val="nil"/>
              <w:bottom w:val="nil"/>
              <w:right w:val="nil"/>
            </w:tcBorders>
            <w:shd w:val="clear" w:color="auto" w:fill="auto"/>
            <w:noWrap/>
            <w:vAlign w:val="bottom"/>
            <w:hideMark/>
          </w:tcPr>
          <w:p w14:paraId="637CD3F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45.46%</w:t>
            </w:r>
          </w:p>
        </w:tc>
      </w:tr>
      <w:tr w:rsidR="001F4B9D" w:rsidRPr="001F4B9D" w14:paraId="75EA52D8" w14:textId="77777777" w:rsidTr="001F4B9D">
        <w:trPr>
          <w:trHeight w:val="289"/>
        </w:trPr>
        <w:tc>
          <w:tcPr>
            <w:tcW w:w="1241" w:type="pct"/>
            <w:tcBorders>
              <w:top w:val="nil"/>
              <w:left w:val="nil"/>
              <w:bottom w:val="nil"/>
              <w:right w:val="nil"/>
            </w:tcBorders>
            <w:shd w:val="clear" w:color="auto" w:fill="auto"/>
            <w:noWrap/>
            <w:vAlign w:val="bottom"/>
            <w:hideMark/>
          </w:tcPr>
          <w:p w14:paraId="474F8164"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Small</w:t>
            </w:r>
          </w:p>
        </w:tc>
        <w:tc>
          <w:tcPr>
            <w:tcW w:w="314" w:type="pct"/>
            <w:tcBorders>
              <w:top w:val="nil"/>
              <w:left w:val="nil"/>
              <w:bottom w:val="nil"/>
              <w:right w:val="nil"/>
            </w:tcBorders>
            <w:shd w:val="clear" w:color="auto" w:fill="auto"/>
            <w:noWrap/>
            <w:vAlign w:val="bottom"/>
            <w:hideMark/>
          </w:tcPr>
          <w:p w14:paraId="5023B80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6.18%</w:t>
            </w:r>
          </w:p>
        </w:tc>
        <w:tc>
          <w:tcPr>
            <w:tcW w:w="312" w:type="pct"/>
            <w:tcBorders>
              <w:top w:val="nil"/>
              <w:left w:val="nil"/>
              <w:bottom w:val="nil"/>
              <w:right w:val="nil"/>
            </w:tcBorders>
            <w:shd w:val="clear" w:color="auto" w:fill="auto"/>
            <w:noWrap/>
            <w:vAlign w:val="bottom"/>
            <w:hideMark/>
          </w:tcPr>
          <w:p w14:paraId="055821E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37.86%</w:t>
            </w:r>
          </w:p>
        </w:tc>
        <w:tc>
          <w:tcPr>
            <w:tcW w:w="314" w:type="pct"/>
            <w:tcBorders>
              <w:top w:val="nil"/>
              <w:left w:val="nil"/>
              <w:bottom w:val="nil"/>
              <w:right w:val="nil"/>
            </w:tcBorders>
            <w:shd w:val="clear" w:color="auto" w:fill="auto"/>
            <w:noWrap/>
            <w:vAlign w:val="bottom"/>
            <w:hideMark/>
          </w:tcPr>
          <w:p w14:paraId="2118DB8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15.33%</w:t>
            </w:r>
          </w:p>
        </w:tc>
        <w:tc>
          <w:tcPr>
            <w:tcW w:w="312" w:type="pct"/>
            <w:tcBorders>
              <w:top w:val="nil"/>
              <w:left w:val="nil"/>
              <w:bottom w:val="nil"/>
              <w:right w:val="nil"/>
            </w:tcBorders>
            <w:shd w:val="clear" w:color="auto" w:fill="auto"/>
            <w:noWrap/>
            <w:vAlign w:val="bottom"/>
            <w:hideMark/>
          </w:tcPr>
          <w:p w14:paraId="51AAB09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22.87%</w:t>
            </w:r>
          </w:p>
        </w:tc>
        <w:tc>
          <w:tcPr>
            <w:tcW w:w="314" w:type="pct"/>
            <w:tcBorders>
              <w:top w:val="nil"/>
              <w:left w:val="nil"/>
              <w:bottom w:val="nil"/>
              <w:right w:val="nil"/>
            </w:tcBorders>
            <w:shd w:val="clear" w:color="auto" w:fill="auto"/>
            <w:noWrap/>
            <w:vAlign w:val="bottom"/>
            <w:hideMark/>
          </w:tcPr>
          <w:p w14:paraId="1C4690C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4.28%</w:t>
            </w:r>
          </w:p>
        </w:tc>
        <w:tc>
          <w:tcPr>
            <w:tcW w:w="312" w:type="pct"/>
            <w:tcBorders>
              <w:top w:val="nil"/>
              <w:left w:val="nil"/>
              <w:bottom w:val="nil"/>
              <w:right w:val="nil"/>
            </w:tcBorders>
            <w:shd w:val="clear" w:color="auto" w:fill="auto"/>
            <w:noWrap/>
            <w:vAlign w:val="bottom"/>
            <w:hideMark/>
          </w:tcPr>
          <w:p w14:paraId="5A2D64B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36.50%</w:t>
            </w:r>
          </w:p>
        </w:tc>
        <w:tc>
          <w:tcPr>
            <w:tcW w:w="314" w:type="pct"/>
            <w:tcBorders>
              <w:top w:val="nil"/>
              <w:left w:val="nil"/>
              <w:bottom w:val="nil"/>
              <w:right w:val="nil"/>
            </w:tcBorders>
            <w:shd w:val="clear" w:color="auto" w:fill="auto"/>
            <w:noWrap/>
            <w:vAlign w:val="bottom"/>
            <w:hideMark/>
          </w:tcPr>
          <w:p w14:paraId="1A7E417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11.51%</w:t>
            </w:r>
          </w:p>
        </w:tc>
        <w:tc>
          <w:tcPr>
            <w:tcW w:w="312" w:type="pct"/>
            <w:tcBorders>
              <w:top w:val="nil"/>
              <w:left w:val="nil"/>
              <w:bottom w:val="nil"/>
              <w:right w:val="nil"/>
            </w:tcBorders>
            <w:shd w:val="clear" w:color="auto" w:fill="auto"/>
            <w:noWrap/>
            <w:vAlign w:val="bottom"/>
            <w:hideMark/>
          </w:tcPr>
          <w:p w14:paraId="78A30CE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41.76%</w:t>
            </w:r>
          </w:p>
        </w:tc>
        <w:tc>
          <w:tcPr>
            <w:tcW w:w="314" w:type="pct"/>
            <w:tcBorders>
              <w:top w:val="nil"/>
              <w:left w:val="nil"/>
              <w:bottom w:val="nil"/>
              <w:right w:val="nil"/>
            </w:tcBorders>
            <w:shd w:val="clear" w:color="auto" w:fill="auto"/>
            <w:noWrap/>
            <w:vAlign w:val="bottom"/>
            <w:hideMark/>
          </w:tcPr>
          <w:p w14:paraId="2234135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6.23%</w:t>
            </w:r>
          </w:p>
        </w:tc>
        <w:tc>
          <w:tcPr>
            <w:tcW w:w="312" w:type="pct"/>
            <w:tcBorders>
              <w:top w:val="nil"/>
              <w:left w:val="nil"/>
              <w:bottom w:val="nil"/>
              <w:right w:val="nil"/>
            </w:tcBorders>
            <w:shd w:val="clear" w:color="auto" w:fill="auto"/>
            <w:noWrap/>
            <w:vAlign w:val="bottom"/>
            <w:hideMark/>
          </w:tcPr>
          <w:p w14:paraId="42D6439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28.05%</w:t>
            </w:r>
          </w:p>
        </w:tc>
        <w:tc>
          <w:tcPr>
            <w:tcW w:w="314" w:type="pct"/>
            <w:tcBorders>
              <w:top w:val="nil"/>
              <w:left w:val="nil"/>
              <w:bottom w:val="nil"/>
              <w:right w:val="nil"/>
            </w:tcBorders>
            <w:shd w:val="clear" w:color="auto" w:fill="auto"/>
            <w:noWrap/>
            <w:vAlign w:val="bottom"/>
            <w:hideMark/>
          </w:tcPr>
          <w:p w14:paraId="30EB31E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4.81%</w:t>
            </w:r>
          </w:p>
        </w:tc>
        <w:tc>
          <w:tcPr>
            <w:tcW w:w="312" w:type="pct"/>
            <w:tcBorders>
              <w:top w:val="nil"/>
              <w:left w:val="nil"/>
              <w:bottom w:val="nil"/>
              <w:right w:val="nil"/>
            </w:tcBorders>
            <w:shd w:val="clear" w:color="auto" w:fill="auto"/>
            <w:noWrap/>
            <w:vAlign w:val="bottom"/>
            <w:hideMark/>
          </w:tcPr>
          <w:p w14:paraId="49E51F3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28.39%</w:t>
            </w:r>
          </w:p>
        </w:tc>
      </w:tr>
      <w:tr w:rsidR="001F4B9D" w:rsidRPr="001F4B9D" w14:paraId="0B5D8CEC" w14:textId="77777777" w:rsidTr="001F4B9D">
        <w:trPr>
          <w:trHeight w:val="289"/>
        </w:trPr>
        <w:tc>
          <w:tcPr>
            <w:tcW w:w="1241" w:type="pct"/>
            <w:tcBorders>
              <w:top w:val="nil"/>
              <w:left w:val="nil"/>
              <w:bottom w:val="nil"/>
              <w:right w:val="nil"/>
            </w:tcBorders>
            <w:shd w:val="clear" w:color="auto" w:fill="auto"/>
            <w:noWrap/>
            <w:vAlign w:val="bottom"/>
            <w:hideMark/>
          </w:tcPr>
          <w:p w14:paraId="39792394"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R2</w:t>
            </w:r>
          </w:p>
        </w:tc>
        <w:tc>
          <w:tcPr>
            <w:tcW w:w="314" w:type="pct"/>
            <w:tcBorders>
              <w:top w:val="nil"/>
              <w:left w:val="nil"/>
              <w:bottom w:val="nil"/>
              <w:right w:val="nil"/>
            </w:tcBorders>
            <w:shd w:val="clear" w:color="auto" w:fill="auto"/>
            <w:noWrap/>
            <w:vAlign w:val="bottom"/>
            <w:hideMark/>
          </w:tcPr>
          <w:p w14:paraId="7756A90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0.8398</w:t>
            </w:r>
          </w:p>
        </w:tc>
        <w:tc>
          <w:tcPr>
            <w:tcW w:w="312" w:type="pct"/>
            <w:tcBorders>
              <w:top w:val="nil"/>
              <w:left w:val="nil"/>
              <w:bottom w:val="nil"/>
              <w:right w:val="nil"/>
            </w:tcBorders>
            <w:shd w:val="clear" w:color="auto" w:fill="auto"/>
            <w:noWrap/>
            <w:vAlign w:val="bottom"/>
            <w:hideMark/>
          </w:tcPr>
          <w:p w14:paraId="529F373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0.7914</w:t>
            </w:r>
          </w:p>
        </w:tc>
        <w:tc>
          <w:tcPr>
            <w:tcW w:w="314" w:type="pct"/>
            <w:tcBorders>
              <w:top w:val="nil"/>
              <w:left w:val="nil"/>
              <w:bottom w:val="nil"/>
              <w:right w:val="nil"/>
            </w:tcBorders>
            <w:shd w:val="clear" w:color="auto" w:fill="auto"/>
            <w:noWrap/>
            <w:vAlign w:val="bottom"/>
            <w:hideMark/>
          </w:tcPr>
          <w:p w14:paraId="4116833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0.7965</w:t>
            </w:r>
          </w:p>
        </w:tc>
        <w:tc>
          <w:tcPr>
            <w:tcW w:w="312" w:type="pct"/>
            <w:tcBorders>
              <w:top w:val="nil"/>
              <w:left w:val="nil"/>
              <w:bottom w:val="nil"/>
              <w:right w:val="nil"/>
            </w:tcBorders>
            <w:shd w:val="clear" w:color="auto" w:fill="auto"/>
            <w:noWrap/>
            <w:vAlign w:val="bottom"/>
            <w:hideMark/>
          </w:tcPr>
          <w:p w14:paraId="17B491F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0.8608</w:t>
            </w:r>
          </w:p>
        </w:tc>
        <w:tc>
          <w:tcPr>
            <w:tcW w:w="314" w:type="pct"/>
            <w:tcBorders>
              <w:top w:val="nil"/>
              <w:left w:val="nil"/>
              <w:bottom w:val="nil"/>
              <w:right w:val="nil"/>
            </w:tcBorders>
            <w:shd w:val="clear" w:color="auto" w:fill="auto"/>
            <w:noWrap/>
            <w:vAlign w:val="bottom"/>
            <w:hideMark/>
          </w:tcPr>
          <w:p w14:paraId="0550D1C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0.8544</w:t>
            </w:r>
          </w:p>
        </w:tc>
        <w:tc>
          <w:tcPr>
            <w:tcW w:w="312" w:type="pct"/>
            <w:tcBorders>
              <w:top w:val="nil"/>
              <w:left w:val="nil"/>
              <w:bottom w:val="nil"/>
              <w:right w:val="nil"/>
            </w:tcBorders>
            <w:shd w:val="clear" w:color="auto" w:fill="auto"/>
            <w:noWrap/>
            <w:vAlign w:val="bottom"/>
            <w:hideMark/>
          </w:tcPr>
          <w:p w14:paraId="088B99D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0.8336</w:t>
            </w:r>
          </w:p>
        </w:tc>
        <w:tc>
          <w:tcPr>
            <w:tcW w:w="314" w:type="pct"/>
            <w:tcBorders>
              <w:top w:val="nil"/>
              <w:left w:val="nil"/>
              <w:bottom w:val="nil"/>
              <w:right w:val="nil"/>
            </w:tcBorders>
            <w:shd w:val="clear" w:color="auto" w:fill="auto"/>
            <w:noWrap/>
            <w:vAlign w:val="bottom"/>
            <w:hideMark/>
          </w:tcPr>
          <w:p w14:paraId="6E9A17A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0.844</w:t>
            </w:r>
          </w:p>
        </w:tc>
        <w:tc>
          <w:tcPr>
            <w:tcW w:w="312" w:type="pct"/>
            <w:tcBorders>
              <w:top w:val="nil"/>
              <w:left w:val="nil"/>
              <w:bottom w:val="nil"/>
              <w:right w:val="nil"/>
            </w:tcBorders>
            <w:shd w:val="clear" w:color="auto" w:fill="auto"/>
            <w:noWrap/>
            <w:vAlign w:val="bottom"/>
            <w:hideMark/>
          </w:tcPr>
          <w:p w14:paraId="2889A11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0.8111</w:t>
            </w:r>
          </w:p>
        </w:tc>
        <w:tc>
          <w:tcPr>
            <w:tcW w:w="314" w:type="pct"/>
            <w:tcBorders>
              <w:top w:val="nil"/>
              <w:left w:val="nil"/>
              <w:bottom w:val="nil"/>
              <w:right w:val="nil"/>
            </w:tcBorders>
            <w:shd w:val="clear" w:color="auto" w:fill="auto"/>
            <w:noWrap/>
            <w:vAlign w:val="bottom"/>
            <w:hideMark/>
          </w:tcPr>
          <w:p w14:paraId="42F5669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0.8798</w:t>
            </w:r>
          </w:p>
        </w:tc>
        <w:tc>
          <w:tcPr>
            <w:tcW w:w="312" w:type="pct"/>
            <w:tcBorders>
              <w:top w:val="nil"/>
              <w:left w:val="nil"/>
              <w:bottom w:val="nil"/>
              <w:right w:val="nil"/>
            </w:tcBorders>
            <w:shd w:val="clear" w:color="auto" w:fill="auto"/>
            <w:noWrap/>
            <w:vAlign w:val="bottom"/>
            <w:hideMark/>
          </w:tcPr>
          <w:p w14:paraId="5B6D7F0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0.8119</w:t>
            </w:r>
          </w:p>
        </w:tc>
        <w:tc>
          <w:tcPr>
            <w:tcW w:w="314" w:type="pct"/>
            <w:tcBorders>
              <w:top w:val="nil"/>
              <w:left w:val="nil"/>
              <w:bottom w:val="nil"/>
              <w:right w:val="nil"/>
            </w:tcBorders>
            <w:shd w:val="clear" w:color="auto" w:fill="auto"/>
            <w:noWrap/>
            <w:vAlign w:val="bottom"/>
            <w:hideMark/>
          </w:tcPr>
          <w:p w14:paraId="12AF170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0.8485</w:t>
            </w:r>
          </w:p>
        </w:tc>
        <w:tc>
          <w:tcPr>
            <w:tcW w:w="312" w:type="pct"/>
            <w:tcBorders>
              <w:top w:val="nil"/>
              <w:left w:val="nil"/>
              <w:bottom w:val="nil"/>
              <w:right w:val="nil"/>
            </w:tcBorders>
            <w:shd w:val="clear" w:color="auto" w:fill="auto"/>
            <w:noWrap/>
            <w:vAlign w:val="bottom"/>
            <w:hideMark/>
          </w:tcPr>
          <w:p w14:paraId="6212EEB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0.8045</w:t>
            </w:r>
          </w:p>
        </w:tc>
      </w:tr>
      <w:tr w:rsidR="001F4B9D" w:rsidRPr="001F4B9D" w14:paraId="498AC0BB" w14:textId="77777777" w:rsidTr="001F4B9D">
        <w:trPr>
          <w:trHeight w:val="289"/>
        </w:trPr>
        <w:tc>
          <w:tcPr>
            <w:tcW w:w="1241" w:type="pct"/>
            <w:tcBorders>
              <w:top w:val="nil"/>
              <w:left w:val="nil"/>
              <w:bottom w:val="nil"/>
              <w:right w:val="nil"/>
            </w:tcBorders>
            <w:shd w:val="clear" w:color="auto" w:fill="auto"/>
            <w:noWrap/>
            <w:vAlign w:val="bottom"/>
            <w:hideMark/>
          </w:tcPr>
          <w:p w14:paraId="1EF3FF6C"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Tracking Error</w:t>
            </w:r>
          </w:p>
        </w:tc>
        <w:tc>
          <w:tcPr>
            <w:tcW w:w="314" w:type="pct"/>
            <w:tcBorders>
              <w:top w:val="nil"/>
              <w:left w:val="nil"/>
              <w:bottom w:val="nil"/>
              <w:right w:val="nil"/>
            </w:tcBorders>
            <w:shd w:val="clear" w:color="auto" w:fill="auto"/>
            <w:noWrap/>
            <w:vAlign w:val="bottom"/>
            <w:hideMark/>
          </w:tcPr>
          <w:p w14:paraId="119A82D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0.63%</w:t>
            </w:r>
          </w:p>
        </w:tc>
        <w:tc>
          <w:tcPr>
            <w:tcW w:w="312" w:type="pct"/>
            <w:tcBorders>
              <w:top w:val="nil"/>
              <w:left w:val="nil"/>
              <w:bottom w:val="nil"/>
              <w:right w:val="nil"/>
            </w:tcBorders>
            <w:shd w:val="clear" w:color="auto" w:fill="auto"/>
            <w:noWrap/>
            <w:vAlign w:val="bottom"/>
            <w:hideMark/>
          </w:tcPr>
          <w:p w14:paraId="6F9B2DB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0.41%</w:t>
            </w:r>
          </w:p>
        </w:tc>
        <w:tc>
          <w:tcPr>
            <w:tcW w:w="314" w:type="pct"/>
            <w:tcBorders>
              <w:top w:val="nil"/>
              <w:left w:val="nil"/>
              <w:bottom w:val="nil"/>
              <w:right w:val="nil"/>
            </w:tcBorders>
            <w:shd w:val="clear" w:color="auto" w:fill="auto"/>
            <w:noWrap/>
            <w:vAlign w:val="bottom"/>
            <w:hideMark/>
          </w:tcPr>
          <w:p w14:paraId="2F352EE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0.70%</w:t>
            </w:r>
          </w:p>
        </w:tc>
        <w:tc>
          <w:tcPr>
            <w:tcW w:w="312" w:type="pct"/>
            <w:tcBorders>
              <w:top w:val="nil"/>
              <w:left w:val="nil"/>
              <w:bottom w:val="nil"/>
              <w:right w:val="nil"/>
            </w:tcBorders>
            <w:shd w:val="clear" w:color="auto" w:fill="auto"/>
            <w:noWrap/>
            <w:vAlign w:val="bottom"/>
            <w:hideMark/>
          </w:tcPr>
          <w:p w14:paraId="2656208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0.88%</w:t>
            </w:r>
          </w:p>
        </w:tc>
        <w:tc>
          <w:tcPr>
            <w:tcW w:w="314" w:type="pct"/>
            <w:tcBorders>
              <w:top w:val="nil"/>
              <w:left w:val="nil"/>
              <w:bottom w:val="nil"/>
              <w:right w:val="nil"/>
            </w:tcBorders>
            <w:shd w:val="clear" w:color="auto" w:fill="auto"/>
            <w:noWrap/>
            <w:vAlign w:val="bottom"/>
            <w:hideMark/>
          </w:tcPr>
          <w:p w14:paraId="512A9A2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0.35%</w:t>
            </w:r>
          </w:p>
        </w:tc>
        <w:tc>
          <w:tcPr>
            <w:tcW w:w="312" w:type="pct"/>
            <w:tcBorders>
              <w:top w:val="nil"/>
              <w:left w:val="nil"/>
              <w:bottom w:val="nil"/>
              <w:right w:val="nil"/>
            </w:tcBorders>
            <w:shd w:val="clear" w:color="auto" w:fill="auto"/>
            <w:noWrap/>
            <w:vAlign w:val="bottom"/>
            <w:hideMark/>
          </w:tcPr>
          <w:p w14:paraId="6A67E1F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0.75%</w:t>
            </w:r>
          </w:p>
        </w:tc>
        <w:tc>
          <w:tcPr>
            <w:tcW w:w="314" w:type="pct"/>
            <w:tcBorders>
              <w:top w:val="nil"/>
              <w:left w:val="nil"/>
              <w:bottom w:val="nil"/>
              <w:right w:val="nil"/>
            </w:tcBorders>
            <w:shd w:val="clear" w:color="auto" w:fill="auto"/>
            <w:noWrap/>
            <w:vAlign w:val="bottom"/>
            <w:hideMark/>
          </w:tcPr>
          <w:p w14:paraId="2E53C15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0.47%</w:t>
            </w:r>
          </w:p>
        </w:tc>
        <w:tc>
          <w:tcPr>
            <w:tcW w:w="312" w:type="pct"/>
            <w:tcBorders>
              <w:top w:val="nil"/>
              <w:left w:val="nil"/>
              <w:bottom w:val="nil"/>
              <w:right w:val="nil"/>
            </w:tcBorders>
            <w:shd w:val="clear" w:color="auto" w:fill="auto"/>
            <w:noWrap/>
            <w:vAlign w:val="bottom"/>
            <w:hideMark/>
          </w:tcPr>
          <w:p w14:paraId="5E2D7BA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0.60%</w:t>
            </w:r>
          </w:p>
        </w:tc>
        <w:tc>
          <w:tcPr>
            <w:tcW w:w="314" w:type="pct"/>
            <w:tcBorders>
              <w:top w:val="nil"/>
              <w:left w:val="nil"/>
              <w:bottom w:val="nil"/>
              <w:right w:val="nil"/>
            </w:tcBorders>
            <w:shd w:val="clear" w:color="auto" w:fill="auto"/>
            <w:noWrap/>
            <w:vAlign w:val="bottom"/>
            <w:hideMark/>
          </w:tcPr>
          <w:p w14:paraId="11EC927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0.50%</w:t>
            </w:r>
          </w:p>
        </w:tc>
        <w:tc>
          <w:tcPr>
            <w:tcW w:w="312" w:type="pct"/>
            <w:tcBorders>
              <w:top w:val="nil"/>
              <w:left w:val="nil"/>
              <w:bottom w:val="nil"/>
              <w:right w:val="nil"/>
            </w:tcBorders>
            <w:shd w:val="clear" w:color="auto" w:fill="auto"/>
            <w:noWrap/>
            <w:vAlign w:val="bottom"/>
            <w:hideMark/>
          </w:tcPr>
          <w:p w14:paraId="3BBC14A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0.44%</w:t>
            </w:r>
          </w:p>
        </w:tc>
        <w:tc>
          <w:tcPr>
            <w:tcW w:w="314" w:type="pct"/>
            <w:tcBorders>
              <w:top w:val="nil"/>
              <w:left w:val="nil"/>
              <w:bottom w:val="nil"/>
              <w:right w:val="nil"/>
            </w:tcBorders>
            <w:shd w:val="clear" w:color="auto" w:fill="auto"/>
            <w:noWrap/>
            <w:vAlign w:val="bottom"/>
            <w:hideMark/>
          </w:tcPr>
          <w:p w14:paraId="39705B2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0.85%</w:t>
            </w:r>
          </w:p>
        </w:tc>
        <w:tc>
          <w:tcPr>
            <w:tcW w:w="312" w:type="pct"/>
            <w:tcBorders>
              <w:top w:val="nil"/>
              <w:left w:val="nil"/>
              <w:bottom w:val="nil"/>
              <w:right w:val="nil"/>
            </w:tcBorders>
            <w:shd w:val="clear" w:color="auto" w:fill="auto"/>
            <w:noWrap/>
            <w:vAlign w:val="bottom"/>
            <w:hideMark/>
          </w:tcPr>
          <w:p w14:paraId="26669C6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0.59%</w:t>
            </w:r>
          </w:p>
        </w:tc>
      </w:tr>
      <w:tr w:rsidR="001F4B9D" w:rsidRPr="001F4B9D" w14:paraId="7A6EE256" w14:textId="77777777" w:rsidTr="001F4B9D">
        <w:trPr>
          <w:trHeight w:val="289"/>
        </w:trPr>
        <w:tc>
          <w:tcPr>
            <w:tcW w:w="5000" w:type="pct"/>
            <w:gridSpan w:val="13"/>
            <w:tcBorders>
              <w:top w:val="nil"/>
              <w:left w:val="nil"/>
              <w:bottom w:val="nil"/>
              <w:right w:val="nil"/>
            </w:tcBorders>
            <w:shd w:val="clear" w:color="auto" w:fill="auto"/>
            <w:noWrap/>
            <w:vAlign w:val="bottom"/>
            <w:hideMark/>
          </w:tcPr>
          <w:p w14:paraId="6B10B14E"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Factor Strategies</w:t>
            </w:r>
          </w:p>
        </w:tc>
      </w:tr>
      <w:tr w:rsidR="001F4B9D" w:rsidRPr="001F4B9D" w14:paraId="6B20256E" w14:textId="77777777" w:rsidTr="001F4B9D">
        <w:trPr>
          <w:trHeight w:val="289"/>
        </w:trPr>
        <w:tc>
          <w:tcPr>
            <w:tcW w:w="1241" w:type="pct"/>
            <w:tcBorders>
              <w:top w:val="nil"/>
              <w:left w:val="nil"/>
              <w:bottom w:val="nil"/>
              <w:right w:val="nil"/>
            </w:tcBorders>
            <w:shd w:val="clear" w:color="auto" w:fill="auto"/>
            <w:noWrap/>
            <w:vAlign w:val="bottom"/>
            <w:hideMark/>
          </w:tcPr>
          <w:p w14:paraId="0AEDF7C1"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Growth</w:t>
            </w:r>
          </w:p>
        </w:tc>
        <w:tc>
          <w:tcPr>
            <w:tcW w:w="314" w:type="pct"/>
            <w:tcBorders>
              <w:top w:val="nil"/>
              <w:left w:val="nil"/>
              <w:bottom w:val="nil"/>
              <w:right w:val="nil"/>
            </w:tcBorders>
            <w:shd w:val="clear" w:color="auto" w:fill="auto"/>
            <w:noWrap/>
            <w:vAlign w:val="bottom"/>
            <w:hideMark/>
          </w:tcPr>
          <w:p w14:paraId="664659F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18.69%</w:t>
            </w:r>
          </w:p>
        </w:tc>
        <w:tc>
          <w:tcPr>
            <w:tcW w:w="312" w:type="pct"/>
            <w:tcBorders>
              <w:top w:val="nil"/>
              <w:left w:val="nil"/>
              <w:bottom w:val="nil"/>
              <w:right w:val="nil"/>
            </w:tcBorders>
            <w:shd w:val="clear" w:color="auto" w:fill="auto"/>
            <w:noWrap/>
            <w:vAlign w:val="bottom"/>
            <w:hideMark/>
          </w:tcPr>
          <w:p w14:paraId="33F7259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50.65%</w:t>
            </w:r>
          </w:p>
        </w:tc>
        <w:tc>
          <w:tcPr>
            <w:tcW w:w="314" w:type="pct"/>
            <w:tcBorders>
              <w:top w:val="nil"/>
              <w:left w:val="nil"/>
              <w:bottom w:val="nil"/>
              <w:right w:val="nil"/>
            </w:tcBorders>
            <w:shd w:val="clear" w:color="auto" w:fill="auto"/>
            <w:noWrap/>
            <w:vAlign w:val="bottom"/>
            <w:hideMark/>
          </w:tcPr>
          <w:p w14:paraId="2B68D94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13.19%</w:t>
            </w:r>
          </w:p>
        </w:tc>
        <w:tc>
          <w:tcPr>
            <w:tcW w:w="312" w:type="pct"/>
            <w:tcBorders>
              <w:top w:val="nil"/>
              <w:left w:val="nil"/>
              <w:bottom w:val="nil"/>
              <w:right w:val="nil"/>
            </w:tcBorders>
            <w:shd w:val="clear" w:color="auto" w:fill="auto"/>
            <w:noWrap/>
            <w:vAlign w:val="bottom"/>
            <w:hideMark/>
          </w:tcPr>
          <w:p w14:paraId="706576E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53.45%</w:t>
            </w:r>
          </w:p>
        </w:tc>
        <w:tc>
          <w:tcPr>
            <w:tcW w:w="314" w:type="pct"/>
            <w:tcBorders>
              <w:top w:val="nil"/>
              <w:left w:val="nil"/>
              <w:bottom w:val="nil"/>
              <w:right w:val="nil"/>
            </w:tcBorders>
            <w:shd w:val="clear" w:color="auto" w:fill="auto"/>
            <w:noWrap/>
            <w:vAlign w:val="bottom"/>
            <w:hideMark/>
          </w:tcPr>
          <w:p w14:paraId="7F904A0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11.33%</w:t>
            </w:r>
          </w:p>
        </w:tc>
        <w:tc>
          <w:tcPr>
            <w:tcW w:w="312" w:type="pct"/>
            <w:tcBorders>
              <w:top w:val="nil"/>
              <w:left w:val="nil"/>
              <w:bottom w:val="nil"/>
              <w:right w:val="nil"/>
            </w:tcBorders>
            <w:shd w:val="clear" w:color="auto" w:fill="auto"/>
            <w:noWrap/>
            <w:vAlign w:val="bottom"/>
            <w:hideMark/>
          </w:tcPr>
          <w:p w14:paraId="5D749F9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44.07%</w:t>
            </w:r>
          </w:p>
        </w:tc>
        <w:tc>
          <w:tcPr>
            <w:tcW w:w="314" w:type="pct"/>
            <w:tcBorders>
              <w:top w:val="nil"/>
              <w:left w:val="nil"/>
              <w:bottom w:val="nil"/>
              <w:right w:val="nil"/>
            </w:tcBorders>
            <w:shd w:val="clear" w:color="auto" w:fill="auto"/>
            <w:noWrap/>
            <w:vAlign w:val="bottom"/>
            <w:hideMark/>
          </w:tcPr>
          <w:p w14:paraId="5E1C6FB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21.17%</w:t>
            </w:r>
          </w:p>
        </w:tc>
        <w:tc>
          <w:tcPr>
            <w:tcW w:w="312" w:type="pct"/>
            <w:tcBorders>
              <w:top w:val="nil"/>
              <w:left w:val="nil"/>
              <w:bottom w:val="nil"/>
              <w:right w:val="nil"/>
            </w:tcBorders>
            <w:shd w:val="clear" w:color="auto" w:fill="auto"/>
            <w:noWrap/>
            <w:vAlign w:val="bottom"/>
            <w:hideMark/>
          </w:tcPr>
          <w:p w14:paraId="03F6172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21.88%</w:t>
            </w:r>
          </w:p>
        </w:tc>
        <w:tc>
          <w:tcPr>
            <w:tcW w:w="314" w:type="pct"/>
            <w:tcBorders>
              <w:top w:val="nil"/>
              <w:left w:val="nil"/>
              <w:bottom w:val="nil"/>
              <w:right w:val="nil"/>
            </w:tcBorders>
            <w:shd w:val="clear" w:color="auto" w:fill="auto"/>
            <w:noWrap/>
            <w:vAlign w:val="bottom"/>
            <w:hideMark/>
          </w:tcPr>
          <w:p w14:paraId="12E3B11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9.73%</w:t>
            </w:r>
          </w:p>
        </w:tc>
        <w:tc>
          <w:tcPr>
            <w:tcW w:w="312" w:type="pct"/>
            <w:tcBorders>
              <w:top w:val="nil"/>
              <w:left w:val="nil"/>
              <w:bottom w:val="nil"/>
              <w:right w:val="nil"/>
            </w:tcBorders>
            <w:shd w:val="clear" w:color="auto" w:fill="auto"/>
            <w:noWrap/>
            <w:vAlign w:val="bottom"/>
            <w:hideMark/>
          </w:tcPr>
          <w:p w14:paraId="440DFC2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42.04%</w:t>
            </w:r>
          </w:p>
        </w:tc>
        <w:tc>
          <w:tcPr>
            <w:tcW w:w="314" w:type="pct"/>
            <w:tcBorders>
              <w:top w:val="nil"/>
              <w:left w:val="nil"/>
              <w:bottom w:val="nil"/>
              <w:right w:val="nil"/>
            </w:tcBorders>
            <w:shd w:val="clear" w:color="auto" w:fill="auto"/>
            <w:noWrap/>
            <w:vAlign w:val="bottom"/>
            <w:hideMark/>
          </w:tcPr>
          <w:p w14:paraId="679019F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15.17%</w:t>
            </w:r>
          </w:p>
        </w:tc>
        <w:tc>
          <w:tcPr>
            <w:tcW w:w="312" w:type="pct"/>
            <w:tcBorders>
              <w:top w:val="nil"/>
              <w:left w:val="nil"/>
              <w:bottom w:val="nil"/>
              <w:right w:val="nil"/>
            </w:tcBorders>
            <w:shd w:val="clear" w:color="auto" w:fill="auto"/>
            <w:noWrap/>
            <w:vAlign w:val="bottom"/>
            <w:hideMark/>
          </w:tcPr>
          <w:p w14:paraId="1E4228B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46.82%</w:t>
            </w:r>
          </w:p>
        </w:tc>
      </w:tr>
      <w:tr w:rsidR="001F4B9D" w:rsidRPr="001F4B9D" w14:paraId="41D3F6CC" w14:textId="77777777" w:rsidTr="001F4B9D">
        <w:trPr>
          <w:trHeight w:val="289"/>
        </w:trPr>
        <w:tc>
          <w:tcPr>
            <w:tcW w:w="1241" w:type="pct"/>
            <w:tcBorders>
              <w:top w:val="nil"/>
              <w:left w:val="nil"/>
              <w:bottom w:val="nil"/>
              <w:right w:val="nil"/>
            </w:tcBorders>
            <w:shd w:val="clear" w:color="auto" w:fill="auto"/>
            <w:noWrap/>
            <w:vAlign w:val="bottom"/>
            <w:hideMark/>
          </w:tcPr>
          <w:p w14:paraId="4B48D4F6"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Value</w:t>
            </w:r>
          </w:p>
        </w:tc>
        <w:tc>
          <w:tcPr>
            <w:tcW w:w="314" w:type="pct"/>
            <w:tcBorders>
              <w:top w:val="nil"/>
              <w:left w:val="nil"/>
              <w:bottom w:val="nil"/>
              <w:right w:val="nil"/>
            </w:tcBorders>
            <w:shd w:val="clear" w:color="auto" w:fill="auto"/>
            <w:noWrap/>
            <w:vAlign w:val="bottom"/>
            <w:hideMark/>
          </w:tcPr>
          <w:p w14:paraId="441EBFB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60.18%</w:t>
            </w:r>
          </w:p>
        </w:tc>
        <w:tc>
          <w:tcPr>
            <w:tcW w:w="312" w:type="pct"/>
            <w:tcBorders>
              <w:top w:val="nil"/>
              <w:left w:val="nil"/>
              <w:bottom w:val="nil"/>
              <w:right w:val="nil"/>
            </w:tcBorders>
            <w:shd w:val="clear" w:color="auto" w:fill="auto"/>
            <w:noWrap/>
            <w:vAlign w:val="bottom"/>
            <w:hideMark/>
          </w:tcPr>
          <w:p w14:paraId="6AAD2A2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22.16%</w:t>
            </w:r>
          </w:p>
        </w:tc>
        <w:tc>
          <w:tcPr>
            <w:tcW w:w="314" w:type="pct"/>
            <w:tcBorders>
              <w:top w:val="nil"/>
              <w:left w:val="nil"/>
              <w:bottom w:val="nil"/>
              <w:right w:val="nil"/>
            </w:tcBorders>
            <w:shd w:val="clear" w:color="auto" w:fill="auto"/>
            <w:noWrap/>
            <w:vAlign w:val="bottom"/>
            <w:hideMark/>
          </w:tcPr>
          <w:p w14:paraId="10377BE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63.78%</w:t>
            </w:r>
          </w:p>
        </w:tc>
        <w:tc>
          <w:tcPr>
            <w:tcW w:w="312" w:type="pct"/>
            <w:tcBorders>
              <w:top w:val="nil"/>
              <w:left w:val="nil"/>
              <w:bottom w:val="nil"/>
              <w:right w:val="nil"/>
            </w:tcBorders>
            <w:shd w:val="clear" w:color="auto" w:fill="auto"/>
            <w:noWrap/>
            <w:vAlign w:val="bottom"/>
            <w:hideMark/>
          </w:tcPr>
          <w:p w14:paraId="3B9A17C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23.33%</w:t>
            </w:r>
          </w:p>
        </w:tc>
        <w:tc>
          <w:tcPr>
            <w:tcW w:w="314" w:type="pct"/>
            <w:tcBorders>
              <w:top w:val="nil"/>
              <w:left w:val="nil"/>
              <w:bottom w:val="nil"/>
              <w:right w:val="nil"/>
            </w:tcBorders>
            <w:shd w:val="clear" w:color="auto" w:fill="auto"/>
            <w:noWrap/>
            <w:vAlign w:val="bottom"/>
            <w:hideMark/>
          </w:tcPr>
          <w:p w14:paraId="218FF21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56.07%</w:t>
            </w:r>
          </w:p>
        </w:tc>
        <w:tc>
          <w:tcPr>
            <w:tcW w:w="312" w:type="pct"/>
            <w:tcBorders>
              <w:top w:val="nil"/>
              <w:left w:val="nil"/>
              <w:bottom w:val="nil"/>
              <w:right w:val="nil"/>
            </w:tcBorders>
            <w:shd w:val="clear" w:color="auto" w:fill="auto"/>
            <w:noWrap/>
            <w:vAlign w:val="bottom"/>
            <w:hideMark/>
          </w:tcPr>
          <w:p w14:paraId="2A47DF7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14.74%</w:t>
            </w:r>
          </w:p>
        </w:tc>
        <w:tc>
          <w:tcPr>
            <w:tcW w:w="314" w:type="pct"/>
            <w:tcBorders>
              <w:top w:val="nil"/>
              <w:left w:val="nil"/>
              <w:bottom w:val="nil"/>
              <w:right w:val="nil"/>
            </w:tcBorders>
            <w:shd w:val="clear" w:color="auto" w:fill="auto"/>
            <w:noWrap/>
            <w:vAlign w:val="bottom"/>
            <w:hideMark/>
          </w:tcPr>
          <w:p w14:paraId="225469B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41.96%</w:t>
            </w:r>
          </w:p>
        </w:tc>
        <w:tc>
          <w:tcPr>
            <w:tcW w:w="312" w:type="pct"/>
            <w:tcBorders>
              <w:top w:val="nil"/>
              <w:left w:val="nil"/>
              <w:bottom w:val="nil"/>
              <w:right w:val="nil"/>
            </w:tcBorders>
            <w:shd w:val="clear" w:color="auto" w:fill="auto"/>
            <w:noWrap/>
            <w:vAlign w:val="bottom"/>
            <w:hideMark/>
          </w:tcPr>
          <w:p w14:paraId="1B676B2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29.66%</w:t>
            </w:r>
          </w:p>
        </w:tc>
        <w:tc>
          <w:tcPr>
            <w:tcW w:w="314" w:type="pct"/>
            <w:tcBorders>
              <w:top w:val="nil"/>
              <w:left w:val="nil"/>
              <w:bottom w:val="nil"/>
              <w:right w:val="nil"/>
            </w:tcBorders>
            <w:shd w:val="clear" w:color="auto" w:fill="auto"/>
            <w:noWrap/>
            <w:vAlign w:val="bottom"/>
            <w:hideMark/>
          </w:tcPr>
          <w:p w14:paraId="698614A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74.46%</w:t>
            </w:r>
          </w:p>
        </w:tc>
        <w:tc>
          <w:tcPr>
            <w:tcW w:w="312" w:type="pct"/>
            <w:tcBorders>
              <w:top w:val="nil"/>
              <w:left w:val="nil"/>
              <w:bottom w:val="nil"/>
              <w:right w:val="nil"/>
            </w:tcBorders>
            <w:shd w:val="clear" w:color="auto" w:fill="auto"/>
            <w:noWrap/>
            <w:vAlign w:val="bottom"/>
            <w:hideMark/>
          </w:tcPr>
          <w:p w14:paraId="57D2221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19.12%</w:t>
            </w:r>
          </w:p>
        </w:tc>
        <w:tc>
          <w:tcPr>
            <w:tcW w:w="314" w:type="pct"/>
            <w:tcBorders>
              <w:top w:val="nil"/>
              <w:left w:val="nil"/>
              <w:bottom w:val="nil"/>
              <w:right w:val="nil"/>
            </w:tcBorders>
            <w:shd w:val="clear" w:color="auto" w:fill="auto"/>
            <w:noWrap/>
            <w:vAlign w:val="bottom"/>
            <w:hideMark/>
          </w:tcPr>
          <w:p w14:paraId="33723EF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46.31%</w:t>
            </w:r>
          </w:p>
        </w:tc>
        <w:tc>
          <w:tcPr>
            <w:tcW w:w="312" w:type="pct"/>
            <w:tcBorders>
              <w:top w:val="nil"/>
              <w:left w:val="nil"/>
              <w:bottom w:val="nil"/>
              <w:right w:val="nil"/>
            </w:tcBorders>
            <w:shd w:val="clear" w:color="auto" w:fill="auto"/>
            <w:noWrap/>
            <w:vAlign w:val="bottom"/>
            <w:hideMark/>
          </w:tcPr>
          <w:p w14:paraId="40E5900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13.82%</w:t>
            </w:r>
          </w:p>
        </w:tc>
      </w:tr>
      <w:tr w:rsidR="001F4B9D" w:rsidRPr="001F4B9D" w14:paraId="5C968B7A" w14:textId="77777777" w:rsidTr="001F4B9D">
        <w:trPr>
          <w:trHeight w:val="289"/>
        </w:trPr>
        <w:tc>
          <w:tcPr>
            <w:tcW w:w="1241" w:type="pct"/>
            <w:tcBorders>
              <w:top w:val="nil"/>
              <w:left w:val="nil"/>
              <w:bottom w:val="nil"/>
              <w:right w:val="nil"/>
            </w:tcBorders>
            <w:shd w:val="clear" w:color="auto" w:fill="auto"/>
            <w:noWrap/>
            <w:vAlign w:val="bottom"/>
            <w:hideMark/>
          </w:tcPr>
          <w:p w14:paraId="7BAFD329"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Momentum</w:t>
            </w:r>
          </w:p>
        </w:tc>
        <w:tc>
          <w:tcPr>
            <w:tcW w:w="314" w:type="pct"/>
            <w:tcBorders>
              <w:top w:val="nil"/>
              <w:left w:val="nil"/>
              <w:bottom w:val="nil"/>
              <w:right w:val="nil"/>
            </w:tcBorders>
            <w:shd w:val="clear" w:color="auto" w:fill="auto"/>
            <w:noWrap/>
            <w:vAlign w:val="bottom"/>
            <w:hideMark/>
          </w:tcPr>
          <w:p w14:paraId="2344D10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21.13%</w:t>
            </w:r>
          </w:p>
        </w:tc>
        <w:tc>
          <w:tcPr>
            <w:tcW w:w="312" w:type="pct"/>
            <w:tcBorders>
              <w:top w:val="nil"/>
              <w:left w:val="nil"/>
              <w:bottom w:val="nil"/>
              <w:right w:val="nil"/>
            </w:tcBorders>
            <w:shd w:val="clear" w:color="auto" w:fill="auto"/>
            <w:noWrap/>
            <w:vAlign w:val="bottom"/>
            <w:hideMark/>
          </w:tcPr>
          <w:p w14:paraId="2214644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27.19%</w:t>
            </w:r>
          </w:p>
        </w:tc>
        <w:tc>
          <w:tcPr>
            <w:tcW w:w="314" w:type="pct"/>
            <w:tcBorders>
              <w:top w:val="nil"/>
              <w:left w:val="nil"/>
              <w:bottom w:val="nil"/>
              <w:right w:val="nil"/>
            </w:tcBorders>
            <w:shd w:val="clear" w:color="auto" w:fill="auto"/>
            <w:noWrap/>
            <w:vAlign w:val="bottom"/>
            <w:hideMark/>
          </w:tcPr>
          <w:p w14:paraId="03586E2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23.04%</w:t>
            </w:r>
          </w:p>
        </w:tc>
        <w:tc>
          <w:tcPr>
            <w:tcW w:w="312" w:type="pct"/>
            <w:tcBorders>
              <w:top w:val="nil"/>
              <w:left w:val="nil"/>
              <w:bottom w:val="nil"/>
              <w:right w:val="nil"/>
            </w:tcBorders>
            <w:shd w:val="clear" w:color="auto" w:fill="auto"/>
            <w:noWrap/>
            <w:vAlign w:val="bottom"/>
            <w:hideMark/>
          </w:tcPr>
          <w:p w14:paraId="7286D75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23.22%</w:t>
            </w:r>
          </w:p>
        </w:tc>
        <w:tc>
          <w:tcPr>
            <w:tcW w:w="314" w:type="pct"/>
            <w:tcBorders>
              <w:top w:val="nil"/>
              <w:left w:val="nil"/>
              <w:bottom w:val="nil"/>
              <w:right w:val="nil"/>
            </w:tcBorders>
            <w:shd w:val="clear" w:color="auto" w:fill="auto"/>
            <w:noWrap/>
            <w:vAlign w:val="bottom"/>
            <w:hideMark/>
          </w:tcPr>
          <w:p w14:paraId="3A00D4A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32.60%</w:t>
            </w:r>
          </w:p>
        </w:tc>
        <w:tc>
          <w:tcPr>
            <w:tcW w:w="312" w:type="pct"/>
            <w:tcBorders>
              <w:top w:val="nil"/>
              <w:left w:val="nil"/>
              <w:bottom w:val="nil"/>
              <w:right w:val="nil"/>
            </w:tcBorders>
            <w:shd w:val="clear" w:color="auto" w:fill="auto"/>
            <w:noWrap/>
            <w:vAlign w:val="bottom"/>
            <w:hideMark/>
          </w:tcPr>
          <w:p w14:paraId="4CEB5B7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41.19%</w:t>
            </w:r>
          </w:p>
        </w:tc>
        <w:tc>
          <w:tcPr>
            <w:tcW w:w="314" w:type="pct"/>
            <w:tcBorders>
              <w:top w:val="nil"/>
              <w:left w:val="nil"/>
              <w:bottom w:val="nil"/>
              <w:right w:val="nil"/>
            </w:tcBorders>
            <w:shd w:val="clear" w:color="auto" w:fill="auto"/>
            <w:noWrap/>
            <w:vAlign w:val="bottom"/>
            <w:hideMark/>
          </w:tcPr>
          <w:p w14:paraId="7C21D38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36.86%</w:t>
            </w:r>
          </w:p>
        </w:tc>
        <w:tc>
          <w:tcPr>
            <w:tcW w:w="312" w:type="pct"/>
            <w:tcBorders>
              <w:top w:val="nil"/>
              <w:left w:val="nil"/>
              <w:bottom w:val="nil"/>
              <w:right w:val="nil"/>
            </w:tcBorders>
            <w:shd w:val="clear" w:color="auto" w:fill="auto"/>
            <w:noWrap/>
            <w:vAlign w:val="bottom"/>
            <w:hideMark/>
          </w:tcPr>
          <w:p w14:paraId="38BCCB5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48.46%</w:t>
            </w:r>
          </w:p>
        </w:tc>
        <w:tc>
          <w:tcPr>
            <w:tcW w:w="314" w:type="pct"/>
            <w:tcBorders>
              <w:top w:val="nil"/>
              <w:left w:val="nil"/>
              <w:bottom w:val="nil"/>
              <w:right w:val="nil"/>
            </w:tcBorders>
            <w:shd w:val="clear" w:color="auto" w:fill="auto"/>
            <w:noWrap/>
            <w:vAlign w:val="bottom"/>
            <w:hideMark/>
          </w:tcPr>
          <w:p w14:paraId="3DD0C43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15.80%</w:t>
            </w:r>
          </w:p>
        </w:tc>
        <w:tc>
          <w:tcPr>
            <w:tcW w:w="312" w:type="pct"/>
            <w:tcBorders>
              <w:top w:val="nil"/>
              <w:left w:val="nil"/>
              <w:bottom w:val="nil"/>
              <w:right w:val="nil"/>
            </w:tcBorders>
            <w:shd w:val="clear" w:color="auto" w:fill="auto"/>
            <w:noWrap/>
            <w:vAlign w:val="bottom"/>
            <w:hideMark/>
          </w:tcPr>
          <w:p w14:paraId="0D0400A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38.84%</w:t>
            </w:r>
          </w:p>
        </w:tc>
        <w:tc>
          <w:tcPr>
            <w:tcW w:w="314" w:type="pct"/>
            <w:tcBorders>
              <w:top w:val="nil"/>
              <w:left w:val="nil"/>
              <w:bottom w:val="nil"/>
              <w:right w:val="nil"/>
            </w:tcBorders>
            <w:shd w:val="clear" w:color="auto" w:fill="auto"/>
            <w:noWrap/>
            <w:vAlign w:val="bottom"/>
            <w:hideMark/>
          </w:tcPr>
          <w:p w14:paraId="6D9A6AA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38.51%</w:t>
            </w:r>
          </w:p>
        </w:tc>
        <w:tc>
          <w:tcPr>
            <w:tcW w:w="312" w:type="pct"/>
            <w:tcBorders>
              <w:top w:val="nil"/>
              <w:left w:val="nil"/>
              <w:bottom w:val="nil"/>
              <w:right w:val="nil"/>
            </w:tcBorders>
            <w:shd w:val="clear" w:color="auto" w:fill="auto"/>
            <w:noWrap/>
            <w:vAlign w:val="bottom"/>
            <w:hideMark/>
          </w:tcPr>
          <w:p w14:paraId="57FB3E6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39.36%</w:t>
            </w:r>
          </w:p>
        </w:tc>
      </w:tr>
      <w:tr w:rsidR="001F4B9D" w:rsidRPr="001F4B9D" w14:paraId="6A49C296" w14:textId="77777777" w:rsidTr="001F4B9D">
        <w:trPr>
          <w:trHeight w:val="289"/>
        </w:trPr>
        <w:tc>
          <w:tcPr>
            <w:tcW w:w="1241" w:type="pct"/>
            <w:tcBorders>
              <w:top w:val="nil"/>
              <w:left w:val="nil"/>
              <w:bottom w:val="nil"/>
              <w:right w:val="nil"/>
            </w:tcBorders>
            <w:shd w:val="clear" w:color="auto" w:fill="auto"/>
            <w:noWrap/>
            <w:vAlign w:val="bottom"/>
            <w:hideMark/>
          </w:tcPr>
          <w:p w14:paraId="1671A3C9"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R2</w:t>
            </w:r>
          </w:p>
        </w:tc>
        <w:tc>
          <w:tcPr>
            <w:tcW w:w="314" w:type="pct"/>
            <w:tcBorders>
              <w:top w:val="nil"/>
              <w:left w:val="nil"/>
              <w:bottom w:val="nil"/>
              <w:right w:val="nil"/>
            </w:tcBorders>
            <w:shd w:val="clear" w:color="auto" w:fill="auto"/>
            <w:noWrap/>
            <w:vAlign w:val="bottom"/>
            <w:hideMark/>
          </w:tcPr>
          <w:p w14:paraId="20A50F0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0.9167</w:t>
            </w:r>
          </w:p>
        </w:tc>
        <w:tc>
          <w:tcPr>
            <w:tcW w:w="312" w:type="pct"/>
            <w:tcBorders>
              <w:top w:val="nil"/>
              <w:left w:val="nil"/>
              <w:bottom w:val="nil"/>
              <w:right w:val="nil"/>
            </w:tcBorders>
            <w:shd w:val="clear" w:color="auto" w:fill="auto"/>
            <w:noWrap/>
            <w:vAlign w:val="bottom"/>
            <w:hideMark/>
          </w:tcPr>
          <w:p w14:paraId="773ED53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1.0049</w:t>
            </w:r>
          </w:p>
        </w:tc>
        <w:tc>
          <w:tcPr>
            <w:tcW w:w="314" w:type="pct"/>
            <w:tcBorders>
              <w:top w:val="nil"/>
              <w:left w:val="nil"/>
              <w:bottom w:val="nil"/>
              <w:right w:val="nil"/>
            </w:tcBorders>
            <w:shd w:val="clear" w:color="auto" w:fill="auto"/>
            <w:noWrap/>
            <w:vAlign w:val="bottom"/>
            <w:hideMark/>
          </w:tcPr>
          <w:p w14:paraId="4087607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0.8936</w:t>
            </w:r>
          </w:p>
        </w:tc>
        <w:tc>
          <w:tcPr>
            <w:tcW w:w="312" w:type="pct"/>
            <w:tcBorders>
              <w:top w:val="nil"/>
              <w:left w:val="nil"/>
              <w:bottom w:val="nil"/>
              <w:right w:val="nil"/>
            </w:tcBorders>
            <w:shd w:val="clear" w:color="auto" w:fill="auto"/>
            <w:noWrap/>
            <w:vAlign w:val="bottom"/>
            <w:hideMark/>
          </w:tcPr>
          <w:p w14:paraId="248DD22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0.9877</w:t>
            </w:r>
          </w:p>
        </w:tc>
        <w:tc>
          <w:tcPr>
            <w:tcW w:w="314" w:type="pct"/>
            <w:tcBorders>
              <w:top w:val="nil"/>
              <w:left w:val="nil"/>
              <w:bottom w:val="nil"/>
              <w:right w:val="nil"/>
            </w:tcBorders>
            <w:shd w:val="clear" w:color="auto" w:fill="auto"/>
            <w:noWrap/>
            <w:vAlign w:val="bottom"/>
            <w:hideMark/>
          </w:tcPr>
          <w:p w14:paraId="6FC4498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0.9052</w:t>
            </w:r>
          </w:p>
        </w:tc>
        <w:tc>
          <w:tcPr>
            <w:tcW w:w="312" w:type="pct"/>
            <w:tcBorders>
              <w:top w:val="nil"/>
              <w:left w:val="nil"/>
              <w:bottom w:val="nil"/>
              <w:right w:val="nil"/>
            </w:tcBorders>
            <w:shd w:val="clear" w:color="auto" w:fill="auto"/>
            <w:noWrap/>
            <w:vAlign w:val="bottom"/>
            <w:hideMark/>
          </w:tcPr>
          <w:p w14:paraId="5846C48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0.9954</w:t>
            </w:r>
          </w:p>
        </w:tc>
        <w:tc>
          <w:tcPr>
            <w:tcW w:w="314" w:type="pct"/>
            <w:tcBorders>
              <w:top w:val="nil"/>
              <w:left w:val="nil"/>
              <w:bottom w:val="nil"/>
              <w:right w:val="nil"/>
            </w:tcBorders>
            <w:shd w:val="clear" w:color="auto" w:fill="auto"/>
            <w:noWrap/>
            <w:vAlign w:val="bottom"/>
            <w:hideMark/>
          </w:tcPr>
          <w:p w14:paraId="2DEF015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0.9041</w:t>
            </w:r>
          </w:p>
        </w:tc>
        <w:tc>
          <w:tcPr>
            <w:tcW w:w="312" w:type="pct"/>
            <w:tcBorders>
              <w:top w:val="nil"/>
              <w:left w:val="nil"/>
              <w:bottom w:val="nil"/>
              <w:right w:val="nil"/>
            </w:tcBorders>
            <w:shd w:val="clear" w:color="auto" w:fill="auto"/>
            <w:noWrap/>
            <w:vAlign w:val="bottom"/>
            <w:hideMark/>
          </w:tcPr>
          <w:p w14:paraId="4513D96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0.8967</w:t>
            </w:r>
          </w:p>
        </w:tc>
        <w:tc>
          <w:tcPr>
            <w:tcW w:w="314" w:type="pct"/>
            <w:tcBorders>
              <w:top w:val="nil"/>
              <w:left w:val="nil"/>
              <w:bottom w:val="nil"/>
              <w:right w:val="nil"/>
            </w:tcBorders>
            <w:shd w:val="clear" w:color="auto" w:fill="auto"/>
            <w:noWrap/>
            <w:vAlign w:val="bottom"/>
            <w:hideMark/>
          </w:tcPr>
          <w:p w14:paraId="2586FF2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0.923</w:t>
            </w:r>
          </w:p>
        </w:tc>
        <w:tc>
          <w:tcPr>
            <w:tcW w:w="312" w:type="pct"/>
            <w:tcBorders>
              <w:top w:val="nil"/>
              <w:left w:val="nil"/>
              <w:bottom w:val="nil"/>
              <w:right w:val="nil"/>
            </w:tcBorders>
            <w:shd w:val="clear" w:color="auto" w:fill="auto"/>
            <w:noWrap/>
            <w:vAlign w:val="bottom"/>
            <w:hideMark/>
          </w:tcPr>
          <w:p w14:paraId="46F68B3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0.9272</w:t>
            </w:r>
          </w:p>
        </w:tc>
        <w:tc>
          <w:tcPr>
            <w:tcW w:w="314" w:type="pct"/>
            <w:tcBorders>
              <w:top w:val="nil"/>
              <w:left w:val="nil"/>
              <w:bottom w:val="nil"/>
              <w:right w:val="nil"/>
            </w:tcBorders>
            <w:shd w:val="clear" w:color="auto" w:fill="auto"/>
            <w:noWrap/>
            <w:vAlign w:val="bottom"/>
            <w:hideMark/>
          </w:tcPr>
          <w:p w14:paraId="7B47FBA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0.9492</w:t>
            </w:r>
          </w:p>
        </w:tc>
        <w:tc>
          <w:tcPr>
            <w:tcW w:w="312" w:type="pct"/>
            <w:tcBorders>
              <w:top w:val="nil"/>
              <w:left w:val="nil"/>
              <w:bottom w:val="nil"/>
              <w:right w:val="nil"/>
            </w:tcBorders>
            <w:shd w:val="clear" w:color="auto" w:fill="auto"/>
            <w:noWrap/>
            <w:vAlign w:val="bottom"/>
            <w:hideMark/>
          </w:tcPr>
          <w:p w14:paraId="138ED9E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0.9408</w:t>
            </w:r>
          </w:p>
        </w:tc>
      </w:tr>
      <w:tr w:rsidR="001F4B9D" w:rsidRPr="001F4B9D" w14:paraId="473F6AFF" w14:textId="77777777" w:rsidTr="001F4B9D">
        <w:trPr>
          <w:trHeight w:val="289"/>
        </w:trPr>
        <w:tc>
          <w:tcPr>
            <w:tcW w:w="1241" w:type="pct"/>
            <w:tcBorders>
              <w:top w:val="nil"/>
              <w:left w:val="nil"/>
              <w:bottom w:val="nil"/>
              <w:right w:val="nil"/>
            </w:tcBorders>
            <w:shd w:val="clear" w:color="auto" w:fill="auto"/>
            <w:noWrap/>
            <w:vAlign w:val="bottom"/>
            <w:hideMark/>
          </w:tcPr>
          <w:p w14:paraId="2ABAEEA0"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Tracking Error</w:t>
            </w:r>
          </w:p>
        </w:tc>
        <w:tc>
          <w:tcPr>
            <w:tcW w:w="314" w:type="pct"/>
            <w:tcBorders>
              <w:top w:val="nil"/>
              <w:left w:val="nil"/>
              <w:bottom w:val="nil"/>
              <w:right w:val="nil"/>
            </w:tcBorders>
            <w:shd w:val="clear" w:color="auto" w:fill="auto"/>
            <w:noWrap/>
            <w:vAlign w:val="bottom"/>
            <w:hideMark/>
          </w:tcPr>
          <w:p w14:paraId="60614CC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0.56%</w:t>
            </w:r>
          </w:p>
        </w:tc>
        <w:tc>
          <w:tcPr>
            <w:tcW w:w="312" w:type="pct"/>
            <w:tcBorders>
              <w:top w:val="nil"/>
              <w:left w:val="nil"/>
              <w:bottom w:val="nil"/>
              <w:right w:val="nil"/>
            </w:tcBorders>
            <w:shd w:val="clear" w:color="auto" w:fill="auto"/>
            <w:noWrap/>
            <w:vAlign w:val="bottom"/>
            <w:hideMark/>
          </w:tcPr>
          <w:p w14:paraId="0FCC957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0.11%</w:t>
            </w:r>
          </w:p>
        </w:tc>
        <w:tc>
          <w:tcPr>
            <w:tcW w:w="314" w:type="pct"/>
            <w:tcBorders>
              <w:top w:val="nil"/>
              <w:left w:val="nil"/>
              <w:bottom w:val="nil"/>
              <w:right w:val="nil"/>
            </w:tcBorders>
            <w:shd w:val="clear" w:color="auto" w:fill="auto"/>
            <w:noWrap/>
            <w:vAlign w:val="bottom"/>
            <w:hideMark/>
          </w:tcPr>
          <w:p w14:paraId="368FB2A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0.88%</w:t>
            </w:r>
          </w:p>
        </w:tc>
        <w:tc>
          <w:tcPr>
            <w:tcW w:w="312" w:type="pct"/>
            <w:tcBorders>
              <w:top w:val="nil"/>
              <w:left w:val="nil"/>
              <w:bottom w:val="nil"/>
              <w:right w:val="nil"/>
            </w:tcBorders>
            <w:shd w:val="clear" w:color="auto" w:fill="auto"/>
            <w:noWrap/>
            <w:vAlign w:val="bottom"/>
            <w:hideMark/>
          </w:tcPr>
          <w:p w14:paraId="41C58D2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0.85%</w:t>
            </w:r>
          </w:p>
        </w:tc>
        <w:tc>
          <w:tcPr>
            <w:tcW w:w="314" w:type="pct"/>
            <w:tcBorders>
              <w:top w:val="nil"/>
              <w:left w:val="nil"/>
              <w:bottom w:val="nil"/>
              <w:right w:val="nil"/>
            </w:tcBorders>
            <w:shd w:val="clear" w:color="auto" w:fill="auto"/>
            <w:noWrap/>
            <w:vAlign w:val="bottom"/>
            <w:hideMark/>
          </w:tcPr>
          <w:p w14:paraId="52C40A5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0.16%</w:t>
            </w:r>
          </w:p>
        </w:tc>
        <w:tc>
          <w:tcPr>
            <w:tcW w:w="312" w:type="pct"/>
            <w:tcBorders>
              <w:top w:val="nil"/>
              <w:left w:val="nil"/>
              <w:bottom w:val="nil"/>
              <w:right w:val="nil"/>
            </w:tcBorders>
            <w:shd w:val="clear" w:color="auto" w:fill="auto"/>
            <w:noWrap/>
            <w:vAlign w:val="bottom"/>
            <w:hideMark/>
          </w:tcPr>
          <w:p w14:paraId="45CEC11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0.48%</w:t>
            </w:r>
          </w:p>
        </w:tc>
        <w:tc>
          <w:tcPr>
            <w:tcW w:w="314" w:type="pct"/>
            <w:tcBorders>
              <w:top w:val="nil"/>
              <w:left w:val="nil"/>
              <w:bottom w:val="nil"/>
              <w:right w:val="nil"/>
            </w:tcBorders>
            <w:shd w:val="clear" w:color="auto" w:fill="auto"/>
            <w:noWrap/>
            <w:vAlign w:val="bottom"/>
            <w:hideMark/>
          </w:tcPr>
          <w:p w14:paraId="27D3773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0.27%</w:t>
            </w:r>
          </w:p>
        </w:tc>
        <w:tc>
          <w:tcPr>
            <w:tcW w:w="312" w:type="pct"/>
            <w:tcBorders>
              <w:top w:val="nil"/>
              <w:left w:val="nil"/>
              <w:bottom w:val="nil"/>
              <w:right w:val="nil"/>
            </w:tcBorders>
            <w:shd w:val="clear" w:color="auto" w:fill="auto"/>
            <w:noWrap/>
            <w:vAlign w:val="bottom"/>
            <w:hideMark/>
          </w:tcPr>
          <w:p w14:paraId="769222B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0.15%</w:t>
            </w:r>
          </w:p>
        </w:tc>
        <w:tc>
          <w:tcPr>
            <w:tcW w:w="314" w:type="pct"/>
            <w:tcBorders>
              <w:top w:val="nil"/>
              <w:left w:val="nil"/>
              <w:bottom w:val="nil"/>
              <w:right w:val="nil"/>
            </w:tcBorders>
            <w:shd w:val="clear" w:color="auto" w:fill="auto"/>
            <w:noWrap/>
            <w:vAlign w:val="bottom"/>
            <w:hideMark/>
          </w:tcPr>
          <w:p w14:paraId="5F4BCD1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0.32%</w:t>
            </w:r>
          </w:p>
        </w:tc>
        <w:tc>
          <w:tcPr>
            <w:tcW w:w="312" w:type="pct"/>
            <w:tcBorders>
              <w:top w:val="nil"/>
              <w:left w:val="nil"/>
              <w:bottom w:val="nil"/>
              <w:right w:val="nil"/>
            </w:tcBorders>
            <w:shd w:val="clear" w:color="auto" w:fill="auto"/>
            <w:noWrap/>
            <w:vAlign w:val="bottom"/>
            <w:hideMark/>
          </w:tcPr>
          <w:p w14:paraId="7A07746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0.77%</w:t>
            </w:r>
          </w:p>
        </w:tc>
        <w:tc>
          <w:tcPr>
            <w:tcW w:w="314" w:type="pct"/>
            <w:tcBorders>
              <w:top w:val="nil"/>
              <w:left w:val="nil"/>
              <w:bottom w:val="nil"/>
              <w:right w:val="nil"/>
            </w:tcBorders>
            <w:shd w:val="clear" w:color="auto" w:fill="auto"/>
            <w:noWrap/>
            <w:vAlign w:val="bottom"/>
            <w:hideMark/>
          </w:tcPr>
          <w:p w14:paraId="0B0A2C4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0.80%</w:t>
            </w:r>
          </w:p>
        </w:tc>
        <w:tc>
          <w:tcPr>
            <w:tcW w:w="312" w:type="pct"/>
            <w:tcBorders>
              <w:top w:val="nil"/>
              <w:left w:val="nil"/>
              <w:bottom w:val="nil"/>
              <w:right w:val="nil"/>
            </w:tcBorders>
            <w:shd w:val="clear" w:color="auto" w:fill="auto"/>
            <w:noWrap/>
            <w:vAlign w:val="bottom"/>
            <w:hideMark/>
          </w:tcPr>
          <w:p w14:paraId="2050650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0.93%</w:t>
            </w:r>
          </w:p>
        </w:tc>
      </w:tr>
      <w:tr w:rsidR="001F4B9D" w:rsidRPr="001F4B9D" w14:paraId="66BC7F26" w14:textId="77777777" w:rsidTr="001F4B9D">
        <w:trPr>
          <w:trHeight w:val="289"/>
        </w:trPr>
        <w:tc>
          <w:tcPr>
            <w:tcW w:w="5000" w:type="pct"/>
            <w:gridSpan w:val="13"/>
            <w:tcBorders>
              <w:top w:val="nil"/>
              <w:left w:val="nil"/>
              <w:bottom w:val="nil"/>
              <w:right w:val="nil"/>
            </w:tcBorders>
            <w:shd w:val="clear" w:color="auto" w:fill="auto"/>
            <w:noWrap/>
            <w:vAlign w:val="bottom"/>
            <w:hideMark/>
          </w:tcPr>
          <w:p w14:paraId="66F882BD" w14:textId="77777777" w:rsidR="001F4B9D" w:rsidRPr="001F4B9D" w:rsidRDefault="001F4B9D" w:rsidP="00CD0BBE">
            <w:pPr>
              <w:spacing w:after="0" w:line="240" w:lineRule="auto"/>
              <w:jc w:val="center"/>
              <w:rPr>
                <w:rFonts w:ascii="Times New Roman" w:eastAsia="Times New Roman" w:hAnsi="Times New Roman" w:cs="Times New Roman"/>
                <w:b/>
                <w:bCs/>
                <w:color w:val="000000"/>
                <w:lang w:eastAsia="en-GB"/>
              </w:rPr>
            </w:pPr>
            <w:r w:rsidRPr="001F4B9D">
              <w:rPr>
                <w:rFonts w:ascii="Times New Roman" w:eastAsia="Times New Roman" w:hAnsi="Times New Roman" w:cs="Times New Roman"/>
                <w:b/>
                <w:bCs/>
                <w:color w:val="000000"/>
                <w:lang w:eastAsia="en-GB"/>
              </w:rPr>
              <w:t>Sector</w:t>
            </w:r>
          </w:p>
        </w:tc>
      </w:tr>
      <w:tr w:rsidR="001F4B9D" w:rsidRPr="001F4B9D" w14:paraId="2DFC37AA" w14:textId="77777777" w:rsidTr="001F4B9D">
        <w:trPr>
          <w:trHeight w:val="289"/>
        </w:trPr>
        <w:tc>
          <w:tcPr>
            <w:tcW w:w="1241" w:type="pct"/>
            <w:tcBorders>
              <w:top w:val="nil"/>
              <w:left w:val="nil"/>
              <w:bottom w:val="nil"/>
              <w:right w:val="nil"/>
            </w:tcBorders>
            <w:shd w:val="clear" w:color="auto" w:fill="auto"/>
            <w:noWrap/>
            <w:vAlign w:val="bottom"/>
            <w:hideMark/>
          </w:tcPr>
          <w:p w14:paraId="6866C39F"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Manufacturing</w:t>
            </w:r>
          </w:p>
        </w:tc>
        <w:tc>
          <w:tcPr>
            <w:tcW w:w="314" w:type="pct"/>
            <w:tcBorders>
              <w:top w:val="nil"/>
              <w:left w:val="nil"/>
              <w:bottom w:val="nil"/>
              <w:right w:val="nil"/>
            </w:tcBorders>
            <w:shd w:val="clear" w:color="auto" w:fill="auto"/>
            <w:noWrap/>
            <w:vAlign w:val="bottom"/>
            <w:hideMark/>
          </w:tcPr>
          <w:p w14:paraId="496B9D6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27.60%</w:t>
            </w:r>
          </w:p>
        </w:tc>
        <w:tc>
          <w:tcPr>
            <w:tcW w:w="312" w:type="pct"/>
            <w:tcBorders>
              <w:top w:val="nil"/>
              <w:left w:val="nil"/>
              <w:bottom w:val="nil"/>
              <w:right w:val="nil"/>
            </w:tcBorders>
            <w:shd w:val="clear" w:color="auto" w:fill="auto"/>
            <w:noWrap/>
            <w:vAlign w:val="bottom"/>
            <w:hideMark/>
          </w:tcPr>
          <w:p w14:paraId="40824ED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37.96%</w:t>
            </w:r>
          </w:p>
        </w:tc>
        <w:tc>
          <w:tcPr>
            <w:tcW w:w="314" w:type="pct"/>
            <w:tcBorders>
              <w:top w:val="nil"/>
              <w:left w:val="nil"/>
              <w:bottom w:val="nil"/>
              <w:right w:val="nil"/>
            </w:tcBorders>
            <w:shd w:val="clear" w:color="auto" w:fill="auto"/>
            <w:noWrap/>
            <w:vAlign w:val="bottom"/>
            <w:hideMark/>
          </w:tcPr>
          <w:p w14:paraId="6216459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19.07%</w:t>
            </w:r>
          </w:p>
        </w:tc>
        <w:tc>
          <w:tcPr>
            <w:tcW w:w="312" w:type="pct"/>
            <w:tcBorders>
              <w:top w:val="nil"/>
              <w:left w:val="nil"/>
              <w:bottom w:val="nil"/>
              <w:right w:val="nil"/>
            </w:tcBorders>
            <w:shd w:val="clear" w:color="auto" w:fill="auto"/>
            <w:noWrap/>
            <w:vAlign w:val="bottom"/>
            <w:hideMark/>
          </w:tcPr>
          <w:p w14:paraId="0B78D5B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42.41%</w:t>
            </w:r>
          </w:p>
        </w:tc>
        <w:tc>
          <w:tcPr>
            <w:tcW w:w="314" w:type="pct"/>
            <w:tcBorders>
              <w:top w:val="nil"/>
              <w:left w:val="nil"/>
              <w:bottom w:val="nil"/>
              <w:right w:val="nil"/>
            </w:tcBorders>
            <w:shd w:val="clear" w:color="auto" w:fill="auto"/>
            <w:noWrap/>
            <w:vAlign w:val="bottom"/>
            <w:hideMark/>
          </w:tcPr>
          <w:p w14:paraId="35ABFD9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19.10%</w:t>
            </w:r>
          </w:p>
        </w:tc>
        <w:tc>
          <w:tcPr>
            <w:tcW w:w="312" w:type="pct"/>
            <w:tcBorders>
              <w:top w:val="nil"/>
              <w:left w:val="nil"/>
              <w:bottom w:val="nil"/>
              <w:right w:val="nil"/>
            </w:tcBorders>
            <w:shd w:val="clear" w:color="auto" w:fill="auto"/>
            <w:noWrap/>
            <w:vAlign w:val="bottom"/>
            <w:hideMark/>
          </w:tcPr>
          <w:p w14:paraId="222B519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30.40%</w:t>
            </w:r>
          </w:p>
        </w:tc>
        <w:tc>
          <w:tcPr>
            <w:tcW w:w="314" w:type="pct"/>
            <w:tcBorders>
              <w:top w:val="nil"/>
              <w:left w:val="nil"/>
              <w:bottom w:val="nil"/>
              <w:right w:val="nil"/>
            </w:tcBorders>
            <w:shd w:val="clear" w:color="auto" w:fill="auto"/>
            <w:noWrap/>
            <w:vAlign w:val="bottom"/>
            <w:hideMark/>
          </w:tcPr>
          <w:p w14:paraId="72E68E6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11.11%</w:t>
            </w:r>
          </w:p>
        </w:tc>
        <w:tc>
          <w:tcPr>
            <w:tcW w:w="312" w:type="pct"/>
            <w:tcBorders>
              <w:top w:val="nil"/>
              <w:left w:val="nil"/>
              <w:bottom w:val="nil"/>
              <w:right w:val="nil"/>
            </w:tcBorders>
            <w:shd w:val="clear" w:color="auto" w:fill="auto"/>
            <w:noWrap/>
            <w:vAlign w:val="bottom"/>
            <w:hideMark/>
          </w:tcPr>
          <w:p w14:paraId="11F2299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23.22%</w:t>
            </w:r>
          </w:p>
        </w:tc>
        <w:tc>
          <w:tcPr>
            <w:tcW w:w="314" w:type="pct"/>
            <w:tcBorders>
              <w:top w:val="nil"/>
              <w:left w:val="nil"/>
              <w:bottom w:val="nil"/>
              <w:right w:val="nil"/>
            </w:tcBorders>
            <w:shd w:val="clear" w:color="auto" w:fill="auto"/>
            <w:noWrap/>
            <w:vAlign w:val="bottom"/>
            <w:hideMark/>
          </w:tcPr>
          <w:p w14:paraId="1232386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13.19%</w:t>
            </w:r>
          </w:p>
        </w:tc>
        <w:tc>
          <w:tcPr>
            <w:tcW w:w="312" w:type="pct"/>
            <w:tcBorders>
              <w:top w:val="nil"/>
              <w:left w:val="nil"/>
              <w:bottom w:val="nil"/>
              <w:right w:val="nil"/>
            </w:tcBorders>
            <w:shd w:val="clear" w:color="auto" w:fill="auto"/>
            <w:noWrap/>
            <w:vAlign w:val="bottom"/>
            <w:hideMark/>
          </w:tcPr>
          <w:p w14:paraId="2BABC51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26.93%</w:t>
            </w:r>
          </w:p>
        </w:tc>
        <w:tc>
          <w:tcPr>
            <w:tcW w:w="314" w:type="pct"/>
            <w:tcBorders>
              <w:top w:val="nil"/>
              <w:left w:val="nil"/>
              <w:bottom w:val="nil"/>
              <w:right w:val="nil"/>
            </w:tcBorders>
            <w:shd w:val="clear" w:color="auto" w:fill="auto"/>
            <w:noWrap/>
            <w:vAlign w:val="bottom"/>
            <w:hideMark/>
          </w:tcPr>
          <w:p w14:paraId="77B55AE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21.13%</w:t>
            </w:r>
          </w:p>
        </w:tc>
        <w:tc>
          <w:tcPr>
            <w:tcW w:w="312" w:type="pct"/>
            <w:tcBorders>
              <w:top w:val="nil"/>
              <w:left w:val="nil"/>
              <w:bottom w:val="nil"/>
              <w:right w:val="nil"/>
            </w:tcBorders>
            <w:shd w:val="clear" w:color="auto" w:fill="auto"/>
            <w:noWrap/>
            <w:vAlign w:val="bottom"/>
            <w:hideMark/>
          </w:tcPr>
          <w:p w14:paraId="036DFFD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26.75%</w:t>
            </w:r>
          </w:p>
        </w:tc>
      </w:tr>
      <w:tr w:rsidR="001F4B9D" w:rsidRPr="001F4B9D" w14:paraId="0636F4A0" w14:textId="77777777" w:rsidTr="001F4B9D">
        <w:trPr>
          <w:trHeight w:val="289"/>
        </w:trPr>
        <w:tc>
          <w:tcPr>
            <w:tcW w:w="1241" w:type="pct"/>
            <w:tcBorders>
              <w:top w:val="nil"/>
              <w:left w:val="nil"/>
              <w:bottom w:val="nil"/>
              <w:right w:val="nil"/>
            </w:tcBorders>
            <w:shd w:val="clear" w:color="auto" w:fill="auto"/>
            <w:noWrap/>
            <w:vAlign w:val="bottom"/>
            <w:hideMark/>
          </w:tcPr>
          <w:p w14:paraId="3FF051D2"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Utilities</w:t>
            </w:r>
          </w:p>
        </w:tc>
        <w:tc>
          <w:tcPr>
            <w:tcW w:w="314" w:type="pct"/>
            <w:tcBorders>
              <w:top w:val="nil"/>
              <w:left w:val="nil"/>
              <w:bottom w:val="nil"/>
              <w:right w:val="nil"/>
            </w:tcBorders>
            <w:shd w:val="clear" w:color="auto" w:fill="auto"/>
            <w:noWrap/>
            <w:vAlign w:val="bottom"/>
            <w:hideMark/>
          </w:tcPr>
          <w:p w14:paraId="017FAFB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16.62%</w:t>
            </w:r>
          </w:p>
        </w:tc>
        <w:tc>
          <w:tcPr>
            <w:tcW w:w="312" w:type="pct"/>
            <w:tcBorders>
              <w:top w:val="nil"/>
              <w:left w:val="nil"/>
              <w:bottom w:val="nil"/>
              <w:right w:val="nil"/>
            </w:tcBorders>
            <w:shd w:val="clear" w:color="auto" w:fill="auto"/>
            <w:noWrap/>
            <w:vAlign w:val="bottom"/>
            <w:hideMark/>
          </w:tcPr>
          <w:p w14:paraId="1A84014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12.73%</w:t>
            </w:r>
          </w:p>
        </w:tc>
        <w:tc>
          <w:tcPr>
            <w:tcW w:w="314" w:type="pct"/>
            <w:tcBorders>
              <w:top w:val="nil"/>
              <w:left w:val="nil"/>
              <w:bottom w:val="nil"/>
              <w:right w:val="nil"/>
            </w:tcBorders>
            <w:shd w:val="clear" w:color="auto" w:fill="auto"/>
            <w:noWrap/>
            <w:vAlign w:val="bottom"/>
            <w:hideMark/>
          </w:tcPr>
          <w:p w14:paraId="5532C54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13.46%</w:t>
            </w:r>
          </w:p>
        </w:tc>
        <w:tc>
          <w:tcPr>
            <w:tcW w:w="312" w:type="pct"/>
            <w:tcBorders>
              <w:top w:val="nil"/>
              <w:left w:val="nil"/>
              <w:bottom w:val="nil"/>
              <w:right w:val="nil"/>
            </w:tcBorders>
            <w:shd w:val="clear" w:color="auto" w:fill="auto"/>
            <w:noWrap/>
            <w:vAlign w:val="bottom"/>
            <w:hideMark/>
          </w:tcPr>
          <w:p w14:paraId="17C840F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13.14%</w:t>
            </w:r>
          </w:p>
        </w:tc>
        <w:tc>
          <w:tcPr>
            <w:tcW w:w="314" w:type="pct"/>
            <w:tcBorders>
              <w:top w:val="nil"/>
              <w:left w:val="nil"/>
              <w:bottom w:val="nil"/>
              <w:right w:val="nil"/>
            </w:tcBorders>
            <w:shd w:val="clear" w:color="auto" w:fill="auto"/>
            <w:noWrap/>
            <w:vAlign w:val="bottom"/>
            <w:hideMark/>
          </w:tcPr>
          <w:p w14:paraId="78718DB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24.31%</w:t>
            </w:r>
          </w:p>
        </w:tc>
        <w:tc>
          <w:tcPr>
            <w:tcW w:w="312" w:type="pct"/>
            <w:tcBorders>
              <w:top w:val="nil"/>
              <w:left w:val="nil"/>
              <w:bottom w:val="nil"/>
              <w:right w:val="nil"/>
            </w:tcBorders>
            <w:shd w:val="clear" w:color="auto" w:fill="auto"/>
            <w:noWrap/>
            <w:vAlign w:val="bottom"/>
            <w:hideMark/>
          </w:tcPr>
          <w:p w14:paraId="37575A1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22.02%</w:t>
            </w:r>
          </w:p>
        </w:tc>
        <w:tc>
          <w:tcPr>
            <w:tcW w:w="314" w:type="pct"/>
            <w:tcBorders>
              <w:top w:val="nil"/>
              <w:left w:val="nil"/>
              <w:bottom w:val="nil"/>
              <w:right w:val="nil"/>
            </w:tcBorders>
            <w:shd w:val="clear" w:color="auto" w:fill="auto"/>
            <w:noWrap/>
            <w:vAlign w:val="bottom"/>
            <w:hideMark/>
          </w:tcPr>
          <w:p w14:paraId="2D28C4E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25.19%</w:t>
            </w:r>
          </w:p>
        </w:tc>
        <w:tc>
          <w:tcPr>
            <w:tcW w:w="312" w:type="pct"/>
            <w:tcBorders>
              <w:top w:val="nil"/>
              <w:left w:val="nil"/>
              <w:bottom w:val="nil"/>
              <w:right w:val="nil"/>
            </w:tcBorders>
            <w:shd w:val="clear" w:color="auto" w:fill="auto"/>
            <w:noWrap/>
            <w:vAlign w:val="bottom"/>
            <w:hideMark/>
          </w:tcPr>
          <w:p w14:paraId="1016BED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22.72%</w:t>
            </w:r>
          </w:p>
        </w:tc>
        <w:tc>
          <w:tcPr>
            <w:tcW w:w="314" w:type="pct"/>
            <w:tcBorders>
              <w:top w:val="nil"/>
              <w:left w:val="nil"/>
              <w:bottom w:val="nil"/>
              <w:right w:val="nil"/>
            </w:tcBorders>
            <w:shd w:val="clear" w:color="auto" w:fill="auto"/>
            <w:noWrap/>
            <w:vAlign w:val="bottom"/>
            <w:hideMark/>
          </w:tcPr>
          <w:p w14:paraId="53A5022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26.13%</w:t>
            </w:r>
          </w:p>
        </w:tc>
        <w:tc>
          <w:tcPr>
            <w:tcW w:w="312" w:type="pct"/>
            <w:tcBorders>
              <w:top w:val="nil"/>
              <w:left w:val="nil"/>
              <w:bottom w:val="nil"/>
              <w:right w:val="nil"/>
            </w:tcBorders>
            <w:shd w:val="clear" w:color="auto" w:fill="auto"/>
            <w:noWrap/>
            <w:vAlign w:val="bottom"/>
            <w:hideMark/>
          </w:tcPr>
          <w:p w14:paraId="7C511C4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24.31%</w:t>
            </w:r>
          </w:p>
        </w:tc>
        <w:tc>
          <w:tcPr>
            <w:tcW w:w="314" w:type="pct"/>
            <w:tcBorders>
              <w:top w:val="nil"/>
              <w:left w:val="nil"/>
              <w:bottom w:val="nil"/>
              <w:right w:val="nil"/>
            </w:tcBorders>
            <w:shd w:val="clear" w:color="auto" w:fill="auto"/>
            <w:noWrap/>
            <w:vAlign w:val="bottom"/>
            <w:hideMark/>
          </w:tcPr>
          <w:p w14:paraId="4EB80A1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22.18%</w:t>
            </w:r>
          </w:p>
        </w:tc>
        <w:tc>
          <w:tcPr>
            <w:tcW w:w="312" w:type="pct"/>
            <w:tcBorders>
              <w:top w:val="nil"/>
              <w:left w:val="nil"/>
              <w:bottom w:val="nil"/>
              <w:right w:val="nil"/>
            </w:tcBorders>
            <w:shd w:val="clear" w:color="auto" w:fill="auto"/>
            <w:noWrap/>
            <w:vAlign w:val="bottom"/>
            <w:hideMark/>
          </w:tcPr>
          <w:p w14:paraId="05681D4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16.15%</w:t>
            </w:r>
          </w:p>
        </w:tc>
      </w:tr>
      <w:tr w:rsidR="001F4B9D" w:rsidRPr="001F4B9D" w14:paraId="4F48146D" w14:textId="77777777" w:rsidTr="001F4B9D">
        <w:trPr>
          <w:trHeight w:val="289"/>
        </w:trPr>
        <w:tc>
          <w:tcPr>
            <w:tcW w:w="1241" w:type="pct"/>
            <w:tcBorders>
              <w:top w:val="nil"/>
              <w:left w:val="nil"/>
              <w:bottom w:val="nil"/>
              <w:right w:val="nil"/>
            </w:tcBorders>
            <w:shd w:val="clear" w:color="auto" w:fill="auto"/>
            <w:noWrap/>
            <w:vAlign w:val="bottom"/>
            <w:hideMark/>
          </w:tcPr>
          <w:p w14:paraId="05533F79"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Mining, Construction and Chemicals</w:t>
            </w:r>
          </w:p>
        </w:tc>
        <w:tc>
          <w:tcPr>
            <w:tcW w:w="314" w:type="pct"/>
            <w:tcBorders>
              <w:top w:val="nil"/>
              <w:left w:val="nil"/>
              <w:bottom w:val="nil"/>
              <w:right w:val="nil"/>
            </w:tcBorders>
            <w:shd w:val="clear" w:color="auto" w:fill="auto"/>
            <w:noWrap/>
            <w:vAlign w:val="bottom"/>
            <w:hideMark/>
          </w:tcPr>
          <w:p w14:paraId="65B6B1E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11.19%</w:t>
            </w:r>
          </w:p>
        </w:tc>
        <w:tc>
          <w:tcPr>
            <w:tcW w:w="312" w:type="pct"/>
            <w:tcBorders>
              <w:top w:val="nil"/>
              <w:left w:val="nil"/>
              <w:bottom w:val="nil"/>
              <w:right w:val="nil"/>
            </w:tcBorders>
            <w:shd w:val="clear" w:color="auto" w:fill="auto"/>
            <w:noWrap/>
            <w:vAlign w:val="bottom"/>
            <w:hideMark/>
          </w:tcPr>
          <w:p w14:paraId="2CD4374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20.85%</w:t>
            </w:r>
          </w:p>
        </w:tc>
        <w:tc>
          <w:tcPr>
            <w:tcW w:w="314" w:type="pct"/>
            <w:tcBorders>
              <w:top w:val="nil"/>
              <w:left w:val="nil"/>
              <w:bottom w:val="nil"/>
              <w:right w:val="nil"/>
            </w:tcBorders>
            <w:shd w:val="clear" w:color="auto" w:fill="auto"/>
            <w:noWrap/>
            <w:vAlign w:val="bottom"/>
            <w:hideMark/>
          </w:tcPr>
          <w:p w14:paraId="6458528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15.89%</w:t>
            </w:r>
          </w:p>
        </w:tc>
        <w:tc>
          <w:tcPr>
            <w:tcW w:w="312" w:type="pct"/>
            <w:tcBorders>
              <w:top w:val="nil"/>
              <w:left w:val="nil"/>
              <w:bottom w:val="nil"/>
              <w:right w:val="nil"/>
            </w:tcBorders>
            <w:shd w:val="clear" w:color="auto" w:fill="auto"/>
            <w:noWrap/>
            <w:vAlign w:val="bottom"/>
            <w:hideMark/>
          </w:tcPr>
          <w:p w14:paraId="2B634C2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11.42%</w:t>
            </w:r>
          </w:p>
        </w:tc>
        <w:tc>
          <w:tcPr>
            <w:tcW w:w="314" w:type="pct"/>
            <w:tcBorders>
              <w:top w:val="nil"/>
              <w:left w:val="nil"/>
              <w:bottom w:val="nil"/>
              <w:right w:val="nil"/>
            </w:tcBorders>
            <w:shd w:val="clear" w:color="auto" w:fill="auto"/>
            <w:noWrap/>
            <w:vAlign w:val="bottom"/>
            <w:hideMark/>
          </w:tcPr>
          <w:p w14:paraId="1B6C593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20.11%</w:t>
            </w:r>
          </w:p>
        </w:tc>
        <w:tc>
          <w:tcPr>
            <w:tcW w:w="312" w:type="pct"/>
            <w:tcBorders>
              <w:top w:val="nil"/>
              <w:left w:val="nil"/>
              <w:bottom w:val="nil"/>
              <w:right w:val="nil"/>
            </w:tcBorders>
            <w:shd w:val="clear" w:color="auto" w:fill="auto"/>
            <w:noWrap/>
            <w:vAlign w:val="bottom"/>
            <w:hideMark/>
          </w:tcPr>
          <w:p w14:paraId="26A77AE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16.96%</w:t>
            </w:r>
          </w:p>
        </w:tc>
        <w:tc>
          <w:tcPr>
            <w:tcW w:w="314" w:type="pct"/>
            <w:tcBorders>
              <w:top w:val="nil"/>
              <w:left w:val="nil"/>
              <w:bottom w:val="nil"/>
              <w:right w:val="nil"/>
            </w:tcBorders>
            <w:shd w:val="clear" w:color="auto" w:fill="auto"/>
            <w:noWrap/>
            <w:vAlign w:val="bottom"/>
            <w:hideMark/>
          </w:tcPr>
          <w:p w14:paraId="0222EDA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15.29%</w:t>
            </w:r>
          </w:p>
        </w:tc>
        <w:tc>
          <w:tcPr>
            <w:tcW w:w="312" w:type="pct"/>
            <w:tcBorders>
              <w:top w:val="nil"/>
              <w:left w:val="nil"/>
              <w:bottom w:val="nil"/>
              <w:right w:val="nil"/>
            </w:tcBorders>
            <w:shd w:val="clear" w:color="auto" w:fill="auto"/>
            <w:noWrap/>
            <w:vAlign w:val="bottom"/>
            <w:hideMark/>
          </w:tcPr>
          <w:p w14:paraId="1103CB3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8.89%</w:t>
            </w:r>
          </w:p>
        </w:tc>
        <w:tc>
          <w:tcPr>
            <w:tcW w:w="314" w:type="pct"/>
            <w:tcBorders>
              <w:top w:val="nil"/>
              <w:left w:val="nil"/>
              <w:bottom w:val="nil"/>
              <w:right w:val="nil"/>
            </w:tcBorders>
            <w:shd w:val="clear" w:color="auto" w:fill="auto"/>
            <w:noWrap/>
            <w:vAlign w:val="bottom"/>
            <w:hideMark/>
          </w:tcPr>
          <w:p w14:paraId="599751D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16.00%</w:t>
            </w:r>
          </w:p>
        </w:tc>
        <w:tc>
          <w:tcPr>
            <w:tcW w:w="312" w:type="pct"/>
            <w:tcBorders>
              <w:top w:val="nil"/>
              <w:left w:val="nil"/>
              <w:bottom w:val="nil"/>
              <w:right w:val="nil"/>
            </w:tcBorders>
            <w:shd w:val="clear" w:color="auto" w:fill="auto"/>
            <w:noWrap/>
            <w:vAlign w:val="bottom"/>
            <w:hideMark/>
          </w:tcPr>
          <w:p w14:paraId="1D2AE48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8.11%</w:t>
            </w:r>
          </w:p>
        </w:tc>
        <w:tc>
          <w:tcPr>
            <w:tcW w:w="314" w:type="pct"/>
            <w:tcBorders>
              <w:top w:val="nil"/>
              <w:left w:val="nil"/>
              <w:bottom w:val="nil"/>
              <w:right w:val="nil"/>
            </w:tcBorders>
            <w:shd w:val="clear" w:color="auto" w:fill="auto"/>
            <w:noWrap/>
            <w:vAlign w:val="bottom"/>
            <w:hideMark/>
          </w:tcPr>
          <w:p w14:paraId="118D862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9.36%</w:t>
            </w:r>
          </w:p>
        </w:tc>
        <w:tc>
          <w:tcPr>
            <w:tcW w:w="312" w:type="pct"/>
            <w:tcBorders>
              <w:top w:val="nil"/>
              <w:left w:val="nil"/>
              <w:bottom w:val="nil"/>
              <w:right w:val="nil"/>
            </w:tcBorders>
            <w:shd w:val="clear" w:color="auto" w:fill="auto"/>
            <w:noWrap/>
            <w:vAlign w:val="bottom"/>
            <w:hideMark/>
          </w:tcPr>
          <w:p w14:paraId="7D5F623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6.67%</w:t>
            </w:r>
          </w:p>
        </w:tc>
      </w:tr>
      <w:tr w:rsidR="001F4B9D" w:rsidRPr="001F4B9D" w14:paraId="1325B78E" w14:textId="77777777" w:rsidTr="001F4B9D">
        <w:trPr>
          <w:trHeight w:val="289"/>
        </w:trPr>
        <w:tc>
          <w:tcPr>
            <w:tcW w:w="1241" w:type="pct"/>
            <w:tcBorders>
              <w:top w:val="nil"/>
              <w:left w:val="nil"/>
              <w:bottom w:val="nil"/>
              <w:right w:val="nil"/>
            </w:tcBorders>
            <w:shd w:val="clear" w:color="auto" w:fill="auto"/>
            <w:noWrap/>
            <w:vAlign w:val="bottom"/>
            <w:hideMark/>
          </w:tcPr>
          <w:p w14:paraId="1B446CD8"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Wholesale and Retail</w:t>
            </w:r>
          </w:p>
        </w:tc>
        <w:tc>
          <w:tcPr>
            <w:tcW w:w="314" w:type="pct"/>
            <w:tcBorders>
              <w:top w:val="nil"/>
              <w:left w:val="nil"/>
              <w:bottom w:val="nil"/>
              <w:right w:val="nil"/>
            </w:tcBorders>
            <w:shd w:val="clear" w:color="auto" w:fill="auto"/>
            <w:noWrap/>
            <w:vAlign w:val="bottom"/>
            <w:hideMark/>
          </w:tcPr>
          <w:p w14:paraId="2B106CBE"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37.34%</w:t>
            </w:r>
          </w:p>
        </w:tc>
        <w:tc>
          <w:tcPr>
            <w:tcW w:w="312" w:type="pct"/>
            <w:tcBorders>
              <w:top w:val="nil"/>
              <w:left w:val="nil"/>
              <w:bottom w:val="nil"/>
              <w:right w:val="nil"/>
            </w:tcBorders>
            <w:shd w:val="clear" w:color="auto" w:fill="auto"/>
            <w:noWrap/>
            <w:vAlign w:val="bottom"/>
            <w:hideMark/>
          </w:tcPr>
          <w:p w14:paraId="3028796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17.27%</w:t>
            </w:r>
          </w:p>
        </w:tc>
        <w:tc>
          <w:tcPr>
            <w:tcW w:w="314" w:type="pct"/>
            <w:tcBorders>
              <w:top w:val="nil"/>
              <w:left w:val="nil"/>
              <w:bottom w:val="nil"/>
              <w:right w:val="nil"/>
            </w:tcBorders>
            <w:shd w:val="clear" w:color="auto" w:fill="auto"/>
            <w:noWrap/>
            <w:vAlign w:val="bottom"/>
            <w:hideMark/>
          </w:tcPr>
          <w:p w14:paraId="1BC76AF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41.11%</w:t>
            </w:r>
          </w:p>
        </w:tc>
        <w:tc>
          <w:tcPr>
            <w:tcW w:w="312" w:type="pct"/>
            <w:tcBorders>
              <w:top w:val="nil"/>
              <w:left w:val="nil"/>
              <w:bottom w:val="nil"/>
              <w:right w:val="nil"/>
            </w:tcBorders>
            <w:shd w:val="clear" w:color="auto" w:fill="auto"/>
            <w:noWrap/>
            <w:vAlign w:val="bottom"/>
            <w:hideMark/>
          </w:tcPr>
          <w:p w14:paraId="4C5E94A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19.78%</w:t>
            </w:r>
          </w:p>
        </w:tc>
        <w:tc>
          <w:tcPr>
            <w:tcW w:w="314" w:type="pct"/>
            <w:tcBorders>
              <w:top w:val="nil"/>
              <w:left w:val="nil"/>
              <w:bottom w:val="nil"/>
              <w:right w:val="nil"/>
            </w:tcBorders>
            <w:shd w:val="clear" w:color="auto" w:fill="auto"/>
            <w:noWrap/>
            <w:vAlign w:val="bottom"/>
            <w:hideMark/>
          </w:tcPr>
          <w:p w14:paraId="637A13E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21.27%</w:t>
            </w:r>
          </w:p>
        </w:tc>
        <w:tc>
          <w:tcPr>
            <w:tcW w:w="312" w:type="pct"/>
            <w:tcBorders>
              <w:top w:val="nil"/>
              <w:left w:val="nil"/>
              <w:bottom w:val="nil"/>
              <w:right w:val="nil"/>
            </w:tcBorders>
            <w:shd w:val="clear" w:color="auto" w:fill="auto"/>
            <w:noWrap/>
            <w:vAlign w:val="bottom"/>
            <w:hideMark/>
          </w:tcPr>
          <w:p w14:paraId="5D5B409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27.16%</w:t>
            </w:r>
          </w:p>
        </w:tc>
        <w:tc>
          <w:tcPr>
            <w:tcW w:w="314" w:type="pct"/>
            <w:tcBorders>
              <w:top w:val="nil"/>
              <w:left w:val="nil"/>
              <w:bottom w:val="nil"/>
              <w:right w:val="nil"/>
            </w:tcBorders>
            <w:shd w:val="clear" w:color="auto" w:fill="auto"/>
            <w:noWrap/>
            <w:vAlign w:val="bottom"/>
            <w:hideMark/>
          </w:tcPr>
          <w:p w14:paraId="10C9C45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40.06%</w:t>
            </w:r>
          </w:p>
        </w:tc>
        <w:tc>
          <w:tcPr>
            <w:tcW w:w="312" w:type="pct"/>
            <w:tcBorders>
              <w:top w:val="nil"/>
              <w:left w:val="nil"/>
              <w:bottom w:val="nil"/>
              <w:right w:val="nil"/>
            </w:tcBorders>
            <w:shd w:val="clear" w:color="auto" w:fill="auto"/>
            <w:noWrap/>
            <w:vAlign w:val="bottom"/>
            <w:hideMark/>
          </w:tcPr>
          <w:p w14:paraId="277EDFA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36.97%</w:t>
            </w:r>
          </w:p>
        </w:tc>
        <w:tc>
          <w:tcPr>
            <w:tcW w:w="314" w:type="pct"/>
            <w:tcBorders>
              <w:top w:val="nil"/>
              <w:left w:val="nil"/>
              <w:bottom w:val="nil"/>
              <w:right w:val="nil"/>
            </w:tcBorders>
            <w:shd w:val="clear" w:color="auto" w:fill="auto"/>
            <w:noWrap/>
            <w:vAlign w:val="bottom"/>
            <w:hideMark/>
          </w:tcPr>
          <w:p w14:paraId="4956E88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37.13%</w:t>
            </w:r>
          </w:p>
        </w:tc>
        <w:tc>
          <w:tcPr>
            <w:tcW w:w="312" w:type="pct"/>
            <w:tcBorders>
              <w:top w:val="nil"/>
              <w:left w:val="nil"/>
              <w:bottom w:val="nil"/>
              <w:right w:val="nil"/>
            </w:tcBorders>
            <w:shd w:val="clear" w:color="auto" w:fill="auto"/>
            <w:noWrap/>
            <w:vAlign w:val="bottom"/>
            <w:hideMark/>
          </w:tcPr>
          <w:p w14:paraId="26235B3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37.52%</w:t>
            </w:r>
          </w:p>
        </w:tc>
        <w:tc>
          <w:tcPr>
            <w:tcW w:w="314" w:type="pct"/>
            <w:tcBorders>
              <w:top w:val="nil"/>
              <w:left w:val="nil"/>
              <w:bottom w:val="nil"/>
              <w:right w:val="nil"/>
            </w:tcBorders>
            <w:shd w:val="clear" w:color="auto" w:fill="auto"/>
            <w:noWrap/>
            <w:vAlign w:val="bottom"/>
            <w:hideMark/>
          </w:tcPr>
          <w:p w14:paraId="356FDE9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46.19%</w:t>
            </w:r>
          </w:p>
        </w:tc>
        <w:tc>
          <w:tcPr>
            <w:tcW w:w="312" w:type="pct"/>
            <w:tcBorders>
              <w:top w:val="nil"/>
              <w:left w:val="nil"/>
              <w:bottom w:val="nil"/>
              <w:right w:val="nil"/>
            </w:tcBorders>
            <w:shd w:val="clear" w:color="auto" w:fill="auto"/>
            <w:noWrap/>
            <w:vAlign w:val="bottom"/>
            <w:hideMark/>
          </w:tcPr>
          <w:p w14:paraId="1FBC3AB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46.33%</w:t>
            </w:r>
          </w:p>
        </w:tc>
      </w:tr>
      <w:tr w:rsidR="001F4B9D" w:rsidRPr="001F4B9D" w14:paraId="26ADB8C5" w14:textId="77777777" w:rsidTr="001F4B9D">
        <w:trPr>
          <w:trHeight w:val="289"/>
        </w:trPr>
        <w:tc>
          <w:tcPr>
            <w:tcW w:w="1241" w:type="pct"/>
            <w:tcBorders>
              <w:top w:val="nil"/>
              <w:left w:val="nil"/>
              <w:bottom w:val="nil"/>
              <w:right w:val="nil"/>
            </w:tcBorders>
            <w:shd w:val="clear" w:color="auto" w:fill="auto"/>
            <w:noWrap/>
            <w:vAlign w:val="bottom"/>
            <w:hideMark/>
          </w:tcPr>
          <w:p w14:paraId="28FF8F17"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lastRenderedPageBreak/>
              <w:t>Services</w:t>
            </w:r>
          </w:p>
        </w:tc>
        <w:tc>
          <w:tcPr>
            <w:tcW w:w="314" w:type="pct"/>
            <w:tcBorders>
              <w:top w:val="nil"/>
              <w:left w:val="nil"/>
              <w:bottom w:val="nil"/>
              <w:right w:val="nil"/>
            </w:tcBorders>
            <w:shd w:val="clear" w:color="auto" w:fill="auto"/>
            <w:noWrap/>
            <w:vAlign w:val="bottom"/>
            <w:hideMark/>
          </w:tcPr>
          <w:p w14:paraId="6F212A4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7.24%</w:t>
            </w:r>
          </w:p>
        </w:tc>
        <w:tc>
          <w:tcPr>
            <w:tcW w:w="312" w:type="pct"/>
            <w:tcBorders>
              <w:top w:val="nil"/>
              <w:left w:val="nil"/>
              <w:bottom w:val="nil"/>
              <w:right w:val="nil"/>
            </w:tcBorders>
            <w:shd w:val="clear" w:color="auto" w:fill="auto"/>
            <w:noWrap/>
            <w:vAlign w:val="bottom"/>
            <w:hideMark/>
          </w:tcPr>
          <w:p w14:paraId="666036EA"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11.19%</w:t>
            </w:r>
          </w:p>
        </w:tc>
        <w:tc>
          <w:tcPr>
            <w:tcW w:w="314" w:type="pct"/>
            <w:tcBorders>
              <w:top w:val="nil"/>
              <w:left w:val="nil"/>
              <w:bottom w:val="nil"/>
              <w:right w:val="nil"/>
            </w:tcBorders>
            <w:shd w:val="clear" w:color="auto" w:fill="auto"/>
            <w:noWrap/>
            <w:vAlign w:val="bottom"/>
            <w:hideMark/>
          </w:tcPr>
          <w:p w14:paraId="1427ADB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10.47%</w:t>
            </w:r>
          </w:p>
        </w:tc>
        <w:tc>
          <w:tcPr>
            <w:tcW w:w="312" w:type="pct"/>
            <w:tcBorders>
              <w:top w:val="nil"/>
              <w:left w:val="nil"/>
              <w:bottom w:val="nil"/>
              <w:right w:val="nil"/>
            </w:tcBorders>
            <w:shd w:val="clear" w:color="auto" w:fill="auto"/>
            <w:noWrap/>
            <w:vAlign w:val="bottom"/>
            <w:hideMark/>
          </w:tcPr>
          <w:p w14:paraId="513FFEE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13.25%</w:t>
            </w:r>
          </w:p>
        </w:tc>
        <w:tc>
          <w:tcPr>
            <w:tcW w:w="314" w:type="pct"/>
            <w:tcBorders>
              <w:top w:val="nil"/>
              <w:left w:val="nil"/>
              <w:bottom w:val="nil"/>
              <w:right w:val="nil"/>
            </w:tcBorders>
            <w:shd w:val="clear" w:color="auto" w:fill="auto"/>
            <w:noWrap/>
            <w:vAlign w:val="bottom"/>
            <w:hideMark/>
          </w:tcPr>
          <w:p w14:paraId="1F21B676"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15.20%</w:t>
            </w:r>
          </w:p>
        </w:tc>
        <w:tc>
          <w:tcPr>
            <w:tcW w:w="312" w:type="pct"/>
            <w:tcBorders>
              <w:top w:val="nil"/>
              <w:left w:val="nil"/>
              <w:bottom w:val="nil"/>
              <w:right w:val="nil"/>
            </w:tcBorders>
            <w:shd w:val="clear" w:color="auto" w:fill="auto"/>
            <w:noWrap/>
            <w:vAlign w:val="bottom"/>
            <w:hideMark/>
          </w:tcPr>
          <w:p w14:paraId="6B61939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3.46%</w:t>
            </w:r>
          </w:p>
        </w:tc>
        <w:tc>
          <w:tcPr>
            <w:tcW w:w="314" w:type="pct"/>
            <w:tcBorders>
              <w:top w:val="nil"/>
              <w:left w:val="nil"/>
              <w:bottom w:val="nil"/>
              <w:right w:val="nil"/>
            </w:tcBorders>
            <w:shd w:val="clear" w:color="auto" w:fill="auto"/>
            <w:noWrap/>
            <w:vAlign w:val="bottom"/>
            <w:hideMark/>
          </w:tcPr>
          <w:p w14:paraId="19684068"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8.36%</w:t>
            </w:r>
          </w:p>
        </w:tc>
        <w:tc>
          <w:tcPr>
            <w:tcW w:w="312" w:type="pct"/>
            <w:tcBorders>
              <w:top w:val="nil"/>
              <w:left w:val="nil"/>
              <w:bottom w:val="nil"/>
              <w:right w:val="nil"/>
            </w:tcBorders>
            <w:shd w:val="clear" w:color="auto" w:fill="auto"/>
            <w:noWrap/>
            <w:vAlign w:val="bottom"/>
            <w:hideMark/>
          </w:tcPr>
          <w:p w14:paraId="4F7B97F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8.20%</w:t>
            </w:r>
          </w:p>
        </w:tc>
        <w:tc>
          <w:tcPr>
            <w:tcW w:w="314" w:type="pct"/>
            <w:tcBorders>
              <w:top w:val="nil"/>
              <w:left w:val="nil"/>
              <w:bottom w:val="nil"/>
              <w:right w:val="nil"/>
            </w:tcBorders>
            <w:shd w:val="clear" w:color="auto" w:fill="auto"/>
            <w:noWrap/>
            <w:vAlign w:val="bottom"/>
            <w:hideMark/>
          </w:tcPr>
          <w:p w14:paraId="5380E14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7.55%</w:t>
            </w:r>
          </w:p>
        </w:tc>
        <w:tc>
          <w:tcPr>
            <w:tcW w:w="312" w:type="pct"/>
            <w:tcBorders>
              <w:top w:val="nil"/>
              <w:left w:val="nil"/>
              <w:bottom w:val="nil"/>
              <w:right w:val="nil"/>
            </w:tcBorders>
            <w:shd w:val="clear" w:color="auto" w:fill="auto"/>
            <w:noWrap/>
            <w:vAlign w:val="bottom"/>
            <w:hideMark/>
          </w:tcPr>
          <w:p w14:paraId="12501E4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3.14%</w:t>
            </w:r>
          </w:p>
        </w:tc>
        <w:tc>
          <w:tcPr>
            <w:tcW w:w="314" w:type="pct"/>
            <w:tcBorders>
              <w:top w:val="nil"/>
              <w:left w:val="nil"/>
              <w:bottom w:val="nil"/>
              <w:right w:val="nil"/>
            </w:tcBorders>
            <w:shd w:val="clear" w:color="auto" w:fill="auto"/>
            <w:noWrap/>
            <w:vAlign w:val="bottom"/>
            <w:hideMark/>
          </w:tcPr>
          <w:p w14:paraId="26A5E1A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1.16%</w:t>
            </w:r>
          </w:p>
        </w:tc>
        <w:tc>
          <w:tcPr>
            <w:tcW w:w="312" w:type="pct"/>
            <w:tcBorders>
              <w:top w:val="nil"/>
              <w:left w:val="nil"/>
              <w:bottom w:val="nil"/>
              <w:right w:val="nil"/>
            </w:tcBorders>
            <w:shd w:val="clear" w:color="auto" w:fill="auto"/>
            <w:noWrap/>
            <w:vAlign w:val="bottom"/>
            <w:hideMark/>
          </w:tcPr>
          <w:p w14:paraId="44CDCFE7"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4.10%</w:t>
            </w:r>
          </w:p>
        </w:tc>
      </w:tr>
      <w:tr w:rsidR="001F4B9D" w:rsidRPr="001F4B9D" w14:paraId="3A626155" w14:textId="77777777" w:rsidTr="001F4B9D">
        <w:trPr>
          <w:trHeight w:val="289"/>
        </w:trPr>
        <w:tc>
          <w:tcPr>
            <w:tcW w:w="1241" w:type="pct"/>
            <w:tcBorders>
              <w:top w:val="nil"/>
              <w:left w:val="nil"/>
              <w:bottom w:val="nil"/>
              <w:right w:val="nil"/>
            </w:tcBorders>
            <w:shd w:val="clear" w:color="auto" w:fill="auto"/>
            <w:noWrap/>
            <w:vAlign w:val="bottom"/>
            <w:hideMark/>
          </w:tcPr>
          <w:p w14:paraId="71962DF6"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R2</w:t>
            </w:r>
          </w:p>
        </w:tc>
        <w:tc>
          <w:tcPr>
            <w:tcW w:w="314" w:type="pct"/>
            <w:tcBorders>
              <w:top w:val="nil"/>
              <w:left w:val="nil"/>
              <w:bottom w:val="nil"/>
              <w:right w:val="nil"/>
            </w:tcBorders>
            <w:shd w:val="clear" w:color="auto" w:fill="auto"/>
            <w:noWrap/>
            <w:vAlign w:val="bottom"/>
            <w:hideMark/>
          </w:tcPr>
          <w:p w14:paraId="296E32C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0.8976</w:t>
            </w:r>
          </w:p>
        </w:tc>
        <w:tc>
          <w:tcPr>
            <w:tcW w:w="312" w:type="pct"/>
            <w:tcBorders>
              <w:top w:val="nil"/>
              <w:left w:val="nil"/>
              <w:bottom w:val="nil"/>
              <w:right w:val="nil"/>
            </w:tcBorders>
            <w:shd w:val="clear" w:color="auto" w:fill="auto"/>
            <w:noWrap/>
            <w:vAlign w:val="bottom"/>
            <w:hideMark/>
          </w:tcPr>
          <w:p w14:paraId="039DB74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0.8601</w:t>
            </w:r>
          </w:p>
        </w:tc>
        <w:tc>
          <w:tcPr>
            <w:tcW w:w="314" w:type="pct"/>
            <w:tcBorders>
              <w:top w:val="nil"/>
              <w:left w:val="nil"/>
              <w:bottom w:val="nil"/>
              <w:right w:val="nil"/>
            </w:tcBorders>
            <w:shd w:val="clear" w:color="auto" w:fill="auto"/>
            <w:noWrap/>
            <w:vAlign w:val="bottom"/>
            <w:hideMark/>
          </w:tcPr>
          <w:p w14:paraId="548E171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0.864</w:t>
            </w:r>
          </w:p>
        </w:tc>
        <w:tc>
          <w:tcPr>
            <w:tcW w:w="312" w:type="pct"/>
            <w:tcBorders>
              <w:top w:val="nil"/>
              <w:left w:val="nil"/>
              <w:bottom w:val="nil"/>
              <w:right w:val="nil"/>
            </w:tcBorders>
            <w:shd w:val="clear" w:color="auto" w:fill="auto"/>
            <w:noWrap/>
            <w:vAlign w:val="bottom"/>
            <w:hideMark/>
          </w:tcPr>
          <w:p w14:paraId="6A18621C"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0.9264</w:t>
            </w:r>
          </w:p>
        </w:tc>
        <w:tc>
          <w:tcPr>
            <w:tcW w:w="314" w:type="pct"/>
            <w:tcBorders>
              <w:top w:val="nil"/>
              <w:left w:val="nil"/>
              <w:bottom w:val="nil"/>
              <w:right w:val="nil"/>
            </w:tcBorders>
            <w:shd w:val="clear" w:color="auto" w:fill="auto"/>
            <w:noWrap/>
            <w:vAlign w:val="bottom"/>
            <w:hideMark/>
          </w:tcPr>
          <w:p w14:paraId="4478B21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0.8697</w:t>
            </w:r>
          </w:p>
        </w:tc>
        <w:tc>
          <w:tcPr>
            <w:tcW w:w="312" w:type="pct"/>
            <w:tcBorders>
              <w:top w:val="nil"/>
              <w:left w:val="nil"/>
              <w:bottom w:val="nil"/>
              <w:right w:val="nil"/>
            </w:tcBorders>
            <w:shd w:val="clear" w:color="auto" w:fill="auto"/>
            <w:noWrap/>
            <w:vAlign w:val="bottom"/>
            <w:hideMark/>
          </w:tcPr>
          <w:p w14:paraId="65545DF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0.8594</w:t>
            </w:r>
          </w:p>
        </w:tc>
        <w:tc>
          <w:tcPr>
            <w:tcW w:w="314" w:type="pct"/>
            <w:tcBorders>
              <w:top w:val="nil"/>
              <w:left w:val="nil"/>
              <w:bottom w:val="nil"/>
              <w:right w:val="nil"/>
            </w:tcBorders>
            <w:shd w:val="clear" w:color="auto" w:fill="auto"/>
            <w:noWrap/>
            <w:vAlign w:val="bottom"/>
            <w:hideMark/>
          </w:tcPr>
          <w:p w14:paraId="70A4B4A0"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0.839</w:t>
            </w:r>
          </w:p>
        </w:tc>
        <w:tc>
          <w:tcPr>
            <w:tcW w:w="312" w:type="pct"/>
            <w:tcBorders>
              <w:top w:val="nil"/>
              <w:left w:val="nil"/>
              <w:bottom w:val="nil"/>
              <w:right w:val="nil"/>
            </w:tcBorders>
            <w:shd w:val="clear" w:color="auto" w:fill="auto"/>
            <w:noWrap/>
            <w:vAlign w:val="bottom"/>
            <w:hideMark/>
          </w:tcPr>
          <w:p w14:paraId="79B2424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0.8572</w:t>
            </w:r>
          </w:p>
        </w:tc>
        <w:tc>
          <w:tcPr>
            <w:tcW w:w="314" w:type="pct"/>
            <w:tcBorders>
              <w:top w:val="nil"/>
              <w:left w:val="nil"/>
              <w:bottom w:val="nil"/>
              <w:right w:val="nil"/>
            </w:tcBorders>
            <w:shd w:val="clear" w:color="auto" w:fill="auto"/>
            <w:noWrap/>
            <w:vAlign w:val="bottom"/>
            <w:hideMark/>
          </w:tcPr>
          <w:p w14:paraId="46A67EA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0.8802</w:t>
            </w:r>
          </w:p>
        </w:tc>
        <w:tc>
          <w:tcPr>
            <w:tcW w:w="312" w:type="pct"/>
            <w:tcBorders>
              <w:top w:val="nil"/>
              <w:left w:val="nil"/>
              <w:bottom w:val="nil"/>
              <w:right w:val="nil"/>
            </w:tcBorders>
            <w:shd w:val="clear" w:color="auto" w:fill="auto"/>
            <w:noWrap/>
            <w:vAlign w:val="bottom"/>
            <w:hideMark/>
          </w:tcPr>
          <w:p w14:paraId="7C54CDA9"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0.8582</w:t>
            </w:r>
          </w:p>
        </w:tc>
        <w:tc>
          <w:tcPr>
            <w:tcW w:w="314" w:type="pct"/>
            <w:tcBorders>
              <w:top w:val="nil"/>
              <w:left w:val="nil"/>
              <w:bottom w:val="nil"/>
              <w:right w:val="nil"/>
            </w:tcBorders>
            <w:shd w:val="clear" w:color="auto" w:fill="auto"/>
            <w:noWrap/>
            <w:vAlign w:val="bottom"/>
            <w:hideMark/>
          </w:tcPr>
          <w:p w14:paraId="5C62D12B"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0.9134</w:t>
            </w:r>
          </w:p>
        </w:tc>
        <w:tc>
          <w:tcPr>
            <w:tcW w:w="312" w:type="pct"/>
            <w:tcBorders>
              <w:top w:val="nil"/>
              <w:left w:val="nil"/>
              <w:bottom w:val="nil"/>
              <w:right w:val="nil"/>
            </w:tcBorders>
            <w:shd w:val="clear" w:color="auto" w:fill="auto"/>
            <w:noWrap/>
            <w:vAlign w:val="bottom"/>
            <w:hideMark/>
          </w:tcPr>
          <w:p w14:paraId="55FF335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0.9046</w:t>
            </w:r>
          </w:p>
        </w:tc>
      </w:tr>
      <w:tr w:rsidR="001F4B9D" w:rsidRPr="001F4B9D" w14:paraId="451074B0" w14:textId="77777777" w:rsidTr="001F4B9D">
        <w:trPr>
          <w:trHeight w:val="289"/>
        </w:trPr>
        <w:tc>
          <w:tcPr>
            <w:tcW w:w="1241" w:type="pct"/>
            <w:tcBorders>
              <w:top w:val="nil"/>
              <w:left w:val="nil"/>
              <w:bottom w:val="single" w:sz="4" w:space="0" w:color="auto"/>
              <w:right w:val="nil"/>
            </w:tcBorders>
            <w:shd w:val="clear" w:color="auto" w:fill="auto"/>
            <w:noWrap/>
            <w:vAlign w:val="bottom"/>
            <w:hideMark/>
          </w:tcPr>
          <w:p w14:paraId="6B3CDEF4" w14:textId="77777777" w:rsidR="001F4B9D" w:rsidRPr="001F4B9D" w:rsidRDefault="001F4B9D" w:rsidP="00CD0BBE">
            <w:pPr>
              <w:spacing w:after="0" w:line="240" w:lineRule="auto"/>
              <w:rPr>
                <w:rFonts w:ascii="Times New Roman" w:eastAsia="Times New Roman" w:hAnsi="Times New Roman" w:cs="Times New Roman"/>
                <w:color w:val="000000"/>
                <w:lang w:eastAsia="en-GB"/>
              </w:rPr>
            </w:pPr>
            <w:r w:rsidRPr="001F4B9D">
              <w:rPr>
                <w:rFonts w:ascii="Times New Roman" w:eastAsia="Times New Roman" w:hAnsi="Times New Roman" w:cs="Times New Roman"/>
                <w:color w:val="000000"/>
                <w:lang w:eastAsia="en-GB"/>
              </w:rPr>
              <w:t>Tracking Error</w:t>
            </w:r>
          </w:p>
        </w:tc>
        <w:tc>
          <w:tcPr>
            <w:tcW w:w="314" w:type="pct"/>
            <w:tcBorders>
              <w:top w:val="nil"/>
              <w:left w:val="nil"/>
              <w:bottom w:val="single" w:sz="4" w:space="0" w:color="auto"/>
              <w:right w:val="nil"/>
            </w:tcBorders>
            <w:shd w:val="clear" w:color="auto" w:fill="auto"/>
            <w:noWrap/>
            <w:vAlign w:val="bottom"/>
            <w:hideMark/>
          </w:tcPr>
          <w:p w14:paraId="1942381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0.43%</w:t>
            </w:r>
          </w:p>
        </w:tc>
        <w:tc>
          <w:tcPr>
            <w:tcW w:w="312" w:type="pct"/>
            <w:tcBorders>
              <w:top w:val="nil"/>
              <w:left w:val="nil"/>
              <w:bottom w:val="single" w:sz="4" w:space="0" w:color="auto"/>
              <w:right w:val="nil"/>
            </w:tcBorders>
            <w:shd w:val="clear" w:color="auto" w:fill="auto"/>
            <w:noWrap/>
            <w:vAlign w:val="bottom"/>
            <w:hideMark/>
          </w:tcPr>
          <w:p w14:paraId="1C6FABF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0.47%</w:t>
            </w:r>
          </w:p>
        </w:tc>
        <w:tc>
          <w:tcPr>
            <w:tcW w:w="314" w:type="pct"/>
            <w:tcBorders>
              <w:top w:val="nil"/>
              <w:left w:val="nil"/>
              <w:bottom w:val="single" w:sz="4" w:space="0" w:color="auto"/>
              <w:right w:val="nil"/>
            </w:tcBorders>
            <w:shd w:val="clear" w:color="auto" w:fill="auto"/>
            <w:noWrap/>
            <w:vAlign w:val="bottom"/>
            <w:hideMark/>
          </w:tcPr>
          <w:p w14:paraId="03241C9D"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0.35%</w:t>
            </w:r>
          </w:p>
        </w:tc>
        <w:tc>
          <w:tcPr>
            <w:tcW w:w="312" w:type="pct"/>
            <w:tcBorders>
              <w:top w:val="nil"/>
              <w:left w:val="nil"/>
              <w:bottom w:val="single" w:sz="4" w:space="0" w:color="auto"/>
              <w:right w:val="nil"/>
            </w:tcBorders>
            <w:shd w:val="clear" w:color="auto" w:fill="auto"/>
            <w:noWrap/>
            <w:vAlign w:val="bottom"/>
            <w:hideMark/>
          </w:tcPr>
          <w:p w14:paraId="1B6A614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0.83%</w:t>
            </w:r>
          </w:p>
        </w:tc>
        <w:tc>
          <w:tcPr>
            <w:tcW w:w="314" w:type="pct"/>
            <w:tcBorders>
              <w:top w:val="nil"/>
              <w:left w:val="nil"/>
              <w:bottom w:val="single" w:sz="4" w:space="0" w:color="auto"/>
              <w:right w:val="nil"/>
            </w:tcBorders>
            <w:shd w:val="clear" w:color="auto" w:fill="auto"/>
            <w:noWrap/>
            <w:vAlign w:val="bottom"/>
            <w:hideMark/>
          </w:tcPr>
          <w:p w14:paraId="5B224A5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0.76%</w:t>
            </w:r>
          </w:p>
        </w:tc>
        <w:tc>
          <w:tcPr>
            <w:tcW w:w="312" w:type="pct"/>
            <w:tcBorders>
              <w:top w:val="nil"/>
              <w:left w:val="nil"/>
              <w:bottom w:val="single" w:sz="4" w:space="0" w:color="auto"/>
              <w:right w:val="nil"/>
            </w:tcBorders>
            <w:shd w:val="clear" w:color="auto" w:fill="auto"/>
            <w:noWrap/>
            <w:vAlign w:val="bottom"/>
            <w:hideMark/>
          </w:tcPr>
          <w:p w14:paraId="4D89E36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0.82%</w:t>
            </w:r>
          </w:p>
        </w:tc>
        <w:tc>
          <w:tcPr>
            <w:tcW w:w="314" w:type="pct"/>
            <w:tcBorders>
              <w:top w:val="nil"/>
              <w:left w:val="nil"/>
              <w:bottom w:val="single" w:sz="4" w:space="0" w:color="auto"/>
              <w:right w:val="nil"/>
            </w:tcBorders>
            <w:shd w:val="clear" w:color="auto" w:fill="auto"/>
            <w:noWrap/>
            <w:vAlign w:val="bottom"/>
            <w:hideMark/>
          </w:tcPr>
          <w:p w14:paraId="3DE51E43"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0.62%</w:t>
            </w:r>
          </w:p>
        </w:tc>
        <w:tc>
          <w:tcPr>
            <w:tcW w:w="312" w:type="pct"/>
            <w:tcBorders>
              <w:top w:val="nil"/>
              <w:left w:val="nil"/>
              <w:bottom w:val="single" w:sz="4" w:space="0" w:color="auto"/>
              <w:right w:val="nil"/>
            </w:tcBorders>
            <w:shd w:val="clear" w:color="auto" w:fill="auto"/>
            <w:noWrap/>
            <w:vAlign w:val="bottom"/>
            <w:hideMark/>
          </w:tcPr>
          <w:p w14:paraId="19C6CD41"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0.76%</w:t>
            </w:r>
          </w:p>
        </w:tc>
        <w:tc>
          <w:tcPr>
            <w:tcW w:w="314" w:type="pct"/>
            <w:tcBorders>
              <w:top w:val="nil"/>
              <w:left w:val="nil"/>
              <w:bottom w:val="single" w:sz="4" w:space="0" w:color="auto"/>
              <w:right w:val="nil"/>
            </w:tcBorders>
            <w:shd w:val="clear" w:color="auto" w:fill="auto"/>
            <w:noWrap/>
            <w:vAlign w:val="bottom"/>
            <w:hideMark/>
          </w:tcPr>
          <w:p w14:paraId="7ABCF314"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0.47%</w:t>
            </w:r>
          </w:p>
        </w:tc>
        <w:tc>
          <w:tcPr>
            <w:tcW w:w="312" w:type="pct"/>
            <w:tcBorders>
              <w:top w:val="nil"/>
              <w:left w:val="nil"/>
              <w:bottom w:val="single" w:sz="4" w:space="0" w:color="auto"/>
              <w:right w:val="nil"/>
            </w:tcBorders>
            <w:shd w:val="clear" w:color="auto" w:fill="auto"/>
            <w:noWrap/>
            <w:vAlign w:val="bottom"/>
            <w:hideMark/>
          </w:tcPr>
          <w:p w14:paraId="3DC63682"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0.77%</w:t>
            </w:r>
          </w:p>
        </w:tc>
        <w:tc>
          <w:tcPr>
            <w:tcW w:w="314" w:type="pct"/>
            <w:tcBorders>
              <w:top w:val="nil"/>
              <w:left w:val="nil"/>
              <w:bottom w:val="single" w:sz="4" w:space="0" w:color="auto"/>
              <w:right w:val="nil"/>
            </w:tcBorders>
            <w:shd w:val="clear" w:color="auto" w:fill="auto"/>
            <w:noWrap/>
            <w:vAlign w:val="bottom"/>
            <w:hideMark/>
          </w:tcPr>
          <w:p w14:paraId="7825F6F5"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0.49%</w:t>
            </w:r>
          </w:p>
        </w:tc>
        <w:tc>
          <w:tcPr>
            <w:tcW w:w="312" w:type="pct"/>
            <w:tcBorders>
              <w:top w:val="nil"/>
              <w:left w:val="nil"/>
              <w:bottom w:val="single" w:sz="4" w:space="0" w:color="auto"/>
              <w:right w:val="nil"/>
            </w:tcBorders>
            <w:shd w:val="clear" w:color="auto" w:fill="auto"/>
            <w:noWrap/>
            <w:vAlign w:val="bottom"/>
            <w:hideMark/>
          </w:tcPr>
          <w:p w14:paraId="63801E1F" w14:textId="77777777" w:rsidR="001F4B9D" w:rsidRPr="001F4B9D" w:rsidRDefault="001F4B9D" w:rsidP="00CD0BBE">
            <w:pPr>
              <w:spacing w:after="0" w:line="240" w:lineRule="auto"/>
              <w:jc w:val="center"/>
              <w:rPr>
                <w:rFonts w:ascii="Times New Roman" w:eastAsia="Times New Roman" w:hAnsi="Times New Roman" w:cs="Times New Roman"/>
                <w:color w:val="000000"/>
                <w:sz w:val="18"/>
                <w:szCs w:val="18"/>
                <w:lang w:eastAsia="en-GB"/>
              </w:rPr>
            </w:pPr>
            <w:r w:rsidRPr="001F4B9D">
              <w:rPr>
                <w:rFonts w:ascii="Times New Roman" w:eastAsia="Times New Roman" w:hAnsi="Times New Roman" w:cs="Times New Roman"/>
                <w:color w:val="000000"/>
                <w:sz w:val="18"/>
                <w:szCs w:val="18"/>
                <w:lang w:eastAsia="en-GB"/>
              </w:rPr>
              <w:t>0.94%</w:t>
            </w:r>
          </w:p>
        </w:tc>
      </w:tr>
    </w:tbl>
    <w:p w14:paraId="23594D38" w14:textId="77777777" w:rsidR="001F4B9D" w:rsidRPr="001F4B9D" w:rsidRDefault="001F4B9D" w:rsidP="001F4B9D">
      <w:pPr>
        <w:rPr>
          <w:rFonts w:ascii="Times New Roman" w:hAnsi="Times New Roman" w:cs="Times New Roman"/>
          <w:sz w:val="18"/>
          <w:szCs w:val="18"/>
        </w:rPr>
      </w:pPr>
    </w:p>
    <w:p w14:paraId="33F4298C" w14:textId="77777777" w:rsidR="001F4B9D" w:rsidRPr="00663DE1" w:rsidRDefault="001F4B9D" w:rsidP="001F4B9D">
      <w:pPr>
        <w:rPr>
          <w:rFonts w:ascii="Times New Roman" w:hAnsi="Times New Roman" w:cs="Times New Roman"/>
        </w:rPr>
      </w:pPr>
    </w:p>
    <w:p w14:paraId="7C8B029C" w14:textId="77777777" w:rsidR="001F4B9D" w:rsidRPr="00663DE1" w:rsidRDefault="001F4B9D" w:rsidP="001F4B9D">
      <w:pPr>
        <w:rPr>
          <w:rFonts w:ascii="Times New Roman" w:hAnsi="Times New Roman" w:cs="Times New Roman"/>
        </w:rPr>
      </w:pPr>
    </w:p>
    <w:tbl>
      <w:tblPr>
        <w:tblW w:w="5000" w:type="pct"/>
        <w:tblLook w:val="04A0" w:firstRow="1" w:lastRow="0" w:firstColumn="1" w:lastColumn="0" w:noHBand="0" w:noVBand="1"/>
      </w:tblPr>
      <w:tblGrid>
        <w:gridCol w:w="1420"/>
        <w:gridCol w:w="1264"/>
        <w:gridCol w:w="546"/>
        <w:gridCol w:w="1082"/>
        <w:gridCol w:w="546"/>
        <w:gridCol w:w="1082"/>
        <w:gridCol w:w="546"/>
        <w:gridCol w:w="1083"/>
        <w:gridCol w:w="546"/>
        <w:gridCol w:w="1083"/>
        <w:gridCol w:w="546"/>
        <w:gridCol w:w="1083"/>
        <w:gridCol w:w="546"/>
        <w:gridCol w:w="1085"/>
        <w:gridCol w:w="546"/>
      </w:tblGrid>
      <w:tr w:rsidR="001F4B9D" w:rsidRPr="006E0AE9" w14:paraId="4A2FDFAB" w14:textId="77777777" w:rsidTr="001F4B9D">
        <w:trPr>
          <w:trHeight w:val="312"/>
        </w:trPr>
        <w:tc>
          <w:tcPr>
            <w:tcW w:w="4791" w:type="pct"/>
            <w:gridSpan w:val="14"/>
            <w:tcBorders>
              <w:top w:val="nil"/>
              <w:left w:val="nil"/>
              <w:bottom w:val="nil"/>
              <w:right w:val="nil"/>
            </w:tcBorders>
            <w:shd w:val="clear" w:color="000000" w:fill="FFFF00"/>
            <w:noWrap/>
            <w:vAlign w:val="bottom"/>
            <w:hideMark/>
          </w:tcPr>
          <w:p w14:paraId="7BF027E9" w14:textId="77777777" w:rsidR="001F4B9D" w:rsidRPr="006E0AE9" w:rsidRDefault="001F4B9D" w:rsidP="00CD0BBE">
            <w:pPr>
              <w:spacing w:after="0" w:line="240" w:lineRule="auto"/>
              <w:rPr>
                <w:rFonts w:ascii="Times New Roman" w:eastAsia="Times New Roman" w:hAnsi="Times New Roman" w:cs="Times New Roman"/>
                <w:b/>
                <w:bCs/>
                <w:color w:val="000000"/>
                <w:sz w:val="24"/>
                <w:szCs w:val="24"/>
                <w:lang w:eastAsia="en-GB"/>
              </w:rPr>
            </w:pPr>
            <w:r w:rsidRPr="006E0AE9">
              <w:rPr>
                <w:rFonts w:ascii="Times New Roman" w:eastAsia="Times New Roman" w:hAnsi="Times New Roman" w:cs="Times New Roman"/>
                <w:b/>
                <w:bCs/>
                <w:color w:val="000000"/>
                <w:sz w:val="24"/>
                <w:szCs w:val="24"/>
                <w:lang w:eastAsia="en-GB"/>
              </w:rPr>
              <w:t>Table 13: Volatility Timing During the Pandemic</w:t>
            </w:r>
          </w:p>
        </w:tc>
        <w:tc>
          <w:tcPr>
            <w:tcW w:w="209" w:type="pct"/>
            <w:tcBorders>
              <w:top w:val="nil"/>
              <w:left w:val="nil"/>
              <w:bottom w:val="nil"/>
              <w:right w:val="nil"/>
            </w:tcBorders>
            <w:shd w:val="clear" w:color="auto" w:fill="auto"/>
            <w:noWrap/>
            <w:vAlign w:val="bottom"/>
            <w:hideMark/>
          </w:tcPr>
          <w:p w14:paraId="4737FE9E" w14:textId="77777777" w:rsidR="001F4B9D" w:rsidRPr="006E0AE9" w:rsidRDefault="001F4B9D" w:rsidP="00CD0BBE">
            <w:pPr>
              <w:spacing w:after="0" w:line="240" w:lineRule="auto"/>
              <w:rPr>
                <w:rFonts w:ascii="Times New Roman" w:eastAsia="Times New Roman" w:hAnsi="Times New Roman" w:cs="Times New Roman"/>
                <w:b/>
                <w:bCs/>
                <w:color w:val="000000"/>
                <w:sz w:val="24"/>
                <w:szCs w:val="24"/>
                <w:lang w:eastAsia="en-GB"/>
              </w:rPr>
            </w:pPr>
          </w:p>
        </w:tc>
      </w:tr>
      <w:tr w:rsidR="001F4B9D" w:rsidRPr="006E0AE9" w14:paraId="520FF7AC" w14:textId="77777777" w:rsidTr="001F4B9D">
        <w:trPr>
          <w:trHeight w:val="276"/>
        </w:trPr>
        <w:tc>
          <w:tcPr>
            <w:tcW w:w="4791" w:type="pct"/>
            <w:gridSpan w:val="14"/>
            <w:tcBorders>
              <w:top w:val="nil"/>
              <w:left w:val="nil"/>
              <w:bottom w:val="nil"/>
              <w:right w:val="nil"/>
            </w:tcBorders>
            <w:shd w:val="clear" w:color="auto" w:fill="auto"/>
            <w:noWrap/>
            <w:vAlign w:val="bottom"/>
            <w:hideMark/>
          </w:tcPr>
          <w:p w14:paraId="29A48F05" w14:textId="77777777" w:rsidR="001F4B9D" w:rsidRPr="006E0AE9" w:rsidRDefault="001F4B9D" w:rsidP="00CD0BBE">
            <w:pPr>
              <w:spacing w:after="0" w:line="240" w:lineRule="auto"/>
              <w:jc w:val="center"/>
              <w:rPr>
                <w:rFonts w:ascii="Times New Roman" w:eastAsia="Times New Roman" w:hAnsi="Times New Roman" w:cs="Times New Roman"/>
                <w:b/>
                <w:bCs/>
                <w:color w:val="000000"/>
                <w:lang w:eastAsia="en-GB"/>
              </w:rPr>
            </w:pPr>
            <w:r w:rsidRPr="006E0AE9">
              <w:rPr>
                <w:rFonts w:ascii="Times New Roman" w:eastAsia="Times New Roman" w:hAnsi="Times New Roman" w:cs="Times New Roman"/>
                <w:b/>
                <w:bCs/>
                <w:color w:val="000000"/>
                <w:lang w:eastAsia="en-GB"/>
              </w:rPr>
              <w:t>Islamic Funds</w:t>
            </w:r>
          </w:p>
        </w:tc>
        <w:tc>
          <w:tcPr>
            <w:tcW w:w="209" w:type="pct"/>
            <w:tcBorders>
              <w:top w:val="nil"/>
              <w:left w:val="nil"/>
              <w:bottom w:val="nil"/>
              <w:right w:val="nil"/>
            </w:tcBorders>
            <w:shd w:val="clear" w:color="auto" w:fill="auto"/>
            <w:noWrap/>
            <w:vAlign w:val="bottom"/>
            <w:hideMark/>
          </w:tcPr>
          <w:p w14:paraId="290F7BE0" w14:textId="77777777" w:rsidR="001F4B9D" w:rsidRPr="006E0AE9" w:rsidRDefault="001F4B9D" w:rsidP="00CD0BBE">
            <w:pPr>
              <w:spacing w:after="0" w:line="240" w:lineRule="auto"/>
              <w:jc w:val="center"/>
              <w:rPr>
                <w:rFonts w:ascii="Times New Roman" w:eastAsia="Times New Roman" w:hAnsi="Times New Roman" w:cs="Times New Roman"/>
                <w:b/>
                <w:bCs/>
                <w:color w:val="000000"/>
                <w:lang w:eastAsia="en-GB"/>
              </w:rPr>
            </w:pPr>
          </w:p>
        </w:tc>
      </w:tr>
      <w:tr w:rsidR="001F4B9D" w:rsidRPr="00663DE1" w14:paraId="259EC951" w14:textId="77777777" w:rsidTr="001F4B9D">
        <w:trPr>
          <w:trHeight w:val="324"/>
        </w:trPr>
        <w:tc>
          <w:tcPr>
            <w:tcW w:w="547" w:type="pct"/>
            <w:tcBorders>
              <w:top w:val="single" w:sz="4" w:space="0" w:color="auto"/>
              <w:left w:val="nil"/>
              <w:bottom w:val="single" w:sz="4" w:space="0" w:color="auto"/>
              <w:right w:val="nil"/>
            </w:tcBorders>
            <w:shd w:val="clear" w:color="auto" w:fill="auto"/>
            <w:noWrap/>
            <w:vAlign w:val="bottom"/>
            <w:hideMark/>
          </w:tcPr>
          <w:p w14:paraId="499D5D45" w14:textId="77777777" w:rsidR="001F4B9D" w:rsidRPr="006E0AE9" w:rsidRDefault="001F4B9D" w:rsidP="00CD0BBE">
            <w:pPr>
              <w:spacing w:after="0" w:line="240" w:lineRule="auto"/>
              <w:rPr>
                <w:rFonts w:ascii="Times New Roman" w:eastAsia="Times New Roman" w:hAnsi="Times New Roman" w:cs="Times New Roman"/>
                <w:b/>
                <w:bCs/>
                <w:color w:val="000000"/>
                <w:lang w:eastAsia="en-GB"/>
              </w:rPr>
            </w:pPr>
            <w:r w:rsidRPr="006E0AE9">
              <w:rPr>
                <w:rFonts w:ascii="Times New Roman" w:eastAsia="Times New Roman" w:hAnsi="Times New Roman" w:cs="Times New Roman"/>
                <w:b/>
                <w:bCs/>
                <w:color w:val="000000"/>
                <w:lang w:eastAsia="en-GB"/>
              </w:rPr>
              <w:t> </w:t>
            </w:r>
          </w:p>
        </w:tc>
        <w:tc>
          <w:tcPr>
            <w:tcW w:w="487" w:type="pct"/>
            <w:tcBorders>
              <w:top w:val="single" w:sz="4" w:space="0" w:color="auto"/>
              <w:left w:val="nil"/>
              <w:bottom w:val="single" w:sz="4" w:space="0" w:color="auto"/>
              <w:right w:val="nil"/>
            </w:tcBorders>
            <w:shd w:val="clear" w:color="auto" w:fill="auto"/>
            <w:vAlign w:val="bottom"/>
            <w:hideMark/>
          </w:tcPr>
          <w:p w14:paraId="35100D7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vertAlign w:val="subscript"/>
                <w:lang w:eastAsia="en-GB"/>
              </w:rPr>
              <w:t xml:space="preserve"> </w:t>
            </w:r>
            <w:r w:rsidRPr="006E0AE9">
              <w:rPr>
                <w:rFonts w:ascii="Times New Roman" w:eastAsia="Times New Roman" w:hAnsi="Times New Roman" w:cs="Times New Roman"/>
                <w:color w:val="000000"/>
                <w:lang w:eastAsia="en-GB"/>
              </w:rPr>
              <w:t>Full Period</w:t>
            </w:r>
          </w:p>
        </w:tc>
        <w:tc>
          <w:tcPr>
            <w:tcW w:w="209" w:type="pct"/>
            <w:tcBorders>
              <w:top w:val="single" w:sz="4" w:space="0" w:color="auto"/>
              <w:left w:val="nil"/>
              <w:bottom w:val="single" w:sz="4" w:space="0" w:color="auto"/>
              <w:right w:val="nil"/>
            </w:tcBorders>
            <w:shd w:val="clear" w:color="auto" w:fill="auto"/>
            <w:noWrap/>
            <w:vAlign w:val="bottom"/>
            <w:hideMark/>
          </w:tcPr>
          <w:p w14:paraId="43E1493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34C2017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1</w:t>
            </w:r>
          </w:p>
        </w:tc>
        <w:tc>
          <w:tcPr>
            <w:tcW w:w="209" w:type="pct"/>
            <w:tcBorders>
              <w:top w:val="single" w:sz="4" w:space="0" w:color="auto"/>
              <w:left w:val="nil"/>
              <w:bottom w:val="single" w:sz="4" w:space="0" w:color="auto"/>
              <w:right w:val="nil"/>
            </w:tcBorders>
            <w:shd w:val="clear" w:color="auto" w:fill="auto"/>
            <w:noWrap/>
            <w:vAlign w:val="bottom"/>
            <w:hideMark/>
          </w:tcPr>
          <w:p w14:paraId="11C0220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12E7406A"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2</w:t>
            </w:r>
          </w:p>
        </w:tc>
        <w:tc>
          <w:tcPr>
            <w:tcW w:w="209" w:type="pct"/>
            <w:tcBorders>
              <w:top w:val="single" w:sz="4" w:space="0" w:color="auto"/>
              <w:left w:val="nil"/>
              <w:bottom w:val="single" w:sz="4" w:space="0" w:color="auto"/>
              <w:right w:val="nil"/>
            </w:tcBorders>
            <w:shd w:val="clear" w:color="auto" w:fill="auto"/>
            <w:noWrap/>
            <w:vAlign w:val="bottom"/>
            <w:hideMark/>
          </w:tcPr>
          <w:p w14:paraId="4C9EE75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071ED83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3</w:t>
            </w:r>
          </w:p>
        </w:tc>
        <w:tc>
          <w:tcPr>
            <w:tcW w:w="209" w:type="pct"/>
            <w:tcBorders>
              <w:top w:val="single" w:sz="4" w:space="0" w:color="auto"/>
              <w:left w:val="nil"/>
              <w:bottom w:val="single" w:sz="4" w:space="0" w:color="auto"/>
              <w:right w:val="nil"/>
            </w:tcBorders>
            <w:shd w:val="clear" w:color="auto" w:fill="auto"/>
            <w:noWrap/>
            <w:vAlign w:val="bottom"/>
            <w:hideMark/>
          </w:tcPr>
          <w:p w14:paraId="4559925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1850F89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4</w:t>
            </w:r>
          </w:p>
        </w:tc>
        <w:tc>
          <w:tcPr>
            <w:tcW w:w="209" w:type="pct"/>
            <w:tcBorders>
              <w:top w:val="single" w:sz="4" w:space="0" w:color="auto"/>
              <w:left w:val="nil"/>
              <w:bottom w:val="single" w:sz="4" w:space="0" w:color="auto"/>
              <w:right w:val="nil"/>
            </w:tcBorders>
            <w:shd w:val="clear" w:color="auto" w:fill="auto"/>
            <w:noWrap/>
            <w:vAlign w:val="bottom"/>
            <w:hideMark/>
          </w:tcPr>
          <w:p w14:paraId="755C930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7B81C19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5</w:t>
            </w:r>
          </w:p>
        </w:tc>
        <w:tc>
          <w:tcPr>
            <w:tcW w:w="209" w:type="pct"/>
            <w:tcBorders>
              <w:top w:val="single" w:sz="4" w:space="0" w:color="auto"/>
              <w:left w:val="nil"/>
              <w:bottom w:val="single" w:sz="4" w:space="0" w:color="auto"/>
              <w:right w:val="nil"/>
            </w:tcBorders>
            <w:shd w:val="clear" w:color="auto" w:fill="auto"/>
            <w:noWrap/>
            <w:vAlign w:val="bottom"/>
            <w:hideMark/>
          </w:tcPr>
          <w:p w14:paraId="3BECD1D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073AF50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6</w:t>
            </w:r>
          </w:p>
        </w:tc>
        <w:tc>
          <w:tcPr>
            <w:tcW w:w="209" w:type="pct"/>
            <w:tcBorders>
              <w:top w:val="single" w:sz="4" w:space="0" w:color="auto"/>
              <w:left w:val="nil"/>
              <w:bottom w:val="single" w:sz="4" w:space="0" w:color="auto"/>
              <w:right w:val="nil"/>
            </w:tcBorders>
            <w:shd w:val="clear" w:color="auto" w:fill="auto"/>
            <w:noWrap/>
            <w:vAlign w:val="bottom"/>
            <w:hideMark/>
          </w:tcPr>
          <w:p w14:paraId="7BD7ECA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r>
      <w:tr w:rsidR="001F4B9D" w:rsidRPr="006E0AE9" w14:paraId="38BF8D85" w14:textId="77777777" w:rsidTr="001F4B9D">
        <w:trPr>
          <w:trHeight w:val="276"/>
        </w:trPr>
        <w:tc>
          <w:tcPr>
            <w:tcW w:w="547" w:type="pct"/>
            <w:tcBorders>
              <w:top w:val="nil"/>
              <w:left w:val="nil"/>
              <w:bottom w:val="nil"/>
              <w:right w:val="nil"/>
            </w:tcBorders>
            <w:shd w:val="clear" w:color="auto" w:fill="auto"/>
            <w:noWrap/>
            <w:vAlign w:val="bottom"/>
            <w:hideMark/>
          </w:tcPr>
          <w:p w14:paraId="579DEBA3"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Malaysia</w:t>
            </w:r>
          </w:p>
        </w:tc>
        <w:tc>
          <w:tcPr>
            <w:tcW w:w="487" w:type="pct"/>
            <w:tcBorders>
              <w:top w:val="nil"/>
              <w:left w:val="nil"/>
              <w:bottom w:val="nil"/>
              <w:right w:val="nil"/>
            </w:tcBorders>
            <w:shd w:val="clear" w:color="auto" w:fill="auto"/>
            <w:noWrap/>
            <w:vAlign w:val="bottom"/>
            <w:hideMark/>
          </w:tcPr>
          <w:p w14:paraId="6065A36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-0.0869</w:t>
            </w:r>
          </w:p>
        </w:tc>
        <w:tc>
          <w:tcPr>
            <w:tcW w:w="209" w:type="pct"/>
            <w:tcBorders>
              <w:top w:val="nil"/>
              <w:left w:val="nil"/>
              <w:bottom w:val="nil"/>
              <w:right w:val="nil"/>
            </w:tcBorders>
            <w:shd w:val="clear" w:color="auto" w:fill="auto"/>
            <w:noWrap/>
            <w:vAlign w:val="bottom"/>
            <w:hideMark/>
          </w:tcPr>
          <w:p w14:paraId="363B9D4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280DC9B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-0.0837</w:t>
            </w:r>
          </w:p>
        </w:tc>
        <w:tc>
          <w:tcPr>
            <w:tcW w:w="209" w:type="pct"/>
            <w:tcBorders>
              <w:top w:val="nil"/>
              <w:left w:val="nil"/>
              <w:bottom w:val="nil"/>
              <w:right w:val="nil"/>
            </w:tcBorders>
            <w:shd w:val="clear" w:color="auto" w:fill="auto"/>
            <w:noWrap/>
            <w:vAlign w:val="bottom"/>
            <w:hideMark/>
          </w:tcPr>
          <w:p w14:paraId="33FF72C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9E3103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-0.0944</w:t>
            </w:r>
          </w:p>
        </w:tc>
        <w:tc>
          <w:tcPr>
            <w:tcW w:w="209" w:type="pct"/>
            <w:tcBorders>
              <w:top w:val="nil"/>
              <w:left w:val="nil"/>
              <w:bottom w:val="nil"/>
              <w:right w:val="nil"/>
            </w:tcBorders>
            <w:shd w:val="clear" w:color="auto" w:fill="auto"/>
            <w:noWrap/>
            <w:vAlign w:val="bottom"/>
            <w:hideMark/>
          </w:tcPr>
          <w:p w14:paraId="46F1D23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61B5A3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-0.1659</w:t>
            </w:r>
          </w:p>
        </w:tc>
        <w:tc>
          <w:tcPr>
            <w:tcW w:w="209" w:type="pct"/>
            <w:tcBorders>
              <w:top w:val="nil"/>
              <w:left w:val="nil"/>
              <w:bottom w:val="nil"/>
              <w:right w:val="nil"/>
            </w:tcBorders>
            <w:shd w:val="clear" w:color="auto" w:fill="auto"/>
            <w:noWrap/>
            <w:vAlign w:val="bottom"/>
            <w:hideMark/>
          </w:tcPr>
          <w:p w14:paraId="22607A3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A3E984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-0.0926</w:t>
            </w:r>
          </w:p>
        </w:tc>
        <w:tc>
          <w:tcPr>
            <w:tcW w:w="209" w:type="pct"/>
            <w:tcBorders>
              <w:top w:val="nil"/>
              <w:left w:val="nil"/>
              <w:bottom w:val="nil"/>
              <w:right w:val="nil"/>
            </w:tcBorders>
            <w:shd w:val="clear" w:color="auto" w:fill="auto"/>
            <w:noWrap/>
            <w:vAlign w:val="bottom"/>
            <w:hideMark/>
          </w:tcPr>
          <w:p w14:paraId="7E65C4D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213E855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-0.0937</w:t>
            </w:r>
          </w:p>
        </w:tc>
        <w:tc>
          <w:tcPr>
            <w:tcW w:w="209" w:type="pct"/>
            <w:tcBorders>
              <w:top w:val="nil"/>
              <w:left w:val="nil"/>
              <w:bottom w:val="nil"/>
              <w:right w:val="nil"/>
            </w:tcBorders>
            <w:shd w:val="clear" w:color="auto" w:fill="auto"/>
            <w:noWrap/>
            <w:vAlign w:val="bottom"/>
            <w:hideMark/>
          </w:tcPr>
          <w:p w14:paraId="768F1F6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BB5358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-0.1023</w:t>
            </w:r>
          </w:p>
        </w:tc>
        <w:tc>
          <w:tcPr>
            <w:tcW w:w="209" w:type="pct"/>
            <w:tcBorders>
              <w:top w:val="nil"/>
              <w:left w:val="nil"/>
              <w:bottom w:val="nil"/>
              <w:right w:val="nil"/>
            </w:tcBorders>
            <w:shd w:val="clear" w:color="auto" w:fill="auto"/>
            <w:noWrap/>
            <w:vAlign w:val="bottom"/>
            <w:hideMark/>
          </w:tcPr>
          <w:p w14:paraId="21D30DA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7A8EDA62" w14:textId="77777777" w:rsidTr="001F4B9D">
        <w:trPr>
          <w:trHeight w:val="276"/>
        </w:trPr>
        <w:tc>
          <w:tcPr>
            <w:tcW w:w="547" w:type="pct"/>
            <w:tcBorders>
              <w:top w:val="nil"/>
              <w:left w:val="nil"/>
              <w:bottom w:val="nil"/>
              <w:right w:val="nil"/>
            </w:tcBorders>
            <w:shd w:val="clear" w:color="auto" w:fill="auto"/>
            <w:noWrap/>
            <w:vAlign w:val="bottom"/>
            <w:hideMark/>
          </w:tcPr>
          <w:p w14:paraId="27A4F698"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Pakistan</w:t>
            </w:r>
          </w:p>
        </w:tc>
        <w:tc>
          <w:tcPr>
            <w:tcW w:w="487" w:type="pct"/>
            <w:tcBorders>
              <w:top w:val="nil"/>
              <w:left w:val="nil"/>
              <w:bottom w:val="nil"/>
              <w:right w:val="nil"/>
            </w:tcBorders>
            <w:shd w:val="clear" w:color="auto" w:fill="auto"/>
            <w:noWrap/>
            <w:vAlign w:val="bottom"/>
            <w:hideMark/>
          </w:tcPr>
          <w:p w14:paraId="7E94DF6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-0.0366</w:t>
            </w:r>
          </w:p>
        </w:tc>
        <w:tc>
          <w:tcPr>
            <w:tcW w:w="209" w:type="pct"/>
            <w:tcBorders>
              <w:top w:val="nil"/>
              <w:left w:val="nil"/>
              <w:bottom w:val="nil"/>
              <w:right w:val="nil"/>
            </w:tcBorders>
            <w:shd w:val="clear" w:color="auto" w:fill="auto"/>
            <w:noWrap/>
            <w:vAlign w:val="bottom"/>
            <w:hideMark/>
          </w:tcPr>
          <w:p w14:paraId="304CAAB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083D54C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-0.0277</w:t>
            </w:r>
          </w:p>
        </w:tc>
        <w:tc>
          <w:tcPr>
            <w:tcW w:w="209" w:type="pct"/>
            <w:tcBorders>
              <w:top w:val="nil"/>
              <w:left w:val="nil"/>
              <w:bottom w:val="nil"/>
              <w:right w:val="nil"/>
            </w:tcBorders>
            <w:shd w:val="clear" w:color="auto" w:fill="auto"/>
            <w:noWrap/>
            <w:vAlign w:val="bottom"/>
            <w:hideMark/>
          </w:tcPr>
          <w:p w14:paraId="33EAB95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ED48D3A"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-0.0512</w:t>
            </w:r>
          </w:p>
        </w:tc>
        <w:tc>
          <w:tcPr>
            <w:tcW w:w="209" w:type="pct"/>
            <w:tcBorders>
              <w:top w:val="nil"/>
              <w:left w:val="nil"/>
              <w:bottom w:val="nil"/>
              <w:right w:val="nil"/>
            </w:tcBorders>
            <w:shd w:val="clear" w:color="auto" w:fill="auto"/>
            <w:noWrap/>
            <w:vAlign w:val="bottom"/>
            <w:hideMark/>
          </w:tcPr>
          <w:p w14:paraId="4B3ACF5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2A325F8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-0.0515</w:t>
            </w:r>
          </w:p>
        </w:tc>
        <w:tc>
          <w:tcPr>
            <w:tcW w:w="209" w:type="pct"/>
            <w:tcBorders>
              <w:top w:val="nil"/>
              <w:left w:val="nil"/>
              <w:bottom w:val="nil"/>
              <w:right w:val="nil"/>
            </w:tcBorders>
            <w:shd w:val="clear" w:color="auto" w:fill="auto"/>
            <w:noWrap/>
            <w:vAlign w:val="bottom"/>
            <w:hideMark/>
          </w:tcPr>
          <w:p w14:paraId="6987AD1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1508062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-0.0502</w:t>
            </w:r>
          </w:p>
        </w:tc>
        <w:tc>
          <w:tcPr>
            <w:tcW w:w="209" w:type="pct"/>
            <w:tcBorders>
              <w:top w:val="nil"/>
              <w:left w:val="nil"/>
              <w:bottom w:val="nil"/>
              <w:right w:val="nil"/>
            </w:tcBorders>
            <w:shd w:val="clear" w:color="auto" w:fill="auto"/>
            <w:noWrap/>
            <w:vAlign w:val="bottom"/>
            <w:hideMark/>
          </w:tcPr>
          <w:p w14:paraId="6FE1B66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11E6C6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-0.0508</w:t>
            </w:r>
          </w:p>
        </w:tc>
        <w:tc>
          <w:tcPr>
            <w:tcW w:w="209" w:type="pct"/>
            <w:tcBorders>
              <w:top w:val="nil"/>
              <w:left w:val="nil"/>
              <w:bottom w:val="nil"/>
              <w:right w:val="nil"/>
            </w:tcBorders>
            <w:shd w:val="clear" w:color="auto" w:fill="auto"/>
            <w:noWrap/>
            <w:vAlign w:val="bottom"/>
            <w:hideMark/>
          </w:tcPr>
          <w:p w14:paraId="473151B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A185FA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-0.0555</w:t>
            </w:r>
          </w:p>
        </w:tc>
        <w:tc>
          <w:tcPr>
            <w:tcW w:w="209" w:type="pct"/>
            <w:tcBorders>
              <w:top w:val="nil"/>
              <w:left w:val="nil"/>
              <w:bottom w:val="nil"/>
              <w:right w:val="nil"/>
            </w:tcBorders>
            <w:shd w:val="clear" w:color="auto" w:fill="auto"/>
            <w:noWrap/>
            <w:vAlign w:val="bottom"/>
            <w:hideMark/>
          </w:tcPr>
          <w:p w14:paraId="241952E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2666305A" w14:textId="77777777" w:rsidTr="001F4B9D">
        <w:trPr>
          <w:trHeight w:val="276"/>
        </w:trPr>
        <w:tc>
          <w:tcPr>
            <w:tcW w:w="547" w:type="pct"/>
            <w:tcBorders>
              <w:top w:val="nil"/>
              <w:left w:val="nil"/>
              <w:bottom w:val="nil"/>
              <w:right w:val="nil"/>
            </w:tcBorders>
            <w:shd w:val="clear" w:color="auto" w:fill="auto"/>
            <w:noWrap/>
            <w:vAlign w:val="bottom"/>
            <w:hideMark/>
          </w:tcPr>
          <w:p w14:paraId="555CD9B6"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Saudi Arabia</w:t>
            </w:r>
          </w:p>
        </w:tc>
        <w:tc>
          <w:tcPr>
            <w:tcW w:w="487" w:type="pct"/>
            <w:tcBorders>
              <w:top w:val="nil"/>
              <w:left w:val="nil"/>
              <w:bottom w:val="nil"/>
              <w:right w:val="nil"/>
            </w:tcBorders>
            <w:shd w:val="clear" w:color="auto" w:fill="auto"/>
            <w:noWrap/>
            <w:vAlign w:val="bottom"/>
            <w:hideMark/>
          </w:tcPr>
          <w:p w14:paraId="6618FB8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-0.0573</w:t>
            </w:r>
          </w:p>
        </w:tc>
        <w:tc>
          <w:tcPr>
            <w:tcW w:w="209" w:type="pct"/>
            <w:tcBorders>
              <w:top w:val="nil"/>
              <w:left w:val="nil"/>
              <w:bottom w:val="nil"/>
              <w:right w:val="nil"/>
            </w:tcBorders>
            <w:shd w:val="clear" w:color="auto" w:fill="auto"/>
            <w:noWrap/>
            <w:vAlign w:val="bottom"/>
            <w:hideMark/>
          </w:tcPr>
          <w:p w14:paraId="6777214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045289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-0.0512</w:t>
            </w:r>
          </w:p>
        </w:tc>
        <w:tc>
          <w:tcPr>
            <w:tcW w:w="209" w:type="pct"/>
            <w:tcBorders>
              <w:top w:val="nil"/>
              <w:left w:val="nil"/>
              <w:bottom w:val="nil"/>
              <w:right w:val="nil"/>
            </w:tcBorders>
            <w:shd w:val="clear" w:color="auto" w:fill="auto"/>
            <w:noWrap/>
            <w:vAlign w:val="bottom"/>
            <w:hideMark/>
          </w:tcPr>
          <w:p w14:paraId="5833FE3A"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5DACE63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-0.0581</w:t>
            </w:r>
          </w:p>
        </w:tc>
        <w:tc>
          <w:tcPr>
            <w:tcW w:w="209" w:type="pct"/>
            <w:tcBorders>
              <w:top w:val="nil"/>
              <w:left w:val="nil"/>
              <w:bottom w:val="nil"/>
              <w:right w:val="nil"/>
            </w:tcBorders>
            <w:shd w:val="clear" w:color="auto" w:fill="auto"/>
            <w:noWrap/>
            <w:vAlign w:val="bottom"/>
            <w:hideMark/>
          </w:tcPr>
          <w:p w14:paraId="4D07A79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9B511C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-0.0666</w:t>
            </w:r>
          </w:p>
        </w:tc>
        <w:tc>
          <w:tcPr>
            <w:tcW w:w="209" w:type="pct"/>
            <w:tcBorders>
              <w:top w:val="nil"/>
              <w:left w:val="nil"/>
              <w:bottom w:val="nil"/>
              <w:right w:val="nil"/>
            </w:tcBorders>
            <w:shd w:val="clear" w:color="auto" w:fill="auto"/>
            <w:noWrap/>
            <w:vAlign w:val="bottom"/>
            <w:hideMark/>
          </w:tcPr>
          <w:p w14:paraId="727751B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68788B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-0.0569</w:t>
            </w:r>
          </w:p>
        </w:tc>
        <w:tc>
          <w:tcPr>
            <w:tcW w:w="209" w:type="pct"/>
            <w:tcBorders>
              <w:top w:val="nil"/>
              <w:left w:val="nil"/>
              <w:bottom w:val="nil"/>
              <w:right w:val="nil"/>
            </w:tcBorders>
            <w:shd w:val="clear" w:color="auto" w:fill="auto"/>
            <w:noWrap/>
            <w:vAlign w:val="bottom"/>
            <w:hideMark/>
          </w:tcPr>
          <w:p w14:paraId="7894B23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7B85CAB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-0.0576</w:t>
            </w:r>
          </w:p>
        </w:tc>
        <w:tc>
          <w:tcPr>
            <w:tcW w:w="209" w:type="pct"/>
            <w:tcBorders>
              <w:top w:val="nil"/>
              <w:left w:val="nil"/>
              <w:bottom w:val="nil"/>
              <w:right w:val="nil"/>
            </w:tcBorders>
            <w:shd w:val="clear" w:color="auto" w:fill="auto"/>
            <w:noWrap/>
            <w:vAlign w:val="bottom"/>
            <w:hideMark/>
          </w:tcPr>
          <w:p w14:paraId="56BF77B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0A60BD9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-0.0629</w:t>
            </w:r>
          </w:p>
        </w:tc>
        <w:tc>
          <w:tcPr>
            <w:tcW w:w="209" w:type="pct"/>
            <w:tcBorders>
              <w:top w:val="nil"/>
              <w:left w:val="nil"/>
              <w:bottom w:val="nil"/>
              <w:right w:val="nil"/>
            </w:tcBorders>
            <w:shd w:val="clear" w:color="auto" w:fill="auto"/>
            <w:noWrap/>
            <w:vAlign w:val="bottom"/>
            <w:hideMark/>
          </w:tcPr>
          <w:p w14:paraId="3C55107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5AFEB8BC" w14:textId="77777777" w:rsidTr="001F4B9D">
        <w:trPr>
          <w:trHeight w:val="276"/>
        </w:trPr>
        <w:tc>
          <w:tcPr>
            <w:tcW w:w="547" w:type="pct"/>
            <w:tcBorders>
              <w:top w:val="nil"/>
              <w:left w:val="nil"/>
              <w:bottom w:val="nil"/>
              <w:right w:val="nil"/>
            </w:tcBorders>
            <w:shd w:val="clear" w:color="auto" w:fill="auto"/>
            <w:noWrap/>
            <w:vAlign w:val="bottom"/>
            <w:hideMark/>
          </w:tcPr>
          <w:p w14:paraId="3959B53A"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Qatar</w:t>
            </w:r>
          </w:p>
        </w:tc>
        <w:tc>
          <w:tcPr>
            <w:tcW w:w="487" w:type="pct"/>
            <w:tcBorders>
              <w:top w:val="nil"/>
              <w:left w:val="nil"/>
              <w:bottom w:val="nil"/>
              <w:right w:val="nil"/>
            </w:tcBorders>
            <w:shd w:val="clear" w:color="auto" w:fill="auto"/>
            <w:noWrap/>
            <w:vAlign w:val="bottom"/>
            <w:hideMark/>
          </w:tcPr>
          <w:p w14:paraId="418A455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-0.0219</w:t>
            </w:r>
          </w:p>
        </w:tc>
        <w:tc>
          <w:tcPr>
            <w:tcW w:w="209" w:type="pct"/>
            <w:tcBorders>
              <w:top w:val="nil"/>
              <w:left w:val="nil"/>
              <w:bottom w:val="nil"/>
              <w:right w:val="nil"/>
            </w:tcBorders>
            <w:shd w:val="clear" w:color="auto" w:fill="auto"/>
            <w:noWrap/>
            <w:vAlign w:val="bottom"/>
            <w:hideMark/>
          </w:tcPr>
          <w:p w14:paraId="709206B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2D17C57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-0.0185</w:t>
            </w:r>
          </w:p>
        </w:tc>
        <w:tc>
          <w:tcPr>
            <w:tcW w:w="209" w:type="pct"/>
            <w:tcBorders>
              <w:top w:val="nil"/>
              <w:left w:val="nil"/>
              <w:bottom w:val="nil"/>
              <w:right w:val="nil"/>
            </w:tcBorders>
            <w:shd w:val="clear" w:color="auto" w:fill="auto"/>
            <w:noWrap/>
            <w:vAlign w:val="bottom"/>
            <w:hideMark/>
          </w:tcPr>
          <w:p w14:paraId="03FE2D6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91FDE5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-0.0460</w:t>
            </w:r>
          </w:p>
        </w:tc>
        <w:tc>
          <w:tcPr>
            <w:tcW w:w="209" w:type="pct"/>
            <w:tcBorders>
              <w:top w:val="nil"/>
              <w:left w:val="nil"/>
              <w:bottom w:val="nil"/>
              <w:right w:val="nil"/>
            </w:tcBorders>
            <w:shd w:val="clear" w:color="auto" w:fill="auto"/>
            <w:noWrap/>
            <w:vAlign w:val="bottom"/>
            <w:hideMark/>
          </w:tcPr>
          <w:p w14:paraId="66A0C1D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039049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-0.0177</w:t>
            </w:r>
          </w:p>
        </w:tc>
        <w:tc>
          <w:tcPr>
            <w:tcW w:w="209" w:type="pct"/>
            <w:tcBorders>
              <w:top w:val="nil"/>
              <w:left w:val="nil"/>
              <w:bottom w:val="nil"/>
              <w:right w:val="nil"/>
            </w:tcBorders>
            <w:shd w:val="clear" w:color="auto" w:fill="auto"/>
            <w:noWrap/>
            <w:vAlign w:val="bottom"/>
            <w:hideMark/>
          </w:tcPr>
          <w:p w14:paraId="6672B4A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59895EA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-0.0451</w:t>
            </w:r>
          </w:p>
        </w:tc>
        <w:tc>
          <w:tcPr>
            <w:tcW w:w="209" w:type="pct"/>
            <w:tcBorders>
              <w:top w:val="nil"/>
              <w:left w:val="nil"/>
              <w:bottom w:val="nil"/>
              <w:right w:val="nil"/>
            </w:tcBorders>
            <w:shd w:val="clear" w:color="auto" w:fill="auto"/>
            <w:noWrap/>
            <w:vAlign w:val="bottom"/>
            <w:hideMark/>
          </w:tcPr>
          <w:p w14:paraId="060133C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772BACC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-0.0456</w:t>
            </w:r>
          </w:p>
        </w:tc>
        <w:tc>
          <w:tcPr>
            <w:tcW w:w="209" w:type="pct"/>
            <w:tcBorders>
              <w:top w:val="nil"/>
              <w:left w:val="nil"/>
              <w:bottom w:val="nil"/>
              <w:right w:val="nil"/>
            </w:tcBorders>
            <w:shd w:val="clear" w:color="auto" w:fill="auto"/>
            <w:noWrap/>
            <w:vAlign w:val="bottom"/>
            <w:hideMark/>
          </w:tcPr>
          <w:p w14:paraId="619078E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7E7B26A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-0.0498</w:t>
            </w:r>
          </w:p>
        </w:tc>
        <w:tc>
          <w:tcPr>
            <w:tcW w:w="209" w:type="pct"/>
            <w:tcBorders>
              <w:top w:val="nil"/>
              <w:left w:val="nil"/>
              <w:bottom w:val="nil"/>
              <w:right w:val="nil"/>
            </w:tcBorders>
            <w:shd w:val="clear" w:color="auto" w:fill="auto"/>
            <w:noWrap/>
            <w:vAlign w:val="bottom"/>
            <w:hideMark/>
          </w:tcPr>
          <w:p w14:paraId="5587EF9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73B3C35E" w14:textId="77777777" w:rsidTr="001F4B9D">
        <w:trPr>
          <w:trHeight w:val="276"/>
        </w:trPr>
        <w:tc>
          <w:tcPr>
            <w:tcW w:w="547" w:type="pct"/>
            <w:tcBorders>
              <w:top w:val="nil"/>
              <w:left w:val="nil"/>
              <w:bottom w:val="nil"/>
              <w:right w:val="nil"/>
            </w:tcBorders>
            <w:shd w:val="clear" w:color="auto" w:fill="auto"/>
            <w:noWrap/>
            <w:vAlign w:val="bottom"/>
            <w:hideMark/>
          </w:tcPr>
          <w:p w14:paraId="7901F86F"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Kuwait</w:t>
            </w:r>
          </w:p>
        </w:tc>
        <w:tc>
          <w:tcPr>
            <w:tcW w:w="487" w:type="pct"/>
            <w:tcBorders>
              <w:top w:val="nil"/>
              <w:left w:val="nil"/>
              <w:bottom w:val="nil"/>
              <w:right w:val="nil"/>
            </w:tcBorders>
            <w:shd w:val="clear" w:color="auto" w:fill="auto"/>
            <w:noWrap/>
            <w:vAlign w:val="bottom"/>
            <w:hideMark/>
          </w:tcPr>
          <w:p w14:paraId="5BA4A8F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-0.0780</w:t>
            </w:r>
          </w:p>
        </w:tc>
        <w:tc>
          <w:tcPr>
            <w:tcW w:w="209" w:type="pct"/>
            <w:tcBorders>
              <w:top w:val="nil"/>
              <w:left w:val="nil"/>
              <w:bottom w:val="nil"/>
              <w:right w:val="nil"/>
            </w:tcBorders>
            <w:shd w:val="clear" w:color="auto" w:fill="auto"/>
            <w:noWrap/>
            <w:vAlign w:val="bottom"/>
            <w:hideMark/>
          </w:tcPr>
          <w:p w14:paraId="56F3FD0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93FC15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-0.0729</w:t>
            </w:r>
          </w:p>
        </w:tc>
        <w:tc>
          <w:tcPr>
            <w:tcW w:w="209" w:type="pct"/>
            <w:tcBorders>
              <w:top w:val="nil"/>
              <w:left w:val="nil"/>
              <w:bottom w:val="nil"/>
              <w:right w:val="nil"/>
            </w:tcBorders>
            <w:shd w:val="clear" w:color="auto" w:fill="auto"/>
            <w:noWrap/>
            <w:vAlign w:val="bottom"/>
            <w:hideMark/>
          </w:tcPr>
          <w:p w14:paraId="4DE872A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9845BC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-0.0886</w:t>
            </w:r>
          </w:p>
        </w:tc>
        <w:tc>
          <w:tcPr>
            <w:tcW w:w="209" w:type="pct"/>
            <w:tcBorders>
              <w:top w:val="nil"/>
              <w:left w:val="nil"/>
              <w:bottom w:val="nil"/>
              <w:right w:val="nil"/>
            </w:tcBorders>
            <w:shd w:val="clear" w:color="auto" w:fill="auto"/>
            <w:noWrap/>
            <w:vAlign w:val="bottom"/>
            <w:hideMark/>
          </w:tcPr>
          <w:p w14:paraId="15C1774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A088E3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-0.0946</w:t>
            </w:r>
          </w:p>
        </w:tc>
        <w:tc>
          <w:tcPr>
            <w:tcW w:w="209" w:type="pct"/>
            <w:tcBorders>
              <w:top w:val="nil"/>
              <w:left w:val="nil"/>
              <w:bottom w:val="nil"/>
              <w:right w:val="nil"/>
            </w:tcBorders>
            <w:shd w:val="clear" w:color="auto" w:fill="auto"/>
            <w:noWrap/>
            <w:vAlign w:val="bottom"/>
            <w:hideMark/>
          </w:tcPr>
          <w:p w14:paraId="7543D3A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61A9B8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-0.0868</w:t>
            </w:r>
          </w:p>
        </w:tc>
        <w:tc>
          <w:tcPr>
            <w:tcW w:w="209" w:type="pct"/>
            <w:tcBorders>
              <w:top w:val="nil"/>
              <w:left w:val="nil"/>
              <w:bottom w:val="nil"/>
              <w:right w:val="nil"/>
            </w:tcBorders>
            <w:shd w:val="clear" w:color="auto" w:fill="auto"/>
            <w:noWrap/>
            <w:vAlign w:val="bottom"/>
            <w:hideMark/>
          </w:tcPr>
          <w:p w14:paraId="05CE8F4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05C21F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-0.0879</w:t>
            </w:r>
          </w:p>
        </w:tc>
        <w:tc>
          <w:tcPr>
            <w:tcW w:w="209" w:type="pct"/>
            <w:tcBorders>
              <w:top w:val="nil"/>
              <w:left w:val="nil"/>
              <w:bottom w:val="nil"/>
              <w:right w:val="nil"/>
            </w:tcBorders>
            <w:shd w:val="clear" w:color="auto" w:fill="auto"/>
            <w:noWrap/>
            <w:vAlign w:val="bottom"/>
            <w:hideMark/>
          </w:tcPr>
          <w:p w14:paraId="4990B66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FB2A94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-0.0959</w:t>
            </w:r>
          </w:p>
        </w:tc>
        <w:tc>
          <w:tcPr>
            <w:tcW w:w="209" w:type="pct"/>
            <w:tcBorders>
              <w:top w:val="nil"/>
              <w:left w:val="nil"/>
              <w:bottom w:val="nil"/>
              <w:right w:val="nil"/>
            </w:tcBorders>
            <w:shd w:val="clear" w:color="auto" w:fill="auto"/>
            <w:noWrap/>
            <w:vAlign w:val="bottom"/>
            <w:hideMark/>
          </w:tcPr>
          <w:p w14:paraId="14148EB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0F16E540" w14:textId="77777777" w:rsidTr="001F4B9D">
        <w:trPr>
          <w:trHeight w:val="276"/>
        </w:trPr>
        <w:tc>
          <w:tcPr>
            <w:tcW w:w="547" w:type="pct"/>
            <w:tcBorders>
              <w:top w:val="nil"/>
              <w:left w:val="nil"/>
              <w:bottom w:val="nil"/>
              <w:right w:val="nil"/>
            </w:tcBorders>
            <w:shd w:val="clear" w:color="auto" w:fill="auto"/>
            <w:noWrap/>
            <w:vAlign w:val="bottom"/>
            <w:hideMark/>
          </w:tcPr>
          <w:p w14:paraId="525AD287"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UAE</w:t>
            </w:r>
          </w:p>
        </w:tc>
        <w:tc>
          <w:tcPr>
            <w:tcW w:w="487" w:type="pct"/>
            <w:tcBorders>
              <w:top w:val="nil"/>
              <w:left w:val="nil"/>
              <w:bottom w:val="nil"/>
              <w:right w:val="nil"/>
            </w:tcBorders>
            <w:shd w:val="clear" w:color="auto" w:fill="auto"/>
            <w:noWrap/>
            <w:vAlign w:val="bottom"/>
            <w:hideMark/>
          </w:tcPr>
          <w:p w14:paraId="014B55B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-0.0612</w:t>
            </w:r>
          </w:p>
        </w:tc>
        <w:tc>
          <w:tcPr>
            <w:tcW w:w="209" w:type="pct"/>
            <w:tcBorders>
              <w:top w:val="nil"/>
              <w:left w:val="nil"/>
              <w:bottom w:val="nil"/>
              <w:right w:val="nil"/>
            </w:tcBorders>
            <w:shd w:val="clear" w:color="auto" w:fill="auto"/>
            <w:noWrap/>
            <w:vAlign w:val="bottom"/>
            <w:hideMark/>
          </w:tcPr>
          <w:p w14:paraId="4225258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261E6FA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-0.0468</w:t>
            </w:r>
          </w:p>
        </w:tc>
        <w:tc>
          <w:tcPr>
            <w:tcW w:w="209" w:type="pct"/>
            <w:tcBorders>
              <w:top w:val="nil"/>
              <w:left w:val="nil"/>
              <w:bottom w:val="nil"/>
              <w:right w:val="nil"/>
            </w:tcBorders>
            <w:shd w:val="clear" w:color="auto" w:fill="auto"/>
            <w:noWrap/>
            <w:vAlign w:val="bottom"/>
            <w:hideMark/>
          </w:tcPr>
          <w:p w14:paraId="78AE78B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585ADC6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-0.0393</w:t>
            </w:r>
          </w:p>
        </w:tc>
        <w:tc>
          <w:tcPr>
            <w:tcW w:w="209" w:type="pct"/>
            <w:tcBorders>
              <w:top w:val="nil"/>
              <w:left w:val="nil"/>
              <w:bottom w:val="nil"/>
              <w:right w:val="nil"/>
            </w:tcBorders>
            <w:shd w:val="clear" w:color="auto" w:fill="auto"/>
            <w:noWrap/>
            <w:vAlign w:val="bottom"/>
            <w:hideMark/>
          </w:tcPr>
          <w:p w14:paraId="30C62B1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D6F083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-0.0695</w:t>
            </w:r>
          </w:p>
        </w:tc>
        <w:tc>
          <w:tcPr>
            <w:tcW w:w="209" w:type="pct"/>
            <w:tcBorders>
              <w:top w:val="nil"/>
              <w:left w:val="nil"/>
              <w:bottom w:val="nil"/>
              <w:right w:val="nil"/>
            </w:tcBorders>
            <w:shd w:val="clear" w:color="auto" w:fill="auto"/>
            <w:noWrap/>
            <w:vAlign w:val="bottom"/>
            <w:hideMark/>
          </w:tcPr>
          <w:p w14:paraId="679BD69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0833A5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-0.0385</w:t>
            </w:r>
          </w:p>
        </w:tc>
        <w:tc>
          <w:tcPr>
            <w:tcW w:w="209" w:type="pct"/>
            <w:tcBorders>
              <w:top w:val="nil"/>
              <w:left w:val="nil"/>
              <w:bottom w:val="nil"/>
              <w:right w:val="nil"/>
            </w:tcBorders>
            <w:shd w:val="clear" w:color="auto" w:fill="auto"/>
            <w:noWrap/>
            <w:vAlign w:val="bottom"/>
            <w:hideMark/>
          </w:tcPr>
          <w:p w14:paraId="2560ED6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12802FD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-0.0390</w:t>
            </w:r>
          </w:p>
        </w:tc>
        <w:tc>
          <w:tcPr>
            <w:tcW w:w="209" w:type="pct"/>
            <w:tcBorders>
              <w:top w:val="nil"/>
              <w:left w:val="nil"/>
              <w:bottom w:val="nil"/>
              <w:right w:val="nil"/>
            </w:tcBorders>
            <w:shd w:val="clear" w:color="auto" w:fill="auto"/>
            <w:noWrap/>
            <w:vAlign w:val="bottom"/>
            <w:hideMark/>
          </w:tcPr>
          <w:p w14:paraId="5AB7C6A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574E0C4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-0.0426</w:t>
            </w:r>
          </w:p>
        </w:tc>
        <w:tc>
          <w:tcPr>
            <w:tcW w:w="209" w:type="pct"/>
            <w:tcBorders>
              <w:top w:val="nil"/>
              <w:left w:val="nil"/>
              <w:bottom w:val="nil"/>
              <w:right w:val="nil"/>
            </w:tcBorders>
            <w:shd w:val="clear" w:color="auto" w:fill="auto"/>
            <w:noWrap/>
            <w:vAlign w:val="bottom"/>
            <w:hideMark/>
          </w:tcPr>
          <w:p w14:paraId="6839DE6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5B950192" w14:textId="77777777" w:rsidTr="001F4B9D">
        <w:trPr>
          <w:trHeight w:val="276"/>
        </w:trPr>
        <w:tc>
          <w:tcPr>
            <w:tcW w:w="4791" w:type="pct"/>
            <w:gridSpan w:val="14"/>
            <w:tcBorders>
              <w:top w:val="nil"/>
              <w:left w:val="nil"/>
              <w:bottom w:val="nil"/>
              <w:right w:val="nil"/>
            </w:tcBorders>
            <w:shd w:val="clear" w:color="auto" w:fill="auto"/>
            <w:noWrap/>
            <w:vAlign w:val="bottom"/>
            <w:hideMark/>
          </w:tcPr>
          <w:p w14:paraId="7C658011" w14:textId="77777777" w:rsidR="001F4B9D" w:rsidRPr="006E0AE9" w:rsidRDefault="001F4B9D" w:rsidP="00CD0BBE">
            <w:pPr>
              <w:spacing w:after="0" w:line="240" w:lineRule="auto"/>
              <w:jc w:val="center"/>
              <w:rPr>
                <w:rFonts w:ascii="Times New Roman" w:eastAsia="Times New Roman" w:hAnsi="Times New Roman" w:cs="Times New Roman"/>
                <w:b/>
                <w:bCs/>
                <w:color w:val="000000"/>
                <w:lang w:eastAsia="en-GB"/>
              </w:rPr>
            </w:pPr>
            <w:r w:rsidRPr="006E0AE9">
              <w:rPr>
                <w:rFonts w:ascii="Times New Roman" w:eastAsia="Times New Roman" w:hAnsi="Times New Roman" w:cs="Times New Roman"/>
                <w:b/>
                <w:bCs/>
                <w:color w:val="000000"/>
                <w:lang w:eastAsia="en-GB"/>
              </w:rPr>
              <w:t>Conventional Funds</w:t>
            </w:r>
          </w:p>
        </w:tc>
        <w:tc>
          <w:tcPr>
            <w:tcW w:w="209" w:type="pct"/>
            <w:tcBorders>
              <w:top w:val="nil"/>
              <w:left w:val="nil"/>
              <w:bottom w:val="nil"/>
              <w:right w:val="nil"/>
            </w:tcBorders>
            <w:shd w:val="clear" w:color="auto" w:fill="auto"/>
            <w:noWrap/>
            <w:vAlign w:val="bottom"/>
            <w:hideMark/>
          </w:tcPr>
          <w:p w14:paraId="5CEF18BD" w14:textId="77777777" w:rsidR="001F4B9D" w:rsidRPr="006E0AE9" w:rsidRDefault="001F4B9D" w:rsidP="00CD0BBE">
            <w:pPr>
              <w:spacing w:after="0" w:line="240" w:lineRule="auto"/>
              <w:jc w:val="center"/>
              <w:rPr>
                <w:rFonts w:ascii="Times New Roman" w:eastAsia="Times New Roman" w:hAnsi="Times New Roman" w:cs="Times New Roman"/>
                <w:b/>
                <w:bCs/>
                <w:color w:val="000000"/>
                <w:lang w:eastAsia="en-GB"/>
              </w:rPr>
            </w:pPr>
          </w:p>
        </w:tc>
      </w:tr>
      <w:tr w:rsidR="001F4B9D" w:rsidRPr="00663DE1" w14:paraId="203B6BC5" w14:textId="77777777" w:rsidTr="001F4B9D">
        <w:trPr>
          <w:trHeight w:val="324"/>
        </w:trPr>
        <w:tc>
          <w:tcPr>
            <w:tcW w:w="547" w:type="pct"/>
            <w:tcBorders>
              <w:top w:val="single" w:sz="4" w:space="0" w:color="auto"/>
              <w:left w:val="nil"/>
              <w:bottom w:val="single" w:sz="4" w:space="0" w:color="auto"/>
              <w:right w:val="nil"/>
            </w:tcBorders>
            <w:shd w:val="clear" w:color="auto" w:fill="auto"/>
            <w:noWrap/>
            <w:vAlign w:val="bottom"/>
            <w:hideMark/>
          </w:tcPr>
          <w:p w14:paraId="7E6A21FD" w14:textId="77777777" w:rsidR="001F4B9D" w:rsidRPr="006E0AE9" w:rsidRDefault="001F4B9D" w:rsidP="00CD0BBE">
            <w:pPr>
              <w:spacing w:after="0" w:line="240" w:lineRule="auto"/>
              <w:rPr>
                <w:rFonts w:ascii="Times New Roman" w:eastAsia="Times New Roman" w:hAnsi="Times New Roman" w:cs="Times New Roman"/>
                <w:b/>
                <w:bCs/>
                <w:color w:val="000000"/>
                <w:lang w:eastAsia="en-GB"/>
              </w:rPr>
            </w:pPr>
            <w:r w:rsidRPr="006E0AE9">
              <w:rPr>
                <w:rFonts w:ascii="Times New Roman" w:eastAsia="Times New Roman" w:hAnsi="Times New Roman" w:cs="Times New Roman"/>
                <w:b/>
                <w:bCs/>
                <w:color w:val="000000"/>
                <w:lang w:eastAsia="en-GB"/>
              </w:rPr>
              <w:t> </w:t>
            </w:r>
          </w:p>
        </w:tc>
        <w:tc>
          <w:tcPr>
            <w:tcW w:w="487" w:type="pct"/>
            <w:tcBorders>
              <w:top w:val="single" w:sz="4" w:space="0" w:color="auto"/>
              <w:left w:val="nil"/>
              <w:bottom w:val="single" w:sz="4" w:space="0" w:color="auto"/>
              <w:right w:val="nil"/>
            </w:tcBorders>
            <w:shd w:val="clear" w:color="auto" w:fill="auto"/>
            <w:vAlign w:val="bottom"/>
            <w:hideMark/>
          </w:tcPr>
          <w:p w14:paraId="48A6F2F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vertAlign w:val="subscript"/>
                <w:lang w:eastAsia="en-GB"/>
              </w:rPr>
              <w:t xml:space="preserve"> </w:t>
            </w:r>
            <w:r w:rsidRPr="006E0AE9">
              <w:rPr>
                <w:rFonts w:ascii="Times New Roman" w:eastAsia="Times New Roman" w:hAnsi="Times New Roman" w:cs="Times New Roman"/>
                <w:color w:val="000000"/>
                <w:lang w:eastAsia="en-GB"/>
              </w:rPr>
              <w:t>Full Period</w:t>
            </w:r>
          </w:p>
        </w:tc>
        <w:tc>
          <w:tcPr>
            <w:tcW w:w="209" w:type="pct"/>
            <w:tcBorders>
              <w:top w:val="single" w:sz="4" w:space="0" w:color="auto"/>
              <w:left w:val="nil"/>
              <w:bottom w:val="single" w:sz="4" w:space="0" w:color="auto"/>
              <w:right w:val="nil"/>
            </w:tcBorders>
            <w:shd w:val="clear" w:color="auto" w:fill="auto"/>
            <w:noWrap/>
            <w:vAlign w:val="bottom"/>
            <w:hideMark/>
          </w:tcPr>
          <w:p w14:paraId="47C340D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289BA63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1</w:t>
            </w:r>
          </w:p>
        </w:tc>
        <w:tc>
          <w:tcPr>
            <w:tcW w:w="209" w:type="pct"/>
            <w:tcBorders>
              <w:top w:val="single" w:sz="4" w:space="0" w:color="auto"/>
              <w:left w:val="nil"/>
              <w:bottom w:val="single" w:sz="4" w:space="0" w:color="auto"/>
              <w:right w:val="nil"/>
            </w:tcBorders>
            <w:shd w:val="clear" w:color="auto" w:fill="auto"/>
            <w:noWrap/>
            <w:vAlign w:val="bottom"/>
            <w:hideMark/>
          </w:tcPr>
          <w:p w14:paraId="7645511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5C44E4E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2</w:t>
            </w:r>
          </w:p>
        </w:tc>
        <w:tc>
          <w:tcPr>
            <w:tcW w:w="209" w:type="pct"/>
            <w:tcBorders>
              <w:top w:val="single" w:sz="4" w:space="0" w:color="auto"/>
              <w:left w:val="nil"/>
              <w:bottom w:val="single" w:sz="4" w:space="0" w:color="auto"/>
              <w:right w:val="nil"/>
            </w:tcBorders>
            <w:shd w:val="clear" w:color="auto" w:fill="auto"/>
            <w:noWrap/>
            <w:vAlign w:val="bottom"/>
            <w:hideMark/>
          </w:tcPr>
          <w:p w14:paraId="5A0D599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4D32C52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3</w:t>
            </w:r>
          </w:p>
        </w:tc>
        <w:tc>
          <w:tcPr>
            <w:tcW w:w="209" w:type="pct"/>
            <w:tcBorders>
              <w:top w:val="single" w:sz="4" w:space="0" w:color="auto"/>
              <w:left w:val="nil"/>
              <w:bottom w:val="single" w:sz="4" w:space="0" w:color="auto"/>
              <w:right w:val="nil"/>
            </w:tcBorders>
            <w:shd w:val="clear" w:color="auto" w:fill="auto"/>
            <w:noWrap/>
            <w:vAlign w:val="bottom"/>
            <w:hideMark/>
          </w:tcPr>
          <w:p w14:paraId="2FC1639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2915B70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4</w:t>
            </w:r>
          </w:p>
        </w:tc>
        <w:tc>
          <w:tcPr>
            <w:tcW w:w="209" w:type="pct"/>
            <w:tcBorders>
              <w:top w:val="single" w:sz="4" w:space="0" w:color="auto"/>
              <w:left w:val="nil"/>
              <w:bottom w:val="single" w:sz="4" w:space="0" w:color="auto"/>
              <w:right w:val="nil"/>
            </w:tcBorders>
            <w:shd w:val="clear" w:color="auto" w:fill="auto"/>
            <w:noWrap/>
            <w:vAlign w:val="bottom"/>
            <w:hideMark/>
          </w:tcPr>
          <w:p w14:paraId="411C2D7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7109DDF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5</w:t>
            </w:r>
          </w:p>
        </w:tc>
        <w:tc>
          <w:tcPr>
            <w:tcW w:w="209" w:type="pct"/>
            <w:tcBorders>
              <w:top w:val="single" w:sz="4" w:space="0" w:color="auto"/>
              <w:left w:val="nil"/>
              <w:bottom w:val="single" w:sz="4" w:space="0" w:color="auto"/>
              <w:right w:val="nil"/>
            </w:tcBorders>
            <w:shd w:val="clear" w:color="auto" w:fill="auto"/>
            <w:noWrap/>
            <w:vAlign w:val="bottom"/>
            <w:hideMark/>
          </w:tcPr>
          <w:p w14:paraId="22961AF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c>
          <w:tcPr>
            <w:tcW w:w="417" w:type="pct"/>
            <w:tcBorders>
              <w:top w:val="single" w:sz="4" w:space="0" w:color="auto"/>
              <w:left w:val="nil"/>
              <w:bottom w:val="single" w:sz="4" w:space="0" w:color="auto"/>
              <w:right w:val="nil"/>
            </w:tcBorders>
            <w:shd w:val="clear" w:color="auto" w:fill="auto"/>
            <w:vAlign w:val="bottom"/>
            <w:hideMark/>
          </w:tcPr>
          <w:p w14:paraId="73961AE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proofErr w:type="spellStart"/>
            <w:r w:rsidRPr="006E0AE9">
              <w:rPr>
                <w:rFonts w:ascii="Times New Roman" w:eastAsia="Times New Roman" w:hAnsi="Times New Roman" w:cs="Times New Roman"/>
                <w:color w:val="000000"/>
                <w:lang w:eastAsia="en-GB"/>
              </w:rPr>
              <w:t>ϒ</w:t>
            </w:r>
            <w:r w:rsidRPr="006E0AE9">
              <w:rPr>
                <w:rFonts w:ascii="Times New Roman" w:eastAsia="Times New Roman" w:hAnsi="Times New Roman" w:cs="Times New Roman"/>
                <w:color w:val="000000"/>
                <w:vertAlign w:val="subscript"/>
                <w:lang w:eastAsia="en-GB"/>
              </w:rPr>
              <w:t>im</w:t>
            </w:r>
            <w:proofErr w:type="spellEnd"/>
            <w:r w:rsidRPr="006E0AE9">
              <w:rPr>
                <w:rFonts w:ascii="Times New Roman" w:eastAsia="Times New Roman" w:hAnsi="Times New Roman" w:cs="Times New Roman"/>
                <w:color w:val="000000"/>
                <w:lang w:eastAsia="en-GB"/>
              </w:rPr>
              <w:t xml:space="preserve"> Stage 6</w:t>
            </w:r>
          </w:p>
        </w:tc>
        <w:tc>
          <w:tcPr>
            <w:tcW w:w="209" w:type="pct"/>
            <w:tcBorders>
              <w:top w:val="single" w:sz="4" w:space="0" w:color="auto"/>
              <w:left w:val="nil"/>
              <w:bottom w:val="single" w:sz="4" w:space="0" w:color="auto"/>
              <w:right w:val="nil"/>
            </w:tcBorders>
            <w:shd w:val="clear" w:color="auto" w:fill="auto"/>
            <w:noWrap/>
            <w:vAlign w:val="bottom"/>
            <w:hideMark/>
          </w:tcPr>
          <w:p w14:paraId="6093C6B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 </w:t>
            </w:r>
          </w:p>
        </w:tc>
      </w:tr>
      <w:tr w:rsidR="001F4B9D" w:rsidRPr="006E0AE9" w14:paraId="0D36E438" w14:textId="77777777" w:rsidTr="001F4B9D">
        <w:trPr>
          <w:trHeight w:val="276"/>
        </w:trPr>
        <w:tc>
          <w:tcPr>
            <w:tcW w:w="547" w:type="pct"/>
            <w:tcBorders>
              <w:top w:val="nil"/>
              <w:left w:val="nil"/>
              <w:bottom w:val="nil"/>
              <w:right w:val="nil"/>
            </w:tcBorders>
            <w:shd w:val="clear" w:color="auto" w:fill="auto"/>
            <w:noWrap/>
            <w:vAlign w:val="bottom"/>
            <w:hideMark/>
          </w:tcPr>
          <w:p w14:paraId="22A21FC3"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Malaysia</w:t>
            </w:r>
          </w:p>
        </w:tc>
        <w:tc>
          <w:tcPr>
            <w:tcW w:w="487" w:type="pct"/>
            <w:tcBorders>
              <w:top w:val="nil"/>
              <w:left w:val="nil"/>
              <w:bottom w:val="nil"/>
              <w:right w:val="nil"/>
            </w:tcBorders>
            <w:shd w:val="clear" w:color="auto" w:fill="auto"/>
            <w:noWrap/>
            <w:vAlign w:val="bottom"/>
            <w:hideMark/>
          </w:tcPr>
          <w:p w14:paraId="40A9425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0.0814</w:t>
            </w:r>
          </w:p>
        </w:tc>
        <w:tc>
          <w:tcPr>
            <w:tcW w:w="209" w:type="pct"/>
            <w:tcBorders>
              <w:top w:val="nil"/>
              <w:left w:val="nil"/>
              <w:bottom w:val="nil"/>
              <w:right w:val="nil"/>
            </w:tcBorders>
            <w:shd w:val="clear" w:color="auto" w:fill="auto"/>
            <w:noWrap/>
            <w:vAlign w:val="bottom"/>
            <w:hideMark/>
          </w:tcPr>
          <w:p w14:paraId="3863274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EE590B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0.0621</w:t>
            </w:r>
          </w:p>
        </w:tc>
        <w:tc>
          <w:tcPr>
            <w:tcW w:w="209" w:type="pct"/>
            <w:tcBorders>
              <w:top w:val="nil"/>
              <w:left w:val="nil"/>
              <w:bottom w:val="nil"/>
              <w:right w:val="nil"/>
            </w:tcBorders>
            <w:shd w:val="clear" w:color="auto" w:fill="auto"/>
            <w:noWrap/>
            <w:vAlign w:val="bottom"/>
            <w:hideMark/>
          </w:tcPr>
          <w:p w14:paraId="57ED03A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AB3368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0.0638</w:t>
            </w:r>
          </w:p>
        </w:tc>
        <w:tc>
          <w:tcPr>
            <w:tcW w:w="209" w:type="pct"/>
            <w:tcBorders>
              <w:top w:val="nil"/>
              <w:left w:val="nil"/>
              <w:bottom w:val="nil"/>
              <w:right w:val="nil"/>
            </w:tcBorders>
            <w:shd w:val="clear" w:color="auto" w:fill="auto"/>
            <w:noWrap/>
            <w:vAlign w:val="bottom"/>
            <w:hideMark/>
          </w:tcPr>
          <w:p w14:paraId="0840A13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2761E6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-0.0311</w:t>
            </w:r>
          </w:p>
        </w:tc>
        <w:tc>
          <w:tcPr>
            <w:tcW w:w="209" w:type="pct"/>
            <w:tcBorders>
              <w:top w:val="nil"/>
              <w:left w:val="nil"/>
              <w:bottom w:val="nil"/>
              <w:right w:val="nil"/>
            </w:tcBorders>
            <w:shd w:val="clear" w:color="auto" w:fill="auto"/>
            <w:noWrap/>
            <w:vAlign w:val="bottom"/>
            <w:hideMark/>
          </w:tcPr>
          <w:p w14:paraId="7878A08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6B2DF0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0.0625</w:t>
            </w:r>
          </w:p>
        </w:tc>
        <w:tc>
          <w:tcPr>
            <w:tcW w:w="209" w:type="pct"/>
            <w:tcBorders>
              <w:top w:val="nil"/>
              <w:left w:val="nil"/>
              <w:bottom w:val="nil"/>
              <w:right w:val="nil"/>
            </w:tcBorders>
            <w:shd w:val="clear" w:color="auto" w:fill="auto"/>
            <w:noWrap/>
            <w:vAlign w:val="bottom"/>
            <w:hideMark/>
          </w:tcPr>
          <w:p w14:paraId="5722680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5DFEC57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0.0633</w:t>
            </w:r>
          </w:p>
        </w:tc>
        <w:tc>
          <w:tcPr>
            <w:tcW w:w="209" w:type="pct"/>
            <w:tcBorders>
              <w:top w:val="nil"/>
              <w:left w:val="nil"/>
              <w:bottom w:val="nil"/>
              <w:right w:val="nil"/>
            </w:tcBorders>
            <w:shd w:val="clear" w:color="auto" w:fill="auto"/>
            <w:noWrap/>
            <w:vAlign w:val="bottom"/>
            <w:hideMark/>
          </w:tcPr>
          <w:p w14:paraId="11EB358A"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07719C8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0.0691</w:t>
            </w:r>
          </w:p>
        </w:tc>
        <w:tc>
          <w:tcPr>
            <w:tcW w:w="209" w:type="pct"/>
            <w:tcBorders>
              <w:top w:val="nil"/>
              <w:left w:val="nil"/>
              <w:bottom w:val="nil"/>
              <w:right w:val="nil"/>
            </w:tcBorders>
            <w:shd w:val="clear" w:color="auto" w:fill="auto"/>
            <w:noWrap/>
            <w:vAlign w:val="bottom"/>
            <w:hideMark/>
          </w:tcPr>
          <w:p w14:paraId="2C8F36D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44EDB899" w14:textId="77777777" w:rsidTr="001F4B9D">
        <w:trPr>
          <w:trHeight w:val="276"/>
        </w:trPr>
        <w:tc>
          <w:tcPr>
            <w:tcW w:w="547" w:type="pct"/>
            <w:tcBorders>
              <w:top w:val="nil"/>
              <w:left w:val="nil"/>
              <w:bottom w:val="nil"/>
              <w:right w:val="nil"/>
            </w:tcBorders>
            <w:shd w:val="clear" w:color="auto" w:fill="auto"/>
            <w:noWrap/>
            <w:vAlign w:val="bottom"/>
            <w:hideMark/>
          </w:tcPr>
          <w:p w14:paraId="0DDDE83A"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Pakistan</w:t>
            </w:r>
          </w:p>
        </w:tc>
        <w:tc>
          <w:tcPr>
            <w:tcW w:w="487" w:type="pct"/>
            <w:tcBorders>
              <w:top w:val="nil"/>
              <w:left w:val="nil"/>
              <w:bottom w:val="nil"/>
              <w:right w:val="nil"/>
            </w:tcBorders>
            <w:shd w:val="clear" w:color="auto" w:fill="auto"/>
            <w:noWrap/>
            <w:vAlign w:val="bottom"/>
            <w:hideMark/>
          </w:tcPr>
          <w:p w14:paraId="1522AF2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0.0679</w:t>
            </w:r>
          </w:p>
        </w:tc>
        <w:tc>
          <w:tcPr>
            <w:tcW w:w="209" w:type="pct"/>
            <w:tcBorders>
              <w:top w:val="nil"/>
              <w:left w:val="nil"/>
              <w:bottom w:val="nil"/>
              <w:right w:val="nil"/>
            </w:tcBorders>
            <w:shd w:val="clear" w:color="auto" w:fill="auto"/>
            <w:noWrap/>
            <w:vAlign w:val="bottom"/>
            <w:hideMark/>
          </w:tcPr>
          <w:p w14:paraId="6EA6E40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1385DCF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0.0548</w:t>
            </w:r>
          </w:p>
        </w:tc>
        <w:tc>
          <w:tcPr>
            <w:tcW w:w="209" w:type="pct"/>
            <w:tcBorders>
              <w:top w:val="nil"/>
              <w:left w:val="nil"/>
              <w:bottom w:val="nil"/>
              <w:right w:val="nil"/>
            </w:tcBorders>
            <w:shd w:val="clear" w:color="auto" w:fill="auto"/>
            <w:noWrap/>
            <w:vAlign w:val="bottom"/>
            <w:hideMark/>
          </w:tcPr>
          <w:p w14:paraId="117AF16F"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48CF2E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0.0737</w:t>
            </w:r>
          </w:p>
        </w:tc>
        <w:tc>
          <w:tcPr>
            <w:tcW w:w="209" w:type="pct"/>
            <w:tcBorders>
              <w:top w:val="nil"/>
              <w:left w:val="nil"/>
              <w:bottom w:val="nil"/>
              <w:right w:val="nil"/>
            </w:tcBorders>
            <w:shd w:val="clear" w:color="auto" w:fill="auto"/>
            <w:noWrap/>
            <w:vAlign w:val="bottom"/>
            <w:hideMark/>
          </w:tcPr>
          <w:p w14:paraId="1E4FA85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70F9E75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0.0206</w:t>
            </w:r>
          </w:p>
        </w:tc>
        <w:tc>
          <w:tcPr>
            <w:tcW w:w="209" w:type="pct"/>
            <w:tcBorders>
              <w:top w:val="nil"/>
              <w:left w:val="nil"/>
              <w:bottom w:val="nil"/>
              <w:right w:val="nil"/>
            </w:tcBorders>
            <w:shd w:val="clear" w:color="auto" w:fill="auto"/>
            <w:noWrap/>
            <w:vAlign w:val="bottom"/>
            <w:hideMark/>
          </w:tcPr>
          <w:p w14:paraId="3E2C2D3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FCED37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0.0723</w:t>
            </w:r>
          </w:p>
        </w:tc>
        <w:tc>
          <w:tcPr>
            <w:tcW w:w="209" w:type="pct"/>
            <w:tcBorders>
              <w:top w:val="nil"/>
              <w:left w:val="nil"/>
              <w:bottom w:val="nil"/>
              <w:right w:val="nil"/>
            </w:tcBorders>
            <w:shd w:val="clear" w:color="auto" w:fill="auto"/>
            <w:noWrap/>
            <w:vAlign w:val="bottom"/>
            <w:hideMark/>
          </w:tcPr>
          <w:p w14:paraId="7C93898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310895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0.0732</w:t>
            </w:r>
          </w:p>
        </w:tc>
        <w:tc>
          <w:tcPr>
            <w:tcW w:w="209" w:type="pct"/>
            <w:tcBorders>
              <w:top w:val="nil"/>
              <w:left w:val="nil"/>
              <w:bottom w:val="nil"/>
              <w:right w:val="nil"/>
            </w:tcBorders>
            <w:shd w:val="clear" w:color="auto" w:fill="auto"/>
            <w:noWrap/>
            <w:vAlign w:val="bottom"/>
            <w:hideMark/>
          </w:tcPr>
          <w:p w14:paraId="6C7295F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02F0152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0.0799</w:t>
            </w:r>
          </w:p>
        </w:tc>
        <w:tc>
          <w:tcPr>
            <w:tcW w:w="209" w:type="pct"/>
            <w:tcBorders>
              <w:top w:val="nil"/>
              <w:left w:val="nil"/>
              <w:bottom w:val="nil"/>
              <w:right w:val="nil"/>
            </w:tcBorders>
            <w:shd w:val="clear" w:color="auto" w:fill="auto"/>
            <w:noWrap/>
            <w:vAlign w:val="bottom"/>
            <w:hideMark/>
          </w:tcPr>
          <w:p w14:paraId="4F6731C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5C9D8BEB" w14:textId="77777777" w:rsidTr="001F4B9D">
        <w:trPr>
          <w:trHeight w:val="276"/>
        </w:trPr>
        <w:tc>
          <w:tcPr>
            <w:tcW w:w="547" w:type="pct"/>
            <w:tcBorders>
              <w:top w:val="nil"/>
              <w:left w:val="nil"/>
              <w:bottom w:val="nil"/>
              <w:right w:val="nil"/>
            </w:tcBorders>
            <w:shd w:val="clear" w:color="auto" w:fill="auto"/>
            <w:noWrap/>
            <w:vAlign w:val="bottom"/>
            <w:hideMark/>
          </w:tcPr>
          <w:p w14:paraId="6ECFA87C"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Saudi Arabia</w:t>
            </w:r>
          </w:p>
        </w:tc>
        <w:tc>
          <w:tcPr>
            <w:tcW w:w="487" w:type="pct"/>
            <w:tcBorders>
              <w:top w:val="nil"/>
              <w:left w:val="nil"/>
              <w:bottom w:val="nil"/>
              <w:right w:val="nil"/>
            </w:tcBorders>
            <w:shd w:val="clear" w:color="auto" w:fill="auto"/>
            <w:noWrap/>
            <w:vAlign w:val="bottom"/>
            <w:hideMark/>
          </w:tcPr>
          <w:p w14:paraId="2F7F944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0.0622</w:t>
            </w:r>
          </w:p>
        </w:tc>
        <w:tc>
          <w:tcPr>
            <w:tcW w:w="209" w:type="pct"/>
            <w:tcBorders>
              <w:top w:val="nil"/>
              <w:left w:val="nil"/>
              <w:bottom w:val="nil"/>
              <w:right w:val="nil"/>
            </w:tcBorders>
            <w:shd w:val="clear" w:color="auto" w:fill="auto"/>
            <w:noWrap/>
            <w:vAlign w:val="bottom"/>
            <w:hideMark/>
          </w:tcPr>
          <w:p w14:paraId="4C67818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9E0811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0.0935</w:t>
            </w:r>
          </w:p>
        </w:tc>
        <w:tc>
          <w:tcPr>
            <w:tcW w:w="209" w:type="pct"/>
            <w:tcBorders>
              <w:top w:val="nil"/>
              <w:left w:val="nil"/>
              <w:bottom w:val="nil"/>
              <w:right w:val="nil"/>
            </w:tcBorders>
            <w:shd w:val="clear" w:color="auto" w:fill="auto"/>
            <w:noWrap/>
            <w:vAlign w:val="bottom"/>
            <w:hideMark/>
          </w:tcPr>
          <w:p w14:paraId="74C61F6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FAFCBDE"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0.0925</w:t>
            </w:r>
          </w:p>
        </w:tc>
        <w:tc>
          <w:tcPr>
            <w:tcW w:w="209" w:type="pct"/>
            <w:tcBorders>
              <w:top w:val="nil"/>
              <w:left w:val="nil"/>
              <w:bottom w:val="nil"/>
              <w:right w:val="nil"/>
            </w:tcBorders>
            <w:shd w:val="clear" w:color="auto" w:fill="auto"/>
            <w:noWrap/>
            <w:vAlign w:val="bottom"/>
            <w:hideMark/>
          </w:tcPr>
          <w:p w14:paraId="462D03DA"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47F993F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-0.0161</w:t>
            </w:r>
          </w:p>
        </w:tc>
        <w:tc>
          <w:tcPr>
            <w:tcW w:w="209" w:type="pct"/>
            <w:tcBorders>
              <w:top w:val="nil"/>
              <w:left w:val="nil"/>
              <w:bottom w:val="nil"/>
              <w:right w:val="nil"/>
            </w:tcBorders>
            <w:shd w:val="clear" w:color="auto" w:fill="auto"/>
            <w:noWrap/>
            <w:vAlign w:val="bottom"/>
            <w:hideMark/>
          </w:tcPr>
          <w:p w14:paraId="4CAD64E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30508C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0.0907</w:t>
            </w:r>
          </w:p>
        </w:tc>
        <w:tc>
          <w:tcPr>
            <w:tcW w:w="209" w:type="pct"/>
            <w:tcBorders>
              <w:top w:val="nil"/>
              <w:left w:val="nil"/>
              <w:bottom w:val="nil"/>
              <w:right w:val="nil"/>
            </w:tcBorders>
            <w:shd w:val="clear" w:color="auto" w:fill="auto"/>
            <w:noWrap/>
            <w:vAlign w:val="bottom"/>
            <w:hideMark/>
          </w:tcPr>
          <w:p w14:paraId="632D79E0"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2A9753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0.0918</w:t>
            </w:r>
          </w:p>
        </w:tc>
        <w:tc>
          <w:tcPr>
            <w:tcW w:w="209" w:type="pct"/>
            <w:tcBorders>
              <w:top w:val="nil"/>
              <w:left w:val="nil"/>
              <w:bottom w:val="nil"/>
              <w:right w:val="nil"/>
            </w:tcBorders>
            <w:shd w:val="clear" w:color="auto" w:fill="auto"/>
            <w:noWrap/>
            <w:vAlign w:val="bottom"/>
            <w:hideMark/>
          </w:tcPr>
          <w:p w14:paraId="1A01CB7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51E6847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0.1001</w:t>
            </w:r>
          </w:p>
        </w:tc>
        <w:tc>
          <w:tcPr>
            <w:tcW w:w="209" w:type="pct"/>
            <w:tcBorders>
              <w:top w:val="nil"/>
              <w:left w:val="nil"/>
              <w:bottom w:val="nil"/>
              <w:right w:val="nil"/>
            </w:tcBorders>
            <w:shd w:val="clear" w:color="auto" w:fill="auto"/>
            <w:noWrap/>
            <w:vAlign w:val="bottom"/>
            <w:hideMark/>
          </w:tcPr>
          <w:p w14:paraId="1373CD7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6B6B1734" w14:textId="77777777" w:rsidTr="001F4B9D">
        <w:trPr>
          <w:trHeight w:val="276"/>
        </w:trPr>
        <w:tc>
          <w:tcPr>
            <w:tcW w:w="547" w:type="pct"/>
            <w:tcBorders>
              <w:top w:val="nil"/>
              <w:left w:val="nil"/>
              <w:bottom w:val="nil"/>
              <w:right w:val="nil"/>
            </w:tcBorders>
            <w:shd w:val="clear" w:color="auto" w:fill="auto"/>
            <w:noWrap/>
            <w:vAlign w:val="bottom"/>
            <w:hideMark/>
          </w:tcPr>
          <w:p w14:paraId="230D99BA"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Qatar</w:t>
            </w:r>
          </w:p>
        </w:tc>
        <w:tc>
          <w:tcPr>
            <w:tcW w:w="487" w:type="pct"/>
            <w:tcBorders>
              <w:top w:val="nil"/>
              <w:left w:val="nil"/>
              <w:bottom w:val="nil"/>
              <w:right w:val="nil"/>
            </w:tcBorders>
            <w:shd w:val="clear" w:color="auto" w:fill="auto"/>
            <w:noWrap/>
            <w:vAlign w:val="bottom"/>
            <w:hideMark/>
          </w:tcPr>
          <w:p w14:paraId="5BCF48D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0.0813</w:t>
            </w:r>
          </w:p>
        </w:tc>
        <w:tc>
          <w:tcPr>
            <w:tcW w:w="209" w:type="pct"/>
            <w:tcBorders>
              <w:top w:val="nil"/>
              <w:left w:val="nil"/>
              <w:bottom w:val="nil"/>
              <w:right w:val="nil"/>
            </w:tcBorders>
            <w:shd w:val="clear" w:color="auto" w:fill="auto"/>
            <w:noWrap/>
            <w:vAlign w:val="bottom"/>
            <w:hideMark/>
          </w:tcPr>
          <w:p w14:paraId="3A2B2D6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2579066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0.0668</w:t>
            </w:r>
          </w:p>
        </w:tc>
        <w:tc>
          <w:tcPr>
            <w:tcW w:w="209" w:type="pct"/>
            <w:tcBorders>
              <w:top w:val="nil"/>
              <w:left w:val="nil"/>
              <w:bottom w:val="nil"/>
              <w:right w:val="nil"/>
            </w:tcBorders>
            <w:shd w:val="clear" w:color="auto" w:fill="auto"/>
            <w:noWrap/>
            <w:vAlign w:val="bottom"/>
            <w:hideMark/>
          </w:tcPr>
          <w:p w14:paraId="2EF79CA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C41501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0.0884</w:t>
            </w:r>
          </w:p>
        </w:tc>
        <w:tc>
          <w:tcPr>
            <w:tcW w:w="209" w:type="pct"/>
            <w:tcBorders>
              <w:top w:val="nil"/>
              <w:left w:val="nil"/>
              <w:bottom w:val="nil"/>
              <w:right w:val="nil"/>
            </w:tcBorders>
            <w:shd w:val="clear" w:color="auto" w:fill="auto"/>
            <w:noWrap/>
            <w:vAlign w:val="bottom"/>
            <w:hideMark/>
          </w:tcPr>
          <w:p w14:paraId="20AB512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67547511"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-0.0158</w:t>
            </w:r>
          </w:p>
        </w:tc>
        <w:tc>
          <w:tcPr>
            <w:tcW w:w="209" w:type="pct"/>
            <w:tcBorders>
              <w:top w:val="nil"/>
              <w:left w:val="nil"/>
              <w:bottom w:val="nil"/>
              <w:right w:val="nil"/>
            </w:tcBorders>
            <w:shd w:val="clear" w:color="auto" w:fill="auto"/>
            <w:noWrap/>
            <w:vAlign w:val="bottom"/>
            <w:hideMark/>
          </w:tcPr>
          <w:p w14:paraId="2E1C06B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043A3F6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0.0867</w:t>
            </w:r>
          </w:p>
        </w:tc>
        <w:tc>
          <w:tcPr>
            <w:tcW w:w="209" w:type="pct"/>
            <w:tcBorders>
              <w:top w:val="nil"/>
              <w:left w:val="nil"/>
              <w:bottom w:val="nil"/>
              <w:right w:val="nil"/>
            </w:tcBorders>
            <w:shd w:val="clear" w:color="auto" w:fill="auto"/>
            <w:noWrap/>
            <w:vAlign w:val="bottom"/>
            <w:hideMark/>
          </w:tcPr>
          <w:p w14:paraId="499FDAC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1498647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0.0877</w:t>
            </w:r>
          </w:p>
        </w:tc>
        <w:tc>
          <w:tcPr>
            <w:tcW w:w="209" w:type="pct"/>
            <w:tcBorders>
              <w:top w:val="nil"/>
              <w:left w:val="nil"/>
              <w:bottom w:val="nil"/>
              <w:right w:val="nil"/>
            </w:tcBorders>
            <w:shd w:val="clear" w:color="auto" w:fill="auto"/>
            <w:noWrap/>
            <w:vAlign w:val="bottom"/>
            <w:hideMark/>
          </w:tcPr>
          <w:p w14:paraId="3552620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4885122"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0.0958</w:t>
            </w:r>
          </w:p>
        </w:tc>
        <w:tc>
          <w:tcPr>
            <w:tcW w:w="209" w:type="pct"/>
            <w:tcBorders>
              <w:top w:val="nil"/>
              <w:left w:val="nil"/>
              <w:bottom w:val="nil"/>
              <w:right w:val="nil"/>
            </w:tcBorders>
            <w:shd w:val="clear" w:color="auto" w:fill="auto"/>
            <w:noWrap/>
            <w:vAlign w:val="bottom"/>
            <w:hideMark/>
          </w:tcPr>
          <w:p w14:paraId="6C9D58F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01A17EAF" w14:textId="77777777" w:rsidTr="001F4B9D">
        <w:trPr>
          <w:trHeight w:val="276"/>
        </w:trPr>
        <w:tc>
          <w:tcPr>
            <w:tcW w:w="547" w:type="pct"/>
            <w:tcBorders>
              <w:top w:val="nil"/>
              <w:left w:val="nil"/>
              <w:bottom w:val="nil"/>
              <w:right w:val="nil"/>
            </w:tcBorders>
            <w:shd w:val="clear" w:color="auto" w:fill="auto"/>
            <w:noWrap/>
            <w:vAlign w:val="bottom"/>
            <w:hideMark/>
          </w:tcPr>
          <w:p w14:paraId="06662280"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Kuwait</w:t>
            </w:r>
          </w:p>
        </w:tc>
        <w:tc>
          <w:tcPr>
            <w:tcW w:w="487" w:type="pct"/>
            <w:tcBorders>
              <w:top w:val="nil"/>
              <w:left w:val="nil"/>
              <w:bottom w:val="nil"/>
              <w:right w:val="nil"/>
            </w:tcBorders>
            <w:shd w:val="clear" w:color="auto" w:fill="auto"/>
            <w:noWrap/>
            <w:vAlign w:val="bottom"/>
            <w:hideMark/>
          </w:tcPr>
          <w:p w14:paraId="17463EA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0.0504</w:t>
            </w:r>
          </w:p>
        </w:tc>
        <w:tc>
          <w:tcPr>
            <w:tcW w:w="209" w:type="pct"/>
            <w:tcBorders>
              <w:top w:val="nil"/>
              <w:left w:val="nil"/>
              <w:bottom w:val="nil"/>
              <w:right w:val="nil"/>
            </w:tcBorders>
            <w:shd w:val="clear" w:color="auto" w:fill="auto"/>
            <w:noWrap/>
            <w:vAlign w:val="bottom"/>
            <w:hideMark/>
          </w:tcPr>
          <w:p w14:paraId="7CDF32D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19AE1A3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0.0848</w:t>
            </w:r>
          </w:p>
        </w:tc>
        <w:tc>
          <w:tcPr>
            <w:tcW w:w="209" w:type="pct"/>
            <w:tcBorders>
              <w:top w:val="nil"/>
              <w:left w:val="nil"/>
              <w:bottom w:val="nil"/>
              <w:right w:val="nil"/>
            </w:tcBorders>
            <w:shd w:val="clear" w:color="auto" w:fill="auto"/>
            <w:noWrap/>
            <w:vAlign w:val="bottom"/>
            <w:hideMark/>
          </w:tcPr>
          <w:p w14:paraId="4730FED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DAE04F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0.0488</w:t>
            </w:r>
          </w:p>
        </w:tc>
        <w:tc>
          <w:tcPr>
            <w:tcW w:w="209" w:type="pct"/>
            <w:tcBorders>
              <w:top w:val="nil"/>
              <w:left w:val="nil"/>
              <w:bottom w:val="nil"/>
              <w:right w:val="nil"/>
            </w:tcBorders>
            <w:shd w:val="clear" w:color="auto" w:fill="auto"/>
            <w:noWrap/>
            <w:vAlign w:val="bottom"/>
            <w:hideMark/>
          </w:tcPr>
          <w:p w14:paraId="5800E5F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583596C"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-0.0080</w:t>
            </w:r>
          </w:p>
        </w:tc>
        <w:tc>
          <w:tcPr>
            <w:tcW w:w="209" w:type="pct"/>
            <w:tcBorders>
              <w:top w:val="nil"/>
              <w:left w:val="nil"/>
              <w:bottom w:val="nil"/>
              <w:right w:val="nil"/>
            </w:tcBorders>
            <w:shd w:val="clear" w:color="auto" w:fill="auto"/>
            <w:noWrap/>
            <w:vAlign w:val="bottom"/>
            <w:hideMark/>
          </w:tcPr>
          <w:p w14:paraId="0B0A678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2932004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0.0479</w:t>
            </w:r>
          </w:p>
        </w:tc>
        <w:tc>
          <w:tcPr>
            <w:tcW w:w="209" w:type="pct"/>
            <w:tcBorders>
              <w:top w:val="nil"/>
              <w:left w:val="nil"/>
              <w:bottom w:val="nil"/>
              <w:right w:val="nil"/>
            </w:tcBorders>
            <w:shd w:val="clear" w:color="auto" w:fill="auto"/>
            <w:noWrap/>
            <w:vAlign w:val="bottom"/>
            <w:hideMark/>
          </w:tcPr>
          <w:p w14:paraId="7E418F0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3418638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0.0485</w:t>
            </w:r>
          </w:p>
        </w:tc>
        <w:tc>
          <w:tcPr>
            <w:tcW w:w="209" w:type="pct"/>
            <w:tcBorders>
              <w:top w:val="nil"/>
              <w:left w:val="nil"/>
              <w:bottom w:val="nil"/>
              <w:right w:val="nil"/>
            </w:tcBorders>
            <w:shd w:val="clear" w:color="auto" w:fill="auto"/>
            <w:noWrap/>
            <w:vAlign w:val="bottom"/>
            <w:hideMark/>
          </w:tcPr>
          <w:p w14:paraId="26AEC1D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nil"/>
              <w:right w:val="nil"/>
            </w:tcBorders>
            <w:shd w:val="clear" w:color="auto" w:fill="auto"/>
            <w:noWrap/>
            <w:vAlign w:val="bottom"/>
            <w:hideMark/>
          </w:tcPr>
          <w:p w14:paraId="194FAE8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0.0529</w:t>
            </w:r>
          </w:p>
        </w:tc>
        <w:tc>
          <w:tcPr>
            <w:tcW w:w="209" w:type="pct"/>
            <w:tcBorders>
              <w:top w:val="nil"/>
              <w:left w:val="nil"/>
              <w:bottom w:val="nil"/>
              <w:right w:val="nil"/>
            </w:tcBorders>
            <w:shd w:val="clear" w:color="auto" w:fill="auto"/>
            <w:noWrap/>
            <w:vAlign w:val="bottom"/>
            <w:hideMark/>
          </w:tcPr>
          <w:p w14:paraId="20E80F59"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r w:rsidR="001F4B9D" w:rsidRPr="006E0AE9" w14:paraId="2CDCAEE4" w14:textId="77777777" w:rsidTr="001F4B9D">
        <w:trPr>
          <w:trHeight w:val="276"/>
        </w:trPr>
        <w:tc>
          <w:tcPr>
            <w:tcW w:w="547" w:type="pct"/>
            <w:tcBorders>
              <w:top w:val="nil"/>
              <w:left w:val="nil"/>
              <w:bottom w:val="single" w:sz="4" w:space="0" w:color="auto"/>
              <w:right w:val="nil"/>
            </w:tcBorders>
            <w:shd w:val="clear" w:color="auto" w:fill="auto"/>
            <w:noWrap/>
            <w:vAlign w:val="bottom"/>
            <w:hideMark/>
          </w:tcPr>
          <w:p w14:paraId="2B85BFA4" w14:textId="77777777" w:rsidR="001F4B9D" w:rsidRPr="006E0AE9" w:rsidRDefault="001F4B9D" w:rsidP="00CD0BBE">
            <w:pPr>
              <w:spacing w:after="0" w:line="240" w:lineRule="auto"/>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UAE</w:t>
            </w:r>
          </w:p>
        </w:tc>
        <w:tc>
          <w:tcPr>
            <w:tcW w:w="487" w:type="pct"/>
            <w:tcBorders>
              <w:top w:val="nil"/>
              <w:left w:val="nil"/>
              <w:bottom w:val="single" w:sz="4" w:space="0" w:color="auto"/>
              <w:right w:val="nil"/>
            </w:tcBorders>
            <w:shd w:val="clear" w:color="auto" w:fill="auto"/>
            <w:noWrap/>
            <w:vAlign w:val="bottom"/>
            <w:hideMark/>
          </w:tcPr>
          <w:p w14:paraId="4515B5A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0.0936</w:t>
            </w:r>
          </w:p>
        </w:tc>
        <w:tc>
          <w:tcPr>
            <w:tcW w:w="209" w:type="pct"/>
            <w:tcBorders>
              <w:top w:val="nil"/>
              <w:left w:val="nil"/>
              <w:bottom w:val="single" w:sz="4" w:space="0" w:color="auto"/>
              <w:right w:val="nil"/>
            </w:tcBorders>
            <w:shd w:val="clear" w:color="auto" w:fill="auto"/>
            <w:noWrap/>
            <w:vAlign w:val="bottom"/>
            <w:hideMark/>
          </w:tcPr>
          <w:p w14:paraId="6CE74436"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single" w:sz="4" w:space="0" w:color="auto"/>
              <w:right w:val="nil"/>
            </w:tcBorders>
            <w:shd w:val="clear" w:color="auto" w:fill="auto"/>
            <w:noWrap/>
            <w:vAlign w:val="bottom"/>
            <w:hideMark/>
          </w:tcPr>
          <w:p w14:paraId="7F30C11A"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0.0781</w:t>
            </w:r>
          </w:p>
        </w:tc>
        <w:tc>
          <w:tcPr>
            <w:tcW w:w="209" w:type="pct"/>
            <w:tcBorders>
              <w:top w:val="nil"/>
              <w:left w:val="nil"/>
              <w:bottom w:val="single" w:sz="4" w:space="0" w:color="auto"/>
              <w:right w:val="nil"/>
            </w:tcBorders>
            <w:shd w:val="clear" w:color="auto" w:fill="auto"/>
            <w:noWrap/>
            <w:vAlign w:val="bottom"/>
            <w:hideMark/>
          </w:tcPr>
          <w:p w14:paraId="0C6CFB7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single" w:sz="4" w:space="0" w:color="auto"/>
              <w:right w:val="nil"/>
            </w:tcBorders>
            <w:shd w:val="clear" w:color="auto" w:fill="auto"/>
            <w:noWrap/>
            <w:vAlign w:val="bottom"/>
            <w:hideMark/>
          </w:tcPr>
          <w:p w14:paraId="4BF7787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0.0281</w:t>
            </w:r>
          </w:p>
        </w:tc>
        <w:tc>
          <w:tcPr>
            <w:tcW w:w="209" w:type="pct"/>
            <w:tcBorders>
              <w:top w:val="nil"/>
              <w:left w:val="nil"/>
              <w:bottom w:val="single" w:sz="4" w:space="0" w:color="auto"/>
              <w:right w:val="nil"/>
            </w:tcBorders>
            <w:shd w:val="clear" w:color="auto" w:fill="auto"/>
            <w:noWrap/>
            <w:vAlign w:val="bottom"/>
            <w:hideMark/>
          </w:tcPr>
          <w:p w14:paraId="6FD5599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single" w:sz="4" w:space="0" w:color="auto"/>
              <w:right w:val="nil"/>
            </w:tcBorders>
            <w:shd w:val="clear" w:color="auto" w:fill="auto"/>
            <w:noWrap/>
            <w:vAlign w:val="bottom"/>
            <w:hideMark/>
          </w:tcPr>
          <w:p w14:paraId="66DA4F44"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-0.0108</w:t>
            </w:r>
          </w:p>
        </w:tc>
        <w:tc>
          <w:tcPr>
            <w:tcW w:w="209" w:type="pct"/>
            <w:tcBorders>
              <w:top w:val="nil"/>
              <w:left w:val="nil"/>
              <w:bottom w:val="single" w:sz="4" w:space="0" w:color="auto"/>
              <w:right w:val="nil"/>
            </w:tcBorders>
            <w:shd w:val="clear" w:color="auto" w:fill="auto"/>
            <w:noWrap/>
            <w:vAlign w:val="bottom"/>
            <w:hideMark/>
          </w:tcPr>
          <w:p w14:paraId="601FCF1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single" w:sz="4" w:space="0" w:color="auto"/>
              <w:right w:val="nil"/>
            </w:tcBorders>
            <w:shd w:val="clear" w:color="auto" w:fill="auto"/>
            <w:noWrap/>
            <w:vAlign w:val="bottom"/>
            <w:hideMark/>
          </w:tcPr>
          <w:p w14:paraId="3F57F0E8"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0.0276</w:t>
            </w:r>
          </w:p>
        </w:tc>
        <w:tc>
          <w:tcPr>
            <w:tcW w:w="209" w:type="pct"/>
            <w:tcBorders>
              <w:top w:val="nil"/>
              <w:left w:val="nil"/>
              <w:bottom w:val="single" w:sz="4" w:space="0" w:color="auto"/>
              <w:right w:val="nil"/>
            </w:tcBorders>
            <w:shd w:val="clear" w:color="auto" w:fill="auto"/>
            <w:noWrap/>
            <w:vAlign w:val="bottom"/>
            <w:hideMark/>
          </w:tcPr>
          <w:p w14:paraId="2BC1C86D"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single" w:sz="4" w:space="0" w:color="auto"/>
              <w:right w:val="nil"/>
            </w:tcBorders>
            <w:shd w:val="clear" w:color="auto" w:fill="auto"/>
            <w:noWrap/>
            <w:vAlign w:val="bottom"/>
            <w:hideMark/>
          </w:tcPr>
          <w:p w14:paraId="4432D6C3"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0.0279</w:t>
            </w:r>
          </w:p>
        </w:tc>
        <w:tc>
          <w:tcPr>
            <w:tcW w:w="209" w:type="pct"/>
            <w:tcBorders>
              <w:top w:val="nil"/>
              <w:left w:val="nil"/>
              <w:bottom w:val="single" w:sz="4" w:space="0" w:color="auto"/>
              <w:right w:val="nil"/>
            </w:tcBorders>
            <w:shd w:val="clear" w:color="auto" w:fill="auto"/>
            <w:noWrap/>
            <w:vAlign w:val="bottom"/>
            <w:hideMark/>
          </w:tcPr>
          <w:p w14:paraId="6D65D685"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c>
          <w:tcPr>
            <w:tcW w:w="417" w:type="pct"/>
            <w:tcBorders>
              <w:top w:val="nil"/>
              <w:left w:val="nil"/>
              <w:bottom w:val="single" w:sz="4" w:space="0" w:color="auto"/>
              <w:right w:val="nil"/>
            </w:tcBorders>
            <w:shd w:val="clear" w:color="auto" w:fill="auto"/>
            <w:noWrap/>
            <w:vAlign w:val="bottom"/>
            <w:hideMark/>
          </w:tcPr>
          <w:p w14:paraId="76E3AACB"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0.0305</w:t>
            </w:r>
          </w:p>
        </w:tc>
        <w:tc>
          <w:tcPr>
            <w:tcW w:w="209" w:type="pct"/>
            <w:tcBorders>
              <w:top w:val="nil"/>
              <w:left w:val="nil"/>
              <w:bottom w:val="single" w:sz="4" w:space="0" w:color="auto"/>
              <w:right w:val="nil"/>
            </w:tcBorders>
            <w:shd w:val="clear" w:color="auto" w:fill="auto"/>
            <w:noWrap/>
            <w:vAlign w:val="bottom"/>
            <w:hideMark/>
          </w:tcPr>
          <w:p w14:paraId="171C1EF7" w14:textId="77777777" w:rsidR="001F4B9D" w:rsidRPr="006E0AE9" w:rsidRDefault="001F4B9D" w:rsidP="00CD0BBE">
            <w:pPr>
              <w:spacing w:after="0" w:line="240" w:lineRule="auto"/>
              <w:jc w:val="center"/>
              <w:rPr>
                <w:rFonts w:ascii="Times New Roman" w:eastAsia="Times New Roman" w:hAnsi="Times New Roman" w:cs="Times New Roman"/>
                <w:color w:val="000000"/>
                <w:lang w:eastAsia="en-GB"/>
              </w:rPr>
            </w:pPr>
            <w:r w:rsidRPr="006E0AE9">
              <w:rPr>
                <w:rFonts w:ascii="Times New Roman" w:eastAsia="Times New Roman" w:hAnsi="Times New Roman" w:cs="Times New Roman"/>
                <w:color w:val="000000"/>
                <w:lang w:eastAsia="en-GB"/>
              </w:rPr>
              <w:t>**</w:t>
            </w:r>
          </w:p>
        </w:tc>
      </w:tr>
    </w:tbl>
    <w:p w14:paraId="292E2D68" w14:textId="77777777" w:rsidR="001F4B9D" w:rsidRPr="00663DE1" w:rsidRDefault="001F4B9D" w:rsidP="001F4B9D">
      <w:pPr>
        <w:rPr>
          <w:rFonts w:ascii="Times New Roman" w:hAnsi="Times New Roman" w:cs="Times New Roman"/>
        </w:rPr>
      </w:pPr>
      <w:r w:rsidRPr="00283DA4">
        <w:rPr>
          <w:rFonts w:ascii="Times New Roman" w:eastAsia="Times New Roman" w:hAnsi="Times New Roman" w:cs="Times New Roman"/>
          <w:color w:val="000000"/>
          <w:lang w:eastAsia="en-GB"/>
        </w:rPr>
        <w:t>***represent significance at 1%, ** at 5% and * at 10%</w:t>
      </w:r>
    </w:p>
    <w:p w14:paraId="6B90BAAE" w14:textId="77777777" w:rsidR="001F4B9D" w:rsidRPr="00663DE1" w:rsidRDefault="001F4B9D" w:rsidP="001F4B9D">
      <w:pPr>
        <w:rPr>
          <w:rFonts w:ascii="Times New Roman" w:hAnsi="Times New Roman" w:cs="Times New Roman"/>
        </w:rPr>
      </w:pPr>
    </w:p>
    <w:p w14:paraId="04AC14EC" w14:textId="58AB4207" w:rsidR="001F4B9D" w:rsidRDefault="001F4B9D" w:rsidP="00FC4480">
      <w:pPr>
        <w:spacing w:after="0" w:line="480" w:lineRule="auto"/>
        <w:jc w:val="both"/>
        <w:rPr>
          <w:rFonts w:ascii="Times New Roman" w:hAnsi="Times New Roman" w:cs="Times New Roman"/>
          <w:sz w:val="24"/>
          <w:szCs w:val="24"/>
        </w:rPr>
      </w:pPr>
    </w:p>
    <w:p w14:paraId="5F8617DA" w14:textId="77777777" w:rsidR="001F4B9D" w:rsidRPr="0006721E" w:rsidRDefault="001F4B9D" w:rsidP="00FC4480">
      <w:pPr>
        <w:spacing w:after="0" w:line="480" w:lineRule="auto"/>
        <w:jc w:val="both"/>
        <w:rPr>
          <w:rFonts w:ascii="Times New Roman" w:hAnsi="Times New Roman" w:cs="Times New Roman"/>
          <w:sz w:val="24"/>
          <w:szCs w:val="24"/>
        </w:rPr>
      </w:pPr>
    </w:p>
    <w:sectPr w:rsidR="001F4B9D" w:rsidRPr="0006721E" w:rsidSect="00306401">
      <w:footerReference w:type="default" r:id="rId32"/>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CDADF" w14:textId="77777777" w:rsidR="00D45B89" w:rsidRDefault="00D45B89" w:rsidP="00F43B80">
      <w:pPr>
        <w:spacing w:after="0" w:line="240" w:lineRule="auto"/>
      </w:pPr>
      <w:r>
        <w:separator/>
      </w:r>
    </w:p>
  </w:endnote>
  <w:endnote w:type="continuationSeparator" w:id="0">
    <w:p w14:paraId="3C701B88" w14:textId="77777777" w:rsidR="00D45B89" w:rsidRDefault="00D45B89" w:rsidP="00F4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080863"/>
      <w:docPartObj>
        <w:docPartGallery w:val="Page Numbers (Bottom of Page)"/>
        <w:docPartUnique/>
      </w:docPartObj>
    </w:sdtPr>
    <w:sdtEndPr>
      <w:rPr>
        <w:noProof/>
      </w:rPr>
    </w:sdtEndPr>
    <w:sdtContent>
      <w:p w14:paraId="5834DA9D" w14:textId="494D3619" w:rsidR="000602D0" w:rsidRDefault="000602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E2A43" w14:textId="77777777" w:rsidR="000602D0" w:rsidRDefault="00060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825682"/>
      <w:docPartObj>
        <w:docPartGallery w:val="Page Numbers (Bottom of Page)"/>
        <w:docPartUnique/>
      </w:docPartObj>
    </w:sdtPr>
    <w:sdtEndPr>
      <w:rPr>
        <w:noProof/>
      </w:rPr>
    </w:sdtEndPr>
    <w:sdtContent>
      <w:p w14:paraId="03A81F0A" w14:textId="77777777" w:rsidR="000602D0" w:rsidRDefault="000602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BB6A58" w14:textId="77777777" w:rsidR="000602D0" w:rsidRDefault="0006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CA530" w14:textId="77777777" w:rsidR="00D45B89" w:rsidRDefault="00D45B89" w:rsidP="00F43B80">
      <w:pPr>
        <w:spacing w:after="0" w:line="240" w:lineRule="auto"/>
      </w:pPr>
      <w:r>
        <w:separator/>
      </w:r>
    </w:p>
  </w:footnote>
  <w:footnote w:type="continuationSeparator" w:id="0">
    <w:p w14:paraId="5B693242" w14:textId="77777777" w:rsidR="00D45B89" w:rsidRDefault="00D45B89" w:rsidP="00F4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TU3MzcxNDQ0MbJQ0lEKTi0uzszPAymwqAUANLb3VCwAAAA="/>
  </w:docVars>
  <w:rsids>
    <w:rsidRoot w:val="002307D5"/>
    <w:rsid w:val="00001DC1"/>
    <w:rsid w:val="0001236C"/>
    <w:rsid w:val="000149D2"/>
    <w:rsid w:val="0001545F"/>
    <w:rsid w:val="00015EAC"/>
    <w:rsid w:val="00016958"/>
    <w:rsid w:val="000175AF"/>
    <w:rsid w:val="00024E54"/>
    <w:rsid w:val="0002663E"/>
    <w:rsid w:val="00033836"/>
    <w:rsid w:val="00036AE4"/>
    <w:rsid w:val="000406A9"/>
    <w:rsid w:val="00040E06"/>
    <w:rsid w:val="00047F85"/>
    <w:rsid w:val="00056ED5"/>
    <w:rsid w:val="000602D0"/>
    <w:rsid w:val="000611CF"/>
    <w:rsid w:val="00061594"/>
    <w:rsid w:val="00061E87"/>
    <w:rsid w:val="0006721E"/>
    <w:rsid w:val="00067365"/>
    <w:rsid w:val="00072988"/>
    <w:rsid w:val="0008129B"/>
    <w:rsid w:val="00083DA6"/>
    <w:rsid w:val="0008494C"/>
    <w:rsid w:val="00096438"/>
    <w:rsid w:val="000A2EAC"/>
    <w:rsid w:val="000A6DD8"/>
    <w:rsid w:val="000B2327"/>
    <w:rsid w:val="000B5D38"/>
    <w:rsid w:val="000B7174"/>
    <w:rsid w:val="000B781B"/>
    <w:rsid w:val="000D3CE1"/>
    <w:rsid w:val="000D3DF0"/>
    <w:rsid w:val="000E388C"/>
    <w:rsid w:val="000E6A52"/>
    <w:rsid w:val="000F0CDB"/>
    <w:rsid w:val="000F30FC"/>
    <w:rsid w:val="000F347C"/>
    <w:rsid w:val="00101DAD"/>
    <w:rsid w:val="00116629"/>
    <w:rsid w:val="00121794"/>
    <w:rsid w:val="00121EF2"/>
    <w:rsid w:val="00123B6C"/>
    <w:rsid w:val="00125C57"/>
    <w:rsid w:val="00126B03"/>
    <w:rsid w:val="00135139"/>
    <w:rsid w:val="00136F15"/>
    <w:rsid w:val="00147F22"/>
    <w:rsid w:val="00150A40"/>
    <w:rsid w:val="001518F3"/>
    <w:rsid w:val="00154F20"/>
    <w:rsid w:val="00157421"/>
    <w:rsid w:val="00157ACF"/>
    <w:rsid w:val="0016751E"/>
    <w:rsid w:val="0017012D"/>
    <w:rsid w:val="0017546B"/>
    <w:rsid w:val="001761E5"/>
    <w:rsid w:val="00177DD5"/>
    <w:rsid w:val="00181A9B"/>
    <w:rsid w:val="00182C06"/>
    <w:rsid w:val="00183D5D"/>
    <w:rsid w:val="00184F56"/>
    <w:rsid w:val="00193273"/>
    <w:rsid w:val="001979F3"/>
    <w:rsid w:val="001A1BB6"/>
    <w:rsid w:val="001A34B4"/>
    <w:rsid w:val="001A6CFE"/>
    <w:rsid w:val="001A76B4"/>
    <w:rsid w:val="001B076B"/>
    <w:rsid w:val="001B24F7"/>
    <w:rsid w:val="001B50C5"/>
    <w:rsid w:val="001C45B8"/>
    <w:rsid w:val="001C73C2"/>
    <w:rsid w:val="001D13B4"/>
    <w:rsid w:val="001D2039"/>
    <w:rsid w:val="001D7F32"/>
    <w:rsid w:val="001E088F"/>
    <w:rsid w:val="001F34CC"/>
    <w:rsid w:val="001F3588"/>
    <w:rsid w:val="001F4B9D"/>
    <w:rsid w:val="001F5CE8"/>
    <w:rsid w:val="0020348E"/>
    <w:rsid w:val="0020392F"/>
    <w:rsid w:val="0021084E"/>
    <w:rsid w:val="002150DF"/>
    <w:rsid w:val="002154D6"/>
    <w:rsid w:val="002170D4"/>
    <w:rsid w:val="0021756B"/>
    <w:rsid w:val="00223272"/>
    <w:rsid w:val="002307D5"/>
    <w:rsid w:val="00230BF6"/>
    <w:rsid w:val="00235AC6"/>
    <w:rsid w:val="002438C7"/>
    <w:rsid w:val="002530BC"/>
    <w:rsid w:val="00253845"/>
    <w:rsid w:val="00256BD6"/>
    <w:rsid w:val="00256C54"/>
    <w:rsid w:val="0025703D"/>
    <w:rsid w:val="002575A2"/>
    <w:rsid w:val="00261278"/>
    <w:rsid w:val="0026258A"/>
    <w:rsid w:val="0026392A"/>
    <w:rsid w:val="0026799D"/>
    <w:rsid w:val="00271995"/>
    <w:rsid w:val="00277688"/>
    <w:rsid w:val="002908DA"/>
    <w:rsid w:val="00290D8B"/>
    <w:rsid w:val="002952D6"/>
    <w:rsid w:val="00296E85"/>
    <w:rsid w:val="00297C9B"/>
    <w:rsid w:val="002A0A6D"/>
    <w:rsid w:val="002A207E"/>
    <w:rsid w:val="002A2731"/>
    <w:rsid w:val="002A27B0"/>
    <w:rsid w:val="002A4EAC"/>
    <w:rsid w:val="002B2241"/>
    <w:rsid w:val="002B3CD3"/>
    <w:rsid w:val="002C68B6"/>
    <w:rsid w:val="002C6BB5"/>
    <w:rsid w:val="002C7403"/>
    <w:rsid w:val="002D3EEB"/>
    <w:rsid w:val="002D712D"/>
    <w:rsid w:val="002E2E11"/>
    <w:rsid w:val="002E7540"/>
    <w:rsid w:val="002E7FF9"/>
    <w:rsid w:val="002F591F"/>
    <w:rsid w:val="002F5BFC"/>
    <w:rsid w:val="002F63FC"/>
    <w:rsid w:val="00302A55"/>
    <w:rsid w:val="00306401"/>
    <w:rsid w:val="00306FFF"/>
    <w:rsid w:val="00310190"/>
    <w:rsid w:val="00316A5C"/>
    <w:rsid w:val="0031755E"/>
    <w:rsid w:val="00320334"/>
    <w:rsid w:val="00321398"/>
    <w:rsid w:val="003257EA"/>
    <w:rsid w:val="00330A7B"/>
    <w:rsid w:val="00330CAC"/>
    <w:rsid w:val="00333E46"/>
    <w:rsid w:val="00335213"/>
    <w:rsid w:val="00335A3A"/>
    <w:rsid w:val="00342B52"/>
    <w:rsid w:val="00345020"/>
    <w:rsid w:val="003469CF"/>
    <w:rsid w:val="00351E05"/>
    <w:rsid w:val="00352570"/>
    <w:rsid w:val="00352A70"/>
    <w:rsid w:val="00355A8E"/>
    <w:rsid w:val="00361F2E"/>
    <w:rsid w:val="00362ABF"/>
    <w:rsid w:val="00364F53"/>
    <w:rsid w:val="00366208"/>
    <w:rsid w:val="0037161F"/>
    <w:rsid w:val="0037556B"/>
    <w:rsid w:val="00377AD4"/>
    <w:rsid w:val="00380013"/>
    <w:rsid w:val="0038159A"/>
    <w:rsid w:val="00382503"/>
    <w:rsid w:val="003845D4"/>
    <w:rsid w:val="00386C4C"/>
    <w:rsid w:val="003951A4"/>
    <w:rsid w:val="003A2857"/>
    <w:rsid w:val="003A3601"/>
    <w:rsid w:val="003B1287"/>
    <w:rsid w:val="003B1B88"/>
    <w:rsid w:val="003B2F89"/>
    <w:rsid w:val="003B321E"/>
    <w:rsid w:val="003B33AA"/>
    <w:rsid w:val="003C42B8"/>
    <w:rsid w:val="003D549F"/>
    <w:rsid w:val="003D68BD"/>
    <w:rsid w:val="003D6D88"/>
    <w:rsid w:val="003D788A"/>
    <w:rsid w:val="003F1B85"/>
    <w:rsid w:val="003F1B99"/>
    <w:rsid w:val="003F65B6"/>
    <w:rsid w:val="0040727B"/>
    <w:rsid w:val="004109E1"/>
    <w:rsid w:val="004122E7"/>
    <w:rsid w:val="004149B7"/>
    <w:rsid w:val="004150D4"/>
    <w:rsid w:val="0042405E"/>
    <w:rsid w:val="00424D0C"/>
    <w:rsid w:val="00425ADA"/>
    <w:rsid w:val="00433820"/>
    <w:rsid w:val="00441A71"/>
    <w:rsid w:val="00442E54"/>
    <w:rsid w:val="00445197"/>
    <w:rsid w:val="004517B2"/>
    <w:rsid w:val="00461001"/>
    <w:rsid w:val="004610C3"/>
    <w:rsid w:val="00461588"/>
    <w:rsid w:val="00464638"/>
    <w:rsid w:val="004659D8"/>
    <w:rsid w:val="004661B3"/>
    <w:rsid w:val="004675A7"/>
    <w:rsid w:val="004705BA"/>
    <w:rsid w:val="00477301"/>
    <w:rsid w:val="00480F1C"/>
    <w:rsid w:val="00483660"/>
    <w:rsid w:val="00483B03"/>
    <w:rsid w:val="00485BB0"/>
    <w:rsid w:val="00486A42"/>
    <w:rsid w:val="00487FAA"/>
    <w:rsid w:val="00492213"/>
    <w:rsid w:val="00493A7B"/>
    <w:rsid w:val="004947DC"/>
    <w:rsid w:val="00496485"/>
    <w:rsid w:val="004979CE"/>
    <w:rsid w:val="00497B4F"/>
    <w:rsid w:val="004A0F59"/>
    <w:rsid w:val="004A3D00"/>
    <w:rsid w:val="004A40E2"/>
    <w:rsid w:val="004A4CF4"/>
    <w:rsid w:val="004B0904"/>
    <w:rsid w:val="004B225D"/>
    <w:rsid w:val="004B2278"/>
    <w:rsid w:val="004B3DBE"/>
    <w:rsid w:val="004B4D00"/>
    <w:rsid w:val="004B6CD0"/>
    <w:rsid w:val="004B6F79"/>
    <w:rsid w:val="004B76C6"/>
    <w:rsid w:val="004C2547"/>
    <w:rsid w:val="004C2A07"/>
    <w:rsid w:val="004C6852"/>
    <w:rsid w:val="004C78EF"/>
    <w:rsid w:val="004C7BA9"/>
    <w:rsid w:val="004D755A"/>
    <w:rsid w:val="004E15B2"/>
    <w:rsid w:val="004E5573"/>
    <w:rsid w:val="004E59E3"/>
    <w:rsid w:val="004E59EA"/>
    <w:rsid w:val="004E7797"/>
    <w:rsid w:val="004F6E28"/>
    <w:rsid w:val="005043C4"/>
    <w:rsid w:val="0050528F"/>
    <w:rsid w:val="00507293"/>
    <w:rsid w:val="00507421"/>
    <w:rsid w:val="00507463"/>
    <w:rsid w:val="00512E33"/>
    <w:rsid w:val="00525FBE"/>
    <w:rsid w:val="00526772"/>
    <w:rsid w:val="00532D02"/>
    <w:rsid w:val="00532EA1"/>
    <w:rsid w:val="00532F41"/>
    <w:rsid w:val="005354F9"/>
    <w:rsid w:val="00541DF5"/>
    <w:rsid w:val="005437AC"/>
    <w:rsid w:val="00544C75"/>
    <w:rsid w:val="00545D38"/>
    <w:rsid w:val="005461D6"/>
    <w:rsid w:val="00552815"/>
    <w:rsid w:val="005537FD"/>
    <w:rsid w:val="00553E85"/>
    <w:rsid w:val="005626A5"/>
    <w:rsid w:val="00567493"/>
    <w:rsid w:val="0057099E"/>
    <w:rsid w:val="00580999"/>
    <w:rsid w:val="00580CD0"/>
    <w:rsid w:val="00581510"/>
    <w:rsid w:val="0058656F"/>
    <w:rsid w:val="00586753"/>
    <w:rsid w:val="0059239C"/>
    <w:rsid w:val="005945F7"/>
    <w:rsid w:val="00595AA6"/>
    <w:rsid w:val="00595E99"/>
    <w:rsid w:val="005979E1"/>
    <w:rsid w:val="005A0D64"/>
    <w:rsid w:val="005A18BD"/>
    <w:rsid w:val="005A6523"/>
    <w:rsid w:val="005A7A4C"/>
    <w:rsid w:val="005B0859"/>
    <w:rsid w:val="005B1B12"/>
    <w:rsid w:val="005B3396"/>
    <w:rsid w:val="005B34D5"/>
    <w:rsid w:val="005B5410"/>
    <w:rsid w:val="005B5CE6"/>
    <w:rsid w:val="005C1BEC"/>
    <w:rsid w:val="005D1A93"/>
    <w:rsid w:val="005D1D23"/>
    <w:rsid w:val="005D236E"/>
    <w:rsid w:val="005D35FD"/>
    <w:rsid w:val="005D3EF2"/>
    <w:rsid w:val="005D45D4"/>
    <w:rsid w:val="005D4DC9"/>
    <w:rsid w:val="005D7D38"/>
    <w:rsid w:val="005E15EF"/>
    <w:rsid w:val="005E6B2A"/>
    <w:rsid w:val="005E6D8A"/>
    <w:rsid w:val="005E7560"/>
    <w:rsid w:val="005F0BD8"/>
    <w:rsid w:val="005F3C67"/>
    <w:rsid w:val="005F610E"/>
    <w:rsid w:val="00605AFA"/>
    <w:rsid w:val="00606C09"/>
    <w:rsid w:val="00606EDC"/>
    <w:rsid w:val="00613256"/>
    <w:rsid w:val="00613907"/>
    <w:rsid w:val="00621D1A"/>
    <w:rsid w:val="00624CB7"/>
    <w:rsid w:val="00625185"/>
    <w:rsid w:val="006317BE"/>
    <w:rsid w:val="00632BC1"/>
    <w:rsid w:val="00633D6B"/>
    <w:rsid w:val="0063515B"/>
    <w:rsid w:val="006373B4"/>
    <w:rsid w:val="0064342E"/>
    <w:rsid w:val="006461D8"/>
    <w:rsid w:val="00651544"/>
    <w:rsid w:val="00651FDA"/>
    <w:rsid w:val="006528E4"/>
    <w:rsid w:val="00654A07"/>
    <w:rsid w:val="006600D4"/>
    <w:rsid w:val="00663479"/>
    <w:rsid w:val="006639B6"/>
    <w:rsid w:val="00666C4C"/>
    <w:rsid w:val="006673EA"/>
    <w:rsid w:val="006702A0"/>
    <w:rsid w:val="006706C4"/>
    <w:rsid w:val="00676E54"/>
    <w:rsid w:val="006778B8"/>
    <w:rsid w:val="006812D0"/>
    <w:rsid w:val="00683246"/>
    <w:rsid w:val="006843B0"/>
    <w:rsid w:val="00685225"/>
    <w:rsid w:val="00687FEF"/>
    <w:rsid w:val="006900F8"/>
    <w:rsid w:val="006902BF"/>
    <w:rsid w:val="006904E9"/>
    <w:rsid w:val="00691364"/>
    <w:rsid w:val="00697407"/>
    <w:rsid w:val="00697987"/>
    <w:rsid w:val="006A1B07"/>
    <w:rsid w:val="006A2293"/>
    <w:rsid w:val="006B16C5"/>
    <w:rsid w:val="006B2E8D"/>
    <w:rsid w:val="006C238B"/>
    <w:rsid w:val="006C4F3A"/>
    <w:rsid w:val="006D0617"/>
    <w:rsid w:val="006E04CF"/>
    <w:rsid w:val="006E376B"/>
    <w:rsid w:val="006E6BD8"/>
    <w:rsid w:val="006E74E9"/>
    <w:rsid w:val="006E7580"/>
    <w:rsid w:val="006F4339"/>
    <w:rsid w:val="006F69EB"/>
    <w:rsid w:val="00704700"/>
    <w:rsid w:val="007064C5"/>
    <w:rsid w:val="00713956"/>
    <w:rsid w:val="0072372F"/>
    <w:rsid w:val="00732257"/>
    <w:rsid w:val="0073269A"/>
    <w:rsid w:val="0073305F"/>
    <w:rsid w:val="00742B58"/>
    <w:rsid w:val="00746C0C"/>
    <w:rsid w:val="00750F80"/>
    <w:rsid w:val="00755E9F"/>
    <w:rsid w:val="00765AA2"/>
    <w:rsid w:val="00781B51"/>
    <w:rsid w:val="0078392C"/>
    <w:rsid w:val="00787621"/>
    <w:rsid w:val="00790545"/>
    <w:rsid w:val="00790C34"/>
    <w:rsid w:val="00795746"/>
    <w:rsid w:val="0079740D"/>
    <w:rsid w:val="007A1BF4"/>
    <w:rsid w:val="007A6627"/>
    <w:rsid w:val="007B30E2"/>
    <w:rsid w:val="007B4CA9"/>
    <w:rsid w:val="007B646C"/>
    <w:rsid w:val="007C746B"/>
    <w:rsid w:val="007D1147"/>
    <w:rsid w:val="007D21C5"/>
    <w:rsid w:val="007D5910"/>
    <w:rsid w:val="007D5AC2"/>
    <w:rsid w:val="007D7241"/>
    <w:rsid w:val="007E0F14"/>
    <w:rsid w:val="007E16EC"/>
    <w:rsid w:val="007E2532"/>
    <w:rsid w:val="007E31F1"/>
    <w:rsid w:val="007F2415"/>
    <w:rsid w:val="007F4FAB"/>
    <w:rsid w:val="007F62A9"/>
    <w:rsid w:val="007F6C7F"/>
    <w:rsid w:val="007F7E06"/>
    <w:rsid w:val="00801736"/>
    <w:rsid w:val="00804260"/>
    <w:rsid w:val="0080444E"/>
    <w:rsid w:val="00806F31"/>
    <w:rsid w:val="008075EA"/>
    <w:rsid w:val="008104EE"/>
    <w:rsid w:val="00812089"/>
    <w:rsid w:val="008205FF"/>
    <w:rsid w:val="00824990"/>
    <w:rsid w:val="00832942"/>
    <w:rsid w:val="0083359D"/>
    <w:rsid w:val="0083540F"/>
    <w:rsid w:val="00835AC7"/>
    <w:rsid w:val="00835AC8"/>
    <w:rsid w:val="00847C01"/>
    <w:rsid w:val="00847C23"/>
    <w:rsid w:val="00852876"/>
    <w:rsid w:val="00853A03"/>
    <w:rsid w:val="00854DEA"/>
    <w:rsid w:val="00856801"/>
    <w:rsid w:val="0087093A"/>
    <w:rsid w:val="008726AB"/>
    <w:rsid w:val="00884143"/>
    <w:rsid w:val="00885FF8"/>
    <w:rsid w:val="00887936"/>
    <w:rsid w:val="008928E6"/>
    <w:rsid w:val="00892F93"/>
    <w:rsid w:val="00896582"/>
    <w:rsid w:val="008A33C1"/>
    <w:rsid w:val="008A44AB"/>
    <w:rsid w:val="008A613B"/>
    <w:rsid w:val="008A61EF"/>
    <w:rsid w:val="008B112E"/>
    <w:rsid w:val="008B26E0"/>
    <w:rsid w:val="008B29F3"/>
    <w:rsid w:val="008C1661"/>
    <w:rsid w:val="008C1A12"/>
    <w:rsid w:val="008C3162"/>
    <w:rsid w:val="008C3C99"/>
    <w:rsid w:val="008C3DBC"/>
    <w:rsid w:val="008C410E"/>
    <w:rsid w:val="008C67F8"/>
    <w:rsid w:val="008C6AD2"/>
    <w:rsid w:val="008C7D2B"/>
    <w:rsid w:val="008D491A"/>
    <w:rsid w:val="008E047F"/>
    <w:rsid w:val="008E061D"/>
    <w:rsid w:val="008E1847"/>
    <w:rsid w:val="008E4646"/>
    <w:rsid w:val="008E53C3"/>
    <w:rsid w:val="008E5FEB"/>
    <w:rsid w:val="008F5432"/>
    <w:rsid w:val="00915F1E"/>
    <w:rsid w:val="009169C5"/>
    <w:rsid w:val="00917181"/>
    <w:rsid w:val="00920AF5"/>
    <w:rsid w:val="00923366"/>
    <w:rsid w:val="00927908"/>
    <w:rsid w:val="00930A53"/>
    <w:rsid w:val="009312B0"/>
    <w:rsid w:val="009313EF"/>
    <w:rsid w:val="00936C52"/>
    <w:rsid w:val="00940822"/>
    <w:rsid w:val="00940D7E"/>
    <w:rsid w:val="00942525"/>
    <w:rsid w:val="00946E2D"/>
    <w:rsid w:val="00950FF7"/>
    <w:rsid w:val="009658D0"/>
    <w:rsid w:val="009700D8"/>
    <w:rsid w:val="00970AC0"/>
    <w:rsid w:val="00973027"/>
    <w:rsid w:val="00975056"/>
    <w:rsid w:val="009768A3"/>
    <w:rsid w:val="009918F5"/>
    <w:rsid w:val="00994895"/>
    <w:rsid w:val="009965C6"/>
    <w:rsid w:val="009A1C02"/>
    <w:rsid w:val="009A3B7E"/>
    <w:rsid w:val="009A4D02"/>
    <w:rsid w:val="009B0096"/>
    <w:rsid w:val="009B07AF"/>
    <w:rsid w:val="009B10E9"/>
    <w:rsid w:val="009B2BB2"/>
    <w:rsid w:val="009B303D"/>
    <w:rsid w:val="009B719B"/>
    <w:rsid w:val="009C17CF"/>
    <w:rsid w:val="009C197E"/>
    <w:rsid w:val="009C4619"/>
    <w:rsid w:val="009C4E2F"/>
    <w:rsid w:val="009C7094"/>
    <w:rsid w:val="009D06F5"/>
    <w:rsid w:val="009D1077"/>
    <w:rsid w:val="009D1310"/>
    <w:rsid w:val="009D1EEE"/>
    <w:rsid w:val="009D29E6"/>
    <w:rsid w:val="009D63E1"/>
    <w:rsid w:val="009E5187"/>
    <w:rsid w:val="009E538C"/>
    <w:rsid w:val="009E7353"/>
    <w:rsid w:val="009F1A5C"/>
    <w:rsid w:val="009F611C"/>
    <w:rsid w:val="009F6202"/>
    <w:rsid w:val="00A02878"/>
    <w:rsid w:val="00A04D6A"/>
    <w:rsid w:val="00A11F99"/>
    <w:rsid w:val="00A12DD6"/>
    <w:rsid w:val="00A2201D"/>
    <w:rsid w:val="00A24FF1"/>
    <w:rsid w:val="00A25D63"/>
    <w:rsid w:val="00A25E22"/>
    <w:rsid w:val="00A311F2"/>
    <w:rsid w:val="00A426AB"/>
    <w:rsid w:val="00A42F59"/>
    <w:rsid w:val="00A435FB"/>
    <w:rsid w:val="00A44E41"/>
    <w:rsid w:val="00A45AB7"/>
    <w:rsid w:val="00A51006"/>
    <w:rsid w:val="00A533F8"/>
    <w:rsid w:val="00A56C64"/>
    <w:rsid w:val="00A5777E"/>
    <w:rsid w:val="00A600F1"/>
    <w:rsid w:val="00A600FA"/>
    <w:rsid w:val="00A6063C"/>
    <w:rsid w:val="00A621BA"/>
    <w:rsid w:val="00A64A0D"/>
    <w:rsid w:val="00A70C4A"/>
    <w:rsid w:val="00A7117C"/>
    <w:rsid w:val="00A71451"/>
    <w:rsid w:val="00A765A9"/>
    <w:rsid w:val="00A81A52"/>
    <w:rsid w:val="00A83173"/>
    <w:rsid w:val="00A86D17"/>
    <w:rsid w:val="00A87236"/>
    <w:rsid w:val="00A92688"/>
    <w:rsid w:val="00A92CB5"/>
    <w:rsid w:val="00A956C4"/>
    <w:rsid w:val="00AA0EC7"/>
    <w:rsid w:val="00AA1B93"/>
    <w:rsid w:val="00AA1FC4"/>
    <w:rsid w:val="00AA476B"/>
    <w:rsid w:val="00AA4D68"/>
    <w:rsid w:val="00AA615D"/>
    <w:rsid w:val="00AA6FFD"/>
    <w:rsid w:val="00AC3964"/>
    <w:rsid w:val="00AD247D"/>
    <w:rsid w:val="00AD2D02"/>
    <w:rsid w:val="00AD5818"/>
    <w:rsid w:val="00AE31D5"/>
    <w:rsid w:val="00AE37DE"/>
    <w:rsid w:val="00AF454B"/>
    <w:rsid w:val="00B016B8"/>
    <w:rsid w:val="00B0311B"/>
    <w:rsid w:val="00B0552A"/>
    <w:rsid w:val="00B0678B"/>
    <w:rsid w:val="00B1160A"/>
    <w:rsid w:val="00B13E6E"/>
    <w:rsid w:val="00B14C15"/>
    <w:rsid w:val="00B20C37"/>
    <w:rsid w:val="00B267DE"/>
    <w:rsid w:val="00B279D8"/>
    <w:rsid w:val="00B27E5E"/>
    <w:rsid w:val="00B3160D"/>
    <w:rsid w:val="00B43866"/>
    <w:rsid w:val="00B43A92"/>
    <w:rsid w:val="00B44A78"/>
    <w:rsid w:val="00B45984"/>
    <w:rsid w:val="00B51A12"/>
    <w:rsid w:val="00B52DE5"/>
    <w:rsid w:val="00B53058"/>
    <w:rsid w:val="00B532C0"/>
    <w:rsid w:val="00B548B8"/>
    <w:rsid w:val="00B56323"/>
    <w:rsid w:val="00B64137"/>
    <w:rsid w:val="00B76C7C"/>
    <w:rsid w:val="00B80E1C"/>
    <w:rsid w:val="00B9069D"/>
    <w:rsid w:val="00B915DA"/>
    <w:rsid w:val="00B94B99"/>
    <w:rsid w:val="00BA441C"/>
    <w:rsid w:val="00BB67BA"/>
    <w:rsid w:val="00BC0F49"/>
    <w:rsid w:val="00BC6782"/>
    <w:rsid w:val="00BD43DB"/>
    <w:rsid w:val="00BE1BE7"/>
    <w:rsid w:val="00BE2BE5"/>
    <w:rsid w:val="00BE2DE0"/>
    <w:rsid w:val="00BE4C2D"/>
    <w:rsid w:val="00BE5B93"/>
    <w:rsid w:val="00BF4D6F"/>
    <w:rsid w:val="00BF64D7"/>
    <w:rsid w:val="00C035ED"/>
    <w:rsid w:val="00C03D43"/>
    <w:rsid w:val="00C13C68"/>
    <w:rsid w:val="00C166EF"/>
    <w:rsid w:val="00C17ABD"/>
    <w:rsid w:val="00C17DEB"/>
    <w:rsid w:val="00C2496F"/>
    <w:rsid w:val="00C42CEB"/>
    <w:rsid w:val="00C44E10"/>
    <w:rsid w:val="00C51B6E"/>
    <w:rsid w:val="00C53513"/>
    <w:rsid w:val="00C538F1"/>
    <w:rsid w:val="00C5542F"/>
    <w:rsid w:val="00C557EC"/>
    <w:rsid w:val="00C559B5"/>
    <w:rsid w:val="00C62FE6"/>
    <w:rsid w:val="00C6356C"/>
    <w:rsid w:val="00C63EFE"/>
    <w:rsid w:val="00C67709"/>
    <w:rsid w:val="00C67B67"/>
    <w:rsid w:val="00C76818"/>
    <w:rsid w:val="00C77273"/>
    <w:rsid w:val="00C810A5"/>
    <w:rsid w:val="00C83760"/>
    <w:rsid w:val="00C84BDD"/>
    <w:rsid w:val="00C932B1"/>
    <w:rsid w:val="00C94CE0"/>
    <w:rsid w:val="00C9634A"/>
    <w:rsid w:val="00C96731"/>
    <w:rsid w:val="00CA1C37"/>
    <w:rsid w:val="00CE2111"/>
    <w:rsid w:val="00CE23A1"/>
    <w:rsid w:val="00CE38E7"/>
    <w:rsid w:val="00CF49B2"/>
    <w:rsid w:val="00D02EF4"/>
    <w:rsid w:val="00D039BE"/>
    <w:rsid w:val="00D11F30"/>
    <w:rsid w:val="00D1204F"/>
    <w:rsid w:val="00D13128"/>
    <w:rsid w:val="00D1326F"/>
    <w:rsid w:val="00D22F94"/>
    <w:rsid w:val="00D260A1"/>
    <w:rsid w:val="00D26250"/>
    <w:rsid w:val="00D26D60"/>
    <w:rsid w:val="00D31865"/>
    <w:rsid w:val="00D32B01"/>
    <w:rsid w:val="00D417AD"/>
    <w:rsid w:val="00D42749"/>
    <w:rsid w:val="00D45375"/>
    <w:rsid w:val="00D45B89"/>
    <w:rsid w:val="00D506DC"/>
    <w:rsid w:val="00D5672D"/>
    <w:rsid w:val="00D62CBD"/>
    <w:rsid w:val="00D64188"/>
    <w:rsid w:val="00D72909"/>
    <w:rsid w:val="00D74A59"/>
    <w:rsid w:val="00D76025"/>
    <w:rsid w:val="00D760DC"/>
    <w:rsid w:val="00D7630E"/>
    <w:rsid w:val="00D76693"/>
    <w:rsid w:val="00D76843"/>
    <w:rsid w:val="00D82F87"/>
    <w:rsid w:val="00D85537"/>
    <w:rsid w:val="00D855CC"/>
    <w:rsid w:val="00D9724D"/>
    <w:rsid w:val="00DA4D24"/>
    <w:rsid w:val="00DB0DF2"/>
    <w:rsid w:val="00DB5055"/>
    <w:rsid w:val="00DB7F78"/>
    <w:rsid w:val="00DC3DE2"/>
    <w:rsid w:val="00DC49E8"/>
    <w:rsid w:val="00DC5D19"/>
    <w:rsid w:val="00DD013A"/>
    <w:rsid w:val="00DD0998"/>
    <w:rsid w:val="00DD656E"/>
    <w:rsid w:val="00DE25D4"/>
    <w:rsid w:val="00DE3E93"/>
    <w:rsid w:val="00DF4F8B"/>
    <w:rsid w:val="00DF6C23"/>
    <w:rsid w:val="00DF7F6E"/>
    <w:rsid w:val="00E03F95"/>
    <w:rsid w:val="00E06F36"/>
    <w:rsid w:val="00E1036D"/>
    <w:rsid w:val="00E163CC"/>
    <w:rsid w:val="00E229CF"/>
    <w:rsid w:val="00E27094"/>
    <w:rsid w:val="00E2794C"/>
    <w:rsid w:val="00E33512"/>
    <w:rsid w:val="00E33A2A"/>
    <w:rsid w:val="00E34868"/>
    <w:rsid w:val="00E34F20"/>
    <w:rsid w:val="00E353E1"/>
    <w:rsid w:val="00E37A9C"/>
    <w:rsid w:val="00E469DA"/>
    <w:rsid w:val="00E475C8"/>
    <w:rsid w:val="00E51207"/>
    <w:rsid w:val="00E544F6"/>
    <w:rsid w:val="00E607D2"/>
    <w:rsid w:val="00E621C4"/>
    <w:rsid w:val="00E62205"/>
    <w:rsid w:val="00E6252A"/>
    <w:rsid w:val="00E6478B"/>
    <w:rsid w:val="00E725BD"/>
    <w:rsid w:val="00E73432"/>
    <w:rsid w:val="00E7561C"/>
    <w:rsid w:val="00E773BF"/>
    <w:rsid w:val="00E809D4"/>
    <w:rsid w:val="00E80A62"/>
    <w:rsid w:val="00E80DC1"/>
    <w:rsid w:val="00E97CB6"/>
    <w:rsid w:val="00EA53F3"/>
    <w:rsid w:val="00EB28EA"/>
    <w:rsid w:val="00EB3F9A"/>
    <w:rsid w:val="00EB5554"/>
    <w:rsid w:val="00EB5BFF"/>
    <w:rsid w:val="00ED3B7B"/>
    <w:rsid w:val="00ED439E"/>
    <w:rsid w:val="00ED4465"/>
    <w:rsid w:val="00EF130F"/>
    <w:rsid w:val="00EF1FBD"/>
    <w:rsid w:val="00EF603E"/>
    <w:rsid w:val="00EF7A34"/>
    <w:rsid w:val="00F00136"/>
    <w:rsid w:val="00F022BE"/>
    <w:rsid w:val="00F04992"/>
    <w:rsid w:val="00F10D87"/>
    <w:rsid w:val="00F11B80"/>
    <w:rsid w:val="00F1213F"/>
    <w:rsid w:val="00F14764"/>
    <w:rsid w:val="00F15AAD"/>
    <w:rsid w:val="00F16FA9"/>
    <w:rsid w:val="00F233B2"/>
    <w:rsid w:val="00F33891"/>
    <w:rsid w:val="00F33C17"/>
    <w:rsid w:val="00F35A14"/>
    <w:rsid w:val="00F35EA4"/>
    <w:rsid w:val="00F3784C"/>
    <w:rsid w:val="00F43B80"/>
    <w:rsid w:val="00F44380"/>
    <w:rsid w:val="00F53BB4"/>
    <w:rsid w:val="00F55323"/>
    <w:rsid w:val="00F62DF5"/>
    <w:rsid w:val="00F677D3"/>
    <w:rsid w:val="00F7090C"/>
    <w:rsid w:val="00F71414"/>
    <w:rsid w:val="00F74D49"/>
    <w:rsid w:val="00F774A3"/>
    <w:rsid w:val="00F83DBB"/>
    <w:rsid w:val="00F85709"/>
    <w:rsid w:val="00F87266"/>
    <w:rsid w:val="00F91F1C"/>
    <w:rsid w:val="00F93B82"/>
    <w:rsid w:val="00FB2A6A"/>
    <w:rsid w:val="00FB3229"/>
    <w:rsid w:val="00FB51A4"/>
    <w:rsid w:val="00FB7A66"/>
    <w:rsid w:val="00FC0677"/>
    <w:rsid w:val="00FC1289"/>
    <w:rsid w:val="00FC4480"/>
    <w:rsid w:val="00FC6E98"/>
    <w:rsid w:val="00FD1701"/>
    <w:rsid w:val="00FD42A2"/>
    <w:rsid w:val="00FE12BC"/>
    <w:rsid w:val="00FE1AC7"/>
    <w:rsid w:val="00FE2DF6"/>
    <w:rsid w:val="00FE4ABD"/>
    <w:rsid w:val="00FF4FF6"/>
    <w:rsid w:val="00FF59F4"/>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A78BA"/>
  <w15:chartTrackingRefBased/>
  <w15:docId w15:val="{92DEF14A-5311-4DB6-83F2-9737A86B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7B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4AB"/>
    <w:pPr>
      <w:ind w:left="720"/>
      <w:contextualSpacing/>
    </w:pPr>
  </w:style>
  <w:style w:type="character" w:styleId="Hyperlink">
    <w:name w:val="Hyperlink"/>
    <w:basedOn w:val="DefaultParagraphFont"/>
    <w:uiPriority w:val="99"/>
    <w:unhideWhenUsed/>
    <w:rsid w:val="00B016B8"/>
    <w:rPr>
      <w:color w:val="0563C1" w:themeColor="hyperlink"/>
      <w:u w:val="single"/>
    </w:rPr>
  </w:style>
  <w:style w:type="paragraph" w:styleId="BalloonText">
    <w:name w:val="Balloon Text"/>
    <w:basedOn w:val="Normal"/>
    <w:link w:val="BalloonTextChar"/>
    <w:uiPriority w:val="99"/>
    <w:semiHidden/>
    <w:unhideWhenUsed/>
    <w:rsid w:val="00713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956"/>
    <w:rPr>
      <w:rFonts w:ascii="Segoe UI" w:hAnsi="Segoe UI" w:cs="Segoe UI"/>
      <w:sz w:val="18"/>
      <w:szCs w:val="18"/>
    </w:rPr>
  </w:style>
  <w:style w:type="paragraph" w:styleId="Header">
    <w:name w:val="header"/>
    <w:basedOn w:val="Normal"/>
    <w:link w:val="HeaderChar"/>
    <w:uiPriority w:val="99"/>
    <w:unhideWhenUsed/>
    <w:rsid w:val="00F43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B80"/>
  </w:style>
  <w:style w:type="paragraph" w:styleId="Footer">
    <w:name w:val="footer"/>
    <w:basedOn w:val="Normal"/>
    <w:link w:val="FooterChar"/>
    <w:uiPriority w:val="99"/>
    <w:unhideWhenUsed/>
    <w:rsid w:val="00F43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B80"/>
  </w:style>
  <w:style w:type="paragraph" w:styleId="FootnoteText">
    <w:name w:val="footnote text"/>
    <w:basedOn w:val="Normal"/>
    <w:link w:val="FootnoteTextChar"/>
    <w:uiPriority w:val="99"/>
    <w:semiHidden/>
    <w:unhideWhenUsed/>
    <w:rsid w:val="001574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421"/>
    <w:rPr>
      <w:sz w:val="20"/>
      <w:szCs w:val="20"/>
    </w:rPr>
  </w:style>
  <w:style w:type="character" w:styleId="FootnoteReference">
    <w:name w:val="footnote reference"/>
    <w:basedOn w:val="DefaultParagraphFont"/>
    <w:uiPriority w:val="99"/>
    <w:semiHidden/>
    <w:unhideWhenUsed/>
    <w:rsid w:val="00157421"/>
    <w:rPr>
      <w:vertAlign w:val="superscript"/>
    </w:rPr>
  </w:style>
  <w:style w:type="character" w:styleId="CommentReference">
    <w:name w:val="annotation reference"/>
    <w:basedOn w:val="DefaultParagraphFont"/>
    <w:uiPriority w:val="99"/>
    <w:semiHidden/>
    <w:unhideWhenUsed/>
    <w:rsid w:val="00824990"/>
    <w:rPr>
      <w:sz w:val="16"/>
      <w:szCs w:val="16"/>
    </w:rPr>
  </w:style>
  <w:style w:type="paragraph" w:styleId="CommentText">
    <w:name w:val="annotation text"/>
    <w:basedOn w:val="Normal"/>
    <w:link w:val="CommentTextChar"/>
    <w:uiPriority w:val="99"/>
    <w:semiHidden/>
    <w:unhideWhenUsed/>
    <w:rsid w:val="00824990"/>
    <w:pPr>
      <w:spacing w:line="240" w:lineRule="auto"/>
    </w:pPr>
    <w:rPr>
      <w:sz w:val="20"/>
      <w:szCs w:val="20"/>
    </w:rPr>
  </w:style>
  <w:style w:type="character" w:customStyle="1" w:styleId="CommentTextChar">
    <w:name w:val="Comment Text Char"/>
    <w:basedOn w:val="DefaultParagraphFont"/>
    <w:link w:val="CommentText"/>
    <w:uiPriority w:val="99"/>
    <w:semiHidden/>
    <w:rsid w:val="00824990"/>
    <w:rPr>
      <w:sz w:val="20"/>
      <w:szCs w:val="20"/>
    </w:rPr>
  </w:style>
  <w:style w:type="paragraph" w:styleId="CommentSubject">
    <w:name w:val="annotation subject"/>
    <w:basedOn w:val="CommentText"/>
    <w:next w:val="CommentText"/>
    <w:link w:val="CommentSubjectChar"/>
    <w:uiPriority w:val="99"/>
    <w:semiHidden/>
    <w:unhideWhenUsed/>
    <w:rsid w:val="00824990"/>
    <w:rPr>
      <w:b/>
      <w:bCs/>
    </w:rPr>
  </w:style>
  <w:style w:type="character" w:customStyle="1" w:styleId="CommentSubjectChar">
    <w:name w:val="Comment Subject Char"/>
    <w:basedOn w:val="CommentTextChar"/>
    <w:link w:val="CommentSubject"/>
    <w:uiPriority w:val="99"/>
    <w:semiHidden/>
    <w:rsid w:val="00824990"/>
    <w:rPr>
      <w:b/>
      <w:bCs/>
      <w:sz w:val="20"/>
      <w:szCs w:val="20"/>
    </w:rPr>
  </w:style>
  <w:style w:type="character" w:customStyle="1" w:styleId="Heading1Char">
    <w:name w:val="Heading 1 Char"/>
    <w:basedOn w:val="DefaultParagraphFont"/>
    <w:link w:val="Heading1"/>
    <w:uiPriority w:val="9"/>
    <w:rsid w:val="004C7BA9"/>
    <w:rPr>
      <w:rFonts w:ascii="Times New Roman" w:eastAsia="Times New Roman" w:hAnsi="Times New Roman" w:cs="Times New Roman"/>
      <w:b/>
      <w:bCs/>
      <w:kern w:val="36"/>
      <w:sz w:val="48"/>
      <w:szCs w:val="48"/>
      <w:lang w:val="en-GB" w:eastAsia="en-GB"/>
    </w:rPr>
  </w:style>
  <w:style w:type="character" w:customStyle="1" w:styleId="title-text">
    <w:name w:val="title-text"/>
    <w:basedOn w:val="DefaultParagraphFont"/>
    <w:rsid w:val="004C7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28402">
      <w:bodyDiv w:val="1"/>
      <w:marLeft w:val="0"/>
      <w:marRight w:val="0"/>
      <w:marTop w:val="0"/>
      <w:marBottom w:val="0"/>
      <w:divBdr>
        <w:top w:val="none" w:sz="0" w:space="0" w:color="auto"/>
        <w:left w:val="none" w:sz="0" w:space="0" w:color="auto"/>
        <w:bottom w:val="none" w:sz="0" w:space="0" w:color="auto"/>
        <w:right w:val="none" w:sz="0" w:space="0" w:color="auto"/>
      </w:divBdr>
    </w:div>
    <w:div w:id="715006506">
      <w:bodyDiv w:val="1"/>
      <w:marLeft w:val="0"/>
      <w:marRight w:val="0"/>
      <w:marTop w:val="0"/>
      <w:marBottom w:val="0"/>
      <w:divBdr>
        <w:top w:val="none" w:sz="0" w:space="0" w:color="auto"/>
        <w:left w:val="none" w:sz="0" w:space="0" w:color="auto"/>
        <w:bottom w:val="none" w:sz="0" w:space="0" w:color="auto"/>
        <w:right w:val="none" w:sz="0" w:space="0" w:color="auto"/>
      </w:divBdr>
    </w:div>
    <w:div w:id="8731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8"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3B98-F0EC-4357-B92E-C52FA066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24320</Words>
  <Characters>138626</Characters>
  <Application>Microsoft Office Word</Application>
  <DocSecurity>0</DocSecurity>
  <Lines>1155</Lines>
  <Paragraphs>325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ELAHI Mirza-Nawazish</dc:creator>
  <cp:keywords/>
  <dc:description/>
  <cp:lastModifiedBy>Larisa Yarovaya</cp:lastModifiedBy>
  <cp:revision>8</cp:revision>
  <dcterms:created xsi:type="dcterms:W3CDTF">2021-07-22T17:59:00Z</dcterms:created>
  <dcterms:modified xsi:type="dcterms:W3CDTF">2021-10-04T14:49:00Z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7cabbb68-82a4-30d1-9b27-70bac98783fa</vt:lpwstr>
  </property>
  <property fmtid="{D5CDD505-2E9C-101B-9397-08002B2CF9AE}" pid="24" name="Mendeley Citation Style_1">
    <vt:lpwstr>http://www.zotero.org/styles/apa</vt:lpwstr>
  </property>
</Properties>
</file>