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CDAF1" w14:textId="2CCD8EDE" w:rsidR="0005409F" w:rsidRPr="00B548BF" w:rsidRDefault="0005409F" w:rsidP="00BA33FB">
      <w:pPr>
        <w:spacing w:line="480" w:lineRule="auto"/>
        <w:rPr>
          <w:b/>
        </w:rPr>
      </w:pPr>
      <w:r w:rsidRPr="003F51BC">
        <w:rPr>
          <w:b/>
        </w:rPr>
        <w:t>Interp</w:t>
      </w:r>
      <w:r w:rsidRPr="00B548BF">
        <w:rPr>
          <w:b/>
        </w:rPr>
        <w:t xml:space="preserve">regnancy </w:t>
      </w:r>
      <w:r w:rsidR="00572A5D" w:rsidRPr="00B548BF">
        <w:rPr>
          <w:b/>
        </w:rPr>
        <w:t xml:space="preserve">weight </w:t>
      </w:r>
      <w:r w:rsidR="003F51BC" w:rsidRPr="00B548BF">
        <w:rPr>
          <w:b/>
        </w:rPr>
        <w:t>gain</w:t>
      </w:r>
      <w:r w:rsidRPr="00B548BF">
        <w:rPr>
          <w:b/>
        </w:rPr>
        <w:t xml:space="preserve"> </w:t>
      </w:r>
      <w:r w:rsidR="00D7628E" w:rsidRPr="00B548BF">
        <w:rPr>
          <w:b/>
        </w:rPr>
        <w:t xml:space="preserve">and </w:t>
      </w:r>
      <w:r w:rsidRPr="00B548BF">
        <w:rPr>
          <w:b/>
        </w:rPr>
        <w:t xml:space="preserve">childhood </w:t>
      </w:r>
      <w:r w:rsidR="00D7628E" w:rsidRPr="00B548BF">
        <w:rPr>
          <w:b/>
        </w:rPr>
        <w:t>obesity:</w:t>
      </w:r>
      <w:r w:rsidRPr="00B548BF">
        <w:rPr>
          <w:b/>
        </w:rPr>
        <w:t xml:space="preserve"> </w:t>
      </w:r>
      <w:r w:rsidR="00D7628E" w:rsidRPr="00B548BF">
        <w:rPr>
          <w:b/>
        </w:rPr>
        <w:t>a</w:t>
      </w:r>
      <w:r w:rsidRPr="00B548BF">
        <w:rPr>
          <w:b/>
        </w:rPr>
        <w:t>nalysis of a UK population</w:t>
      </w:r>
      <w:r w:rsidR="007A34FC" w:rsidRPr="00B548BF">
        <w:rPr>
          <w:b/>
        </w:rPr>
        <w:t>-based</w:t>
      </w:r>
      <w:r w:rsidRPr="00B548BF">
        <w:rPr>
          <w:b/>
        </w:rPr>
        <w:t xml:space="preserve"> cohort</w:t>
      </w:r>
    </w:p>
    <w:p w14:paraId="35A6B0BE" w14:textId="200049C5" w:rsidR="0005409F" w:rsidRPr="00B548BF" w:rsidRDefault="004F6210" w:rsidP="00BA33FB">
      <w:pPr>
        <w:spacing w:line="480" w:lineRule="auto"/>
        <w:rPr>
          <w:sz w:val="21"/>
          <w:szCs w:val="21"/>
        </w:rPr>
      </w:pPr>
      <w:r w:rsidRPr="00B548BF">
        <w:rPr>
          <w:sz w:val="21"/>
          <w:szCs w:val="21"/>
        </w:rPr>
        <w:t>Nida Ziauddeen</w:t>
      </w:r>
      <w:r w:rsidR="0057049F" w:rsidRPr="00B548BF">
        <w:rPr>
          <w:sz w:val="21"/>
          <w:szCs w:val="21"/>
          <w:vertAlign w:val="superscript"/>
        </w:rPr>
        <w:t>1</w:t>
      </w:r>
      <w:r w:rsidR="00D717B1">
        <w:rPr>
          <w:sz w:val="21"/>
          <w:szCs w:val="21"/>
          <w:vertAlign w:val="superscript"/>
        </w:rPr>
        <w:t>,2</w:t>
      </w:r>
      <w:r w:rsidRPr="00B548BF">
        <w:rPr>
          <w:sz w:val="21"/>
          <w:szCs w:val="21"/>
        </w:rPr>
        <w:t>, J</w:t>
      </w:r>
      <w:r w:rsidR="0057049F" w:rsidRPr="00B548BF">
        <w:rPr>
          <w:sz w:val="21"/>
          <w:szCs w:val="21"/>
        </w:rPr>
        <w:t>onathan</w:t>
      </w:r>
      <w:r w:rsidRPr="00B548BF">
        <w:rPr>
          <w:sz w:val="21"/>
          <w:szCs w:val="21"/>
        </w:rPr>
        <w:t xml:space="preserve"> </w:t>
      </w:r>
      <w:r w:rsidR="0057049F" w:rsidRPr="00B548BF">
        <w:rPr>
          <w:sz w:val="21"/>
          <w:szCs w:val="21"/>
        </w:rPr>
        <w:t xml:space="preserve">Y </w:t>
      </w:r>
      <w:r w:rsidRPr="00B548BF">
        <w:rPr>
          <w:sz w:val="21"/>
          <w:szCs w:val="21"/>
        </w:rPr>
        <w:t>Huang</w:t>
      </w:r>
      <w:r w:rsidR="00D717B1">
        <w:rPr>
          <w:sz w:val="21"/>
          <w:szCs w:val="21"/>
          <w:vertAlign w:val="superscript"/>
        </w:rPr>
        <w:t>3</w:t>
      </w:r>
      <w:r w:rsidRPr="00B548BF">
        <w:rPr>
          <w:sz w:val="21"/>
          <w:szCs w:val="21"/>
        </w:rPr>
        <w:t>, Elizabeth Taylor</w:t>
      </w:r>
      <w:r w:rsidR="00D717B1">
        <w:rPr>
          <w:sz w:val="21"/>
          <w:szCs w:val="21"/>
          <w:vertAlign w:val="superscript"/>
        </w:rPr>
        <w:t>1,4</w:t>
      </w:r>
      <w:r w:rsidRPr="00B548BF">
        <w:rPr>
          <w:sz w:val="21"/>
          <w:szCs w:val="21"/>
        </w:rPr>
        <w:t>, Paul J Roderick</w:t>
      </w:r>
      <w:r w:rsidR="0057049F" w:rsidRPr="00B548BF">
        <w:rPr>
          <w:sz w:val="21"/>
          <w:szCs w:val="21"/>
          <w:vertAlign w:val="superscript"/>
        </w:rPr>
        <w:t>1</w:t>
      </w:r>
      <w:r w:rsidRPr="00B548BF">
        <w:rPr>
          <w:sz w:val="21"/>
          <w:szCs w:val="21"/>
        </w:rPr>
        <w:t xml:space="preserve">, Keith </w:t>
      </w:r>
      <w:r w:rsidR="0057049F" w:rsidRPr="00B548BF">
        <w:rPr>
          <w:sz w:val="21"/>
          <w:szCs w:val="21"/>
        </w:rPr>
        <w:t xml:space="preserve">M </w:t>
      </w:r>
      <w:r w:rsidRPr="00B548BF">
        <w:rPr>
          <w:sz w:val="21"/>
          <w:szCs w:val="21"/>
        </w:rPr>
        <w:t>God</w:t>
      </w:r>
      <w:r w:rsidR="0057049F" w:rsidRPr="00B548BF">
        <w:rPr>
          <w:sz w:val="21"/>
          <w:szCs w:val="21"/>
        </w:rPr>
        <w:t>f</w:t>
      </w:r>
      <w:r w:rsidRPr="00B548BF">
        <w:rPr>
          <w:sz w:val="21"/>
          <w:szCs w:val="21"/>
        </w:rPr>
        <w:t>rey</w:t>
      </w:r>
      <w:r w:rsidR="0057049F" w:rsidRPr="00B548BF">
        <w:rPr>
          <w:sz w:val="21"/>
          <w:szCs w:val="21"/>
          <w:vertAlign w:val="superscript"/>
        </w:rPr>
        <w:t>4</w:t>
      </w:r>
      <w:r w:rsidR="00D717B1">
        <w:rPr>
          <w:sz w:val="21"/>
          <w:szCs w:val="21"/>
          <w:vertAlign w:val="superscript"/>
        </w:rPr>
        <w:t>,5</w:t>
      </w:r>
      <w:r w:rsidRPr="00B548BF">
        <w:rPr>
          <w:sz w:val="21"/>
          <w:szCs w:val="21"/>
        </w:rPr>
        <w:t>, Nisreen A Alwan</w:t>
      </w:r>
      <w:r w:rsidR="00D717B1">
        <w:rPr>
          <w:sz w:val="21"/>
          <w:szCs w:val="21"/>
          <w:vertAlign w:val="superscript"/>
        </w:rPr>
        <w:t>1,2</w:t>
      </w:r>
      <w:r w:rsidR="0057049F" w:rsidRPr="00B548BF">
        <w:rPr>
          <w:sz w:val="21"/>
          <w:szCs w:val="21"/>
          <w:vertAlign w:val="superscript"/>
        </w:rPr>
        <w:t>,</w:t>
      </w:r>
      <w:r w:rsidR="00D45A24">
        <w:rPr>
          <w:sz w:val="21"/>
          <w:szCs w:val="21"/>
          <w:vertAlign w:val="superscript"/>
        </w:rPr>
        <w:t>4</w:t>
      </w:r>
    </w:p>
    <w:p w14:paraId="4DE13805" w14:textId="77777777" w:rsidR="0057049F" w:rsidRPr="00B548BF" w:rsidRDefault="0057049F" w:rsidP="00BA33FB">
      <w:pPr>
        <w:spacing w:line="480" w:lineRule="auto"/>
        <w:rPr>
          <w:sz w:val="21"/>
          <w:szCs w:val="21"/>
          <w:vertAlign w:val="superscript"/>
        </w:rPr>
      </w:pPr>
    </w:p>
    <w:p w14:paraId="6D171745" w14:textId="10209AD9" w:rsidR="0057049F" w:rsidRPr="00B548BF" w:rsidRDefault="0057049F" w:rsidP="00BA33FB">
      <w:pPr>
        <w:spacing w:line="480" w:lineRule="auto"/>
        <w:rPr>
          <w:sz w:val="21"/>
          <w:szCs w:val="21"/>
        </w:rPr>
      </w:pPr>
      <w:r w:rsidRPr="00B548BF">
        <w:rPr>
          <w:sz w:val="21"/>
          <w:szCs w:val="21"/>
          <w:vertAlign w:val="superscript"/>
        </w:rPr>
        <w:t>1</w:t>
      </w:r>
      <w:r w:rsidRPr="00B548BF">
        <w:rPr>
          <w:sz w:val="21"/>
          <w:szCs w:val="21"/>
        </w:rPr>
        <w:t>School of Primary Care, Population Sciences and Medical Education, Faculty of Medicine, University of Southampton, Southampton, UK.</w:t>
      </w:r>
    </w:p>
    <w:p w14:paraId="1508ABF5" w14:textId="5D880FF4" w:rsidR="00D717B1" w:rsidRPr="00B548BF" w:rsidRDefault="00D717B1" w:rsidP="00D717B1">
      <w:pPr>
        <w:spacing w:line="480" w:lineRule="auto"/>
        <w:rPr>
          <w:rFonts w:cs="Segoe UI"/>
          <w:color w:val="212121"/>
          <w:sz w:val="21"/>
          <w:szCs w:val="21"/>
          <w:shd w:val="clear" w:color="auto" w:fill="FFFFFF"/>
        </w:rPr>
      </w:pPr>
      <w:r w:rsidRPr="00D717B1">
        <w:rPr>
          <w:rFonts w:cs="Segoe UI"/>
          <w:color w:val="212121"/>
          <w:sz w:val="21"/>
          <w:szCs w:val="21"/>
          <w:shd w:val="clear" w:color="auto" w:fill="FFFFFF"/>
          <w:vertAlign w:val="superscript"/>
        </w:rPr>
        <w:t>2</w:t>
      </w:r>
      <w:r w:rsidRPr="00B548BF">
        <w:rPr>
          <w:rFonts w:cs="Segoe UI"/>
          <w:color w:val="212121"/>
          <w:sz w:val="21"/>
          <w:szCs w:val="21"/>
          <w:shd w:val="clear" w:color="auto" w:fill="FFFFFF"/>
        </w:rPr>
        <w:t>NIHR Applied Research Collaboration Wessex, Southampton, UK.</w:t>
      </w:r>
    </w:p>
    <w:p w14:paraId="2DB8696E" w14:textId="3CA9A8B4" w:rsidR="0057049F" w:rsidRPr="00B548BF" w:rsidRDefault="00D717B1" w:rsidP="00BA33FB">
      <w:pPr>
        <w:spacing w:line="480" w:lineRule="auto"/>
        <w:rPr>
          <w:sz w:val="21"/>
          <w:szCs w:val="21"/>
        </w:rPr>
      </w:pPr>
      <w:r>
        <w:rPr>
          <w:sz w:val="21"/>
          <w:szCs w:val="21"/>
          <w:vertAlign w:val="superscript"/>
        </w:rPr>
        <w:t>3</w:t>
      </w:r>
      <w:r w:rsidR="0057049F" w:rsidRPr="00B548BF">
        <w:rPr>
          <w:rFonts w:cs="Segoe UI"/>
          <w:color w:val="212121"/>
          <w:sz w:val="21"/>
          <w:szCs w:val="21"/>
          <w:shd w:val="clear" w:color="auto" w:fill="FFFFFF"/>
        </w:rPr>
        <w:t>Singapore Institute for Clinical Sciences (SICS), Agency for Science, Technology and Research (A*STAR), Singapore.</w:t>
      </w:r>
    </w:p>
    <w:p w14:paraId="42B52B0E" w14:textId="3ED97DE2" w:rsidR="0057049F" w:rsidRPr="00B548BF" w:rsidRDefault="00D717B1" w:rsidP="00BA33FB">
      <w:pPr>
        <w:spacing w:line="480" w:lineRule="auto"/>
        <w:rPr>
          <w:rFonts w:cs="Segoe UI"/>
          <w:color w:val="212121"/>
          <w:sz w:val="21"/>
          <w:szCs w:val="21"/>
          <w:shd w:val="clear" w:color="auto" w:fill="FFFFFF"/>
        </w:rPr>
      </w:pPr>
      <w:r>
        <w:rPr>
          <w:rFonts w:cs="Segoe UI"/>
          <w:color w:val="212121"/>
          <w:sz w:val="21"/>
          <w:szCs w:val="21"/>
          <w:shd w:val="clear" w:color="auto" w:fill="FFFFFF"/>
          <w:vertAlign w:val="superscript"/>
        </w:rPr>
        <w:t>4</w:t>
      </w:r>
      <w:r w:rsidR="0057049F" w:rsidRPr="00B548BF">
        <w:rPr>
          <w:rFonts w:cs="Segoe UI"/>
          <w:color w:val="212121"/>
          <w:sz w:val="21"/>
          <w:szCs w:val="21"/>
          <w:shd w:val="clear" w:color="auto" w:fill="FFFFFF"/>
        </w:rPr>
        <w:t>NIHR Southampton Biomedical Research Centre, University of Southampton and University Hospital Southampton NHS Foundation Trust, Southampton, UK.</w:t>
      </w:r>
    </w:p>
    <w:p w14:paraId="5EBF447F" w14:textId="03E93B6B" w:rsidR="0057049F" w:rsidRPr="00B548BF" w:rsidRDefault="00D717B1" w:rsidP="00BA33FB">
      <w:pPr>
        <w:spacing w:line="480" w:lineRule="auto"/>
        <w:rPr>
          <w:rFonts w:cs="Segoe UI"/>
          <w:color w:val="212121"/>
          <w:sz w:val="21"/>
          <w:szCs w:val="21"/>
          <w:shd w:val="clear" w:color="auto" w:fill="FFFFFF"/>
        </w:rPr>
      </w:pPr>
      <w:r>
        <w:rPr>
          <w:rFonts w:cs="Segoe UI"/>
          <w:color w:val="212121"/>
          <w:sz w:val="21"/>
          <w:szCs w:val="21"/>
          <w:shd w:val="clear" w:color="auto" w:fill="FFFFFF"/>
          <w:vertAlign w:val="superscript"/>
        </w:rPr>
        <w:t>5</w:t>
      </w:r>
      <w:r w:rsidR="0057049F" w:rsidRPr="00B548BF">
        <w:rPr>
          <w:rFonts w:cs="Segoe UI"/>
          <w:color w:val="212121"/>
          <w:sz w:val="21"/>
          <w:szCs w:val="21"/>
          <w:shd w:val="clear" w:color="auto" w:fill="FFFFFF"/>
        </w:rPr>
        <w:t xml:space="preserve">MRC </w:t>
      </w:r>
      <w:proofErr w:type="spellStart"/>
      <w:r w:rsidR="0057049F" w:rsidRPr="00B548BF">
        <w:rPr>
          <w:rFonts w:cs="Segoe UI"/>
          <w:color w:val="212121"/>
          <w:sz w:val="21"/>
          <w:szCs w:val="21"/>
          <w:shd w:val="clear" w:color="auto" w:fill="FFFFFF"/>
        </w:rPr>
        <w:t>Lifecourse</w:t>
      </w:r>
      <w:proofErr w:type="spellEnd"/>
      <w:r w:rsidR="0057049F" w:rsidRPr="00B548BF">
        <w:rPr>
          <w:rFonts w:cs="Segoe UI"/>
          <w:color w:val="212121"/>
          <w:sz w:val="21"/>
          <w:szCs w:val="21"/>
          <w:shd w:val="clear" w:color="auto" w:fill="FFFFFF"/>
        </w:rPr>
        <w:t xml:space="preserve"> Epidemiology Unit, University of Southampton, Southampton General Hospital, Southampton, UK.</w:t>
      </w:r>
    </w:p>
    <w:p w14:paraId="2C41B55E" w14:textId="2B04C06E" w:rsidR="0057049F" w:rsidRPr="00B548BF" w:rsidRDefault="0057049F" w:rsidP="00BA33FB">
      <w:pPr>
        <w:spacing w:line="480" w:lineRule="auto"/>
        <w:rPr>
          <w:rFonts w:cs="Segoe UI"/>
          <w:color w:val="212121"/>
          <w:sz w:val="21"/>
          <w:szCs w:val="21"/>
          <w:shd w:val="clear" w:color="auto" w:fill="FFFFFF"/>
        </w:rPr>
      </w:pPr>
    </w:p>
    <w:p w14:paraId="63E57D6F" w14:textId="2A3D638B" w:rsidR="0057049F" w:rsidRPr="00B548BF" w:rsidRDefault="0057049F" w:rsidP="00BA33FB">
      <w:pPr>
        <w:spacing w:line="480" w:lineRule="auto"/>
        <w:rPr>
          <w:rFonts w:cs="Segoe UI"/>
          <w:color w:val="212121"/>
          <w:sz w:val="21"/>
          <w:szCs w:val="21"/>
          <w:shd w:val="clear" w:color="auto" w:fill="FFFFFF"/>
        </w:rPr>
      </w:pPr>
      <w:r w:rsidRPr="00B548BF">
        <w:rPr>
          <w:rFonts w:cs="Segoe UI"/>
          <w:color w:val="212121"/>
          <w:sz w:val="21"/>
          <w:szCs w:val="21"/>
          <w:shd w:val="clear" w:color="auto" w:fill="FFFFFF"/>
        </w:rPr>
        <w:t xml:space="preserve">Corresponding authors: </w:t>
      </w:r>
      <w:r w:rsidRPr="00B548BF">
        <w:rPr>
          <w:rFonts w:cs="Arial"/>
          <w:color w:val="000000" w:themeColor="text1"/>
          <w:sz w:val="21"/>
          <w:szCs w:val="21"/>
          <w:shd w:val="clear" w:color="auto" w:fill="FFFFFF"/>
        </w:rPr>
        <w:t>Nida Ziauddeen and Nisreen Alwan</w:t>
      </w:r>
    </w:p>
    <w:p w14:paraId="7609FC17" w14:textId="77777777" w:rsidR="0057049F" w:rsidRPr="00B548BF" w:rsidRDefault="0057049F" w:rsidP="00BA33FB">
      <w:pPr>
        <w:spacing w:line="480" w:lineRule="auto"/>
        <w:rPr>
          <w:rFonts w:cs="Arial"/>
          <w:color w:val="000000" w:themeColor="text1"/>
          <w:sz w:val="21"/>
          <w:szCs w:val="21"/>
          <w:shd w:val="clear" w:color="auto" w:fill="FFFFFF"/>
        </w:rPr>
      </w:pPr>
      <w:r w:rsidRPr="00B548BF">
        <w:rPr>
          <w:rFonts w:cs="Arial"/>
          <w:color w:val="000000" w:themeColor="text1"/>
          <w:sz w:val="21"/>
          <w:szCs w:val="21"/>
          <w:shd w:val="clear" w:color="auto" w:fill="FFFFFF"/>
        </w:rPr>
        <w:t xml:space="preserve">School of Primary Care, Population Sciences and Medical Education, Faculty of Medicine, </w:t>
      </w:r>
      <w:proofErr w:type="spellStart"/>
      <w:r w:rsidRPr="00B548BF">
        <w:rPr>
          <w:rFonts w:cs="Arial"/>
          <w:color w:val="000000" w:themeColor="text1"/>
          <w:sz w:val="21"/>
          <w:szCs w:val="21"/>
          <w:shd w:val="clear" w:color="auto" w:fill="FFFFFF"/>
        </w:rPr>
        <w:t>Mailpoint</w:t>
      </w:r>
      <w:proofErr w:type="spellEnd"/>
      <w:r w:rsidRPr="00B548BF">
        <w:rPr>
          <w:rFonts w:cs="Arial"/>
          <w:color w:val="000000" w:themeColor="text1"/>
          <w:sz w:val="21"/>
          <w:szCs w:val="21"/>
          <w:shd w:val="clear" w:color="auto" w:fill="FFFFFF"/>
        </w:rPr>
        <w:t xml:space="preserve"> 805, Level C (AC22), South Academic Block, Southampton General Hospital, </w:t>
      </w:r>
      <w:proofErr w:type="spellStart"/>
      <w:r w:rsidRPr="00B548BF">
        <w:rPr>
          <w:rFonts w:cs="Arial"/>
          <w:color w:val="000000" w:themeColor="text1"/>
          <w:sz w:val="21"/>
          <w:szCs w:val="21"/>
          <w:shd w:val="clear" w:color="auto" w:fill="FFFFFF"/>
        </w:rPr>
        <w:t>Tremona</w:t>
      </w:r>
      <w:proofErr w:type="spellEnd"/>
      <w:r w:rsidRPr="00B548BF">
        <w:rPr>
          <w:rFonts w:cs="Arial"/>
          <w:color w:val="000000" w:themeColor="text1"/>
          <w:sz w:val="21"/>
          <w:szCs w:val="21"/>
          <w:shd w:val="clear" w:color="auto" w:fill="FFFFFF"/>
        </w:rPr>
        <w:t xml:space="preserve"> Road, Southampton SO16 6YD, UK </w:t>
      </w:r>
    </w:p>
    <w:p w14:paraId="7818E65A" w14:textId="77777777" w:rsidR="0057049F" w:rsidRPr="00B548BF" w:rsidRDefault="0057049F" w:rsidP="00BA33FB">
      <w:pPr>
        <w:spacing w:line="480" w:lineRule="auto"/>
        <w:rPr>
          <w:rFonts w:cs="Arial"/>
          <w:color w:val="000000" w:themeColor="text1"/>
          <w:sz w:val="21"/>
          <w:szCs w:val="21"/>
          <w:shd w:val="clear" w:color="auto" w:fill="FFFFFF"/>
        </w:rPr>
      </w:pPr>
      <w:r w:rsidRPr="00B548BF">
        <w:rPr>
          <w:rFonts w:cs="Arial"/>
          <w:color w:val="000000" w:themeColor="text1"/>
          <w:sz w:val="21"/>
          <w:szCs w:val="21"/>
          <w:shd w:val="clear" w:color="auto" w:fill="FFFFFF"/>
        </w:rPr>
        <w:t>Email: Nida.Ziauddeen@soton.ac.uk, N.A.Alwan@soton.ac.uk</w:t>
      </w:r>
    </w:p>
    <w:p w14:paraId="6E4A0F64" w14:textId="542EF2B4" w:rsidR="0057049F" w:rsidRPr="00B548BF" w:rsidRDefault="0057049F" w:rsidP="00BA33FB">
      <w:pPr>
        <w:spacing w:line="480" w:lineRule="auto"/>
        <w:rPr>
          <w:rFonts w:cs="Arial"/>
          <w:color w:val="000000" w:themeColor="text1"/>
          <w:sz w:val="21"/>
          <w:szCs w:val="21"/>
          <w:shd w:val="clear" w:color="auto" w:fill="FFFFFF"/>
        </w:rPr>
      </w:pPr>
      <w:r w:rsidRPr="00B548BF">
        <w:rPr>
          <w:rFonts w:cs="Arial"/>
          <w:color w:val="000000" w:themeColor="text1"/>
          <w:sz w:val="21"/>
          <w:szCs w:val="21"/>
          <w:shd w:val="clear" w:color="auto" w:fill="FFFFFF"/>
        </w:rPr>
        <w:t>Telephone number: 023 81 206287</w:t>
      </w:r>
    </w:p>
    <w:p w14:paraId="2821C9E5" w14:textId="77777777" w:rsidR="0057049F" w:rsidRPr="00B548BF" w:rsidRDefault="0057049F" w:rsidP="00BA33FB">
      <w:pPr>
        <w:spacing w:line="480" w:lineRule="auto"/>
        <w:rPr>
          <w:rFonts w:cs="Arial"/>
          <w:color w:val="000000" w:themeColor="text1"/>
          <w:sz w:val="21"/>
          <w:szCs w:val="21"/>
          <w:shd w:val="clear" w:color="auto" w:fill="FFFFFF"/>
        </w:rPr>
      </w:pPr>
    </w:p>
    <w:p w14:paraId="352D8021" w14:textId="77777777" w:rsidR="0057049F" w:rsidRPr="00B548BF" w:rsidRDefault="0057049F" w:rsidP="00BA33FB">
      <w:pPr>
        <w:spacing w:line="480" w:lineRule="auto"/>
        <w:rPr>
          <w:sz w:val="21"/>
          <w:szCs w:val="21"/>
        </w:rPr>
      </w:pPr>
    </w:p>
    <w:p w14:paraId="031F44E0" w14:textId="77777777" w:rsidR="0057049F" w:rsidRPr="00B548BF" w:rsidRDefault="0057049F" w:rsidP="00BA33FB">
      <w:pPr>
        <w:spacing w:line="480" w:lineRule="auto"/>
        <w:rPr>
          <w:b/>
        </w:rPr>
        <w:sectPr w:rsidR="0057049F" w:rsidRPr="00B548BF" w:rsidSect="00BA33FB">
          <w:footerReference w:type="default" r:id="rId11"/>
          <w:pgSz w:w="11906" w:h="16838"/>
          <w:pgMar w:top="1440" w:right="1440" w:bottom="1440" w:left="1440" w:header="708" w:footer="708" w:gutter="0"/>
          <w:lnNumType w:countBy="1" w:restart="continuous"/>
          <w:cols w:space="708"/>
          <w:docGrid w:linePitch="360"/>
        </w:sectPr>
      </w:pPr>
    </w:p>
    <w:p w14:paraId="56D7263D" w14:textId="542DFBBC" w:rsidR="0005409F" w:rsidRPr="00B548BF" w:rsidRDefault="009928B0" w:rsidP="00BA33FB">
      <w:pPr>
        <w:spacing w:line="480" w:lineRule="auto"/>
      </w:pPr>
      <w:r w:rsidRPr="00B548BF">
        <w:rPr>
          <w:b/>
        </w:rPr>
        <w:lastRenderedPageBreak/>
        <w:t xml:space="preserve">Abstract </w:t>
      </w:r>
    </w:p>
    <w:p w14:paraId="16E2DB5D" w14:textId="413FC1B8" w:rsidR="00BD3467" w:rsidRPr="00B548BF" w:rsidRDefault="006C6825" w:rsidP="00BA33FB">
      <w:pPr>
        <w:spacing w:line="480" w:lineRule="auto"/>
      </w:pPr>
      <w:bookmarkStart w:id="0" w:name="OLE_LINK1"/>
      <w:r w:rsidRPr="00B548BF">
        <w:rPr>
          <w:b/>
        </w:rPr>
        <w:t>Background</w:t>
      </w:r>
      <w:r w:rsidR="00BD3467" w:rsidRPr="00B548BF">
        <w:rPr>
          <w:b/>
        </w:rPr>
        <w:t>:</w:t>
      </w:r>
      <w:r w:rsidR="00BD3467" w:rsidRPr="00B548BF">
        <w:t xml:space="preserve"> Maternal obesity increases the risk of adverse long-term health outcomes</w:t>
      </w:r>
      <w:r w:rsidR="00622CF8" w:rsidRPr="00B548BF">
        <w:t xml:space="preserve"> </w:t>
      </w:r>
      <w:r w:rsidR="00397AD9" w:rsidRPr="00B548BF">
        <w:t xml:space="preserve">in mother and child </w:t>
      </w:r>
      <w:r w:rsidR="00622CF8" w:rsidRPr="00B548BF">
        <w:t>including childhood obesity</w:t>
      </w:r>
      <w:r w:rsidR="00BD3467" w:rsidRPr="00B548BF">
        <w:t xml:space="preserve">. We aimed to investigate the association between interpregnancy weight gain between first and second </w:t>
      </w:r>
      <w:r w:rsidR="00F94D24" w:rsidRPr="00B548BF">
        <w:t>pregnancies</w:t>
      </w:r>
      <w:r w:rsidR="00622CF8" w:rsidRPr="00B548BF">
        <w:t xml:space="preserve"> and risk of</w:t>
      </w:r>
      <w:r w:rsidR="00BD3467" w:rsidRPr="00B548BF">
        <w:t xml:space="preserve"> overweight and obesity in the second child.</w:t>
      </w:r>
    </w:p>
    <w:p w14:paraId="1806332A" w14:textId="5BA4BF3C" w:rsidR="00BD3467" w:rsidRPr="00B548BF" w:rsidRDefault="00BD3467" w:rsidP="00BA33FB">
      <w:pPr>
        <w:spacing w:line="480" w:lineRule="auto"/>
      </w:pPr>
      <w:r w:rsidRPr="00B548BF">
        <w:rPr>
          <w:b/>
        </w:rPr>
        <w:t>Methods:</w:t>
      </w:r>
      <w:r w:rsidRPr="00B548BF">
        <w:t xml:space="preserve"> </w:t>
      </w:r>
      <w:r w:rsidR="00E828BD" w:rsidRPr="00B548BF">
        <w:t xml:space="preserve">We analysed the healthcare </w:t>
      </w:r>
      <w:r w:rsidR="0061117A" w:rsidRPr="00B548BF">
        <w:t xml:space="preserve">records of 4789 women </w:t>
      </w:r>
      <w:r w:rsidR="00E828BD" w:rsidRPr="00B548BF">
        <w:t xml:space="preserve">in Hampshire, UK </w:t>
      </w:r>
      <w:r w:rsidR="0061117A" w:rsidRPr="00B548BF">
        <w:t>with their first two singleton live births w</w:t>
      </w:r>
      <w:r w:rsidR="002D7A1C" w:rsidRPr="00B548BF">
        <w:t xml:space="preserve">ithin </w:t>
      </w:r>
      <w:r w:rsidR="00622CF8" w:rsidRPr="00B548BF">
        <w:t>a</w:t>
      </w:r>
      <w:r w:rsidR="002D7A1C" w:rsidRPr="00B548BF">
        <w:t xml:space="preserve"> population-based anonymised </w:t>
      </w:r>
      <w:r w:rsidR="00822D46" w:rsidRPr="00B548BF">
        <w:t xml:space="preserve">linked cohort of </w:t>
      </w:r>
      <w:r w:rsidR="002D7A1C" w:rsidRPr="00B548BF">
        <w:t xml:space="preserve">routine antenatal </w:t>
      </w:r>
      <w:r w:rsidR="00622CF8" w:rsidRPr="00B548BF">
        <w:t xml:space="preserve">records (August 2004 and August 2014) </w:t>
      </w:r>
      <w:r w:rsidR="00E828BD" w:rsidRPr="00B548BF">
        <w:t xml:space="preserve">with </w:t>
      </w:r>
      <w:r w:rsidR="00622CF8" w:rsidRPr="00B548BF">
        <w:t>birth/early life data for their children</w:t>
      </w:r>
      <w:r w:rsidRPr="00B548BF">
        <w:t xml:space="preserve">. </w:t>
      </w:r>
      <w:r w:rsidR="005E61A3" w:rsidRPr="00B548BF">
        <w:rPr>
          <w:rFonts w:cs="Arial"/>
        </w:rPr>
        <w:t>Measured m</w:t>
      </w:r>
      <w:r w:rsidR="00714BAD" w:rsidRPr="00B548BF">
        <w:rPr>
          <w:rFonts w:cs="Arial"/>
        </w:rPr>
        <w:t xml:space="preserve">aternal weight and </w:t>
      </w:r>
      <w:r w:rsidR="005E61A3" w:rsidRPr="00B548BF">
        <w:rPr>
          <w:rFonts w:cs="Arial"/>
        </w:rPr>
        <w:t xml:space="preserve">reported </w:t>
      </w:r>
      <w:r w:rsidR="00714BAD" w:rsidRPr="00B548BF">
        <w:rPr>
          <w:rFonts w:cs="Arial"/>
        </w:rPr>
        <w:t xml:space="preserve">height </w:t>
      </w:r>
      <w:r w:rsidR="00B36531" w:rsidRPr="00B548BF">
        <w:rPr>
          <w:rFonts w:cs="Arial"/>
        </w:rPr>
        <w:t xml:space="preserve">were </w:t>
      </w:r>
      <w:r w:rsidR="005E61A3" w:rsidRPr="00B548BF">
        <w:rPr>
          <w:rFonts w:cs="Arial"/>
        </w:rPr>
        <w:t xml:space="preserve">recorded </w:t>
      </w:r>
      <w:r w:rsidR="00714BAD" w:rsidRPr="00B548BF">
        <w:rPr>
          <w:rFonts w:cs="Arial"/>
        </w:rPr>
        <w:t xml:space="preserve">at the first antenatal appointment of each pregnancy. </w:t>
      </w:r>
      <w:r w:rsidR="00397AD9" w:rsidRPr="00B548BF">
        <w:rPr>
          <w:rFonts w:cs="Arial"/>
        </w:rPr>
        <w:t>Measured c</w:t>
      </w:r>
      <w:r w:rsidR="00F94D24" w:rsidRPr="00B548BF">
        <w:rPr>
          <w:rFonts w:cs="Arial"/>
        </w:rPr>
        <w:t xml:space="preserve">hild height and weight at 4-5 years were converted to </w:t>
      </w:r>
      <w:r w:rsidR="00811DE8" w:rsidRPr="00B548BF">
        <w:rPr>
          <w:rFonts w:cs="Arial"/>
        </w:rPr>
        <w:t xml:space="preserve">age- and sex-adjusted </w:t>
      </w:r>
      <w:r w:rsidR="00623A9E" w:rsidRPr="00B548BF">
        <w:rPr>
          <w:rFonts w:cs="Arial"/>
        </w:rPr>
        <w:t>body mass index (</w:t>
      </w:r>
      <w:r w:rsidR="00811DE8" w:rsidRPr="00B548BF">
        <w:rPr>
          <w:rFonts w:cs="Arial"/>
        </w:rPr>
        <w:t>BMI</w:t>
      </w:r>
      <w:r w:rsidR="00FB2BB7" w:rsidRPr="00B548BF">
        <w:rPr>
          <w:rFonts w:cs="Arial"/>
        </w:rPr>
        <w:t xml:space="preserve"> z-score</w:t>
      </w:r>
      <w:r w:rsidR="00623A9E" w:rsidRPr="00B548BF">
        <w:rPr>
          <w:rFonts w:cs="Arial"/>
        </w:rPr>
        <w:t>)</w:t>
      </w:r>
      <w:r w:rsidR="00F94D24" w:rsidRPr="00B548BF">
        <w:rPr>
          <w:rFonts w:cs="Arial"/>
        </w:rPr>
        <w:t xml:space="preserve">. </w:t>
      </w:r>
      <w:r w:rsidR="00505B4D" w:rsidRPr="00B548BF">
        <w:rPr>
          <w:rFonts w:cs="Arial"/>
        </w:rPr>
        <w:t xml:space="preserve">Log-binomial regression was used to examine the association between maternal interpregnancy weight gain and risk of childhood overweight and obesity in the second </w:t>
      </w:r>
      <w:r w:rsidR="007A48A5" w:rsidRPr="00B548BF">
        <w:rPr>
          <w:rFonts w:cs="Arial"/>
        </w:rPr>
        <w:t>child</w:t>
      </w:r>
      <w:r w:rsidR="00505B4D" w:rsidRPr="00B548BF">
        <w:rPr>
          <w:rFonts w:cs="Arial"/>
        </w:rPr>
        <w:t xml:space="preserve">. </w:t>
      </w:r>
      <w:r w:rsidR="007A48A5" w:rsidRPr="00B548BF">
        <w:rPr>
          <w:rFonts w:cs="Arial"/>
        </w:rPr>
        <w:t>This was analysed first in the whole sample and then stratified by baseline maternal BMI category.</w:t>
      </w:r>
    </w:p>
    <w:p w14:paraId="40E58476" w14:textId="0BBD1D01" w:rsidR="00811DE8" w:rsidRPr="00B548BF" w:rsidRDefault="00BD3467" w:rsidP="00BA33FB">
      <w:pPr>
        <w:spacing w:line="480" w:lineRule="auto"/>
        <w:rPr>
          <w:rFonts w:cs="Arial"/>
        </w:rPr>
      </w:pPr>
      <w:r w:rsidRPr="00B548BF">
        <w:rPr>
          <w:b/>
        </w:rPr>
        <w:t>Results:</w:t>
      </w:r>
      <w:r w:rsidRPr="00B548BF">
        <w:t xml:space="preserve"> </w:t>
      </w:r>
      <w:r w:rsidR="00FB120D" w:rsidRPr="00B548BF">
        <w:t>The prevalence of overweight</w:t>
      </w:r>
      <w:r w:rsidR="00622CF8" w:rsidRPr="00B548BF">
        <w:t>/</w:t>
      </w:r>
      <w:r w:rsidR="00FB120D" w:rsidRPr="00B548BF">
        <w:t>obesity in the second child was 19.1% in women who remained weight stable</w:t>
      </w:r>
      <w:r w:rsidR="00E828BD" w:rsidRPr="00B548BF">
        <w:t>,</w:t>
      </w:r>
      <w:r w:rsidR="00FB120D" w:rsidRPr="00B548BF">
        <w:t xml:space="preserve"> compared </w:t>
      </w:r>
      <w:r w:rsidR="002D7A1C" w:rsidRPr="00B548BF">
        <w:t xml:space="preserve">with </w:t>
      </w:r>
      <w:r w:rsidR="00FB120D" w:rsidRPr="00B548BF">
        <w:t>28.3% in women with ≥3 kg/m</w:t>
      </w:r>
      <w:r w:rsidR="00FB120D" w:rsidRPr="00B548BF">
        <w:rPr>
          <w:vertAlign w:val="superscript"/>
        </w:rPr>
        <w:t xml:space="preserve">2 </w:t>
      </w:r>
      <w:r w:rsidR="00FB120D" w:rsidRPr="00B548BF">
        <w:t>weight gain.</w:t>
      </w:r>
      <w:r w:rsidRPr="00B548BF">
        <w:t xml:space="preserve"> </w:t>
      </w:r>
      <w:r w:rsidR="00811DE8" w:rsidRPr="00B548BF">
        <w:t xml:space="preserve">Interpregnancy gain of </w:t>
      </w:r>
      <w:r w:rsidR="00FB120D" w:rsidRPr="00B548BF">
        <w:t>≥</w:t>
      </w:r>
      <w:r w:rsidR="00811DE8" w:rsidRPr="00B548BF">
        <w:t>3 kg/m</w:t>
      </w:r>
      <w:r w:rsidR="00811DE8" w:rsidRPr="00B548BF">
        <w:rPr>
          <w:vertAlign w:val="superscript"/>
        </w:rPr>
        <w:t>2</w:t>
      </w:r>
      <w:r w:rsidR="00811DE8" w:rsidRPr="00B548BF">
        <w:t xml:space="preserve"> was associated with increased risk of childhood overweight/obesity (adjusted relative risk </w:t>
      </w:r>
      <w:r w:rsidR="00A43741" w:rsidRPr="00B548BF">
        <w:t>(95%</w:t>
      </w:r>
      <w:r w:rsidR="006E7EEC" w:rsidRPr="00B548BF">
        <w:t xml:space="preserve"> </w:t>
      </w:r>
      <w:r w:rsidR="00A43741" w:rsidRPr="00B548BF">
        <w:t xml:space="preserve">CI) </w:t>
      </w:r>
      <w:r w:rsidR="00811DE8" w:rsidRPr="00B548BF">
        <w:t>1</w:t>
      </w:r>
      <w:r w:rsidR="00FB120D" w:rsidRPr="00B548BF">
        <w:rPr>
          <w:rFonts w:ascii="Calibri" w:hAnsi="Calibri" w:cs="Calibri"/>
        </w:rPr>
        <w:t>.</w:t>
      </w:r>
      <w:r w:rsidR="006E7EEC" w:rsidRPr="00B548BF">
        <w:t>17</w:t>
      </w:r>
      <w:r w:rsidR="00A43741" w:rsidRPr="00B548BF">
        <w:t xml:space="preserve"> (</w:t>
      </w:r>
      <w:r w:rsidR="00811DE8" w:rsidRPr="00B548BF">
        <w:t>1</w:t>
      </w:r>
      <w:r w:rsidR="00FB120D" w:rsidRPr="00B548BF">
        <w:rPr>
          <w:rFonts w:ascii="Calibri" w:hAnsi="Calibri" w:cs="Calibri"/>
        </w:rPr>
        <w:t>.</w:t>
      </w:r>
      <w:r w:rsidR="006E7EEC" w:rsidRPr="00B548BF">
        <w:t>02 to 1.3</w:t>
      </w:r>
      <w:r w:rsidR="00C842FC" w:rsidRPr="00B548BF">
        <w:t>4</w:t>
      </w:r>
      <w:r w:rsidR="00A43741" w:rsidRPr="00B548BF">
        <w:t>)</w:t>
      </w:r>
      <w:r w:rsidR="00811DE8" w:rsidRPr="00B548BF">
        <w:t>)</w:t>
      </w:r>
      <w:r w:rsidR="00A43741" w:rsidRPr="00B548BF">
        <w:t xml:space="preserve">, with attenuation </w:t>
      </w:r>
      <w:r w:rsidR="00F04615" w:rsidRPr="00B548BF">
        <w:t xml:space="preserve">on </w:t>
      </w:r>
      <w:r w:rsidR="00A43741" w:rsidRPr="00B548BF">
        <w:t xml:space="preserve">adjusting for birthweight of the second child </w:t>
      </w:r>
      <w:r w:rsidR="00811DE8" w:rsidRPr="00B548BF">
        <w:t>(1</w:t>
      </w:r>
      <w:r w:rsidR="00FB120D" w:rsidRPr="00B548BF">
        <w:rPr>
          <w:rFonts w:ascii="Calibri" w:hAnsi="Calibri" w:cs="Calibri"/>
        </w:rPr>
        <w:t>.</w:t>
      </w:r>
      <w:r w:rsidR="006E7EEC" w:rsidRPr="00B548BF">
        <w:t>08</w:t>
      </w:r>
      <w:r w:rsidR="00811DE8" w:rsidRPr="00B548BF">
        <w:t xml:space="preserve"> </w:t>
      </w:r>
      <w:r w:rsidR="00A43741" w:rsidRPr="00B548BF">
        <w:t>(</w:t>
      </w:r>
      <w:r w:rsidR="00811DE8" w:rsidRPr="00B548BF">
        <w:t>0</w:t>
      </w:r>
      <w:r w:rsidR="00FB120D" w:rsidRPr="00B548BF">
        <w:rPr>
          <w:rFonts w:ascii="Calibri" w:hAnsi="Calibri" w:cs="Calibri"/>
        </w:rPr>
        <w:t>.</w:t>
      </w:r>
      <w:r w:rsidR="006E7EEC" w:rsidRPr="00B548BF">
        <w:t>94</w:t>
      </w:r>
      <w:r w:rsidR="00811DE8" w:rsidRPr="00B548BF">
        <w:t xml:space="preserve"> to 1</w:t>
      </w:r>
      <w:r w:rsidR="00FB120D" w:rsidRPr="00B548BF">
        <w:rPr>
          <w:rFonts w:ascii="Calibri" w:hAnsi="Calibri" w:cs="Calibri"/>
        </w:rPr>
        <w:t>.</w:t>
      </w:r>
      <w:r w:rsidR="00811DE8" w:rsidRPr="00B548BF">
        <w:t>2</w:t>
      </w:r>
      <w:r w:rsidR="00C842FC" w:rsidRPr="00B548BF">
        <w:t>4</w:t>
      </w:r>
      <w:r w:rsidR="00A43741" w:rsidRPr="00B548BF">
        <w:t>)</w:t>
      </w:r>
      <w:r w:rsidR="00811DE8" w:rsidRPr="00B548BF">
        <w:t xml:space="preserve">). </w:t>
      </w:r>
      <w:r w:rsidR="00A43741" w:rsidRPr="00B548BF">
        <w:rPr>
          <w:rFonts w:cs="Arial"/>
        </w:rPr>
        <w:t>In women who were normal weight at first pregnancy</w:t>
      </w:r>
      <w:r w:rsidR="00B30BEC" w:rsidRPr="00B548BF">
        <w:rPr>
          <w:rFonts w:cs="Arial"/>
        </w:rPr>
        <w:t>,</w:t>
      </w:r>
      <w:r w:rsidR="00A43741" w:rsidRPr="00B548BF">
        <w:rPr>
          <w:rFonts w:cs="Arial"/>
        </w:rPr>
        <w:t xml:space="preserve"> the risks of childhood obesity (≥95</w:t>
      </w:r>
      <w:r w:rsidR="00A43741" w:rsidRPr="00B548BF">
        <w:rPr>
          <w:rFonts w:cs="Arial"/>
          <w:vertAlign w:val="superscript"/>
        </w:rPr>
        <w:t>th</w:t>
      </w:r>
      <w:r w:rsidR="00A43741" w:rsidRPr="00B548BF">
        <w:rPr>
          <w:rFonts w:cs="Arial"/>
        </w:rPr>
        <w:t xml:space="preserve"> centile) were increased with </w:t>
      </w:r>
      <w:r w:rsidR="006E18EA" w:rsidRPr="00B548BF">
        <w:rPr>
          <w:rFonts w:cs="Arial"/>
        </w:rPr>
        <w:t>gain</w:t>
      </w:r>
      <w:r w:rsidR="00A43741" w:rsidRPr="00B548BF">
        <w:rPr>
          <w:rFonts w:cs="Arial"/>
        </w:rPr>
        <w:t>s</w:t>
      </w:r>
      <w:r w:rsidR="006E18EA" w:rsidRPr="00B548BF">
        <w:rPr>
          <w:rFonts w:cs="Arial"/>
        </w:rPr>
        <w:t xml:space="preserve"> of 1-3 </w:t>
      </w:r>
      <w:r w:rsidR="00A43741" w:rsidRPr="00B548BF">
        <w:rPr>
          <w:rFonts w:cs="Arial"/>
        </w:rPr>
        <w:t>kg/m</w:t>
      </w:r>
      <w:r w:rsidR="00A43741" w:rsidRPr="00B548BF">
        <w:rPr>
          <w:rFonts w:cs="Arial"/>
          <w:vertAlign w:val="superscript"/>
        </w:rPr>
        <w:t>2</w:t>
      </w:r>
      <w:r w:rsidR="00714BAD" w:rsidRPr="00B548BF">
        <w:rPr>
          <w:rFonts w:cs="Arial"/>
          <w:vertAlign w:val="superscript"/>
        </w:rPr>
        <w:t xml:space="preserve"> </w:t>
      </w:r>
      <w:r w:rsidR="006E7EEC" w:rsidRPr="00B548BF">
        <w:rPr>
          <w:rFonts w:cs="Arial"/>
        </w:rPr>
        <w:t>(1.</w:t>
      </w:r>
      <w:r w:rsidR="00C842FC" w:rsidRPr="00B548BF">
        <w:rPr>
          <w:rFonts w:cs="Arial"/>
        </w:rPr>
        <w:t xml:space="preserve">74 </w:t>
      </w:r>
      <w:r w:rsidR="00714BAD" w:rsidRPr="00B548BF">
        <w:rPr>
          <w:rFonts w:cs="Arial"/>
        </w:rPr>
        <w:t>(</w:t>
      </w:r>
      <w:r w:rsidR="006E7EEC" w:rsidRPr="00B548BF">
        <w:rPr>
          <w:rFonts w:cs="Arial"/>
        </w:rPr>
        <w:t>1.0</w:t>
      </w:r>
      <w:r w:rsidR="00C842FC" w:rsidRPr="00B548BF">
        <w:rPr>
          <w:rFonts w:cs="Arial"/>
        </w:rPr>
        <w:t>7</w:t>
      </w:r>
      <w:r w:rsidR="006E7EEC" w:rsidRPr="00B548BF">
        <w:rPr>
          <w:rFonts w:cs="Arial"/>
        </w:rPr>
        <w:t xml:space="preserve"> to 2.</w:t>
      </w:r>
      <w:r w:rsidR="00C842FC" w:rsidRPr="00B548BF">
        <w:rPr>
          <w:rFonts w:cs="Arial"/>
        </w:rPr>
        <w:t>8</w:t>
      </w:r>
      <w:r w:rsidR="006E7EEC" w:rsidRPr="00B548BF">
        <w:rPr>
          <w:rFonts w:cs="Arial"/>
        </w:rPr>
        <w:t>3</w:t>
      </w:r>
      <w:r w:rsidR="00714BAD" w:rsidRPr="00B548BF">
        <w:rPr>
          <w:rFonts w:cs="Arial"/>
        </w:rPr>
        <w:t xml:space="preserve">)) </w:t>
      </w:r>
      <w:r w:rsidR="006E18EA" w:rsidRPr="00B548BF">
        <w:rPr>
          <w:rFonts w:cs="Arial"/>
        </w:rPr>
        <w:t xml:space="preserve">and </w:t>
      </w:r>
      <w:r w:rsidR="006E18EA" w:rsidRPr="00B548BF">
        <w:t>≥</w:t>
      </w:r>
      <w:r w:rsidR="006E18EA" w:rsidRPr="00B548BF">
        <w:rPr>
          <w:rFonts w:cs="Arial"/>
        </w:rPr>
        <w:t>3 kg/m</w:t>
      </w:r>
      <w:r w:rsidR="006E18EA" w:rsidRPr="00B548BF">
        <w:rPr>
          <w:rFonts w:cs="Arial"/>
          <w:vertAlign w:val="superscript"/>
        </w:rPr>
        <w:t xml:space="preserve">2 </w:t>
      </w:r>
      <w:r w:rsidR="00714BAD" w:rsidRPr="00B548BF">
        <w:rPr>
          <w:rFonts w:cs="Arial"/>
        </w:rPr>
        <w:t>(</w:t>
      </w:r>
      <w:r w:rsidR="006E7EEC" w:rsidRPr="00B548BF">
        <w:rPr>
          <w:rFonts w:cs="Arial"/>
        </w:rPr>
        <w:t xml:space="preserve">1.87 </w:t>
      </w:r>
      <w:r w:rsidR="00714BAD" w:rsidRPr="00B548BF">
        <w:rPr>
          <w:rFonts w:cs="Arial"/>
        </w:rPr>
        <w:t>(</w:t>
      </w:r>
      <w:r w:rsidR="006E7EEC" w:rsidRPr="00B548BF">
        <w:rPr>
          <w:rFonts w:cs="Arial"/>
        </w:rPr>
        <w:t>1.1</w:t>
      </w:r>
      <w:r w:rsidR="00C842FC" w:rsidRPr="00B548BF">
        <w:rPr>
          <w:rFonts w:cs="Arial"/>
        </w:rPr>
        <w:t>8</w:t>
      </w:r>
      <w:r w:rsidR="006E7EEC" w:rsidRPr="00B548BF">
        <w:rPr>
          <w:rFonts w:cs="Arial"/>
        </w:rPr>
        <w:t xml:space="preserve"> to </w:t>
      </w:r>
      <w:r w:rsidR="00C842FC" w:rsidRPr="00B548BF">
        <w:rPr>
          <w:rFonts w:cs="Arial"/>
        </w:rPr>
        <w:t>3.01</w:t>
      </w:r>
      <w:r w:rsidR="00714BAD" w:rsidRPr="00B548BF">
        <w:rPr>
          <w:rFonts w:cs="Arial"/>
        </w:rPr>
        <w:t>)</w:t>
      </w:r>
      <w:r w:rsidR="006E18EA" w:rsidRPr="00B548BF">
        <w:rPr>
          <w:rFonts w:cs="Arial"/>
        </w:rPr>
        <w:t>).</w:t>
      </w:r>
    </w:p>
    <w:p w14:paraId="608BC91B" w14:textId="4B2A88B1" w:rsidR="00BE066D" w:rsidRPr="00B548BF" w:rsidRDefault="00BD3467" w:rsidP="00BA33FB">
      <w:pPr>
        <w:spacing w:line="480" w:lineRule="auto"/>
      </w:pPr>
      <w:r w:rsidRPr="00B548BF">
        <w:rPr>
          <w:b/>
        </w:rPr>
        <w:t>Conclusion:</w:t>
      </w:r>
      <w:r w:rsidRPr="00B548BF">
        <w:t xml:space="preserve"> </w:t>
      </w:r>
      <w:bookmarkEnd w:id="0"/>
      <w:r w:rsidR="00943E5D" w:rsidRPr="00B548BF">
        <w:t>Children of</w:t>
      </w:r>
      <w:r w:rsidR="00E97848" w:rsidRPr="00B548BF">
        <w:t xml:space="preserve"> normal weight mothers who</w:t>
      </w:r>
      <w:r w:rsidR="00943E5D" w:rsidRPr="00B548BF">
        <w:t xml:space="preserve"> started their second pregnancy with a considerably higher weight were more likely to </w:t>
      </w:r>
      <w:r w:rsidR="00397AD9" w:rsidRPr="00B548BF">
        <w:t>have obesity</w:t>
      </w:r>
      <w:r w:rsidR="00943E5D" w:rsidRPr="00B548BF">
        <w:t xml:space="preserve"> at </w:t>
      </w:r>
      <w:r w:rsidR="00B30BEC" w:rsidRPr="00B548BF">
        <w:t xml:space="preserve">4-5 </w:t>
      </w:r>
      <w:r w:rsidR="00B30BEC" w:rsidRPr="00B548BF">
        <w:lastRenderedPageBreak/>
        <w:t>years</w:t>
      </w:r>
      <w:r w:rsidR="000B2D9B" w:rsidRPr="00B548BF">
        <w:t xml:space="preserve">. </w:t>
      </w:r>
      <w:r w:rsidR="00F84E54" w:rsidRPr="00B548BF">
        <w:t xml:space="preserve">Supporting return to pre-pregnancy weight and </w:t>
      </w:r>
      <w:r w:rsidR="00397AD9" w:rsidRPr="00B548BF">
        <w:t>limiting weight gain between pregnancies</w:t>
      </w:r>
      <w:r w:rsidR="00F84E54" w:rsidRPr="00B548BF">
        <w:t xml:space="preserve"> </w:t>
      </w:r>
      <w:r w:rsidR="00397AD9" w:rsidRPr="00B548BF">
        <w:t xml:space="preserve">may </w:t>
      </w:r>
      <w:r w:rsidR="00F84E54" w:rsidRPr="00B548BF">
        <w:t xml:space="preserve">achieve better </w:t>
      </w:r>
      <w:r w:rsidR="00B0266D" w:rsidRPr="00B548BF">
        <w:t xml:space="preserve">long-term </w:t>
      </w:r>
      <w:r w:rsidR="00F84E54" w:rsidRPr="00B548BF">
        <w:t xml:space="preserve">maternal and offspring outcomes.  </w:t>
      </w:r>
    </w:p>
    <w:p w14:paraId="774E26CF" w14:textId="77777777" w:rsidR="00F36EA8" w:rsidRPr="00B548BF" w:rsidRDefault="00F36EA8" w:rsidP="00BA33FB">
      <w:pPr>
        <w:spacing w:line="480" w:lineRule="auto"/>
      </w:pPr>
    </w:p>
    <w:p w14:paraId="65E27FE5" w14:textId="77777777" w:rsidR="001523B1" w:rsidRPr="00B548BF" w:rsidRDefault="001523B1" w:rsidP="00BA33FB">
      <w:pPr>
        <w:spacing w:line="480" w:lineRule="auto"/>
      </w:pPr>
    </w:p>
    <w:p w14:paraId="3956D3E9" w14:textId="77777777" w:rsidR="0005409F" w:rsidRPr="00B548BF" w:rsidRDefault="0005409F" w:rsidP="00BA33FB">
      <w:pPr>
        <w:spacing w:line="480" w:lineRule="auto"/>
        <w:rPr>
          <w:b/>
        </w:rPr>
      </w:pPr>
      <w:r w:rsidRPr="00B548BF">
        <w:rPr>
          <w:b/>
        </w:rPr>
        <w:t>Introduction</w:t>
      </w:r>
    </w:p>
    <w:p w14:paraId="530C62A4" w14:textId="6D0217D2" w:rsidR="004814B1" w:rsidRPr="00B548BF" w:rsidRDefault="006B39E1" w:rsidP="00BA33FB">
      <w:pPr>
        <w:spacing w:line="480" w:lineRule="auto"/>
      </w:pPr>
      <w:r w:rsidRPr="00B548BF">
        <w:t>T</w:t>
      </w:r>
      <w:r w:rsidR="004814B1" w:rsidRPr="00B548BF">
        <w:t xml:space="preserve">he prevalence </w:t>
      </w:r>
      <w:r w:rsidRPr="00B548BF">
        <w:t xml:space="preserve">of obesity </w:t>
      </w:r>
      <w:r w:rsidR="004814B1" w:rsidRPr="00B548BF">
        <w:t>i</w:t>
      </w:r>
      <w:r w:rsidRPr="00B548BF">
        <w:t>n women of reproductive age is</w:t>
      </w:r>
      <w:r w:rsidR="004814B1" w:rsidRPr="00B548BF">
        <w:t xml:space="preserve"> rising </w:t>
      </w:r>
      <w:r w:rsidRPr="00B548BF">
        <w:t xml:space="preserve">worldwide </w:t>
      </w:r>
      <w:r w:rsidR="004814B1" w:rsidRPr="00B548BF">
        <w:t>and is seen in all populati</w:t>
      </w:r>
      <w:r w:rsidR="009A3CF5" w:rsidRPr="00B548BF">
        <w:t>ons regardless of income status</w:t>
      </w:r>
      <w:r w:rsidR="008B3099" w:rsidRPr="00B548BF">
        <w:rPr>
          <w:vertAlign w:val="superscript"/>
        </w:rPr>
        <w:fldChar w:fldCharType="begin"/>
      </w:r>
      <w:r w:rsidR="00FA134E" w:rsidRPr="00B548BF">
        <w:rPr>
          <w:vertAlign w:val="superscript"/>
        </w:rPr>
        <w:instrText xml:space="preserve"> ADDIN ZOTERO_ITEM CSL_CITATION {"citationID":"v5co4iuV","properties":{"formattedCitation":"(1)","plainCitation":"(1)","noteIndex":0},"citationItems":[{"id":235,"uris":["http://zotero.org/users/6410601/items/SR5IP7W4"],"uri":["http://zotero.org/users/6410601/items/SR5IP7W4"],"itemData":{"id":235,"type":"article-journal","container-title":"The Lancet Diabetes &amp; Endocrinology","DOI":"10.1016/S2213-8587(16)30098-5","ISSN":"22138587","issue":"12","journalAbbreviation":"The Lancet Diabetes &amp; Endocrinology","language":"en","page":"966-967","source":"DOI.org (Crossref)","title":"Obesity and the health of future generations","volume":"4","author":[{"family":"Hanson","given":"Mark"},{"family":"Gluckman","given":"Peter"},{"family":"Bustreo","given":"Flavia"}],"issued":{"date-parts":[["2016",12]]}}}],"schema":"https://github.com/citation-style-language/schema/raw/master/csl-citation.json"} </w:instrText>
      </w:r>
      <w:r w:rsidR="008B3099" w:rsidRPr="00B548BF">
        <w:rPr>
          <w:vertAlign w:val="superscript"/>
        </w:rPr>
        <w:fldChar w:fldCharType="separate"/>
      </w:r>
      <w:r w:rsidR="008B3099" w:rsidRPr="00B548BF">
        <w:rPr>
          <w:vertAlign w:val="superscript"/>
        </w:rPr>
        <w:t>(1)</w:t>
      </w:r>
      <w:r w:rsidR="008B3099" w:rsidRPr="00B548BF">
        <w:rPr>
          <w:vertAlign w:val="superscript"/>
        </w:rPr>
        <w:fldChar w:fldCharType="end"/>
      </w:r>
      <w:r w:rsidR="004814B1" w:rsidRPr="00B548BF">
        <w:t xml:space="preserve">. Maternal obesity during pregnancy in England has shown a </w:t>
      </w:r>
      <w:r w:rsidR="00B36531" w:rsidRPr="00B548BF">
        <w:t xml:space="preserve">major </w:t>
      </w:r>
      <w:r w:rsidR="004814B1" w:rsidRPr="00B548BF">
        <w:t xml:space="preserve">increase over time, </w:t>
      </w:r>
      <w:r w:rsidR="00744BFC" w:rsidRPr="00B548BF">
        <w:t>from 7.6% in</w:t>
      </w:r>
      <w:r w:rsidR="004814B1" w:rsidRPr="00B548BF">
        <w:t xml:space="preserve"> 1989 to</w:t>
      </w:r>
      <w:r w:rsidR="00744BFC" w:rsidRPr="00B548BF">
        <w:t xml:space="preserve"> 15.6% in</w:t>
      </w:r>
      <w:r w:rsidR="004814B1" w:rsidRPr="00B548BF">
        <w:t xml:space="preserve"> 2007</w:t>
      </w:r>
      <w:r w:rsidR="0029320B" w:rsidRPr="00B548BF">
        <w:rPr>
          <w:vertAlign w:val="superscript"/>
        </w:rPr>
        <w:fldChar w:fldCharType="begin"/>
      </w:r>
      <w:r w:rsidR="00FA134E" w:rsidRPr="00B548BF">
        <w:rPr>
          <w:vertAlign w:val="superscript"/>
        </w:rPr>
        <w:instrText xml:space="preserve"> ADDIN ZOTERO_ITEM CSL_CITATION {"citationID":"kyVXwE96","properties":{"formattedCitation":"(2)","plainCitation":"(2)","noteIndex":0},"citationItems":[{"id":358,"uris":["http://zotero.org/users/6410601/items/XISNA6NW"],"uri":["http://zotero.org/users/6410601/items/XISNA6NW"],"itemData":{"id":358,"type":"article-journal","abstract":"BACKGROUND: There is an absence of national statistics for maternal obesity in the UK. This study is the first to describe a nationally representative maternal obesity research data set in England.\nDESIGN: Retrospective epidemiological study of first trimester obesity.\nMETHODS: Data from 34 maternity units were analysed, including 619 323 births between 1989 and 2007. Data analysis included trends in first trimester maternal body bass index status over time, and geographical distribution of maternal obesity. Population demographics including maternal age, parity, ethnic group, deprivation and employment were analysed to identify any maternal obesity-associated health inequalities. All demographics were tested for multicollinearity. Logistic regression analyses were adjusted for all demographics as confounders.\nRESULTS: First trimester maternal obesity is significantly increasing over time, having more than doubled from 7.6% to 15.6% over 19 years (P&lt;0.001), and shows geographic variation in incidence. There are also demographic health inequalities associated with maternal obesity, including increased odds of being obese with increasing age, parity, Black ethnic group and deprivation. There is also an association between morbid obesity and increased levels of unemployment.\nCONCLUSIONS: The increase in maternal obesity has serious implications for the health of mothers, infants and service providers, yielding an additional 47 500 women per year requiring high dependency care in England. The demography of women most at risk of first trimester obesity highlights health inequalities associated with maternal obesity, which urgently needs to be addressed.","container-title":"International Journal of Obesity (2005)","DOI":"10.1038/ijo.2009.250","ISSN":"1476-5497","issue":"3","journalAbbreviation":"Int J Obes (Lond)","language":"eng","note":"PMID: 20029373","page":"420-428","source":"PubMed","title":"A nationally representative study of maternal obesity in England, UK: trends in incidence and demographic inequalities in 619 323 births, 1989-2007","title-short":"A nationally representative study of maternal obesity in England, UK","volume":"34","author":[{"family":"Heslehurst","given":"N."},{"family":"Rankin","given":"J."},{"family":"Wilkinson","given":"J. R."},{"family":"Summerbell","given":"C. D."}],"issued":{"date-parts":[["2010",3]]}}}],"schema":"https://github.com/citation-style-language/schema/raw/master/csl-citation.json"} </w:instrText>
      </w:r>
      <w:r w:rsidR="0029320B" w:rsidRPr="00B548BF">
        <w:rPr>
          <w:vertAlign w:val="superscript"/>
        </w:rPr>
        <w:fldChar w:fldCharType="separate"/>
      </w:r>
      <w:r w:rsidR="0029320B" w:rsidRPr="00B548BF">
        <w:rPr>
          <w:vertAlign w:val="superscript"/>
        </w:rPr>
        <w:t>(2)</w:t>
      </w:r>
      <w:r w:rsidR="0029320B" w:rsidRPr="00B548BF">
        <w:rPr>
          <w:vertAlign w:val="superscript"/>
        </w:rPr>
        <w:fldChar w:fldCharType="end"/>
      </w:r>
      <w:r w:rsidR="0029320B" w:rsidRPr="00B548BF">
        <w:t xml:space="preserve"> to 22.2% in 2018/19</w:t>
      </w:r>
      <w:r w:rsidR="0029320B" w:rsidRPr="00B548BF">
        <w:rPr>
          <w:vertAlign w:val="superscript"/>
        </w:rPr>
        <w:fldChar w:fldCharType="begin"/>
      </w:r>
      <w:r w:rsidR="00FA134E" w:rsidRPr="00B548BF">
        <w:rPr>
          <w:vertAlign w:val="superscript"/>
        </w:rPr>
        <w:instrText xml:space="preserve"> ADDIN ZOTERO_ITEM CSL_CITATION {"citationID":"IaG9pqkU","properties":{"formattedCitation":"(3)","plainCitation":"(3)","noteIndex":0},"citationItems":[{"id":101,"uris":["http://zotero.org/users/6410601/items/8A8GY2NN"],"uri":["http://zotero.org/users/6410601/items/8A8GY2NN"],"itemData":{"id":101,"type":"report","publisher":"NHS Digital","title":"NHS Maternity Statistics 2018-2019","URL":"https://files.digital.nhs.uk/D0/C26F84/hosp-epis-stat-mat-summary-report-2018-19.pdf","author":[{"family":"NHS Digital","given":""}],"issued":{"date-parts":[["2019",10,31]]}}}],"schema":"https://github.com/citation-style-language/schema/raw/master/csl-citation.json"} </w:instrText>
      </w:r>
      <w:r w:rsidR="0029320B" w:rsidRPr="00B548BF">
        <w:rPr>
          <w:vertAlign w:val="superscript"/>
        </w:rPr>
        <w:fldChar w:fldCharType="separate"/>
      </w:r>
      <w:r w:rsidR="0029320B" w:rsidRPr="00B548BF">
        <w:rPr>
          <w:vertAlign w:val="superscript"/>
        </w:rPr>
        <w:t>(3)</w:t>
      </w:r>
      <w:r w:rsidR="0029320B" w:rsidRPr="00B548BF">
        <w:rPr>
          <w:vertAlign w:val="superscript"/>
        </w:rPr>
        <w:fldChar w:fldCharType="end"/>
      </w:r>
      <w:r w:rsidR="004814B1" w:rsidRPr="00B548BF">
        <w:t>, with the rate of normal weight pregnancies decreas</w:t>
      </w:r>
      <w:r w:rsidR="0029320B" w:rsidRPr="00B548BF">
        <w:t>ing</w:t>
      </w:r>
      <w:r w:rsidR="004814B1" w:rsidRPr="00B548BF">
        <w:t xml:space="preserve"> </w:t>
      </w:r>
      <w:r w:rsidR="001C3ADD" w:rsidRPr="00B548BF">
        <w:t xml:space="preserve">from 65.6% in 2007 </w:t>
      </w:r>
      <w:r w:rsidR="004814B1" w:rsidRPr="00B548BF">
        <w:t>to 5</w:t>
      </w:r>
      <w:r w:rsidR="00744BFC" w:rsidRPr="00B548BF">
        <w:t>3.6</w:t>
      </w:r>
      <w:r w:rsidR="004814B1" w:rsidRPr="00B548BF">
        <w:t>%</w:t>
      </w:r>
      <w:r w:rsidR="00744BFC" w:rsidRPr="00B548BF">
        <w:t xml:space="preserve"> </w:t>
      </w:r>
      <w:r w:rsidR="0029320B" w:rsidRPr="00B548BF">
        <w:t>in 2007</w:t>
      </w:r>
      <w:r w:rsidR="008B3099" w:rsidRPr="00B548BF">
        <w:rPr>
          <w:vertAlign w:val="superscript"/>
        </w:rPr>
        <w:fldChar w:fldCharType="begin"/>
      </w:r>
      <w:r w:rsidR="00FA134E" w:rsidRPr="00B548BF">
        <w:rPr>
          <w:vertAlign w:val="superscript"/>
        </w:rPr>
        <w:instrText xml:space="preserve"> ADDIN ZOTERO_ITEM CSL_CITATION {"citationID":"nFEa5D7J","properties":{"formattedCitation":"(2)","plainCitation":"(2)","noteIndex":0},"citationItems":[{"id":358,"uris":["http://zotero.org/users/6410601/items/XISNA6NW"],"uri":["http://zotero.org/users/6410601/items/XISNA6NW"],"itemData":{"id":358,"type":"article-journal","abstract":"BACKGROUND: There is an absence of national statistics for maternal obesity in the UK. This study is the first to describe a nationally representative maternal obesity research data set in England.\nDESIGN: Retrospective epidemiological study of first trimester obesity.\nMETHODS: Data from 34 maternity units were analysed, including 619 323 births between 1989 and 2007. Data analysis included trends in first trimester maternal body bass index status over time, and geographical distribution of maternal obesity. Population demographics including maternal age, parity, ethnic group, deprivation and employment were analysed to identify any maternal obesity-associated health inequalities. All demographics were tested for multicollinearity. Logistic regression analyses were adjusted for all demographics as confounders.\nRESULTS: First trimester maternal obesity is significantly increasing over time, having more than doubled from 7.6% to 15.6% over 19 years (P&lt;0.001), and shows geographic variation in incidence. There are also demographic health inequalities associated with maternal obesity, including increased odds of being obese with increasing age, parity, Black ethnic group and deprivation. There is also an association between morbid obesity and increased levels of unemployment.\nCONCLUSIONS: The increase in maternal obesity has serious implications for the health of mothers, infants and service providers, yielding an additional 47 500 women per year requiring high dependency care in England. The demography of women most at risk of first trimester obesity highlights health inequalities associated with maternal obesity, which urgently needs to be addressed.","container-title":"International Journal of Obesity (2005)","DOI":"10.1038/ijo.2009.250","ISSN":"1476-5497","issue":"3","journalAbbreviation":"Int J Obes (Lond)","language":"eng","note":"PMID: 20029373","page":"420-428","source":"PubMed","title":"A nationally representative study of maternal obesity in England, UK: trends in incidence and demographic inequalities in 619 323 births, 1989-2007","title-short":"A nationally representative study of maternal obesity in England, UK","volume":"34","author":[{"family":"Heslehurst","given":"N."},{"family":"Rankin","given":"J."},{"family":"Wilkinson","given":"J. R."},{"family":"Summerbell","given":"C. D."}],"issued":{"date-parts":[["2010",3]]}}}],"schema":"https://github.com/citation-style-language/schema/raw/master/csl-citation.json"} </w:instrText>
      </w:r>
      <w:r w:rsidR="008B3099" w:rsidRPr="00B548BF">
        <w:rPr>
          <w:vertAlign w:val="superscript"/>
        </w:rPr>
        <w:fldChar w:fldCharType="separate"/>
      </w:r>
      <w:r w:rsidR="008B3099" w:rsidRPr="00B548BF">
        <w:rPr>
          <w:vertAlign w:val="superscript"/>
        </w:rPr>
        <w:t>(2)</w:t>
      </w:r>
      <w:r w:rsidR="008B3099" w:rsidRPr="00B548BF">
        <w:rPr>
          <w:vertAlign w:val="superscript"/>
        </w:rPr>
        <w:fldChar w:fldCharType="end"/>
      </w:r>
      <w:r w:rsidR="0029320B" w:rsidRPr="00B548BF">
        <w:rPr>
          <w:vertAlign w:val="superscript"/>
        </w:rPr>
        <w:t xml:space="preserve"> </w:t>
      </w:r>
      <w:r w:rsidR="0029320B" w:rsidRPr="00B548BF">
        <w:t>and</w:t>
      </w:r>
      <w:r w:rsidR="0029320B" w:rsidRPr="00B548BF">
        <w:rPr>
          <w:vertAlign w:val="superscript"/>
        </w:rPr>
        <w:t xml:space="preserve"> </w:t>
      </w:r>
      <w:r w:rsidR="0029320B" w:rsidRPr="00B548BF">
        <w:t>46.3% in 2018/19</w:t>
      </w:r>
      <w:r w:rsidR="0029320B" w:rsidRPr="00B548BF">
        <w:rPr>
          <w:vertAlign w:val="superscript"/>
        </w:rPr>
        <w:fldChar w:fldCharType="begin"/>
      </w:r>
      <w:r w:rsidR="00FA134E" w:rsidRPr="00B548BF">
        <w:rPr>
          <w:vertAlign w:val="superscript"/>
        </w:rPr>
        <w:instrText xml:space="preserve"> ADDIN ZOTERO_ITEM CSL_CITATION {"citationID":"4A3vZUdQ","properties":{"formattedCitation":"(3)","plainCitation":"(3)","noteIndex":0},"citationItems":[{"id":101,"uris":["http://zotero.org/users/6410601/items/8A8GY2NN"],"uri":["http://zotero.org/users/6410601/items/8A8GY2NN"],"itemData":{"id":101,"type":"report","publisher":"NHS Digital","title":"NHS Maternity Statistics 2018-2019","URL":"https://files.digital.nhs.uk/D0/C26F84/hosp-epis-stat-mat-summary-report-2018-19.pdf","author":[{"family":"NHS Digital","given":""}],"issued":{"date-parts":[["2019",10,31]]}}}],"schema":"https://github.com/citation-style-language/schema/raw/master/csl-citation.json"} </w:instrText>
      </w:r>
      <w:r w:rsidR="0029320B" w:rsidRPr="00B548BF">
        <w:rPr>
          <w:vertAlign w:val="superscript"/>
        </w:rPr>
        <w:fldChar w:fldCharType="separate"/>
      </w:r>
      <w:r w:rsidR="0029320B" w:rsidRPr="00B548BF">
        <w:rPr>
          <w:vertAlign w:val="superscript"/>
        </w:rPr>
        <w:t>(3)</w:t>
      </w:r>
      <w:r w:rsidR="0029320B" w:rsidRPr="00B548BF">
        <w:rPr>
          <w:vertAlign w:val="superscript"/>
        </w:rPr>
        <w:fldChar w:fldCharType="end"/>
      </w:r>
      <w:r w:rsidR="0029320B" w:rsidRPr="00B548BF">
        <w:t>.</w:t>
      </w:r>
      <w:r w:rsidR="00C85E1E" w:rsidRPr="00B548BF">
        <w:t xml:space="preserve"> </w:t>
      </w:r>
      <w:r w:rsidR="004814B1" w:rsidRPr="00B548BF">
        <w:t xml:space="preserve">Maternal obesity during pregnancy increases the risk of adverse pregnancy outcomes for both mother and child. It also increases the risk of long-term health problems in the child including </w:t>
      </w:r>
      <w:r w:rsidR="00744BFC" w:rsidRPr="00B548BF">
        <w:t>obesity, cardiovascular disease</w:t>
      </w:r>
      <w:r w:rsidR="004814B1" w:rsidRPr="00B548BF">
        <w:t xml:space="preserve"> </w:t>
      </w:r>
      <w:r w:rsidR="00744BFC" w:rsidRPr="00B548BF">
        <w:t>and diabetes</w:t>
      </w:r>
      <w:r w:rsidR="008B3099" w:rsidRPr="00B548BF">
        <w:rPr>
          <w:vertAlign w:val="superscript"/>
        </w:rPr>
        <w:fldChar w:fldCharType="begin"/>
      </w:r>
      <w:r w:rsidR="00FA134E" w:rsidRPr="00B548BF">
        <w:rPr>
          <w:vertAlign w:val="superscript"/>
        </w:rPr>
        <w:instrText xml:space="preserve"> ADDIN ZOTERO_ITEM CSL_CITATION {"citationID":"AlWL48iX","properties":{"formattedCitation":"(4)","plainCitation":"(4)","noteIndex":0},"citationItems":[{"id":274,"uris":["http://zotero.org/users/6410601/items/M9KVJZHL"],"uri":["http://zotero.org/users/6410601/items/M9KVJZHL"],"itemData":{"id":274,"type":"article-journal","abstract":"This review addresses the increasingly prolific literature from studies in man and animals suggesting that maternal obesity, a diet rich in calories or excess gestational weight gain may, through perturbation of the intrauterine environment, lead to lifelong risk of obesity and related disorders in the child. In addressing maternal- child obesity relationships it remains a challenge to distinguish the influence of the intrauterine environment from the contribution of shared genetic traits, and to adequately adjust for postnatal determinants of childhood obesity. Studies in genetically identical rodents convincingly show that maternal obesity, as well as elements of a hypercalorific diet can permanently influence offspring risk of obesity, and are these are supported by studies in larger mammals. Importantly, dissection of the mechanism in animals has led to description of novel interactive pathways between maternal environment and fetus which are amenable to investigation in humans.","collection-title":"Early Determinants of Chronic Disease","container-title":"Best Practice &amp; Research Clinical Endocrinology &amp; Metabolism","DOI":"10.1016/j.beem.2012.03.010","ISSN":"1521-690X","issue":"5","journalAbbreviation":"Best Practice &amp; Research Clinical Endocrinology &amp; Metabolism","language":"en","page":"627-639","source":"ScienceDirect","title":"Maternal obesity, gestational weight gain and diet as determinants of offspring long term health","volume":"26","author":[{"family":"Poston","given":"Lucilla"}],"issued":{"date-parts":[["2012",10,1]]}}}],"schema":"https://github.com/citation-style-language/schema/raw/master/csl-citation.json"} </w:instrText>
      </w:r>
      <w:r w:rsidR="008B3099" w:rsidRPr="00B548BF">
        <w:rPr>
          <w:vertAlign w:val="superscript"/>
        </w:rPr>
        <w:fldChar w:fldCharType="separate"/>
      </w:r>
      <w:r w:rsidR="0029320B" w:rsidRPr="00B548BF">
        <w:rPr>
          <w:vertAlign w:val="superscript"/>
        </w:rPr>
        <w:t>(4)</w:t>
      </w:r>
      <w:r w:rsidR="008B3099" w:rsidRPr="00B548BF">
        <w:rPr>
          <w:vertAlign w:val="superscript"/>
        </w:rPr>
        <w:fldChar w:fldCharType="end"/>
      </w:r>
      <w:r w:rsidR="004814B1" w:rsidRPr="00B548BF">
        <w:t>.</w:t>
      </w:r>
    </w:p>
    <w:p w14:paraId="7FD94D88" w14:textId="6BAA7471" w:rsidR="00505B4D" w:rsidRPr="00B548BF" w:rsidRDefault="006B39E1" w:rsidP="00BA33FB">
      <w:pPr>
        <w:spacing w:line="480" w:lineRule="auto"/>
      </w:pPr>
      <w:r w:rsidRPr="00B548BF">
        <w:t>Pregnancy can alter a woman’s weight trajectory due to the risk of weight gain with childbearing for biological and behavioural reasons</w:t>
      </w:r>
      <w:r w:rsidRPr="00B548BF">
        <w:rPr>
          <w:vertAlign w:val="superscript"/>
        </w:rPr>
        <w:fldChar w:fldCharType="begin"/>
      </w:r>
      <w:r w:rsidR="00FA134E" w:rsidRPr="00B548BF">
        <w:rPr>
          <w:vertAlign w:val="superscript"/>
        </w:rPr>
        <w:instrText xml:space="preserve"> ADDIN ZOTERO_ITEM CSL_CITATION {"citationID":"c8xhup3J","properties":{"formattedCitation":"(5)","plainCitation":"(5)","noteIndex":0},"citationItems":[{"id":182,"uris":["http://zotero.org/users/6410601/items/Z5ZLX5XD"],"uri":["http://zotero.org/users/6410601/items/Z5ZLX5XD"],"itemData":{"id":182,"type":"article-journal","container-title":"International Journal of Obesity","DOI":"10.1038/sj.ijo.0803655","ISSN":"0307-0565, 1476-5497","issue":"11","journalAbbreviation":"Int J Obes","language":"en","page":"1642-1651","source":"DOI.org (Crossref)","title":"The association of pregnancy and the development of obesity – results of a systematic review and meta-analysis on the natural history of postpartum weight retention","volume":"31","author":[{"family":"Schmitt","given":"N M"},{"family":"Nicholson","given":"W K"},{"family":"Schmitt","given":"J"}],"issued":{"date-parts":[["2007",11]]}}}],"schema":"https://github.com/citation-style-language/schema/raw/master/csl-citation.json"} </w:instrText>
      </w:r>
      <w:r w:rsidRPr="00B548BF">
        <w:rPr>
          <w:vertAlign w:val="superscript"/>
        </w:rPr>
        <w:fldChar w:fldCharType="separate"/>
      </w:r>
      <w:r w:rsidR="0029320B" w:rsidRPr="00B548BF">
        <w:rPr>
          <w:vertAlign w:val="superscript"/>
        </w:rPr>
        <w:t>(5)</w:t>
      </w:r>
      <w:r w:rsidRPr="00B548BF">
        <w:rPr>
          <w:vertAlign w:val="superscript"/>
        </w:rPr>
        <w:fldChar w:fldCharType="end"/>
      </w:r>
      <w:r w:rsidRPr="00B548BF">
        <w:rPr>
          <w:i/>
        </w:rPr>
        <w:t xml:space="preserve">. </w:t>
      </w:r>
      <w:r w:rsidRPr="00B548BF">
        <w:t>Weight gained during pregnancy is not always lost after delivery and thus pregnancy is a risk factor for overweight and obesity in women, which increases with additional pregnancies</w:t>
      </w:r>
      <w:r w:rsidRPr="00B548BF">
        <w:rPr>
          <w:vertAlign w:val="superscript"/>
        </w:rPr>
        <w:fldChar w:fldCharType="begin"/>
      </w:r>
      <w:r w:rsidR="00FA134E" w:rsidRPr="00B548BF">
        <w:rPr>
          <w:vertAlign w:val="superscript"/>
        </w:rPr>
        <w:instrText xml:space="preserve"> ADDIN ZOTERO_ITEM CSL_CITATION {"citationID":"oAfv9ioA","properties":{"formattedCitation":"(6)","plainCitation":"(6)","noteIndex":0},"citationItems":[{"id":181,"uris":["http://zotero.org/users/6410601/items/X8ZJ25WW"],"uri":["http://zotero.org/users/6410601/items/X8ZJ25WW"],"itemData":{"id":181,"type":"article-journal","abstract":"OBJECTIVES: We investigated the relationship between childbirth and 5-year incidence of obesity.\nMETHODS: We performed a prospective analysis of data on 2923 nonobese, nonpregnant women aged 14 to 22 years from the 1979 National Longitudinal Survey of Youth Cohort, which was followed from 1980 to 1990. We used multivariable logistic regression analyses to determine the adjusted relative risk of obesity for mothers 5 years after childbirth compared with women who did not have children.\nRESULTS: The 5-year incidence of obesity was 11.3 per 100 parous women, compared with 4.5 per 100 nulliparous women (relative risk [RR] = 3.5; 95% confidence interval [CI] = 2.4, 4.9; P &lt; .001). The 5-year incidence of obesity was 8.6 for primiparous women (RR = 2.8; 95% CI = 1.5, 5.0) and 12.2 for multiparous women (RR = 3.8; 95% CI = 2.6, 5.6). Among parous women, White women had the lowest obesity incidence (9.1 per 100 vs 15.1 per 100 for African Americans and 12.5 per 100 for Hispanics).\nCONCLUSIONS: Parous women have a higher incidence of obesity than do nulliparous women, and minority women have a higher incidence of parity-related obesity than do White women. Thus, efforts to reduce obesity should target postpartum women and minority women who give birth.","container-title":"American Journal of Public Health","DOI":"10.2105/AJPH.2007.132373","ISSN":"1541-0048","issue":"2","journalAbbreviation":"Am J Public Health","language":"eng","note":"PMID: 19059856\nPMCID: PMC2622775","page":"294-299","source":"PubMed","title":"Racial, ethnic, and socioeconomic differences in the incidence of obesity related to childbirth","volume":"99","author":[{"family":"Davis","given":"Esa M."},{"family":"Zyzanski","given":"Stephen J."},{"family":"Olson","given":"Christine M."},{"family":"Stange","given":"Kurt C."},{"family":"Horwitz","given":"Ralph I."}],"issued":{"date-parts":[["2009",2]]}}}],"schema":"https://github.com/citation-style-language/schema/raw/master/csl-citation.json"} </w:instrText>
      </w:r>
      <w:r w:rsidRPr="00B548BF">
        <w:rPr>
          <w:vertAlign w:val="superscript"/>
        </w:rPr>
        <w:fldChar w:fldCharType="separate"/>
      </w:r>
      <w:r w:rsidR="0029320B" w:rsidRPr="00B548BF">
        <w:rPr>
          <w:vertAlign w:val="superscript"/>
        </w:rPr>
        <w:t>(6)</w:t>
      </w:r>
      <w:r w:rsidRPr="00B548BF">
        <w:rPr>
          <w:vertAlign w:val="superscript"/>
        </w:rPr>
        <w:fldChar w:fldCharType="end"/>
      </w:r>
      <w:r w:rsidRPr="00B548BF">
        <w:t xml:space="preserve">. </w:t>
      </w:r>
      <w:r w:rsidR="002212E2" w:rsidRPr="00B548BF">
        <w:t>Analysis of data from the Danish Medical Birth Registry between 2004 and 2012 showed an increase in maternal BMI with each additional pregnancy</w:t>
      </w:r>
      <w:r w:rsidR="002212E2" w:rsidRPr="00B548BF">
        <w:rPr>
          <w:vertAlign w:val="superscript"/>
        </w:rPr>
        <w:fldChar w:fldCharType="begin"/>
      </w:r>
      <w:r w:rsidR="00FA134E" w:rsidRPr="00B548BF">
        <w:rPr>
          <w:vertAlign w:val="superscript"/>
        </w:rPr>
        <w:instrText xml:space="preserve"> ADDIN ZOTERO_ITEM CSL_CITATION {"citationID":"z9YJZ2rB","properties":{"formattedCitation":"(7)","plainCitation":"(7)","noteIndex":0},"citationItems":[{"id":180,"uris":["http://zotero.org/users/6410601/items/LE8PD8LE"],"uri":["http://zotero.org/users/6410601/items/LE8PD8LE"],"itemData":{"id":180,"type":"article-journal","abstract":"INTRODUCTION: We aimed to investigate the change in prevalence of overweight and obesity in pregnant Danish women from 2004 to 2012, and investigate whether increasing parity was associated with a change in body mass index (BMI) prevalence.\nMATERIAL AND METHODS: We obtained a population-based cohort from the Danish Medical Birth Registry consisting of all Danish women giving birth in 2004-2012 (n = 572 321). This registry contains information on 99.8% of all births in Denmark. We calculated the overall change in prepregnancy BMI status among pregnant women in Denmark, and a multiple linear regression model with adjustment for several potential confounders was used to examine the change in prepregnancy BMI with increasing parity.\nRESULTS: In 2004, the prevalence of prepregnancy overweight and obesity (BMI ≥ 25) and obesity alone (BMI ≥ 30) was 31.9 and 11%, respectively. In 2012, the prevalence had reached 34.2 and 12.8%. The mean BMI increased for every additional parity from 23.80 (95% CI 23.77-23.82) in parity group 1 to 26.70 (26.52-26.90) in parity group 5+. A multiple linear regression adjusted for potential confounders showed that women on average gained 0.62 (0.58-0.65) BMI units after every additional birth.\nCONCLUSIONS: This study showed a 7.2% increase in overweight and obesity (BMI ≥ 25) and a 16.4% increase in obesity alone (BMI ≥ 30) for pregnant women in Denmark from 2004 to 2012. In addition, an increase in interpregnancy BMI was seen at every additional delivery, suggesting that obesity is an increasing challenge in obstetrics.","container-title":"Acta Obstetricia Et Gynecologica Scandinavica","DOI":"10.1111/aogs.13321","ISSN":"1600-0412","issue":"6","journalAbbreviation":"Acta Obstet Gynecol Scand","language":"eng","note":"PMID: 29415327","page":"694-700","source":"PubMed","title":"Associations between parity and maternal BMI in a population-based cohort study","volume":"97","author":[{"family":"Iversen","given":"Ditte S."},{"family":"Kesmodel","given":"Ulrik S."},{"family":"Ovesen","given":"Per G."}],"issued":{"date-parts":[["2018",6]]}}}],"schema":"https://github.com/citation-style-language/schema/raw/master/csl-citation.json"} </w:instrText>
      </w:r>
      <w:r w:rsidR="002212E2" w:rsidRPr="00B548BF">
        <w:rPr>
          <w:vertAlign w:val="superscript"/>
        </w:rPr>
        <w:fldChar w:fldCharType="separate"/>
      </w:r>
      <w:r w:rsidR="0029320B" w:rsidRPr="00B548BF">
        <w:rPr>
          <w:vertAlign w:val="superscript"/>
        </w:rPr>
        <w:t>(7)</w:t>
      </w:r>
      <w:r w:rsidR="002212E2" w:rsidRPr="00B548BF">
        <w:rPr>
          <w:vertAlign w:val="superscript"/>
        </w:rPr>
        <w:fldChar w:fldCharType="end"/>
      </w:r>
      <w:r w:rsidR="002212E2" w:rsidRPr="00B548BF">
        <w:t>. Similarly, childbearing has been found to have a persistent long-term effect on adiposity in women in the UK with a progressive BMI increase observed from nulliparous women to multiparous women with four or more births</w:t>
      </w:r>
      <w:r w:rsidR="002212E2" w:rsidRPr="00B548BF">
        <w:rPr>
          <w:vertAlign w:val="superscript"/>
        </w:rPr>
        <w:fldChar w:fldCharType="begin"/>
      </w:r>
      <w:r w:rsidR="00FA134E" w:rsidRPr="00B548BF">
        <w:rPr>
          <w:vertAlign w:val="superscript"/>
        </w:rPr>
        <w:instrText xml:space="preserve"> ADDIN ZOTERO_ITEM CSL_CITATION {"citationID":"GYRBfxGq","properties":{"formattedCitation":"(8)","plainCitation":"(8)","noteIndex":0},"citationItems":[{"id":179,"uris":["http://zotero.org/users/6410601/items/ZEBAMA6V"],"uri":["http://zotero.org/users/6410601/items/ZEBAMA6V"],"itemData":{"id":179,"type":"article-journal","abstract":"OBJECTIVE: To explore the long-term effects of women's childbearing patterns on their body mass index.\nDESIGN: Cross-sectional analysis.\nSETTING: Population-based study of UK women.\nPARTICIPANTS: 740</w:instrText>
      </w:r>
      <w:r w:rsidR="00FA134E" w:rsidRPr="00B548BF">
        <w:rPr>
          <w:rFonts w:ascii="Arial" w:hAnsi="Arial" w:cs="Arial"/>
          <w:vertAlign w:val="superscript"/>
        </w:rPr>
        <w:instrText> </w:instrText>
      </w:r>
      <w:r w:rsidR="00FA134E" w:rsidRPr="00B548BF">
        <w:rPr>
          <w:vertAlign w:val="superscript"/>
        </w:rPr>
        <w:instrText>628 postmenopausal participants in the Million Women Study who reported their height, weight, reproductive histories and other relevant factors.\nMAIN OUTCOME MEASURES: Standardized mean BMI (kg</w:instrText>
      </w:r>
      <w:r w:rsidR="00FA134E" w:rsidRPr="00B548BF">
        <w:rPr>
          <w:rFonts w:ascii="Arial" w:hAnsi="Arial" w:cs="Arial"/>
          <w:vertAlign w:val="superscript"/>
        </w:rPr>
        <w:instrText> </w:instrText>
      </w:r>
      <w:r w:rsidR="00FA134E" w:rsidRPr="00B548BF">
        <w:rPr>
          <w:vertAlign w:val="superscript"/>
        </w:rPr>
        <w:instrText>m(-2)) in groups defined by their parity and breastfeeding history.\nRESULTS: Women were aged 57.5 (s.d. 4) years on average, and had a mean BMI of 26.2</w:instrText>
      </w:r>
      <w:r w:rsidR="00FA134E" w:rsidRPr="00B548BF">
        <w:rPr>
          <w:rFonts w:ascii="Arial" w:hAnsi="Arial" w:cs="Arial"/>
          <w:vertAlign w:val="superscript"/>
        </w:rPr>
        <w:instrText> </w:instrText>
      </w:r>
      <w:r w:rsidR="00FA134E" w:rsidRPr="00B548BF">
        <w:rPr>
          <w:vertAlign w:val="superscript"/>
        </w:rPr>
        <w:instrText>kg</w:instrText>
      </w:r>
      <w:r w:rsidR="00FA134E" w:rsidRPr="00B548BF">
        <w:rPr>
          <w:rFonts w:ascii="Arial" w:hAnsi="Arial" w:cs="Arial"/>
          <w:vertAlign w:val="superscript"/>
        </w:rPr>
        <w:instrText> </w:instrText>
      </w:r>
      <w:r w:rsidR="00FA134E" w:rsidRPr="00B548BF">
        <w:rPr>
          <w:vertAlign w:val="superscript"/>
        </w:rPr>
        <w:instrText>m(-2) (s.d. 5); 88% were parous, with 2.1 (s.d. 1.2) children on average. The standardised mean BMI increased progressively with the number of births from 25.6</w:instrText>
      </w:r>
      <w:r w:rsidR="00FA134E" w:rsidRPr="00B548BF">
        <w:rPr>
          <w:rFonts w:ascii="Arial" w:hAnsi="Arial" w:cs="Arial"/>
          <w:vertAlign w:val="superscript"/>
        </w:rPr>
        <w:instrText> </w:instrText>
      </w:r>
      <w:r w:rsidR="00FA134E" w:rsidRPr="00B548BF">
        <w:rPr>
          <w:vertAlign w:val="superscript"/>
        </w:rPr>
        <w:instrText>kg</w:instrText>
      </w:r>
      <w:r w:rsidR="00FA134E" w:rsidRPr="00B548BF">
        <w:rPr>
          <w:rFonts w:ascii="Arial" w:hAnsi="Arial" w:cs="Arial"/>
          <w:vertAlign w:val="superscript"/>
        </w:rPr>
        <w:instrText> </w:instrText>
      </w:r>
      <w:r w:rsidR="00FA134E" w:rsidRPr="00B548BF">
        <w:rPr>
          <w:vertAlign w:val="superscript"/>
        </w:rPr>
        <w:instrText>m(-2) (95% confidence interval (CI): 25.5-25.6) in nulliparous women up to 27.2</w:instrText>
      </w:r>
      <w:r w:rsidR="00FA134E" w:rsidRPr="00B548BF">
        <w:rPr>
          <w:rFonts w:ascii="Arial" w:hAnsi="Arial" w:cs="Arial"/>
          <w:vertAlign w:val="superscript"/>
        </w:rPr>
        <w:instrText> </w:instrText>
      </w:r>
      <w:r w:rsidR="00FA134E" w:rsidRPr="00B548BF">
        <w:rPr>
          <w:vertAlign w:val="superscript"/>
        </w:rPr>
        <w:instrText>kg</w:instrText>
      </w:r>
      <w:r w:rsidR="00FA134E" w:rsidRPr="00B548BF">
        <w:rPr>
          <w:rFonts w:ascii="Arial" w:hAnsi="Arial" w:cs="Arial"/>
          <w:vertAlign w:val="superscript"/>
        </w:rPr>
        <w:instrText> </w:instrText>
      </w:r>
      <w:r w:rsidR="00FA134E" w:rsidRPr="00B548BF">
        <w:rPr>
          <w:vertAlign w:val="superscript"/>
        </w:rPr>
        <w:instrText>m(-2) (CI: 27.2-27.3) for women with four or more births, a difference of 1.7</w:instrText>
      </w:r>
      <w:r w:rsidR="00FA134E" w:rsidRPr="00B548BF">
        <w:rPr>
          <w:rFonts w:ascii="Arial" w:hAnsi="Arial" w:cs="Arial"/>
          <w:vertAlign w:val="superscript"/>
        </w:rPr>
        <w:instrText> </w:instrText>
      </w:r>
      <w:r w:rsidR="00FA134E" w:rsidRPr="00B548BF">
        <w:rPr>
          <w:vertAlign w:val="superscript"/>
        </w:rPr>
        <w:instrText>kg</w:instrText>
      </w:r>
      <w:r w:rsidR="00FA134E" w:rsidRPr="00B548BF">
        <w:rPr>
          <w:rFonts w:ascii="Arial" w:hAnsi="Arial" w:cs="Arial"/>
          <w:vertAlign w:val="superscript"/>
        </w:rPr>
        <w:instrText> </w:instrText>
      </w:r>
      <w:r w:rsidR="00FA134E" w:rsidRPr="00B548BF">
        <w:rPr>
          <w:vertAlign w:val="superscript"/>
        </w:rPr>
        <w:instrText>m(-2) (CI: 1.6-1.7). Among the parous women 70% had ever breastfed and their average total duration of breastfeeding was 7.7 (s.d. 8.8) months. At every parity level the standardised mean BMI was significantly lower among women who had breastfed than those who had not, decreasing by 0.22</w:instrText>
      </w:r>
      <w:r w:rsidR="00FA134E" w:rsidRPr="00B548BF">
        <w:rPr>
          <w:rFonts w:ascii="Arial" w:hAnsi="Arial" w:cs="Arial"/>
          <w:vertAlign w:val="superscript"/>
        </w:rPr>
        <w:instrText> </w:instrText>
      </w:r>
      <w:r w:rsidR="00FA134E" w:rsidRPr="00B548BF">
        <w:rPr>
          <w:vertAlign w:val="superscript"/>
        </w:rPr>
        <w:instrText>kg</w:instrText>
      </w:r>
      <w:r w:rsidR="00FA134E" w:rsidRPr="00B548BF">
        <w:rPr>
          <w:rFonts w:ascii="Arial" w:hAnsi="Arial" w:cs="Arial"/>
          <w:vertAlign w:val="superscript"/>
        </w:rPr>
        <w:instrText> </w:instrText>
      </w:r>
      <w:r w:rsidR="00FA134E" w:rsidRPr="00B548BF">
        <w:rPr>
          <w:vertAlign w:val="superscript"/>
        </w:rPr>
        <w:instrText xml:space="preserve">m(-2) (CI: 0.21-0.22) for every 6 months of breastfeeding, that is, women's mean BMI was 1% lower for every 6 months that they had breastfed. These associations were highly statistically significant (P&lt;0.0001) and independent of the effects of socioeconomic group, region of residence, smoking and physical activity.\nCONCLUSIONS: Childbearing patterns have a persistent effect on adiposity in this population. The reduction in BMI associated with just 6 months breastfeeding in UK women could importantly reduce their risk of obesity-related disease as they age.","container-title":"International Journal of Obesity (2005)","DOI":"10.1038/ijo.2012.76","ISSN":"1476-5497","issue":"5","journalAbbreviation":"Int J Obes (Lond)","language":"eng","note":"PMID: 22777544\nPMCID: PMC3647235","page":"712-717","source":"PubMed","title":"Persistent effects of women's parity and breastfeeding patterns on their body mass index: results from the Million Women Study","title-short":"Persistent effects of women's parity and breastfeeding patterns on their body mass index","volume":"37","author":[{"family":"Bobrow","given":"K. L."},{"family":"Quigley","given":"M. A."},{"family":"Green","given":"J."},{"family":"Reeves","given":"G. K."},{"family":"Beral","given":"V."},{"literal":"Million Women Study Collaborators"}],"issued":{"date-parts":[["2013",5]]}}}],"schema":"https://github.com/citation-style-language/schema/raw/master/csl-citation.json"} </w:instrText>
      </w:r>
      <w:r w:rsidR="002212E2" w:rsidRPr="00B548BF">
        <w:rPr>
          <w:vertAlign w:val="superscript"/>
        </w:rPr>
        <w:fldChar w:fldCharType="separate"/>
      </w:r>
      <w:r w:rsidR="0029320B" w:rsidRPr="00B548BF">
        <w:rPr>
          <w:vertAlign w:val="superscript"/>
        </w:rPr>
        <w:t>(8)</w:t>
      </w:r>
      <w:r w:rsidR="002212E2" w:rsidRPr="00B548BF">
        <w:rPr>
          <w:vertAlign w:val="superscript"/>
        </w:rPr>
        <w:fldChar w:fldCharType="end"/>
      </w:r>
      <w:r w:rsidR="002212E2" w:rsidRPr="00B548BF">
        <w:t xml:space="preserve">. </w:t>
      </w:r>
      <w:r w:rsidR="0017578D" w:rsidRPr="00B548BF">
        <w:t>A systematic review of 25 studies found that p</w:t>
      </w:r>
      <w:r w:rsidR="00B13A30" w:rsidRPr="00B548BF">
        <w:t>ostpartum weight shows a continuous decrease until 12 months following which there is some evidence of increase in weight</w:t>
      </w:r>
      <w:r w:rsidR="00B13A30" w:rsidRPr="00B548BF">
        <w:rPr>
          <w:vertAlign w:val="superscript"/>
        </w:rPr>
        <w:fldChar w:fldCharType="begin"/>
      </w:r>
      <w:r w:rsidR="00FA134E" w:rsidRPr="00B548BF">
        <w:rPr>
          <w:vertAlign w:val="superscript"/>
        </w:rPr>
        <w:instrText xml:space="preserve"> ADDIN ZOTERO_ITEM CSL_CITATION {"citationID":"gCIm7Wdk","properties":{"formattedCitation":"(5)","plainCitation":"(5)","noteIndex":0},"citationItems":[{"id":182,"uris":["http://zotero.org/users/6410601/items/Z5ZLX5XD"],"uri":["http://zotero.org/users/6410601/items/Z5ZLX5XD"],"itemData":{"id":182,"type":"article-journal","container-title":"International Journal of Obesity","DOI":"10.1038/sj.ijo.0803655","ISSN":"0307-0565, 1476-5497","issue":"11","journalAbbreviation":"Int J Obes","language":"en","page":"1642-1651","source":"DOI.org (Crossref)","title":"The association of pregnancy and the development of obesity – results of a systematic review and meta-analysis on the natural history of postpartum weight retention","volume":"31","author":[{"family":"Schmitt","given":"N M"},{"family":"Nicholson","given":"W K"},{"family":"Schmitt","given":"J"}],"issued":{"date-parts":[["2007",11]]}}}],"schema":"https://github.com/citation-style-language/schema/raw/master/csl-citation.json"} </w:instrText>
      </w:r>
      <w:r w:rsidR="00B13A30" w:rsidRPr="00B548BF">
        <w:rPr>
          <w:vertAlign w:val="superscript"/>
        </w:rPr>
        <w:fldChar w:fldCharType="separate"/>
      </w:r>
      <w:r w:rsidR="0029320B" w:rsidRPr="00B548BF">
        <w:rPr>
          <w:vertAlign w:val="superscript"/>
        </w:rPr>
        <w:t>(5)</w:t>
      </w:r>
      <w:r w:rsidR="00B13A30" w:rsidRPr="00B548BF">
        <w:rPr>
          <w:vertAlign w:val="superscript"/>
        </w:rPr>
        <w:fldChar w:fldCharType="end"/>
      </w:r>
      <w:r w:rsidR="00B13A30" w:rsidRPr="00B548BF">
        <w:rPr>
          <w:rFonts w:cs="Times New Roman"/>
          <w:sz w:val="24"/>
          <w:szCs w:val="24"/>
        </w:rPr>
        <w:t xml:space="preserve">. </w:t>
      </w:r>
      <w:r w:rsidR="00B13A30" w:rsidRPr="00B548BF">
        <w:t xml:space="preserve">Weight retention post-partum is variable with women on average retaining 0.5 to 3kg; however, a </w:t>
      </w:r>
      <w:r w:rsidR="00B13A30" w:rsidRPr="00B548BF">
        <w:lastRenderedPageBreak/>
        <w:t xml:space="preserve">substantial number (12-20%) retain a </w:t>
      </w:r>
      <w:r w:rsidR="00B13A30" w:rsidRPr="00807797">
        <w:t>considerable amount of weight</w:t>
      </w:r>
      <w:r w:rsidR="000C13F2" w:rsidRPr="00807797">
        <w:t xml:space="preserve"> (up to 17.7kg)</w:t>
      </w:r>
      <w:r w:rsidR="00B13A30" w:rsidRPr="00807797">
        <w:rPr>
          <w:vertAlign w:val="superscript"/>
        </w:rPr>
        <w:fldChar w:fldCharType="begin"/>
      </w:r>
      <w:r w:rsidR="00FA134E" w:rsidRPr="00807797">
        <w:rPr>
          <w:vertAlign w:val="superscript"/>
        </w:rPr>
        <w:instrText xml:space="preserve"> ADDIN ZOTERO_ITEM CSL_CITATION {"citationID":"mCapMIjc","properties":{"formattedCitation":"(9)","plainCitation":"(9)","noteIndex":0},"citationItems":[{"id":172,"uris":["http://zotero.org/users/6410601/items/E3Y24EXV"],"uri":["http://zotero.org/users/6410601/items/E3Y24EXV"],"itemData":{"id":172,"type":"article-journal","abstract":"Young, adult women appear to be at increased risk for substantial weight gain. Pregnancy has frequently been cited as a contributor to overweight in women. This article reviews the literature examining the role of pregnancy in the development of overweight. Average postpartum weight retention ranges from 0.5 to 3 kg; however, postpartum weight retention appears to be highly variable among women, with some women retaining as much as 17.7 kg. Excessive postpartum weight retention seems to be especially prevalent among minority women. Factors such as prepregnancy weight and excessive gestational weight gain have the strongest support as risk factors for postpartum weight retention and could guide targeted intervention efforts. However, there are few controlled studies of behavioral interventions to prevent substantial pregnancy-related weight gain or postpartum weight retention. Weight loss methods successful in promoting weight control in other populations would likely also be effective with pregnant or postpartum women, although modifications for the needs of mothers may be required. Particular attention to the needs of minority mothers is warranted given the likelihood of greater weight retention in this group.","container-title":"Annals of Behavioral Medicine: A Publication of the Society of Behavioral Medicine","DOI":"10.1207/S15324796ABM2602_07","ISSN":"0883-6612","issue":"2","journalAbbreviation":"Ann Behav Med","language":"eng","note":"PMID: 14534032","page":"149-159","source":"PubMed","title":"The role of postpartum weight retention in obesity among women: a review of the evidence","title-short":"The role of postpartum weight retention in obesity among women","volume":"26","author":[{"family":"Gore","given":"Stacy A."},{"family":"Brown","given":"Della M."},{"family":"West","given":"Delia Smith"}],"issued":{"date-parts":[["2003",10]]}}}],"schema":"https://github.com/citation-style-language/schema/raw/master/csl-citation.json"} </w:instrText>
      </w:r>
      <w:r w:rsidR="00B13A30" w:rsidRPr="00807797">
        <w:rPr>
          <w:vertAlign w:val="superscript"/>
        </w:rPr>
        <w:fldChar w:fldCharType="separate"/>
      </w:r>
      <w:r w:rsidR="0029320B" w:rsidRPr="00807797">
        <w:rPr>
          <w:vertAlign w:val="superscript"/>
        </w:rPr>
        <w:t>(9)</w:t>
      </w:r>
      <w:r w:rsidR="00B13A30" w:rsidRPr="00807797">
        <w:rPr>
          <w:vertAlign w:val="superscript"/>
        </w:rPr>
        <w:fldChar w:fldCharType="end"/>
      </w:r>
      <w:r w:rsidR="006E15C3" w:rsidRPr="00807797">
        <w:t>.</w:t>
      </w:r>
      <w:r w:rsidR="008021BE" w:rsidRPr="00807797">
        <w:t xml:space="preserve"> </w:t>
      </w:r>
      <w:r w:rsidR="005220B5" w:rsidRPr="00807797">
        <w:t>Interpregnancy weight loss in population-based cohorts has ranged from 11%</w:t>
      </w:r>
      <w:r w:rsidR="0020341C" w:rsidRPr="00807797">
        <w:rPr>
          <w:vertAlign w:val="superscript"/>
        </w:rPr>
        <w:fldChar w:fldCharType="begin"/>
      </w:r>
      <w:r w:rsidR="0020341C" w:rsidRPr="00807797">
        <w:rPr>
          <w:vertAlign w:val="superscript"/>
        </w:rPr>
        <w:instrText xml:space="preserve"> ADDIN ZOTERO_ITEM CSL_CITATION {"citationID":"PtyqCxqh","properties":{"formattedCitation":"(10)","plainCitation":"(10)","noteIndex":0},"citationItems":[{"id":163,"uris":["http://zotero.org/users/6410601/items/Z5IXMGYN"],"uri":["http://zotero.org/users/6410601/items/Z5IXMGYN"],"itemData":{"id":163,"type":"article-journal","container-title":"The Lancet","DOI":"10.1016/S0140-6736(06)69473-7","ISSN":"01406736","issue":"9542","journalAbbreviation":"The Lancet","language":"en","page":"1164-1170","source":"DOI.org (Crossref)","title":"Interpregnancy weight change and risk of adverse pregnancy outcomes: a population-based study","title-short":"Interpregnancy weight change and risk of adverse pregnancy outcomes","volume":"368","author":[{"family":"Villamor","given":"Eduardo"},{"family":"Cnattingius","given":"Sven"}],"issued":{"date-parts":[["2006",9]]}}}],"schema":"https://github.com/citation-style-language/schema/raw/master/csl-citation.json"} </w:instrText>
      </w:r>
      <w:r w:rsidR="0020341C" w:rsidRPr="00807797">
        <w:rPr>
          <w:vertAlign w:val="superscript"/>
        </w:rPr>
        <w:fldChar w:fldCharType="separate"/>
      </w:r>
      <w:r w:rsidR="0020341C" w:rsidRPr="00807797">
        <w:rPr>
          <w:vertAlign w:val="superscript"/>
        </w:rPr>
        <w:t>(10)</w:t>
      </w:r>
      <w:r w:rsidR="0020341C" w:rsidRPr="00807797">
        <w:rPr>
          <w:vertAlign w:val="superscript"/>
        </w:rPr>
        <w:fldChar w:fldCharType="end"/>
      </w:r>
      <w:r w:rsidR="0020341C" w:rsidRPr="00807797">
        <w:t xml:space="preserve"> </w:t>
      </w:r>
      <w:r w:rsidR="005220B5" w:rsidRPr="00807797">
        <w:t>to 16%</w:t>
      </w:r>
      <w:r w:rsidR="008021BE" w:rsidRPr="00807797">
        <w:rPr>
          <w:vertAlign w:val="superscript"/>
        </w:rPr>
        <w:fldChar w:fldCharType="begin"/>
      </w:r>
      <w:r w:rsidR="008021BE" w:rsidRPr="00807797">
        <w:rPr>
          <w:vertAlign w:val="superscript"/>
        </w:rPr>
        <w:instrText xml:space="preserve"> ADDIN ZOTERO_ITEM CSL_CITATION {"citationID":"Ph5zuH5Q","properties":{"formattedCitation":"(11)","plainCitation":"(11)","noteIndex":0},"citationItems":[{"id":178,"uris":["http://zotero.org/users/6410601/items/5SRX5S9V"],"uri":["http://zotero.org/users/6410601/items/5SRX5S9V"],"itemData":{"id":178,"type":"article-journal","abstract":"OBJECTIVE: Maternal overweight and obesity during pregnancy increases the risk of large-for-gestational age (LGA) birth and childhood obesity. We aimed to investigate the association between maternal weight change between subsequent pregnancies and risk of having a LGA birth.\nDESIGN: Population-based cohort.\nSETTING: Routinely collected antenatal healthcare data between January 2003 and September 2017 at University Hospital Southampton, England.\nPARTICIPANTS: Health records of women with their first two consecutive singleton live-birth pregnancies were analysed (n=15</w:instrText>
      </w:r>
      <w:r w:rsidR="008021BE" w:rsidRPr="00807797">
        <w:rPr>
          <w:rFonts w:ascii="Arial" w:hAnsi="Arial" w:cs="Arial"/>
          <w:vertAlign w:val="superscript"/>
        </w:rPr>
        <w:instrText> </w:instrText>
      </w:r>
      <w:r w:rsidR="008021BE" w:rsidRPr="00807797">
        <w:rPr>
          <w:vertAlign w:val="superscript"/>
        </w:rPr>
        <w:instrText>940).\nPRIMARY OUTCOME MEASURE: Risk of LGA, recurrent LGA and new LGA births in the second pregnancy.\nRESULTS: Of the 15</w:instrText>
      </w:r>
      <w:r w:rsidR="008021BE" w:rsidRPr="00807797">
        <w:rPr>
          <w:rFonts w:ascii="Arial" w:hAnsi="Arial" w:cs="Arial"/>
          <w:vertAlign w:val="superscript"/>
        </w:rPr>
        <w:instrText> </w:instrText>
      </w:r>
      <w:r w:rsidR="008021BE" w:rsidRPr="00807797">
        <w:rPr>
          <w:vertAlign w:val="superscript"/>
        </w:rPr>
        <w:instrText>940 women, 16.0% lost and 47.7% gained weight (≥1</w:instrText>
      </w:r>
      <w:r w:rsidR="008021BE" w:rsidRPr="00807797">
        <w:rPr>
          <w:rFonts w:ascii="Arial" w:hAnsi="Arial" w:cs="Arial"/>
          <w:vertAlign w:val="superscript"/>
        </w:rPr>
        <w:instrText> </w:instrText>
      </w:r>
      <w:r w:rsidR="008021BE" w:rsidRPr="00807797">
        <w:rPr>
          <w:vertAlign w:val="superscript"/>
        </w:rPr>
        <w:instrText xml:space="preserve">kg/m2) between pregnancies. A lower proportion of babies born to women who lost </w:instrText>
      </w:r>
      <w:r w:rsidR="008021BE" w:rsidRPr="00807797">
        <w:rPr>
          <w:rFonts w:cs="Lucida Sans"/>
          <w:vertAlign w:val="superscript"/>
        </w:rPr>
        <w:instrText>≥</w:instrText>
      </w:r>
      <w:r w:rsidR="008021BE" w:rsidRPr="00807797">
        <w:rPr>
          <w:vertAlign w:val="superscript"/>
        </w:rPr>
        <w:instrText>1</w:instrText>
      </w:r>
      <w:r w:rsidR="008021BE" w:rsidRPr="00807797">
        <w:rPr>
          <w:rFonts w:ascii="Arial" w:hAnsi="Arial" w:cs="Arial"/>
          <w:vertAlign w:val="superscript"/>
        </w:rPr>
        <w:instrText> </w:instrText>
      </w:r>
      <w:r w:rsidR="008021BE" w:rsidRPr="00807797">
        <w:rPr>
          <w:vertAlign w:val="superscript"/>
        </w:rPr>
        <w:instrText>kg/m2 (12.4%) and remained weight stable between -1 and 1</w:instrText>
      </w:r>
      <w:r w:rsidR="008021BE" w:rsidRPr="00807797">
        <w:rPr>
          <w:rFonts w:ascii="Arial" w:hAnsi="Arial" w:cs="Arial"/>
          <w:vertAlign w:val="superscript"/>
        </w:rPr>
        <w:instrText> </w:instrText>
      </w:r>
      <w:r w:rsidR="008021BE" w:rsidRPr="00807797">
        <w:rPr>
          <w:vertAlign w:val="superscript"/>
        </w:rPr>
        <w:instrText>kg/m2 (11.9%) between pregnancies were LGA compared with 13.5% and 15.9% in women who gained 1-3 and ≥3</w:instrText>
      </w:r>
      <w:r w:rsidR="008021BE" w:rsidRPr="00807797">
        <w:rPr>
          <w:rFonts w:ascii="Arial" w:hAnsi="Arial" w:cs="Arial"/>
          <w:vertAlign w:val="superscript"/>
        </w:rPr>
        <w:instrText> </w:instrText>
      </w:r>
      <w:r w:rsidR="008021BE" w:rsidRPr="00807797">
        <w:rPr>
          <w:vertAlign w:val="superscript"/>
        </w:rPr>
        <w:instrText xml:space="preserve">kg/m2, respectively. The highest proportion was in obese women who gained </w:instrText>
      </w:r>
      <w:r w:rsidR="008021BE" w:rsidRPr="00807797">
        <w:rPr>
          <w:rFonts w:cs="Lucida Sans"/>
          <w:vertAlign w:val="superscript"/>
        </w:rPr>
        <w:instrText>≥</w:instrText>
      </w:r>
      <w:r w:rsidR="008021BE" w:rsidRPr="00807797">
        <w:rPr>
          <w:vertAlign w:val="superscript"/>
        </w:rPr>
        <w:instrText>3</w:instrText>
      </w:r>
      <w:r w:rsidR="008021BE" w:rsidRPr="00807797">
        <w:rPr>
          <w:rFonts w:ascii="Arial" w:hAnsi="Arial" w:cs="Arial"/>
          <w:vertAlign w:val="superscript"/>
        </w:rPr>
        <w:instrText> </w:instrText>
      </w:r>
      <w:r w:rsidR="008021BE" w:rsidRPr="00807797">
        <w:rPr>
          <w:vertAlign w:val="superscript"/>
        </w:rPr>
        <w:instrText xml:space="preserve">kg/m2 (21.2%). Overweight women had a reduced risk of recurrent LGA in the second pregnancy if they lost </w:instrText>
      </w:r>
      <w:r w:rsidR="008021BE" w:rsidRPr="00807797">
        <w:rPr>
          <w:rFonts w:cs="Lucida Sans"/>
          <w:vertAlign w:val="superscript"/>
        </w:rPr>
        <w:instrText>≥</w:instrText>
      </w:r>
      <w:r w:rsidR="008021BE" w:rsidRPr="00807797">
        <w:rPr>
          <w:vertAlign w:val="superscript"/>
        </w:rPr>
        <w:instrText>1</w:instrText>
      </w:r>
      <w:r w:rsidR="008021BE" w:rsidRPr="00807797">
        <w:rPr>
          <w:rFonts w:ascii="Arial" w:hAnsi="Arial" w:cs="Arial"/>
          <w:vertAlign w:val="superscript"/>
        </w:rPr>
        <w:instrText> </w:instrText>
      </w:r>
      <w:r w:rsidR="008021BE" w:rsidRPr="00807797">
        <w:rPr>
          <w:vertAlign w:val="superscript"/>
        </w:rPr>
        <w:instrText>kg/m2 (adjusted relative risk (aRR) 0.69, 95%</w:instrText>
      </w:r>
      <w:r w:rsidR="008021BE" w:rsidRPr="00807797">
        <w:rPr>
          <w:rFonts w:ascii="Arial" w:hAnsi="Arial" w:cs="Arial"/>
          <w:vertAlign w:val="superscript"/>
        </w:rPr>
        <w:instrText> </w:instrText>
      </w:r>
      <w:r w:rsidR="008021BE" w:rsidRPr="00807797">
        <w:rPr>
          <w:vertAlign w:val="superscript"/>
        </w:rPr>
        <w:instrText>CI 0.48 to 0.97) whereas overweight women who gained ≥3</w:instrText>
      </w:r>
      <w:r w:rsidR="008021BE" w:rsidRPr="00807797">
        <w:rPr>
          <w:rFonts w:ascii="Arial" w:hAnsi="Arial" w:cs="Arial"/>
          <w:vertAlign w:val="superscript"/>
        </w:rPr>
        <w:instrText> </w:instrText>
      </w:r>
      <w:r w:rsidR="008021BE" w:rsidRPr="00807797">
        <w:rPr>
          <w:vertAlign w:val="superscript"/>
        </w:rPr>
        <w:instrText>kg/m2 were at increased risk of new LGA after having a non-LGA birth in their first pregnancy (aRR 1.35, 95%</w:instrText>
      </w:r>
      <w:r w:rsidR="008021BE" w:rsidRPr="00807797">
        <w:rPr>
          <w:rFonts w:ascii="Arial" w:hAnsi="Arial" w:cs="Arial"/>
          <w:vertAlign w:val="superscript"/>
        </w:rPr>
        <w:instrText> </w:instrText>
      </w:r>
      <w:r w:rsidR="008021BE" w:rsidRPr="00807797">
        <w:rPr>
          <w:vertAlign w:val="superscript"/>
        </w:rPr>
        <w:instrText>CI 1.05 to 1.75). Normal-weight women who gained weight were also at increased risk of new LGA in the second pregnancy (aRR 1.26, 95%</w:instrText>
      </w:r>
      <w:r w:rsidR="008021BE" w:rsidRPr="00807797">
        <w:rPr>
          <w:rFonts w:ascii="Arial" w:hAnsi="Arial" w:cs="Arial"/>
          <w:vertAlign w:val="superscript"/>
        </w:rPr>
        <w:instrText> </w:instrText>
      </w:r>
      <w:r w:rsidR="008021BE" w:rsidRPr="00807797">
        <w:rPr>
          <w:vertAlign w:val="superscript"/>
        </w:rPr>
        <w:instrText>CI 1.06 to 1.50 with gain of 1-3</w:instrText>
      </w:r>
      <w:r w:rsidR="008021BE" w:rsidRPr="00807797">
        <w:rPr>
          <w:rFonts w:ascii="Arial" w:hAnsi="Arial" w:cs="Arial"/>
          <w:vertAlign w:val="superscript"/>
        </w:rPr>
        <w:instrText> </w:instrText>
      </w:r>
      <w:r w:rsidR="008021BE" w:rsidRPr="00807797">
        <w:rPr>
          <w:vertAlign w:val="superscript"/>
        </w:rPr>
        <w:instrText>kg/m2 and aRR 1.34, 95%</w:instrText>
      </w:r>
      <w:r w:rsidR="008021BE" w:rsidRPr="00807797">
        <w:rPr>
          <w:rFonts w:ascii="Arial" w:hAnsi="Arial" w:cs="Arial"/>
          <w:vertAlign w:val="superscript"/>
        </w:rPr>
        <w:instrText> </w:instrText>
      </w:r>
      <w:r w:rsidR="008021BE" w:rsidRPr="00807797">
        <w:rPr>
          <w:vertAlign w:val="superscript"/>
        </w:rPr>
        <w:instrText xml:space="preserve">CI 1.09 to 1.65 with gain of </w:instrText>
      </w:r>
      <w:r w:rsidR="008021BE" w:rsidRPr="00807797">
        <w:rPr>
          <w:rFonts w:cs="Lucida Sans"/>
          <w:vertAlign w:val="superscript"/>
        </w:rPr>
        <w:instrText>≥</w:instrText>
      </w:r>
      <w:r w:rsidR="008021BE" w:rsidRPr="00807797">
        <w:rPr>
          <w:vertAlign w:val="superscript"/>
        </w:rPr>
        <w:instrText>3</w:instrText>
      </w:r>
      <w:r w:rsidR="008021BE" w:rsidRPr="00807797">
        <w:rPr>
          <w:rFonts w:ascii="Arial" w:hAnsi="Arial" w:cs="Arial"/>
          <w:vertAlign w:val="superscript"/>
        </w:rPr>
        <w:instrText> </w:instrText>
      </w:r>
      <w:r w:rsidR="008021BE" w:rsidRPr="00807797">
        <w:rPr>
          <w:vertAlign w:val="superscript"/>
        </w:rPr>
        <w:instrText xml:space="preserve">kg/m2).\nCONCLUSIONS: Losing weight after an LGA birth was associated with a reduced LGA risk in the next pregnancy in overweight women, while interpregnancy weight gain was associated with an increased new LGA risk. Preventing weight gain between pregnancies is an important measure to achieve better maternal and offspring outcomes.","container-title":"BMJ open","DOI":"10.1136/bmjopen-2018-026220","ISSN":"2044-6055","issue":"7","journalAbbreviation":"BMJ Open","language":"eng","note":"PMID: 31289065\nPMCID: PMC6615839","page":"e026220","source":"PubMed","title":"Is maternal weight gain between pregnancies associated with risk of large-for-gestational age birth? Analysis of a UK population-based cohort","title-short":"Is maternal weight gain between pregnancies associated with risk of large-for-gestational age birth?","volume":"9","author":[{"family":"Ziauddeen","given":"Nida"},{"family":"Wilding","given":"Sam"},{"family":"Roderick","given":"Paul J."},{"family":"Macklon","given":"Nicholas S."},{"family":"Alwan","given":"Nisreen A."}],"issued":{"date-parts":[["2019"]],"season":"09"}}}],"schema":"https://github.com/citation-style-language/schema/raw/master/csl-citation.json"} </w:instrText>
      </w:r>
      <w:r w:rsidR="008021BE" w:rsidRPr="00807797">
        <w:rPr>
          <w:vertAlign w:val="superscript"/>
        </w:rPr>
        <w:fldChar w:fldCharType="separate"/>
      </w:r>
      <w:r w:rsidR="008021BE" w:rsidRPr="00807797">
        <w:rPr>
          <w:vertAlign w:val="superscript"/>
        </w:rPr>
        <w:t>(11)</w:t>
      </w:r>
      <w:r w:rsidR="008021BE" w:rsidRPr="00807797">
        <w:rPr>
          <w:vertAlign w:val="superscript"/>
        </w:rPr>
        <w:fldChar w:fldCharType="end"/>
      </w:r>
      <w:r w:rsidR="008021BE" w:rsidRPr="00807797">
        <w:t>.</w:t>
      </w:r>
      <w:r w:rsidR="008021BE" w:rsidRPr="00B548BF">
        <w:t xml:space="preserve"> </w:t>
      </w:r>
      <w:r w:rsidR="0020341C" w:rsidRPr="00B548BF">
        <w:t xml:space="preserve"> </w:t>
      </w:r>
    </w:p>
    <w:p w14:paraId="224432EE" w14:textId="2D37ADC5" w:rsidR="00DB1E84" w:rsidRPr="00B548BF" w:rsidRDefault="004814B1" w:rsidP="00BA33FB">
      <w:pPr>
        <w:spacing w:line="480" w:lineRule="auto"/>
      </w:pPr>
      <w:r w:rsidRPr="00B548BF">
        <w:t>Birth registration data from England and Wales shows that 6</w:t>
      </w:r>
      <w:r w:rsidR="008B3099" w:rsidRPr="00B548BF">
        <w:t>3</w:t>
      </w:r>
      <w:r w:rsidRPr="00B548BF">
        <w:t xml:space="preserve">% </w:t>
      </w:r>
      <w:r w:rsidR="006B39E1" w:rsidRPr="00B548BF">
        <w:t xml:space="preserve">of women </w:t>
      </w:r>
      <w:r w:rsidRPr="00B548BF">
        <w:t>have two or more children (</w:t>
      </w:r>
      <w:r w:rsidR="008B3099" w:rsidRPr="00B548BF">
        <w:t>37</w:t>
      </w:r>
      <w:r w:rsidRPr="00B548BF">
        <w:t>% have two, 1</w:t>
      </w:r>
      <w:r w:rsidR="008B3099" w:rsidRPr="00B548BF">
        <w:t>6</w:t>
      </w:r>
      <w:r w:rsidRPr="00B548BF">
        <w:t>% have three and 10% have four or more</w:t>
      </w:r>
      <w:r w:rsidR="00104EB7" w:rsidRPr="00B548BF">
        <w:t>)</w:t>
      </w:r>
      <w:r w:rsidR="001F5B67" w:rsidRPr="00B548BF">
        <w:rPr>
          <w:vertAlign w:val="superscript"/>
        </w:rPr>
        <w:fldChar w:fldCharType="begin"/>
      </w:r>
      <w:r w:rsidR="008021BE" w:rsidRPr="00B548BF">
        <w:rPr>
          <w:vertAlign w:val="superscript"/>
        </w:rPr>
        <w:instrText xml:space="preserve"> ADDIN ZOTERO_ITEM CSL_CITATION {"citationID":"E06o5qUl","properties":{"formattedCitation":"(12)","plainCitation":"(12)","noteIndex":0},"citationItems":[{"id":183,"uris":["http://zotero.org/users/6410601/items/MAJQCYN7"],"uri":["http://zotero.org/users/6410601/items/MAJQCYN7"],"itemData":{"id":183,"type":"webpage","title":"Childbearing for women born in different years, England and Wales: 2018","URL":"https://www.ons.gov.uk/peoplepopulationandcommunity/birthsdeathsandmarriages/conceptionandfertilityrates/bulletins/childbearingforwomenbornindifferentyearsenglandandwales/2017","author":[{"family":"Office for National Statistics","given":""}],"accessed":{"date-parts":[["2020",8,25]]},"issued":{"date-parts":[["2019",4,12]]}}}],"schema":"https://github.com/citation-style-language/schema/raw/master/csl-citation.json"} </w:instrText>
      </w:r>
      <w:r w:rsidR="001F5B67" w:rsidRPr="00B548BF">
        <w:rPr>
          <w:vertAlign w:val="superscript"/>
        </w:rPr>
        <w:fldChar w:fldCharType="separate"/>
      </w:r>
      <w:r w:rsidR="008021BE" w:rsidRPr="00B548BF">
        <w:rPr>
          <w:vertAlign w:val="superscript"/>
        </w:rPr>
        <w:t>(12)</w:t>
      </w:r>
      <w:r w:rsidR="001F5B67" w:rsidRPr="00B548BF">
        <w:rPr>
          <w:vertAlign w:val="superscript"/>
        </w:rPr>
        <w:fldChar w:fldCharType="end"/>
      </w:r>
      <w:r w:rsidRPr="00B548BF">
        <w:t>.</w:t>
      </w:r>
      <w:r w:rsidR="00C86588" w:rsidRPr="00B548BF">
        <w:t xml:space="preserve"> </w:t>
      </w:r>
      <w:r w:rsidR="00AB79CD" w:rsidRPr="00B548BF">
        <w:t xml:space="preserve">An interpregnancy interval </w:t>
      </w:r>
      <w:r w:rsidR="007C0091" w:rsidRPr="00B548BF">
        <w:t xml:space="preserve">(interval between the birth of a child to the conception of the next child) </w:t>
      </w:r>
      <w:r w:rsidR="00AB79CD" w:rsidRPr="00B548BF">
        <w:t>of ≥36 months is associated with greater risk of starting a subsequent pregnancy at a higher weight</w:t>
      </w:r>
      <w:r w:rsidR="00422620" w:rsidRPr="00B548BF">
        <w:rPr>
          <w:vertAlign w:val="superscript"/>
        </w:rPr>
        <w:fldChar w:fldCharType="begin"/>
      </w:r>
      <w:r w:rsidR="008021BE" w:rsidRPr="00B548BF">
        <w:rPr>
          <w:vertAlign w:val="superscript"/>
        </w:rPr>
        <w:instrText xml:space="preserve"> ADDIN ZOTERO_ITEM CSL_CITATION {"citationID":"CX5LO3Bw","properties":{"formattedCitation":"(13)","plainCitation":"(13)","noteIndex":0},"citationItems":[{"id":357,"uris":["http://zotero.org/users/6410601/items/JWATQ4BE"],"uri":["http://zotero.org/users/6410601/items/JWATQ4BE"],"itemData":{"id":357,"type":"article-journal","abstract":"Maternal obesity in pregnancy increases the risk of adverse long-term health outcomes in both mother and offspring. A population-based cohort of prospectively collected routine antenatal healthcare data collected between January 2003 and September 2017 at University Hospital Southampton, UK was utilised to investigate the association between duration of interpregnancy interval between successive pregnancies and gain in maternal body mass index by the start of the next pregnancy. Records of 19362 women with two or more consecutive singleton live births were analysed. Two-thirds had gained weight when presenting to antenatal care for their subsequent pregnancy with 20% becoming overweight/obese. Compared to an interval of 24-35 months, an interval of 12-23 months was associated with lowest risk of weight gain (adjusted RR 0.91, 99% CI 0.87 to 0.95, p</w:instrText>
      </w:r>
      <w:r w:rsidR="008021BE" w:rsidRPr="00B548BF">
        <w:rPr>
          <w:rFonts w:ascii="Arial" w:hAnsi="Arial" w:cs="Arial"/>
          <w:vertAlign w:val="superscript"/>
        </w:rPr>
        <w:instrText> </w:instrText>
      </w:r>
      <w:r w:rsidR="008021BE" w:rsidRPr="00B548BF">
        <w:rPr>
          <w:vertAlign w:val="superscript"/>
        </w:rPr>
        <w:instrText>&lt;</w:instrText>
      </w:r>
      <w:r w:rsidR="008021BE" w:rsidRPr="00B548BF">
        <w:rPr>
          <w:rFonts w:ascii="Arial" w:hAnsi="Arial" w:cs="Arial"/>
          <w:vertAlign w:val="superscript"/>
        </w:rPr>
        <w:instrText> </w:instrText>
      </w:r>
      <w:r w:rsidR="008021BE" w:rsidRPr="00B548BF">
        <w:rPr>
          <w:vertAlign w:val="superscript"/>
        </w:rPr>
        <w:instrText xml:space="preserve">0.001) and </w:instrText>
      </w:r>
      <w:r w:rsidR="008021BE" w:rsidRPr="00B548BF">
        <w:rPr>
          <w:rFonts w:cs="Lucida Sans"/>
          <w:vertAlign w:val="superscript"/>
        </w:rPr>
        <w:instrText>≥</w:instrText>
      </w:r>
      <w:r w:rsidR="008021BE" w:rsidRPr="00B548BF">
        <w:rPr>
          <w:vertAlign w:val="superscript"/>
        </w:rPr>
        <w:instrText>36 months with greatest risk (adjusted RR 1.11, 99% CI 1.07 to 1.15, p</w:instrText>
      </w:r>
      <w:r w:rsidR="008021BE" w:rsidRPr="00B548BF">
        <w:rPr>
          <w:rFonts w:ascii="Arial" w:hAnsi="Arial" w:cs="Arial"/>
          <w:vertAlign w:val="superscript"/>
        </w:rPr>
        <w:instrText> </w:instrText>
      </w:r>
      <w:r w:rsidR="008021BE" w:rsidRPr="00B548BF">
        <w:rPr>
          <w:vertAlign w:val="superscript"/>
        </w:rPr>
        <w:instrText>&lt;</w:instrText>
      </w:r>
      <w:r w:rsidR="008021BE" w:rsidRPr="00B548BF">
        <w:rPr>
          <w:rFonts w:ascii="Arial" w:hAnsi="Arial" w:cs="Arial"/>
          <w:vertAlign w:val="superscript"/>
        </w:rPr>
        <w:instrText> </w:instrText>
      </w:r>
      <w:r w:rsidR="008021BE" w:rsidRPr="00B548BF">
        <w:rPr>
          <w:vertAlign w:val="superscript"/>
        </w:rPr>
        <w:instrText xml:space="preserve">0.001) for the first to second pregnancy. This study shows that most multiparous women start their pregnancy with a higher weight than their previous one. An interval of 12-23 months is associated with the lowest risk of starting the second pregnancy with a higher body weight accounting for age. In countries with high prevalence of maternal obesity, birth spacing may merit exploration as a factor impacting on perinatal morbidity.","container-title":"Scientific Reports","DOI":"10.1038/s41598-019-45595-0","ISSN":"2045-2322","issue":"1","journalAbbreviation":"Sci Rep","language":"eng","note":"PMID: 31235740\nPMCID: PMC6591402","page":"9175","source":"PubMed","title":"The duration of the interpregnancy interval in multiparous women and maternal weight gain between pregnancies: findings from a UK population-based cohort","title-short":"The duration of the interpregnancy interval in multiparous women and maternal weight gain between pregnancies","volume":"9","author":[{"family":"Ziauddeen","given":"Nida"},{"family":"Roderick","given":"Paul J."},{"family":"Macklon","given":"Nicholas S."},{"family":"Alwan","given":"Nisreen A."}],"issued":{"date-parts":[["2019"]],"season":"24"}}}],"schema":"https://github.com/citation-style-language/schema/raw/master/csl-citation.json"} </w:instrText>
      </w:r>
      <w:r w:rsidR="00422620" w:rsidRPr="00B548BF">
        <w:rPr>
          <w:vertAlign w:val="superscript"/>
        </w:rPr>
        <w:fldChar w:fldCharType="separate"/>
      </w:r>
      <w:r w:rsidR="008021BE" w:rsidRPr="00B548BF">
        <w:rPr>
          <w:vertAlign w:val="superscript"/>
        </w:rPr>
        <w:t>(13)</w:t>
      </w:r>
      <w:r w:rsidR="00422620" w:rsidRPr="00B548BF">
        <w:rPr>
          <w:vertAlign w:val="superscript"/>
        </w:rPr>
        <w:fldChar w:fldCharType="end"/>
      </w:r>
      <w:r w:rsidR="00AB79CD" w:rsidRPr="00B548BF">
        <w:t xml:space="preserve">. </w:t>
      </w:r>
      <w:r w:rsidR="00B13A30" w:rsidRPr="00B548BF">
        <w:t>Previous research has found an increased risk of gestational diabetes</w:t>
      </w:r>
      <w:r w:rsidR="00777895" w:rsidRPr="00B548BF">
        <w:t xml:space="preserve"> (GDM)</w:t>
      </w:r>
      <w:r w:rsidR="00FE7BAA" w:rsidRPr="00B548BF">
        <w:t>, caesarean section</w:t>
      </w:r>
      <w:r w:rsidR="00B13A30" w:rsidRPr="00B548BF">
        <w:rPr>
          <w:vertAlign w:val="superscript"/>
        </w:rPr>
        <w:fldChar w:fldCharType="begin"/>
      </w:r>
      <w:r w:rsidR="008021BE" w:rsidRPr="00B548BF">
        <w:rPr>
          <w:vertAlign w:val="superscript"/>
        </w:rPr>
        <w:instrText xml:space="preserve"> ADDIN ZOTERO_ITEM CSL_CITATION {"citationID":"e52j6Pk1","properties":{"formattedCitation":"(14\\uc0\\u8211{}16)","plainCitation":"(14–16)","noteIndex":0},"citationItems":[{"id":167,"uris":["http://zotero.org/users/6410601/items/CWZEBPAS"],"uri":["http://zotero.org/users/6410601/items/CWZEBPAS"],"itemData":{"id":167,"type":"article-journal","container-title":"BMJ Open","DOI":"10.1136/bmjopen-2017-018778","ISSN":"2044-6055, 2044-6055","issue":"6","journalAbbreviation":"BMJ Open","language":"en","page":"e018778","source":"DOI.org (Crossref)","title":"Interpregnancy weight change and adverse pregnancy outcomes: a systematic review and meta-analysis","title-short":"Interpregnancy weight change and adverse pregnancy outcomes","volume":"8","author":[{"family":"Oteng-Ntim","given":"Eugene"},{"family":"Mononen","given":"Sofia"},{"family":"Sawicki","given":"Olga"},{"family":"Seed","given":"Paul T"},{"family":"Bick","given":"Debra"},{"family":"Poston","given":"Lucilla"}],"issued":{"date-parts":[["2018",6]]}}},{"id":166,"uris":["http://zotero.org/users/6410601/items/THPPRSXU"],"uri":["http://zotero.org/users/6410601/items/THPPRSXU"],"itemData":{"id":166,"type":"article-journal","container-title":"BMC Pregnancy and Childbirth","DOI":"10.1186/s12884-019-2566-2","ISSN":"1471-2393","issue":"1","journalAbbreviation":"BMC Pregnancy Childbirth","language":"en","page":"386","source":"DOI.org (Crossref)","title":"Effect of interpregnancy weight change on perinatal outcomes: systematic review and meta-analysis","title-short":"Effect of interpregnancy weight change on perinatal outcomes","volume":"19","author":[{"family":"Teulings","given":"Noor E. W. D."},{"family":"Masconi","given":"Katya L."},{"family":"Ozanne","given":"Susan E."},{"family":"Aiken","given":"Catherine E."},{"family":"Wood","given":"Angela M."}],"issued":{"date-parts":[["2019",12]]}}},{"id":165,"uris":["http://zotero.org/users/6410601/items/BEZQBNWK"],"uri":["http://zotero.org/users/6410601/items/BEZQBNWK"],"itemData":{"id":165,"type":"article-journal","container-title":"Obesity Reviews","DOI":"10.1111/obr.12974","ISSN":"1467-7881, 1467-789X","issue":"3","journalAbbreviation":"Obesity Reviews","language":"en","source":"DOI.org (Crossref)","title":"The impact of interpregnancy weight change on perinatal outcomes in women and their children: A systematic review and meta</w:instrText>
      </w:r>
      <w:r w:rsidR="008021BE" w:rsidRPr="00B548BF">
        <w:rPr>
          <w:rFonts w:ascii="Cambria Math" w:hAnsi="Cambria Math" w:cs="Cambria Math"/>
          <w:vertAlign w:val="superscript"/>
        </w:rPr>
        <w:instrText>‐</w:instrText>
      </w:r>
      <w:r w:rsidR="008021BE" w:rsidRPr="00B548BF">
        <w:rPr>
          <w:vertAlign w:val="superscript"/>
        </w:rPr>
        <w:instrText>analysis","title-short":"The impact of interpregnancy weight change on perinatal outcomes in women and their children","URL":"https://onlinelibrary.wiley.com/doi/abs/10.1111/obr.12974","volume":"21","author":[{"family":"Timmermans","given":"Yvon E.G."},{"family":"Kant","given":"Kim D.G."},{"family":"Oosterman","given":"Elise O."},{"family":"Spaanderman","given":"Marc E.A."},{"family":"Villamor</w:instrText>
      </w:r>
      <w:r w:rsidR="008021BE" w:rsidRPr="00B548BF">
        <w:rPr>
          <w:rFonts w:ascii="Cambria Math" w:hAnsi="Cambria Math" w:cs="Cambria Math"/>
          <w:vertAlign w:val="superscript"/>
        </w:rPr>
        <w:instrText>‐</w:instrText>
      </w:r>
      <w:r w:rsidR="008021BE" w:rsidRPr="00B548BF">
        <w:rPr>
          <w:vertAlign w:val="superscript"/>
        </w:rPr>
        <w:instrText xml:space="preserve">Martinez","given":"Eduardo"},{"family":"Kleijnen","given":"Jos"},{"family":"Vreugdenhil","given":"Anita C.E."}],"accessed":{"date-parts":[["2020",8,25]]},"issued":{"date-parts":[["2020",3]]}}}],"schema":"https://github.com/citation-style-language/schema/raw/master/csl-citation.json"} </w:instrText>
      </w:r>
      <w:r w:rsidR="00B13A30" w:rsidRPr="00B548BF">
        <w:rPr>
          <w:vertAlign w:val="superscript"/>
        </w:rPr>
        <w:fldChar w:fldCharType="separate"/>
      </w:r>
      <w:r w:rsidR="008021BE" w:rsidRPr="00B548BF">
        <w:rPr>
          <w:rFonts w:cs="Times New Roman"/>
          <w:szCs w:val="24"/>
          <w:vertAlign w:val="superscript"/>
        </w:rPr>
        <w:t>(14–16)</w:t>
      </w:r>
      <w:r w:rsidR="00B13A30" w:rsidRPr="00B548BF">
        <w:rPr>
          <w:vertAlign w:val="superscript"/>
        </w:rPr>
        <w:fldChar w:fldCharType="end"/>
      </w:r>
      <w:r w:rsidR="00FE7BAA" w:rsidRPr="00B548BF">
        <w:t xml:space="preserve"> and</w:t>
      </w:r>
      <w:r w:rsidR="00B13A30" w:rsidRPr="00B548BF">
        <w:t xml:space="preserve"> pre-eclampsia</w:t>
      </w:r>
      <w:r w:rsidR="00B13A30" w:rsidRPr="00B548BF">
        <w:rPr>
          <w:vertAlign w:val="superscript"/>
        </w:rPr>
        <w:fldChar w:fldCharType="begin"/>
      </w:r>
      <w:r w:rsidR="008021BE" w:rsidRPr="00B548BF">
        <w:rPr>
          <w:vertAlign w:val="superscript"/>
        </w:rPr>
        <w:instrText xml:space="preserve"> ADDIN ZOTERO_ITEM CSL_CITATION {"citationID":"4aezA5TW","properties":{"formattedCitation":"(15,16)","plainCitation":"(15,16)","noteIndex":0},"citationItems":[{"id":166,"uris":["http://zotero.org/users/6410601/items/THPPRSXU"],"uri":["http://zotero.org/users/6410601/items/THPPRSXU"],"itemData":{"id":166,"type":"article-journal","container-title":"BMC Pregnancy and Childbirth","DOI":"10.1186/s12884-019-2566-2","ISSN":"1471-2393","issue":"1","journalAbbreviation":"BMC Pregnancy Childbirth","language":"en","page":"386","source":"DOI.org (Crossref)","title":"Effect of interpregnancy weight change on perinatal outcomes: systematic review and meta-analysis","title-short":"Effect of interpregnancy weight change on perinatal outcomes","volume":"19","author":[{"family":"Teulings","given":"Noor E. W. D."},{"family":"Masconi","given":"Katya L."},{"family":"Ozanne","given":"Susan E."},{"family":"Aiken","given":"Catherine E."},{"family":"Wood","given":"Angela M."}],"issued":{"date-parts":[["2019",12]]}}},{"id":165,"uris":["http://zotero.org/users/6410601/items/BEZQBNWK"],"uri":["http://zotero.org/users/6410601/items/BEZQBNWK"],"itemData":{"id":165,"type":"article-journal","container-title":"Obesity Reviews","DOI":"10.1111/obr.12974","ISSN":"1467-7881, 1467-789X","issue":"3","journalAbbreviation":"Obesity Reviews","language":"en","source":"DOI.org (Crossref)","title":"The impact of interpregnancy weight change on perinatal outcomes in women and their children: A systematic review and meta</w:instrText>
      </w:r>
      <w:r w:rsidR="008021BE" w:rsidRPr="00B548BF">
        <w:rPr>
          <w:rFonts w:ascii="Cambria Math" w:hAnsi="Cambria Math" w:cs="Cambria Math"/>
          <w:vertAlign w:val="superscript"/>
        </w:rPr>
        <w:instrText>‐</w:instrText>
      </w:r>
      <w:r w:rsidR="008021BE" w:rsidRPr="00B548BF">
        <w:rPr>
          <w:vertAlign w:val="superscript"/>
        </w:rPr>
        <w:instrText>analysis","title-short":"The impact of interpregnancy weight change on perinatal outcomes in women and their children","URL":"https://onlinelibrary.wiley.com/doi/abs/10.1111/obr.12974","volume":"21","author":[{"family":"Timmermans","given":"Yvon E.G."},{"family":"Kant","given":"Kim D.G."},{"family":"Oosterman","given":"Elise O."},{"family":"Spaanderman","given":"Marc E.A."},{"family":"Villamor</w:instrText>
      </w:r>
      <w:r w:rsidR="008021BE" w:rsidRPr="00B548BF">
        <w:rPr>
          <w:rFonts w:ascii="Cambria Math" w:hAnsi="Cambria Math" w:cs="Cambria Math"/>
          <w:vertAlign w:val="superscript"/>
        </w:rPr>
        <w:instrText>‐</w:instrText>
      </w:r>
      <w:r w:rsidR="008021BE" w:rsidRPr="00B548BF">
        <w:rPr>
          <w:vertAlign w:val="superscript"/>
        </w:rPr>
        <w:instrText xml:space="preserve">Martinez","given":"Eduardo"},{"family":"Kleijnen","given":"Jos"},{"family":"Vreugdenhil","given":"Anita C.E."}],"accessed":{"date-parts":[["2020",8,25]]},"issued":{"date-parts":[["2020",3]]}}}],"schema":"https://github.com/citation-style-language/schema/raw/master/csl-citation.json"} </w:instrText>
      </w:r>
      <w:r w:rsidR="00B13A30" w:rsidRPr="00B548BF">
        <w:rPr>
          <w:vertAlign w:val="superscript"/>
        </w:rPr>
        <w:fldChar w:fldCharType="separate"/>
      </w:r>
      <w:r w:rsidR="008021BE" w:rsidRPr="00B548BF">
        <w:rPr>
          <w:vertAlign w:val="superscript"/>
        </w:rPr>
        <w:t>(15,16)</w:t>
      </w:r>
      <w:r w:rsidR="00B13A30" w:rsidRPr="00B548BF">
        <w:rPr>
          <w:vertAlign w:val="superscript"/>
        </w:rPr>
        <w:fldChar w:fldCharType="end"/>
      </w:r>
      <w:r w:rsidR="00B13A30" w:rsidRPr="00B548BF">
        <w:t xml:space="preserve"> with interpregnancy weight gain </w:t>
      </w:r>
      <w:r w:rsidR="00DB1E84" w:rsidRPr="00B548BF">
        <w:t xml:space="preserve">particularly </w:t>
      </w:r>
      <w:r w:rsidR="00B13A30" w:rsidRPr="00B548BF">
        <w:t>in women with healthy first pregnancy BMI (&lt;25kg/m</w:t>
      </w:r>
      <w:r w:rsidR="00B13A30" w:rsidRPr="00B548BF">
        <w:rPr>
          <w:vertAlign w:val="superscript"/>
        </w:rPr>
        <w:t>2</w:t>
      </w:r>
      <w:r w:rsidR="00B13A30" w:rsidRPr="00B548BF">
        <w:t xml:space="preserve">). </w:t>
      </w:r>
      <w:r w:rsidR="00AB79CD" w:rsidRPr="00B548BF">
        <w:t>Interpregnancy w</w:t>
      </w:r>
      <w:r w:rsidR="005677DE" w:rsidRPr="00B548BF">
        <w:t xml:space="preserve">eight gain </w:t>
      </w:r>
      <w:r w:rsidR="00AB79CD" w:rsidRPr="00B548BF">
        <w:t>is associated with an increased risk of large-for-gestational age (LGA) birth</w:t>
      </w:r>
      <w:r w:rsidR="00422620" w:rsidRPr="00B548BF">
        <w:rPr>
          <w:vertAlign w:val="superscript"/>
        </w:rPr>
        <w:fldChar w:fldCharType="begin"/>
      </w:r>
      <w:r w:rsidR="008021BE" w:rsidRPr="00B548BF">
        <w:rPr>
          <w:vertAlign w:val="superscript"/>
        </w:rPr>
        <w:instrText xml:space="preserve"> ADDIN ZOTERO_ITEM CSL_CITATION {"citationID":"7DL6uCdi","properties":{"formattedCitation":"(10,11,17)","plainCitation":"(10,11,17)","noteIndex":0},"citationItems":[{"id":178,"uris":["http://zotero.org/users/6410601/items/5SRX5S9V"],"uri":["http://zotero.org/users/6410601/items/5SRX5S9V"],"itemData":{"id":178,"type":"article-journal","abstract":"OBJECTIVE: Maternal overweight and obesity during pregnancy increases the risk of large-for-gestational age (LGA) birth and childhood obesity. We aimed to investigate the association between maternal weight change between subsequent pregnancies and risk of having a LGA birth.\nDESIGN: Population-based cohort.\nSETTING: Routinely collected antenatal healthcare data between January 2003 and September 2017 at University Hospital Southampton, England.\nPARTICIPANTS: Health records of women with their first two consecutive singleton live-birth pregnancies were analysed (n=15</w:instrText>
      </w:r>
      <w:r w:rsidR="008021BE" w:rsidRPr="00B548BF">
        <w:rPr>
          <w:rFonts w:ascii="Arial" w:hAnsi="Arial" w:cs="Arial"/>
          <w:vertAlign w:val="superscript"/>
        </w:rPr>
        <w:instrText> </w:instrText>
      </w:r>
      <w:r w:rsidR="008021BE" w:rsidRPr="00B548BF">
        <w:rPr>
          <w:vertAlign w:val="superscript"/>
        </w:rPr>
        <w:instrText>940).\nPRIMARY OUTCOME MEASURE: Risk of LGA, recurrent LGA and new LGA births in the second pregnancy.\nRESULTS: Of the 15</w:instrText>
      </w:r>
      <w:r w:rsidR="008021BE" w:rsidRPr="00B548BF">
        <w:rPr>
          <w:rFonts w:ascii="Arial" w:hAnsi="Arial" w:cs="Arial"/>
          <w:vertAlign w:val="superscript"/>
        </w:rPr>
        <w:instrText> </w:instrText>
      </w:r>
      <w:r w:rsidR="008021BE" w:rsidRPr="00B548BF">
        <w:rPr>
          <w:vertAlign w:val="superscript"/>
        </w:rPr>
        <w:instrText>940 women, 16.0% lost and 47.7% gained weight (≥1</w:instrText>
      </w:r>
      <w:r w:rsidR="008021BE" w:rsidRPr="00B548BF">
        <w:rPr>
          <w:rFonts w:ascii="Arial" w:hAnsi="Arial" w:cs="Arial"/>
          <w:vertAlign w:val="superscript"/>
        </w:rPr>
        <w:instrText> </w:instrText>
      </w:r>
      <w:r w:rsidR="008021BE" w:rsidRPr="00B548BF">
        <w:rPr>
          <w:vertAlign w:val="superscript"/>
        </w:rPr>
        <w:instrText xml:space="preserve">kg/m2) between pregnancies. A lower proportion of babies born to women who lost </w:instrText>
      </w:r>
      <w:r w:rsidR="008021BE" w:rsidRPr="00B548BF">
        <w:rPr>
          <w:rFonts w:cs="Lucida Sans"/>
          <w:vertAlign w:val="superscript"/>
        </w:rPr>
        <w:instrText>≥</w:instrText>
      </w:r>
      <w:r w:rsidR="008021BE" w:rsidRPr="00B548BF">
        <w:rPr>
          <w:vertAlign w:val="superscript"/>
        </w:rPr>
        <w:instrText>1</w:instrText>
      </w:r>
      <w:r w:rsidR="008021BE" w:rsidRPr="00B548BF">
        <w:rPr>
          <w:rFonts w:ascii="Arial" w:hAnsi="Arial" w:cs="Arial"/>
          <w:vertAlign w:val="superscript"/>
        </w:rPr>
        <w:instrText> </w:instrText>
      </w:r>
      <w:r w:rsidR="008021BE" w:rsidRPr="00B548BF">
        <w:rPr>
          <w:vertAlign w:val="superscript"/>
        </w:rPr>
        <w:instrText>kg/m2 (12.4%) and remained weight stable between -1 and 1</w:instrText>
      </w:r>
      <w:r w:rsidR="008021BE" w:rsidRPr="00B548BF">
        <w:rPr>
          <w:rFonts w:ascii="Arial" w:hAnsi="Arial" w:cs="Arial"/>
          <w:vertAlign w:val="superscript"/>
        </w:rPr>
        <w:instrText> </w:instrText>
      </w:r>
      <w:r w:rsidR="008021BE" w:rsidRPr="00B548BF">
        <w:rPr>
          <w:vertAlign w:val="superscript"/>
        </w:rPr>
        <w:instrText>kg/m2 (11.9%) between pregnancies were LGA compared with 13.5% and 15.9% in women who gained 1-3 and ≥3</w:instrText>
      </w:r>
      <w:r w:rsidR="008021BE" w:rsidRPr="00B548BF">
        <w:rPr>
          <w:rFonts w:ascii="Arial" w:hAnsi="Arial" w:cs="Arial"/>
          <w:vertAlign w:val="superscript"/>
        </w:rPr>
        <w:instrText> </w:instrText>
      </w:r>
      <w:r w:rsidR="008021BE" w:rsidRPr="00B548BF">
        <w:rPr>
          <w:vertAlign w:val="superscript"/>
        </w:rPr>
        <w:instrText xml:space="preserve">kg/m2, respectively. The highest proportion was in obese women who gained </w:instrText>
      </w:r>
      <w:r w:rsidR="008021BE" w:rsidRPr="00B548BF">
        <w:rPr>
          <w:rFonts w:cs="Lucida Sans"/>
          <w:vertAlign w:val="superscript"/>
        </w:rPr>
        <w:instrText>≥</w:instrText>
      </w:r>
      <w:r w:rsidR="008021BE" w:rsidRPr="00B548BF">
        <w:rPr>
          <w:vertAlign w:val="superscript"/>
        </w:rPr>
        <w:instrText>3</w:instrText>
      </w:r>
      <w:r w:rsidR="008021BE" w:rsidRPr="00B548BF">
        <w:rPr>
          <w:rFonts w:ascii="Arial" w:hAnsi="Arial" w:cs="Arial"/>
          <w:vertAlign w:val="superscript"/>
        </w:rPr>
        <w:instrText> </w:instrText>
      </w:r>
      <w:r w:rsidR="008021BE" w:rsidRPr="00B548BF">
        <w:rPr>
          <w:vertAlign w:val="superscript"/>
        </w:rPr>
        <w:instrText xml:space="preserve">kg/m2 (21.2%). Overweight women had a reduced risk of recurrent LGA in the second pregnancy if they lost </w:instrText>
      </w:r>
      <w:r w:rsidR="008021BE" w:rsidRPr="00B548BF">
        <w:rPr>
          <w:rFonts w:cs="Lucida Sans"/>
          <w:vertAlign w:val="superscript"/>
        </w:rPr>
        <w:instrText>≥</w:instrText>
      </w:r>
      <w:r w:rsidR="008021BE" w:rsidRPr="00B548BF">
        <w:rPr>
          <w:vertAlign w:val="superscript"/>
        </w:rPr>
        <w:instrText>1</w:instrText>
      </w:r>
      <w:r w:rsidR="008021BE" w:rsidRPr="00B548BF">
        <w:rPr>
          <w:rFonts w:ascii="Arial" w:hAnsi="Arial" w:cs="Arial"/>
          <w:vertAlign w:val="superscript"/>
        </w:rPr>
        <w:instrText> </w:instrText>
      </w:r>
      <w:r w:rsidR="008021BE" w:rsidRPr="00B548BF">
        <w:rPr>
          <w:vertAlign w:val="superscript"/>
        </w:rPr>
        <w:instrText>kg/m2 (adjusted relative risk (aRR) 0.69, 95%</w:instrText>
      </w:r>
      <w:r w:rsidR="008021BE" w:rsidRPr="00B548BF">
        <w:rPr>
          <w:rFonts w:ascii="Arial" w:hAnsi="Arial" w:cs="Arial"/>
          <w:vertAlign w:val="superscript"/>
        </w:rPr>
        <w:instrText> </w:instrText>
      </w:r>
      <w:r w:rsidR="008021BE" w:rsidRPr="00B548BF">
        <w:rPr>
          <w:vertAlign w:val="superscript"/>
        </w:rPr>
        <w:instrText xml:space="preserve">CI 0.48 to 0.97) whereas overweight women who gained </w:instrText>
      </w:r>
      <w:r w:rsidR="008021BE" w:rsidRPr="00B548BF">
        <w:rPr>
          <w:rFonts w:cs="Lucida Sans"/>
          <w:vertAlign w:val="superscript"/>
        </w:rPr>
        <w:instrText>≥</w:instrText>
      </w:r>
      <w:r w:rsidR="008021BE" w:rsidRPr="00B548BF">
        <w:rPr>
          <w:vertAlign w:val="superscript"/>
        </w:rPr>
        <w:instrText>3</w:instrText>
      </w:r>
      <w:r w:rsidR="008021BE" w:rsidRPr="00B548BF">
        <w:rPr>
          <w:rFonts w:ascii="Arial" w:hAnsi="Arial" w:cs="Arial"/>
          <w:vertAlign w:val="superscript"/>
        </w:rPr>
        <w:instrText> </w:instrText>
      </w:r>
      <w:r w:rsidR="008021BE" w:rsidRPr="00B548BF">
        <w:rPr>
          <w:vertAlign w:val="superscript"/>
        </w:rPr>
        <w:instrText>kg/m2 were at increased risk of new LGA after having a non-LGA birth in their first pregnancy (aRR 1.35, 95%</w:instrText>
      </w:r>
      <w:r w:rsidR="008021BE" w:rsidRPr="00B548BF">
        <w:rPr>
          <w:rFonts w:ascii="Arial" w:hAnsi="Arial" w:cs="Arial"/>
          <w:vertAlign w:val="superscript"/>
        </w:rPr>
        <w:instrText> </w:instrText>
      </w:r>
      <w:r w:rsidR="008021BE" w:rsidRPr="00B548BF">
        <w:rPr>
          <w:vertAlign w:val="superscript"/>
        </w:rPr>
        <w:instrText>CI 1.05 to 1.75). Normal-weight women who gained weight were also at increased risk of new LGA in the second pregnancy (aRR 1.26, 95%</w:instrText>
      </w:r>
      <w:r w:rsidR="008021BE" w:rsidRPr="00B548BF">
        <w:rPr>
          <w:rFonts w:ascii="Arial" w:hAnsi="Arial" w:cs="Arial"/>
          <w:vertAlign w:val="superscript"/>
        </w:rPr>
        <w:instrText> </w:instrText>
      </w:r>
      <w:r w:rsidR="008021BE" w:rsidRPr="00B548BF">
        <w:rPr>
          <w:vertAlign w:val="superscript"/>
        </w:rPr>
        <w:instrText>CI 1.06 to 1.50 with gain of 1-3</w:instrText>
      </w:r>
      <w:r w:rsidR="008021BE" w:rsidRPr="00B548BF">
        <w:rPr>
          <w:rFonts w:ascii="Arial" w:hAnsi="Arial" w:cs="Arial"/>
          <w:vertAlign w:val="superscript"/>
        </w:rPr>
        <w:instrText> </w:instrText>
      </w:r>
      <w:r w:rsidR="008021BE" w:rsidRPr="00B548BF">
        <w:rPr>
          <w:vertAlign w:val="superscript"/>
        </w:rPr>
        <w:instrText>kg/m2 and aRR 1.34, 95%</w:instrText>
      </w:r>
      <w:r w:rsidR="008021BE" w:rsidRPr="00B548BF">
        <w:rPr>
          <w:rFonts w:ascii="Arial" w:hAnsi="Arial" w:cs="Arial"/>
          <w:vertAlign w:val="superscript"/>
        </w:rPr>
        <w:instrText> </w:instrText>
      </w:r>
      <w:r w:rsidR="008021BE" w:rsidRPr="00B548BF">
        <w:rPr>
          <w:vertAlign w:val="superscript"/>
        </w:rPr>
        <w:instrText xml:space="preserve">CI 1.09 to 1.65 with gain of </w:instrText>
      </w:r>
      <w:r w:rsidR="008021BE" w:rsidRPr="00B548BF">
        <w:rPr>
          <w:rFonts w:cs="Lucida Sans"/>
          <w:vertAlign w:val="superscript"/>
        </w:rPr>
        <w:instrText>≥</w:instrText>
      </w:r>
      <w:r w:rsidR="008021BE" w:rsidRPr="00B548BF">
        <w:rPr>
          <w:vertAlign w:val="superscript"/>
        </w:rPr>
        <w:instrText>3</w:instrText>
      </w:r>
      <w:r w:rsidR="008021BE" w:rsidRPr="00B548BF">
        <w:rPr>
          <w:rFonts w:ascii="Arial" w:hAnsi="Arial" w:cs="Arial"/>
          <w:vertAlign w:val="superscript"/>
        </w:rPr>
        <w:instrText> </w:instrText>
      </w:r>
      <w:r w:rsidR="008021BE" w:rsidRPr="00B548BF">
        <w:rPr>
          <w:vertAlign w:val="superscript"/>
        </w:rPr>
        <w:instrText xml:space="preserve">kg/m2).\nCONCLUSIONS: Losing weight after an LGA birth was associated with a reduced LGA risk in the next pregnancy in overweight women, while interpregnancy weight gain was associated with an increased new LGA risk. Preventing weight gain between pregnancies is an important measure to achieve better maternal and offspring outcomes.","container-title":"BMJ open","DOI":"10.1136/bmjopen-2018-026220","ISSN":"2044-6055","issue":"7","journalAbbreviation":"BMJ Open","language":"eng","note":"PMID: 31289065\nPMCID: PMC6615839","page":"e026220","source":"PubMed","title":"Is maternal weight gain between pregnancies associated with risk of large-for-gestational age birth? Analysis of a UK population-based cohort","title-short":"Is maternal weight gain between pregnancies associated with risk of large-for-gestational age birth?","volume":"9","author":[{"family":"Ziauddeen","given":"Nida"},{"family":"Wilding","given":"Sam"},{"family":"Roderick","given":"Paul J."},{"family":"Macklon","given":"Nicholas S."},{"family":"Alwan","given":"Nisreen A."}],"issued":{"date-parts":[["2019"]],"season":"09"}}},{"id":163,"uris":["http://zotero.org/users/6410601/items/Z5IXMGYN"],"uri":["http://zotero.org/users/6410601/items/Z5IXMGYN"],"itemData":{"id":163,"type":"article-journal","container-title":"The Lancet","DOI":"10.1016/S0140-6736(06)69473-7","ISSN":"01406736","issue":"9542","journalAbbreviation":"The Lancet","language":"en","page":"1164-1170","source":"DOI.org (Crossref)","title":"Interpregnancy weight change and risk of adverse pregnancy outcomes: a population-based study","title-short":"Interpregnancy weight change and risk of adverse pregnancy outcomes","volume":"368","author":[{"family":"Villamor","given":"Eduardo"},{"family":"Cnattingius","given":"Sven"}],"issued":{"date-parts":[["2006",9]]}}},{"id":164,"uris":["http://zotero.org/users/6410601/items/CH7RQ56H"],"uri":["http://zotero.org/users/6410601/items/CH7RQ56H"],"itemData":{"id":164,"type":"article-journal","container-title":"PLOS ONE","DOI":"10.1371/journal.pone.0154812","ISSN":"1932-6203","issue":"5","journalAbbreviation":"PLoS ONE","language":"en","page":"e0154812","source":"DOI.org (Crossref)","title":"Inter-Pregnancy Weight Change and the Risk of Recurrent Pregnancy Complications","volume":"11","author":[{"family":"Wallace","given":"Jacqueline M."},{"family":"Bhattacharya","given":"Sohinee"},{"family":"Campbell","given":"Doris M."},{"family":"Horgan","given":"Graham W."}],"editor":[{"family":"Gebhardt","given":"Gabriel"}],"issued":{"date-parts":[["2016",5,4]]}}}],"schema":"https://github.com/citation-style-language/schema/raw/master/csl-citation.json"} </w:instrText>
      </w:r>
      <w:r w:rsidR="00422620" w:rsidRPr="00B548BF">
        <w:rPr>
          <w:vertAlign w:val="superscript"/>
        </w:rPr>
        <w:fldChar w:fldCharType="separate"/>
      </w:r>
      <w:r w:rsidR="008021BE" w:rsidRPr="00B548BF">
        <w:rPr>
          <w:vertAlign w:val="superscript"/>
        </w:rPr>
        <w:t>(10,11,17)</w:t>
      </w:r>
      <w:r w:rsidR="00422620" w:rsidRPr="00B548BF">
        <w:rPr>
          <w:vertAlign w:val="superscript"/>
        </w:rPr>
        <w:fldChar w:fldCharType="end"/>
      </w:r>
      <w:r w:rsidR="00AB79CD" w:rsidRPr="00B548BF">
        <w:t xml:space="preserve">, which </w:t>
      </w:r>
      <w:r w:rsidR="00C0246B" w:rsidRPr="00B548BF">
        <w:t xml:space="preserve">in turn </w:t>
      </w:r>
      <w:r w:rsidR="00AB79CD" w:rsidRPr="00B548BF">
        <w:rPr>
          <w:rFonts w:cs="Arial"/>
          <w:color w:val="000000" w:themeColor="text1"/>
          <w:shd w:val="clear" w:color="auto" w:fill="FFFFFF"/>
        </w:rPr>
        <w:t>is associated with both childhood</w:t>
      </w:r>
      <w:r w:rsidR="004525A9" w:rsidRPr="00B548BF">
        <w:rPr>
          <w:rFonts w:cs="Arial"/>
          <w:color w:val="000000" w:themeColor="text1"/>
          <w:shd w:val="clear" w:color="auto" w:fill="FFFFFF"/>
          <w:vertAlign w:val="superscript"/>
        </w:rPr>
        <w:fldChar w:fldCharType="begin"/>
      </w:r>
      <w:r w:rsidR="00FA134E" w:rsidRPr="00B548BF">
        <w:rPr>
          <w:rFonts w:cs="Arial"/>
          <w:color w:val="000000" w:themeColor="text1"/>
          <w:shd w:val="clear" w:color="auto" w:fill="FFFFFF"/>
          <w:vertAlign w:val="superscript"/>
        </w:rPr>
        <w:instrText xml:space="preserve"> ADDIN ZOTERO_ITEM CSL_CITATION {"citationID":"kTVEDekO","properties":{"formattedCitation":"(18,19)","plainCitation":"(18,19)","noteIndex":0},"citationItems":[{"id":177,"uris":["http://zotero.org/users/6410601/items/NA6UQ8MQ"],"uri":["http://zotero.org/users/6410601/items/NA6UQ8MQ"],"itemData":{"id":177,"type":"article-journal","abstract":"OBJECTIVE: To identify risk factors in early life (up to 3 years of age) for obesity in children in the United Kingdom.\nDESIGN: Prospective cohort study.\nSETTING: Avon longitudinal study of parents and children, United Kingdom.\nPARTICIPANTS: 8234 children in cohort aged 7 years and a subsample of 909 children (children in focus) with data on additional early growth related risk factors for obesity.\nMAIN OUTCOME MEASURES: Obesity at age 7 years, defined as a body mass index (3) 95th centile relative to reference data for the UK population in 1990.\nRESULTS: Eight of 25 putative risk factors were associated with a risk of obesity in the final models: parental obesity (both parents: adjusted odds ratio, 10.44, 95% confidence interval 5.11 to 21.32), very early (by 43 months) body mass index or adiposity rebound (15.00, 5.32 to 42.30), more than eight hours spent watching television per week at age 3 years (1.55, 1.13 to 2.12), catch-up growth (2.60, 1.09 to 6.16), standard deviation score for weight at age 8 months (3.13, 1.43 to 6.85) and 18 months (2.65, 1.25 to 5.59); weight gain in first year (1.06, 1.02 to 1.10 per 100 g increase); birth weight, per 100 g (1.05, 1.03 to 1.07); and short (&lt; 10.5 hours) sleep duration at age 3 years (1.45, 1.10 to 1.89).\nCONCLUSION: Eight factors in early life are associated with an increased risk of obesity in childhood.","container-title":"BMJ (Clinical research ed.)","DOI":"10.1136/bmj.38470.670903.E0","ISSN":"1756-1833","issue":"7504","journalAbbreviation":"BMJ","language":"eng","note":"PMID: 15908441\nPMCID: PMC558282","page":"1357","source":"PubMed","title":"Early life risk factors for obesity in childhood: cohort study","title-short":"Early life risk factors for obesity in childhood","volume":"330","author":[{"family":"Reilly","given":"John J."},{"family":"Armstrong","given":"Julie"},{"family":"Dorosty","given":"Ahmad R."},{"family":"Emmett","given":"Pauline M."},{"family":"Ness","given":"A."},{"family":"Rogers","given":"I."},{"family":"Steer","given":"Colin"},{"family":"Sherriff","given":"Andrea"},{"literal":"Avon Longitudinal Study of Parents and Children Study Team"}],"issued":{"date-parts":[["2005",6,11]]}}},{"id":176,"uris":["http://zotero.org/users/6410601/items/IFYKIQXW"],"uri":["http://zotero.org/users/6410601/items/IFYKIQXW"],"itemData":{"id":176,"type":"article-journal","abstract":"OBJECTIVES: To identify the major risk factors of overweight and obesity in prepubertal children.\nDESIGN: Cross-sectional study.\nSETTING: In all, 32 primary schools in Kiel (248 000 inhabitants), northwest Germany.\nSUBJECTS: A total of 2631 5-7-y-old German children and their parents.\nMAIN OUTCOME MEASURES: Weight status, socio-economic status (SES), parental overweight, dietary intake, activity, inactivity and further determinants (birth weight, breast feeding, nutritional status of siblings) of the children.\nRESULTS: The prevalence of overweight (&gt;/=90th BMI percentile of reference) was 9.2% in boys and 11.2% in girls, respectively. Considered univariately, family-, environment- and development-related determinants showed some relations to overweight and obesity. In multivariate analyses parental overweight, a low SES as well as a high birth weight were the strongest independent risk factors of overweight and obesity in children. Additionally, there were sex-specific risk factors: parental smoking and single households were risk factors in boys, whereas a low activity was associated with obesity in girls. Birth weight was associated with obesity, but not with overweight. The prevalence of obesity reached 29.2% in boys and 33.4% in girls with all the three main risk factors.\nCONCLUSIONS: Overweight families of low SES have the highest risk of overweight and obese children. Future prevention programmes must also take into account sex-specific risk factors.","container-title":"International Journal of Obesity and Related Metabolic Disorders: Journal of the International Association for the Study of Obesity","DOI":"10.1038/sj.ijo.0802756","issue":"11","journalAbbreviation":"Int. J. Obes. Relat. Metab. Disord.","language":"eng","note":"PMID: 15326465","page":"1494-1502","source":"PubMed","title":"Parental overweight, socioeconomic status and high birth weight are the major determinants of overweight and obesity in 5-7 y-old children: baseline data of the Kiel Obesity Prevention Study (KOPS)","title-short":"Parental overweight, socioeconomic status and high birth weight are the major determinants of overweight and obesity in 5-7 y-old children","volume":"28","author":[{"family":"Danielzik","given":"S."},{"family":"Czerwinski-Mast","given":"M."},{"family":"Langnäse","given":"K."},{"family":"Dilba","given":"B."},{"family":"Müller","given":"M. J."}],"issued":{"date-parts":[["2004",11]]}}}],"schema":"https://github.com/citation-style-language/schema/raw/master/csl-citation.json"} </w:instrText>
      </w:r>
      <w:r w:rsidR="004525A9" w:rsidRPr="00B548BF">
        <w:rPr>
          <w:rFonts w:cs="Arial"/>
          <w:color w:val="000000" w:themeColor="text1"/>
          <w:shd w:val="clear" w:color="auto" w:fill="FFFFFF"/>
          <w:vertAlign w:val="superscript"/>
        </w:rPr>
        <w:fldChar w:fldCharType="separate"/>
      </w:r>
      <w:r w:rsidR="00FA134E" w:rsidRPr="00B548BF">
        <w:rPr>
          <w:vertAlign w:val="superscript"/>
        </w:rPr>
        <w:t>(18,19)</w:t>
      </w:r>
      <w:r w:rsidR="004525A9" w:rsidRPr="00B548BF">
        <w:rPr>
          <w:rFonts w:cs="Arial"/>
          <w:color w:val="000000" w:themeColor="text1"/>
          <w:shd w:val="clear" w:color="auto" w:fill="FFFFFF"/>
          <w:vertAlign w:val="superscript"/>
        </w:rPr>
        <w:fldChar w:fldCharType="end"/>
      </w:r>
      <w:r w:rsidR="00AB79CD" w:rsidRPr="00B548BF">
        <w:rPr>
          <w:rFonts w:cs="Arial"/>
          <w:color w:val="000000" w:themeColor="text1"/>
          <w:shd w:val="clear" w:color="auto" w:fill="FFFFFF"/>
        </w:rPr>
        <w:t xml:space="preserve"> and adult obesity</w:t>
      </w:r>
      <w:r w:rsidR="004525A9" w:rsidRPr="00B548BF">
        <w:rPr>
          <w:vertAlign w:val="superscript"/>
        </w:rPr>
        <w:fldChar w:fldCharType="begin"/>
      </w:r>
      <w:r w:rsidR="00FA134E" w:rsidRPr="00B548BF">
        <w:rPr>
          <w:vertAlign w:val="superscript"/>
        </w:rPr>
        <w:instrText xml:space="preserve"> ADDIN ZOTERO_ITEM CSL_CITATION {"citationID":"WIfLW3sV","properties":{"formattedCitation":"(20\\uc0\\u8211{}22)","plainCitation":"(20–22)","noteIndex":0},"citationItems":[{"id":175,"uris":["http://zotero.org/users/6410601/items/5VVST2A6"],"uri":["http://zotero.org/users/6410601/items/5VVST2A6"],"itemData":{"id":175,"type":"article-journal","abstract":"BACKGROUND: Low birth weight has been associated with several chronic diseases in adults, including hypertension, diabetes mellitus, and obesity. Further study of these diseases in a large cohort with information on a wide variety of risk factors is essential to determine more precisely the risks associated with birth weight.\nMETHODS AND RESULTS: We examined the relation between birth weight and cumulative incidence of adult hypertension, incidence of non-insulin-dependent diabetes mellitus, and prevalence of obesity in a cohort of 22,846 US men (Health Professionals Follow-up Study). Birth weights, medical histories, family histories, and other factors were collected by biennial mailed questionnaires. Logistic regression was used to examine the association between birth weight and these chronic adult diseases. Low birth weight was associated with an increased risk of hypertension and diabetes; high birth weight was associated with an increased risk of obesity. Compared with men in the referent birth weight category (7.0 to 8.4 lb), men who weighed &lt; 5.5 lb had an age-adjusted odds ratio for hypertension of 1.26 (95% confidence interval [CI], 1.11 to 1.44) and for diabetes mellitus of 1.75 (95% CI, 1.21 to 2.54). There was no material change after controlling for adult body mass index and parental histories of hypertension and diabetes mellitus. Compared with men in the referent group, the age-adjusted odds ratio of being in the highest versus the lowest quintile of adult body mass index for men with birth weight &gt; or = 10.0 lb was 2.08 (95% CI, 1.73 to 2.50).\nCONCLUSIONS: These findings support the hypothesis that early life exposures, for which birth weight is a marker, are associated with several chronic diseases in adulthood.","container-title":"Circulation","DOI":"10.1161/01.cir.94.12.3246","ISSN":"0009-7322","issue":"12","journalAbbreviation":"Circulation","language":"eng","note":"PMID: 8989136","page":"3246-3250","source":"PubMed","title":"Birth weight and adult hypertension, diabetes mellitus, and obesity in US men","volume":"94","author":[{"family":"Curhan","given":"G. C."},{"family":"Willett","given":"W. C."},{"family":"Rimm","given":"E. B."},{"family":"Spiegelman","given":"D."},{"family":"Ascherio","given":"A. L."},{"family":"Stampfer","given":"M. J."}],"issued":{"date-parts":[["1996",12,15]]}}},{"id":174,"uris":["http://zotero.org/users/6410601/items/58BCU5EJ"],"uri":["http://zotero.org/users/6410601/items/58BCU5EJ"],"itemData":{"id":174,"type":"article-journal","container-title":"Circulation","DOI":"10.1161/01.CIR.94.6.1310","ISSN":"0009-7322, 1524-4539","issue":"6","journalAbbreviation":"Circulation","language":"en","page":"1310-1315","source":"DOI.org (Crossref)","title":"Birth Weight and Adult Hypertension and Obesity in Women","volume":"94","author":[{"family":"Curhan","given":"Gary C."},{"family":"Chertow","given":"Glenn M."},{"family":"Willett","given":"Walter C."},{"family":"Spiegelman","given":"Donna"},{"family":"Colditz","given":"Graham A."},{"family":"Manson","given":"JoAnn E."},{"family":"Speizer","given":"Frank E."},{"family":"Stampfer","given":"Meir J."}],"issued":{"date-parts":[["1996",9,15]]}}},{"id":173,"uris":["http://zotero.org/users/6410601/items/NF7ZBENA"],"uri":["http://zotero.org/users/6410601/items/NF7ZBENA"],"itemData":{"id":173,"type":"article-journal","container-title":"International Journal of Obesity","DOI":"10.1038/sj.ijo.0801125","ISSN":"0307-0565, 1476-5497","issue":"3","journalAbbreviation":"Int J Obes","language":"en","page":"281-287","source":"DOI.org (Crossref)","title":"Birth weight, climate at birth and the risk of obesity in adult life","volume":"24","author":[{"family":"Phillips","given":"Diw"},{"family":"Young","given":"Jb"}],"issued":{"date-parts":[["2000",3]]}}}],"schema":"https://github.com/citation-style-language/schema/raw/master/csl-citation.json"} </w:instrText>
      </w:r>
      <w:r w:rsidR="004525A9" w:rsidRPr="00B548BF">
        <w:rPr>
          <w:vertAlign w:val="superscript"/>
        </w:rPr>
        <w:fldChar w:fldCharType="separate"/>
      </w:r>
      <w:r w:rsidR="00FA134E" w:rsidRPr="00B548BF">
        <w:rPr>
          <w:rFonts w:cs="Times New Roman"/>
          <w:szCs w:val="24"/>
          <w:vertAlign w:val="superscript"/>
        </w:rPr>
        <w:t>(20–22)</w:t>
      </w:r>
      <w:r w:rsidR="004525A9" w:rsidRPr="00B548BF">
        <w:rPr>
          <w:vertAlign w:val="superscript"/>
        </w:rPr>
        <w:fldChar w:fldCharType="end"/>
      </w:r>
      <w:r w:rsidR="00AB79CD" w:rsidRPr="00B548BF">
        <w:rPr>
          <w:rFonts w:cs="Arial"/>
          <w:color w:val="000000" w:themeColor="text1"/>
          <w:shd w:val="clear" w:color="auto" w:fill="FFFFFF"/>
        </w:rPr>
        <w:t>.</w:t>
      </w:r>
      <w:r w:rsidR="00AB79CD" w:rsidRPr="00B548BF">
        <w:t xml:space="preserve"> </w:t>
      </w:r>
      <w:r w:rsidR="007F4F0E" w:rsidRPr="00B548BF">
        <w:t xml:space="preserve">The mechanisms are unclear but the increase in adiposity on weight retention or gain postpartum may </w:t>
      </w:r>
      <w:r w:rsidR="001D3E90" w:rsidRPr="00B548BF">
        <w:t>be a contributing factor to these associations.</w:t>
      </w:r>
      <w:r w:rsidR="007F4F0E" w:rsidRPr="00B548BF">
        <w:t xml:space="preserve"> </w:t>
      </w:r>
    </w:p>
    <w:p w14:paraId="0A26A29F" w14:textId="431BD641" w:rsidR="002C373E" w:rsidRPr="00B548BF" w:rsidRDefault="00DB1E84" w:rsidP="00BA33FB">
      <w:pPr>
        <w:spacing w:line="480" w:lineRule="auto"/>
      </w:pPr>
      <w:r w:rsidRPr="00B548BF">
        <w:t xml:space="preserve">Interpreting the findings from studies on maternal weight change </w:t>
      </w:r>
      <w:r w:rsidR="00E828BD" w:rsidRPr="00B548BF">
        <w:t xml:space="preserve">is </w:t>
      </w:r>
      <w:r w:rsidRPr="00B548BF">
        <w:t xml:space="preserve">complicated by the fact that weight gain (e.g. amongst underweight) or loss (e.g. amongst overweight) may differ between individuals and across contexts. To address this, our large population-based study </w:t>
      </w:r>
      <w:r w:rsidR="0076463A">
        <w:t xml:space="preserve">primarily </w:t>
      </w:r>
      <w:r w:rsidRPr="00B548BF">
        <w:t xml:space="preserve">focussed on non-underweight women who maintained or gained weight between their first two pregnancies. The aim was to investigate the association between maternal </w:t>
      </w:r>
      <w:r w:rsidR="0004045D" w:rsidRPr="00B548BF">
        <w:t xml:space="preserve">weight </w:t>
      </w:r>
      <w:r w:rsidRPr="00B548BF">
        <w:t>gain between the first and second singleton livebirth pregnancies and the risk of overweight and obesity in the second child</w:t>
      </w:r>
      <w:r w:rsidR="001D3E90" w:rsidRPr="00B548BF">
        <w:t xml:space="preserve">. As the effect of weight gain/retention may differ by </w:t>
      </w:r>
      <w:r w:rsidRPr="00B548BF">
        <w:t>maternal BMI</w:t>
      </w:r>
      <w:r w:rsidR="00CD746C" w:rsidRPr="00B548BF">
        <w:t xml:space="preserve"> at the start of the first pregnancy</w:t>
      </w:r>
      <w:r w:rsidR="001D3E90" w:rsidRPr="00B548BF">
        <w:t>, we stratified the analyses by maternal BMI</w:t>
      </w:r>
      <w:r w:rsidRPr="00B548BF">
        <w:t>. To investigate potential mechanisms, we</w:t>
      </w:r>
      <w:r w:rsidR="00400672" w:rsidRPr="00B548BF">
        <w:t xml:space="preserve"> aimed to examine</w:t>
      </w:r>
      <w:r w:rsidRPr="00B548BF">
        <w:t xml:space="preserve"> whether birthweight and postnatal factors</w:t>
      </w:r>
      <w:r w:rsidR="003B3CFD" w:rsidRPr="00B548BF">
        <w:t xml:space="preserve"> such as breastfeeding</w:t>
      </w:r>
      <w:r w:rsidRPr="00B548BF">
        <w:t xml:space="preserve"> account</w:t>
      </w:r>
      <w:r w:rsidR="00E828BD" w:rsidRPr="00B548BF">
        <w:t>ed</w:t>
      </w:r>
      <w:r w:rsidR="00400672" w:rsidRPr="00B548BF">
        <w:t xml:space="preserve"> </w:t>
      </w:r>
      <w:r w:rsidRPr="00B548BF">
        <w:t>for</w:t>
      </w:r>
      <w:r w:rsidR="00CA4FB0" w:rsidRPr="00B548BF">
        <w:t xml:space="preserve"> the</w:t>
      </w:r>
      <w:r w:rsidRPr="00B548BF">
        <w:t xml:space="preserve"> observed relationships.</w:t>
      </w:r>
    </w:p>
    <w:p w14:paraId="2C13AD8B" w14:textId="77777777" w:rsidR="00BD3467" w:rsidRPr="00B548BF" w:rsidRDefault="00BD3467" w:rsidP="00BA33FB">
      <w:pPr>
        <w:spacing w:line="480" w:lineRule="auto"/>
      </w:pPr>
    </w:p>
    <w:p w14:paraId="09F56F96" w14:textId="77777777" w:rsidR="007A34FC" w:rsidRPr="00B548BF" w:rsidRDefault="007A34FC" w:rsidP="00BA33FB">
      <w:pPr>
        <w:spacing w:line="480" w:lineRule="auto"/>
      </w:pPr>
    </w:p>
    <w:p w14:paraId="27C688EA" w14:textId="77777777" w:rsidR="00C63B99" w:rsidRPr="00B548BF" w:rsidRDefault="00C63B99" w:rsidP="00BA33FB">
      <w:pPr>
        <w:spacing w:line="480" w:lineRule="auto"/>
        <w:rPr>
          <w:b/>
        </w:rPr>
      </w:pPr>
      <w:r w:rsidRPr="00B548BF">
        <w:rPr>
          <w:b/>
        </w:rPr>
        <w:t>Methods</w:t>
      </w:r>
    </w:p>
    <w:p w14:paraId="067F2E10" w14:textId="3350E65A" w:rsidR="00C63B99" w:rsidRPr="00B548BF" w:rsidRDefault="00C63B99" w:rsidP="00BA33FB">
      <w:pPr>
        <w:autoSpaceDE w:val="0"/>
        <w:autoSpaceDN w:val="0"/>
        <w:adjustRightInd w:val="0"/>
        <w:spacing w:line="480" w:lineRule="auto"/>
      </w:pPr>
      <w:r w:rsidRPr="00B548BF">
        <w:t xml:space="preserve">SLOPE (Studying </w:t>
      </w:r>
      <w:proofErr w:type="spellStart"/>
      <w:r w:rsidRPr="00B548BF">
        <w:t>Lifecourse</w:t>
      </w:r>
      <w:proofErr w:type="spellEnd"/>
      <w:r w:rsidRPr="00B548BF">
        <w:t xml:space="preserve"> Obesity </w:t>
      </w:r>
      <w:proofErr w:type="spellStart"/>
      <w:r w:rsidRPr="00B548BF">
        <w:t>PrEdictors</w:t>
      </w:r>
      <w:proofErr w:type="spellEnd"/>
      <w:r w:rsidRPr="00B548BF">
        <w:t>) is a population-based anonymised linked cohort of prospectively collected routine maternal antenatal and birth records and child health records for all births registered at University Hospital Southampton (UHS), in the South of England</w:t>
      </w:r>
      <w:r w:rsidR="005E61A3" w:rsidRPr="00B548BF">
        <w:t>, UK</w:t>
      </w:r>
      <w:r w:rsidRPr="00B548BF">
        <w:t xml:space="preserve"> between </w:t>
      </w:r>
      <w:r w:rsidR="00EF0988" w:rsidRPr="00B548BF">
        <w:t xml:space="preserve">January </w:t>
      </w:r>
      <w:r w:rsidRPr="00B548BF">
        <w:t xml:space="preserve">2003 and </w:t>
      </w:r>
      <w:r w:rsidR="00EF0988" w:rsidRPr="00B548BF">
        <w:t xml:space="preserve">April </w:t>
      </w:r>
      <w:r w:rsidRPr="00B548BF">
        <w:t xml:space="preserve">2018. UHS is the regional centre for maternity care to residents in the city of Southampton and the surrounding areas of Hampshire. Child healthcare for the same area is provided by two community National Health Service (NHS) trusts; Solent and Southern Health. Thus, the antenatal and birth records (n=83481) were then linked to child health data from these two community NHS trusts (n=74770, 90% linked). </w:t>
      </w:r>
    </w:p>
    <w:p w14:paraId="719AC82A" w14:textId="6A97F9C9" w:rsidR="002C373E" w:rsidRPr="00B548BF" w:rsidRDefault="00C63B99" w:rsidP="00BA33FB">
      <w:pPr>
        <w:spacing w:after="360" w:line="480" w:lineRule="auto"/>
      </w:pPr>
      <w:r w:rsidRPr="00B548BF">
        <w:t xml:space="preserve">Records of women with their first two consecutive singleton live birth pregnancies </w:t>
      </w:r>
      <w:r w:rsidR="00A30E78" w:rsidRPr="00B548BF">
        <w:t xml:space="preserve">that were successfully linked to child health data for the second child </w:t>
      </w:r>
      <w:r w:rsidRPr="00B548BF">
        <w:t>were included.</w:t>
      </w:r>
      <w:r w:rsidR="008274CA" w:rsidRPr="00B548BF">
        <w:t xml:space="preserve"> </w:t>
      </w:r>
      <w:r w:rsidR="00B90073" w:rsidRPr="00B548BF">
        <w:t>Any woman who had a booking appointment at or after 24 weeks of pregnancy was excluded</w:t>
      </w:r>
      <w:r w:rsidR="00600BC3" w:rsidRPr="00B548BF">
        <w:t xml:space="preserve"> (Figure 1)</w:t>
      </w:r>
      <w:r w:rsidR="00B90073" w:rsidRPr="00B548BF">
        <w:t xml:space="preserve">. </w:t>
      </w:r>
      <w:r w:rsidRPr="00B548BF">
        <w:t>Only pregnancies with feasible gestational age</w:t>
      </w:r>
      <w:r w:rsidR="00975FD5" w:rsidRPr="00B548BF">
        <w:t xml:space="preserve"> (22-43 weeks)</w:t>
      </w:r>
      <w:r w:rsidRPr="00B548BF">
        <w:t xml:space="preserve">, maternal weight and maternal height measurements were </w:t>
      </w:r>
      <w:r w:rsidR="005E61A3" w:rsidRPr="00B548BF">
        <w:t xml:space="preserve">eligible for inclusion </w:t>
      </w:r>
      <w:r w:rsidRPr="00B548BF">
        <w:t>in this analysis</w:t>
      </w:r>
      <w:r w:rsidR="00EF0988" w:rsidRPr="00B548BF">
        <w:t xml:space="preserve"> (n=6357)</w:t>
      </w:r>
      <w:r w:rsidRPr="00B548BF">
        <w:t xml:space="preserve">. </w:t>
      </w:r>
      <w:bookmarkStart w:id="1" w:name="_Ref5187204"/>
      <w:r w:rsidR="008274CA" w:rsidRPr="00B548BF">
        <w:t xml:space="preserve">Women who </w:t>
      </w:r>
      <w:r w:rsidR="003F51BC" w:rsidRPr="00B548BF">
        <w:t xml:space="preserve">conceived through infertility treatment in either pregnancies (n=338), those who </w:t>
      </w:r>
      <w:r w:rsidR="008274CA" w:rsidRPr="00B548BF">
        <w:t xml:space="preserve">were underweight </w:t>
      </w:r>
      <w:r w:rsidR="005E61A3" w:rsidRPr="00B548BF">
        <w:t>(</w:t>
      </w:r>
      <w:r w:rsidR="002C373E" w:rsidRPr="00B548BF">
        <w:t>BMI &lt;</w:t>
      </w:r>
      <w:r w:rsidR="005E61A3" w:rsidRPr="00B548BF">
        <w:t>18.5 kg/m</w:t>
      </w:r>
      <w:r w:rsidR="005E61A3" w:rsidRPr="00B548BF">
        <w:rPr>
          <w:vertAlign w:val="superscript"/>
        </w:rPr>
        <w:t>2</w:t>
      </w:r>
      <w:r w:rsidR="005E61A3" w:rsidRPr="00B548BF">
        <w:t xml:space="preserve">) </w:t>
      </w:r>
      <w:r w:rsidR="008274CA" w:rsidRPr="00B548BF">
        <w:t>at first (n=2</w:t>
      </w:r>
      <w:r w:rsidR="003F51BC" w:rsidRPr="00B548BF">
        <w:t>23</w:t>
      </w:r>
      <w:r w:rsidR="00A30E78" w:rsidRPr="00B548BF">
        <w:t>) or second pregnancy (n=6</w:t>
      </w:r>
      <w:r w:rsidR="003F51BC" w:rsidRPr="00B548BF">
        <w:t>2</w:t>
      </w:r>
      <w:r w:rsidR="00A30E78" w:rsidRPr="00B548BF">
        <w:t>),</w:t>
      </w:r>
      <w:r w:rsidR="008274CA" w:rsidRPr="00B548BF">
        <w:t xml:space="preserve"> </w:t>
      </w:r>
      <w:r w:rsidR="00A30E78" w:rsidRPr="00B548BF">
        <w:t>and those who lost weight</w:t>
      </w:r>
      <w:r w:rsidR="003F51BC" w:rsidRPr="00B548BF">
        <w:t xml:space="preserve"> (≥1 kg/m</w:t>
      </w:r>
      <w:r w:rsidR="003F51BC" w:rsidRPr="00B548BF">
        <w:rPr>
          <w:vertAlign w:val="superscript"/>
        </w:rPr>
        <w:t>2</w:t>
      </w:r>
      <w:r w:rsidR="003F51BC" w:rsidRPr="00B548BF">
        <w:t>)</w:t>
      </w:r>
      <w:r w:rsidR="00A30E78" w:rsidRPr="00B548BF">
        <w:t xml:space="preserve"> between </w:t>
      </w:r>
      <w:r w:rsidR="0004045D" w:rsidRPr="00B548BF">
        <w:t>pregnancies</w:t>
      </w:r>
      <w:r w:rsidR="003F51BC" w:rsidRPr="00B548BF">
        <w:t xml:space="preserve"> (n=945</w:t>
      </w:r>
      <w:r w:rsidR="00A30E78" w:rsidRPr="00B548BF">
        <w:t xml:space="preserve">) </w:t>
      </w:r>
      <w:r w:rsidR="005E61A3" w:rsidRPr="00B548BF">
        <w:t xml:space="preserve">were </w:t>
      </w:r>
      <w:r w:rsidR="008274CA" w:rsidRPr="00B548BF">
        <w:t>excluded from this analysis</w:t>
      </w:r>
      <w:r w:rsidR="00600BC3" w:rsidRPr="00B548BF">
        <w:t xml:space="preserve"> leaving data from 4789 women for analysis</w:t>
      </w:r>
      <w:r w:rsidR="00415C84" w:rsidRPr="00B548BF">
        <w:t xml:space="preserve"> (75% of eligible sample)</w:t>
      </w:r>
      <w:r w:rsidR="008274CA" w:rsidRPr="00B548BF">
        <w:t>.</w:t>
      </w:r>
      <w:r w:rsidR="00EC10C7" w:rsidRPr="00B548BF">
        <w:t xml:space="preserve"> </w:t>
      </w:r>
      <w:bookmarkStart w:id="2" w:name="_Hlk77278205"/>
      <w:r w:rsidR="002C373E" w:rsidRPr="00B548BF">
        <w:t xml:space="preserve">These exclusions were made to </w:t>
      </w:r>
      <w:r w:rsidR="00EC10C7" w:rsidRPr="00B548BF">
        <w:t xml:space="preserve">ensure a </w:t>
      </w:r>
      <w:r w:rsidR="00BF4733" w:rsidRPr="00B548BF">
        <w:t xml:space="preserve">straightforward </w:t>
      </w:r>
      <w:r w:rsidR="00EC10C7" w:rsidRPr="00B548BF">
        <w:t xml:space="preserve">comparison </w:t>
      </w:r>
      <w:r w:rsidR="00BF4733" w:rsidRPr="00B548BF">
        <w:t>between women who maintained and gained weight</w:t>
      </w:r>
      <w:r w:rsidR="00EC10C7" w:rsidRPr="00B548BF">
        <w:t xml:space="preserve"> </w:t>
      </w:r>
      <w:r w:rsidR="00BF4733" w:rsidRPr="00B548BF">
        <w:t xml:space="preserve">between pregnancies, </w:t>
      </w:r>
      <w:r w:rsidR="00EC10C7" w:rsidRPr="00B548BF">
        <w:t xml:space="preserve">and to </w:t>
      </w:r>
      <w:r w:rsidR="002C373E" w:rsidRPr="00B548BF">
        <w:t xml:space="preserve">reduce the potential for residual </w:t>
      </w:r>
      <w:r w:rsidR="002C373E" w:rsidRPr="00B548BF">
        <w:lastRenderedPageBreak/>
        <w:t>confounding due to unmeasured changes in health status</w:t>
      </w:r>
      <w:r w:rsidR="00BF4733" w:rsidRPr="00B548BF">
        <w:t xml:space="preserve"> which </w:t>
      </w:r>
      <w:r w:rsidR="0046550C" w:rsidRPr="00B548BF">
        <w:t xml:space="preserve">may </w:t>
      </w:r>
      <w:r w:rsidR="00BF4733" w:rsidRPr="00B548BF">
        <w:t>differ between women who lost weight between pregnancies and others</w:t>
      </w:r>
      <w:r w:rsidR="00EC10C7" w:rsidRPr="00B548BF">
        <w:t>.</w:t>
      </w:r>
      <w:r w:rsidR="00AF4771" w:rsidRPr="00B548BF">
        <w:t xml:space="preserve"> </w:t>
      </w:r>
      <w:bookmarkEnd w:id="2"/>
    </w:p>
    <w:bookmarkEnd w:id="1"/>
    <w:p w14:paraId="10E08E49" w14:textId="01118889" w:rsidR="008274CA" w:rsidRPr="00B548BF" w:rsidRDefault="008274CA" w:rsidP="00BA33FB">
      <w:pPr>
        <w:spacing w:before="240" w:after="0" w:line="480" w:lineRule="auto"/>
        <w:rPr>
          <w:i/>
        </w:rPr>
      </w:pPr>
      <w:r w:rsidRPr="00B548BF">
        <w:rPr>
          <w:i/>
        </w:rPr>
        <w:t>Exposure assessment</w:t>
      </w:r>
    </w:p>
    <w:p w14:paraId="11BF2EC2" w14:textId="68EE6FAA" w:rsidR="008274CA" w:rsidRPr="00B548BF" w:rsidRDefault="008274CA" w:rsidP="00BA33FB">
      <w:pPr>
        <w:spacing w:line="480" w:lineRule="auto"/>
        <w:rPr>
          <w:rFonts w:cs="Arial"/>
        </w:rPr>
      </w:pPr>
      <w:r w:rsidRPr="00B548BF">
        <w:t>Maternal weight in kilograms was routinely measured by a midwife at the first antenatal (booking) appointment of each pregnancy</w:t>
      </w:r>
      <w:r w:rsidR="00837147" w:rsidRPr="00B548BF">
        <w:rPr>
          <w:vertAlign w:val="superscript"/>
        </w:rPr>
        <w:fldChar w:fldCharType="begin"/>
      </w:r>
      <w:r w:rsidR="00837147" w:rsidRPr="00B548BF">
        <w:rPr>
          <w:vertAlign w:val="superscript"/>
        </w:rPr>
        <w:instrText xml:space="preserve"> ADDIN ZOTERO_ITEM CSL_CITATION {"citationID":"KGflnwCH","properties":{"formattedCitation":"(23)","plainCitation":"(23)","noteIndex":0},"citationItems":[{"id":783,"uris":["http://zotero.org/users/6410601/items/93LQ6XAR"],"uri":["http://zotero.org/users/6410601/items/93LQ6XAR"],"itemData":{"id":783,"type":"article-journal","abstract":"Estimation of pre-pregnancy weight is difficult because measurements taken before pregnancy are rarely available. No studies have compared various 'proxy' measures using recalled weight or based on early pregnancy weight with actual measurements of pre-pregnancy weight. The Southampton Women's Survey recruited women during 1998-2002 who were not pregnant. Data on 198 women with an estimated date of conception within 3 months of recruitment were analysed. Three proxy measures were considered: (1) recalled pre-pregnancy weight obtained during early pregnancy, (2) measured weight in early pregnancy and (3) estimated pre-pregnancy weight using a published model. Mean (standard deviation) recalled weight was 1.65 (3.03) kg lighter than measured pre-pregnancy weight, while early pregnancy weight and weights from the published model were 0.88 (2.34) and 0.88 (2.33) kg heavier, respectively. The Bland-Altman limits of agreement for recalled weight were -7.59 to 4.29 kg, wider than those for the early pregnancy weight: -3.71 to 5.47 kg and the published model: -3.68 to 5.45 kg. For estimating pre-pregnancy weight, we recommend subtraction of 0.88 kg from early pregnancy weight or the published model, or addition of 1.65 kg to recalled weight. Estimates of pre-pregnancy body mass index and gestational weight gain categories were very similar when using early pregnancy and published model weights, but they differed from those using recalled weight. Our findings indicate that calculations of first trimester weight gain using recalled weight must be treated cautiously, and a measured weight in early pregnancy provides a more precise assessment of pre-pregnancy weight than recalled weight.","container-title":"Journal of Developmental Origins of Health and Disease","DOI":"10.1017/S2040174420000926","ISSN":"2040-1752","journalAbbreviation":"J Dev Orig Health Dis","language":"eng","note":"PMID: 33046167","page":"1-9","source":"PubMed","title":"Measured weight in early pregnancy is a valid method for estimating pre-pregnancy weight","author":[{"family":"Inskip","given":"Hazel"},{"family":"Crozier","given":"Sarah"},{"family":"Baird","given":"Janis"},{"family":"Hammond","given":"Julia"},{"family":"Robinson","given":"Sian"},{"family":"Cooper","given":"Cyrus"},{"family":"Godfrey","given":"Keith"},{"literal":"Southampton Women’s Survey Study Group"}],"issued":{"date-parts":[["2020",10,13]]}}}],"schema":"https://github.com/citation-style-language/schema/raw/master/csl-citation.json"} </w:instrText>
      </w:r>
      <w:r w:rsidR="00837147" w:rsidRPr="00B548BF">
        <w:rPr>
          <w:vertAlign w:val="superscript"/>
        </w:rPr>
        <w:fldChar w:fldCharType="separate"/>
      </w:r>
      <w:r w:rsidR="00837147" w:rsidRPr="00B548BF">
        <w:rPr>
          <w:vertAlign w:val="superscript"/>
        </w:rPr>
        <w:t>(23)</w:t>
      </w:r>
      <w:r w:rsidR="00837147" w:rsidRPr="00B548BF">
        <w:rPr>
          <w:vertAlign w:val="superscript"/>
        </w:rPr>
        <w:fldChar w:fldCharType="end"/>
      </w:r>
      <w:r w:rsidRPr="00B548BF">
        <w:t>, which is recommended to take place ideally by 10 weeks gestation in the UK, according to the National Institute for Health and Care Excellence Guidelines</w:t>
      </w:r>
      <w:r w:rsidR="00264918" w:rsidRPr="00B548BF">
        <w:rPr>
          <w:vertAlign w:val="superscript"/>
        </w:rPr>
        <w:fldChar w:fldCharType="begin"/>
      </w:r>
      <w:r w:rsidR="00837147" w:rsidRPr="00B548BF">
        <w:rPr>
          <w:vertAlign w:val="superscript"/>
        </w:rPr>
        <w:instrText xml:space="preserve"> ADDIN ZOTERO_ITEM CSL_CITATION {"citationID":"IROeNazb","properties":{"formattedCitation":"(24)","plainCitation":"(24)","noteIndex":0},"citationItems":[{"id":162,"uris":["http://zotero.org/users/6410601/items/HESQTK54"],"uri":["http://zotero.org/users/6410601/items/HESQTK54"],"itemData":{"id":162,"type":"report","event-place":"Machester, UK","publisher":"National Institute of Heath and Care Excellence","publisher-place":"Machester, UK","title":"Antenatal care for uncomplicated pregnancies","URL":"https://www.nice.org.uk/guidance/cg62","author":[{"family":"National Institute of Heath and Care Excellence","given":""}],"accessed":{"date-parts":[["2020",8,25]]},"issued":{"date-parts":[["2008",3,26]]}}}],"schema":"https://github.com/citation-style-language/schema/raw/master/csl-citation.json"} </w:instrText>
      </w:r>
      <w:r w:rsidR="00264918" w:rsidRPr="00B548BF">
        <w:rPr>
          <w:vertAlign w:val="superscript"/>
        </w:rPr>
        <w:fldChar w:fldCharType="separate"/>
      </w:r>
      <w:r w:rsidR="00837147" w:rsidRPr="00B548BF">
        <w:rPr>
          <w:vertAlign w:val="superscript"/>
        </w:rPr>
        <w:t>(24)</w:t>
      </w:r>
      <w:r w:rsidR="00264918" w:rsidRPr="00B548BF">
        <w:rPr>
          <w:vertAlign w:val="superscript"/>
        </w:rPr>
        <w:fldChar w:fldCharType="end"/>
      </w:r>
      <w:r w:rsidRPr="00B548BF">
        <w:rPr>
          <w:rFonts w:cs="Arial"/>
        </w:rPr>
        <w:t xml:space="preserve">. </w:t>
      </w:r>
      <w:r w:rsidRPr="00B548BF">
        <w:t>Height was self-reported. BMI was calculated as weight/(height)</w:t>
      </w:r>
      <w:r w:rsidRPr="00B548BF">
        <w:rPr>
          <w:vertAlign w:val="superscript"/>
        </w:rPr>
        <w:t>2</w:t>
      </w:r>
      <w:r w:rsidRPr="00B548BF">
        <w:t>.</w:t>
      </w:r>
    </w:p>
    <w:p w14:paraId="326F7960" w14:textId="10D70F62" w:rsidR="00415C84" w:rsidRPr="00B548BF" w:rsidRDefault="008274CA" w:rsidP="00BA33FB">
      <w:pPr>
        <w:spacing w:after="360" w:line="480" w:lineRule="auto"/>
      </w:pPr>
      <w:r w:rsidRPr="00B548BF">
        <w:t>BMI at the start of the first pregnancy</w:t>
      </w:r>
      <w:r w:rsidR="005345CE" w:rsidRPr="00B548BF">
        <w:t xml:space="preserve"> (baseline BMI)</w:t>
      </w:r>
      <w:r w:rsidRPr="00B548BF">
        <w:t xml:space="preserve"> was categorised as normal weight (18.5 to 24.9 kg/m</w:t>
      </w:r>
      <w:r w:rsidRPr="00B548BF">
        <w:rPr>
          <w:rFonts w:cs="Arial"/>
          <w:vertAlign w:val="superscript"/>
        </w:rPr>
        <w:t>2</w:t>
      </w:r>
      <w:r w:rsidRPr="00B548BF">
        <w:t>), overweight (25.0 to 29.9 kg/m</w:t>
      </w:r>
      <w:r w:rsidRPr="00B548BF">
        <w:rPr>
          <w:rFonts w:cs="Arial"/>
          <w:vertAlign w:val="superscript"/>
        </w:rPr>
        <w:t>2</w:t>
      </w:r>
      <w:r w:rsidRPr="00B548BF">
        <w:t>) and obese (≥30 kg/m</w:t>
      </w:r>
      <w:r w:rsidRPr="00B548BF">
        <w:rPr>
          <w:rFonts w:cs="Arial"/>
          <w:vertAlign w:val="superscript"/>
        </w:rPr>
        <w:t>2</w:t>
      </w:r>
      <w:r w:rsidRPr="00B548BF">
        <w:t xml:space="preserve">). Change in BMI was calculated as the difference in BMI measured at the booking appointments of the first two consecutive live birth pregnancies for each woman. </w:t>
      </w:r>
      <w:r w:rsidR="00600BC3" w:rsidRPr="00B548BF">
        <w:t>After excluding women who lost weight</w:t>
      </w:r>
      <w:r w:rsidR="00BF4733" w:rsidRPr="00B548BF">
        <w:t xml:space="preserve"> between their pregnancies</w:t>
      </w:r>
      <w:r w:rsidR="00600BC3" w:rsidRPr="00B548BF">
        <w:t xml:space="preserve"> (≥1 kg/m</w:t>
      </w:r>
      <w:r w:rsidR="00600BC3" w:rsidRPr="00B548BF">
        <w:rPr>
          <w:vertAlign w:val="superscript"/>
        </w:rPr>
        <w:t>2</w:t>
      </w:r>
      <w:r w:rsidR="00600BC3" w:rsidRPr="00B548BF">
        <w:t>), t</w:t>
      </w:r>
      <w:r w:rsidRPr="00B548BF">
        <w:t>his change</w:t>
      </w:r>
      <w:r w:rsidR="003F51BC" w:rsidRPr="00B548BF">
        <w:t xml:space="preserve"> was categorised as</w:t>
      </w:r>
      <w:r w:rsidRPr="00B548BF">
        <w:t xml:space="preserve"> weight stable (-1 to 1 kg/m</w:t>
      </w:r>
      <w:r w:rsidRPr="00B548BF">
        <w:rPr>
          <w:vertAlign w:val="superscript"/>
        </w:rPr>
        <w:t>2</w:t>
      </w:r>
      <w:r w:rsidR="003F51BC" w:rsidRPr="00B548BF">
        <w:t xml:space="preserve">), </w:t>
      </w:r>
      <w:r w:rsidR="00BF4733" w:rsidRPr="00B548BF">
        <w:t xml:space="preserve">moderate </w:t>
      </w:r>
      <w:r w:rsidR="003F51BC" w:rsidRPr="00B548BF">
        <w:t xml:space="preserve">weight gain </w:t>
      </w:r>
      <w:r w:rsidR="00BF4733" w:rsidRPr="00B548BF">
        <w:t>(</w:t>
      </w:r>
      <w:r w:rsidR="003F51BC" w:rsidRPr="00B548BF">
        <w:t>1-</w:t>
      </w:r>
      <w:r w:rsidRPr="00B548BF">
        <w:t>3 kg/m</w:t>
      </w:r>
      <w:r w:rsidRPr="00B548BF">
        <w:rPr>
          <w:vertAlign w:val="superscript"/>
        </w:rPr>
        <w:t>2</w:t>
      </w:r>
      <w:r w:rsidR="00BF4733" w:rsidRPr="00B548BF">
        <w:t xml:space="preserve">) </w:t>
      </w:r>
      <w:r w:rsidR="008F1418" w:rsidRPr="00B548BF">
        <w:t xml:space="preserve">(MWG) </w:t>
      </w:r>
      <w:r w:rsidRPr="00B548BF">
        <w:t>and</w:t>
      </w:r>
      <w:r w:rsidR="003F51BC" w:rsidRPr="00B548BF">
        <w:t xml:space="preserve"> </w:t>
      </w:r>
      <w:r w:rsidR="00BF4733" w:rsidRPr="00B548BF">
        <w:t xml:space="preserve">substantial </w:t>
      </w:r>
      <w:r w:rsidR="003F51BC" w:rsidRPr="00B548BF">
        <w:t>weight gain</w:t>
      </w:r>
      <w:r w:rsidRPr="00B548BF">
        <w:t xml:space="preserve"> </w:t>
      </w:r>
      <w:r w:rsidR="00BF4733" w:rsidRPr="00B548BF">
        <w:t>(</w:t>
      </w:r>
      <w:r w:rsidRPr="00B548BF">
        <w:t>≥3 kg/m</w:t>
      </w:r>
      <w:r w:rsidRPr="00B548BF">
        <w:rPr>
          <w:vertAlign w:val="superscript"/>
        </w:rPr>
        <w:t>2</w:t>
      </w:r>
      <w:r w:rsidR="00BF4733" w:rsidRPr="00B548BF">
        <w:t>)</w:t>
      </w:r>
      <w:r w:rsidR="008F1418" w:rsidRPr="00B548BF">
        <w:t xml:space="preserve"> (SWG)</w:t>
      </w:r>
      <w:r w:rsidR="00BF4733" w:rsidRPr="00B548BF">
        <w:t>.</w:t>
      </w:r>
      <w:bookmarkStart w:id="3" w:name="_Toc20311298"/>
    </w:p>
    <w:p w14:paraId="66AE973D" w14:textId="48103FE1" w:rsidR="008274CA" w:rsidRPr="00B548BF" w:rsidRDefault="008274CA" w:rsidP="00BA33FB">
      <w:pPr>
        <w:spacing w:before="240" w:after="0" w:line="480" w:lineRule="auto"/>
        <w:rPr>
          <w:i/>
        </w:rPr>
      </w:pPr>
      <w:r w:rsidRPr="00B548BF">
        <w:rPr>
          <w:i/>
        </w:rPr>
        <w:t xml:space="preserve">Outcome </w:t>
      </w:r>
      <w:bookmarkEnd w:id="3"/>
      <w:r w:rsidRPr="00B548BF">
        <w:rPr>
          <w:i/>
        </w:rPr>
        <w:t>assessment</w:t>
      </w:r>
    </w:p>
    <w:p w14:paraId="66A92000" w14:textId="0762B78E" w:rsidR="008274CA" w:rsidRPr="00B548BF" w:rsidRDefault="008274CA" w:rsidP="00BA33FB">
      <w:pPr>
        <w:spacing w:after="360" w:line="480" w:lineRule="auto"/>
        <w:rPr>
          <w:rFonts w:cs="Arial"/>
          <w:i/>
        </w:rPr>
      </w:pPr>
      <w:r w:rsidRPr="00B548BF">
        <w:t>As part of the National Child Measurement Programme</w:t>
      </w:r>
      <w:r w:rsidR="0046550C" w:rsidRPr="00B548BF">
        <w:t xml:space="preserve"> (NCMP) </w:t>
      </w:r>
      <w:r w:rsidRPr="00B548BF">
        <w:t>, children in all state-maintained schools in England are measured by school nurses at Year R (4-5 years) and Year 6 (10-11 years)</w:t>
      </w:r>
      <w:r w:rsidR="00264918" w:rsidRPr="00B548BF">
        <w:rPr>
          <w:vertAlign w:val="superscript"/>
        </w:rPr>
        <w:fldChar w:fldCharType="begin"/>
      </w:r>
      <w:r w:rsidR="00837147" w:rsidRPr="00B548BF">
        <w:rPr>
          <w:vertAlign w:val="superscript"/>
        </w:rPr>
        <w:instrText xml:space="preserve"> ADDIN ZOTERO_ITEM CSL_CITATION {"citationID":"Q4Jrzhkg","properties":{"formattedCitation":"(25)","plainCitation":"(25)","noteIndex":0},"citationItems":[{"id":161,"uris":["http://zotero.org/users/6410601/items/A3TNKJWP"],"uri":["http://zotero.org/users/6410601/items/A3TNKJWP"],"itemData":{"id":161,"type":"webpage","title":"National Child Measurement Programme","URL":"https://digital.nhs.uk/services/national-child-measurement-programme/","author":[{"family":"NHS Digital","given":""}],"accessed":{"date-parts":[["2020",8,25]]}}}],"schema":"https://github.com/citation-style-language/schema/raw/master/csl-citation.json"} </w:instrText>
      </w:r>
      <w:r w:rsidR="00264918" w:rsidRPr="00B548BF">
        <w:rPr>
          <w:vertAlign w:val="superscript"/>
        </w:rPr>
        <w:fldChar w:fldCharType="separate"/>
      </w:r>
      <w:r w:rsidR="00837147" w:rsidRPr="00B548BF">
        <w:rPr>
          <w:vertAlign w:val="superscript"/>
        </w:rPr>
        <w:t>(25)</w:t>
      </w:r>
      <w:r w:rsidR="00264918" w:rsidRPr="00B548BF">
        <w:rPr>
          <w:vertAlign w:val="superscript"/>
        </w:rPr>
        <w:fldChar w:fldCharType="end"/>
      </w:r>
      <w:r w:rsidRPr="00B548BF">
        <w:t xml:space="preserve">. </w:t>
      </w:r>
      <w:r w:rsidR="00923D92" w:rsidRPr="00B548BF">
        <w:t>Only the measurement at 4-5 years was used in this analysis</w:t>
      </w:r>
      <w:r w:rsidR="00FB120D" w:rsidRPr="00B548BF">
        <w:t xml:space="preserve"> and children who did not have a weight </w:t>
      </w:r>
      <w:r w:rsidR="0093570A" w:rsidRPr="00B548BF">
        <w:t xml:space="preserve">and height </w:t>
      </w:r>
      <w:r w:rsidR="00FB120D" w:rsidRPr="00B548BF">
        <w:t>measurement at 4-5 years were excluded</w:t>
      </w:r>
      <w:r w:rsidR="0093570A" w:rsidRPr="00B548BF">
        <w:t xml:space="preserve"> (n=9474)</w:t>
      </w:r>
      <w:r w:rsidR="00923D92" w:rsidRPr="00B548BF">
        <w:t xml:space="preserve">. </w:t>
      </w:r>
      <w:r w:rsidRPr="00B548BF">
        <w:t>BMI was then calculated as weight/(height)</w:t>
      </w:r>
      <w:r w:rsidRPr="00B548BF">
        <w:rPr>
          <w:vertAlign w:val="superscript"/>
        </w:rPr>
        <w:t>2</w:t>
      </w:r>
      <w:r w:rsidRPr="00B548BF">
        <w:t xml:space="preserve"> and converted to age- and sex- adjusted BMI z-scores according to the UK 1990 growth reference charts</w:t>
      </w:r>
      <w:r w:rsidR="00264918" w:rsidRPr="00B548BF">
        <w:rPr>
          <w:vertAlign w:val="superscript"/>
        </w:rPr>
        <w:fldChar w:fldCharType="begin"/>
      </w:r>
      <w:r w:rsidR="00837147" w:rsidRPr="00B548BF">
        <w:rPr>
          <w:vertAlign w:val="superscript"/>
        </w:rPr>
        <w:instrText xml:space="preserve"> ADDIN ZOTERO_ITEM CSL_CITATION {"citationID":"LmYr2C9Q","properties":{"formattedCitation":"(26)","plainCitation":"(26)","noteIndex":0},"citationItems":[{"id":160,"uris":["http://zotero.org/users/6410601/items/JDNHVKGZ"],"uri":["http://zotero.org/users/6410601/items/JDNHVKGZ"],"itemData":{"id":160,"type":"article-journal","abstract":"A new function for egen has been developed to allow transformation of child anthropometric data to z-scores using the LMS method and the reference data available from the 1990 British Growth Reference and the 2000 US CDC Growth Reference. An additional function allows for children to be categorized according to body mass index (weight/height2) using international cuto</w:instrText>
      </w:r>
      <w:r w:rsidR="00837147" w:rsidRPr="00B548BF">
        <w:rPr>
          <w:rFonts w:ascii="Arial" w:hAnsi="Arial" w:cs="Arial"/>
          <w:vertAlign w:val="superscript"/>
        </w:rPr>
        <w:instrText>ﬀ</w:instrText>
      </w:r>
      <w:r w:rsidR="00837147" w:rsidRPr="00B548BF">
        <w:rPr>
          <w:vertAlign w:val="superscript"/>
        </w:rPr>
        <w:instrText xml:space="preserve"> points recommended by the Childhood Obesity Working Group of the International Obesity Taskforce.","container-title":"The Stata Journal: Promoting communications on statistics and Stata","DOI":"10.1177/1536867X0100400104","ISSN":"1536-867X, 1536-8734","issue":"1","journalAbbreviation":"The Stata Journal","language":"en","page":"50-55","source":"DOI.org (Crossref)","title":"Standardizing Anthropometric Measures in Children and Adolescents with New Functions for Egen","volume":"4","author":[{"family":"Vidmar","given":"Suzanna"},{"family":"Carlin","given":"John"},{"family":"Hesketh","given":"Kylie"},{"family":"Cole","given":"Tim"}],"issued":{"date-parts":[["2004",3]]}}}],"schema":"https://github.com/citation-style-language/schema/raw/master/csl-citation.json"} </w:instrText>
      </w:r>
      <w:r w:rsidR="00264918" w:rsidRPr="00B548BF">
        <w:rPr>
          <w:vertAlign w:val="superscript"/>
        </w:rPr>
        <w:fldChar w:fldCharType="separate"/>
      </w:r>
      <w:r w:rsidR="00837147" w:rsidRPr="00B548BF">
        <w:rPr>
          <w:vertAlign w:val="superscript"/>
        </w:rPr>
        <w:t>(26)</w:t>
      </w:r>
      <w:r w:rsidR="00264918" w:rsidRPr="00B548BF">
        <w:rPr>
          <w:vertAlign w:val="superscript"/>
        </w:rPr>
        <w:fldChar w:fldCharType="end"/>
      </w:r>
      <w:r w:rsidRPr="00B548BF">
        <w:t xml:space="preserve">. </w:t>
      </w:r>
      <w:r w:rsidR="00341107" w:rsidRPr="00B548BF">
        <w:t>T</w:t>
      </w:r>
      <w:r w:rsidRPr="00B548BF">
        <w:t>he 85</w:t>
      </w:r>
      <w:r w:rsidRPr="00B548BF">
        <w:rPr>
          <w:vertAlign w:val="superscript"/>
        </w:rPr>
        <w:t>th</w:t>
      </w:r>
      <w:r w:rsidRPr="00B548BF">
        <w:t xml:space="preserve"> percentile</w:t>
      </w:r>
      <w:r w:rsidRPr="00B548BF">
        <w:rPr>
          <w:vertAlign w:val="superscript"/>
        </w:rPr>
        <w:t xml:space="preserve"> </w:t>
      </w:r>
      <w:r w:rsidR="00341107" w:rsidRPr="00B548BF">
        <w:t xml:space="preserve">(z-score of +1.04) </w:t>
      </w:r>
      <w:r w:rsidRPr="00B548BF">
        <w:t xml:space="preserve">was used to specify </w:t>
      </w:r>
      <w:r w:rsidR="003F51BC" w:rsidRPr="00B548BF">
        <w:t xml:space="preserve">the </w:t>
      </w:r>
      <w:r w:rsidRPr="00B548BF">
        <w:t>outcome</w:t>
      </w:r>
      <w:r w:rsidR="003F51BC" w:rsidRPr="00B548BF">
        <w:t xml:space="preserve"> of overweight and obesity</w:t>
      </w:r>
      <w:r w:rsidR="00341107" w:rsidRPr="00B548BF">
        <w:t xml:space="preserve"> and</w:t>
      </w:r>
      <w:r w:rsidR="00600BC3" w:rsidRPr="00B548BF">
        <w:t xml:space="preserve"> the 95</w:t>
      </w:r>
      <w:r w:rsidR="00600BC3" w:rsidRPr="00B548BF">
        <w:rPr>
          <w:vertAlign w:val="superscript"/>
        </w:rPr>
        <w:t>th</w:t>
      </w:r>
      <w:r w:rsidR="00600BC3" w:rsidRPr="00B548BF">
        <w:t xml:space="preserve"> percentile</w:t>
      </w:r>
      <w:r w:rsidR="00341107" w:rsidRPr="00B548BF">
        <w:t xml:space="preserve"> (z-score of +1.65)</w:t>
      </w:r>
      <w:r w:rsidR="00600BC3" w:rsidRPr="00B548BF">
        <w:t xml:space="preserve"> was used to specify the outcome of obesity</w:t>
      </w:r>
      <w:r w:rsidR="00AB7830" w:rsidRPr="00B548BF">
        <w:rPr>
          <w:vertAlign w:val="superscript"/>
        </w:rPr>
        <w:fldChar w:fldCharType="begin"/>
      </w:r>
      <w:r w:rsidR="00837147" w:rsidRPr="00B548BF">
        <w:rPr>
          <w:vertAlign w:val="superscript"/>
        </w:rPr>
        <w:instrText xml:space="preserve"> ADDIN ZOTERO_ITEM CSL_CITATION {"citationID":"fudBbfjb","properties":{"formattedCitation":"(27,28)","plainCitation":"(27,28)","noteIndex":0},"citationItems":[{"id":258,"uris":["http://zotero.org/users/6410601/items/GR64S9CQ"],"uri":["http://zotero.org/users/6410601/items/GR64S9CQ"],"itemData":{"id":258,"type":"report","title":"National Child Measurement Programme, England 2018/19 School Year [NS]","URL":"https://digital.nhs.uk/data-and-information/publications/statistical/national-child-measurement-programme/2018-19-school-year#","author":[{"family":"NHS Digital","given":""}],"accessed":{"date-parts":[["2020",3,18]]},"issued":{"date-parts":[["2019",10,8]]}}},{"id":159,"uris":["http://zotero.org/users/6410601/items/FPQWJSGP"],"uri":["http://zotero.org/users/6410601/items/FPQWJSGP"],"itemData":{"id":159,"type":"webpage","title":"A simple guide to classifying body mass index in children","author":[{"family":"National Obesity Observatory","given":""}],"accessed":{"date-parts":[["2020",8,25]]},"issued":{"date-parts":[["2011"]]}}}],"schema":"https://github.com/citation-style-language/schema/raw/master/csl-citation.json"} </w:instrText>
      </w:r>
      <w:r w:rsidR="00AB7830" w:rsidRPr="00B548BF">
        <w:rPr>
          <w:vertAlign w:val="superscript"/>
        </w:rPr>
        <w:fldChar w:fldCharType="separate"/>
      </w:r>
      <w:r w:rsidR="00837147" w:rsidRPr="00B548BF">
        <w:rPr>
          <w:vertAlign w:val="superscript"/>
        </w:rPr>
        <w:t>(27,28)</w:t>
      </w:r>
      <w:r w:rsidR="00AB7830" w:rsidRPr="00B548BF">
        <w:rPr>
          <w:vertAlign w:val="superscript"/>
        </w:rPr>
        <w:fldChar w:fldCharType="end"/>
      </w:r>
      <w:r w:rsidR="00600BC3" w:rsidRPr="00B548BF">
        <w:t>.</w:t>
      </w:r>
    </w:p>
    <w:p w14:paraId="013D9B30" w14:textId="77777777" w:rsidR="008274CA" w:rsidRPr="00B548BF" w:rsidRDefault="008274CA" w:rsidP="00BA33FB">
      <w:pPr>
        <w:spacing w:before="240" w:after="0" w:line="480" w:lineRule="auto"/>
        <w:rPr>
          <w:i/>
        </w:rPr>
      </w:pPr>
      <w:r w:rsidRPr="00B548BF">
        <w:rPr>
          <w:i/>
        </w:rPr>
        <w:lastRenderedPageBreak/>
        <w:t>Covariates</w:t>
      </w:r>
    </w:p>
    <w:p w14:paraId="3377253A" w14:textId="49827729" w:rsidR="008274CA" w:rsidRPr="00B548BF" w:rsidRDefault="008274CA" w:rsidP="00BA33FB">
      <w:pPr>
        <w:spacing w:line="480" w:lineRule="auto"/>
        <w:rPr>
          <w:rFonts w:cs="Arial"/>
        </w:rPr>
      </w:pPr>
      <w:r w:rsidRPr="00B548BF">
        <w:rPr>
          <w:rFonts w:cs="Arial"/>
        </w:rPr>
        <w:t xml:space="preserve">Maternal age (in years) </w:t>
      </w:r>
      <w:r w:rsidR="0019618C" w:rsidRPr="00B548BF">
        <w:rPr>
          <w:rFonts w:cs="Arial"/>
        </w:rPr>
        <w:t xml:space="preserve">was </w:t>
      </w:r>
      <w:r w:rsidR="005345CE" w:rsidRPr="00B548BF">
        <w:rPr>
          <w:rFonts w:cs="Arial"/>
        </w:rPr>
        <w:t xml:space="preserve">calculated from date of birth before </w:t>
      </w:r>
      <w:r w:rsidRPr="00B548BF">
        <w:rPr>
          <w:rFonts w:cs="Arial"/>
        </w:rPr>
        <w:t>extraction of the dataset to maintain anonymity. Highest maternal educational qualification was self-reported and categorised as secondary (GCSE) and under, college (A levels) and university degree or above. Self-reported ethnicity was recorded under 16 categories and condensed to White, Mixed, Asian, Black/African/Caribbean and Other. Categories of not asked and not stated were coded as missing. Smoking</w:t>
      </w:r>
      <w:r w:rsidR="0046550C" w:rsidRPr="00B548BF">
        <w:rPr>
          <w:rFonts w:cs="Arial"/>
        </w:rPr>
        <w:t xml:space="preserve"> at booking</w:t>
      </w:r>
      <w:r w:rsidRPr="00B548BF">
        <w:rPr>
          <w:rFonts w:cs="Arial"/>
        </w:rPr>
        <w:t xml:space="preserve"> was self-reported as current smoking or non-smoking. Non-smokers were further asked if they had ever smoked or had previously smoked and quit. This was categorised as stopped </w:t>
      </w:r>
      <w:r w:rsidR="0004045D" w:rsidRPr="00B548BF">
        <w:rPr>
          <w:rFonts w:cs="Arial"/>
        </w:rPr>
        <w:t>&gt;</w:t>
      </w:r>
      <w:r w:rsidRPr="00B548BF">
        <w:rPr>
          <w:rFonts w:cs="Arial"/>
        </w:rPr>
        <w:t xml:space="preserve">12 months before conception, stopped </w:t>
      </w:r>
      <w:r w:rsidR="0004045D" w:rsidRPr="00B548BF">
        <w:rPr>
          <w:rFonts w:cs="Arial"/>
        </w:rPr>
        <w:t>&lt;</w:t>
      </w:r>
      <w:r w:rsidRPr="00B548BF">
        <w:rPr>
          <w:rFonts w:cs="Arial"/>
        </w:rPr>
        <w:t xml:space="preserve">12 months before conception or stopped when pregnancy confirmed. Employment status was self-reported and categorised as employed, unemployed, in education, and not specified. In this population, an oral glucose tolerance test was used for screening for GDM in women with </w:t>
      </w:r>
      <w:r w:rsidR="0004045D" w:rsidRPr="00B548BF">
        <w:rPr>
          <w:rFonts w:cs="Arial"/>
        </w:rPr>
        <w:t>one or more risk factors (BMI &gt;</w:t>
      </w:r>
      <w:r w:rsidRPr="00B548BF">
        <w:rPr>
          <w:rFonts w:cs="Arial"/>
        </w:rPr>
        <w:t>30kg/m</w:t>
      </w:r>
      <w:r w:rsidRPr="00B548BF">
        <w:rPr>
          <w:rFonts w:cs="Arial"/>
          <w:vertAlign w:val="superscript"/>
        </w:rPr>
        <w:t>2</w:t>
      </w:r>
      <w:r w:rsidR="000B6B91" w:rsidRPr="00B548BF">
        <w:rPr>
          <w:rFonts w:cs="Arial"/>
        </w:rPr>
        <w:t>)</w:t>
      </w:r>
      <w:r w:rsidRPr="00B548BF">
        <w:rPr>
          <w:rFonts w:cs="Arial"/>
        </w:rPr>
        <w:t>; GDM in previous pregnancy; previous baby weighing ≥4.5kg; diabetes in parents or siblings and of Asian, African-Caribbean or Middle Eastern ethnicity)</w:t>
      </w:r>
      <w:r w:rsidR="008A2F04" w:rsidRPr="00B548BF">
        <w:rPr>
          <w:rFonts w:cs="Arial"/>
          <w:vertAlign w:val="superscript"/>
        </w:rPr>
        <w:fldChar w:fldCharType="begin"/>
      </w:r>
      <w:r w:rsidR="00837147" w:rsidRPr="00B548BF">
        <w:rPr>
          <w:rFonts w:cs="Arial"/>
          <w:vertAlign w:val="superscript"/>
        </w:rPr>
        <w:instrText xml:space="preserve"> ADDIN ZOTERO_ITEM CSL_CITATION {"citationID":"iQb8M4hD","properties":{"formattedCitation":"(29)","plainCitation":"(29)","noteIndex":0},"citationItems":[{"id":158,"uris":["http://zotero.org/users/6410601/items/LRIWXZBD"],"uri":["http://zotero.org/users/6410601/items/LRIWXZBD"],"itemData":{"id":158,"type":"report","title":"Diabetes in pregnancy: management from preconception to the postnatal period","author":[{"family":"National Institute of Heath and Care Excellence","given":""}],"issued":{"date-parts":[["2015",2,25]]}}}],"schema":"https://github.com/citation-style-language/schema/raw/master/csl-citation.json"} </w:instrText>
      </w:r>
      <w:r w:rsidR="008A2F04" w:rsidRPr="00B548BF">
        <w:rPr>
          <w:rFonts w:cs="Arial"/>
          <w:vertAlign w:val="superscript"/>
        </w:rPr>
        <w:fldChar w:fldCharType="separate"/>
      </w:r>
      <w:r w:rsidR="00837147" w:rsidRPr="00B548BF">
        <w:rPr>
          <w:vertAlign w:val="superscript"/>
        </w:rPr>
        <w:t>(29)</w:t>
      </w:r>
      <w:r w:rsidR="008A2F04" w:rsidRPr="00B548BF">
        <w:rPr>
          <w:rFonts w:cs="Arial"/>
          <w:vertAlign w:val="superscript"/>
        </w:rPr>
        <w:fldChar w:fldCharType="end"/>
      </w:r>
      <w:r w:rsidRPr="00B548BF">
        <w:rPr>
          <w:rFonts w:cs="Arial"/>
        </w:rPr>
        <w:t>. GDM diagnosis was then reported in the database. Inter-pregnancy interval was defined as the interval between the first live birth and conce</w:t>
      </w:r>
      <w:r w:rsidR="0004045D" w:rsidRPr="00B548BF">
        <w:rPr>
          <w:rFonts w:cs="Arial"/>
        </w:rPr>
        <w:t xml:space="preserve">ption of the second pregnancy. </w:t>
      </w:r>
      <w:r w:rsidRPr="00B548BF">
        <w:rPr>
          <w:rFonts w:cs="Arial"/>
        </w:rPr>
        <w:t xml:space="preserve">The difference in days between two consecutive live births was calculated and gestational age of the latter birth subtracted from this to derive the inter-pregnancy interval. </w:t>
      </w:r>
    </w:p>
    <w:p w14:paraId="7CDC0306" w14:textId="72983417" w:rsidR="005345CE" w:rsidRPr="00B548BF" w:rsidRDefault="005345CE" w:rsidP="00BA33FB">
      <w:pPr>
        <w:spacing w:line="480" w:lineRule="auto"/>
        <w:rPr>
          <w:rFonts w:cs="Arial"/>
        </w:rPr>
      </w:pPr>
      <w:r w:rsidRPr="00B548BF">
        <w:rPr>
          <w:rFonts w:cs="Arial"/>
        </w:rPr>
        <w:t>Birthweight (grams) was measured by healthcare professionals at birth as part of routine care. Gestational age was based on a dating ultrasound scan which routinely takes place between 10 and 13 weeks gestation</w:t>
      </w:r>
      <w:r w:rsidR="008A2F04" w:rsidRPr="00B548BF">
        <w:rPr>
          <w:rFonts w:cs="Arial"/>
          <w:vertAlign w:val="superscript"/>
        </w:rPr>
        <w:fldChar w:fldCharType="begin"/>
      </w:r>
      <w:r w:rsidR="00837147" w:rsidRPr="00B548BF">
        <w:rPr>
          <w:rFonts w:cs="Arial"/>
          <w:vertAlign w:val="superscript"/>
        </w:rPr>
        <w:instrText xml:space="preserve"> ADDIN ZOTERO_ITEM CSL_CITATION {"citationID":"KzdZtIyu","properties":{"formattedCitation":"(24)","plainCitation":"(24)","noteIndex":0},"citationItems":[{"id":162,"uris":["http://zotero.org/users/6410601/items/HESQTK54"],"uri":["http://zotero.org/users/6410601/items/HESQTK54"],"itemData":{"id":162,"type":"report","event-place":"Machester, UK","publisher":"National Institute of Heath and Care Excellence","publisher-place":"Machester, UK","title":"Antenatal care for uncomplicated pregnancies","URL":"https://www.nice.org.uk/guidance/cg62","author":[{"family":"National Institute of Heath and Care Excellence","given":""}],"accessed":{"date-parts":[["2020",8,25]]},"issued":{"date-parts":[["2008",3,26]]}}}],"schema":"https://github.com/citation-style-language/schema/raw/master/csl-citation.json"} </w:instrText>
      </w:r>
      <w:r w:rsidR="008A2F04" w:rsidRPr="00B548BF">
        <w:rPr>
          <w:rFonts w:cs="Arial"/>
          <w:vertAlign w:val="superscript"/>
        </w:rPr>
        <w:fldChar w:fldCharType="separate"/>
      </w:r>
      <w:r w:rsidR="00837147" w:rsidRPr="00B548BF">
        <w:rPr>
          <w:vertAlign w:val="superscript"/>
        </w:rPr>
        <w:t>(24)</w:t>
      </w:r>
      <w:r w:rsidR="008A2F04" w:rsidRPr="00B548BF">
        <w:rPr>
          <w:rFonts w:cs="Arial"/>
          <w:vertAlign w:val="superscript"/>
        </w:rPr>
        <w:fldChar w:fldCharType="end"/>
      </w:r>
      <w:r w:rsidRPr="00B548BF">
        <w:rPr>
          <w:rFonts w:cs="Arial"/>
        </w:rPr>
        <w:t>. Child sex was recorded at birth.</w:t>
      </w:r>
    </w:p>
    <w:p w14:paraId="3539E3B1" w14:textId="7A0B470C" w:rsidR="008274CA" w:rsidRPr="00B548BF" w:rsidRDefault="005345CE" w:rsidP="00BA33FB">
      <w:pPr>
        <w:spacing w:after="360" w:line="480" w:lineRule="auto"/>
        <w:rPr>
          <w:rFonts w:cs="Arial"/>
        </w:rPr>
      </w:pPr>
      <w:r w:rsidRPr="00B548BF">
        <w:rPr>
          <w:rFonts w:cs="Arial"/>
        </w:rPr>
        <w:t xml:space="preserve">Breastfeeding status was reported at hospital discharge and during early life. The recording during early life was done differently by the two community NHS Trusts. One used NHS Read codes and thus was recorded at 10 days, 2 weeks, 6 weeks, 4 </w:t>
      </w:r>
      <w:r w:rsidRPr="00B548BF">
        <w:rPr>
          <w:rFonts w:cs="Arial"/>
        </w:rPr>
        <w:lastRenderedPageBreak/>
        <w:t>months and 9 months as breastfed, bottle-fed or breast and bottle fed</w:t>
      </w:r>
      <w:r w:rsidR="003A4AFD" w:rsidRPr="00B548BF">
        <w:rPr>
          <w:rFonts w:cs="Arial"/>
        </w:rPr>
        <w:t>; b</w:t>
      </w:r>
      <w:r w:rsidRPr="00B548BF">
        <w:rPr>
          <w:rFonts w:cs="Arial"/>
        </w:rPr>
        <w:t xml:space="preserve">reastfeeding could be recorded at any or all of the time-points specified by the Read codes. The other Trust recorded breastfeeding at 56 days (8 weeks) as yes or no so there was no information on whether this was exclusive or partial breastfeeding. </w:t>
      </w:r>
      <w:r w:rsidR="00F64CEF" w:rsidRPr="00B548BF">
        <w:rPr>
          <w:rFonts w:cs="Arial"/>
        </w:rPr>
        <w:t xml:space="preserve">There was a small number (n&lt;10) of responses for breastfeeding for 4 months and 9 months at both pregnancies and no records for 8 weeks (for breastfeeding at first pregnancy only). </w:t>
      </w:r>
      <w:r w:rsidRPr="00B548BF">
        <w:rPr>
          <w:rFonts w:cs="Arial"/>
        </w:rPr>
        <w:t>Using all the information available, a breastfeeding variable was derived with categories of no breastfeeding, minimum 10 days</w:t>
      </w:r>
      <w:r w:rsidR="00F64CEF" w:rsidRPr="00B548BF">
        <w:rPr>
          <w:rFonts w:cs="Arial"/>
        </w:rPr>
        <w:t xml:space="preserve"> and</w:t>
      </w:r>
      <w:r w:rsidRPr="00B548BF">
        <w:rPr>
          <w:rFonts w:cs="Arial"/>
        </w:rPr>
        <w:t xml:space="preserve"> minimum 6 weeks. Minimum duration was chosen as there was no inform</w:t>
      </w:r>
      <w:r w:rsidR="00F64CEF" w:rsidRPr="00B548BF">
        <w:rPr>
          <w:rFonts w:cs="Arial"/>
        </w:rPr>
        <w:t>ation how long breastfeeding</w:t>
      </w:r>
      <w:r w:rsidRPr="00B548BF">
        <w:rPr>
          <w:rFonts w:cs="Arial"/>
        </w:rPr>
        <w:t xml:space="preserve"> continued beyond the point of the last record.</w:t>
      </w:r>
      <w:r w:rsidR="008524CD" w:rsidRPr="00B548BF">
        <w:rPr>
          <w:rFonts w:cs="Arial"/>
        </w:rPr>
        <w:t xml:space="preserve"> </w:t>
      </w:r>
    </w:p>
    <w:p w14:paraId="1D1B5C35" w14:textId="0F8DD9C1" w:rsidR="007B0F0D" w:rsidRPr="00B548BF" w:rsidRDefault="007B0F0D" w:rsidP="00BA33FB">
      <w:pPr>
        <w:spacing w:before="240" w:after="0" w:line="480" w:lineRule="auto"/>
        <w:rPr>
          <w:rFonts w:cs="Arial"/>
          <w:i/>
        </w:rPr>
      </w:pPr>
      <w:r w:rsidRPr="00B548BF">
        <w:rPr>
          <w:rFonts w:cs="Arial"/>
          <w:i/>
        </w:rPr>
        <w:t>Missing data</w:t>
      </w:r>
    </w:p>
    <w:p w14:paraId="71376069" w14:textId="48B7C7F0" w:rsidR="007B0F0D" w:rsidRPr="00B548BF" w:rsidRDefault="00777895" w:rsidP="00BA33FB">
      <w:pPr>
        <w:spacing w:after="360" w:line="480" w:lineRule="auto"/>
        <w:rPr>
          <w:rFonts w:cs="Arial"/>
        </w:rPr>
      </w:pPr>
      <w:r w:rsidRPr="00B548BF">
        <w:rPr>
          <w:rFonts w:cs="Arial"/>
        </w:rPr>
        <w:t xml:space="preserve">Of the women </w:t>
      </w:r>
      <w:r w:rsidR="006F444F" w:rsidRPr="00B548BF">
        <w:rPr>
          <w:rFonts w:cs="Arial"/>
        </w:rPr>
        <w:t>included,</w:t>
      </w:r>
      <w:r w:rsidR="007B0F0D" w:rsidRPr="00B548BF">
        <w:rPr>
          <w:rFonts w:cs="Arial"/>
        </w:rPr>
        <w:t xml:space="preserve"> </w:t>
      </w:r>
      <w:r w:rsidR="00C57AB9" w:rsidRPr="00B548BF">
        <w:rPr>
          <w:rFonts w:cs="Arial"/>
        </w:rPr>
        <w:t>83.</w:t>
      </w:r>
      <w:r w:rsidR="00A31945" w:rsidRPr="00B548BF">
        <w:rPr>
          <w:rFonts w:cs="Arial"/>
        </w:rPr>
        <w:t>9</w:t>
      </w:r>
      <w:r w:rsidR="007B0F0D" w:rsidRPr="00B548BF">
        <w:rPr>
          <w:rFonts w:cs="Arial"/>
        </w:rPr>
        <w:t xml:space="preserve">% of records </w:t>
      </w:r>
      <w:r w:rsidR="006F444F" w:rsidRPr="00B548BF">
        <w:rPr>
          <w:rFonts w:cs="Arial"/>
        </w:rPr>
        <w:t xml:space="preserve">had missing </w:t>
      </w:r>
      <w:r w:rsidR="007B0F0D" w:rsidRPr="00B548BF">
        <w:rPr>
          <w:rFonts w:cs="Arial"/>
        </w:rPr>
        <w:t xml:space="preserve">values </w:t>
      </w:r>
      <w:r w:rsidR="006F444F" w:rsidRPr="00B548BF">
        <w:rPr>
          <w:rFonts w:cs="Arial"/>
        </w:rPr>
        <w:t xml:space="preserve">for breastfeeding status at first pregnancy, </w:t>
      </w:r>
      <w:r w:rsidR="00A31945" w:rsidRPr="00B548BF">
        <w:rPr>
          <w:rFonts w:cs="Arial"/>
        </w:rPr>
        <w:t>61.7</w:t>
      </w:r>
      <w:r w:rsidR="006F444F" w:rsidRPr="00B548BF">
        <w:rPr>
          <w:rFonts w:cs="Arial"/>
        </w:rPr>
        <w:t>% for breastfeeding status at second pregnancy</w:t>
      </w:r>
      <w:r w:rsidR="00C57AB9" w:rsidRPr="00B548BF">
        <w:rPr>
          <w:rFonts w:cs="Arial"/>
        </w:rPr>
        <w:t>, 3.8</w:t>
      </w:r>
      <w:r w:rsidR="006F444F" w:rsidRPr="00B548BF">
        <w:rPr>
          <w:rFonts w:cs="Arial"/>
        </w:rPr>
        <w:t>% for ethnicity and 0.</w:t>
      </w:r>
      <w:r w:rsidR="00A31945" w:rsidRPr="00B548BF">
        <w:rPr>
          <w:rFonts w:cs="Arial"/>
        </w:rPr>
        <w:t>3</w:t>
      </w:r>
      <w:r w:rsidR="006F444F" w:rsidRPr="00B548BF">
        <w:rPr>
          <w:rFonts w:cs="Arial"/>
        </w:rPr>
        <w:t xml:space="preserve">% on employment status. </w:t>
      </w:r>
      <w:r w:rsidR="007B0F0D" w:rsidRPr="00B548BF">
        <w:rPr>
          <w:rFonts w:cs="Arial"/>
        </w:rPr>
        <w:t xml:space="preserve">We imputed 85 </w:t>
      </w:r>
      <w:r w:rsidR="00B36AEE" w:rsidRPr="00B548BF">
        <w:rPr>
          <w:rFonts w:cs="Arial"/>
        </w:rPr>
        <w:t>dataset</w:t>
      </w:r>
      <w:r w:rsidR="007B0F0D" w:rsidRPr="00B548BF">
        <w:rPr>
          <w:rFonts w:cs="Arial"/>
        </w:rPr>
        <w:t xml:space="preserve">s using multiple imputation via chained equations. The imputation models included </w:t>
      </w:r>
      <w:r w:rsidR="006F444F" w:rsidRPr="00B548BF">
        <w:rPr>
          <w:rFonts w:cs="Arial"/>
        </w:rPr>
        <w:t xml:space="preserve">the outcome and </w:t>
      </w:r>
      <w:r w:rsidR="007B0F0D" w:rsidRPr="00B548BF">
        <w:rPr>
          <w:rFonts w:cs="Arial"/>
        </w:rPr>
        <w:t xml:space="preserve">variables of analytical interest without missing values to impute </w:t>
      </w:r>
      <w:r w:rsidR="006F444F" w:rsidRPr="00B548BF">
        <w:rPr>
          <w:rFonts w:cs="Arial"/>
        </w:rPr>
        <w:t xml:space="preserve">the </w:t>
      </w:r>
      <w:r w:rsidR="007B0F0D" w:rsidRPr="00B548BF">
        <w:rPr>
          <w:rFonts w:cs="Arial"/>
        </w:rPr>
        <w:t xml:space="preserve">missing values for ethnicity, employment status and breastfeeding status in first and second pregnancy. </w:t>
      </w:r>
    </w:p>
    <w:p w14:paraId="08E0C071" w14:textId="77777777" w:rsidR="008274CA" w:rsidRPr="00B548BF" w:rsidRDefault="008274CA" w:rsidP="00BA33FB">
      <w:pPr>
        <w:spacing w:after="0" w:line="480" w:lineRule="auto"/>
        <w:rPr>
          <w:i/>
        </w:rPr>
      </w:pPr>
      <w:r w:rsidRPr="00B548BF">
        <w:rPr>
          <w:i/>
        </w:rPr>
        <w:t>Statistical analysis</w:t>
      </w:r>
    </w:p>
    <w:p w14:paraId="1DAAEFBC" w14:textId="33FBAD72" w:rsidR="009B5477" w:rsidRPr="00B548BF" w:rsidRDefault="00BF4733" w:rsidP="00BA33FB">
      <w:pPr>
        <w:spacing w:line="480" w:lineRule="auto"/>
        <w:rPr>
          <w:rFonts w:cs="Arial"/>
        </w:rPr>
      </w:pPr>
      <w:r w:rsidRPr="00B548BF">
        <w:rPr>
          <w:rFonts w:cs="Arial"/>
        </w:rPr>
        <w:t xml:space="preserve">Unadjusted </w:t>
      </w:r>
      <w:r w:rsidR="008274CA" w:rsidRPr="00B548BF">
        <w:rPr>
          <w:rFonts w:cs="Arial"/>
        </w:rPr>
        <w:t xml:space="preserve">comparisons were carried out using ANOVA for continuous variables and chi square test for categorical variables. </w:t>
      </w:r>
    </w:p>
    <w:p w14:paraId="5ADC1177" w14:textId="4A47FA55" w:rsidR="00AB7830" w:rsidRPr="00B548BF" w:rsidRDefault="009B5477" w:rsidP="00BA33FB">
      <w:pPr>
        <w:spacing w:line="480" w:lineRule="auto"/>
        <w:rPr>
          <w:rFonts w:cs="Arial"/>
        </w:rPr>
      </w:pPr>
      <w:r w:rsidRPr="00B548BF">
        <w:rPr>
          <w:rFonts w:cs="Arial"/>
        </w:rPr>
        <w:t>The selection of covariates into the multivariable models were guided by a directed acyclic graph (DAG) (</w:t>
      </w:r>
      <w:r w:rsidR="00F64CEF" w:rsidRPr="00B548BF">
        <w:rPr>
          <w:rFonts w:cs="Arial"/>
        </w:rPr>
        <w:t xml:space="preserve">Supplementary </w:t>
      </w:r>
      <w:r w:rsidR="007C35F6">
        <w:rPr>
          <w:rFonts w:cs="Arial"/>
        </w:rPr>
        <w:t>F</w:t>
      </w:r>
      <w:r w:rsidRPr="00B548BF">
        <w:rPr>
          <w:rFonts w:cs="Arial"/>
        </w:rPr>
        <w:t xml:space="preserve">igure </w:t>
      </w:r>
      <w:r w:rsidR="00F64CEF" w:rsidRPr="00B548BF">
        <w:rPr>
          <w:rFonts w:cs="Arial"/>
        </w:rPr>
        <w:t>1</w:t>
      </w:r>
      <w:r w:rsidRPr="00B548BF">
        <w:rPr>
          <w:rFonts w:cs="Arial"/>
        </w:rPr>
        <w:t xml:space="preserve">) constructed using </w:t>
      </w:r>
      <w:proofErr w:type="spellStart"/>
      <w:r w:rsidRPr="00B548BF">
        <w:rPr>
          <w:rFonts w:cs="Arial"/>
        </w:rPr>
        <w:t>DAGitty</w:t>
      </w:r>
      <w:proofErr w:type="spellEnd"/>
      <w:r w:rsidR="008A2F04" w:rsidRPr="00B548BF">
        <w:rPr>
          <w:rFonts w:cs="Arial"/>
          <w:vertAlign w:val="superscript"/>
        </w:rPr>
        <w:fldChar w:fldCharType="begin"/>
      </w:r>
      <w:r w:rsidR="00837147" w:rsidRPr="00B548BF">
        <w:rPr>
          <w:rFonts w:cs="Arial"/>
          <w:vertAlign w:val="superscript"/>
        </w:rPr>
        <w:instrText xml:space="preserve"> ADDIN ZOTERO_ITEM CSL_CITATION {"citationID":"2RuYh3Wh","properties":{"formattedCitation":"(30)","plainCitation":"(30)","noteIndex":0},"citationItems":[{"id":157,"uris":["http://zotero.org/users/6410601/items/D6SPN7XV"],"uri":["http://zotero.org/users/6410601/items/D6SPN7XV"],"itemData":{"id":157,"type":"article-journal","abstract":"Directed acyclic graphs (DAGs), which offer systematic representations of causal relationships, have become an established framework for the analysis of causal inference in epidemiology, often being used to determine covariate adjustment sets for minimizing confounding bias. DAGitty is a popular web application for drawing and analysing DAGs. Here we introduce the R package 'dagitty', which provides access to all of the capabilities of the DAGitty web application within the R platform for statistical computing, and also offers several new functions. We describe how the R package 'dagitty' can be used to: evaluate whether a DAG is consistent with the dataset it is intended to represent; enumerate 'statistically equivalent' but causally different DAGs; and identify exposure-outcome adjustment sets that are valid for causally different but statistically equivalent DAGs. This functionality enables epidemiologists to detect causal misspecifications in DAGs and make robust inferences that remain valid for a range of different DAGs. The R package 'dagitty' is available through the comprehensive R archive network (CRAN) at [https://cran.r-project.org/web/packages/dagitty/]. The source code is available on github at [https://github.com/jtextor/dagitty]. The web application 'DAGitty' is free software, licensed under the GNU general public licence (GPL) version 2 and is available at [http://dagitty.net/].","container-title":"International Journal of Epidemiology","DOI":"10.1093/ije/dyw341","ISSN":"1464-3685","issue":"6","journalAbbreviation":"Int J Epidemiol","language":"eng","note":"PMID: 28089956","page":"1887-1894","source":"PubMed","title":"Robust causal inference using directed acyclic graphs: the R package 'dagitty'","title-short":"Robust causal inference using directed acyclic graphs","volume":"45","author":[{"family":"Textor","given":"Johannes"},{"family":"Zander","given":"Benito","non-dropping-particle":"van der"},{"family":"Gilthorpe","given":"Mark S."},{"family":"Liskiewicz","given":"Maciej"},{"family":"Ellison","given":"George Th"}],"issued":{"date-parts":[["2016"]],"season":"01"}}}],"schema":"https://github.com/citation-style-language/schema/raw/master/csl-citation.json"} </w:instrText>
      </w:r>
      <w:r w:rsidR="008A2F04" w:rsidRPr="00B548BF">
        <w:rPr>
          <w:rFonts w:cs="Arial"/>
          <w:vertAlign w:val="superscript"/>
        </w:rPr>
        <w:fldChar w:fldCharType="separate"/>
      </w:r>
      <w:r w:rsidR="00837147" w:rsidRPr="00B548BF">
        <w:rPr>
          <w:vertAlign w:val="superscript"/>
        </w:rPr>
        <w:t>(30)</w:t>
      </w:r>
      <w:r w:rsidR="008A2F04" w:rsidRPr="00B548BF">
        <w:rPr>
          <w:rFonts w:cs="Arial"/>
          <w:vertAlign w:val="superscript"/>
        </w:rPr>
        <w:fldChar w:fldCharType="end"/>
      </w:r>
      <w:r w:rsidRPr="00B548BF">
        <w:rPr>
          <w:rFonts w:cs="Arial"/>
        </w:rPr>
        <w:t xml:space="preserve">. Covariates comprised maternal age at first pregnancy, ethnicity, highest educational qualification, employment status at first pregnancy, smoking status at first and </w:t>
      </w:r>
      <w:r w:rsidRPr="00B548BF">
        <w:rPr>
          <w:rFonts w:cs="Arial"/>
        </w:rPr>
        <w:lastRenderedPageBreak/>
        <w:t xml:space="preserve">second pregnancy, </w:t>
      </w:r>
      <w:r w:rsidR="001D1BD3" w:rsidRPr="00B548BF">
        <w:rPr>
          <w:rFonts w:cs="Arial"/>
        </w:rPr>
        <w:t xml:space="preserve">first and second pregnancy gestational age at booking, </w:t>
      </w:r>
      <w:r w:rsidRPr="00B548BF">
        <w:rPr>
          <w:rFonts w:cs="Arial"/>
        </w:rPr>
        <w:t xml:space="preserve">first pregnancy BMI as measured at booking, GDM in first pregnancy, inter-pregnancy interval and breastfeeding status for first pregnancy (Model 1). To estimate the controlled direct effect of interpregnancy BMI gain, potential mediators were additionally adjusted for including GDM in second pregnancy, birthweight, gestational age at birth and breastfeeding status for second pregnancy (Model 2). Although child sex was included as an adjustment variable in the DAG, this was not included as the outcome is standardized for child sex. </w:t>
      </w:r>
    </w:p>
    <w:p w14:paraId="5FA016B9" w14:textId="22F0BC8D" w:rsidR="009B5477" w:rsidRPr="00B548BF" w:rsidRDefault="009B5477" w:rsidP="00BA33FB">
      <w:pPr>
        <w:spacing w:line="480" w:lineRule="auto"/>
        <w:rPr>
          <w:rFonts w:cs="Arial"/>
        </w:rPr>
      </w:pPr>
      <w:r w:rsidRPr="00B548BF">
        <w:rPr>
          <w:rFonts w:cs="Arial"/>
        </w:rPr>
        <w:t>The</w:t>
      </w:r>
      <w:r w:rsidR="008274CA" w:rsidRPr="00B548BF">
        <w:rPr>
          <w:rFonts w:cs="Arial"/>
        </w:rPr>
        <w:t xml:space="preserve"> association between the maternal </w:t>
      </w:r>
      <w:r w:rsidR="00CF6CBB" w:rsidRPr="00B548BF">
        <w:rPr>
          <w:rFonts w:cs="Arial"/>
        </w:rPr>
        <w:t xml:space="preserve">interpregnancy </w:t>
      </w:r>
      <w:r w:rsidR="00F64CEF" w:rsidRPr="00B548BF">
        <w:rPr>
          <w:rFonts w:cs="Arial"/>
        </w:rPr>
        <w:t xml:space="preserve">weight </w:t>
      </w:r>
      <w:r w:rsidR="008274CA" w:rsidRPr="00B548BF">
        <w:rPr>
          <w:rFonts w:cs="Arial"/>
        </w:rPr>
        <w:t xml:space="preserve">change with risk of </w:t>
      </w:r>
      <w:r w:rsidR="00F70F43" w:rsidRPr="00B548BF">
        <w:rPr>
          <w:rFonts w:cs="Arial"/>
        </w:rPr>
        <w:t xml:space="preserve">childhood overweight and obesity </w:t>
      </w:r>
      <w:r w:rsidR="00F64CEF" w:rsidRPr="00B548BF">
        <w:rPr>
          <w:rFonts w:cs="Arial"/>
        </w:rPr>
        <w:t>in the second child</w:t>
      </w:r>
      <w:r w:rsidR="00CF6CBB" w:rsidRPr="00B548BF">
        <w:rPr>
          <w:rFonts w:cs="Arial"/>
        </w:rPr>
        <w:t xml:space="preserve"> </w:t>
      </w:r>
      <w:r w:rsidRPr="00B548BF">
        <w:rPr>
          <w:rFonts w:cs="Arial"/>
        </w:rPr>
        <w:t xml:space="preserve">was examined </w:t>
      </w:r>
      <w:r w:rsidR="00CF6CBB" w:rsidRPr="00B548BF">
        <w:rPr>
          <w:rFonts w:cs="Arial"/>
        </w:rPr>
        <w:t>by fitting generalised linear models predicting each of the two binary outcomes (overweight or obesity) to categories of BMI gain (with stable BMI as the referent category) and covariates using a log link</w:t>
      </w:r>
      <w:r w:rsidR="00E860AA" w:rsidRPr="00B548BF">
        <w:rPr>
          <w:rFonts w:cs="Arial"/>
          <w:vertAlign w:val="superscript"/>
        </w:rPr>
        <w:fldChar w:fldCharType="begin"/>
      </w:r>
      <w:r w:rsidR="00837147" w:rsidRPr="00B548BF">
        <w:rPr>
          <w:rFonts w:cs="Arial"/>
          <w:vertAlign w:val="superscript"/>
        </w:rPr>
        <w:instrText xml:space="preserve"> ADDIN ZOTERO_ITEM CSL_CITATION {"citationID":"dWx9UUl6","properties":{"formattedCitation":"(31)","plainCitation":"(31)","noteIndex":0},"citationItems":[{"id":156,"uris":["http://zotero.org/users/6410601/items/QBIBBNPI"],"uri":["http://zotero.org/users/6410601/items/QBIBBNPI"],"itemData":{"id":156,"type":"article-journal","container-title":"The Stata Journal: Promoting communications on statistics and Stata","DOI":"10.1177/1536867X0900900201","ISSN":"1536-867X, 1536-8734","issue":"2","journalAbbreviation":"The Stata Journal","language":"en","page":"175-196","source":"DOI.org (Crossref)","title":"Methods for Estimating Adjusted Risk Ratios","volume":"9","author":[{"family":"Cummings","given":"Peter"}],"issued":{"date-parts":[["2009",8]]}}}],"schema":"https://github.com/citation-style-language/schema/raw/master/csl-citation.json"} </w:instrText>
      </w:r>
      <w:r w:rsidR="00E860AA" w:rsidRPr="00B548BF">
        <w:rPr>
          <w:rFonts w:cs="Arial"/>
          <w:vertAlign w:val="superscript"/>
        </w:rPr>
        <w:fldChar w:fldCharType="separate"/>
      </w:r>
      <w:r w:rsidR="00837147" w:rsidRPr="00B548BF">
        <w:rPr>
          <w:vertAlign w:val="superscript"/>
        </w:rPr>
        <w:t>(31)</w:t>
      </w:r>
      <w:r w:rsidR="00E860AA" w:rsidRPr="00B548BF">
        <w:rPr>
          <w:rFonts w:cs="Arial"/>
          <w:vertAlign w:val="superscript"/>
        </w:rPr>
        <w:fldChar w:fldCharType="end"/>
      </w:r>
      <w:r w:rsidR="00E860AA" w:rsidRPr="00B548BF">
        <w:rPr>
          <w:rFonts w:cs="Arial"/>
          <w:vertAlign w:val="superscript"/>
        </w:rPr>
        <w:t xml:space="preserve"> </w:t>
      </w:r>
      <w:r w:rsidR="00CF6CBB" w:rsidRPr="00B548BF">
        <w:rPr>
          <w:rFonts w:cs="Arial"/>
        </w:rPr>
        <w:t>(</w:t>
      </w:r>
      <w:r w:rsidR="00CF6CBB" w:rsidRPr="00B548BF">
        <w:rPr>
          <w:rFonts w:cs="Arial"/>
          <w:i/>
        </w:rPr>
        <w:t>i.e</w:t>
      </w:r>
      <w:r w:rsidR="00CF6CBB" w:rsidRPr="00B548BF">
        <w:rPr>
          <w:rFonts w:cs="Arial"/>
        </w:rPr>
        <w:t>. log-binomial regression)</w:t>
      </w:r>
      <w:r w:rsidR="008274CA" w:rsidRPr="00B548BF">
        <w:rPr>
          <w:rFonts w:cs="Arial"/>
        </w:rPr>
        <w:t>.</w:t>
      </w:r>
      <w:r w:rsidR="00CF6CBB" w:rsidRPr="00B548BF">
        <w:rPr>
          <w:rFonts w:cs="Arial"/>
        </w:rPr>
        <w:t xml:space="preserve"> </w:t>
      </w:r>
      <w:r w:rsidR="008274CA" w:rsidRPr="00B548BF">
        <w:rPr>
          <w:rFonts w:cs="Arial"/>
        </w:rPr>
        <w:t xml:space="preserve">This was analysed first in the whole sample and then stratified by </w:t>
      </w:r>
      <w:r w:rsidR="00F70F43" w:rsidRPr="00B548BF">
        <w:rPr>
          <w:rFonts w:cs="Arial"/>
        </w:rPr>
        <w:t>baseline</w:t>
      </w:r>
      <w:r w:rsidR="008274CA" w:rsidRPr="00B548BF">
        <w:rPr>
          <w:rFonts w:cs="Arial"/>
        </w:rPr>
        <w:t xml:space="preserve"> maternal BMI category. </w:t>
      </w:r>
      <w:r w:rsidR="00AB7830" w:rsidRPr="00B548BF">
        <w:rPr>
          <w:rFonts w:cs="Arial"/>
        </w:rPr>
        <w:t xml:space="preserve">A statistical significance level of 0.05 with 95% confidence intervals was used in the models. </w:t>
      </w:r>
    </w:p>
    <w:p w14:paraId="314358F0" w14:textId="1A17EE2B" w:rsidR="008274CA" w:rsidRPr="00B548BF" w:rsidRDefault="009D49A2" w:rsidP="00BA33FB">
      <w:pPr>
        <w:spacing w:line="480" w:lineRule="auto"/>
        <w:rPr>
          <w:rFonts w:cs="Arial"/>
        </w:rPr>
      </w:pPr>
      <w:r w:rsidRPr="00B548BF">
        <w:t>Covariate a</w:t>
      </w:r>
      <w:r w:rsidR="00394160" w:rsidRPr="00B548BF">
        <w:t>djustments for</w:t>
      </w:r>
      <w:r w:rsidR="00176131" w:rsidRPr="00B548BF">
        <w:t xml:space="preserve"> downstream consequences of exposures </w:t>
      </w:r>
      <w:r w:rsidRPr="00B548BF">
        <w:t>(</w:t>
      </w:r>
      <w:r w:rsidRPr="00B548BF">
        <w:rPr>
          <w:i/>
          <w:iCs/>
        </w:rPr>
        <w:t>e.g</w:t>
      </w:r>
      <w:r w:rsidRPr="00B548BF">
        <w:t xml:space="preserve">. mediators) </w:t>
      </w:r>
      <w:r w:rsidR="00176131" w:rsidRPr="00B548BF">
        <w:t>has long been known to be a potential source of bias</w:t>
      </w:r>
      <w:r w:rsidR="00837147" w:rsidRPr="00B548BF">
        <w:rPr>
          <w:vertAlign w:val="superscript"/>
        </w:rPr>
        <w:fldChar w:fldCharType="begin"/>
      </w:r>
      <w:r w:rsidR="00837147" w:rsidRPr="00B548BF">
        <w:rPr>
          <w:vertAlign w:val="superscript"/>
        </w:rPr>
        <w:instrText xml:space="preserve"> ADDIN ZOTERO_ITEM CSL_CITATION {"citationID":"hq9Ug7T1","properties":{"formattedCitation":"(32)","plainCitation":"(32)","noteIndex":0},"citationItems":[{"id":786,"uris":["http://zotero.org/users/6410601/items/YMG59DXP"],"uri":["http://zotero.org/users/6410601/items/YMG59DXP"],"itemData":{"id":786,"type":"article-journal","abstract":"It has long been known that stratifying on variables affected by the study exposure can create selection bias. More recently it has been shown that stratifying on a variable that precedes exposure and disease can induce confounding, even if there is no confounding in the unstratified (crude) estimate. This paper examines the relative magnitudes of these biases under some simple causal models in which the stratification variable is graphically depicted as a collider (a variable directly affected by two or more other variables in the graph). The results suggest that bias from stratifying on variables affected by exposure and disease may often be comparable in size with bias from classical confounding (bias from failing to stratify on a common cause of exposure and disease), whereas other biases from collider stratification may tend to be much smaller.","container-title":"Epidemiology (Cambridge, Mass.)","ISSN":"1044-3983","issue":"3","journalAbbreviation":"Epidemiology","language":"eng","note":"PMID: 12859030","page":"300-306","source":"PubMed","title":"Quantifying biases in causal models: classical confounding vs collider-stratification bias","title-short":"Quantifying biases in causal models","volume":"14","author":[{"family":"Greenland","given":"Sander"}],"issued":{"date-parts":[["2003",5]]}}}],"schema":"https://github.com/citation-style-language/schema/raw/master/csl-citation.json"} </w:instrText>
      </w:r>
      <w:r w:rsidR="00837147" w:rsidRPr="00B548BF">
        <w:rPr>
          <w:vertAlign w:val="superscript"/>
        </w:rPr>
        <w:fldChar w:fldCharType="separate"/>
      </w:r>
      <w:r w:rsidR="00837147" w:rsidRPr="00B548BF">
        <w:rPr>
          <w:vertAlign w:val="superscript"/>
        </w:rPr>
        <w:t>(32)</w:t>
      </w:r>
      <w:r w:rsidR="00837147" w:rsidRPr="00B548BF">
        <w:rPr>
          <w:vertAlign w:val="superscript"/>
        </w:rPr>
        <w:fldChar w:fldCharType="end"/>
      </w:r>
      <w:r w:rsidR="00176131" w:rsidRPr="00B548BF">
        <w:t xml:space="preserve">, particularly in </w:t>
      </w:r>
      <w:r w:rsidR="00DB0492" w:rsidRPr="00B548BF">
        <w:t>obstetrics</w:t>
      </w:r>
      <w:r w:rsidR="00837147" w:rsidRPr="00B548BF">
        <w:rPr>
          <w:vertAlign w:val="superscript"/>
        </w:rPr>
        <w:fldChar w:fldCharType="begin"/>
      </w:r>
      <w:r w:rsidR="00837147" w:rsidRPr="00B548BF">
        <w:rPr>
          <w:vertAlign w:val="superscript"/>
        </w:rPr>
        <w:instrText xml:space="preserve"> ADDIN ZOTERO_ITEM CSL_CITATION {"citationID":"kgDuoezi","properties":{"formattedCitation":"(33)","plainCitation":"(33)","noteIndex":0},"citationItems":[{"id":788,"uris":["http://zotero.org/users/6410601/items/3GB3RLWB"],"uri":["http://zotero.org/users/6410601/items/3GB3RLWB"],"itemData":{"id":788,"type":"article-journal","abstract":"Prospective and retrospective cohorts and case-control studies are some of the most important study designs in epidemiology because, under certain assumptions, they can mimic a randomized trial when done well. These assumptions include, but are not limited to, properly accounting for 2 important sources of bias: confounding and selection bias. While not adjusting the causal association for an intermediate variable will yield an unbiased estimate of the exposure-outcome's total causal effect, it is often that obstetricians will want to adjust for an intermediate variable to assess if the intermediate is the underlying driver of the association. Such a practice must be weighed in light of the underlying research question and whether such an adjustment is necessary should be carefully considered. Gestational age is, by far, the most commonly encountered variable in obstetrics that is often mislabeled as a confounder when, in fact, it may be an intermediate. If, indeed, gestational age is an intermediate but if mistakenly labeled as a confounding variable and consequently adjusted in an analysis, the conclusions can be unexpected. The implications of this overadjustment of an intermediate as though it were a confounder can render an otherwise persuasive study downright meaningless. This commentary provides an exposition of confounding bias, collider stratification, and selection biases, with applications in obstetrics and perinatal epidemiology.","container-title":"American Journal of Obstetrics and Gynecology","DOI":"10.1016/j.ajog.2017.04.016","ISSN":"1097-6868","issue":"2","journalAbbreviation":"Am J Obstet Gynecol","language":"eng","note":"PMID: 28427805\nPMCID: PMC5545051","page":"167-175","source":"PubMed","title":"Confounding, causality, and confusion: the role of intermediate variables in interpreting observational studies in obstetrics","title-short":"Confounding, causality, and confusion","volume":"217","author":[{"family":"Ananth","given":"Cande V."},{"family":"Schisterman","given":"Enrique F."}],"issued":{"date-parts":[["2017",8]]}}}],"schema":"https://github.com/citation-style-language/schema/raw/master/csl-citation.json"} </w:instrText>
      </w:r>
      <w:r w:rsidR="00837147" w:rsidRPr="00B548BF">
        <w:rPr>
          <w:vertAlign w:val="superscript"/>
        </w:rPr>
        <w:fldChar w:fldCharType="separate"/>
      </w:r>
      <w:r w:rsidR="00837147" w:rsidRPr="00B548BF">
        <w:rPr>
          <w:vertAlign w:val="superscript"/>
        </w:rPr>
        <w:t>(33)</w:t>
      </w:r>
      <w:r w:rsidR="00837147" w:rsidRPr="00B548BF">
        <w:rPr>
          <w:vertAlign w:val="superscript"/>
        </w:rPr>
        <w:fldChar w:fldCharType="end"/>
      </w:r>
      <w:r w:rsidR="00DB0492" w:rsidRPr="00B548BF">
        <w:t xml:space="preserve"> and </w:t>
      </w:r>
      <w:r w:rsidR="00176131" w:rsidRPr="00B548BF">
        <w:t>perinatal epidemiology</w:t>
      </w:r>
      <w:r w:rsidR="00837147" w:rsidRPr="00B548BF">
        <w:rPr>
          <w:vertAlign w:val="superscript"/>
        </w:rPr>
        <w:fldChar w:fldCharType="begin"/>
      </w:r>
      <w:r w:rsidR="00837147" w:rsidRPr="00B548BF">
        <w:rPr>
          <w:vertAlign w:val="superscript"/>
        </w:rPr>
        <w:instrText xml:space="preserve"> ADDIN ZOTERO_ITEM CSL_CITATION {"citationID":"9EHrll1j","properties":{"formattedCitation":"(34)","plainCitation":"(34)","noteIndex":0},"citationItems":[{"id":791,"uris":["http://zotero.org/users/6410601/items/5RSSDG27"],"uri":["http://zotero.org/users/6410601/items/5RSSDG27"],"itemData":{"id":791,"type":"article-journal","abstract":"The 'birthweight paradox' describes the phenomenon whereby birthweight-specific mortality curves cross when stratified on other exposures, most notably cigarette smoking. The paradox has been noted widely in the literature and numerous explanations and corrections have been suggested. Recently, causal diagrams have been used to illustrate the possibility for collider-stratification bias in models adjusting for birthweight. When two variables share a common effect, stratification on the variable representing that effect induces a statistical relation between otherwise independent factors. This bias has been proposed to explain the birthweight paradox. Causal diagrams may illustrate sources of bias, but are limited to describing qualitative effects. In this paper, we provide causal diagrams that illustrate the birthweight paradox and use a simulation study to quantify the collider-stratification bias under a range of circumstances. Considered circumstances include exposures with and without direct effects on neonatal mortality, as well as with and without indirect effects acting through birthweight on neonatal mortality. The results of these simulations illustrate that when the birthweight-mortality relation is subject to substantial uncontrolled confounding, the bias on estimates of effect adjusted for birthweight may be sufficient to yield opposite causal conclusions, i.e. a factor that poses increased risk appears protective. Effects on stratum-specific birthweight-mortality curves were considered to illustrate the connection between collider-stratification bias and the crossing of the curves. The simulations demonstrate the conditions necessary to give rise to empirical evidence of the paradox.","container-title":"Paediatric and Perinatal Epidemiology","DOI":"10.1111/j.1365-3016.2009.01053.x","ISSN":"1365-3016","issue":"5","journalAbbreviation":"Paediatr Perinat Epidemiol","language":"eng","note":"PMID: 19689488\nPMCID: PMC2743120","page":"394-402","source":"PubMed","title":"Quantification of collider-stratification bias and the birthweight paradox","volume":"23","author":[{"family":"Whitcomb","given":"Brian W."},{"family":"Schisterman","given":"Enrique F."},{"family":"Perkins","given":"Neil J."},{"family":"Platt","given":"Robert W."}],"issued":{"date-parts":[["2009",9]]}}}],"schema":"https://github.com/citation-style-language/schema/raw/master/csl-citation.json"} </w:instrText>
      </w:r>
      <w:r w:rsidR="00837147" w:rsidRPr="00B548BF">
        <w:rPr>
          <w:vertAlign w:val="superscript"/>
        </w:rPr>
        <w:fldChar w:fldCharType="separate"/>
      </w:r>
      <w:r w:rsidR="00837147" w:rsidRPr="00B548BF">
        <w:rPr>
          <w:vertAlign w:val="superscript"/>
        </w:rPr>
        <w:t>(34)</w:t>
      </w:r>
      <w:r w:rsidR="00837147" w:rsidRPr="00B548BF">
        <w:rPr>
          <w:vertAlign w:val="superscript"/>
        </w:rPr>
        <w:fldChar w:fldCharType="end"/>
      </w:r>
      <w:r w:rsidR="00176131" w:rsidRPr="00B548BF">
        <w:t xml:space="preserve"> where </w:t>
      </w:r>
      <w:r w:rsidRPr="00B548BF">
        <w:t xml:space="preserve">adjustments for </w:t>
      </w:r>
      <w:r w:rsidR="00176131" w:rsidRPr="00B548BF">
        <w:t xml:space="preserve">health indicators such as birthweight and gestational age are </w:t>
      </w:r>
      <w:r w:rsidRPr="00B548BF">
        <w:t>common</w:t>
      </w:r>
      <w:r w:rsidR="00176131" w:rsidRPr="00B548BF">
        <w:t xml:space="preserve"> </w:t>
      </w:r>
      <w:r w:rsidRPr="00B548BF">
        <w:t>and may lead to paradoxical findings</w:t>
      </w:r>
      <w:r w:rsidR="00176131" w:rsidRPr="00B548BF">
        <w:t xml:space="preserve">. </w:t>
      </w:r>
      <w:r w:rsidR="009B5477" w:rsidRPr="00B548BF">
        <w:t xml:space="preserve">We investigated the </w:t>
      </w:r>
      <w:r w:rsidR="0039003C" w:rsidRPr="00B548BF">
        <w:t xml:space="preserve">sensitivity </w:t>
      </w:r>
      <w:r w:rsidRPr="00B548BF">
        <w:t xml:space="preserve">of our original models </w:t>
      </w:r>
      <w:r w:rsidR="0039003C" w:rsidRPr="00B548BF">
        <w:t>to</w:t>
      </w:r>
      <w:r w:rsidR="009B5477" w:rsidRPr="00B548BF">
        <w:t xml:space="preserve"> </w:t>
      </w:r>
      <w:r w:rsidRPr="00B548BF">
        <w:t xml:space="preserve">such </w:t>
      </w:r>
      <w:r w:rsidR="009B5477" w:rsidRPr="00B548BF">
        <w:t xml:space="preserve">collider stratification bias </w:t>
      </w:r>
      <w:r w:rsidRPr="00B548BF">
        <w:t xml:space="preserve">by </w:t>
      </w:r>
      <w:r w:rsidR="009B5477" w:rsidRPr="00B548BF">
        <w:t xml:space="preserve">using inverse probability weighting to </w:t>
      </w:r>
      <w:r w:rsidR="00DB0492" w:rsidRPr="00B548BF">
        <w:t xml:space="preserve">balance the distribution of exposure and </w:t>
      </w:r>
      <w:r w:rsidRPr="00B548BF">
        <w:t xml:space="preserve">mediators </w:t>
      </w:r>
      <w:r w:rsidR="00DB0492" w:rsidRPr="00B548BF">
        <w:t>before any</w:t>
      </w:r>
      <w:r w:rsidRPr="00B548BF">
        <w:t xml:space="preserve"> covariate adjustments</w:t>
      </w:r>
      <w:r w:rsidR="009B5477" w:rsidRPr="00B548BF">
        <w:t>.</w:t>
      </w:r>
      <w:r w:rsidR="009B5477" w:rsidRPr="00B548BF">
        <w:rPr>
          <w:rFonts w:cs="Arial"/>
        </w:rPr>
        <w:t xml:space="preserve"> </w:t>
      </w:r>
      <w:r w:rsidR="00940418" w:rsidRPr="00B548BF">
        <w:rPr>
          <w:rFonts w:cs="Arial"/>
        </w:rPr>
        <w:t xml:space="preserve">Weights were calculated by estimating </w:t>
      </w:r>
      <w:r w:rsidR="0039003C" w:rsidRPr="00B548BF">
        <w:rPr>
          <w:rFonts w:cs="Arial"/>
        </w:rPr>
        <w:t xml:space="preserve">separate </w:t>
      </w:r>
      <w:r w:rsidR="00940418" w:rsidRPr="00B548BF">
        <w:rPr>
          <w:rFonts w:cs="Arial"/>
        </w:rPr>
        <w:t xml:space="preserve">propensity scores for the exposure and </w:t>
      </w:r>
      <w:r w:rsidR="0039003C" w:rsidRPr="00B548BF">
        <w:rPr>
          <w:rFonts w:cs="Arial"/>
        </w:rPr>
        <w:t xml:space="preserve">each </w:t>
      </w:r>
      <w:r w:rsidR="00940418" w:rsidRPr="00B548BF">
        <w:rPr>
          <w:rFonts w:cs="Arial"/>
        </w:rPr>
        <w:t xml:space="preserve">mediator based on </w:t>
      </w:r>
      <w:r w:rsidR="0039003C" w:rsidRPr="00B548BF">
        <w:rPr>
          <w:rFonts w:cs="Arial"/>
        </w:rPr>
        <w:t xml:space="preserve">their respective </w:t>
      </w:r>
      <w:r w:rsidR="00940418" w:rsidRPr="00B548BF">
        <w:rPr>
          <w:rFonts w:cs="Arial"/>
        </w:rPr>
        <w:t>confounders specified in the DAG and taking their inverse.</w:t>
      </w:r>
      <w:r w:rsidR="0039003C" w:rsidRPr="00B548BF">
        <w:rPr>
          <w:rFonts w:cs="Arial"/>
        </w:rPr>
        <w:t xml:space="preserve"> Each subject was then weighted by the product of exposure and mediator weights in corresponding analyses. Under the </w:t>
      </w:r>
      <w:r w:rsidR="00337B0E" w:rsidRPr="00B548BF">
        <w:rPr>
          <w:rFonts w:cs="Arial"/>
        </w:rPr>
        <w:t xml:space="preserve">strong </w:t>
      </w:r>
      <w:r w:rsidR="0039003C" w:rsidRPr="00B548BF">
        <w:rPr>
          <w:rFonts w:cs="Arial"/>
        </w:rPr>
        <w:t xml:space="preserve">assumption </w:t>
      </w:r>
      <w:r w:rsidRPr="00B548BF">
        <w:rPr>
          <w:rFonts w:cs="Arial"/>
        </w:rPr>
        <w:t xml:space="preserve">that all exposure- and </w:t>
      </w:r>
      <w:r w:rsidRPr="00B548BF">
        <w:rPr>
          <w:rFonts w:cs="Arial"/>
        </w:rPr>
        <w:lastRenderedPageBreak/>
        <w:t>mediator- outcome confounding is properly adjusted with no meaning</w:t>
      </w:r>
      <w:r w:rsidR="00DB0492" w:rsidRPr="00B548BF">
        <w:rPr>
          <w:rFonts w:cs="Arial"/>
        </w:rPr>
        <w:t>ful</w:t>
      </w:r>
      <w:r w:rsidRPr="00B548BF">
        <w:rPr>
          <w:rFonts w:cs="Arial"/>
        </w:rPr>
        <w:t xml:space="preserve"> interactions</w:t>
      </w:r>
      <w:r w:rsidR="0039003C" w:rsidRPr="00B548BF">
        <w:rPr>
          <w:rFonts w:cs="Arial"/>
        </w:rPr>
        <w:t xml:space="preserve">, the resulting estimates corresponding to the effect of </w:t>
      </w:r>
      <w:r w:rsidR="00DD3A0D" w:rsidRPr="00B548BF">
        <w:rPr>
          <w:rFonts w:cs="Arial"/>
        </w:rPr>
        <w:t>interpregnancy</w:t>
      </w:r>
      <w:r w:rsidR="0039003C" w:rsidRPr="00B548BF">
        <w:rPr>
          <w:rFonts w:cs="Arial"/>
        </w:rPr>
        <w:t xml:space="preserve"> weight change </w:t>
      </w:r>
      <w:r w:rsidR="00337B0E" w:rsidRPr="00B548BF">
        <w:rPr>
          <w:rFonts w:cs="Arial"/>
        </w:rPr>
        <w:t>in a population where individuals all have similar likelihood of attaining</w:t>
      </w:r>
      <w:r w:rsidR="0039003C" w:rsidRPr="00B548BF">
        <w:rPr>
          <w:rFonts w:cs="Arial"/>
        </w:rPr>
        <w:t xml:space="preserve"> </w:t>
      </w:r>
      <w:r w:rsidR="00337B0E" w:rsidRPr="00B548BF">
        <w:rPr>
          <w:rFonts w:cs="Arial"/>
        </w:rPr>
        <w:t>observed mediator values.</w:t>
      </w:r>
      <w:r w:rsidR="0039003C" w:rsidRPr="00B548BF">
        <w:rPr>
          <w:rFonts w:cs="Arial"/>
        </w:rPr>
        <w:t xml:space="preserve"> </w:t>
      </w:r>
      <w:r w:rsidR="00337B0E" w:rsidRPr="00B548BF">
        <w:rPr>
          <w:rFonts w:cs="Arial"/>
        </w:rPr>
        <w:t xml:space="preserve">That is, if assumptions are fulfilled, such models can be used to estimate of the remaining effect of </w:t>
      </w:r>
      <w:r w:rsidR="00E94CEB" w:rsidRPr="00B548BF">
        <w:rPr>
          <w:rFonts w:cs="Arial"/>
        </w:rPr>
        <w:t>interpregnancy weight gain</w:t>
      </w:r>
      <w:r w:rsidR="00DB0492" w:rsidRPr="00B548BF">
        <w:rPr>
          <w:rFonts w:cs="Arial"/>
        </w:rPr>
        <w:t xml:space="preserve"> on second child overweight</w:t>
      </w:r>
      <w:r w:rsidR="00E94CEB" w:rsidRPr="00B548BF">
        <w:rPr>
          <w:rFonts w:cs="Arial"/>
        </w:rPr>
        <w:t xml:space="preserve"> </w:t>
      </w:r>
      <w:r w:rsidR="00337B0E" w:rsidRPr="00B548BF">
        <w:rPr>
          <w:rFonts w:cs="Arial"/>
        </w:rPr>
        <w:t xml:space="preserve">if interventions on </w:t>
      </w:r>
      <w:r w:rsidR="00DB0492" w:rsidRPr="00B548BF">
        <w:rPr>
          <w:rFonts w:cs="Arial"/>
        </w:rPr>
        <w:t xml:space="preserve">pregnancy and birth outcomes could be </w:t>
      </w:r>
      <w:r w:rsidR="00337B0E" w:rsidRPr="00B548BF">
        <w:rPr>
          <w:rFonts w:cs="Arial"/>
        </w:rPr>
        <w:t>taken.</w:t>
      </w:r>
      <w:r w:rsidR="0039003C" w:rsidRPr="00B548BF">
        <w:rPr>
          <w:rFonts w:cs="Arial"/>
        </w:rPr>
        <w:t xml:space="preserve"> </w:t>
      </w:r>
      <w:r w:rsidR="00940418" w:rsidRPr="00B548BF">
        <w:rPr>
          <w:rFonts w:cs="Arial"/>
        </w:rPr>
        <w:t xml:space="preserve"> </w:t>
      </w:r>
    </w:p>
    <w:p w14:paraId="516FA481" w14:textId="633622EF" w:rsidR="003A4A6C" w:rsidRPr="00B548BF" w:rsidRDefault="00D75E7A" w:rsidP="00BA33FB">
      <w:pPr>
        <w:spacing w:after="360" w:line="480" w:lineRule="auto"/>
        <w:rPr>
          <w:rFonts w:cs="Arial"/>
          <w:i/>
        </w:rPr>
      </w:pPr>
      <w:r w:rsidRPr="00B548BF">
        <w:rPr>
          <w:rFonts w:cs="Arial"/>
        </w:rPr>
        <w:t xml:space="preserve">All </w:t>
      </w:r>
      <w:r w:rsidR="00E828BD" w:rsidRPr="00B548BF">
        <w:rPr>
          <w:rFonts w:cs="Arial"/>
        </w:rPr>
        <w:t xml:space="preserve">analyses were </w:t>
      </w:r>
      <w:r w:rsidRPr="00B548BF">
        <w:rPr>
          <w:rFonts w:cs="Arial"/>
        </w:rPr>
        <w:t>performed using Stata 15</w:t>
      </w:r>
      <w:r w:rsidR="008A2F04" w:rsidRPr="007F22F1">
        <w:rPr>
          <w:rFonts w:cs="Arial"/>
          <w:vertAlign w:val="superscript"/>
        </w:rPr>
        <w:fldChar w:fldCharType="begin"/>
      </w:r>
      <w:r w:rsidR="007F22F1" w:rsidRPr="007F22F1">
        <w:rPr>
          <w:rFonts w:cs="Arial"/>
          <w:vertAlign w:val="superscript"/>
        </w:rPr>
        <w:instrText xml:space="preserve"> ADDIN ZOTERO_ITEM CSL_CITATION {"citationID":"YEIkieUU","properties":{"formattedCitation":"(35)","plainCitation":"(35)","noteIndex":0},"citationItems":[{"id":155,"uris":["http://zotero.org/users/6410601/items/U237S59I"],"uri":["http://zotero.org/users/6410601/items/U237S59I"],"itemData":{"id":155,"type":"book","event-place":"College Station, TX","publisher":"StataCorp LLC","publisher-place":"College Station, TX","title":"Stata Statistical Software: Release 15","issued":{"date-parts":[["2017"]]}}}],"schema":"https://github.com/citation-style-language/schema/raw/master/csl-citation.json"} </w:instrText>
      </w:r>
      <w:r w:rsidR="008A2F04" w:rsidRPr="007F22F1">
        <w:rPr>
          <w:rFonts w:cs="Arial"/>
          <w:vertAlign w:val="superscript"/>
        </w:rPr>
        <w:fldChar w:fldCharType="separate"/>
      </w:r>
      <w:r w:rsidR="007F22F1" w:rsidRPr="007F22F1">
        <w:rPr>
          <w:vertAlign w:val="superscript"/>
        </w:rPr>
        <w:t>(35)</w:t>
      </w:r>
      <w:r w:rsidR="008A2F04" w:rsidRPr="007F22F1">
        <w:rPr>
          <w:rFonts w:cs="Arial"/>
          <w:vertAlign w:val="superscript"/>
        </w:rPr>
        <w:fldChar w:fldCharType="end"/>
      </w:r>
      <w:r w:rsidR="0012298C" w:rsidRPr="00B548BF">
        <w:rPr>
          <w:rFonts w:cs="Arial"/>
        </w:rPr>
        <w:t>.</w:t>
      </w:r>
    </w:p>
    <w:p w14:paraId="60F3408D" w14:textId="77777777" w:rsidR="008274CA" w:rsidRPr="00B548BF" w:rsidRDefault="008274CA" w:rsidP="00BA33FB">
      <w:pPr>
        <w:spacing w:before="240" w:after="0" w:line="480" w:lineRule="auto"/>
        <w:rPr>
          <w:rFonts w:cs="Arial"/>
          <w:i/>
        </w:rPr>
      </w:pPr>
      <w:r w:rsidRPr="00B548BF">
        <w:rPr>
          <w:rFonts w:cs="Arial"/>
          <w:i/>
        </w:rPr>
        <w:t>Ethical considerations</w:t>
      </w:r>
    </w:p>
    <w:p w14:paraId="6F0045D9" w14:textId="650A40A7" w:rsidR="008274CA" w:rsidRPr="00B548BF" w:rsidRDefault="005623A9" w:rsidP="00BA33FB">
      <w:pPr>
        <w:spacing w:line="480" w:lineRule="auto"/>
        <w:rPr>
          <w:rFonts w:cs="Arial"/>
        </w:rPr>
      </w:pPr>
      <w:r w:rsidRPr="00B548BF">
        <w:rPr>
          <w:rFonts w:cs="Arial"/>
        </w:rPr>
        <w:t>Da</w:t>
      </w:r>
      <w:r w:rsidR="008274CA" w:rsidRPr="00B548BF">
        <w:rPr>
          <w:rFonts w:cs="Arial"/>
        </w:rPr>
        <w:t>ta were anonymised by the data holder</w:t>
      </w:r>
      <w:r w:rsidR="00426D97" w:rsidRPr="00B548BF">
        <w:rPr>
          <w:rFonts w:cs="Arial"/>
        </w:rPr>
        <w:t>s</w:t>
      </w:r>
      <w:r w:rsidR="008274CA" w:rsidRPr="00B548BF">
        <w:rPr>
          <w:rFonts w:cs="Arial"/>
        </w:rPr>
        <w:t xml:space="preserve"> before being accessed by the research team. Ethics approval was granted by the University of Southampton Faculty of Medicine Ethics C</w:t>
      </w:r>
      <w:r w:rsidR="0002570D" w:rsidRPr="00B548BF">
        <w:rPr>
          <w:rFonts w:cs="Arial"/>
        </w:rPr>
        <w:t>ommittee (</w:t>
      </w:r>
      <w:r w:rsidR="008274CA" w:rsidRPr="00B548BF">
        <w:rPr>
          <w:rFonts w:cs="Arial"/>
        </w:rPr>
        <w:t>ID 2</w:t>
      </w:r>
      <w:r w:rsidR="0002570D" w:rsidRPr="00B548BF">
        <w:rPr>
          <w:rFonts w:cs="Arial"/>
        </w:rPr>
        <w:t>4433) and Health Research Authority (HRA) approval (IRAS 242031)</w:t>
      </w:r>
      <w:r w:rsidR="008274CA" w:rsidRPr="00B548BF">
        <w:rPr>
          <w:rFonts w:cs="Arial"/>
        </w:rPr>
        <w:t xml:space="preserve">. </w:t>
      </w:r>
    </w:p>
    <w:p w14:paraId="788493DC" w14:textId="77777777" w:rsidR="008274CA" w:rsidRPr="00B548BF" w:rsidRDefault="008274CA" w:rsidP="00BA33FB">
      <w:pPr>
        <w:spacing w:line="480" w:lineRule="auto"/>
        <w:rPr>
          <w:rFonts w:cs="Arial"/>
          <w:i/>
        </w:rPr>
      </w:pPr>
    </w:p>
    <w:p w14:paraId="11294CD8" w14:textId="77777777" w:rsidR="005623A9" w:rsidRPr="00B548BF" w:rsidRDefault="005623A9" w:rsidP="00BA33FB">
      <w:pPr>
        <w:spacing w:line="480" w:lineRule="auto"/>
        <w:rPr>
          <w:rFonts w:cs="Arial"/>
          <w:i/>
        </w:rPr>
      </w:pPr>
    </w:p>
    <w:p w14:paraId="7875BFED" w14:textId="77777777" w:rsidR="005623A9" w:rsidRPr="00B548BF" w:rsidRDefault="005623A9" w:rsidP="00BA33FB">
      <w:pPr>
        <w:spacing w:line="480" w:lineRule="auto"/>
        <w:rPr>
          <w:b/>
        </w:rPr>
      </w:pPr>
      <w:r w:rsidRPr="00B548BF">
        <w:rPr>
          <w:b/>
        </w:rPr>
        <w:t>Results</w:t>
      </w:r>
    </w:p>
    <w:p w14:paraId="5850CF8C" w14:textId="6453DE7E" w:rsidR="00707CFA" w:rsidRPr="00B548BF" w:rsidRDefault="009B5477" w:rsidP="00BA33FB">
      <w:pPr>
        <w:spacing w:line="480" w:lineRule="auto"/>
      </w:pPr>
      <w:r w:rsidRPr="00B548BF">
        <w:t>Information on t</w:t>
      </w:r>
      <w:r w:rsidR="00F75ABC" w:rsidRPr="00B548BF">
        <w:t xml:space="preserve">he first and second singleton live birth pregnancies </w:t>
      </w:r>
      <w:r w:rsidRPr="00B548BF">
        <w:t xml:space="preserve">and BMI of second child at 4-5 years was available for </w:t>
      </w:r>
      <w:r w:rsidR="005623A9" w:rsidRPr="00B548BF">
        <w:t>4789 women</w:t>
      </w:r>
      <w:r w:rsidR="00F75ABC" w:rsidRPr="00B548BF">
        <w:t xml:space="preserve">. Of these, 42.7% </w:t>
      </w:r>
      <w:r w:rsidR="00F359B8" w:rsidRPr="00B548BF">
        <w:t xml:space="preserve">women </w:t>
      </w:r>
      <w:r w:rsidR="00F75ABC" w:rsidRPr="00B548BF">
        <w:t xml:space="preserve">remained weight stable, </w:t>
      </w:r>
      <w:r w:rsidR="00725E90" w:rsidRPr="00B548BF">
        <w:t>33.5</w:t>
      </w:r>
      <w:r w:rsidR="00F75ABC" w:rsidRPr="00B548BF">
        <w:t xml:space="preserve">% exhibited </w:t>
      </w:r>
      <w:r w:rsidR="008F1418" w:rsidRPr="00B548BF">
        <w:t>MWG</w:t>
      </w:r>
      <w:r w:rsidR="007E0169" w:rsidRPr="00B548BF">
        <w:t xml:space="preserve"> </w:t>
      </w:r>
      <w:r w:rsidR="008F1418" w:rsidRPr="00B548BF">
        <w:t>(</w:t>
      </w:r>
      <w:r w:rsidR="00F75ABC" w:rsidRPr="00B548BF">
        <w:t>1-3 kg/m</w:t>
      </w:r>
      <w:r w:rsidR="00F75ABC" w:rsidRPr="00B548BF">
        <w:rPr>
          <w:vertAlign w:val="superscript"/>
        </w:rPr>
        <w:t>2</w:t>
      </w:r>
      <w:r w:rsidR="008F1418" w:rsidRPr="00B548BF">
        <w:t xml:space="preserve">) </w:t>
      </w:r>
      <w:r w:rsidR="00F75ABC" w:rsidRPr="00B548BF">
        <w:t xml:space="preserve">and </w:t>
      </w:r>
      <w:r w:rsidR="00725E90" w:rsidRPr="00B548BF">
        <w:t>23.7</w:t>
      </w:r>
      <w:r w:rsidR="007E0169" w:rsidRPr="00B548BF">
        <w:t xml:space="preserve">% exhibited </w:t>
      </w:r>
      <w:r w:rsidR="008F1418" w:rsidRPr="00B548BF">
        <w:t>SWG (</w:t>
      </w:r>
      <w:r w:rsidR="00725E90" w:rsidRPr="00B548BF">
        <w:t>≥</w:t>
      </w:r>
      <w:r w:rsidR="00F75ABC" w:rsidRPr="00B548BF">
        <w:t>3 kg/m</w:t>
      </w:r>
      <w:r w:rsidR="00F75ABC" w:rsidRPr="00B548BF">
        <w:rPr>
          <w:vertAlign w:val="superscript"/>
        </w:rPr>
        <w:t>2</w:t>
      </w:r>
      <w:r w:rsidR="008F1418" w:rsidRPr="00B548BF">
        <w:t>).</w:t>
      </w:r>
      <w:r w:rsidR="00F75ABC" w:rsidRPr="00B548BF">
        <w:t xml:space="preserve"> Mean maternal BMI at second pregnancy was 24.1 kg/m</w:t>
      </w:r>
      <w:r w:rsidR="00F75ABC" w:rsidRPr="00B548BF">
        <w:rPr>
          <w:vertAlign w:val="superscript"/>
        </w:rPr>
        <w:t xml:space="preserve">2 </w:t>
      </w:r>
      <w:r w:rsidR="00F75ABC" w:rsidRPr="00B548BF">
        <w:t>(standard deviation (SD) 4.1) in women who remained weight stable, 26.</w:t>
      </w:r>
      <w:r w:rsidR="00725E90" w:rsidRPr="00B548BF">
        <w:t>1</w:t>
      </w:r>
      <w:r w:rsidR="00F75ABC" w:rsidRPr="00B548BF">
        <w:t xml:space="preserve"> kg/m</w:t>
      </w:r>
      <w:r w:rsidR="00F75ABC" w:rsidRPr="00B548BF">
        <w:rPr>
          <w:vertAlign w:val="superscript"/>
        </w:rPr>
        <w:t xml:space="preserve">2 </w:t>
      </w:r>
      <w:r w:rsidR="00F75ABC" w:rsidRPr="00B548BF">
        <w:t xml:space="preserve">(SD 4.5) in women with </w:t>
      </w:r>
      <w:r w:rsidR="008F1418" w:rsidRPr="00B548BF">
        <w:t>MWG</w:t>
      </w:r>
      <w:r w:rsidR="00F75ABC" w:rsidRPr="00B548BF">
        <w:t xml:space="preserve"> and 31.</w:t>
      </w:r>
      <w:r w:rsidR="00725E90" w:rsidRPr="00B548BF">
        <w:t>1</w:t>
      </w:r>
      <w:r w:rsidR="00F75ABC" w:rsidRPr="00B548BF">
        <w:t xml:space="preserve"> kg/m</w:t>
      </w:r>
      <w:r w:rsidR="00F75ABC" w:rsidRPr="00B548BF">
        <w:rPr>
          <w:vertAlign w:val="superscript"/>
        </w:rPr>
        <w:t>2</w:t>
      </w:r>
      <w:r w:rsidR="00F75ABC" w:rsidRPr="00B548BF">
        <w:t xml:space="preserve"> (SD 5.8) in women with </w:t>
      </w:r>
      <w:r w:rsidR="008F1418" w:rsidRPr="00B548BF">
        <w:t>SWG</w:t>
      </w:r>
      <w:r w:rsidR="00F75ABC" w:rsidRPr="00B548BF">
        <w:t xml:space="preserve"> (Table 1).</w:t>
      </w:r>
      <w:r w:rsidR="00707CFA" w:rsidRPr="00B548BF">
        <w:t xml:space="preserve"> There was a slight increase in the proportion of women with overweight in the second pregnancy but the proportion with obesity nearly tripled from first (18.</w:t>
      </w:r>
      <w:r w:rsidR="00725E90" w:rsidRPr="00B548BF">
        <w:t>3</w:t>
      </w:r>
      <w:r w:rsidR="00707CFA" w:rsidRPr="00B548BF">
        <w:t>%) to second (51.</w:t>
      </w:r>
      <w:r w:rsidR="00725E90" w:rsidRPr="00B548BF">
        <w:t>0</w:t>
      </w:r>
      <w:r w:rsidR="00707CFA" w:rsidRPr="00B548BF">
        <w:t xml:space="preserve">%) pregnancy in women with </w:t>
      </w:r>
      <w:r w:rsidR="008F1418" w:rsidRPr="00B548BF">
        <w:t>SWG</w:t>
      </w:r>
      <w:r w:rsidR="00707CFA" w:rsidRPr="00B548BF">
        <w:t>.</w:t>
      </w:r>
      <w:r w:rsidR="00471133" w:rsidRPr="00B548BF">
        <w:t xml:space="preserve"> Thirty percent of women who </w:t>
      </w:r>
      <w:r w:rsidR="00471133" w:rsidRPr="00B548BF">
        <w:lastRenderedPageBreak/>
        <w:t>remained weight stable were overweight or obese at s</w:t>
      </w:r>
      <w:r w:rsidR="00725E90" w:rsidRPr="00B548BF">
        <w:t>econd pregnancy compared to 50.6</w:t>
      </w:r>
      <w:r w:rsidR="00471133" w:rsidRPr="00B548BF">
        <w:t xml:space="preserve">% with </w:t>
      </w:r>
      <w:r w:rsidR="008F1418" w:rsidRPr="00B548BF">
        <w:t>MWG</w:t>
      </w:r>
      <w:r w:rsidR="00471133" w:rsidRPr="00B548BF">
        <w:t xml:space="preserve"> and 88.</w:t>
      </w:r>
      <w:r w:rsidR="00725E90" w:rsidRPr="00B548BF">
        <w:t>2</w:t>
      </w:r>
      <w:r w:rsidR="007E0169" w:rsidRPr="00B548BF">
        <w:t xml:space="preserve">% with </w:t>
      </w:r>
      <w:r w:rsidR="008F1418" w:rsidRPr="00B548BF">
        <w:t>SWG</w:t>
      </w:r>
      <w:r w:rsidR="00471133" w:rsidRPr="00B548BF">
        <w:t xml:space="preserve">. </w:t>
      </w:r>
    </w:p>
    <w:p w14:paraId="1A64CC12" w14:textId="77777777" w:rsidR="00B3788C" w:rsidRPr="00B548BF" w:rsidRDefault="007E0169" w:rsidP="00BA33FB">
      <w:pPr>
        <w:spacing w:line="480" w:lineRule="auto"/>
      </w:pPr>
      <w:r w:rsidRPr="00B548BF">
        <w:t xml:space="preserve">Women with </w:t>
      </w:r>
      <w:r w:rsidR="008F1418" w:rsidRPr="00B548BF">
        <w:t xml:space="preserve">SWG </w:t>
      </w:r>
      <w:r w:rsidR="00707CFA" w:rsidRPr="00B548BF">
        <w:t xml:space="preserve">were more likely to be </w:t>
      </w:r>
      <w:r w:rsidR="007D3A94" w:rsidRPr="00B548BF">
        <w:t xml:space="preserve">younger, </w:t>
      </w:r>
      <w:r w:rsidR="00707CFA" w:rsidRPr="00B548BF">
        <w:t xml:space="preserve">smokers, unemployed and </w:t>
      </w:r>
      <w:r w:rsidR="002F220C" w:rsidRPr="00B548BF">
        <w:t xml:space="preserve">of </w:t>
      </w:r>
      <w:r w:rsidR="00707CFA" w:rsidRPr="00B548BF">
        <w:t>lower educational attainment</w:t>
      </w:r>
      <w:r w:rsidR="007D3A94" w:rsidRPr="00B548BF">
        <w:t xml:space="preserve"> and </w:t>
      </w:r>
      <w:r w:rsidR="00B3788C" w:rsidRPr="00B548BF">
        <w:t xml:space="preserve">have </w:t>
      </w:r>
      <w:r w:rsidR="007D3A94" w:rsidRPr="00B548BF">
        <w:t>longer interval between pregnancies</w:t>
      </w:r>
      <w:r w:rsidR="00707CFA" w:rsidRPr="00B548BF">
        <w:t xml:space="preserve"> compared to those who remained weight stable between pregnancies. </w:t>
      </w:r>
      <w:r w:rsidR="00471133" w:rsidRPr="00B548BF">
        <w:t xml:space="preserve">Women with </w:t>
      </w:r>
      <w:r w:rsidR="008F1418" w:rsidRPr="00B548BF">
        <w:t>SWG</w:t>
      </w:r>
      <w:r w:rsidR="00471133" w:rsidRPr="00B548BF">
        <w:t xml:space="preserve"> were </w:t>
      </w:r>
      <w:r w:rsidRPr="00B548BF">
        <w:t xml:space="preserve">also </w:t>
      </w:r>
      <w:r w:rsidR="00471133" w:rsidRPr="00B548BF">
        <w:t>more likely to</w:t>
      </w:r>
      <w:r w:rsidR="00DF48A6" w:rsidRPr="00B548BF">
        <w:t xml:space="preserve"> be overweight and obese at both first and second pregnancies. </w:t>
      </w:r>
    </w:p>
    <w:p w14:paraId="7FD32172" w14:textId="640043FD" w:rsidR="008F1418" w:rsidRPr="00B548BF" w:rsidRDefault="00ED1179" w:rsidP="00BA33FB">
      <w:pPr>
        <w:spacing w:line="480" w:lineRule="auto"/>
      </w:pPr>
      <w:r w:rsidRPr="00B548BF">
        <w:t xml:space="preserve">The prevalence of overweight and obesity </w:t>
      </w:r>
      <w:r w:rsidR="007D3A94" w:rsidRPr="00B548BF">
        <w:t xml:space="preserve">at 4-5 years </w:t>
      </w:r>
      <w:r w:rsidRPr="00B548BF">
        <w:t xml:space="preserve">in the second born child increased from 15.9% in women who were normal weight at second pregnancy to 33.4% in women who were obese at second pregnancy (Figure </w:t>
      </w:r>
      <w:r w:rsidR="00F64CEF" w:rsidRPr="00B548BF">
        <w:t>2</w:t>
      </w:r>
      <w:r w:rsidRPr="00B548BF">
        <w:t xml:space="preserve">). </w:t>
      </w:r>
      <w:r w:rsidR="00084B48" w:rsidRPr="00B548BF">
        <w:t xml:space="preserve">The prevalence of overweight and obesity in the second born child increased from 19.1% in women who remained weight stable between pregnancies to 21.5% in women with </w:t>
      </w:r>
      <w:r w:rsidR="008F1418" w:rsidRPr="00B548BF">
        <w:t>MWG</w:t>
      </w:r>
      <w:r w:rsidR="005359A3" w:rsidRPr="00B548BF">
        <w:t xml:space="preserve"> </w:t>
      </w:r>
      <w:r w:rsidR="00725E90" w:rsidRPr="00B548BF">
        <w:t>to 28.3</w:t>
      </w:r>
      <w:r w:rsidR="00084B48" w:rsidRPr="00B548BF">
        <w:t xml:space="preserve">% in women with </w:t>
      </w:r>
      <w:r w:rsidR="008F1418" w:rsidRPr="00B548BF">
        <w:t>SWG</w:t>
      </w:r>
      <w:r w:rsidR="00084B48" w:rsidRPr="00B548BF">
        <w:t xml:space="preserve">. </w:t>
      </w:r>
    </w:p>
    <w:p w14:paraId="4BFA6B9C" w14:textId="6C6CA7DD" w:rsidR="00E0662F" w:rsidRPr="00B548BF" w:rsidRDefault="00E0662F" w:rsidP="00BA33FB">
      <w:pPr>
        <w:spacing w:line="480" w:lineRule="auto"/>
        <w:rPr>
          <w:rFonts w:cs="Arial"/>
        </w:rPr>
      </w:pPr>
      <w:r w:rsidRPr="00B548BF">
        <w:t xml:space="preserve">A higher proportion of second born children of women with </w:t>
      </w:r>
      <w:r w:rsidR="008F1418" w:rsidRPr="00B548BF">
        <w:t>SWG</w:t>
      </w:r>
      <w:r w:rsidRPr="00B548BF">
        <w:t xml:space="preserve"> were obese (12</w:t>
      </w:r>
      <w:r w:rsidR="00725E90" w:rsidRPr="00B548BF">
        <w:t>.0</w:t>
      </w:r>
      <w:r w:rsidRPr="00B548BF">
        <w:t>%)</w:t>
      </w:r>
      <w:r w:rsidR="000A4C2C" w:rsidRPr="00B548BF">
        <w:t xml:space="preserve"> compared to children of women who remained weight stable (6.9%) or </w:t>
      </w:r>
      <w:r w:rsidR="008F1418" w:rsidRPr="00B548BF">
        <w:t xml:space="preserve">with MWG </w:t>
      </w:r>
      <w:r w:rsidR="000A4C2C" w:rsidRPr="00B548BF">
        <w:t>(7.5%)</w:t>
      </w:r>
      <w:r w:rsidRPr="00B548BF">
        <w:t xml:space="preserve">. </w:t>
      </w:r>
      <w:r w:rsidR="000A4C2C" w:rsidRPr="00B548BF">
        <w:rPr>
          <w:rFonts w:cs="Arial"/>
        </w:rPr>
        <w:t xml:space="preserve">Children of women with </w:t>
      </w:r>
      <w:r w:rsidR="008F1418" w:rsidRPr="00B548BF">
        <w:rPr>
          <w:rFonts w:cs="Arial"/>
        </w:rPr>
        <w:t>SWG</w:t>
      </w:r>
      <w:r w:rsidRPr="00B548BF">
        <w:rPr>
          <w:rFonts w:cs="Arial"/>
          <w:vertAlign w:val="superscript"/>
        </w:rPr>
        <w:t xml:space="preserve"> </w:t>
      </w:r>
      <w:r w:rsidR="000A4C2C" w:rsidRPr="00B548BF">
        <w:rPr>
          <w:rFonts w:cs="Arial"/>
        </w:rPr>
        <w:t>were at</w:t>
      </w:r>
      <w:r w:rsidRPr="00B548BF">
        <w:rPr>
          <w:rFonts w:cs="Arial"/>
        </w:rPr>
        <w:t xml:space="preserve"> increased risk of childhood overweight and obesity </w:t>
      </w:r>
      <w:r w:rsidR="00F124B2" w:rsidRPr="00B548BF">
        <w:rPr>
          <w:rFonts w:cs="Arial"/>
        </w:rPr>
        <w:t>(≥95</w:t>
      </w:r>
      <w:r w:rsidR="00F124B2" w:rsidRPr="00B548BF">
        <w:rPr>
          <w:rFonts w:cs="Arial"/>
          <w:vertAlign w:val="superscript"/>
        </w:rPr>
        <w:t>th</w:t>
      </w:r>
      <w:r w:rsidR="00F124B2" w:rsidRPr="00B548BF">
        <w:rPr>
          <w:rFonts w:cs="Arial"/>
        </w:rPr>
        <w:t xml:space="preserve"> centile) </w:t>
      </w:r>
      <w:r w:rsidRPr="00B548BF">
        <w:rPr>
          <w:rFonts w:cs="Arial"/>
        </w:rPr>
        <w:t>(a</w:t>
      </w:r>
      <w:r w:rsidR="00725E90" w:rsidRPr="00B548BF">
        <w:rPr>
          <w:rFonts w:cs="Arial"/>
        </w:rPr>
        <w:t>djusted Relative Risk (</w:t>
      </w:r>
      <w:proofErr w:type="spellStart"/>
      <w:r w:rsidR="00725E90" w:rsidRPr="00B548BF">
        <w:rPr>
          <w:rFonts w:cs="Arial"/>
        </w:rPr>
        <w:t>aRR</w:t>
      </w:r>
      <w:proofErr w:type="spellEnd"/>
      <w:r w:rsidR="00725E90" w:rsidRPr="00B548BF">
        <w:rPr>
          <w:rFonts w:cs="Arial"/>
        </w:rPr>
        <w:t>) 1.1</w:t>
      </w:r>
      <w:r w:rsidR="004E61D8" w:rsidRPr="00B548BF">
        <w:rPr>
          <w:rFonts w:cs="Arial"/>
        </w:rPr>
        <w:t>7</w:t>
      </w:r>
      <w:r w:rsidRPr="00B548BF">
        <w:rPr>
          <w:rFonts w:cs="Arial"/>
        </w:rPr>
        <w:t>, 95% confidence interval</w:t>
      </w:r>
      <w:r w:rsidR="00725E90" w:rsidRPr="00B548BF">
        <w:rPr>
          <w:rFonts w:cs="Arial"/>
        </w:rPr>
        <w:t xml:space="preserve"> (CI) 1.0</w:t>
      </w:r>
      <w:r w:rsidR="004E61D8" w:rsidRPr="00B548BF">
        <w:rPr>
          <w:rFonts w:cs="Arial"/>
        </w:rPr>
        <w:t>2</w:t>
      </w:r>
      <w:r w:rsidR="00725E90" w:rsidRPr="00B548BF">
        <w:rPr>
          <w:rFonts w:cs="Arial"/>
        </w:rPr>
        <w:t xml:space="preserve"> to 1.3</w:t>
      </w:r>
      <w:r w:rsidR="00F519D6" w:rsidRPr="00B548BF">
        <w:rPr>
          <w:rFonts w:cs="Arial"/>
        </w:rPr>
        <w:t>4</w:t>
      </w:r>
      <w:r w:rsidRPr="00B548BF">
        <w:rPr>
          <w:rFonts w:cs="Arial"/>
        </w:rPr>
        <w:t>)</w:t>
      </w:r>
      <w:r w:rsidR="005359A3" w:rsidRPr="00B548BF">
        <w:rPr>
          <w:rFonts w:cs="Arial"/>
        </w:rPr>
        <w:t xml:space="preserve"> </w:t>
      </w:r>
      <w:r w:rsidR="007D3A94" w:rsidRPr="00B548BF">
        <w:rPr>
          <w:rFonts w:cs="Arial"/>
        </w:rPr>
        <w:t xml:space="preserve">compared to </w:t>
      </w:r>
      <w:r w:rsidR="004E61D8" w:rsidRPr="00B548BF">
        <w:rPr>
          <w:rFonts w:cs="Arial"/>
        </w:rPr>
        <w:t>remaining weight stable</w:t>
      </w:r>
      <w:r w:rsidR="007D3A94" w:rsidRPr="00B548BF">
        <w:rPr>
          <w:rFonts w:cs="Arial"/>
        </w:rPr>
        <w:t xml:space="preserve"> </w:t>
      </w:r>
      <w:r w:rsidR="005359A3" w:rsidRPr="00B548BF">
        <w:rPr>
          <w:rFonts w:cs="Arial"/>
        </w:rPr>
        <w:t>(Table 2)</w:t>
      </w:r>
      <w:r w:rsidRPr="00B548BF">
        <w:rPr>
          <w:rFonts w:cs="Arial"/>
        </w:rPr>
        <w:t>. The relationship was attenuated on adjusting for birthweight</w:t>
      </w:r>
      <w:r w:rsidR="005359A3" w:rsidRPr="00B548BF">
        <w:rPr>
          <w:rFonts w:cs="Arial"/>
        </w:rPr>
        <w:t>,</w:t>
      </w:r>
      <w:r w:rsidRPr="00B548BF">
        <w:rPr>
          <w:rFonts w:cs="Arial"/>
        </w:rPr>
        <w:t xml:space="preserve"> ges</w:t>
      </w:r>
      <w:r w:rsidR="00725E90" w:rsidRPr="00B548BF">
        <w:rPr>
          <w:rFonts w:cs="Arial"/>
        </w:rPr>
        <w:t>tational age at birth</w:t>
      </w:r>
      <w:r w:rsidR="004E61D8" w:rsidRPr="00B548BF">
        <w:rPr>
          <w:rFonts w:cs="Arial"/>
        </w:rPr>
        <w:t>,</w:t>
      </w:r>
      <w:r w:rsidR="00725E90" w:rsidRPr="00B548BF">
        <w:rPr>
          <w:rFonts w:cs="Arial"/>
        </w:rPr>
        <w:t xml:space="preserve"> </w:t>
      </w:r>
      <w:r w:rsidR="005359A3" w:rsidRPr="00B548BF">
        <w:rPr>
          <w:rFonts w:cs="Arial"/>
        </w:rPr>
        <w:t xml:space="preserve">gestational diabetes in second pregnancy </w:t>
      </w:r>
      <w:r w:rsidR="004E61D8" w:rsidRPr="00B548BF">
        <w:rPr>
          <w:rFonts w:cs="Arial"/>
        </w:rPr>
        <w:t xml:space="preserve">and breastfeeding status in second pregnancy </w:t>
      </w:r>
      <w:r w:rsidR="00725E90" w:rsidRPr="00B548BF">
        <w:rPr>
          <w:rFonts w:cs="Arial"/>
        </w:rPr>
        <w:t>(</w:t>
      </w:r>
      <w:proofErr w:type="spellStart"/>
      <w:r w:rsidR="00725E90" w:rsidRPr="00B548BF">
        <w:rPr>
          <w:rFonts w:cs="Arial"/>
        </w:rPr>
        <w:t>aRR</w:t>
      </w:r>
      <w:proofErr w:type="spellEnd"/>
      <w:r w:rsidR="00725E90" w:rsidRPr="00B548BF">
        <w:rPr>
          <w:rFonts w:cs="Arial"/>
        </w:rPr>
        <w:t xml:space="preserve"> 1.0</w:t>
      </w:r>
      <w:r w:rsidR="004E61D8" w:rsidRPr="00B548BF">
        <w:rPr>
          <w:rFonts w:cs="Arial"/>
        </w:rPr>
        <w:t>8</w:t>
      </w:r>
      <w:r w:rsidR="00725E90" w:rsidRPr="00B548BF">
        <w:rPr>
          <w:rFonts w:cs="Arial"/>
        </w:rPr>
        <w:t>, 95% CI 0.9</w:t>
      </w:r>
      <w:r w:rsidR="004E61D8" w:rsidRPr="00B548BF">
        <w:rPr>
          <w:rFonts w:cs="Arial"/>
        </w:rPr>
        <w:t>4</w:t>
      </w:r>
      <w:r w:rsidR="00725E90" w:rsidRPr="00B548BF">
        <w:rPr>
          <w:rFonts w:cs="Arial"/>
        </w:rPr>
        <w:t xml:space="preserve"> to 1.2</w:t>
      </w:r>
      <w:r w:rsidR="00F519D6" w:rsidRPr="00B548BF">
        <w:rPr>
          <w:rFonts w:cs="Arial"/>
        </w:rPr>
        <w:t>4</w:t>
      </w:r>
      <w:r w:rsidRPr="00B548BF">
        <w:rPr>
          <w:rFonts w:cs="Arial"/>
        </w:rPr>
        <w:t xml:space="preserve">). </w:t>
      </w:r>
      <w:r w:rsidR="00BA33FB" w:rsidRPr="00B548BF">
        <w:rPr>
          <w:rFonts w:cs="Arial"/>
        </w:rPr>
        <w:t xml:space="preserve">The attenuation was mainly from the adjustment for birthweight (Supplementary Table 1). </w:t>
      </w:r>
      <w:r w:rsidRPr="00B548BF">
        <w:rPr>
          <w:rFonts w:cs="Arial"/>
        </w:rPr>
        <w:t>This pattern</w:t>
      </w:r>
      <w:r w:rsidR="00C063CC" w:rsidRPr="00B548BF">
        <w:rPr>
          <w:rFonts w:cs="Arial"/>
        </w:rPr>
        <w:t xml:space="preserve"> for SWG </w:t>
      </w:r>
      <w:r w:rsidRPr="00B548BF">
        <w:rPr>
          <w:rFonts w:cs="Arial"/>
        </w:rPr>
        <w:t>was similar in the subgroup who were obese at the start of their first pregnancy (</w:t>
      </w:r>
      <w:proofErr w:type="spellStart"/>
      <w:r w:rsidRPr="00B548BF">
        <w:rPr>
          <w:rFonts w:cs="Arial"/>
        </w:rPr>
        <w:t>aRR</w:t>
      </w:r>
      <w:proofErr w:type="spellEnd"/>
      <w:r w:rsidRPr="00B548BF">
        <w:rPr>
          <w:rFonts w:cs="Arial"/>
        </w:rPr>
        <w:t xml:space="preserve"> </w:t>
      </w:r>
      <w:r w:rsidR="009928B0" w:rsidRPr="00B548BF">
        <w:rPr>
          <w:rFonts w:cs="Arial"/>
        </w:rPr>
        <w:t>1.</w:t>
      </w:r>
      <w:r w:rsidR="004E61D8" w:rsidRPr="00B548BF">
        <w:rPr>
          <w:rFonts w:cs="Arial"/>
        </w:rPr>
        <w:t>3</w:t>
      </w:r>
      <w:r w:rsidR="00F519D6" w:rsidRPr="00B548BF">
        <w:rPr>
          <w:rFonts w:cs="Arial"/>
        </w:rPr>
        <w:t>4</w:t>
      </w:r>
      <w:r w:rsidR="009928B0" w:rsidRPr="00B548BF">
        <w:rPr>
          <w:rFonts w:cs="Arial"/>
        </w:rPr>
        <w:t>, 95% CI 1.</w:t>
      </w:r>
      <w:r w:rsidR="004E61D8" w:rsidRPr="00B548BF">
        <w:rPr>
          <w:rFonts w:cs="Arial"/>
        </w:rPr>
        <w:t>0</w:t>
      </w:r>
      <w:r w:rsidR="00F519D6" w:rsidRPr="00B548BF">
        <w:rPr>
          <w:rFonts w:cs="Arial"/>
        </w:rPr>
        <w:t>2</w:t>
      </w:r>
      <w:r w:rsidR="004E61D8" w:rsidRPr="00B548BF">
        <w:rPr>
          <w:rFonts w:cs="Arial"/>
        </w:rPr>
        <w:t xml:space="preserve"> </w:t>
      </w:r>
      <w:r w:rsidR="009928B0" w:rsidRPr="00B548BF">
        <w:rPr>
          <w:rFonts w:cs="Arial"/>
        </w:rPr>
        <w:t>to 1.</w:t>
      </w:r>
      <w:r w:rsidR="00F519D6" w:rsidRPr="00B548BF">
        <w:rPr>
          <w:rFonts w:cs="Arial"/>
        </w:rPr>
        <w:t>7</w:t>
      </w:r>
      <w:r w:rsidR="004E61D8" w:rsidRPr="00B548BF">
        <w:rPr>
          <w:rFonts w:cs="Arial"/>
        </w:rPr>
        <w:t>8</w:t>
      </w:r>
      <w:r w:rsidR="009928B0" w:rsidRPr="00B548BF">
        <w:rPr>
          <w:rFonts w:cs="Arial"/>
        </w:rPr>
        <w:t xml:space="preserve">, and </w:t>
      </w:r>
      <w:proofErr w:type="spellStart"/>
      <w:r w:rsidR="009928B0" w:rsidRPr="00B548BF">
        <w:rPr>
          <w:rFonts w:cs="Arial"/>
        </w:rPr>
        <w:t>aRR</w:t>
      </w:r>
      <w:proofErr w:type="spellEnd"/>
      <w:r w:rsidR="009928B0" w:rsidRPr="00B548BF">
        <w:rPr>
          <w:rFonts w:cs="Arial"/>
        </w:rPr>
        <w:t xml:space="preserve"> 1.</w:t>
      </w:r>
      <w:r w:rsidR="004E61D8" w:rsidRPr="00B548BF">
        <w:rPr>
          <w:rFonts w:cs="Arial"/>
        </w:rPr>
        <w:t>2</w:t>
      </w:r>
      <w:r w:rsidR="00F519D6" w:rsidRPr="00B548BF">
        <w:rPr>
          <w:rFonts w:cs="Arial"/>
        </w:rPr>
        <w:t>5</w:t>
      </w:r>
      <w:r w:rsidR="009928B0" w:rsidRPr="00B548BF">
        <w:rPr>
          <w:rFonts w:cs="Arial"/>
        </w:rPr>
        <w:t>, 95% CI 0.</w:t>
      </w:r>
      <w:r w:rsidR="004E61D8" w:rsidRPr="00B548BF">
        <w:rPr>
          <w:rFonts w:cs="Arial"/>
        </w:rPr>
        <w:t>9</w:t>
      </w:r>
      <w:r w:rsidR="00F519D6" w:rsidRPr="00B548BF">
        <w:rPr>
          <w:rFonts w:cs="Arial"/>
        </w:rPr>
        <w:t>4</w:t>
      </w:r>
      <w:r w:rsidR="004E61D8" w:rsidRPr="00B548BF">
        <w:rPr>
          <w:rFonts w:cs="Arial"/>
        </w:rPr>
        <w:t xml:space="preserve"> </w:t>
      </w:r>
      <w:r w:rsidR="009928B0" w:rsidRPr="00B548BF">
        <w:rPr>
          <w:rFonts w:cs="Arial"/>
        </w:rPr>
        <w:t xml:space="preserve">to </w:t>
      </w:r>
      <w:r w:rsidR="004E61D8" w:rsidRPr="00B548BF">
        <w:rPr>
          <w:rFonts w:cs="Arial"/>
        </w:rPr>
        <w:t>1.6</w:t>
      </w:r>
      <w:r w:rsidR="00F519D6" w:rsidRPr="00B548BF">
        <w:rPr>
          <w:rFonts w:cs="Arial"/>
        </w:rPr>
        <w:t>4</w:t>
      </w:r>
      <w:r w:rsidRPr="00B548BF">
        <w:rPr>
          <w:rFonts w:cs="Arial"/>
        </w:rPr>
        <w:t xml:space="preserve"> respectively). </w:t>
      </w:r>
      <w:r w:rsidR="004E61D8" w:rsidRPr="00B548BF">
        <w:rPr>
          <w:rFonts w:cs="Arial"/>
        </w:rPr>
        <w:t>A similar pattern was observed in women who were normal weight (</w:t>
      </w:r>
      <w:proofErr w:type="spellStart"/>
      <w:r w:rsidR="004E61D8" w:rsidRPr="00B548BF">
        <w:rPr>
          <w:rFonts w:cs="Arial"/>
        </w:rPr>
        <w:t>aRR</w:t>
      </w:r>
      <w:proofErr w:type="spellEnd"/>
      <w:r w:rsidR="004E61D8" w:rsidRPr="00B548BF">
        <w:rPr>
          <w:rFonts w:cs="Arial"/>
        </w:rPr>
        <w:t xml:space="preserve"> 1.1</w:t>
      </w:r>
      <w:r w:rsidR="00F519D6" w:rsidRPr="00B548BF">
        <w:rPr>
          <w:rFonts w:cs="Arial"/>
        </w:rPr>
        <w:t>6</w:t>
      </w:r>
      <w:r w:rsidR="004E61D8" w:rsidRPr="00B548BF">
        <w:rPr>
          <w:rFonts w:cs="Arial"/>
        </w:rPr>
        <w:t>, 95% CI 0.9</w:t>
      </w:r>
      <w:r w:rsidR="00F519D6" w:rsidRPr="00B548BF">
        <w:rPr>
          <w:rFonts w:cs="Arial"/>
        </w:rPr>
        <w:t>3</w:t>
      </w:r>
      <w:r w:rsidR="004E61D8" w:rsidRPr="00B548BF">
        <w:rPr>
          <w:rFonts w:cs="Arial"/>
        </w:rPr>
        <w:t xml:space="preserve"> to 1.4</w:t>
      </w:r>
      <w:r w:rsidR="00F519D6" w:rsidRPr="00B548BF">
        <w:rPr>
          <w:rFonts w:cs="Arial"/>
        </w:rPr>
        <w:t>5</w:t>
      </w:r>
      <w:r w:rsidR="004E61D8" w:rsidRPr="00B548BF">
        <w:rPr>
          <w:rFonts w:cs="Arial"/>
        </w:rPr>
        <w:t xml:space="preserve">, and </w:t>
      </w:r>
      <w:proofErr w:type="spellStart"/>
      <w:r w:rsidR="004E61D8" w:rsidRPr="00B548BF">
        <w:rPr>
          <w:rFonts w:cs="Arial"/>
        </w:rPr>
        <w:t>aRR</w:t>
      </w:r>
      <w:proofErr w:type="spellEnd"/>
      <w:r w:rsidR="004E61D8" w:rsidRPr="00B548BF">
        <w:rPr>
          <w:rFonts w:cs="Arial"/>
        </w:rPr>
        <w:t xml:space="preserve"> 1.0</w:t>
      </w:r>
      <w:r w:rsidR="00F519D6" w:rsidRPr="00B548BF">
        <w:rPr>
          <w:rFonts w:cs="Arial"/>
        </w:rPr>
        <w:t>7</w:t>
      </w:r>
      <w:r w:rsidR="004E61D8" w:rsidRPr="00B548BF">
        <w:rPr>
          <w:rFonts w:cs="Arial"/>
        </w:rPr>
        <w:t>, 95% CI 0.8</w:t>
      </w:r>
      <w:r w:rsidR="00F519D6" w:rsidRPr="00B548BF">
        <w:rPr>
          <w:rFonts w:cs="Arial"/>
        </w:rPr>
        <w:t>5</w:t>
      </w:r>
      <w:r w:rsidR="004E61D8" w:rsidRPr="00B548BF">
        <w:rPr>
          <w:rFonts w:cs="Arial"/>
        </w:rPr>
        <w:t xml:space="preserve"> to 1.3</w:t>
      </w:r>
      <w:r w:rsidR="00F519D6" w:rsidRPr="00B548BF">
        <w:rPr>
          <w:rFonts w:cs="Arial"/>
        </w:rPr>
        <w:t>4</w:t>
      </w:r>
      <w:r w:rsidR="004E61D8" w:rsidRPr="00B548BF">
        <w:rPr>
          <w:rFonts w:cs="Arial"/>
        </w:rPr>
        <w:t xml:space="preserve">) at the start of their first </w:t>
      </w:r>
      <w:r w:rsidR="004E61D8" w:rsidRPr="00B548BF">
        <w:rPr>
          <w:rFonts w:cs="Arial"/>
        </w:rPr>
        <w:lastRenderedPageBreak/>
        <w:t xml:space="preserve">pregnancy. </w:t>
      </w:r>
      <w:r w:rsidR="007D3A94" w:rsidRPr="00B548BF">
        <w:rPr>
          <w:rFonts w:cs="Arial"/>
        </w:rPr>
        <w:t xml:space="preserve">There was no evidence of association between </w:t>
      </w:r>
      <w:r w:rsidR="00C063CC" w:rsidRPr="00B548BF">
        <w:rPr>
          <w:rFonts w:cs="Arial"/>
        </w:rPr>
        <w:t xml:space="preserve">MWG </w:t>
      </w:r>
      <w:r w:rsidR="007D3A94" w:rsidRPr="00B548BF">
        <w:rPr>
          <w:rFonts w:cs="Arial"/>
        </w:rPr>
        <w:t xml:space="preserve">weight gain and childhood overweight and obesity. </w:t>
      </w:r>
      <w:r w:rsidR="00164F79" w:rsidRPr="00B548BF">
        <w:rPr>
          <w:rFonts w:cs="Arial"/>
        </w:rPr>
        <w:t>The association between SWG and childhood overweight and obesity persist</w:t>
      </w:r>
      <w:r w:rsidR="007D3A94" w:rsidRPr="00B548BF">
        <w:rPr>
          <w:rFonts w:cs="Arial"/>
        </w:rPr>
        <w:t xml:space="preserve"> when conducted using IPW (Supplementary Table </w:t>
      </w:r>
      <w:r w:rsidR="00BA33FB" w:rsidRPr="00B548BF">
        <w:rPr>
          <w:rFonts w:cs="Arial"/>
        </w:rPr>
        <w:t>2</w:t>
      </w:r>
      <w:r w:rsidR="007D3A94" w:rsidRPr="00B548BF">
        <w:rPr>
          <w:rFonts w:cs="Arial"/>
        </w:rPr>
        <w:t xml:space="preserve">).  </w:t>
      </w:r>
    </w:p>
    <w:p w14:paraId="6879637F" w14:textId="68FD63CB" w:rsidR="005359A3" w:rsidRPr="00B548BF" w:rsidRDefault="008F1418" w:rsidP="00BA33FB">
      <w:pPr>
        <w:spacing w:line="480" w:lineRule="auto"/>
        <w:rPr>
          <w:rFonts w:cs="Arial"/>
        </w:rPr>
      </w:pPr>
      <w:r w:rsidRPr="00B548BF">
        <w:rPr>
          <w:rFonts w:cs="Arial"/>
        </w:rPr>
        <w:t>Both MWG and SWG were</w:t>
      </w:r>
      <w:r w:rsidR="005359A3" w:rsidRPr="00B548BF">
        <w:rPr>
          <w:rFonts w:cs="Arial"/>
        </w:rPr>
        <w:t xml:space="preserve"> associated with increased risk of childhood obesity (≥95</w:t>
      </w:r>
      <w:r w:rsidR="005359A3" w:rsidRPr="00B548BF">
        <w:rPr>
          <w:rFonts w:cs="Arial"/>
          <w:vertAlign w:val="superscript"/>
        </w:rPr>
        <w:t>th</w:t>
      </w:r>
      <w:r w:rsidR="005359A3" w:rsidRPr="00B548BF">
        <w:rPr>
          <w:rFonts w:cs="Arial"/>
        </w:rPr>
        <w:t xml:space="preserve"> centile)</w:t>
      </w:r>
      <w:r w:rsidR="007D3A94" w:rsidRPr="00B548BF">
        <w:rPr>
          <w:rFonts w:cs="Arial"/>
        </w:rPr>
        <w:t xml:space="preserve"> only</w:t>
      </w:r>
      <w:r w:rsidR="005359A3" w:rsidRPr="00B548BF">
        <w:rPr>
          <w:rFonts w:cs="Arial"/>
        </w:rPr>
        <w:t xml:space="preserve"> in women who were normal weight at first pregnancy (</w:t>
      </w:r>
      <w:proofErr w:type="spellStart"/>
      <w:r w:rsidR="005359A3" w:rsidRPr="00B548BF">
        <w:rPr>
          <w:rFonts w:cs="Arial"/>
        </w:rPr>
        <w:t>aRR</w:t>
      </w:r>
      <w:proofErr w:type="spellEnd"/>
      <w:r w:rsidR="005359A3" w:rsidRPr="00B548BF">
        <w:rPr>
          <w:rFonts w:cs="Arial"/>
        </w:rPr>
        <w:t xml:space="preserve"> 1.</w:t>
      </w:r>
      <w:r w:rsidR="009F5314" w:rsidRPr="00B548BF">
        <w:rPr>
          <w:rFonts w:cs="Arial"/>
        </w:rPr>
        <w:t>5</w:t>
      </w:r>
      <w:r w:rsidR="00F519D6" w:rsidRPr="00B548BF">
        <w:rPr>
          <w:rFonts w:cs="Arial"/>
        </w:rPr>
        <w:t>5</w:t>
      </w:r>
      <w:r w:rsidR="005359A3" w:rsidRPr="00B548BF">
        <w:rPr>
          <w:rFonts w:cs="Arial"/>
        </w:rPr>
        <w:t xml:space="preserve">, 95% CI </w:t>
      </w:r>
      <w:r w:rsidR="009F5314" w:rsidRPr="00B548BF">
        <w:rPr>
          <w:rFonts w:cs="Arial"/>
        </w:rPr>
        <w:t>0.99</w:t>
      </w:r>
      <w:r w:rsidR="005359A3" w:rsidRPr="00B548BF">
        <w:rPr>
          <w:rFonts w:cs="Arial"/>
        </w:rPr>
        <w:t xml:space="preserve"> to 2.</w:t>
      </w:r>
      <w:r w:rsidR="00F519D6" w:rsidRPr="00B548BF">
        <w:rPr>
          <w:rFonts w:cs="Arial"/>
        </w:rPr>
        <w:t>4</w:t>
      </w:r>
      <w:r w:rsidR="009F5314" w:rsidRPr="00B548BF">
        <w:rPr>
          <w:rFonts w:cs="Arial"/>
        </w:rPr>
        <w:t>2</w:t>
      </w:r>
      <w:r w:rsidR="005359A3" w:rsidRPr="00B548BF">
        <w:rPr>
          <w:rFonts w:cs="Arial"/>
        </w:rPr>
        <w:t xml:space="preserve"> for </w:t>
      </w:r>
      <w:r w:rsidRPr="00B548BF">
        <w:rPr>
          <w:rFonts w:cs="Arial"/>
        </w:rPr>
        <w:t>MWG</w:t>
      </w:r>
      <w:r w:rsidR="005359A3" w:rsidRPr="00B548BF">
        <w:rPr>
          <w:rFonts w:cs="Arial"/>
        </w:rPr>
        <w:t xml:space="preserve"> and </w:t>
      </w:r>
      <w:proofErr w:type="spellStart"/>
      <w:r w:rsidR="005359A3" w:rsidRPr="00B548BF">
        <w:rPr>
          <w:rFonts w:cs="Arial"/>
        </w:rPr>
        <w:t>aRR</w:t>
      </w:r>
      <w:proofErr w:type="spellEnd"/>
      <w:r w:rsidR="005359A3" w:rsidRPr="00B548BF">
        <w:rPr>
          <w:rFonts w:cs="Arial"/>
        </w:rPr>
        <w:t xml:space="preserve"> 1.</w:t>
      </w:r>
      <w:r w:rsidR="00F519D6" w:rsidRPr="00B548BF">
        <w:rPr>
          <w:rFonts w:cs="Arial"/>
        </w:rPr>
        <w:t>7</w:t>
      </w:r>
      <w:r w:rsidR="009F5314" w:rsidRPr="00B548BF">
        <w:rPr>
          <w:rFonts w:cs="Arial"/>
        </w:rPr>
        <w:t>4</w:t>
      </w:r>
      <w:r w:rsidR="005359A3" w:rsidRPr="00B548BF">
        <w:rPr>
          <w:rFonts w:cs="Arial"/>
        </w:rPr>
        <w:t>, 95% CI 1.</w:t>
      </w:r>
      <w:r w:rsidR="009F5314" w:rsidRPr="00B548BF">
        <w:rPr>
          <w:rFonts w:cs="Arial"/>
        </w:rPr>
        <w:t>1</w:t>
      </w:r>
      <w:r w:rsidR="00F519D6" w:rsidRPr="00B548BF">
        <w:rPr>
          <w:rFonts w:cs="Arial"/>
        </w:rPr>
        <w:t>1</w:t>
      </w:r>
      <w:r w:rsidR="005359A3" w:rsidRPr="00B548BF">
        <w:rPr>
          <w:rFonts w:cs="Arial"/>
        </w:rPr>
        <w:t xml:space="preserve"> to 2.</w:t>
      </w:r>
      <w:r w:rsidR="00F519D6" w:rsidRPr="00B548BF">
        <w:rPr>
          <w:rFonts w:cs="Arial"/>
        </w:rPr>
        <w:t>73</w:t>
      </w:r>
      <w:r w:rsidR="005359A3" w:rsidRPr="00B548BF">
        <w:rPr>
          <w:rFonts w:cs="Arial"/>
        </w:rPr>
        <w:t xml:space="preserve"> for </w:t>
      </w:r>
      <w:r w:rsidRPr="00B548BF">
        <w:rPr>
          <w:rFonts w:cs="Arial"/>
        </w:rPr>
        <w:t>SWG</w:t>
      </w:r>
      <w:r w:rsidR="005359A3" w:rsidRPr="00B548BF">
        <w:rPr>
          <w:rFonts w:cs="Arial"/>
        </w:rPr>
        <w:t xml:space="preserve">) (Table 3). The relationship remained on adjusting for </w:t>
      </w:r>
      <w:r w:rsidR="007D3A94" w:rsidRPr="00B548BF">
        <w:rPr>
          <w:rFonts w:cs="Arial"/>
        </w:rPr>
        <w:t xml:space="preserve">mediators of </w:t>
      </w:r>
      <w:r w:rsidR="005359A3" w:rsidRPr="00B548BF">
        <w:rPr>
          <w:rFonts w:cs="Arial"/>
        </w:rPr>
        <w:t>birthweight, gestational age at birth</w:t>
      </w:r>
      <w:r w:rsidR="009F5314" w:rsidRPr="00B548BF">
        <w:rPr>
          <w:rFonts w:cs="Arial"/>
        </w:rPr>
        <w:t xml:space="preserve">, </w:t>
      </w:r>
      <w:r w:rsidR="005359A3" w:rsidRPr="00B548BF">
        <w:rPr>
          <w:rFonts w:cs="Arial"/>
        </w:rPr>
        <w:t xml:space="preserve">gestational diabetes in second pregnancy </w:t>
      </w:r>
      <w:r w:rsidR="009F5314" w:rsidRPr="00B548BF">
        <w:rPr>
          <w:rFonts w:cs="Arial"/>
        </w:rPr>
        <w:t xml:space="preserve">and breastfeeding status in second pregnancy </w:t>
      </w:r>
      <w:r w:rsidR="005359A3" w:rsidRPr="00B548BF">
        <w:rPr>
          <w:rFonts w:cs="Arial"/>
        </w:rPr>
        <w:t>(</w:t>
      </w:r>
      <w:proofErr w:type="spellStart"/>
      <w:r w:rsidR="005359A3" w:rsidRPr="00B548BF">
        <w:rPr>
          <w:rFonts w:cs="Arial"/>
        </w:rPr>
        <w:t>aRR</w:t>
      </w:r>
      <w:proofErr w:type="spellEnd"/>
      <w:r w:rsidR="005359A3" w:rsidRPr="00B548BF">
        <w:rPr>
          <w:rFonts w:cs="Arial"/>
        </w:rPr>
        <w:t xml:space="preserve"> 1.</w:t>
      </w:r>
      <w:r w:rsidR="00F519D6" w:rsidRPr="00B548BF">
        <w:rPr>
          <w:rFonts w:cs="Arial"/>
        </w:rPr>
        <w:t>74</w:t>
      </w:r>
      <w:r w:rsidR="005359A3" w:rsidRPr="00B548BF">
        <w:rPr>
          <w:rFonts w:cs="Arial"/>
        </w:rPr>
        <w:t>, 95% CI 1.0</w:t>
      </w:r>
      <w:r w:rsidR="00F519D6" w:rsidRPr="00B548BF">
        <w:rPr>
          <w:rFonts w:cs="Arial"/>
        </w:rPr>
        <w:t>7</w:t>
      </w:r>
      <w:r w:rsidR="005359A3" w:rsidRPr="00B548BF">
        <w:rPr>
          <w:rFonts w:cs="Arial"/>
        </w:rPr>
        <w:t xml:space="preserve"> to 2.</w:t>
      </w:r>
      <w:r w:rsidR="00F519D6" w:rsidRPr="00B548BF">
        <w:rPr>
          <w:rFonts w:cs="Arial"/>
        </w:rPr>
        <w:t>8</w:t>
      </w:r>
      <w:r w:rsidR="009F5314" w:rsidRPr="00B548BF">
        <w:rPr>
          <w:rFonts w:cs="Arial"/>
        </w:rPr>
        <w:t>3</w:t>
      </w:r>
      <w:r w:rsidR="005359A3" w:rsidRPr="00B548BF">
        <w:rPr>
          <w:rFonts w:cs="Arial"/>
        </w:rPr>
        <w:t xml:space="preserve"> for </w:t>
      </w:r>
      <w:r w:rsidRPr="00B548BF">
        <w:rPr>
          <w:rFonts w:cs="Arial"/>
        </w:rPr>
        <w:t>MWG</w:t>
      </w:r>
      <w:r w:rsidR="005359A3" w:rsidRPr="00B548BF">
        <w:rPr>
          <w:rFonts w:cs="Arial"/>
        </w:rPr>
        <w:t xml:space="preserve"> and </w:t>
      </w:r>
      <w:proofErr w:type="spellStart"/>
      <w:r w:rsidR="005359A3" w:rsidRPr="00B548BF">
        <w:rPr>
          <w:rFonts w:cs="Arial"/>
        </w:rPr>
        <w:t>aRR</w:t>
      </w:r>
      <w:proofErr w:type="spellEnd"/>
      <w:r w:rsidR="005359A3" w:rsidRPr="00B548BF">
        <w:rPr>
          <w:rFonts w:cs="Arial"/>
        </w:rPr>
        <w:t xml:space="preserve"> 1.8</w:t>
      </w:r>
      <w:r w:rsidR="009F5314" w:rsidRPr="00B548BF">
        <w:rPr>
          <w:rFonts w:cs="Arial"/>
        </w:rPr>
        <w:t>7</w:t>
      </w:r>
      <w:r w:rsidR="005359A3" w:rsidRPr="00B548BF">
        <w:rPr>
          <w:rFonts w:cs="Arial"/>
        </w:rPr>
        <w:t>, 95% CI 1.</w:t>
      </w:r>
      <w:r w:rsidR="009F5314" w:rsidRPr="00B548BF">
        <w:rPr>
          <w:rFonts w:cs="Arial"/>
        </w:rPr>
        <w:t>1</w:t>
      </w:r>
      <w:r w:rsidR="00F519D6" w:rsidRPr="00B548BF">
        <w:rPr>
          <w:rFonts w:cs="Arial"/>
        </w:rPr>
        <w:t>8</w:t>
      </w:r>
      <w:r w:rsidR="005359A3" w:rsidRPr="00B548BF">
        <w:rPr>
          <w:rFonts w:cs="Arial"/>
        </w:rPr>
        <w:t xml:space="preserve"> to </w:t>
      </w:r>
      <w:r w:rsidR="00F519D6" w:rsidRPr="00B548BF">
        <w:rPr>
          <w:rFonts w:cs="Arial"/>
        </w:rPr>
        <w:t>3.01</w:t>
      </w:r>
      <w:r w:rsidR="005359A3" w:rsidRPr="00B548BF">
        <w:rPr>
          <w:rFonts w:cs="Arial"/>
        </w:rPr>
        <w:t xml:space="preserve"> for </w:t>
      </w:r>
      <w:r w:rsidRPr="00B548BF">
        <w:rPr>
          <w:rFonts w:cs="Arial"/>
        </w:rPr>
        <w:t>SWG</w:t>
      </w:r>
      <w:r w:rsidR="005359A3" w:rsidRPr="00B548BF">
        <w:rPr>
          <w:rFonts w:cs="Arial"/>
        </w:rPr>
        <w:t xml:space="preserve">). There was no evidence of association between </w:t>
      </w:r>
      <w:r w:rsidR="002F220C" w:rsidRPr="00B548BF">
        <w:rPr>
          <w:rFonts w:cs="Arial"/>
        </w:rPr>
        <w:t xml:space="preserve">interpregnancy </w:t>
      </w:r>
      <w:r w:rsidR="005359A3" w:rsidRPr="00B548BF">
        <w:rPr>
          <w:rFonts w:cs="Arial"/>
        </w:rPr>
        <w:t>weight gain and childhood obesity</w:t>
      </w:r>
      <w:r w:rsidR="00270FCA" w:rsidRPr="00B548BF">
        <w:rPr>
          <w:rFonts w:cs="Arial"/>
        </w:rPr>
        <w:t xml:space="preserve"> in women who were overweight or obese at first pregnancy</w:t>
      </w:r>
      <w:r w:rsidR="009F5314" w:rsidRPr="00B548BF">
        <w:rPr>
          <w:rFonts w:cs="Arial"/>
        </w:rPr>
        <w:t>; however, the number of outcome events in this group were quite small.</w:t>
      </w:r>
      <w:r w:rsidR="00270FCA" w:rsidRPr="00B548BF">
        <w:rPr>
          <w:rFonts w:cs="Arial"/>
        </w:rPr>
        <w:t xml:space="preserve"> Analysis using IPW found the same association</w:t>
      </w:r>
      <w:r w:rsidR="007D0086" w:rsidRPr="00B548BF">
        <w:rPr>
          <w:rFonts w:cs="Arial"/>
        </w:rPr>
        <w:t xml:space="preserve"> with childhood obesity</w:t>
      </w:r>
      <w:r w:rsidR="00270FCA" w:rsidRPr="00B548BF">
        <w:rPr>
          <w:rFonts w:cs="Arial"/>
        </w:rPr>
        <w:t xml:space="preserve"> in women who were normal weight at first pregnancy </w:t>
      </w:r>
      <w:r w:rsidR="00F124B2" w:rsidRPr="00B548BF">
        <w:rPr>
          <w:rFonts w:cs="Arial"/>
        </w:rPr>
        <w:t>with SWG</w:t>
      </w:r>
      <w:r w:rsidR="00270FCA" w:rsidRPr="00B548BF">
        <w:rPr>
          <w:rFonts w:cs="Arial"/>
        </w:rPr>
        <w:t xml:space="preserve"> (Supplementary Table </w:t>
      </w:r>
      <w:r w:rsidR="00BA33FB" w:rsidRPr="00B548BF">
        <w:rPr>
          <w:rFonts w:cs="Arial"/>
        </w:rPr>
        <w:t>3</w:t>
      </w:r>
      <w:r w:rsidR="00270FCA" w:rsidRPr="00B548BF">
        <w:rPr>
          <w:rFonts w:cs="Arial"/>
        </w:rPr>
        <w:t xml:space="preserve">). </w:t>
      </w:r>
    </w:p>
    <w:p w14:paraId="27B7852B" w14:textId="0D3203C8" w:rsidR="00837147" w:rsidRPr="00B86F5F" w:rsidRDefault="00E802D0" w:rsidP="00B86F5F">
      <w:pPr>
        <w:pStyle w:val="CommentText"/>
        <w:spacing w:line="480" w:lineRule="auto"/>
        <w:rPr>
          <w:rFonts w:cs="Arial"/>
          <w:sz w:val="22"/>
          <w:szCs w:val="22"/>
        </w:rPr>
      </w:pPr>
      <w:r w:rsidRPr="00B86F5F">
        <w:rPr>
          <w:rFonts w:cs="Arial"/>
          <w:sz w:val="22"/>
          <w:szCs w:val="22"/>
        </w:rPr>
        <w:t>Mean weight loss in women who lost weight (≤-1 kg/m</w:t>
      </w:r>
      <w:r w:rsidRPr="00E802D0">
        <w:rPr>
          <w:rFonts w:cs="Arial"/>
          <w:sz w:val="22"/>
          <w:szCs w:val="22"/>
          <w:vertAlign w:val="superscript"/>
        </w:rPr>
        <w:t>2</w:t>
      </w:r>
      <w:r w:rsidRPr="00B86F5F">
        <w:rPr>
          <w:rFonts w:cs="Arial"/>
          <w:sz w:val="22"/>
          <w:szCs w:val="22"/>
        </w:rPr>
        <w:t xml:space="preserve">) was 2.4 kg (SD 1.6). </w:t>
      </w:r>
      <w:r w:rsidR="00837147" w:rsidRPr="00B86F5F">
        <w:rPr>
          <w:rFonts w:cs="Arial"/>
          <w:sz w:val="22"/>
          <w:szCs w:val="22"/>
        </w:rPr>
        <w:t>In fully adjusted models, the risk of child obesity were lower in mothers who lost weight (≤-1 kg/m2) between pregnancies having been overweight (</w:t>
      </w:r>
      <w:proofErr w:type="spellStart"/>
      <w:r w:rsidR="00837147" w:rsidRPr="00B86F5F">
        <w:rPr>
          <w:rFonts w:cs="Arial"/>
          <w:sz w:val="22"/>
          <w:szCs w:val="22"/>
        </w:rPr>
        <w:t>aRR</w:t>
      </w:r>
      <w:proofErr w:type="spellEnd"/>
      <w:r w:rsidR="00837147" w:rsidRPr="00B86F5F">
        <w:rPr>
          <w:rFonts w:cs="Arial"/>
          <w:sz w:val="22"/>
          <w:szCs w:val="22"/>
        </w:rPr>
        <w:t xml:space="preserve"> 0.69, 95% CI 0.38 to 1.23) or obese (</w:t>
      </w:r>
      <w:proofErr w:type="spellStart"/>
      <w:r w:rsidR="00837147" w:rsidRPr="00B86F5F">
        <w:rPr>
          <w:rFonts w:cs="Arial"/>
          <w:sz w:val="22"/>
          <w:szCs w:val="22"/>
        </w:rPr>
        <w:t>aRR</w:t>
      </w:r>
      <w:proofErr w:type="spellEnd"/>
      <w:r w:rsidR="00837147" w:rsidRPr="00B86F5F">
        <w:rPr>
          <w:rFonts w:cs="Arial"/>
          <w:sz w:val="22"/>
          <w:szCs w:val="22"/>
        </w:rPr>
        <w:t xml:space="preserve"> 0.92, 95% CI 0.55 to 1.55) at their first pregnancy</w:t>
      </w:r>
      <w:r w:rsidR="002D3BB1" w:rsidRPr="00B86F5F">
        <w:rPr>
          <w:rFonts w:cs="Arial"/>
          <w:sz w:val="22"/>
          <w:szCs w:val="22"/>
        </w:rPr>
        <w:t>. However,</w:t>
      </w:r>
      <w:r w:rsidR="00837147" w:rsidRPr="00B86F5F">
        <w:rPr>
          <w:rFonts w:cs="Arial"/>
          <w:sz w:val="22"/>
          <w:szCs w:val="22"/>
        </w:rPr>
        <w:t xml:space="preserve"> the numbers of mothers in these groups were modest</w:t>
      </w:r>
      <w:r w:rsidR="002D3BB1" w:rsidRPr="00B86F5F">
        <w:rPr>
          <w:rFonts w:cs="Arial"/>
          <w:sz w:val="22"/>
          <w:szCs w:val="22"/>
        </w:rPr>
        <w:t xml:space="preserve"> (304 and 200 women overweight and obese respectively at first pregnancy)</w:t>
      </w:r>
      <w:r w:rsidR="00837147" w:rsidRPr="00B86F5F">
        <w:rPr>
          <w:rFonts w:cs="Arial"/>
          <w:sz w:val="22"/>
          <w:szCs w:val="22"/>
        </w:rPr>
        <w:t xml:space="preserve"> and the confidence intervals wide (Supplementary Table 4).</w:t>
      </w:r>
    </w:p>
    <w:p w14:paraId="538642E6" w14:textId="77777777" w:rsidR="000F65A8" w:rsidRPr="00B548BF" w:rsidRDefault="000F65A8" w:rsidP="00BA33FB">
      <w:pPr>
        <w:spacing w:line="480" w:lineRule="auto"/>
        <w:rPr>
          <w:rFonts w:cs="Arial"/>
        </w:rPr>
      </w:pPr>
    </w:p>
    <w:p w14:paraId="544A2449" w14:textId="77777777" w:rsidR="007655F9" w:rsidRPr="00B548BF" w:rsidRDefault="007655F9" w:rsidP="00BA33FB">
      <w:pPr>
        <w:spacing w:line="480" w:lineRule="auto"/>
        <w:rPr>
          <w:rFonts w:cs="Arial"/>
        </w:rPr>
      </w:pPr>
    </w:p>
    <w:p w14:paraId="1280999D" w14:textId="77777777" w:rsidR="00584D3B" w:rsidRPr="00B548BF" w:rsidRDefault="00E0662F" w:rsidP="00BA33FB">
      <w:pPr>
        <w:spacing w:line="480" w:lineRule="auto"/>
        <w:rPr>
          <w:b/>
        </w:rPr>
      </w:pPr>
      <w:r w:rsidRPr="00B548BF">
        <w:rPr>
          <w:b/>
        </w:rPr>
        <w:t>Discussion</w:t>
      </w:r>
    </w:p>
    <w:p w14:paraId="6A91D727" w14:textId="47492EC2" w:rsidR="006B0C12" w:rsidRPr="00B548BF" w:rsidRDefault="005E4A03" w:rsidP="00BA33FB">
      <w:pPr>
        <w:spacing w:line="480" w:lineRule="auto"/>
      </w:pPr>
      <w:r w:rsidRPr="00B548BF">
        <w:lastRenderedPageBreak/>
        <w:t>In this study sample, n</w:t>
      </w:r>
      <w:r w:rsidR="006B0C12" w:rsidRPr="00B548BF">
        <w:t xml:space="preserve">early a quarter of women gained </w:t>
      </w:r>
      <w:r w:rsidR="009F5314" w:rsidRPr="00B548BF">
        <w:rPr>
          <w:rFonts w:cs="Arial"/>
        </w:rPr>
        <w:t>≥3 kg/m</w:t>
      </w:r>
      <w:r w:rsidR="009F5314" w:rsidRPr="00B548BF">
        <w:rPr>
          <w:rFonts w:cs="Arial"/>
          <w:vertAlign w:val="superscript"/>
        </w:rPr>
        <w:t>2</w:t>
      </w:r>
      <w:r w:rsidR="009F5314" w:rsidRPr="00B548BF">
        <w:rPr>
          <w:rFonts w:cs="Arial"/>
        </w:rPr>
        <w:t xml:space="preserve"> </w:t>
      </w:r>
      <w:r w:rsidR="006B0C12" w:rsidRPr="00B548BF">
        <w:t xml:space="preserve">between their first and second pregnancies. Children of </w:t>
      </w:r>
      <w:r w:rsidR="00B0352C" w:rsidRPr="00B548BF">
        <w:t xml:space="preserve">normal weight and </w:t>
      </w:r>
      <w:r w:rsidR="001860F2" w:rsidRPr="00B548BF">
        <w:t xml:space="preserve">obese </w:t>
      </w:r>
      <w:r w:rsidR="006B0C12" w:rsidRPr="00B548BF">
        <w:t xml:space="preserve">mothers who started their second pregnancy having gained </w:t>
      </w:r>
      <w:r w:rsidR="00B313E1" w:rsidRPr="00B548BF">
        <w:t>≥3 kg/m</w:t>
      </w:r>
      <w:r w:rsidR="00B313E1" w:rsidRPr="00B548BF">
        <w:rPr>
          <w:vertAlign w:val="superscript"/>
        </w:rPr>
        <w:t xml:space="preserve">2 </w:t>
      </w:r>
      <w:r w:rsidR="006B0C12" w:rsidRPr="00B548BF">
        <w:t xml:space="preserve">from their first pregnancy were more likely to be overweight </w:t>
      </w:r>
      <w:r w:rsidRPr="00B548BF">
        <w:t xml:space="preserve">or </w:t>
      </w:r>
      <w:r w:rsidR="006B0C12" w:rsidRPr="00B548BF">
        <w:t xml:space="preserve">obese </w:t>
      </w:r>
      <w:r w:rsidRPr="00B548BF">
        <w:t>(</w:t>
      </w:r>
      <w:r w:rsidR="00A03522" w:rsidRPr="00B548BF">
        <w:t>≥</w:t>
      </w:r>
      <w:r w:rsidRPr="00B548BF">
        <w:t>85</w:t>
      </w:r>
      <w:r w:rsidRPr="00B548BF">
        <w:rPr>
          <w:vertAlign w:val="superscript"/>
        </w:rPr>
        <w:t>th</w:t>
      </w:r>
      <w:r w:rsidRPr="00B548BF">
        <w:t xml:space="preserve"> centile) </w:t>
      </w:r>
      <w:r w:rsidR="006B0C12" w:rsidRPr="00B548BF">
        <w:t>at the start of primary school; this association was attenuated by accounting for birthweight</w:t>
      </w:r>
      <w:r w:rsidR="008B3099" w:rsidRPr="00B548BF">
        <w:t>;</w:t>
      </w:r>
      <w:r w:rsidR="004935E2" w:rsidRPr="00B548BF">
        <w:t xml:space="preserve"> likely to be on </w:t>
      </w:r>
      <w:r w:rsidR="00F64CEF" w:rsidRPr="00B548BF">
        <w:t>the</w:t>
      </w:r>
      <w:r w:rsidR="004935E2" w:rsidRPr="00B548BF">
        <w:t xml:space="preserve"> causal pathway between interpregnancy BMI gain and offspring obesity</w:t>
      </w:r>
      <w:r w:rsidR="006B0C12" w:rsidRPr="00B548BF">
        <w:t>.</w:t>
      </w:r>
      <w:r w:rsidR="00B313E1" w:rsidRPr="00B548BF">
        <w:t xml:space="preserve"> Children of normal weight women who gained weight (1-3 and ≥3 kg/m</w:t>
      </w:r>
      <w:r w:rsidR="00B313E1" w:rsidRPr="00B548BF">
        <w:rPr>
          <w:vertAlign w:val="superscript"/>
        </w:rPr>
        <w:t>2</w:t>
      </w:r>
      <w:r w:rsidR="00B313E1" w:rsidRPr="00B548BF">
        <w:t>) from their first pregnancy were more likely to be obese</w:t>
      </w:r>
      <w:r w:rsidRPr="00B548BF">
        <w:t xml:space="preserve"> (</w:t>
      </w:r>
      <w:r w:rsidR="00A03522" w:rsidRPr="00B548BF">
        <w:t>≥</w:t>
      </w:r>
      <w:r w:rsidRPr="00B548BF">
        <w:t>95</w:t>
      </w:r>
      <w:r w:rsidRPr="00B548BF">
        <w:rPr>
          <w:vertAlign w:val="superscript"/>
        </w:rPr>
        <w:t>th</w:t>
      </w:r>
      <w:r w:rsidRPr="00B548BF">
        <w:t xml:space="preserve"> centile)</w:t>
      </w:r>
      <w:r w:rsidR="00B313E1" w:rsidRPr="00B548BF">
        <w:t xml:space="preserve"> at the start of primary school.</w:t>
      </w:r>
    </w:p>
    <w:p w14:paraId="3907CCD4" w14:textId="2B6F5DC6" w:rsidR="00654E76" w:rsidRPr="00B548BF" w:rsidRDefault="00654E76" w:rsidP="00BA33FB">
      <w:pPr>
        <w:spacing w:line="480" w:lineRule="auto"/>
      </w:pPr>
      <w:r w:rsidRPr="00B548BF">
        <w:t>T</w:t>
      </w:r>
      <w:r w:rsidR="00E063C7" w:rsidRPr="00B548BF">
        <w:t xml:space="preserve">he risk </w:t>
      </w:r>
      <w:r w:rsidRPr="00B548BF">
        <w:t>of overweight and obesity in the second child</w:t>
      </w:r>
      <w:r w:rsidR="005E4A03" w:rsidRPr="00B548BF">
        <w:t xml:space="preserve"> with interpregnancy weight gain</w:t>
      </w:r>
      <w:r w:rsidRPr="00B548BF">
        <w:t xml:space="preserve"> </w:t>
      </w:r>
      <w:r w:rsidR="00E063C7" w:rsidRPr="00B548BF">
        <w:t>was attenuate</w:t>
      </w:r>
      <w:r w:rsidR="00A80D8A" w:rsidRPr="00B548BF">
        <w:t>d</w:t>
      </w:r>
      <w:r w:rsidR="00E063C7" w:rsidRPr="00B548BF">
        <w:t xml:space="preserve"> on adjusting for second pregnancy/birth factors</w:t>
      </w:r>
      <w:r w:rsidR="001B53AD" w:rsidRPr="00B548BF">
        <w:t xml:space="preserve">. </w:t>
      </w:r>
      <w:r w:rsidR="00A80D8A" w:rsidRPr="00B548BF">
        <w:t xml:space="preserve">Maternal </w:t>
      </w:r>
      <w:r w:rsidR="000F1A4A" w:rsidRPr="00B548BF">
        <w:t xml:space="preserve">overweight and </w:t>
      </w:r>
      <w:r w:rsidR="00A80D8A" w:rsidRPr="00B548BF">
        <w:t xml:space="preserve">obesity is an established risk factor for GDM, </w:t>
      </w:r>
      <w:r w:rsidR="00777895" w:rsidRPr="00B548BF">
        <w:t xml:space="preserve">higher </w:t>
      </w:r>
      <w:r w:rsidR="00A80D8A" w:rsidRPr="00B548BF">
        <w:t>birthweight and lower rates of breastfeeding</w:t>
      </w:r>
      <w:r w:rsidR="003F5862" w:rsidRPr="007F22F1">
        <w:rPr>
          <w:vertAlign w:val="superscript"/>
        </w:rPr>
        <w:fldChar w:fldCharType="begin"/>
      </w:r>
      <w:r w:rsidR="007F22F1" w:rsidRPr="007F22F1">
        <w:rPr>
          <w:vertAlign w:val="superscript"/>
        </w:rPr>
        <w:instrText xml:space="preserve"> ADDIN ZOTERO_ITEM CSL_CITATION {"citationID":"gY9O6F2j","properties":{"formattedCitation":"(36)","plainCitation":"(36)","noteIndex":0},"citationItems":[{"id":234,"uris":["http://zotero.org/users/6410601/items/J6R3KYY6"],"uri":["http://zotero.org/users/6410601/items/J6R3KYY6"],"itemData":{"id":234,"type":"article-journal","container-title":"The Lancet Diabetes &amp; Endocrinology","DOI":"10.1016/S2213-8587(16)30217-0","ISSN":"22138587","issue":"12","journalAbbreviation":"The Lancet Diabetes &amp; Endocrinology","language":"en","page":"1025-1036","source":"DOI.org (Crossref)","title":"Preconceptional and maternal obesity: epidemiology and health consequences","title-short":"Preconceptional and maternal obesity","volume":"4","author":[{"family":"Poston","given":"Lucilla"},{"family":"Caleyachetty","given":"Rishi"},{"family":"Cnattingius","given":"Sven"},{"family":"Corvalán","given":"Camila"},{"family":"Uauy","given":"Ricardo"},{"family":"Herring","given":"Sharron"},{"family":"Gillman","given":"Matthew W"}],"issued":{"date-parts":[["2016",12]]}}}],"schema":"https://github.com/citation-style-language/schema/raw/master/csl-citation.json"} </w:instrText>
      </w:r>
      <w:r w:rsidR="003F5862" w:rsidRPr="007F22F1">
        <w:rPr>
          <w:vertAlign w:val="superscript"/>
        </w:rPr>
        <w:fldChar w:fldCharType="separate"/>
      </w:r>
      <w:r w:rsidR="007F22F1" w:rsidRPr="007F22F1">
        <w:rPr>
          <w:vertAlign w:val="superscript"/>
        </w:rPr>
        <w:t>(36)</w:t>
      </w:r>
      <w:r w:rsidR="003F5862" w:rsidRPr="007F22F1">
        <w:rPr>
          <w:vertAlign w:val="superscript"/>
        </w:rPr>
        <w:fldChar w:fldCharType="end"/>
      </w:r>
      <w:r w:rsidRPr="00B548BF">
        <w:t>, all of which are risk factors for childhood overweight and obesity</w:t>
      </w:r>
      <w:r w:rsidR="004266E5" w:rsidRPr="007F22F1">
        <w:rPr>
          <w:vertAlign w:val="superscript"/>
        </w:rPr>
        <w:fldChar w:fldCharType="begin"/>
      </w:r>
      <w:r w:rsidR="007F22F1" w:rsidRPr="007F22F1">
        <w:rPr>
          <w:vertAlign w:val="superscript"/>
        </w:rPr>
        <w:instrText xml:space="preserve"> ADDIN ZOTERO_ITEM CSL_CITATION {"citationID":"DW1Xf6WQ","properties":{"formattedCitation":"(37\\uc0\\u8211{}39)","plainCitation":"(37–39)","noteIndex":0},"citationItems":[{"id":141,"uris":["http://zotero.org/users/6410601/items/QKC3MCUE"],"uri":["http://zotero.org/users/6410601/items/QKC3MCUE"],"itemData":{"id":141,"type":"article-journal","container-title":"Maternal and Child Health Journal","DOI":"10.1007/s10995-011-0756-2","ISSN":"1092-7875, 1573-6628","issue":"1","journalAbbreviation":"Matern Child Health J","language":"en","page":"125-132","source":"DOI.org (Crossref)","title":"Gestational Diabetes and Subsequent Growth Patterns of Offspring: The National Collaborative Perinatal Project","title-short":"Gestational Diabetes and Subsequent Growth Patterns of Offspring","volume":"16","author":[{"family":"Baptiste-Roberts","given":"Kesha"},{"family":"Nicholson","given":"Wanda K."},{"family":"Wang","given":"Nae-Yuh"},{"family":"Brancati","given":"Frederick L."}],"issued":{"date-parts":[["2012",1]]}}},{"id":142,"uris":["http://zotero.org/users/6410601/items/97Y3YZB7"],"uri":["http://zotero.org/users/6410601/items/97Y3YZB7"],"itemData":{"id":142,"type":"article-journal","container-title":"The American Journal of Clinical Nutrition","DOI":"10.3945/ajcn.115.121780","ISSN":"0002-9165, 1938-3207","issue":"3","language":"en","page":"794-800","source":"DOI.org (Crossref)","title":"Growth and obesity through the first 7 y of life in association with levels of maternal glycemia during pregnancy: a prospective cohort study","title-short":"Growth and obesity through the first 7 y of life in association with levels of maternal glycemia during pregnancy","volume":"103","author":[{"family":"Zhu","given":"Yeyi"},{"family":"Olsen","given":"Sjurdur F"},{"family":"Mendola","given":"Pauline"},{"family":"Yeung","given":"Edwina H"},{"family":"Vaag","given":"Allan"},{"family":"Bowers","given":"Katherine"},{"family":"Liu","given":"Aiyi"},{"family":"Bao","given":"Wei"},{"family":"Li","given":"Shanshan"},{"family":"Madsen","given":"Camilla"},{"family":"Grunnet","given":"Louise G"},{"family":"Granström","given":"Charlotta"},{"family":"Hansen","given":"Susanne"},{"family":"Martin","given":"Kelly"},{"family":"Chavarro","given":"Jorge E"},{"family":"Hu","given":"Frank B"},{"family":"Langhoff-Roos","given":"Jens"},{"family":"Damm","given":"Peter"},{"family":"Zhang","given":"Cuilin"}],"issued":{"date-parts":[["2016",3,1]]}}},{"id":143,"uris":["http://zotero.org/users/6410601/items/8M76ZI7R"],"uri":["http://zotero.org/users/6410601/items/8M76ZI7R"],"itemData":{"id":143,"type":"article-journal","abstract":"Objective To determine risk factors for childhood overweight that can be identi</w:instrText>
      </w:r>
      <w:r w:rsidR="007F22F1" w:rsidRPr="007F22F1">
        <w:rPr>
          <w:rFonts w:ascii="Arial" w:hAnsi="Arial" w:cs="Arial"/>
          <w:vertAlign w:val="superscript"/>
        </w:rPr>
        <w:instrText>ﬁ</w:instrText>
      </w:r>
      <w:r w:rsidR="007F22F1" w:rsidRPr="007F22F1">
        <w:rPr>
          <w:vertAlign w:val="superscript"/>
        </w:rPr>
        <w:instrText xml:space="preserve">ed during the </w:instrText>
      </w:r>
      <w:r w:rsidR="007F22F1" w:rsidRPr="007F22F1">
        <w:rPr>
          <w:rFonts w:ascii="Arial" w:hAnsi="Arial" w:cs="Arial"/>
          <w:vertAlign w:val="superscript"/>
        </w:rPr>
        <w:instrText>ﬁ</w:instrText>
      </w:r>
      <w:r w:rsidR="007F22F1" w:rsidRPr="007F22F1">
        <w:rPr>
          <w:vertAlign w:val="superscript"/>
        </w:rPr>
        <w:instrText>rst year of life to facilitate early identi</w:instrText>
      </w:r>
      <w:r w:rsidR="007F22F1" w:rsidRPr="007F22F1">
        <w:rPr>
          <w:rFonts w:ascii="Arial" w:hAnsi="Arial" w:cs="Arial"/>
          <w:vertAlign w:val="superscript"/>
        </w:rPr>
        <w:instrText>ﬁ</w:instrText>
      </w:r>
      <w:r w:rsidR="007F22F1" w:rsidRPr="007F22F1">
        <w:rPr>
          <w:vertAlign w:val="superscript"/>
        </w:rPr>
        <w:instrText>cation and targeted intervention. Design Systematic review and meta-analysis. Search strategy Electronic database search of MEDLINE, EMBASE, PubMed and CAB Abstracts. Eligibility criteria Prospective observational studies following up children from birth for at least 2 years.\nResults Thirty prospective studies were identi</w:instrText>
      </w:r>
      <w:r w:rsidR="007F22F1" w:rsidRPr="007F22F1">
        <w:rPr>
          <w:rFonts w:ascii="Arial" w:hAnsi="Arial" w:cs="Arial"/>
          <w:vertAlign w:val="superscript"/>
        </w:rPr>
        <w:instrText>ﬁ</w:instrText>
      </w:r>
      <w:r w:rsidR="007F22F1" w:rsidRPr="007F22F1">
        <w:rPr>
          <w:vertAlign w:val="superscript"/>
        </w:rPr>
        <w:instrText>ed. Signi</w:instrText>
      </w:r>
      <w:r w:rsidR="007F22F1" w:rsidRPr="007F22F1">
        <w:rPr>
          <w:rFonts w:ascii="Arial" w:hAnsi="Arial" w:cs="Arial"/>
          <w:vertAlign w:val="superscript"/>
        </w:rPr>
        <w:instrText>ﬁ</w:instrText>
      </w:r>
      <w:r w:rsidR="007F22F1" w:rsidRPr="007F22F1">
        <w:rPr>
          <w:vertAlign w:val="superscript"/>
        </w:rPr>
        <w:instrText>cant and strong independent associations with childhood overweight were identi</w:instrText>
      </w:r>
      <w:r w:rsidR="007F22F1" w:rsidRPr="007F22F1">
        <w:rPr>
          <w:rFonts w:ascii="Arial" w:hAnsi="Arial" w:cs="Arial"/>
          <w:vertAlign w:val="superscript"/>
        </w:rPr>
        <w:instrText>ﬁ</w:instrText>
      </w:r>
      <w:r w:rsidR="007F22F1" w:rsidRPr="007F22F1">
        <w:rPr>
          <w:vertAlign w:val="superscript"/>
        </w:rPr>
        <w:instrText xml:space="preserve">ed for maternal prepregnancy overweight, high infant birth weight and rapid weight gain during the </w:instrText>
      </w:r>
      <w:r w:rsidR="007F22F1" w:rsidRPr="007F22F1">
        <w:rPr>
          <w:rFonts w:ascii="Arial" w:hAnsi="Arial" w:cs="Arial"/>
          <w:vertAlign w:val="superscript"/>
        </w:rPr>
        <w:instrText>ﬁ</w:instrText>
      </w:r>
      <w:r w:rsidR="007F22F1" w:rsidRPr="007F22F1">
        <w:rPr>
          <w:vertAlign w:val="superscript"/>
        </w:rPr>
        <w:instrText>rst year of life. Meta-analysis comparing breastfed with non-breastfed infants found a 15% decrease (95% CI 0.74 to 0.99; I2=73.3%; n=10) in the odds of childhood overweight. For children of mothers smoking during pregnancy there was a 47% increase (95% CI 1.26 to 1.73; I2=47.5%; n=7) in the odds of childhood overweight. There was some evidence associating early introduction of solid foods and childhood overweight. There was con</w:instrText>
      </w:r>
      <w:r w:rsidR="007F22F1" w:rsidRPr="007F22F1">
        <w:rPr>
          <w:rFonts w:ascii="Arial" w:hAnsi="Arial" w:cs="Arial"/>
          <w:vertAlign w:val="superscript"/>
        </w:rPr>
        <w:instrText>ﬂ</w:instrText>
      </w:r>
      <w:r w:rsidR="007F22F1" w:rsidRPr="007F22F1">
        <w:rPr>
          <w:vertAlign w:val="superscript"/>
        </w:rPr>
        <w:instrText>icting evidence for duration of breastfeeding, socioeconomic status at birth, parity and maternal marital status at birth. No association with childhood overweight was found for maternal age or education at birth, maternal depression or infant ethnicity. There was inconclusive evidence for delivery type, gestational weight gain, maternal postpartum weight loss and ‘fussy’ infant temperament due to the limited number of studies.\nConclusions Several risk factors for both overweight and obesity in childhood are identi</w:instrText>
      </w:r>
      <w:r w:rsidR="007F22F1" w:rsidRPr="007F22F1">
        <w:rPr>
          <w:rFonts w:ascii="Arial" w:hAnsi="Arial" w:cs="Arial"/>
          <w:vertAlign w:val="superscript"/>
        </w:rPr>
        <w:instrText>ﬁ</w:instrText>
      </w:r>
      <w:r w:rsidR="007F22F1" w:rsidRPr="007F22F1">
        <w:rPr>
          <w:vertAlign w:val="superscript"/>
        </w:rPr>
        <w:instrText xml:space="preserve">able during infancy. Future research needs to focus on whether it is clinically feasible for healthcare professionals to identify infants at greatest risk.","container-title":"Archives of Disease in Childhood","DOI":"10.1136/archdischild-2012-302263","ISSN":"0003-9888, 1468-2044","issue":"12","journalAbbreviation":"Arch Dis Child","language":"en","page":"1019-1026","source":"DOI.org (Crossref)","title":"Systematic review and meta-analyses of risk factors for childhood overweight identifiable during infancy","volume":"97","author":[{"family":"Weng","given":"Stephen Franklin"},{"family":"Redsell","given":"Sarah A"},{"family":"Swift","given":"Judy A"},{"family":"Yang","given":"Min"},{"family":"Glazebrook","given":"Cristine P"}],"issued":{"date-parts":[["2012",12]]}}}],"schema":"https://github.com/citation-style-language/schema/raw/master/csl-citation.json"} </w:instrText>
      </w:r>
      <w:r w:rsidR="004266E5" w:rsidRPr="007F22F1">
        <w:rPr>
          <w:vertAlign w:val="superscript"/>
        </w:rPr>
        <w:fldChar w:fldCharType="separate"/>
      </w:r>
      <w:r w:rsidR="007F22F1" w:rsidRPr="007F22F1">
        <w:rPr>
          <w:rFonts w:cs="Times New Roman"/>
          <w:szCs w:val="24"/>
          <w:vertAlign w:val="superscript"/>
        </w:rPr>
        <w:t>(37–39)</w:t>
      </w:r>
      <w:r w:rsidR="004266E5" w:rsidRPr="007F22F1">
        <w:rPr>
          <w:vertAlign w:val="superscript"/>
        </w:rPr>
        <w:fldChar w:fldCharType="end"/>
      </w:r>
      <w:r w:rsidRPr="00B548BF">
        <w:t xml:space="preserve">. Weight gain between </w:t>
      </w:r>
      <w:r w:rsidR="003F5862" w:rsidRPr="00B548BF">
        <w:t xml:space="preserve">pregnancies </w:t>
      </w:r>
      <w:r w:rsidR="00777895" w:rsidRPr="00B548BF">
        <w:t xml:space="preserve">is </w:t>
      </w:r>
      <w:r w:rsidRPr="00B548BF">
        <w:t>associated with increased risk of GDM</w:t>
      </w:r>
      <w:r w:rsidR="00E55D24" w:rsidRPr="00B548BF">
        <w:t xml:space="preserve"> and LGA</w:t>
      </w:r>
      <w:r w:rsidR="00605C87" w:rsidRPr="00B548BF">
        <w:rPr>
          <w:vertAlign w:val="superscript"/>
        </w:rPr>
        <w:fldChar w:fldCharType="begin"/>
      </w:r>
      <w:r w:rsidR="008021BE" w:rsidRPr="00B548BF">
        <w:rPr>
          <w:vertAlign w:val="superscript"/>
        </w:rPr>
        <w:instrText xml:space="preserve"> ADDIN ZOTERO_ITEM CSL_CITATION {"citationID":"mPVabvMG","properties":{"formattedCitation":"(14\\uc0\\u8211{}16)","plainCitation":"(14–16)","noteIndex":0},"citationItems":[{"id":167,"uris":["http://zotero.org/users/6410601/items/CWZEBPAS"],"uri":["http://zotero.org/users/6410601/items/CWZEBPAS"],"itemData":{"id":167,"type":"article-journal","container-title":"BMJ Open","DOI":"10.1136/bmjopen-2017-018778","ISSN":"2044-6055, 2044-6055","issue":"6","journalAbbreviation":"BMJ Open","language":"en","page":"e018778","source":"DOI.org (Crossref)","title":"Interpregnancy weight change and adverse pregnancy outcomes: a systematic review and meta-analysis","title-short":"Interpregnancy weight change and adverse pregnancy outcomes","volume":"8","author":[{"family":"Oteng-Ntim","given":"Eugene"},{"family":"Mononen","given":"Sofia"},{"family":"Sawicki","given":"Olga"},{"family":"Seed","given":"Paul T"},{"family":"Bick","given":"Debra"},{"family":"Poston","given":"Lucilla"}],"issued":{"date-parts":[["2018",6]]}}},{"id":166,"uris":["http://zotero.org/users/6410601/items/THPPRSXU"],"uri":["http://zotero.org/users/6410601/items/THPPRSXU"],"itemData":{"id":166,"type":"article-journal","container-title":"BMC Pregnancy and Childbirth","DOI":"10.1186/s12884-019-2566-2","ISSN":"1471-2393","issue":"1","journalAbbreviation":"BMC Pregnancy Childbirth","language":"en","page":"386","source":"DOI.org (Crossref)","title":"Effect of interpregnancy weight change on perinatal outcomes: systematic review and meta-analysis","title-short":"Effect of interpregnancy weight change on perinatal outcomes","volume":"19","author":[{"family":"Teulings","given":"Noor E. W. D."},{"family":"Masconi","given":"Katya L."},{"family":"Ozanne","given":"Susan E."},{"family":"Aiken","given":"Catherine E."},{"family":"Wood","given":"Angela M."}],"issued":{"date-parts":[["2019",12]]}}},{"id":165,"uris":["http://zotero.org/users/6410601/items/BEZQBNWK"],"uri":["http://zotero.org/users/6410601/items/BEZQBNWK"],"itemData":{"id":165,"type":"article-journal","container-title":"Obesity Reviews","DOI":"10.1111/obr.12974","ISSN":"1467-7881, 1467-789X","issue":"3","journalAbbreviation":"Obesity Reviews","language":"en","source":"DOI.org (Crossref)","title":"The impact of interpregnancy weight change on perinatal outcomes in women and their children: A systematic review and meta</w:instrText>
      </w:r>
      <w:r w:rsidR="008021BE" w:rsidRPr="00B548BF">
        <w:rPr>
          <w:rFonts w:ascii="Cambria Math" w:hAnsi="Cambria Math" w:cs="Cambria Math"/>
          <w:vertAlign w:val="superscript"/>
        </w:rPr>
        <w:instrText>‐</w:instrText>
      </w:r>
      <w:r w:rsidR="008021BE" w:rsidRPr="00B548BF">
        <w:rPr>
          <w:vertAlign w:val="superscript"/>
        </w:rPr>
        <w:instrText>analysis","title-short":"The impact of interpregnancy weight change on perinatal outcomes in women and their children","URL":"https://onlinelibrary.wiley.com/doi/abs/10.1111/obr.12974","volume":"21","author":[{"family":"Timmermans","given":"Yvon E.G."},{"family":"Kant","given":"Kim D.G."},{"family":"Oosterman","given":"Elise O."},{"family":"Spaanderman","given":"Marc E.A."},{"family":"Villamor</w:instrText>
      </w:r>
      <w:r w:rsidR="008021BE" w:rsidRPr="00B548BF">
        <w:rPr>
          <w:rFonts w:ascii="Cambria Math" w:hAnsi="Cambria Math" w:cs="Cambria Math"/>
          <w:vertAlign w:val="superscript"/>
        </w:rPr>
        <w:instrText>‐</w:instrText>
      </w:r>
      <w:r w:rsidR="008021BE" w:rsidRPr="00B548BF">
        <w:rPr>
          <w:vertAlign w:val="superscript"/>
        </w:rPr>
        <w:instrText xml:space="preserve">Martinez","given":"Eduardo"},{"family":"Kleijnen","given":"Jos"},{"family":"Vreugdenhil","given":"Anita C.E."}],"accessed":{"date-parts":[["2020",8,25]]},"issued":{"date-parts":[["2020",3]]}}}],"schema":"https://github.com/citation-style-language/schema/raw/master/csl-citation.json"} </w:instrText>
      </w:r>
      <w:r w:rsidR="00605C87" w:rsidRPr="00B548BF">
        <w:rPr>
          <w:vertAlign w:val="superscript"/>
        </w:rPr>
        <w:fldChar w:fldCharType="separate"/>
      </w:r>
      <w:r w:rsidR="008021BE" w:rsidRPr="00B548BF">
        <w:rPr>
          <w:rFonts w:cs="Times New Roman"/>
          <w:szCs w:val="24"/>
          <w:vertAlign w:val="superscript"/>
        </w:rPr>
        <w:t>(14–16)</w:t>
      </w:r>
      <w:r w:rsidR="00605C87" w:rsidRPr="00B548BF">
        <w:rPr>
          <w:vertAlign w:val="superscript"/>
        </w:rPr>
        <w:fldChar w:fldCharType="end"/>
      </w:r>
      <w:r w:rsidR="00067F6D" w:rsidRPr="00B548BF">
        <w:t>,</w:t>
      </w:r>
      <w:r w:rsidRPr="00B548BF">
        <w:t xml:space="preserve"> particularly in normal weight women</w:t>
      </w:r>
      <w:r w:rsidR="00E55D24" w:rsidRPr="00B548BF">
        <w:rPr>
          <w:vertAlign w:val="superscript"/>
        </w:rPr>
        <w:fldChar w:fldCharType="begin"/>
      </w:r>
      <w:r w:rsidR="008021BE" w:rsidRPr="00B548BF">
        <w:rPr>
          <w:vertAlign w:val="superscript"/>
        </w:rPr>
        <w:instrText xml:space="preserve"> ADDIN ZOTERO_ITEM CSL_CITATION {"citationID":"zScNHQhX","properties":{"formattedCitation":"(14,15)","plainCitation":"(14,15)","noteIndex":0},"citationItems":[{"id":167,"uris":["http://zotero.org/users/6410601/items/CWZEBPAS"],"uri":["http://zotero.org/users/6410601/items/CWZEBPAS"],"itemData":{"id":167,"type":"article-journal","container-title":"BMJ Open","DOI":"10.1136/bmjopen-2017-018778","ISSN":"2044-6055, 2044-6055","issue":"6","journalAbbreviation":"BMJ Open","language":"en","page":"e018778","source":"DOI.org (Crossref)","title":"Interpregnancy weight change and adverse pregnancy outcomes: a systematic review and meta-analysis","title-short":"Interpregnancy weight change and adverse pregnancy outcomes","volume":"8","author":[{"family":"Oteng-Ntim","given":"Eugene"},{"family":"Mononen","given":"Sofia"},{"family":"Sawicki","given":"Olga"},{"family":"Seed","given":"Paul T"},{"family":"Bick","given":"Debra"},{"family":"Poston","given":"Lucilla"}],"issued":{"date-parts":[["2018",6]]}}},{"id":166,"uris":["http://zotero.org/users/6410601/items/THPPRSXU"],"uri":["http://zotero.org/users/6410601/items/THPPRSXU"],"itemData":{"id":166,"type":"article-journal","container-title":"BMC Pregnancy and Childbirth","DOI":"10.1186/s12884-019-2566-2","ISSN":"1471-2393","issue":"1","journalAbbreviation":"BMC Pregnancy Childbirth","language":"en","page":"386","source":"DOI.org (Crossref)","title":"Effect of interpregnancy weight change on perinatal outcomes: systematic review and meta-analysis","title-short":"Effect of interpregnancy weight change on perinatal outcomes","volume":"19","author":[{"family":"Teulings","given":"Noor E. W. D."},{"family":"Masconi","given":"Katya L."},{"family":"Ozanne","given":"Susan E."},{"family":"Aiken","given":"Catherine E."},{"family":"Wood","given":"Angela M."}],"issued":{"date-parts":[["2019",12]]}}}],"schema":"https://github.com/citation-style-language/schema/raw/master/csl-citation.json"} </w:instrText>
      </w:r>
      <w:r w:rsidR="00E55D24" w:rsidRPr="00B548BF">
        <w:rPr>
          <w:vertAlign w:val="superscript"/>
        </w:rPr>
        <w:fldChar w:fldCharType="separate"/>
      </w:r>
      <w:r w:rsidR="008021BE" w:rsidRPr="00B548BF">
        <w:rPr>
          <w:vertAlign w:val="superscript"/>
        </w:rPr>
        <w:t>(14,15)</w:t>
      </w:r>
      <w:r w:rsidR="00E55D24" w:rsidRPr="00B548BF">
        <w:rPr>
          <w:vertAlign w:val="superscript"/>
        </w:rPr>
        <w:fldChar w:fldCharType="end"/>
      </w:r>
      <w:r w:rsidRPr="00B548BF">
        <w:t xml:space="preserve">. </w:t>
      </w:r>
      <w:r w:rsidR="00067F6D" w:rsidRPr="00B548BF">
        <w:t>Previous research</w:t>
      </w:r>
      <w:r w:rsidR="005E4A03" w:rsidRPr="00B548BF">
        <w:t xml:space="preserve"> </w:t>
      </w:r>
      <w:r w:rsidR="00067F6D" w:rsidRPr="00B548BF">
        <w:t xml:space="preserve">examining the association between interpregnancy weight gain and LGA birth showed that overweight </w:t>
      </w:r>
      <w:r w:rsidRPr="00B548BF">
        <w:t>and obese women who dropped BMI category by their second pregnancy remained at an increased risk but had a lower risk compared to women whose BMI category increased between pregnancies</w:t>
      </w:r>
      <w:r w:rsidR="00067F6D" w:rsidRPr="007F22F1">
        <w:rPr>
          <w:vertAlign w:val="superscript"/>
        </w:rPr>
        <w:fldChar w:fldCharType="begin"/>
      </w:r>
      <w:r w:rsidR="007F22F1" w:rsidRPr="007F22F1">
        <w:rPr>
          <w:vertAlign w:val="superscript"/>
        </w:rPr>
        <w:instrText xml:space="preserve"> ADDIN ZOTERO_ITEM CSL_CITATION {"citationID":"1yBg0HG4","properties":{"formattedCitation":"(40)","plainCitation":"(40)","noteIndex":0},"citationItems":[{"id":140,"uris":["http://zotero.org/users/6410601/items/HWL7V72F"],"uri":["http://zotero.org/users/6410601/items/HWL7V72F"],"itemData":{"id":140,"type":"article-journal","container-title":"American Journal of Obstetrics and Gynecology","DOI":"10.1016/j.ajog.2006.12.036","ISSN":"00029378","issue":"6","journalAbbreviation":"American Journal of Obstetrics and Gynecology","language":"en","page":"530.e1-530.e8","source":"DOI.org (Crossref)","title":"Changes in prepregnancy body mass index between the first and second pregnancies and risk of large-for-gestational-age birth","volume":"196","author":[{"family":"Getahun","given":"Darios"},{"family":"Ananth","given":"Cande V."},{"family":"Peltier","given":"Morgan R."},{"family":"Salihu","given":"Hamisu M."},{"family":"Scorza","given":"William E."}],"issued":{"date-parts":[["2007",6]]}}}],"schema":"https://github.com/citation-style-language/schema/raw/master/csl-citation.json"} </w:instrText>
      </w:r>
      <w:r w:rsidR="00067F6D" w:rsidRPr="007F22F1">
        <w:rPr>
          <w:vertAlign w:val="superscript"/>
        </w:rPr>
        <w:fldChar w:fldCharType="separate"/>
      </w:r>
      <w:r w:rsidR="007F22F1" w:rsidRPr="007F22F1">
        <w:rPr>
          <w:vertAlign w:val="superscript"/>
        </w:rPr>
        <w:t>(40)</w:t>
      </w:r>
      <w:r w:rsidR="00067F6D" w:rsidRPr="007F22F1">
        <w:rPr>
          <w:vertAlign w:val="superscript"/>
        </w:rPr>
        <w:fldChar w:fldCharType="end"/>
      </w:r>
      <w:r w:rsidR="00067F6D" w:rsidRPr="00B548BF">
        <w:t>. Offspring of o</w:t>
      </w:r>
      <w:r w:rsidRPr="00B548BF">
        <w:t>verweight</w:t>
      </w:r>
      <w:r w:rsidR="00067F6D" w:rsidRPr="00B548BF">
        <w:t xml:space="preserve"> and </w:t>
      </w:r>
      <w:r w:rsidRPr="00B548BF">
        <w:t xml:space="preserve">obese women </w:t>
      </w:r>
      <w:r w:rsidR="00067F6D" w:rsidRPr="00B548BF">
        <w:t xml:space="preserve">are already </w:t>
      </w:r>
      <w:r w:rsidRPr="00B548BF">
        <w:t>at increased risk</w:t>
      </w:r>
      <w:r w:rsidR="00067F6D" w:rsidRPr="00B548BF">
        <w:t xml:space="preserve"> of childhood obesity</w:t>
      </w:r>
      <w:r w:rsidRPr="00B548BF">
        <w:t xml:space="preserve"> and </w:t>
      </w:r>
      <w:r w:rsidR="00067F6D" w:rsidRPr="00B548BF">
        <w:t xml:space="preserve">it is possible that </w:t>
      </w:r>
      <w:r w:rsidRPr="00B548BF">
        <w:t>the weight change in this subgroup was not large enough to detect a further increase in risk</w:t>
      </w:r>
      <w:r w:rsidR="00067F6D" w:rsidRPr="00B548BF">
        <w:t xml:space="preserve"> particularly in subgroups with small sample size</w:t>
      </w:r>
      <w:r w:rsidRPr="00B548BF">
        <w:t xml:space="preserve">. </w:t>
      </w:r>
      <w:r w:rsidR="003704B2" w:rsidRPr="00B548BF">
        <w:t xml:space="preserve">Greater efforts on primary prevention of </w:t>
      </w:r>
      <w:r w:rsidR="005E4A03" w:rsidRPr="00B548BF">
        <w:t xml:space="preserve">preconception </w:t>
      </w:r>
      <w:r w:rsidR="003704B2" w:rsidRPr="00B548BF">
        <w:t xml:space="preserve">obesity in women of childbearing age </w:t>
      </w:r>
      <w:r w:rsidR="00B0352C" w:rsidRPr="00B548BF">
        <w:t xml:space="preserve">are needed. </w:t>
      </w:r>
      <w:r w:rsidR="007015E0" w:rsidRPr="00B548BF">
        <w:t xml:space="preserve">However, it is important that any support policies fully recognise the wider social, environmental, economic and commercial determinants of obesity and avoid any implication of blame on mothers for their children’s overweight. </w:t>
      </w:r>
      <w:r w:rsidR="00B0352C" w:rsidRPr="00B548BF">
        <w:t xml:space="preserve">Additionally, </w:t>
      </w:r>
      <w:r w:rsidR="003704B2" w:rsidRPr="00B548BF">
        <w:t xml:space="preserve">more effective weight loss measures for obese women </w:t>
      </w:r>
      <w:r w:rsidR="00B0352C" w:rsidRPr="00B548BF">
        <w:t xml:space="preserve">and support for normal weight women to </w:t>
      </w:r>
      <w:r w:rsidR="004715BC" w:rsidRPr="00B548BF">
        <w:t xml:space="preserve">return to pre-pregnancy </w:t>
      </w:r>
      <w:r w:rsidR="00B0352C" w:rsidRPr="00B548BF">
        <w:t xml:space="preserve">weight </w:t>
      </w:r>
      <w:r w:rsidR="003704B2" w:rsidRPr="00B548BF">
        <w:t xml:space="preserve">in </w:t>
      </w:r>
      <w:r w:rsidR="003704B2" w:rsidRPr="00B548BF">
        <w:lastRenderedPageBreak/>
        <w:t>the interpregnancy period are needed.</w:t>
      </w:r>
      <w:r w:rsidR="00E52DF2" w:rsidRPr="00B548BF">
        <w:t xml:space="preserve"> Weight loss between pregnancies increase</w:t>
      </w:r>
      <w:r w:rsidR="00657CE2" w:rsidRPr="00B548BF">
        <w:t>s</w:t>
      </w:r>
      <w:r w:rsidR="00E52DF2" w:rsidRPr="00B548BF">
        <w:t xml:space="preserve"> the risk of SGA but reduces the risk of LGA and GDM</w:t>
      </w:r>
      <w:r w:rsidR="00E52DF2" w:rsidRPr="00B548BF">
        <w:rPr>
          <w:vertAlign w:val="superscript"/>
        </w:rPr>
        <w:fldChar w:fldCharType="begin"/>
      </w:r>
      <w:r w:rsidR="008021BE" w:rsidRPr="00B548BF">
        <w:rPr>
          <w:vertAlign w:val="superscript"/>
        </w:rPr>
        <w:instrText xml:space="preserve"> ADDIN ZOTERO_ITEM CSL_CITATION {"citationID":"ihYtXcZ9","properties":{"formattedCitation":"(14)","plainCitation":"(14)","noteIndex":0},"citationItems":[{"id":167,"uris":["http://zotero.org/users/6410601/items/CWZEBPAS"],"uri":["http://zotero.org/users/6410601/items/CWZEBPAS"],"itemData":{"id":167,"type":"article-journal","container-title":"BMJ Open","DOI":"10.1136/bmjopen-2017-018778","ISSN":"2044-6055, 2044-6055","issue":"6","journalAbbreviation":"BMJ Open","language":"en","page":"e018778","source":"DOI.org (Crossref)","title":"Interpregnancy weight change and adverse pregnancy outcomes: a systematic review and meta-analysis","title-short":"Interpregnancy weight change and adverse pregnancy outcomes","volume":"8","author":[{"family":"Oteng-Ntim","given":"Eugene"},{"family":"Mononen","given":"Sofia"},{"family":"Sawicki","given":"Olga"},{"family":"Seed","given":"Paul T"},{"family":"Bick","given":"Debra"},{"family":"Poston","given":"Lucilla"}],"issued":{"date-parts":[["2018",6]]}}}],"schema":"https://github.com/citation-style-language/schema/raw/master/csl-citation.json"} </w:instrText>
      </w:r>
      <w:r w:rsidR="00E52DF2" w:rsidRPr="00B548BF">
        <w:rPr>
          <w:vertAlign w:val="superscript"/>
        </w:rPr>
        <w:fldChar w:fldCharType="separate"/>
      </w:r>
      <w:r w:rsidR="008021BE" w:rsidRPr="00B548BF">
        <w:rPr>
          <w:vertAlign w:val="superscript"/>
        </w:rPr>
        <w:t>(14)</w:t>
      </w:r>
      <w:r w:rsidR="00E52DF2" w:rsidRPr="00B548BF">
        <w:rPr>
          <w:vertAlign w:val="superscript"/>
        </w:rPr>
        <w:fldChar w:fldCharType="end"/>
      </w:r>
      <w:r w:rsidR="00E52DF2" w:rsidRPr="00B548BF">
        <w:t xml:space="preserve"> and may be beneficial in protecting against childhood obesity. </w:t>
      </w:r>
    </w:p>
    <w:p w14:paraId="7A4F6293" w14:textId="24FF08FA" w:rsidR="008212BC" w:rsidRPr="00B548BF" w:rsidRDefault="00804A49" w:rsidP="00BA33FB">
      <w:pPr>
        <w:spacing w:line="480" w:lineRule="auto"/>
      </w:pPr>
      <w:r w:rsidRPr="00B548BF">
        <w:t xml:space="preserve">The burden of maternal obesity, a key risk factor for childhood overweight and obesity, is growing and a need to focus on the preconception period has been highlighted to attempt to reverse the cycle and trans-generational effect of maternal obesity. </w:t>
      </w:r>
      <w:r w:rsidR="00B313E1" w:rsidRPr="00B548BF">
        <w:t>Findings from this study are in line with findings from two previous studies. Analysis of 714 mother-child pairs from a population-based cohort in Australia showed that second-born offspring of women who gained ≥4 kg/m</w:t>
      </w:r>
      <w:r w:rsidR="00B313E1" w:rsidRPr="00B548BF">
        <w:rPr>
          <w:vertAlign w:val="superscript"/>
        </w:rPr>
        <w:t xml:space="preserve">2 </w:t>
      </w:r>
      <w:r w:rsidR="00B313E1" w:rsidRPr="00B548BF">
        <w:t>between their first and second pregnancy were at higher risk of overweight and obesity than those of women who remained weight stable (≥-1 and &lt;1 kg/m</w:t>
      </w:r>
      <w:r w:rsidR="00B313E1" w:rsidRPr="00B548BF">
        <w:rPr>
          <w:vertAlign w:val="superscript"/>
        </w:rPr>
        <w:t>2</w:t>
      </w:r>
      <w:r w:rsidR="00B313E1" w:rsidRPr="00B548BF">
        <w:t>) between pregnancies</w:t>
      </w:r>
      <w:r w:rsidR="00E860AA" w:rsidRPr="007F22F1">
        <w:rPr>
          <w:vertAlign w:val="superscript"/>
        </w:rPr>
        <w:fldChar w:fldCharType="begin"/>
      </w:r>
      <w:r w:rsidR="007F22F1" w:rsidRPr="007F22F1">
        <w:rPr>
          <w:vertAlign w:val="superscript"/>
        </w:rPr>
        <w:instrText xml:space="preserve"> ADDIN ZOTERO_ITEM CSL_CITATION {"citationID":"3L476Zcs","properties":{"formattedCitation":"(41)","plainCitation":"(41)","noteIndex":0},"citationItems":[{"id":152,"uris":["http://zotero.org/users/6410601/items/HVPFN5AG"],"uri":["http://zotero.org/users/6410601/items/HVPFN5AG"],"itemData":{"id":152,"type":"article-journal","container-title":"International Journal of Obesity","DOI":"10.1038/s41366-018-0078-1","ISSN":"0307-0565, 1476-5497","issue":"7","journalAbbreviation":"Int J Obes","language":"en","page":"1265-1274","source":"DOI.org (Crossref)","title":"Maternal preconception weight trajectories are associated with offsprings’ childhood obesity","volume":"42","author":[{"family":"Adane","given":"Akilew Awoke"},{"family":"Dobson","given":"Annette"},{"family":"Tooth","given":"Leigh"},{"family":"Mishra","given":"Gita D."}],"issued":{"date-parts":[["2018",7]]}}}],"schema":"https://github.com/citation-style-language/schema/raw/master/csl-citation.json"} </w:instrText>
      </w:r>
      <w:r w:rsidR="00E860AA" w:rsidRPr="007F22F1">
        <w:rPr>
          <w:vertAlign w:val="superscript"/>
        </w:rPr>
        <w:fldChar w:fldCharType="separate"/>
      </w:r>
      <w:r w:rsidR="007F22F1" w:rsidRPr="007F22F1">
        <w:rPr>
          <w:vertAlign w:val="superscript"/>
        </w:rPr>
        <w:t>(41)</w:t>
      </w:r>
      <w:r w:rsidR="00E860AA" w:rsidRPr="007F22F1">
        <w:rPr>
          <w:vertAlign w:val="superscript"/>
        </w:rPr>
        <w:fldChar w:fldCharType="end"/>
      </w:r>
      <w:r w:rsidR="00B313E1" w:rsidRPr="00B548BF">
        <w:t>. However, all measurements were self-reported by the mother</w:t>
      </w:r>
      <w:r w:rsidR="00164035" w:rsidRPr="00B548BF">
        <w:t xml:space="preserve">, </w:t>
      </w:r>
      <w:r w:rsidR="00B313E1" w:rsidRPr="00B548BF">
        <w:t>the response rate to the survey was low (34%)</w:t>
      </w:r>
      <w:r w:rsidR="00164035" w:rsidRPr="00B548BF">
        <w:t>, the proportion gaining ≥4 kg/m</w:t>
      </w:r>
      <w:r w:rsidR="00164035" w:rsidRPr="00B548BF">
        <w:rPr>
          <w:vertAlign w:val="superscript"/>
        </w:rPr>
        <w:t xml:space="preserve">2 </w:t>
      </w:r>
      <w:r w:rsidR="00164035" w:rsidRPr="00B548BF">
        <w:t>was small (38 women) and</w:t>
      </w:r>
      <w:r w:rsidR="002534CE" w:rsidRPr="00B548BF">
        <w:t xml:space="preserve"> the analysis</w:t>
      </w:r>
      <w:r w:rsidR="00164035" w:rsidRPr="00B548BF">
        <w:t xml:space="preserve"> </w:t>
      </w:r>
      <w:r w:rsidR="002534CE" w:rsidRPr="00B548BF">
        <w:t>only adjusted for maternal factors before the birth of the second child</w:t>
      </w:r>
      <w:r w:rsidR="00B313E1" w:rsidRPr="00B548BF">
        <w:t xml:space="preserve">. </w:t>
      </w:r>
      <w:r w:rsidR="002534CE" w:rsidRPr="00B548BF">
        <w:t>The</w:t>
      </w:r>
      <w:r w:rsidR="007D3A94" w:rsidRPr="00B548BF">
        <w:t xml:space="preserve"> proportion of women</w:t>
      </w:r>
      <w:r w:rsidR="002534CE" w:rsidRPr="00B548BF">
        <w:t xml:space="preserve"> who remained weight stable in </w:t>
      </w:r>
      <w:r w:rsidR="007D3A94" w:rsidRPr="00B548BF">
        <w:t>the Australian cohort (</w:t>
      </w:r>
      <w:r w:rsidR="002534CE" w:rsidRPr="00B548BF">
        <w:t>44.8</w:t>
      </w:r>
      <w:r w:rsidR="007D3A94" w:rsidRPr="00B548BF">
        <w:t xml:space="preserve">%) </w:t>
      </w:r>
      <w:r w:rsidR="002534CE" w:rsidRPr="00B548BF">
        <w:t>was comparable</w:t>
      </w:r>
      <w:r w:rsidR="007D3A94" w:rsidRPr="00B548BF">
        <w:t xml:space="preserve"> </w:t>
      </w:r>
      <w:r w:rsidR="002534CE" w:rsidRPr="00B548BF">
        <w:t>to</w:t>
      </w:r>
      <w:r w:rsidR="007D3A94" w:rsidRPr="00B548BF">
        <w:t xml:space="preserve"> this cohort </w:t>
      </w:r>
      <w:r w:rsidR="002534CE" w:rsidRPr="00B548BF">
        <w:t>(42.7%)</w:t>
      </w:r>
      <w:r w:rsidR="007D3A94" w:rsidRPr="00B548BF">
        <w:t xml:space="preserve">. </w:t>
      </w:r>
      <w:r w:rsidR="00B313E1" w:rsidRPr="00B548BF">
        <w:t xml:space="preserve">The other study utilised a </w:t>
      </w:r>
      <w:r w:rsidR="002534CE" w:rsidRPr="00B548BF">
        <w:t>population-</w:t>
      </w:r>
      <w:r w:rsidR="00B313E1" w:rsidRPr="00B548BF">
        <w:t xml:space="preserve">based linked cohort in Scotland and found that maternal weight gain of ≥10% between pregnancies was associated with increased risk of overweight and obesity in the second born child compared to </w:t>
      </w:r>
      <w:r w:rsidR="00B246B9" w:rsidRPr="00B548BF">
        <w:t xml:space="preserve">remaining </w:t>
      </w:r>
      <w:r w:rsidR="00B313E1" w:rsidRPr="00B548BF">
        <w:t>weight stable (±3%)</w:t>
      </w:r>
      <w:r w:rsidR="00E860AA" w:rsidRPr="007F22F1">
        <w:rPr>
          <w:vertAlign w:val="superscript"/>
        </w:rPr>
        <w:fldChar w:fldCharType="begin"/>
      </w:r>
      <w:r w:rsidR="007F22F1" w:rsidRPr="007F22F1">
        <w:rPr>
          <w:vertAlign w:val="superscript"/>
        </w:rPr>
        <w:instrText xml:space="preserve"> ADDIN ZOTERO_ITEM CSL_CITATION {"citationID":"k7NQA05u","properties":{"formattedCitation":"(42)","plainCitation":"(42)","noteIndex":0},"citationItems":[{"id":151,"uris":["http://zotero.org/users/6410601/items/JLC2DWHU"],"uri":["http://zotero.org/users/6410601/items/JLC2DWHU"],"itemData":{"id":151,"type":"article-journal","abstract":"BACKGROUND: Maternal smoking during pregnancy is associated with increased childhood body mass index (BMI), but the relationship may be due to confounding by maternal factors. This study tested the hypothesis that siblings born to mothers who begin to smoke between pregnancies will have higher BMI than older unexposed siblings.\nMETHODS: Maternal details from the Aberdeen Maternity and Neonatal Databank were linked to the Study of Trends in Obesity in North East Scotland which holds offspring BMI at 5 years of age. Change in maternal smoking status between pregnancies was linked to offspring BMI and also to the difference in BMI between siblings.\nRESULTS: Maternal smoking status in successive pregnancies was linked to child BMI at age 5 years in 6581 mother-child pairs of whom 718 included sibling pars. Children whose mothers had quit, started smoking or smoked in consecutive pregnancies had higher BMI compared with those not exposed to maternal smoking. Siblings born after onset of maternal smoking had higher mean BMI z score (0.19, 95% confidence interval (CI) 0.01, 0.36) compared with unexposed older siblings. Mean BMI z score was also higher by mean of 0.10 (95% CI 0.01, 0.20) in younger sibling compared with older siblings born to mothers who smoked in both pregnancies. BMI z score was not significantly different between siblings whose mothers quit between pregnancies.\nCONCLUSIONS: In utero exposure to maternal smoking during pregnancy may increase the likelihood of increased BMI in childhood.","container-title":"Paediatric and Perinatal Epidemiology","DOI":"10.1111/ppe.12386","ISSN":"1365-3016","issue":"5","journalAbbreviation":"Paediatr Perinat Epidemiol","language":"eng","note":"PMID: 28767144","page":"402-408","source":"PubMed","title":"Differences in Body Mass Index between Siblings Who Are Discordant for Exposure to Antenatal Maternal Smoking","volume":"31","author":[{"family":"Aucott","given":"Lorna"},{"family":"Bhattacharya","given":"Sohinee"},{"family":"McNeill","given":"Geraldine"},{"family":"Turner","given":"Steve"}],"issued":{"date-parts":[["2017"]]}}}],"schema":"https://github.com/citation-style-language/schema/raw/master/csl-citation.json"} </w:instrText>
      </w:r>
      <w:r w:rsidR="00E860AA" w:rsidRPr="007F22F1">
        <w:rPr>
          <w:vertAlign w:val="superscript"/>
        </w:rPr>
        <w:fldChar w:fldCharType="separate"/>
      </w:r>
      <w:r w:rsidR="007F22F1" w:rsidRPr="007F22F1">
        <w:rPr>
          <w:vertAlign w:val="superscript"/>
        </w:rPr>
        <w:t>(42)</w:t>
      </w:r>
      <w:r w:rsidR="00E860AA" w:rsidRPr="007F22F1">
        <w:rPr>
          <w:vertAlign w:val="superscript"/>
        </w:rPr>
        <w:fldChar w:fldCharType="end"/>
      </w:r>
      <w:r w:rsidR="00B313E1" w:rsidRPr="00B548BF">
        <w:t xml:space="preserve">. However, only 44% of 59,975 records were successfully linked </w:t>
      </w:r>
      <w:r w:rsidR="004935E2" w:rsidRPr="00B548BF">
        <w:t xml:space="preserve">and </w:t>
      </w:r>
      <w:r w:rsidR="00B313E1" w:rsidRPr="00B548BF">
        <w:t xml:space="preserve">5863 women </w:t>
      </w:r>
      <w:r w:rsidR="004935E2" w:rsidRPr="00B548BF">
        <w:t xml:space="preserve">had </w:t>
      </w:r>
      <w:r w:rsidR="00B313E1" w:rsidRPr="00B548BF">
        <w:t>more than one pregnancy in the linked dataset.</w:t>
      </w:r>
      <w:r w:rsidR="002534CE" w:rsidRPr="00B548BF">
        <w:t xml:space="preserve"> </w:t>
      </w:r>
    </w:p>
    <w:p w14:paraId="69D51D3A" w14:textId="39415C28" w:rsidR="00744BFC" w:rsidRPr="00B548BF" w:rsidRDefault="00126E58" w:rsidP="004C089A">
      <w:pPr>
        <w:spacing w:line="480" w:lineRule="auto"/>
        <w:rPr>
          <w:noProof/>
        </w:rPr>
      </w:pPr>
      <w:r w:rsidRPr="00B548BF">
        <w:rPr>
          <w:lang w:eastAsia="en-GB"/>
        </w:rPr>
        <w:t>T</w:t>
      </w:r>
      <w:r w:rsidR="006B0C12" w:rsidRPr="00B548BF">
        <w:rPr>
          <w:lang w:eastAsia="en-GB"/>
        </w:rPr>
        <w:t>he</w:t>
      </w:r>
      <w:r w:rsidRPr="00B548BF">
        <w:rPr>
          <w:lang w:eastAsia="en-GB"/>
        </w:rPr>
        <w:t>re is</w:t>
      </w:r>
      <w:r w:rsidR="006B0C12" w:rsidRPr="00B548BF">
        <w:rPr>
          <w:lang w:eastAsia="en-GB"/>
        </w:rPr>
        <w:t xml:space="preserve"> increasing evidence of the importance of the preconception and pregnan</w:t>
      </w:r>
      <w:r w:rsidRPr="00B548BF">
        <w:rPr>
          <w:lang w:eastAsia="en-GB"/>
        </w:rPr>
        <w:t>cy periods on long-term health</w:t>
      </w:r>
      <w:r w:rsidR="005441F0" w:rsidRPr="00B548BF">
        <w:rPr>
          <w:lang w:eastAsia="en-GB"/>
        </w:rPr>
        <w:t>.</w:t>
      </w:r>
      <w:r w:rsidRPr="00B548BF">
        <w:rPr>
          <w:lang w:eastAsia="en-GB"/>
        </w:rPr>
        <w:t xml:space="preserve"> </w:t>
      </w:r>
      <w:r w:rsidR="005441F0" w:rsidRPr="00B548BF">
        <w:t>A suggested approach to improving preconception health is to promote health of the population more broadly with targeting of women and partners planning a pregnancy</w:t>
      </w:r>
      <w:r w:rsidR="00E860AA" w:rsidRPr="007F22F1">
        <w:rPr>
          <w:vertAlign w:val="superscript"/>
        </w:rPr>
        <w:fldChar w:fldCharType="begin"/>
      </w:r>
      <w:r w:rsidR="007F22F1" w:rsidRPr="007F22F1">
        <w:rPr>
          <w:vertAlign w:val="superscript"/>
        </w:rPr>
        <w:instrText xml:space="preserve"> ADDIN ZOTERO_ITEM CSL_CITATION {"citationID":"6747HWpB","properties":{"formattedCitation":"(43\\uc0\\u8211{}45)","plainCitation":"(43–45)","noteIndex":0},"citationItems":[{"id":149,"uris":["http://zotero.org/users/6410601/items/6PVGS9N9"],"uri":["http://zotero.org/users/6410601/items/6PVGS9N9"],"itemData":{"id":149,"type":"article-journal","container-title":"The Lancet","DOI":"10.1016/S0140-6736(18)30313-1","ISSN":"01406736","issue":"10132","journalAbbreviation":"The Lancet","language":"en","page":"1853-1864","source":"DOI.org (Crossref)","title":"Intervention strategies to improve nutrition and health behaviours before conception","volume":"391","author":[{"family":"Barker","given":"Mary"},{"family":"Dombrowski","given":"Stephan U"},{"family":"Colbourn","given":"Tim"},{"family":"Fall","given":"Caroline H D"},{"family":"Kriznik","given":"Natasha M"},{"family":"Lawrence","given":"Wendy T"},{"family":"Norris","given":"Shane A"},{"family":"Ngaiza","given":"Gloria"},{"family":"Patel","given":"Dilisha"},{"family":"Skordis-Worrall","given":"Jolene"},{"family":"Sniehotta","given":"Falko F"},{"family":"Steegers-Theunissen","given":"Régine"},{"family":"Vogel","given":"Christina"},{"family":"Woods-Townsend","given":"Kathryn"},{"family":"Stephenson","given":"Judith"}],"issued":{"date-parts":[["2018",5]]}}},{"id":150,"uris":["http://zotero.org/users/6410601/items/IJMYQ4EF"],"uri":["http://zotero.org/users/6410601/items/IJMYQ4EF"],"itemData":{"id":150,"type":"article-journal","container-title":"The Lancet","DOI":"10.1016/S0140-6736(18)30311-8","ISSN":"01406736","issue":"10132","journalAbbreviation":"The Lancet","language":"en","page":"1830-1841","source":"DOI.org (Crossref)","title":"Before the beginning: nutrition and lifestyle in the preconception period and its importance for future health","title-short":"Before the beginning","volume":"391","author":[{"family":"Stephenson","given":"Judith"},{"family":"Heslehurst","given":"Nicola"},{"family":"Hall","given":"Jennifer"},{"family":"Schoenaker","given":"Danielle A J M"},{"family":"Hutchinson","given":"Jayne"},{"family":"Cade","given":"Janet E"},{"family":"Poston","given":"Lucilla"},{"family":"Barrett","given":"Geraldine"},{"family":"Crozier","given":"Sarah R"},{"family":"Barker","given":"Mary"},{"family":"Kumaran","given":"Kalyanaraman"},{"family":"Yajnik","given":"Chittaranjan S"},{"family":"Baird","given":"Janis"},{"family":"Mishra","given":"Gita D"}],"issued":{"date-parts":[["2018",5]]}}},{"id":184,"uris":["http://zotero.org/users/6410601/items/BRFDPSPD"],"uri":["http://zotero.org/users/6410601/items/BRFDPSPD"],"itemData":{"id":184,"type":"article-journal","container-title":"The Lancet","DOI":"10.1016/S0140-6736(19)30954-7","ISSN":"01406736","issue":"10187","journalAbbreviation":"The Lancet","language":"en","page":"2262-2271","source":"DOI.org (Crossref)","title":"Preconception health in England: a proposal for annual reporting with core metrics","title-short":"Preconception health in England","volume":"393","author":[{"family":"Stephenson","given":"Judith"},{"family":"Vogel","given":"Christina"},{"family":"Hall","given":"Jennifer"},{"family":"Hutchinson","given":"Jayne"},{"family":"Mann","given":"Sue"},{"family":"Duncan","given":"Helen"},{"family":"Woods-Townsend","given":"Kathryn"},{"family":"Lusignan","given":"Simon","non-dropping-particle":"de"},{"family":"Poston","given":"Lucilla"},{"family":"Cade","given":"Janet"},{"family":"Godfrey","given":"Keith"},{"family":"Hanson","given":"Mark"},{"family":"Barrett","given":"Geraldine"},{"family":"Barker","given":"Mary"},{"family":"Conti","given":"Gabriella"},{"family":"Shannon","given":"Geordan"},{"family":"Colbourn","given":"Tim"}],"issued":{"date-parts":[["2019",6]]}}}],"schema":"https://github.com/citation-style-language/schema/raw/master/csl-citation.json"} </w:instrText>
      </w:r>
      <w:r w:rsidR="00E860AA" w:rsidRPr="007F22F1">
        <w:rPr>
          <w:vertAlign w:val="superscript"/>
        </w:rPr>
        <w:fldChar w:fldCharType="separate"/>
      </w:r>
      <w:r w:rsidR="007F22F1" w:rsidRPr="007F22F1">
        <w:rPr>
          <w:rFonts w:cs="Times New Roman"/>
          <w:szCs w:val="24"/>
          <w:vertAlign w:val="superscript"/>
        </w:rPr>
        <w:t>(43–45)</w:t>
      </w:r>
      <w:r w:rsidR="00E860AA" w:rsidRPr="007F22F1">
        <w:rPr>
          <w:vertAlign w:val="superscript"/>
        </w:rPr>
        <w:fldChar w:fldCharType="end"/>
      </w:r>
      <w:r w:rsidR="005441F0" w:rsidRPr="00B548BF">
        <w:t xml:space="preserve">. </w:t>
      </w:r>
      <w:r w:rsidR="004C089A" w:rsidRPr="00B548BF">
        <w:t>I</w:t>
      </w:r>
      <w:r w:rsidR="005441F0" w:rsidRPr="00B548BF">
        <w:t xml:space="preserve">t is important to engage with </w:t>
      </w:r>
      <w:r w:rsidR="0028319F" w:rsidRPr="00B548BF">
        <w:t xml:space="preserve">women </w:t>
      </w:r>
      <w:r w:rsidR="0028319F" w:rsidRPr="00B548BF">
        <w:lastRenderedPageBreak/>
        <w:t>during the interpregnancy</w:t>
      </w:r>
      <w:r w:rsidR="005441F0" w:rsidRPr="00B548BF">
        <w:t xml:space="preserve"> period to optimise their and their children’s health </w:t>
      </w:r>
      <w:r w:rsidR="007015E0" w:rsidRPr="00B548BF">
        <w:t xml:space="preserve">and address the barriers against healthy behaviours </w:t>
      </w:r>
      <w:r w:rsidR="005441F0" w:rsidRPr="00B548BF">
        <w:t>as this is also the preconception period for the next pregnancy.</w:t>
      </w:r>
      <w:r w:rsidR="005441F0" w:rsidRPr="00B548BF">
        <w:rPr>
          <w:lang w:eastAsia="en-GB"/>
        </w:rPr>
        <w:t xml:space="preserve"> </w:t>
      </w:r>
      <w:r w:rsidR="00B246B9" w:rsidRPr="00B548BF">
        <w:rPr>
          <w:noProof/>
        </w:rPr>
        <w:t xml:space="preserve">The </w:t>
      </w:r>
      <w:r w:rsidRPr="00B548BF">
        <w:rPr>
          <w:noProof/>
        </w:rPr>
        <w:t>interpregnancy period provides an excellent opportunity to focus on preconception and family health</w:t>
      </w:r>
      <w:r w:rsidR="00260A73" w:rsidRPr="00B548BF">
        <w:rPr>
          <w:noProof/>
        </w:rPr>
        <w:t xml:space="preserve"> due to the relatively intensive contact with health and care professionals</w:t>
      </w:r>
      <w:r w:rsidRPr="00B548BF">
        <w:rPr>
          <w:noProof/>
        </w:rPr>
        <w:t xml:space="preserve">. </w:t>
      </w:r>
      <w:r w:rsidR="00BF5082" w:rsidRPr="00B548BF">
        <w:rPr>
          <w:lang w:eastAsia="en-GB"/>
        </w:rPr>
        <w:t>The</w:t>
      </w:r>
      <w:r w:rsidR="005441F0" w:rsidRPr="00B548BF">
        <w:rPr>
          <w:lang w:eastAsia="en-GB"/>
        </w:rPr>
        <w:t xml:space="preserve"> feasibility and effectiveness of utilising existing contact time with healthcare professionals during the postpartum period to support maternal health needs to be explored. Mothers may </w:t>
      </w:r>
      <w:r w:rsidR="00BF5082" w:rsidRPr="00B548BF">
        <w:rPr>
          <w:lang w:eastAsia="en-GB"/>
        </w:rPr>
        <w:t xml:space="preserve">also </w:t>
      </w:r>
      <w:r w:rsidR="005441F0" w:rsidRPr="00B548BF">
        <w:rPr>
          <w:lang w:eastAsia="en-GB"/>
        </w:rPr>
        <w:t xml:space="preserve">benefit from mutual support groups. </w:t>
      </w:r>
      <w:r w:rsidR="00D26825" w:rsidRPr="00B548BF">
        <w:rPr>
          <w:lang w:eastAsia="en-GB"/>
        </w:rPr>
        <w:t>Weight management issues tend to be greater in more disadvantaged mothers so the most effective strategies for such mothers needs to be identified to reduce social inequ</w:t>
      </w:r>
      <w:r w:rsidR="000F6DF1" w:rsidRPr="00B548BF">
        <w:rPr>
          <w:lang w:eastAsia="en-GB"/>
        </w:rPr>
        <w:t>al</w:t>
      </w:r>
      <w:r w:rsidR="00D26825" w:rsidRPr="00B548BF">
        <w:rPr>
          <w:lang w:eastAsia="en-GB"/>
        </w:rPr>
        <w:t xml:space="preserve">ity in subsequent maternal, birth and child outcomes. As weight gain usually occurs in combination with other risk factors particularly in socioeconomically disadvantaged groups and women at this stage have competing priorities and time demands, a holistic approach taking all this into account should be considered. </w:t>
      </w:r>
    </w:p>
    <w:p w14:paraId="459BADE1" w14:textId="77777777" w:rsidR="00744BFC" w:rsidRPr="00B548BF" w:rsidRDefault="00744BFC" w:rsidP="00BA33FB">
      <w:pPr>
        <w:spacing w:line="480" w:lineRule="auto"/>
        <w:rPr>
          <w:i/>
        </w:rPr>
      </w:pPr>
      <w:r w:rsidRPr="00B548BF">
        <w:rPr>
          <w:i/>
        </w:rPr>
        <w:t xml:space="preserve">Strengths and limitations </w:t>
      </w:r>
    </w:p>
    <w:p w14:paraId="006A7778" w14:textId="4A7C084C" w:rsidR="00744BFC" w:rsidRPr="00B548BF" w:rsidRDefault="00F47012" w:rsidP="00BA33FB">
      <w:pPr>
        <w:spacing w:line="480" w:lineRule="auto"/>
      </w:pPr>
      <w:r w:rsidRPr="00B548BF">
        <w:t xml:space="preserve">The study sample is from </w:t>
      </w:r>
      <w:r w:rsidR="00744BFC" w:rsidRPr="00B548BF">
        <w:t xml:space="preserve">a relatively large population-based cohort including women from all socioeconomic and ethnic backgrounds delivering at a large maternity centre in Southampton, UK, </w:t>
      </w:r>
      <w:r w:rsidR="00E828BD" w:rsidRPr="00B548BF">
        <w:t xml:space="preserve">which is </w:t>
      </w:r>
      <w:r w:rsidR="00744BFC" w:rsidRPr="00B548BF">
        <w:t>representative of the regional population. According to the UK Department of Communities and Local Government English indices of deprivation report, Southampton is more deprived than average</w:t>
      </w:r>
      <w:r w:rsidR="000F6DF1" w:rsidRPr="00B548BF">
        <w:t>,</w:t>
      </w:r>
      <w:r w:rsidR="00744BFC" w:rsidRPr="00B548BF">
        <w:t xml:space="preserve"> with the situation having worsened between 2010 and 2015</w:t>
      </w:r>
      <w:r w:rsidR="00E860AA" w:rsidRPr="007F22F1">
        <w:rPr>
          <w:vertAlign w:val="superscript"/>
        </w:rPr>
        <w:fldChar w:fldCharType="begin"/>
      </w:r>
      <w:r w:rsidR="007F22F1" w:rsidRPr="007F22F1">
        <w:rPr>
          <w:vertAlign w:val="superscript"/>
        </w:rPr>
        <w:instrText xml:space="preserve"> ADDIN ZOTERO_ITEM CSL_CITATION {"citationID":"o89sOu4S","properties":{"formattedCitation":"(46)","plainCitation":"(46)","noteIndex":0},"citationItems":[{"id":144,"uris":["http://zotero.org/users/6410601/items/58IMJPPE"],"uri":["http://zotero.org/users/6410601/items/58IMJPPE"],"itemData":{"id":144,"type":"report","title":"The English Indices of Deprivation 2015","author":[{"family":"Department for Communities and Local Government","given":""}],"issued":{"date-parts":[["2015"]]}}}],"schema":"https://github.com/citation-style-language/schema/raw/master/csl-citation.json"} </w:instrText>
      </w:r>
      <w:r w:rsidR="00E860AA" w:rsidRPr="007F22F1">
        <w:rPr>
          <w:vertAlign w:val="superscript"/>
        </w:rPr>
        <w:fldChar w:fldCharType="separate"/>
      </w:r>
      <w:r w:rsidR="007F22F1" w:rsidRPr="007F22F1">
        <w:rPr>
          <w:vertAlign w:val="superscript"/>
        </w:rPr>
        <w:t>(46)</w:t>
      </w:r>
      <w:r w:rsidR="00E860AA" w:rsidRPr="007F22F1">
        <w:rPr>
          <w:vertAlign w:val="superscript"/>
        </w:rPr>
        <w:fldChar w:fldCharType="end"/>
      </w:r>
      <w:r w:rsidR="00744BFC" w:rsidRPr="00B548BF">
        <w:t>. However, about half of the women included in this analysis reside in the rest of Hampshire (the region where Southampton is situated), which is less deprived. Our sample was 8</w:t>
      </w:r>
      <w:r w:rsidRPr="00B548BF">
        <w:t>9</w:t>
      </w:r>
      <w:r w:rsidR="00744BFC" w:rsidRPr="00B548BF">
        <w:t>% White, which is comparable to the 2011 England and Wales population census of 86% White</w:t>
      </w:r>
      <w:r w:rsidR="00E860AA" w:rsidRPr="007F22F1">
        <w:rPr>
          <w:vertAlign w:val="superscript"/>
        </w:rPr>
        <w:fldChar w:fldCharType="begin"/>
      </w:r>
      <w:r w:rsidR="007F22F1" w:rsidRPr="007F22F1">
        <w:rPr>
          <w:vertAlign w:val="superscript"/>
        </w:rPr>
        <w:instrText xml:space="preserve"> ADDIN ZOTERO_ITEM CSL_CITATION {"citationID":"Ax6VbI3D","properties":{"formattedCitation":"(47)","plainCitation":"(47)","noteIndex":0},"citationItems":[{"id":145,"uris":["http://zotero.org/users/6410601/items/EBT3GTCB"],"uri":["http://zotero.org/users/6410601/items/EBT3GTCB"],"itemData":{"id":145,"type":"report","title":"Ethnicity and National Identity in England and Wales: 2011","author":[{"family":"Office for National Statistics","given":""}],"issued":{"date-parts":[["2012"]]}}}],"schema":"https://github.com/citation-style-language/schema/raw/master/csl-citation.json"} </w:instrText>
      </w:r>
      <w:r w:rsidR="00E860AA" w:rsidRPr="007F22F1">
        <w:rPr>
          <w:vertAlign w:val="superscript"/>
        </w:rPr>
        <w:fldChar w:fldCharType="separate"/>
      </w:r>
      <w:r w:rsidR="007F22F1" w:rsidRPr="007F22F1">
        <w:rPr>
          <w:vertAlign w:val="superscript"/>
        </w:rPr>
        <w:t>(47)</w:t>
      </w:r>
      <w:r w:rsidR="00E860AA" w:rsidRPr="007F22F1">
        <w:rPr>
          <w:vertAlign w:val="superscript"/>
        </w:rPr>
        <w:fldChar w:fldCharType="end"/>
      </w:r>
      <w:r w:rsidR="00744BFC" w:rsidRPr="00B548BF">
        <w:t xml:space="preserve">. </w:t>
      </w:r>
      <w:r w:rsidRPr="00B548BF">
        <w:t xml:space="preserve">The prevalence of </w:t>
      </w:r>
      <w:r w:rsidR="00CC7AA0" w:rsidRPr="00B548BF">
        <w:t xml:space="preserve">childhood </w:t>
      </w:r>
      <w:r w:rsidRPr="00B548BF">
        <w:t>overweight and obesity in th</w:t>
      </w:r>
      <w:r w:rsidR="008A7EBC" w:rsidRPr="00B548BF">
        <w:t>is</w:t>
      </w:r>
      <w:r w:rsidRPr="00B548BF">
        <w:t xml:space="preserve"> </w:t>
      </w:r>
      <w:r w:rsidR="008A7EBC" w:rsidRPr="00B548BF">
        <w:t xml:space="preserve">linked </w:t>
      </w:r>
      <w:r w:rsidRPr="00B548BF">
        <w:t xml:space="preserve">sample is comparable to </w:t>
      </w:r>
      <w:r w:rsidR="008A7EBC" w:rsidRPr="00B548BF">
        <w:t xml:space="preserve">the </w:t>
      </w:r>
      <w:r w:rsidRPr="00B548BF">
        <w:t>average</w:t>
      </w:r>
      <w:r w:rsidR="00CC7AA0" w:rsidRPr="00B548BF">
        <w:t xml:space="preserve"> for the city of Southampton</w:t>
      </w:r>
      <w:r w:rsidRPr="00B548BF">
        <w:t xml:space="preserve">. </w:t>
      </w:r>
      <w:r w:rsidR="00744BFC" w:rsidRPr="00B548BF">
        <w:t xml:space="preserve">The analysis was adjusted </w:t>
      </w:r>
      <w:r w:rsidR="00744BFC" w:rsidRPr="00B548BF">
        <w:lastRenderedPageBreak/>
        <w:t xml:space="preserve">for several key confounders </w:t>
      </w:r>
      <w:r w:rsidRPr="00B548BF">
        <w:t xml:space="preserve">that were reasonably complete. </w:t>
      </w:r>
      <w:r w:rsidR="00744BFC" w:rsidRPr="00B548BF">
        <w:t xml:space="preserve">Both the maternal weight (used to calculate exposure) and </w:t>
      </w:r>
      <w:r w:rsidRPr="00B548BF">
        <w:t>child height and weight (used to define outcome)</w:t>
      </w:r>
      <w:r w:rsidR="00744BFC" w:rsidRPr="00B548BF">
        <w:t xml:space="preserve"> were objectively measu</w:t>
      </w:r>
      <w:r w:rsidRPr="00B548BF">
        <w:t>red by healthcare professionals.</w:t>
      </w:r>
    </w:p>
    <w:p w14:paraId="0F75EB32" w14:textId="1F51297E" w:rsidR="00744BFC" w:rsidRPr="00B548BF" w:rsidRDefault="00744BFC" w:rsidP="00BA33FB">
      <w:pPr>
        <w:spacing w:line="480" w:lineRule="auto"/>
      </w:pPr>
      <w:r w:rsidRPr="00B548BF">
        <w:t>An important limitation was the lack of information on gestational weight gain during pregnancy</w:t>
      </w:r>
      <w:r w:rsidR="00F47012" w:rsidRPr="00B548BF">
        <w:t xml:space="preserve"> </w:t>
      </w:r>
      <w:r w:rsidRPr="00B548BF">
        <w:t xml:space="preserve">and paternal characteristics/behaviour, which </w:t>
      </w:r>
      <w:r w:rsidR="004715BC" w:rsidRPr="00B548BF">
        <w:t>may be mediators</w:t>
      </w:r>
      <w:r w:rsidRPr="00B548BF">
        <w:t xml:space="preserve"> in the association between maternal interpregnancy weight gain and </w:t>
      </w:r>
      <w:r w:rsidR="00F47012" w:rsidRPr="00B548BF">
        <w:t>childhood overweight and obesity</w:t>
      </w:r>
      <w:r w:rsidR="00E860AA" w:rsidRPr="007F22F1">
        <w:rPr>
          <w:vertAlign w:val="superscript"/>
        </w:rPr>
        <w:fldChar w:fldCharType="begin"/>
      </w:r>
      <w:r w:rsidR="007F22F1" w:rsidRPr="007F22F1">
        <w:rPr>
          <w:vertAlign w:val="superscript"/>
        </w:rPr>
        <w:instrText xml:space="preserve"> ADDIN ZOTERO_ITEM CSL_CITATION {"citationID":"DlaMmWEk","properties":{"formattedCitation":"(48)","plainCitation":"(48)","noteIndex":0},"citationItems":[{"id":146,"uris":["http://zotero.org/users/6410601/items/GT9MSH6E"],"uri":["http://zotero.org/users/6410601/items/GT9MSH6E"],"itemData":{"id":146,"type":"article-journal","abstract":"BACKGROUND: Although both maternal prepregnancy body mass index (BMI) and gestational weight gain (GWG) may affect birth weight, their separate and joint associations with complications of pregnancy and delivery and with postpartum weight retention are unclear.\nOBJECTIVES: We aimed to investigate the combined associations of prepregnancy BMI and GWG with pregnancy outcomes and to evaluate the trade-offs between mother and infant for different weight gains.\nDESIGN: Data for 60892 term pregnancies in the Danish National Birth Cohort were linked to birth and hospital discharge registers. Self-reported total GWG was categorized as low (&lt;10 kg), medium (10-15 kg), high (16-19 kg), or very high (&gt;or=20 kg). Adjusted associations of prepregnancy BMI and GWG with outcomes of interest were estimated by logistic regression analyses.\nRESULTS: High and very high GWG added to the associations of high prepregnancy BMI with cesarean delivery and were strongly associated with high postpartum weight retention. Moreover, greater weight gains and high maternal BMI decreased the risk of growth restriction and increased the risk of the infant's being born large-for-gestational-age or with a low Apgar score. Generally, low GWG was advantageous for the mother, but it increased the risk of having a small baby, particularly for underweight women.\nCONCLUSIONS: Heavier women may benefit from avoiding high and very high GWG, which brings only a slight increase in the risk of growth restriction for the infant. High weight gain in underweight women does not appear to have deleterious consequences for them or their infants, but they may want to avoid low GWG to prevent having a small baby.","container-title":"The American Journal of Clinical Nutrition","DOI":"10.1093/ajcn/87.6.1750","ISSN":"1938-3207","issue":"6","journalAbbreviation":"Am. J. Clin. Nutr.","language":"eng","note":"PMID: 18541565","page":"1750-1759","source":"PubMed","title":"Combined associations of prepregnancy body mass index and gestational weight gain with the outcome of pregnancy","volume":"87","author":[{"family":"Nohr","given":"Ellen A."},{"family":"Vaeth","given":"Michael"},{"family":"Baker","given":"Jennifer L."},{"family":"Sørensen","given":"Thorkild Ia"},{"family":"Olsen","given":"Jorn"},{"family":"Rasmussen","given":"Kathleen M."}],"issued":{"date-parts":[["2008",6]]}}}],"schema":"https://github.com/citation-style-language/schema/raw/master/csl-citation.json"} </w:instrText>
      </w:r>
      <w:r w:rsidR="00E860AA" w:rsidRPr="007F22F1">
        <w:rPr>
          <w:vertAlign w:val="superscript"/>
        </w:rPr>
        <w:fldChar w:fldCharType="separate"/>
      </w:r>
      <w:r w:rsidR="007F22F1" w:rsidRPr="007F22F1">
        <w:rPr>
          <w:vertAlign w:val="superscript"/>
        </w:rPr>
        <w:t>(48)</w:t>
      </w:r>
      <w:r w:rsidR="00E860AA" w:rsidRPr="007F22F1">
        <w:rPr>
          <w:vertAlign w:val="superscript"/>
        </w:rPr>
        <w:fldChar w:fldCharType="end"/>
      </w:r>
      <w:r w:rsidRPr="00B548BF">
        <w:t xml:space="preserve">. </w:t>
      </w:r>
      <w:r w:rsidR="00BD24B9" w:rsidRPr="00B548BF">
        <w:t xml:space="preserve">Breastfeeding initiation and duration after first pregnancy can influence post-partum weight and breastfeeding after the second pregnancy can influence the risk of overweight and obesity in the second child but information on breastfeeding was only recorded in a sixth of first and in little over a third of the second pregnancies so needed to be imputed. </w:t>
      </w:r>
      <w:r w:rsidRPr="00B548BF">
        <w:t>Women who had their first booking appointment later into the pregnancy (more than 24 weeks) were excluded from the analysis to ensure comparability of weight measurements between pregnancies.</w:t>
      </w:r>
      <w:r w:rsidR="009E3622" w:rsidRPr="00B548BF">
        <w:t xml:space="preserve"> Women who lost weight were also excluded from this analysis to ensure comparability and to reduce the potential for residual confounding.</w:t>
      </w:r>
      <w:r w:rsidRPr="00B548BF">
        <w:t xml:space="preserve"> </w:t>
      </w:r>
      <w:r w:rsidR="00CC7AA0" w:rsidRPr="00B548BF">
        <w:t xml:space="preserve">Most </w:t>
      </w:r>
      <w:r w:rsidRPr="00B548BF">
        <w:t>of the confounding factors which were accounted for in the analysis were self-reported</w:t>
      </w:r>
      <w:r w:rsidR="00E860AA" w:rsidRPr="00B548BF">
        <w:t>.</w:t>
      </w:r>
      <w:r w:rsidRPr="00B548BF">
        <w:t xml:space="preserve"> </w:t>
      </w:r>
      <w:r w:rsidR="00A27E0E" w:rsidRPr="00B548BF">
        <w:t xml:space="preserve">Families had to stay in the area to remain under the care of the </w:t>
      </w:r>
      <w:r w:rsidR="00657CE2" w:rsidRPr="00B548BF">
        <w:t>NHS T</w:t>
      </w:r>
      <w:r w:rsidR="00A27E0E" w:rsidRPr="00B548BF">
        <w:t>rust so data on further pregnancies or outcome data for the child w</w:t>
      </w:r>
      <w:r w:rsidR="00A324AD" w:rsidRPr="00B548BF">
        <w:t>as</w:t>
      </w:r>
      <w:r w:rsidR="00A27E0E" w:rsidRPr="00B548BF">
        <w:t xml:space="preserve"> not available if the family moved outside of the area. Other f</w:t>
      </w:r>
      <w:r w:rsidR="00177EF9" w:rsidRPr="00B548BF">
        <w:t xml:space="preserve">actors contributing to </w:t>
      </w:r>
      <w:r w:rsidR="00A27E0E" w:rsidRPr="00B548BF">
        <w:t xml:space="preserve">missing outcome data </w:t>
      </w:r>
      <w:r w:rsidR="00177EF9" w:rsidRPr="00B548BF">
        <w:t>potentially include changes in recording practices, not attending state school, or the child NHS number (required for linkage) was not recorded with the measurement.</w:t>
      </w:r>
    </w:p>
    <w:p w14:paraId="5D77496D" w14:textId="0A23BFE0" w:rsidR="00F84E54" w:rsidRPr="00B548BF" w:rsidRDefault="008A7EBC" w:rsidP="00BA33FB">
      <w:pPr>
        <w:spacing w:line="480" w:lineRule="auto"/>
      </w:pPr>
      <w:r w:rsidRPr="00B548BF">
        <w:t xml:space="preserve">In conclusion, </w:t>
      </w:r>
      <w:r w:rsidR="00E97848" w:rsidRPr="00B548BF">
        <w:t>one in five</w:t>
      </w:r>
      <w:r w:rsidR="007B5934" w:rsidRPr="00B548BF">
        <w:t xml:space="preserve"> </w:t>
      </w:r>
      <w:r w:rsidRPr="00B548BF">
        <w:t xml:space="preserve">women </w:t>
      </w:r>
      <w:r w:rsidR="007B5934" w:rsidRPr="00B548BF">
        <w:t>had a BMI gain ≥3 kg/m</w:t>
      </w:r>
      <w:r w:rsidR="007B5934" w:rsidRPr="00B548BF">
        <w:rPr>
          <w:vertAlign w:val="superscript"/>
        </w:rPr>
        <w:t>2</w:t>
      </w:r>
      <w:r w:rsidR="007B5934" w:rsidRPr="00B548BF">
        <w:t xml:space="preserve"> </w:t>
      </w:r>
      <w:r w:rsidRPr="00B548BF">
        <w:t xml:space="preserve">between their first and second pregnancies. </w:t>
      </w:r>
      <w:r w:rsidR="00D0625A" w:rsidRPr="00B548BF">
        <w:t>Children of</w:t>
      </w:r>
      <w:r w:rsidR="0061439F" w:rsidRPr="00B548BF">
        <w:t xml:space="preserve"> normal weight and obese</w:t>
      </w:r>
      <w:r w:rsidR="00D0625A" w:rsidRPr="00B548BF">
        <w:t xml:space="preserve"> mothers who started their second pregnancy with a considerably higher weight than their first were more likely to be overweight/obese at the start of primary school;</w:t>
      </w:r>
      <w:r w:rsidR="00804A49" w:rsidRPr="00B548BF">
        <w:t xml:space="preserve"> but this could be explained by</w:t>
      </w:r>
      <w:r w:rsidR="00FE2F3C" w:rsidRPr="00B548BF">
        <w:t xml:space="preserve"> gestational diabetes and breastfeeding status in the second </w:t>
      </w:r>
      <w:r w:rsidR="00FE2F3C" w:rsidRPr="00B548BF">
        <w:lastRenderedPageBreak/>
        <w:t xml:space="preserve">pregnancy, birthweight and gestational age at birth. </w:t>
      </w:r>
      <w:r w:rsidR="0028319F" w:rsidRPr="00B548BF">
        <w:t>Children of normal weight women who gained weight between pregnancies were more likely to be obese at the start of primary school.</w:t>
      </w:r>
      <w:r w:rsidR="00A77BC2" w:rsidRPr="00B548BF">
        <w:t xml:space="preserve"> </w:t>
      </w:r>
      <w:r w:rsidR="004814B1" w:rsidRPr="00B548BF">
        <w:t>The interpregnancy period between two pregnancies is a preconception intervention opportunity for subsequent pregnancies as women and their families have intensive contact with health-care professionals after birth of a child.</w:t>
      </w:r>
      <w:r w:rsidR="0061439F" w:rsidRPr="00B548BF">
        <w:t xml:space="preserve"> There is a need to support return to pre-pregnancy weight in normal weight women and weight loss in overweight and obese women. </w:t>
      </w:r>
    </w:p>
    <w:p w14:paraId="1884ADB3" w14:textId="77777777" w:rsidR="00F64CEF" w:rsidRPr="00B548BF" w:rsidRDefault="00F64CEF" w:rsidP="00BA33FB">
      <w:pPr>
        <w:spacing w:line="480" w:lineRule="auto"/>
      </w:pPr>
    </w:p>
    <w:p w14:paraId="7AC6DEDD" w14:textId="1CB396A2" w:rsidR="004814B1" w:rsidRPr="00B548BF" w:rsidRDefault="004814B1">
      <w:pPr>
        <w:rPr>
          <w:rFonts w:cstheme="minorHAnsi"/>
          <w:noProof/>
          <w:sz w:val="24"/>
          <w:szCs w:val="24"/>
        </w:rPr>
      </w:pPr>
    </w:p>
    <w:p w14:paraId="02ABF9B7" w14:textId="4B715760" w:rsidR="007B078D" w:rsidRPr="00B548BF" w:rsidRDefault="006C6825" w:rsidP="006C6825">
      <w:pPr>
        <w:spacing w:line="480" w:lineRule="auto"/>
        <w:rPr>
          <w:b/>
          <w:lang w:eastAsia="en-GB"/>
        </w:rPr>
      </w:pPr>
      <w:r w:rsidRPr="00B548BF">
        <w:rPr>
          <w:b/>
          <w:lang w:eastAsia="en-GB"/>
        </w:rPr>
        <w:t>Acknowledgements</w:t>
      </w:r>
    </w:p>
    <w:p w14:paraId="03F0F735" w14:textId="026CAB8C" w:rsidR="006C6825" w:rsidRPr="00B548BF" w:rsidRDefault="006C6825" w:rsidP="006C6825">
      <w:pPr>
        <w:spacing w:line="480" w:lineRule="auto"/>
        <w:rPr>
          <w:rFonts w:cstheme="minorHAnsi"/>
          <w:noProof/>
          <w:sz w:val="24"/>
          <w:szCs w:val="24"/>
        </w:rPr>
      </w:pPr>
      <w:r w:rsidRPr="00B548BF">
        <w:rPr>
          <w:lang w:eastAsia="en-GB"/>
        </w:rPr>
        <w:t xml:space="preserve">We would like to thank David Cable (Electronic Patient Records Implementation and Service Manager) and Florina </w:t>
      </w:r>
      <w:proofErr w:type="spellStart"/>
      <w:r w:rsidRPr="00B548BF">
        <w:rPr>
          <w:lang w:eastAsia="en-GB"/>
        </w:rPr>
        <w:t>Borca</w:t>
      </w:r>
      <w:proofErr w:type="spellEnd"/>
      <w:r w:rsidRPr="00B548BF">
        <w:rPr>
          <w:lang w:eastAsia="en-GB"/>
        </w:rPr>
        <w:t xml:space="preserve"> (Senior Information Analyst R&amp;D) at University Hospital Southampton for support in accessing the data used in this study. We thank Solent NHS Trust</w:t>
      </w:r>
      <w:r w:rsidR="00D37F9B">
        <w:rPr>
          <w:lang w:eastAsia="en-GB"/>
        </w:rPr>
        <w:t xml:space="preserve"> and</w:t>
      </w:r>
      <w:r w:rsidRPr="00B548BF">
        <w:rPr>
          <w:lang w:eastAsia="en-GB"/>
        </w:rPr>
        <w:t xml:space="preserve"> Southern Health NHS Foundation Trust for their help in access</w:t>
      </w:r>
      <w:r w:rsidR="007D0906">
        <w:rPr>
          <w:lang w:eastAsia="en-GB"/>
        </w:rPr>
        <w:t>ing</w:t>
      </w:r>
      <w:r w:rsidRPr="00B548BF">
        <w:rPr>
          <w:lang w:eastAsia="en-GB"/>
        </w:rPr>
        <w:t xml:space="preserve"> the early life data used in this study.</w:t>
      </w:r>
    </w:p>
    <w:p w14:paraId="27EEA114" w14:textId="77777777" w:rsidR="006C6825" w:rsidRPr="00B548BF" w:rsidRDefault="006C6825" w:rsidP="006C6825">
      <w:pPr>
        <w:spacing w:line="480" w:lineRule="auto"/>
        <w:rPr>
          <w:rFonts w:cstheme="minorHAnsi"/>
          <w:noProof/>
          <w:sz w:val="24"/>
          <w:szCs w:val="24"/>
        </w:rPr>
      </w:pPr>
    </w:p>
    <w:p w14:paraId="56DD953B" w14:textId="77777777" w:rsidR="005D4C9B" w:rsidRPr="00B548BF" w:rsidRDefault="005D4C9B" w:rsidP="006C6825">
      <w:pPr>
        <w:spacing w:line="480" w:lineRule="auto"/>
        <w:rPr>
          <w:b/>
          <w:lang w:eastAsia="en-GB"/>
        </w:rPr>
      </w:pPr>
      <w:r w:rsidRPr="00B548BF">
        <w:rPr>
          <w:b/>
          <w:lang w:eastAsia="en-GB"/>
        </w:rPr>
        <w:t>Competing interests</w:t>
      </w:r>
    </w:p>
    <w:p w14:paraId="0DB2E096" w14:textId="33B007E4" w:rsidR="005D4C9B" w:rsidRPr="00B548BF" w:rsidRDefault="007B5934" w:rsidP="006C6825">
      <w:pPr>
        <w:spacing w:line="480" w:lineRule="auto"/>
        <w:rPr>
          <w:lang w:eastAsia="en-GB"/>
        </w:rPr>
      </w:pPr>
      <w:r w:rsidRPr="00B548BF">
        <w:rPr>
          <w:lang w:eastAsia="en-GB"/>
        </w:rPr>
        <w:t xml:space="preserve">KMG has received reimbursement for speaking at conferences sponsored by companies selling nutritional products, and is part of an academic consortium that has received research funding from Abbott Nutrition, </w:t>
      </w:r>
      <w:proofErr w:type="spellStart"/>
      <w:r w:rsidRPr="00B548BF">
        <w:rPr>
          <w:lang w:eastAsia="en-GB"/>
        </w:rPr>
        <w:t>Nestec</w:t>
      </w:r>
      <w:proofErr w:type="spellEnd"/>
      <w:r w:rsidRPr="00B548BF">
        <w:rPr>
          <w:lang w:eastAsia="en-GB"/>
        </w:rPr>
        <w:t xml:space="preserve">, </w:t>
      </w:r>
      <w:proofErr w:type="spellStart"/>
      <w:r w:rsidRPr="00B548BF">
        <w:rPr>
          <w:lang w:eastAsia="en-GB"/>
        </w:rPr>
        <w:t>BenevolentAI</w:t>
      </w:r>
      <w:proofErr w:type="spellEnd"/>
      <w:r w:rsidRPr="00B548BF">
        <w:rPr>
          <w:lang w:eastAsia="en-GB"/>
        </w:rPr>
        <w:t xml:space="preserve"> Bio Ltd. and Danone. </w:t>
      </w:r>
      <w:r w:rsidR="005D4C9B" w:rsidRPr="00B548BF">
        <w:rPr>
          <w:lang w:eastAsia="en-GB"/>
        </w:rPr>
        <w:t xml:space="preserve">The </w:t>
      </w:r>
      <w:r w:rsidRPr="00B548BF">
        <w:rPr>
          <w:lang w:eastAsia="en-GB"/>
        </w:rPr>
        <w:t xml:space="preserve">other </w:t>
      </w:r>
      <w:r w:rsidR="005D4C9B" w:rsidRPr="00B548BF">
        <w:rPr>
          <w:lang w:eastAsia="en-GB"/>
        </w:rPr>
        <w:t xml:space="preserve">authors have no </w:t>
      </w:r>
      <w:r w:rsidRPr="00B548BF">
        <w:rPr>
          <w:lang w:eastAsia="en-GB"/>
        </w:rPr>
        <w:t xml:space="preserve">potentially </w:t>
      </w:r>
      <w:r w:rsidR="005D4C9B" w:rsidRPr="00B548BF">
        <w:rPr>
          <w:lang w:eastAsia="en-GB"/>
        </w:rPr>
        <w:t>competing interests to declare.</w:t>
      </w:r>
    </w:p>
    <w:p w14:paraId="225EA067" w14:textId="77777777" w:rsidR="005D4C9B" w:rsidRPr="00B548BF" w:rsidRDefault="005D4C9B" w:rsidP="006C6825">
      <w:pPr>
        <w:spacing w:line="480" w:lineRule="auto"/>
        <w:rPr>
          <w:lang w:eastAsia="en-GB"/>
        </w:rPr>
      </w:pPr>
    </w:p>
    <w:p w14:paraId="233C54F4" w14:textId="77777777" w:rsidR="005D4C9B" w:rsidRPr="00B548BF" w:rsidRDefault="005D4C9B" w:rsidP="006C6825">
      <w:pPr>
        <w:spacing w:line="480" w:lineRule="auto"/>
        <w:rPr>
          <w:b/>
          <w:lang w:eastAsia="en-GB"/>
        </w:rPr>
      </w:pPr>
      <w:r w:rsidRPr="00B548BF">
        <w:rPr>
          <w:b/>
          <w:lang w:eastAsia="en-GB"/>
        </w:rPr>
        <w:t>Funding</w:t>
      </w:r>
    </w:p>
    <w:p w14:paraId="5C93DDB2" w14:textId="55A368E6" w:rsidR="005D4C9B" w:rsidRPr="00B548BF" w:rsidRDefault="005D4C9B" w:rsidP="006C6825">
      <w:pPr>
        <w:spacing w:line="480" w:lineRule="auto"/>
        <w:rPr>
          <w:lang w:eastAsia="en-GB"/>
        </w:rPr>
      </w:pPr>
      <w:r w:rsidRPr="00B548BF">
        <w:rPr>
          <w:lang w:eastAsia="en-GB"/>
        </w:rPr>
        <w:lastRenderedPageBreak/>
        <w:t xml:space="preserve">This work is supported by an Academy of Medical Sciences and </w:t>
      </w:r>
      <w:proofErr w:type="spellStart"/>
      <w:r w:rsidRPr="00B548BF">
        <w:rPr>
          <w:lang w:eastAsia="en-GB"/>
        </w:rPr>
        <w:t>Wellcome</w:t>
      </w:r>
      <w:proofErr w:type="spellEnd"/>
      <w:r w:rsidRPr="00B548BF">
        <w:rPr>
          <w:lang w:eastAsia="en-GB"/>
        </w:rPr>
        <w:t xml:space="preserve"> Trust Grant [AMS_HOP001\1060 to NAA]. </w:t>
      </w:r>
      <w:r w:rsidR="007B5934" w:rsidRPr="00B548BF">
        <w:rPr>
          <w:lang w:eastAsia="en-GB"/>
        </w:rPr>
        <w:t xml:space="preserve">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Programme Early Nutrition </w:t>
      </w:r>
      <w:proofErr w:type="spellStart"/>
      <w:r w:rsidR="007B5934" w:rsidRPr="00B548BF">
        <w:rPr>
          <w:lang w:eastAsia="en-GB"/>
        </w:rPr>
        <w:t>eAcademy</w:t>
      </w:r>
      <w:proofErr w:type="spellEnd"/>
      <w:r w:rsidR="007B5934" w:rsidRPr="00B548BF">
        <w:rPr>
          <w:lang w:eastAsia="en-GB"/>
        </w:rPr>
        <w:t xml:space="preserve"> Southeast Asia-573651-EPP-1-2016-1-DE-EPPKA2-CBHE-JP and </w:t>
      </w:r>
      <w:proofErr w:type="spellStart"/>
      <w:r w:rsidR="007B5934" w:rsidRPr="00B548BF">
        <w:rPr>
          <w:lang w:eastAsia="en-GB"/>
        </w:rPr>
        <w:t>ImpENSA</w:t>
      </w:r>
      <w:proofErr w:type="spellEnd"/>
      <w:r w:rsidR="007B5934" w:rsidRPr="00B548BF">
        <w:rPr>
          <w:lang w:eastAsia="en-GB"/>
        </w:rPr>
        <w:t xml:space="preserve"> 598488-EPP-1-2018-1-DE-EPPKA2-CBHE-JP), the British Heart Foundation (RG/15/17/3174), the US National Institute On Aging of the National Institutes of Health (Award No. U24AG047867) and the UK ESRC and BBSRC (Award No. ES/M00919X/1). </w:t>
      </w:r>
      <w:r w:rsidRPr="00B548BF">
        <w:rPr>
          <w:lang w:eastAsia="en-GB"/>
        </w:rPr>
        <w:t>NAA is in receipt of research support from the National Institute for Health Research</w:t>
      </w:r>
      <w:r w:rsidR="008C2A7A">
        <w:rPr>
          <w:lang w:eastAsia="en-GB"/>
        </w:rPr>
        <w:t>,</w:t>
      </w:r>
      <w:r w:rsidRPr="00B548BF">
        <w:rPr>
          <w:lang w:eastAsia="en-GB"/>
        </w:rPr>
        <w:t xml:space="preserve"> NIHR Southampton Biomedical Research Centre</w:t>
      </w:r>
      <w:r w:rsidR="008C2A7A">
        <w:rPr>
          <w:lang w:eastAsia="en-GB"/>
        </w:rPr>
        <w:t xml:space="preserve"> and NIHR Applied Research Collaboration Wessex</w:t>
      </w:r>
      <w:r w:rsidRPr="00B548BF">
        <w:rPr>
          <w:lang w:eastAsia="en-GB"/>
        </w:rPr>
        <w:t>.</w:t>
      </w:r>
    </w:p>
    <w:p w14:paraId="2FACD353" w14:textId="77777777" w:rsidR="005D4C9B" w:rsidRPr="00B548BF" w:rsidRDefault="005D4C9B" w:rsidP="006C6825">
      <w:pPr>
        <w:spacing w:line="480" w:lineRule="auto"/>
        <w:rPr>
          <w:lang w:eastAsia="en-GB"/>
        </w:rPr>
      </w:pPr>
    </w:p>
    <w:p w14:paraId="1433F2F1" w14:textId="77777777" w:rsidR="005D4C9B" w:rsidRPr="00B548BF" w:rsidRDefault="005D4C9B" w:rsidP="006C6825">
      <w:pPr>
        <w:spacing w:line="480" w:lineRule="auto"/>
        <w:rPr>
          <w:b/>
          <w:lang w:eastAsia="en-GB"/>
        </w:rPr>
      </w:pPr>
      <w:r w:rsidRPr="00B548BF">
        <w:rPr>
          <w:b/>
          <w:lang w:eastAsia="en-GB"/>
        </w:rPr>
        <w:t>Author Contributions</w:t>
      </w:r>
    </w:p>
    <w:p w14:paraId="27FBCE96" w14:textId="1B1834A6" w:rsidR="005D4C9B" w:rsidRPr="00B548BF" w:rsidRDefault="005D4C9B" w:rsidP="006C6825">
      <w:pPr>
        <w:spacing w:line="480" w:lineRule="auto"/>
        <w:rPr>
          <w:lang w:eastAsia="en-GB"/>
        </w:rPr>
      </w:pPr>
      <w:r w:rsidRPr="00B548BF">
        <w:rPr>
          <w:lang w:eastAsia="en-GB"/>
        </w:rPr>
        <w:t xml:space="preserve">Study concept (NZ, NAA), study design (NZ, </w:t>
      </w:r>
      <w:r w:rsidR="001523B1" w:rsidRPr="00B548BF">
        <w:rPr>
          <w:lang w:eastAsia="en-GB"/>
        </w:rPr>
        <w:t xml:space="preserve">JYH, </w:t>
      </w:r>
      <w:r w:rsidRPr="00B548BF">
        <w:rPr>
          <w:lang w:eastAsia="en-GB"/>
        </w:rPr>
        <w:t>EJT,</w:t>
      </w:r>
      <w:r w:rsidR="00B90073" w:rsidRPr="00B548BF">
        <w:rPr>
          <w:lang w:eastAsia="en-GB"/>
        </w:rPr>
        <w:t xml:space="preserve"> </w:t>
      </w:r>
      <w:r w:rsidRPr="00B548BF">
        <w:rPr>
          <w:lang w:eastAsia="en-GB"/>
        </w:rPr>
        <w:t>NAA), acquisition and interpretation of the data (NZ, NAA), data cleaning and management (NZ), statistical analysis (NZ), drafting of the manuscript (NZ), revising for content and approval of final version before submission (</w:t>
      </w:r>
      <w:r w:rsidR="001523B1" w:rsidRPr="00B548BF">
        <w:rPr>
          <w:lang w:eastAsia="en-GB"/>
        </w:rPr>
        <w:t>all authors</w:t>
      </w:r>
      <w:r w:rsidRPr="00B548BF">
        <w:rPr>
          <w:lang w:eastAsia="en-GB"/>
        </w:rPr>
        <w:t>). NAA is the project’s PI.</w:t>
      </w:r>
    </w:p>
    <w:p w14:paraId="02310B77" w14:textId="77777777" w:rsidR="005D4C9B" w:rsidRPr="00B548BF" w:rsidRDefault="005D4C9B" w:rsidP="006C6825">
      <w:pPr>
        <w:spacing w:line="480" w:lineRule="auto"/>
        <w:rPr>
          <w:lang w:eastAsia="en-GB"/>
        </w:rPr>
      </w:pPr>
    </w:p>
    <w:p w14:paraId="2E97228C" w14:textId="446A987B" w:rsidR="006C6825" w:rsidRPr="00B548BF" w:rsidRDefault="006C6825">
      <w:pPr>
        <w:rPr>
          <w:b/>
        </w:rPr>
      </w:pPr>
    </w:p>
    <w:p w14:paraId="30C96D30" w14:textId="77777777" w:rsidR="00AB49BA" w:rsidRPr="00B548BF" w:rsidRDefault="00AB49BA" w:rsidP="000F7574">
      <w:pPr>
        <w:spacing w:after="0"/>
        <w:rPr>
          <w:b/>
        </w:rPr>
      </w:pPr>
      <w:r w:rsidRPr="00B548BF">
        <w:rPr>
          <w:b/>
        </w:rPr>
        <w:t>References</w:t>
      </w:r>
    </w:p>
    <w:p w14:paraId="2850A7C7" w14:textId="77777777" w:rsidR="007F22F1" w:rsidRPr="007F22F1" w:rsidRDefault="00E860AA" w:rsidP="007F22F1">
      <w:pPr>
        <w:pStyle w:val="Bibliography"/>
        <w:rPr>
          <w:sz w:val="20"/>
        </w:rPr>
      </w:pPr>
      <w:r w:rsidRPr="00B548BF">
        <w:rPr>
          <w:b/>
          <w:sz w:val="18"/>
          <w:szCs w:val="20"/>
        </w:rPr>
        <w:fldChar w:fldCharType="begin"/>
      </w:r>
      <w:r w:rsidR="007F22F1">
        <w:rPr>
          <w:b/>
          <w:sz w:val="18"/>
          <w:szCs w:val="20"/>
        </w:rPr>
        <w:instrText xml:space="preserve"> ADDIN ZOTERO_BIBL {"uncited":[],"omitted":[],"custom":[]} CSL_BIBLIOGRAPHY </w:instrText>
      </w:r>
      <w:r w:rsidRPr="00B548BF">
        <w:rPr>
          <w:b/>
          <w:sz w:val="18"/>
          <w:szCs w:val="20"/>
        </w:rPr>
        <w:fldChar w:fldCharType="separate"/>
      </w:r>
      <w:r w:rsidR="007F22F1" w:rsidRPr="007F22F1">
        <w:rPr>
          <w:sz w:val="20"/>
        </w:rPr>
        <w:t xml:space="preserve">1. </w:t>
      </w:r>
      <w:r w:rsidR="007F22F1" w:rsidRPr="007F22F1">
        <w:rPr>
          <w:sz w:val="20"/>
        </w:rPr>
        <w:tab/>
        <w:t xml:space="preserve">Hanson M, Gluckman P, Bustreo F. Obesity and the health of future generations. Lancet Diabetes Endocrinol. 2016 Dec;4(12):966–7. </w:t>
      </w:r>
    </w:p>
    <w:p w14:paraId="39414A78" w14:textId="77777777" w:rsidR="007F22F1" w:rsidRPr="007F22F1" w:rsidRDefault="007F22F1" w:rsidP="007F22F1">
      <w:pPr>
        <w:pStyle w:val="Bibliography"/>
        <w:rPr>
          <w:sz w:val="20"/>
        </w:rPr>
      </w:pPr>
      <w:r w:rsidRPr="007F22F1">
        <w:rPr>
          <w:sz w:val="20"/>
        </w:rPr>
        <w:t xml:space="preserve">2. </w:t>
      </w:r>
      <w:r w:rsidRPr="007F22F1">
        <w:rPr>
          <w:sz w:val="20"/>
        </w:rPr>
        <w:tab/>
        <w:t xml:space="preserve">Heslehurst N, Rankin J, Wilkinson JR, Summerbell CD. A nationally representative study of maternal obesity in England, UK: trends in incidence and demographic inequalities in 619 323 births, 1989-2007. Int J Obes 2005. 2010 Mar;34(3):420–8. </w:t>
      </w:r>
    </w:p>
    <w:p w14:paraId="18D2BAE2" w14:textId="77777777" w:rsidR="007F22F1" w:rsidRPr="007F22F1" w:rsidRDefault="007F22F1" w:rsidP="007F22F1">
      <w:pPr>
        <w:pStyle w:val="Bibliography"/>
        <w:rPr>
          <w:sz w:val="20"/>
        </w:rPr>
      </w:pPr>
      <w:r w:rsidRPr="007F22F1">
        <w:rPr>
          <w:sz w:val="20"/>
        </w:rPr>
        <w:lastRenderedPageBreak/>
        <w:t xml:space="preserve">3. </w:t>
      </w:r>
      <w:r w:rsidRPr="007F22F1">
        <w:rPr>
          <w:sz w:val="20"/>
        </w:rPr>
        <w:tab/>
        <w:t>NHS Digital. NHS Maternity Statistics 2018-2019 [Internet]. NHS Digital; 2019 Oct. Available from: https://files.digital.nhs.uk/D0/C26F84/hosp-epis-stat-mat-summary-report-2018-19.pdf</w:t>
      </w:r>
    </w:p>
    <w:p w14:paraId="6758290C" w14:textId="77777777" w:rsidR="007F22F1" w:rsidRPr="007F22F1" w:rsidRDefault="007F22F1" w:rsidP="007F22F1">
      <w:pPr>
        <w:pStyle w:val="Bibliography"/>
        <w:rPr>
          <w:sz w:val="20"/>
        </w:rPr>
      </w:pPr>
      <w:r w:rsidRPr="007F22F1">
        <w:rPr>
          <w:sz w:val="20"/>
        </w:rPr>
        <w:t xml:space="preserve">4. </w:t>
      </w:r>
      <w:r w:rsidRPr="007F22F1">
        <w:rPr>
          <w:sz w:val="20"/>
        </w:rPr>
        <w:tab/>
        <w:t xml:space="preserve">Poston L. Maternal obesity, gestational weight gain and diet as determinants of offspring long term health. Best Pract Res Clin Endocrinol Metab. 2012 Oct 1;26(5):627–39. </w:t>
      </w:r>
    </w:p>
    <w:p w14:paraId="3C2B8CFF" w14:textId="77777777" w:rsidR="007F22F1" w:rsidRPr="007F22F1" w:rsidRDefault="007F22F1" w:rsidP="007F22F1">
      <w:pPr>
        <w:pStyle w:val="Bibliography"/>
        <w:rPr>
          <w:sz w:val="20"/>
        </w:rPr>
      </w:pPr>
      <w:r w:rsidRPr="007F22F1">
        <w:rPr>
          <w:sz w:val="20"/>
        </w:rPr>
        <w:t xml:space="preserve">5. </w:t>
      </w:r>
      <w:r w:rsidRPr="007F22F1">
        <w:rPr>
          <w:sz w:val="20"/>
        </w:rPr>
        <w:tab/>
        <w:t xml:space="preserve">Schmitt NM, Nicholson WK, Schmitt J. The association of pregnancy and the development of obesity – results of a systematic review and meta-analysis on the natural history of postpartum weight retention. Int J Obes. 2007 Nov;31(11):1642–51. </w:t>
      </w:r>
    </w:p>
    <w:p w14:paraId="6DCCF218" w14:textId="77777777" w:rsidR="007F22F1" w:rsidRPr="007F22F1" w:rsidRDefault="007F22F1" w:rsidP="007F22F1">
      <w:pPr>
        <w:pStyle w:val="Bibliography"/>
        <w:rPr>
          <w:sz w:val="20"/>
        </w:rPr>
      </w:pPr>
      <w:r w:rsidRPr="007F22F1">
        <w:rPr>
          <w:sz w:val="20"/>
        </w:rPr>
        <w:t xml:space="preserve">6. </w:t>
      </w:r>
      <w:r w:rsidRPr="007F22F1">
        <w:rPr>
          <w:sz w:val="20"/>
        </w:rPr>
        <w:tab/>
        <w:t xml:space="preserve">Davis EM, Zyzanski SJ, Olson CM, Stange KC, Horwitz RI. Racial, ethnic, and socioeconomic differences in the incidence of obesity related to childbirth. Am J Public Health. 2009 Feb;99(2):294–9. </w:t>
      </w:r>
    </w:p>
    <w:p w14:paraId="6A706C4A" w14:textId="77777777" w:rsidR="007F22F1" w:rsidRPr="007F22F1" w:rsidRDefault="007F22F1" w:rsidP="007F22F1">
      <w:pPr>
        <w:pStyle w:val="Bibliography"/>
        <w:rPr>
          <w:sz w:val="20"/>
        </w:rPr>
      </w:pPr>
      <w:r w:rsidRPr="007F22F1">
        <w:rPr>
          <w:sz w:val="20"/>
        </w:rPr>
        <w:t xml:space="preserve">7. </w:t>
      </w:r>
      <w:r w:rsidRPr="007F22F1">
        <w:rPr>
          <w:sz w:val="20"/>
        </w:rPr>
        <w:tab/>
        <w:t xml:space="preserve">Iversen DS, Kesmodel US, Ovesen PG. Associations between parity and maternal BMI in a population-based cohort study. Acta Obstet Gynecol Scand. 2018 Jun;97(6):694–700. </w:t>
      </w:r>
    </w:p>
    <w:p w14:paraId="75F75089" w14:textId="77777777" w:rsidR="007F22F1" w:rsidRPr="007F22F1" w:rsidRDefault="007F22F1" w:rsidP="007F22F1">
      <w:pPr>
        <w:pStyle w:val="Bibliography"/>
        <w:rPr>
          <w:sz w:val="20"/>
        </w:rPr>
      </w:pPr>
      <w:r w:rsidRPr="007F22F1">
        <w:rPr>
          <w:sz w:val="20"/>
        </w:rPr>
        <w:t xml:space="preserve">8. </w:t>
      </w:r>
      <w:r w:rsidRPr="007F22F1">
        <w:rPr>
          <w:sz w:val="20"/>
        </w:rPr>
        <w:tab/>
        <w:t xml:space="preserve">Bobrow KL, Quigley MA, Green J, Reeves GK, Beral V, Million Women Study Collaborators. Persistent effects of women’s parity and breastfeeding patterns on their body mass index: results from the Million Women Study. Int J Obes 2005. 2013 May;37(5):712–7. </w:t>
      </w:r>
    </w:p>
    <w:p w14:paraId="2BD98910" w14:textId="77777777" w:rsidR="007F22F1" w:rsidRPr="007F22F1" w:rsidRDefault="007F22F1" w:rsidP="007F22F1">
      <w:pPr>
        <w:pStyle w:val="Bibliography"/>
        <w:rPr>
          <w:sz w:val="20"/>
        </w:rPr>
      </w:pPr>
      <w:r w:rsidRPr="007F22F1">
        <w:rPr>
          <w:sz w:val="20"/>
        </w:rPr>
        <w:t xml:space="preserve">9. </w:t>
      </w:r>
      <w:r w:rsidRPr="007F22F1">
        <w:rPr>
          <w:sz w:val="20"/>
        </w:rPr>
        <w:tab/>
        <w:t xml:space="preserve">Gore SA, Brown DM, West DS. The role of postpartum weight retention in obesity among women: a review of the evidence. Ann Behav Med Publ Soc Behav Med. 2003 Oct;26(2):149–59. </w:t>
      </w:r>
    </w:p>
    <w:p w14:paraId="536BF6DD" w14:textId="77777777" w:rsidR="007F22F1" w:rsidRPr="007F22F1" w:rsidRDefault="007F22F1" w:rsidP="007F22F1">
      <w:pPr>
        <w:pStyle w:val="Bibliography"/>
        <w:rPr>
          <w:sz w:val="20"/>
        </w:rPr>
      </w:pPr>
      <w:r w:rsidRPr="007F22F1">
        <w:rPr>
          <w:sz w:val="20"/>
        </w:rPr>
        <w:t xml:space="preserve">10. </w:t>
      </w:r>
      <w:r w:rsidRPr="007F22F1">
        <w:rPr>
          <w:sz w:val="20"/>
        </w:rPr>
        <w:tab/>
        <w:t xml:space="preserve">Villamor E, Cnattingius S. Interpregnancy weight change and risk of adverse pregnancy outcomes: a population-based study. The Lancet. 2006 Sep;368(9542):1164–70. </w:t>
      </w:r>
    </w:p>
    <w:p w14:paraId="6FEA6422" w14:textId="77777777" w:rsidR="007F22F1" w:rsidRPr="007F22F1" w:rsidRDefault="007F22F1" w:rsidP="007F22F1">
      <w:pPr>
        <w:pStyle w:val="Bibliography"/>
        <w:rPr>
          <w:sz w:val="20"/>
        </w:rPr>
      </w:pPr>
      <w:r w:rsidRPr="007F22F1">
        <w:rPr>
          <w:sz w:val="20"/>
        </w:rPr>
        <w:t xml:space="preserve">11. </w:t>
      </w:r>
      <w:r w:rsidRPr="007F22F1">
        <w:rPr>
          <w:sz w:val="20"/>
        </w:rPr>
        <w:tab/>
        <w:t xml:space="preserve">Ziauddeen N, Wilding S, Roderick PJ, Macklon NS, Alwan NA. Is maternal weight gain between pregnancies associated with risk of large-for-gestational age birth? Analysis of a UK population-based cohort. BMJ Open. 2019 09;9(7):e026220. </w:t>
      </w:r>
    </w:p>
    <w:p w14:paraId="0E10631E" w14:textId="77777777" w:rsidR="007F22F1" w:rsidRPr="007F22F1" w:rsidRDefault="007F22F1" w:rsidP="007F22F1">
      <w:pPr>
        <w:pStyle w:val="Bibliography"/>
        <w:rPr>
          <w:sz w:val="20"/>
        </w:rPr>
      </w:pPr>
      <w:r w:rsidRPr="007F22F1">
        <w:rPr>
          <w:sz w:val="20"/>
        </w:rPr>
        <w:t xml:space="preserve">12. </w:t>
      </w:r>
      <w:r w:rsidRPr="007F22F1">
        <w:rPr>
          <w:sz w:val="20"/>
        </w:rPr>
        <w:tab/>
        <w:t>Office for National Statistics. Childbearing for women born in different years, England and Wales: 2018 [Internet]. 2019 [cited 2020 Aug 25]. Available from: https://www.ons.gov.uk/peoplepopulationandcommunity/birthsdeathsandmarriages/conceptionandfertilityrates/bulletins/childbearingforwomenbornindifferentyearsenglandandwales/2017</w:t>
      </w:r>
    </w:p>
    <w:p w14:paraId="25B725A1" w14:textId="77777777" w:rsidR="007F22F1" w:rsidRPr="007F22F1" w:rsidRDefault="007F22F1" w:rsidP="007F22F1">
      <w:pPr>
        <w:pStyle w:val="Bibliography"/>
        <w:rPr>
          <w:sz w:val="20"/>
        </w:rPr>
      </w:pPr>
      <w:r w:rsidRPr="007F22F1">
        <w:rPr>
          <w:sz w:val="20"/>
        </w:rPr>
        <w:t xml:space="preserve">13. </w:t>
      </w:r>
      <w:r w:rsidRPr="007F22F1">
        <w:rPr>
          <w:sz w:val="20"/>
        </w:rPr>
        <w:tab/>
        <w:t xml:space="preserve">Ziauddeen N, Roderick PJ, Macklon NS, Alwan NA. The duration of the interpregnancy interval in multiparous women and maternal weight gain between pregnancies: findings from a UK population-based cohort. Sci Rep. 2019 24;9(1):9175. </w:t>
      </w:r>
    </w:p>
    <w:p w14:paraId="7E2B6002" w14:textId="77777777" w:rsidR="007F22F1" w:rsidRPr="007F22F1" w:rsidRDefault="007F22F1" w:rsidP="007F22F1">
      <w:pPr>
        <w:pStyle w:val="Bibliography"/>
        <w:rPr>
          <w:sz w:val="20"/>
        </w:rPr>
      </w:pPr>
      <w:r w:rsidRPr="007F22F1">
        <w:rPr>
          <w:sz w:val="20"/>
        </w:rPr>
        <w:t xml:space="preserve">14. </w:t>
      </w:r>
      <w:r w:rsidRPr="007F22F1">
        <w:rPr>
          <w:sz w:val="20"/>
        </w:rPr>
        <w:tab/>
        <w:t xml:space="preserve">Oteng-Ntim E, Mononen S, Sawicki O, Seed PT, Bick D, Poston L. Interpregnancy weight change and adverse pregnancy outcomes: a systematic review and meta-analysis. BMJ Open. 2018 Jun;8(6):e018778. </w:t>
      </w:r>
    </w:p>
    <w:p w14:paraId="610F3AB7" w14:textId="77777777" w:rsidR="007F22F1" w:rsidRPr="007F22F1" w:rsidRDefault="007F22F1" w:rsidP="007F22F1">
      <w:pPr>
        <w:pStyle w:val="Bibliography"/>
        <w:rPr>
          <w:sz w:val="20"/>
        </w:rPr>
      </w:pPr>
      <w:r w:rsidRPr="007F22F1">
        <w:rPr>
          <w:sz w:val="20"/>
        </w:rPr>
        <w:t xml:space="preserve">15. </w:t>
      </w:r>
      <w:r w:rsidRPr="007F22F1">
        <w:rPr>
          <w:sz w:val="20"/>
        </w:rPr>
        <w:tab/>
        <w:t xml:space="preserve">Teulings NEWD, Masconi KL, Ozanne SE, Aiken CE, Wood AM. Effect of interpregnancy weight change on perinatal outcomes: systematic review and meta-analysis. BMC Pregnancy Childbirth. 2019 Dec;19(1):386. </w:t>
      </w:r>
    </w:p>
    <w:p w14:paraId="204C606A" w14:textId="77777777" w:rsidR="007F22F1" w:rsidRPr="007F22F1" w:rsidRDefault="007F22F1" w:rsidP="007F22F1">
      <w:pPr>
        <w:pStyle w:val="Bibliography"/>
        <w:rPr>
          <w:sz w:val="20"/>
        </w:rPr>
      </w:pPr>
      <w:r w:rsidRPr="007F22F1">
        <w:rPr>
          <w:sz w:val="20"/>
        </w:rPr>
        <w:t xml:space="preserve">16. </w:t>
      </w:r>
      <w:r w:rsidRPr="007F22F1">
        <w:rPr>
          <w:sz w:val="20"/>
        </w:rPr>
        <w:tab/>
        <w:t>Timmermans YEG, Kant KDG, Oosterman EO, Spaanderman MEA, Villamor</w:t>
      </w:r>
      <w:r w:rsidRPr="007F22F1">
        <w:rPr>
          <w:rFonts w:ascii="Cambria Math" w:hAnsi="Cambria Math" w:cs="Cambria Math"/>
          <w:sz w:val="20"/>
        </w:rPr>
        <w:t>‐</w:t>
      </w:r>
      <w:r w:rsidRPr="007F22F1">
        <w:rPr>
          <w:sz w:val="20"/>
        </w:rPr>
        <w:t>Martinez E, Kleijnen J, et al. The impact of interpregnancy weight change on perinatal outcomes in women and their children: A systematic review and meta</w:t>
      </w:r>
      <w:r w:rsidRPr="007F22F1">
        <w:rPr>
          <w:rFonts w:ascii="Cambria Math" w:hAnsi="Cambria Math" w:cs="Cambria Math"/>
          <w:sz w:val="20"/>
        </w:rPr>
        <w:t>‐</w:t>
      </w:r>
      <w:r w:rsidRPr="007F22F1">
        <w:rPr>
          <w:sz w:val="20"/>
        </w:rPr>
        <w:t>analysis. Obes Rev [Internet]. 2020 Mar [cited 2020 Aug 25];21(3). Available from: https://onlinelibrary.wiley.com/doi/abs/10.1111/obr.12974</w:t>
      </w:r>
    </w:p>
    <w:p w14:paraId="2D1B857F" w14:textId="77777777" w:rsidR="007F22F1" w:rsidRPr="007F22F1" w:rsidRDefault="007F22F1" w:rsidP="007F22F1">
      <w:pPr>
        <w:pStyle w:val="Bibliography"/>
        <w:rPr>
          <w:sz w:val="20"/>
        </w:rPr>
      </w:pPr>
      <w:r w:rsidRPr="007F22F1">
        <w:rPr>
          <w:sz w:val="20"/>
        </w:rPr>
        <w:lastRenderedPageBreak/>
        <w:t xml:space="preserve">17. </w:t>
      </w:r>
      <w:r w:rsidRPr="007F22F1">
        <w:rPr>
          <w:sz w:val="20"/>
        </w:rPr>
        <w:tab/>
        <w:t xml:space="preserve">Wallace JM, Bhattacharya S, Campbell DM, Horgan GW. Inter-Pregnancy Weight Change and the Risk of Recurrent Pregnancy Complications. Gebhardt G, editor. PLOS ONE. 2016 May 4;11(5):e0154812. </w:t>
      </w:r>
    </w:p>
    <w:p w14:paraId="13DD1B74" w14:textId="77777777" w:rsidR="007F22F1" w:rsidRPr="007F22F1" w:rsidRDefault="007F22F1" w:rsidP="007F22F1">
      <w:pPr>
        <w:pStyle w:val="Bibliography"/>
        <w:rPr>
          <w:sz w:val="20"/>
        </w:rPr>
      </w:pPr>
      <w:r w:rsidRPr="007F22F1">
        <w:rPr>
          <w:sz w:val="20"/>
        </w:rPr>
        <w:t xml:space="preserve">18. </w:t>
      </w:r>
      <w:r w:rsidRPr="007F22F1">
        <w:rPr>
          <w:sz w:val="20"/>
        </w:rPr>
        <w:tab/>
        <w:t xml:space="preserve">Reilly JJ, Armstrong J, Dorosty AR, Emmett PM, Ness A, Rogers I, et al. Early life risk factors for obesity in childhood: cohort study. BMJ. 2005 Jun 11;330(7504):1357. </w:t>
      </w:r>
    </w:p>
    <w:p w14:paraId="2472DB1A" w14:textId="77777777" w:rsidR="007F22F1" w:rsidRPr="007F22F1" w:rsidRDefault="007F22F1" w:rsidP="007F22F1">
      <w:pPr>
        <w:pStyle w:val="Bibliography"/>
        <w:rPr>
          <w:sz w:val="20"/>
        </w:rPr>
      </w:pPr>
      <w:r w:rsidRPr="007F22F1">
        <w:rPr>
          <w:sz w:val="20"/>
        </w:rPr>
        <w:t xml:space="preserve">19. </w:t>
      </w:r>
      <w:r w:rsidRPr="007F22F1">
        <w:rPr>
          <w:sz w:val="20"/>
        </w:rPr>
        <w:tab/>
        <w:t xml:space="preserve">Danielzik S, Czerwinski-Mast M, Langnäse K, Dilba B, Müller MJ. Parental overweight, socioeconomic status and high birth weight are the major determinants of overweight and obesity in 5-7 y-old children: baseline data of the Kiel Obesity Prevention Study (KOPS). Int J Obes Relat Metab Disord J Int Assoc Study Obes. 2004 Nov;28(11):1494–502. </w:t>
      </w:r>
    </w:p>
    <w:p w14:paraId="654C437E" w14:textId="77777777" w:rsidR="007F22F1" w:rsidRPr="007F22F1" w:rsidRDefault="007F22F1" w:rsidP="007F22F1">
      <w:pPr>
        <w:pStyle w:val="Bibliography"/>
        <w:rPr>
          <w:sz w:val="20"/>
        </w:rPr>
      </w:pPr>
      <w:r w:rsidRPr="007F22F1">
        <w:rPr>
          <w:sz w:val="20"/>
        </w:rPr>
        <w:t xml:space="preserve">20. </w:t>
      </w:r>
      <w:r w:rsidRPr="007F22F1">
        <w:rPr>
          <w:sz w:val="20"/>
        </w:rPr>
        <w:tab/>
        <w:t xml:space="preserve">Curhan GC, Willett WC, Rimm EB, Spiegelman D, Ascherio AL, Stampfer MJ. Birth weight and adult hypertension, diabetes mellitus, and obesity in US men. Circulation. 1996 Dec 15;94(12):3246–50. </w:t>
      </w:r>
    </w:p>
    <w:p w14:paraId="39C62AD1" w14:textId="77777777" w:rsidR="007F22F1" w:rsidRPr="007F22F1" w:rsidRDefault="007F22F1" w:rsidP="007F22F1">
      <w:pPr>
        <w:pStyle w:val="Bibliography"/>
        <w:rPr>
          <w:sz w:val="20"/>
        </w:rPr>
      </w:pPr>
      <w:r w:rsidRPr="007F22F1">
        <w:rPr>
          <w:sz w:val="20"/>
        </w:rPr>
        <w:t xml:space="preserve">21. </w:t>
      </w:r>
      <w:r w:rsidRPr="007F22F1">
        <w:rPr>
          <w:sz w:val="20"/>
        </w:rPr>
        <w:tab/>
        <w:t xml:space="preserve">Curhan GC, Chertow GM, Willett WC, Spiegelman D, Colditz GA, Manson JE, et al. Birth Weight and Adult Hypertension and Obesity in Women. Circulation. 1996 Sep 15;94(6):1310–5. </w:t>
      </w:r>
    </w:p>
    <w:p w14:paraId="026558F0" w14:textId="77777777" w:rsidR="007F22F1" w:rsidRPr="007F22F1" w:rsidRDefault="007F22F1" w:rsidP="007F22F1">
      <w:pPr>
        <w:pStyle w:val="Bibliography"/>
        <w:rPr>
          <w:sz w:val="20"/>
        </w:rPr>
      </w:pPr>
      <w:r w:rsidRPr="007F22F1">
        <w:rPr>
          <w:sz w:val="20"/>
        </w:rPr>
        <w:t xml:space="preserve">22. </w:t>
      </w:r>
      <w:r w:rsidRPr="007F22F1">
        <w:rPr>
          <w:sz w:val="20"/>
        </w:rPr>
        <w:tab/>
        <w:t xml:space="preserve">Phillips D, Young J. Birth weight, climate at birth and the risk of obesity in adult life. Int J Obes. 2000 Mar;24(3):281–7. </w:t>
      </w:r>
    </w:p>
    <w:p w14:paraId="0511ADD5" w14:textId="77777777" w:rsidR="007F22F1" w:rsidRPr="007F22F1" w:rsidRDefault="007F22F1" w:rsidP="007F22F1">
      <w:pPr>
        <w:pStyle w:val="Bibliography"/>
        <w:rPr>
          <w:sz w:val="20"/>
        </w:rPr>
      </w:pPr>
      <w:r w:rsidRPr="007F22F1">
        <w:rPr>
          <w:sz w:val="20"/>
        </w:rPr>
        <w:t xml:space="preserve">23. </w:t>
      </w:r>
      <w:r w:rsidRPr="007F22F1">
        <w:rPr>
          <w:sz w:val="20"/>
        </w:rPr>
        <w:tab/>
        <w:t xml:space="preserve">Inskip H, Crozier S, Baird J, Hammond J, Robinson S, Cooper C, et al. Measured weight in early pregnancy is a valid method for estimating pre-pregnancy weight. J Dev Orig Health Dis. 2020 Oct 13;1–9. </w:t>
      </w:r>
    </w:p>
    <w:p w14:paraId="1246722A" w14:textId="77777777" w:rsidR="007F22F1" w:rsidRPr="007F22F1" w:rsidRDefault="007F22F1" w:rsidP="007F22F1">
      <w:pPr>
        <w:pStyle w:val="Bibliography"/>
        <w:rPr>
          <w:sz w:val="20"/>
        </w:rPr>
      </w:pPr>
      <w:r w:rsidRPr="007F22F1">
        <w:rPr>
          <w:sz w:val="20"/>
        </w:rPr>
        <w:t xml:space="preserve">24. </w:t>
      </w:r>
      <w:r w:rsidRPr="007F22F1">
        <w:rPr>
          <w:sz w:val="20"/>
        </w:rPr>
        <w:tab/>
        <w:t>National Institute of Heath and Care Excellence. Antenatal care for uncomplicated pregnancies [Internet]. Machester, UK: National Institute of Heath and Care Excellence; 2008 Mar [cited 2020 Aug 25]. Available from: https://www.nice.org.uk/guidance/cg62</w:t>
      </w:r>
    </w:p>
    <w:p w14:paraId="33967F0E" w14:textId="77777777" w:rsidR="007F22F1" w:rsidRPr="007F22F1" w:rsidRDefault="007F22F1" w:rsidP="007F22F1">
      <w:pPr>
        <w:pStyle w:val="Bibliography"/>
        <w:rPr>
          <w:sz w:val="20"/>
        </w:rPr>
      </w:pPr>
      <w:r w:rsidRPr="007F22F1">
        <w:rPr>
          <w:sz w:val="20"/>
        </w:rPr>
        <w:t xml:space="preserve">25. </w:t>
      </w:r>
      <w:r w:rsidRPr="007F22F1">
        <w:rPr>
          <w:sz w:val="20"/>
        </w:rPr>
        <w:tab/>
        <w:t>NHS Digital. National Child Measurement Programme [Internet]. [cited 2020 Aug 25]. Available from: https://digital.nhs.uk/services/national-child-measurement-programme/</w:t>
      </w:r>
    </w:p>
    <w:p w14:paraId="2F950375" w14:textId="77777777" w:rsidR="007F22F1" w:rsidRPr="007F22F1" w:rsidRDefault="007F22F1" w:rsidP="007F22F1">
      <w:pPr>
        <w:pStyle w:val="Bibliography"/>
        <w:rPr>
          <w:sz w:val="20"/>
        </w:rPr>
      </w:pPr>
      <w:r w:rsidRPr="007F22F1">
        <w:rPr>
          <w:sz w:val="20"/>
        </w:rPr>
        <w:t xml:space="preserve">26. </w:t>
      </w:r>
      <w:r w:rsidRPr="007F22F1">
        <w:rPr>
          <w:sz w:val="20"/>
        </w:rPr>
        <w:tab/>
        <w:t xml:space="preserve">Vidmar S, Carlin J, Hesketh K, Cole T. Standardizing Anthropometric Measures in Children and Adolescents with New Functions for Egen. Stata J Promot Commun Stat Stata. 2004 Mar;4(1):50–5. </w:t>
      </w:r>
    </w:p>
    <w:p w14:paraId="02B266A7" w14:textId="77777777" w:rsidR="007F22F1" w:rsidRPr="007F22F1" w:rsidRDefault="007F22F1" w:rsidP="007F22F1">
      <w:pPr>
        <w:pStyle w:val="Bibliography"/>
        <w:rPr>
          <w:sz w:val="20"/>
        </w:rPr>
      </w:pPr>
      <w:r w:rsidRPr="007F22F1">
        <w:rPr>
          <w:sz w:val="20"/>
        </w:rPr>
        <w:t xml:space="preserve">27. </w:t>
      </w:r>
      <w:r w:rsidRPr="007F22F1">
        <w:rPr>
          <w:sz w:val="20"/>
        </w:rPr>
        <w:tab/>
        <w:t>NHS Digital. National Child Measurement Programme, England 2018/19 School Year [NS] [Internet]. 2019 Oct [cited 2020 Mar 18]. Available from: https://digital.nhs.uk/data-and-information/publications/statistical/national-child-measurement-programme/2018-19-school-year#</w:t>
      </w:r>
    </w:p>
    <w:p w14:paraId="1118C6E9" w14:textId="77777777" w:rsidR="007F22F1" w:rsidRPr="007F22F1" w:rsidRDefault="007F22F1" w:rsidP="007F22F1">
      <w:pPr>
        <w:pStyle w:val="Bibliography"/>
        <w:rPr>
          <w:sz w:val="20"/>
        </w:rPr>
      </w:pPr>
      <w:r w:rsidRPr="007F22F1">
        <w:rPr>
          <w:sz w:val="20"/>
        </w:rPr>
        <w:t xml:space="preserve">28. </w:t>
      </w:r>
      <w:r w:rsidRPr="007F22F1">
        <w:rPr>
          <w:sz w:val="20"/>
        </w:rPr>
        <w:tab/>
        <w:t xml:space="preserve">National Obesity Observatory. A simple guide to classifying body mass index in children. 2011. </w:t>
      </w:r>
    </w:p>
    <w:p w14:paraId="7E93973F" w14:textId="77777777" w:rsidR="007F22F1" w:rsidRPr="007F22F1" w:rsidRDefault="007F22F1" w:rsidP="007F22F1">
      <w:pPr>
        <w:pStyle w:val="Bibliography"/>
        <w:rPr>
          <w:sz w:val="20"/>
        </w:rPr>
      </w:pPr>
      <w:r w:rsidRPr="007F22F1">
        <w:rPr>
          <w:sz w:val="20"/>
        </w:rPr>
        <w:t xml:space="preserve">29. </w:t>
      </w:r>
      <w:r w:rsidRPr="007F22F1">
        <w:rPr>
          <w:sz w:val="20"/>
        </w:rPr>
        <w:tab/>
        <w:t xml:space="preserve">National Institute of Heath and Care Excellence. Diabetes in pregnancy: management from preconception to the postnatal period. 2015 Feb. </w:t>
      </w:r>
    </w:p>
    <w:p w14:paraId="7F1E46BA" w14:textId="77777777" w:rsidR="007F22F1" w:rsidRPr="007F22F1" w:rsidRDefault="007F22F1" w:rsidP="007F22F1">
      <w:pPr>
        <w:pStyle w:val="Bibliography"/>
        <w:rPr>
          <w:sz w:val="20"/>
        </w:rPr>
      </w:pPr>
      <w:r w:rsidRPr="007F22F1">
        <w:rPr>
          <w:sz w:val="20"/>
        </w:rPr>
        <w:t xml:space="preserve">30. </w:t>
      </w:r>
      <w:r w:rsidRPr="007F22F1">
        <w:rPr>
          <w:sz w:val="20"/>
        </w:rPr>
        <w:tab/>
        <w:t xml:space="preserve">Textor J, van der Zander B, Gilthorpe MS, Liskiewicz M, Ellison GT. Robust causal inference using directed acyclic graphs: the R package “dagitty.” Int J Epidemiol. 2016 01;45(6):1887–94. </w:t>
      </w:r>
    </w:p>
    <w:p w14:paraId="478C5950" w14:textId="77777777" w:rsidR="007F22F1" w:rsidRPr="007F22F1" w:rsidRDefault="007F22F1" w:rsidP="007F22F1">
      <w:pPr>
        <w:pStyle w:val="Bibliography"/>
        <w:rPr>
          <w:sz w:val="20"/>
        </w:rPr>
      </w:pPr>
      <w:r w:rsidRPr="007F22F1">
        <w:rPr>
          <w:sz w:val="20"/>
        </w:rPr>
        <w:t xml:space="preserve">31. </w:t>
      </w:r>
      <w:r w:rsidRPr="007F22F1">
        <w:rPr>
          <w:sz w:val="20"/>
        </w:rPr>
        <w:tab/>
        <w:t xml:space="preserve">Cummings P. Methods for Estimating Adjusted Risk Ratios. </w:t>
      </w:r>
      <w:r w:rsidRPr="00332E58">
        <w:rPr>
          <w:sz w:val="20"/>
          <w:lang w:val="it-IT"/>
        </w:rPr>
        <w:t xml:space="preserve">Stata J Promot Commun Stat Stata. </w:t>
      </w:r>
      <w:r w:rsidRPr="007F22F1">
        <w:rPr>
          <w:sz w:val="20"/>
        </w:rPr>
        <w:t xml:space="preserve">2009 Aug;9(2):175–96. </w:t>
      </w:r>
    </w:p>
    <w:p w14:paraId="6E4B22C2" w14:textId="77777777" w:rsidR="007F22F1" w:rsidRPr="007F22F1" w:rsidRDefault="007F22F1" w:rsidP="007F22F1">
      <w:pPr>
        <w:pStyle w:val="Bibliography"/>
        <w:rPr>
          <w:sz w:val="20"/>
        </w:rPr>
      </w:pPr>
      <w:r w:rsidRPr="007F22F1">
        <w:rPr>
          <w:sz w:val="20"/>
        </w:rPr>
        <w:lastRenderedPageBreak/>
        <w:t xml:space="preserve">32. </w:t>
      </w:r>
      <w:r w:rsidRPr="007F22F1">
        <w:rPr>
          <w:sz w:val="20"/>
        </w:rPr>
        <w:tab/>
        <w:t xml:space="preserve">Greenland S. Quantifying biases in causal models: classical confounding vs collider-stratification bias. Epidemiol Camb Mass. 2003 May;14(3):300–6. </w:t>
      </w:r>
    </w:p>
    <w:p w14:paraId="53815E5E" w14:textId="77777777" w:rsidR="007F22F1" w:rsidRPr="007F22F1" w:rsidRDefault="007F22F1" w:rsidP="007F22F1">
      <w:pPr>
        <w:pStyle w:val="Bibliography"/>
        <w:rPr>
          <w:sz w:val="20"/>
        </w:rPr>
      </w:pPr>
      <w:r w:rsidRPr="007F22F1">
        <w:rPr>
          <w:sz w:val="20"/>
        </w:rPr>
        <w:t xml:space="preserve">33. </w:t>
      </w:r>
      <w:r w:rsidRPr="007F22F1">
        <w:rPr>
          <w:sz w:val="20"/>
        </w:rPr>
        <w:tab/>
        <w:t xml:space="preserve">Ananth CV, Schisterman EF. Confounding, causality, and confusion: the role of intermediate variables in interpreting observational studies in obstetrics. Am J Obstet Gynecol. 2017 Aug;217(2):167–75. </w:t>
      </w:r>
    </w:p>
    <w:p w14:paraId="250E1996" w14:textId="77777777" w:rsidR="007F22F1" w:rsidRPr="007F22F1" w:rsidRDefault="007F22F1" w:rsidP="007F22F1">
      <w:pPr>
        <w:pStyle w:val="Bibliography"/>
        <w:rPr>
          <w:sz w:val="20"/>
        </w:rPr>
      </w:pPr>
      <w:r w:rsidRPr="007F22F1">
        <w:rPr>
          <w:sz w:val="20"/>
        </w:rPr>
        <w:t xml:space="preserve">34. </w:t>
      </w:r>
      <w:r w:rsidRPr="007F22F1">
        <w:rPr>
          <w:sz w:val="20"/>
        </w:rPr>
        <w:tab/>
        <w:t xml:space="preserve">Whitcomb BW, Schisterman EF, Perkins NJ, Platt RW. Quantification of collider-stratification bias and the birthweight paradox. Paediatr Perinat Epidemiol. 2009 Sep;23(5):394–402. </w:t>
      </w:r>
    </w:p>
    <w:p w14:paraId="28F85660" w14:textId="77777777" w:rsidR="007F22F1" w:rsidRPr="007F22F1" w:rsidRDefault="007F22F1" w:rsidP="007F22F1">
      <w:pPr>
        <w:pStyle w:val="Bibliography"/>
        <w:rPr>
          <w:sz w:val="20"/>
        </w:rPr>
      </w:pPr>
      <w:r w:rsidRPr="007F22F1">
        <w:rPr>
          <w:sz w:val="20"/>
        </w:rPr>
        <w:t xml:space="preserve">35. </w:t>
      </w:r>
      <w:r w:rsidRPr="007F22F1">
        <w:rPr>
          <w:sz w:val="20"/>
        </w:rPr>
        <w:tab/>
        <w:t xml:space="preserve">Stata Statistical Software: Release 15. College Station, TX: StataCorp LLC; 2017. </w:t>
      </w:r>
    </w:p>
    <w:p w14:paraId="5A167445" w14:textId="77777777" w:rsidR="007F22F1" w:rsidRPr="007F22F1" w:rsidRDefault="007F22F1" w:rsidP="007F22F1">
      <w:pPr>
        <w:pStyle w:val="Bibliography"/>
        <w:rPr>
          <w:sz w:val="20"/>
        </w:rPr>
      </w:pPr>
      <w:r w:rsidRPr="007F22F1">
        <w:rPr>
          <w:sz w:val="20"/>
        </w:rPr>
        <w:t xml:space="preserve">36. </w:t>
      </w:r>
      <w:r w:rsidRPr="007F22F1">
        <w:rPr>
          <w:sz w:val="20"/>
        </w:rPr>
        <w:tab/>
        <w:t xml:space="preserve">Poston L, Caleyachetty R, Cnattingius S, Corvalán C, Uauy R, Herring S, et al. Preconceptional and maternal obesity: epidemiology and health consequences. Lancet Diabetes Endocrinol. 2016 Dec;4(12):1025–36. </w:t>
      </w:r>
    </w:p>
    <w:p w14:paraId="2A775B47" w14:textId="77777777" w:rsidR="007F22F1" w:rsidRPr="007F22F1" w:rsidRDefault="007F22F1" w:rsidP="007F22F1">
      <w:pPr>
        <w:pStyle w:val="Bibliography"/>
        <w:rPr>
          <w:sz w:val="20"/>
        </w:rPr>
      </w:pPr>
      <w:r w:rsidRPr="007F22F1">
        <w:rPr>
          <w:sz w:val="20"/>
        </w:rPr>
        <w:t xml:space="preserve">37. </w:t>
      </w:r>
      <w:r w:rsidRPr="007F22F1">
        <w:rPr>
          <w:sz w:val="20"/>
        </w:rPr>
        <w:tab/>
        <w:t xml:space="preserve">Baptiste-Roberts K, Nicholson WK, Wang N-Y, Brancati FL. Gestational Diabetes and Subsequent Growth Patterns of Offspring: The National Collaborative Perinatal Project. Matern Child Health J. 2012 Jan;16(1):125–32. </w:t>
      </w:r>
    </w:p>
    <w:p w14:paraId="3FF56EF6" w14:textId="77777777" w:rsidR="007F22F1" w:rsidRPr="007F22F1" w:rsidRDefault="007F22F1" w:rsidP="007F22F1">
      <w:pPr>
        <w:pStyle w:val="Bibliography"/>
        <w:rPr>
          <w:sz w:val="20"/>
        </w:rPr>
      </w:pPr>
      <w:r w:rsidRPr="007F22F1">
        <w:rPr>
          <w:sz w:val="20"/>
        </w:rPr>
        <w:t xml:space="preserve">38. </w:t>
      </w:r>
      <w:r w:rsidRPr="007F22F1">
        <w:rPr>
          <w:sz w:val="20"/>
        </w:rPr>
        <w:tab/>
        <w:t xml:space="preserve">Zhu Y, Olsen SF, Mendola P, Yeung EH, Vaag A, Bowers K, et al. Growth and obesity through the first 7 y of life in association with levels of maternal glycemia during pregnancy: a prospective cohort study. Am J Clin Nutr. 2016 Mar 1;103(3):794–800. </w:t>
      </w:r>
    </w:p>
    <w:p w14:paraId="45AEA7BD" w14:textId="77777777" w:rsidR="007F22F1" w:rsidRPr="007F22F1" w:rsidRDefault="007F22F1" w:rsidP="007F22F1">
      <w:pPr>
        <w:pStyle w:val="Bibliography"/>
        <w:rPr>
          <w:sz w:val="20"/>
        </w:rPr>
      </w:pPr>
      <w:r w:rsidRPr="007F22F1">
        <w:rPr>
          <w:sz w:val="20"/>
        </w:rPr>
        <w:t xml:space="preserve">39. </w:t>
      </w:r>
      <w:r w:rsidRPr="007F22F1">
        <w:rPr>
          <w:sz w:val="20"/>
        </w:rPr>
        <w:tab/>
        <w:t xml:space="preserve">Weng SF, Redsell SA, Swift JA, Yang M, Glazebrook CP. Systematic review and meta-analyses of risk factors for childhood overweight identifiable during infancy. Arch Dis Child. 2012 Dec;97(12):1019–26. </w:t>
      </w:r>
    </w:p>
    <w:p w14:paraId="5865C55E" w14:textId="77777777" w:rsidR="007F22F1" w:rsidRPr="007F22F1" w:rsidRDefault="007F22F1" w:rsidP="007F22F1">
      <w:pPr>
        <w:pStyle w:val="Bibliography"/>
        <w:rPr>
          <w:sz w:val="20"/>
        </w:rPr>
      </w:pPr>
      <w:r w:rsidRPr="007F22F1">
        <w:rPr>
          <w:sz w:val="20"/>
        </w:rPr>
        <w:t xml:space="preserve">40. </w:t>
      </w:r>
      <w:r w:rsidRPr="007F22F1">
        <w:rPr>
          <w:sz w:val="20"/>
        </w:rPr>
        <w:tab/>
        <w:t xml:space="preserve">Getahun D, Ananth CV, Peltier MR, Salihu HM, Scorza WE. Changes in prepregnancy body mass index between the first and second pregnancies and risk of large-for-gestational-age birth. Am J Obstet Gynecol. 2007 Jun;196(6):530.e1-530.e8. </w:t>
      </w:r>
    </w:p>
    <w:p w14:paraId="53517A78" w14:textId="77777777" w:rsidR="007F22F1" w:rsidRPr="007F22F1" w:rsidRDefault="007F22F1" w:rsidP="007F22F1">
      <w:pPr>
        <w:pStyle w:val="Bibliography"/>
        <w:rPr>
          <w:sz w:val="20"/>
        </w:rPr>
      </w:pPr>
      <w:r w:rsidRPr="007F22F1">
        <w:rPr>
          <w:sz w:val="20"/>
        </w:rPr>
        <w:t xml:space="preserve">41. </w:t>
      </w:r>
      <w:r w:rsidRPr="007F22F1">
        <w:rPr>
          <w:sz w:val="20"/>
        </w:rPr>
        <w:tab/>
        <w:t xml:space="preserve">Adane AA, Dobson A, Tooth L, Mishra GD. Maternal preconception weight trajectories are associated with offsprings’ childhood obesity. Int J Obes. 2018 Jul;42(7):1265–74. </w:t>
      </w:r>
    </w:p>
    <w:p w14:paraId="77D426D5" w14:textId="77777777" w:rsidR="007F22F1" w:rsidRPr="007F22F1" w:rsidRDefault="007F22F1" w:rsidP="007F22F1">
      <w:pPr>
        <w:pStyle w:val="Bibliography"/>
        <w:rPr>
          <w:sz w:val="20"/>
        </w:rPr>
      </w:pPr>
      <w:r w:rsidRPr="007F22F1">
        <w:rPr>
          <w:sz w:val="20"/>
        </w:rPr>
        <w:t xml:space="preserve">42. </w:t>
      </w:r>
      <w:r w:rsidRPr="007F22F1">
        <w:rPr>
          <w:sz w:val="20"/>
        </w:rPr>
        <w:tab/>
        <w:t xml:space="preserve">Aucott L, Bhattacharya S, McNeill G, Turner S. Differences in Body Mass Index between Siblings Who Are Discordant for Exposure to Antenatal Maternal Smoking. Paediatr Perinat Epidemiol. 2017;31(5):402–8. </w:t>
      </w:r>
    </w:p>
    <w:p w14:paraId="20E2A008" w14:textId="77777777" w:rsidR="007F22F1" w:rsidRPr="007F22F1" w:rsidRDefault="007F22F1" w:rsidP="007F22F1">
      <w:pPr>
        <w:pStyle w:val="Bibliography"/>
        <w:rPr>
          <w:sz w:val="20"/>
        </w:rPr>
      </w:pPr>
      <w:r w:rsidRPr="007F22F1">
        <w:rPr>
          <w:sz w:val="20"/>
        </w:rPr>
        <w:t xml:space="preserve">43. </w:t>
      </w:r>
      <w:r w:rsidRPr="007F22F1">
        <w:rPr>
          <w:sz w:val="20"/>
        </w:rPr>
        <w:tab/>
        <w:t xml:space="preserve">Barker M, Dombrowski SU, Colbourn T, Fall CHD, Kriznik NM, Lawrence WT, et al. Intervention strategies to improve nutrition and health behaviours before conception. The Lancet. 2018 May;391(10132):1853–64. </w:t>
      </w:r>
    </w:p>
    <w:p w14:paraId="3122270D" w14:textId="77777777" w:rsidR="007F22F1" w:rsidRPr="007F22F1" w:rsidRDefault="007F22F1" w:rsidP="007F22F1">
      <w:pPr>
        <w:pStyle w:val="Bibliography"/>
        <w:rPr>
          <w:sz w:val="20"/>
        </w:rPr>
      </w:pPr>
      <w:r w:rsidRPr="007F22F1">
        <w:rPr>
          <w:sz w:val="20"/>
        </w:rPr>
        <w:t xml:space="preserve">44. </w:t>
      </w:r>
      <w:r w:rsidRPr="007F22F1">
        <w:rPr>
          <w:sz w:val="20"/>
        </w:rPr>
        <w:tab/>
        <w:t xml:space="preserve">Stephenson J, Heslehurst N, Hall J, Schoenaker DAJM, Hutchinson J, Cade JE, et al. Before the beginning: nutrition and lifestyle in the preconception period and its importance for future health. The Lancet. 2018 May;391(10132):1830–41. </w:t>
      </w:r>
    </w:p>
    <w:p w14:paraId="0640F6E4" w14:textId="77777777" w:rsidR="007F22F1" w:rsidRPr="007F22F1" w:rsidRDefault="007F22F1" w:rsidP="007F22F1">
      <w:pPr>
        <w:pStyle w:val="Bibliography"/>
        <w:rPr>
          <w:sz w:val="20"/>
        </w:rPr>
      </w:pPr>
      <w:r w:rsidRPr="007F22F1">
        <w:rPr>
          <w:sz w:val="20"/>
        </w:rPr>
        <w:t xml:space="preserve">45. </w:t>
      </w:r>
      <w:r w:rsidRPr="007F22F1">
        <w:rPr>
          <w:sz w:val="20"/>
        </w:rPr>
        <w:tab/>
        <w:t xml:space="preserve">Stephenson J, Vogel C, Hall J, Hutchinson J, Mann S, Duncan H, et al. Preconception health in England: a proposal for annual reporting with core metrics. The Lancet. 2019 Jun;393(10187):2262–71. </w:t>
      </w:r>
    </w:p>
    <w:p w14:paraId="054C4227" w14:textId="77777777" w:rsidR="007F22F1" w:rsidRPr="007F22F1" w:rsidRDefault="007F22F1" w:rsidP="007F22F1">
      <w:pPr>
        <w:pStyle w:val="Bibliography"/>
        <w:rPr>
          <w:sz w:val="20"/>
        </w:rPr>
      </w:pPr>
      <w:r w:rsidRPr="007F22F1">
        <w:rPr>
          <w:sz w:val="20"/>
        </w:rPr>
        <w:t xml:space="preserve">46. </w:t>
      </w:r>
      <w:r w:rsidRPr="007F22F1">
        <w:rPr>
          <w:sz w:val="20"/>
        </w:rPr>
        <w:tab/>
        <w:t xml:space="preserve">Department for Communities and Local Government. The English Indices of Deprivation 2015. 2015. </w:t>
      </w:r>
    </w:p>
    <w:p w14:paraId="599283EB" w14:textId="77777777" w:rsidR="007F22F1" w:rsidRPr="007F22F1" w:rsidRDefault="007F22F1" w:rsidP="007F22F1">
      <w:pPr>
        <w:pStyle w:val="Bibliography"/>
        <w:rPr>
          <w:sz w:val="20"/>
        </w:rPr>
      </w:pPr>
      <w:r w:rsidRPr="007F22F1">
        <w:rPr>
          <w:sz w:val="20"/>
        </w:rPr>
        <w:t xml:space="preserve">47. </w:t>
      </w:r>
      <w:r w:rsidRPr="007F22F1">
        <w:rPr>
          <w:sz w:val="20"/>
        </w:rPr>
        <w:tab/>
        <w:t xml:space="preserve">Office for National Statistics. Ethnicity and National Identity in England and Wales: 2011. 2012. </w:t>
      </w:r>
    </w:p>
    <w:p w14:paraId="64DBBF96" w14:textId="77777777" w:rsidR="007F22F1" w:rsidRPr="007F22F1" w:rsidRDefault="007F22F1" w:rsidP="007F22F1">
      <w:pPr>
        <w:pStyle w:val="Bibliography"/>
        <w:rPr>
          <w:sz w:val="20"/>
        </w:rPr>
      </w:pPr>
      <w:r w:rsidRPr="007F22F1">
        <w:rPr>
          <w:sz w:val="20"/>
        </w:rPr>
        <w:lastRenderedPageBreak/>
        <w:t xml:space="preserve">48. </w:t>
      </w:r>
      <w:r w:rsidRPr="007F22F1">
        <w:rPr>
          <w:sz w:val="20"/>
        </w:rPr>
        <w:tab/>
        <w:t xml:space="preserve">Nohr EA, Vaeth M, Baker JL, Sørensen TI, Olsen J, Rasmussen KM. Combined associations of prepregnancy body mass index and gestational weight gain with the outcome of pregnancy. Am J Clin Nutr. 2008 Jun;87(6):1750–9. </w:t>
      </w:r>
    </w:p>
    <w:p w14:paraId="5EC6CAAA" w14:textId="5D51C8F0" w:rsidR="005D4C9B" w:rsidRPr="00B548BF" w:rsidRDefault="00E860AA" w:rsidP="00FA134E">
      <w:pPr>
        <w:spacing w:after="0"/>
        <w:rPr>
          <w:b/>
          <w:sz w:val="20"/>
          <w:szCs w:val="20"/>
        </w:rPr>
      </w:pPr>
      <w:r w:rsidRPr="00B548BF">
        <w:rPr>
          <w:b/>
          <w:sz w:val="18"/>
          <w:szCs w:val="20"/>
        </w:rPr>
        <w:fldChar w:fldCharType="end"/>
      </w:r>
    </w:p>
    <w:p w14:paraId="0C05BB58" w14:textId="28491FDD" w:rsidR="005D4C9B" w:rsidRPr="00B548BF" w:rsidRDefault="005D4C9B">
      <w:pPr>
        <w:rPr>
          <w:b/>
          <w:szCs w:val="20"/>
        </w:rPr>
      </w:pPr>
    </w:p>
    <w:p w14:paraId="18581CEE" w14:textId="77777777" w:rsidR="00B9071C" w:rsidRPr="00B548BF" w:rsidRDefault="00B9071C">
      <w:pPr>
        <w:rPr>
          <w:b/>
          <w:szCs w:val="20"/>
        </w:rPr>
      </w:pPr>
    </w:p>
    <w:p w14:paraId="56ABBF0F" w14:textId="35B5A850" w:rsidR="005D4C9B" w:rsidRPr="00B548BF" w:rsidRDefault="005D4C9B">
      <w:pPr>
        <w:rPr>
          <w:b/>
          <w:szCs w:val="20"/>
        </w:rPr>
      </w:pPr>
      <w:r w:rsidRPr="00B548BF">
        <w:rPr>
          <w:b/>
          <w:szCs w:val="20"/>
        </w:rPr>
        <w:t>Figure legends</w:t>
      </w:r>
    </w:p>
    <w:p w14:paraId="1506CBDF" w14:textId="4D00828E" w:rsidR="00B90073" w:rsidRPr="00B548BF" w:rsidRDefault="00B90073">
      <w:r w:rsidRPr="00B548BF">
        <w:t>Figure 1: PRISMA flow diagram</w:t>
      </w:r>
    </w:p>
    <w:p w14:paraId="2FBDCF37" w14:textId="6CAD5F72" w:rsidR="00B90073" w:rsidRPr="00B548BF" w:rsidRDefault="00B90073" w:rsidP="005D4C9B">
      <w:r w:rsidRPr="00B548BF">
        <w:t xml:space="preserve">Figure </w:t>
      </w:r>
      <w:r w:rsidR="00C172B2" w:rsidRPr="00B548BF">
        <w:t>2</w:t>
      </w:r>
      <w:r w:rsidRPr="00B548BF">
        <w:t>: Prevalence of overweight and obesity by maternal BMI category</w:t>
      </w:r>
    </w:p>
    <w:p w14:paraId="01E6F047" w14:textId="77777777" w:rsidR="00C172B2" w:rsidRPr="00B548BF" w:rsidRDefault="00C172B2" w:rsidP="00E70E30">
      <w:pPr>
        <w:rPr>
          <w:rFonts w:asciiTheme="minorHAnsi" w:hAnsiTheme="minorHAnsi"/>
        </w:rPr>
      </w:pPr>
    </w:p>
    <w:p w14:paraId="24C98EB1" w14:textId="2A6DDAB6" w:rsidR="005D4C9B" w:rsidRPr="00B548BF" w:rsidRDefault="005D4C9B">
      <w:pPr>
        <w:rPr>
          <w:b/>
          <w:sz w:val="20"/>
          <w:szCs w:val="20"/>
        </w:rPr>
      </w:pPr>
    </w:p>
    <w:p w14:paraId="57705EED" w14:textId="5D0F9C35" w:rsidR="005D4C9B" w:rsidRPr="00B548BF" w:rsidRDefault="005D4C9B">
      <w:pPr>
        <w:rPr>
          <w:b/>
          <w:szCs w:val="20"/>
        </w:rPr>
      </w:pPr>
      <w:r w:rsidRPr="00B548BF">
        <w:rPr>
          <w:b/>
          <w:szCs w:val="20"/>
        </w:rPr>
        <w:t>Table legends</w:t>
      </w:r>
    </w:p>
    <w:p w14:paraId="0D699E7B" w14:textId="77777777" w:rsidR="005D4C9B" w:rsidRPr="00B548BF" w:rsidRDefault="005D4C9B" w:rsidP="005D4C9B">
      <w:r w:rsidRPr="00B548BF">
        <w:t>Table 1: Maternal and birth characteristics categorised by maternal weight change from the first live birth pregnancy for the period of January 2003 - September 2017, University Hospital Southampton NHS Foundation Trust, Hampshire, England</w:t>
      </w:r>
    </w:p>
    <w:p w14:paraId="5420927C" w14:textId="201A5AD6" w:rsidR="005D4C9B" w:rsidRPr="00B548BF" w:rsidRDefault="005D4C9B" w:rsidP="005D4C9B">
      <w:r w:rsidRPr="00B548BF">
        <w:t>Table 2: Associations between risk of overweight and obesity (85</w:t>
      </w:r>
      <w:r w:rsidRPr="00B548BF">
        <w:rPr>
          <w:vertAlign w:val="superscript"/>
        </w:rPr>
        <w:t>th</w:t>
      </w:r>
      <w:r w:rsidRPr="00B548BF">
        <w:t xml:space="preserve"> centile) in the second child at age 4-5 years and change in maternal body mass index (BMI) between pregnancies as measured at the first antenatal visit of each pregnancy stratified by BMI category in the first pregnancy</w:t>
      </w:r>
    </w:p>
    <w:p w14:paraId="266700E5" w14:textId="3F6900EC" w:rsidR="0007799A" w:rsidRPr="00B548BF" w:rsidRDefault="005D4C9B" w:rsidP="00B90073">
      <w:r w:rsidRPr="00B548BF">
        <w:t xml:space="preserve">Table 3: </w:t>
      </w:r>
      <w:r w:rsidR="00B90073" w:rsidRPr="00B548BF">
        <w:t>Associations between risk of overweight and obesity (95</w:t>
      </w:r>
      <w:r w:rsidR="00B90073" w:rsidRPr="00B548BF">
        <w:rPr>
          <w:vertAlign w:val="superscript"/>
        </w:rPr>
        <w:t>th</w:t>
      </w:r>
      <w:r w:rsidR="00B90073" w:rsidRPr="00B548BF">
        <w:t xml:space="preserve"> centile) in the second child at age 4-5 years and change in maternal body mass index (BMI) between pregnancies as measured at the first antenatal visit of each pregnancy stratified by BMI category in the first pregnancy</w:t>
      </w:r>
    </w:p>
    <w:p w14:paraId="112F333C" w14:textId="77777777" w:rsidR="00562F8B" w:rsidRDefault="00562F8B" w:rsidP="00B90073">
      <w:pPr>
        <w:rPr>
          <w:rFonts w:cs="Arial"/>
          <w:szCs w:val="19"/>
        </w:rPr>
        <w:sectPr w:rsidR="00562F8B" w:rsidSect="00BA33FB">
          <w:pgSz w:w="11906" w:h="16838"/>
          <w:pgMar w:top="1440" w:right="1440" w:bottom="1440" w:left="1440" w:header="708" w:footer="708" w:gutter="0"/>
          <w:lnNumType w:countBy="1" w:restart="continuous"/>
          <w:cols w:space="708"/>
          <w:docGrid w:linePitch="360"/>
        </w:sectPr>
      </w:pPr>
    </w:p>
    <w:p w14:paraId="28FE445D" w14:textId="77777777" w:rsidR="003F1BDC" w:rsidRPr="002E5B81" w:rsidRDefault="003F1BDC" w:rsidP="00260A73">
      <w:pPr>
        <w:spacing w:after="0"/>
        <w:rPr>
          <w:rFonts w:cs="Arial"/>
          <w:szCs w:val="19"/>
        </w:rPr>
      </w:pPr>
      <w:r w:rsidRPr="002E5B81">
        <w:rPr>
          <w:rFonts w:cs="Arial"/>
          <w:szCs w:val="19"/>
        </w:rPr>
        <w:lastRenderedPageBreak/>
        <w:t>Table 1: Maternal and birth characteristics categorised by maternal weight change from the first live birth pregnancy for the period of January 2003 - September 2017, University Hospital Southampton NHS Foundation Trust, Hampshire, England</w:t>
      </w:r>
    </w:p>
    <w:tbl>
      <w:tblPr>
        <w:tblStyle w:val="TableGrid"/>
        <w:tblW w:w="0" w:type="auto"/>
        <w:tblLook w:val="04A0" w:firstRow="1" w:lastRow="0" w:firstColumn="1" w:lastColumn="0" w:noHBand="0" w:noVBand="1"/>
      </w:tblPr>
      <w:tblGrid>
        <w:gridCol w:w="5665"/>
        <w:gridCol w:w="2315"/>
        <w:gridCol w:w="2315"/>
        <w:gridCol w:w="2316"/>
        <w:gridCol w:w="992"/>
      </w:tblGrid>
      <w:tr w:rsidR="003F1BDC" w:rsidRPr="002E5B81" w14:paraId="63434A4C" w14:textId="77777777" w:rsidTr="003F1BDC">
        <w:tc>
          <w:tcPr>
            <w:tcW w:w="5665" w:type="dxa"/>
          </w:tcPr>
          <w:p w14:paraId="3D9162CD" w14:textId="77777777" w:rsidR="003F1BDC" w:rsidRPr="002E5B81" w:rsidRDefault="003F1BDC" w:rsidP="003F1BDC">
            <w:pPr>
              <w:rPr>
                <w:rFonts w:cs="Arial"/>
                <w:sz w:val="19"/>
                <w:szCs w:val="19"/>
              </w:rPr>
            </w:pPr>
          </w:p>
        </w:tc>
        <w:tc>
          <w:tcPr>
            <w:tcW w:w="2315" w:type="dxa"/>
          </w:tcPr>
          <w:p w14:paraId="0D882319" w14:textId="77777777" w:rsidR="003F1BDC" w:rsidRPr="002E5B81" w:rsidRDefault="003F1BDC" w:rsidP="003F1BDC">
            <w:pPr>
              <w:jc w:val="center"/>
              <w:rPr>
                <w:rFonts w:cs="Arial"/>
                <w:sz w:val="19"/>
                <w:szCs w:val="19"/>
              </w:rPr>
            </w:pPr>
            <w:r w:rsidRPr="002E5B81">
              <w:rPr>
                <w:rFonts w:cs="Arial"/>
                <w:sz w:val="19"/>
                <w:szCs w:val="19"/>
              </w:rPr>
              <w:t>Weight stable</w:t>
            </w:r>
          </w:p>
          <w:p w14:paraId="3AB73AA4" w14:textId="77777777" w:rsidR="003F1BDC" w:rsidRPr="002E5B81" w:rsidRDefault="003F1BDC" w:rsidP="003F1BDC">
            <w:pPr>
              <w:jc w:val="center"/>
              <w:rPr>
                <w:rFonts w:cs="Arial"/>
                <w:sz w:val="19"/>
                <w:szCs w:val="19"/>
              </w:rPr>
            </w:pPr>
            <w:r w:rsidRPr="002E5B81">
              <w:rPr>
                <w:rFonts w:cs="Arial"/>
                <w:sz w:val="19"/>
                <w:szCs w:val="19"/>
              </w:rPr>
              <w:t>(&gt;-1 to &lt;1 kg/m</w:t>
            </w:r>
            <w:r w:rsidRPr="002E5B81">
              <w:rPr>
                <w:rFonts w:cs="Arial"/>
                <w:sz w:val="19"/>
                <w:szCs w:val="19"/>
                <w:vertAlign w:val="superscript"/>
              </w:rPr>
              <w:t>2</w:t>
            </w:r>
            <w:r w:rsidRPr="002E5B81">
              <w:rPr>
                <w:rFonts w:cs="Arial"/>
                <w:sz w:val="19"/>
                <w:szCs w:val="19"/>
              </w:rPr>
              <w:t>)</w:t>
            </w:r>
          </w:p>
        </w:tc>
        <w:tc>
          <w:tcPr>
            <w:tcW w:w="2315" w:type="dxa"/>
          </w:tcPr>
          <w:p w14:paraId="22518723" w14:textId="563C468B" w:rsidR="003F1BDC" w:rsidRPr="002E5B81" w:rsidRDefault="00E45258" w:rsidP="003F1BDC">
            <w:pPr>
              <w:jc w:val="center"/>
              <w:rPr>
                <w:rFonts w:cs="Arial"/>
                <w:sz w:val="19"/>
                <w:szCs w:val="19"/>
              </w:rPr>
            </w:pPr>
            <w:r>
              <w:rPr>
                <w:rFonts w:cs="Arial"/>
                <w:sz w:val="19"/>
                <w:szCs w:val="19"/>
              </w:rPr>
              <w:t>Moderate w</w:t>
            </w:r>
            <w:r w:rsidR="003F1BDC" w:rsidRPr="002E5B81">
              <w:rPr>
                <w:rFonts w:cs="Arial"/>
                <w:sz w:val="19"/>
                <w:szCs w:val="19"/>
              </w:rPr>
              <w:t>eight gain</w:t>
            </w:r>
          </w:p>
          <w:p w14:paraId="2CBA1039" w14:textId="77777777" w:rsidR="003F1BDC" w:rsidRPr="002E5B81" w:rsidRDefault="003F1BDC" w:rsidP="003F1BDC">
            <w:pPr>
              <w:jc w:val="center"/>
              <w:rPr>
                <w:rFonts w:cs="Arial"/>
                <w:sz w:val="19"/>
                <w:szCs w:val="19"/>
              </w:rPr>
            </w:pPr>
            <w:r w:rsidRPr="002E5B81">
              <w:rPr>
                <w:rFonts w:cs="Arial"/>
                <w:sz w:val="19"/>
                <w:szCs w:val="19"/>
              </w:rPr>
              <w:t>1-3 kg/m</w:t>
            </w:r>
            <w:r w:rsidRPr="002E5B81">
              <w:rPr>
                <w:rFonts w:cs="Arial"/>
                <w:sz w:val="19"/>
                <w:szCs w:val="19"/>
                <w:vertAlign w:val="superscript"/>
              </w:rPr>
              <w:t>2</w:t>
            </w:r>
          </w:p>
        </w:tc>
        <w:tc>
          <w:tcPr>
            <w:tcW w:w="2316" w:type="dxa"/>
          </w:tcPr>
          <w:p w14:paraId="790D319F" w14:textId="6EBC8A0C" w:rsidR="003F1BDC" w:rsidRPr="002E5B81" w:rsidRDefault="00E45258" w:rsidP="003F1BDC">
            <w:pPr>
              <w:jc w:val="center"/>
              <w:rPr>
                <w:rFonts w:cs="Arial"/>
                <w:sz w:val="19"/>
                <w:szCs w:val="19"/>
              </w:rPr>
            </w:pPr>
            <w:r>
              <w:rPr>
                <w:rFonts w:cs="Arial"/>
                <w:sz w:val="19"/>
                <w:szCs w:val="19"/>
              </w:rPr>
              <w:t>Substantial w</w:t>
            </w:r>
            <w:r w:rsidR="003F1BDC" w:rsidRPr="002E5B81">
              <w:rPr>
                <w:rFonts w:cs="Arial"/>
                <w:sz w:val="19"/>
                <w:szCs w:val="19"/>
              </w:rPr>
              <w:t>eight gain</w:t>
            </w:r>
          </w:p>
          <w:p w14:paraId="0A359594" w14:textId="77777777" w:rsidR="003F1BDC" w:rsidRPr="002E5B81" w:rsidRDefault="003F1BDC" w:rsidP="003F1BDC">
            <w:pPr>
              <w:jc w:val="center"/>
              <w:rPr>
                <w:rFonts w:cs="Arial"/>
                <w:sz w:val="19"/>
                <w:szCs w:val="19"/>
              </w:rPr>
            </w:pPr>
            <w:r>
              <w:rPr>
                <w:rFonts w:cs="Arial"/>
                <w:sz w:val="19"/>
                <w:szCs w:val="19"/>
              </w:rPr>
              <w:t>≥</w:t>
            </w:r>
            <w:r w:rsidRPr="002E5B81">
              <w:rPr>
                <w:rFonts w:cs="Arial"/>
                <w:sz w:val="19"/>
                <w:szCs w:val="19"/>
              </w:rPr>
              <w:t>3 kg/m</w:t>
            </w:r>
            <w:r w:rsidRPr="002E5B81">
              <w:rPr>
                <w:rFonts w:cs="Arial"/>
                <w:sz w:val="19"/>
                <w:szCs w:val="19"/>
                <w:vertAlign w:val="superscript"/>
              </w:rPr>
              <w:t>2</w:t>
            </w:r>
          </w:p>
        </w:tc>
        <w:tc>
          <w:tcPr>
            <w:tcW w:w="992" w:type="dxa"/>
          </w:tcPr>
          <w:p w14:paraId="44B80923" w14:textId="77777777" w:rsidR="003F1BDC" w:rsidRPr="002E5B81" w:rsidRDefault="003F1BDC" w:rsidP="003F1BDC">
            <w:pPr>
              <w:jc w:val="center"/>
              <w:rPr>
                <w:rFonts w:cs="Arial"/>
                <w:sz w:val="19"/>
                <w:szCs w:val="19"/>
              </w:rPr>
            </w:pPr>
            <w:r w:rsidRPr="002E5B81">
              <w:rPr>
                <w:rFonts w:cs="Arial"/>
                <w:sz w:val="19"/>
                <w:szCs w:val="19"/>
              </w:rPr>
              <w:t>p*</w:t>
            </w:r>
          </w:p>
        </w:tc>
      </w:tr>
      <w:tr w:rsidR="003F1BDC" w:rsidRPr="002E5B81" w14:paraId="4C5BA36B" w14:textId="77777777" w:rsidTr="003F1BDC">
        <w:tc>
          <w:tcPr>
            <w:tcW w:w="5665" w:type="dxa"/>
          </w:tcPr>
          <w:p w14:paraId="2786237F" w14:textId="77777777" w:rsidR="003F1BDC" w:rsidRPr="002E5B81" w:rsidRDefault="003F1BDC" w:rsidP="003F1BDC">
            <w:pPr>
              <w:rPr>
                <w:rFonts w:cs="Arial"/>
                <w:sz w:val="19"/>
                <w:szCs w:val="19"/>
              </w:rPr>
            </w:pPr>
            <w:r w:rsidRPr="002E5B81">
              <w:rPr>
                <w:rFonts w:cs="Arial"/>
                <w:sz w:val="19"/>
                <w:szCs w:val="19"/>
              </w:rPr>
              <w:t>N</w:t>
            </w:r>
          </w:p>
        </w:tc>
        <w:tc>
          <w:tcPr>
            <w:tcW w:w="2315" w:type="dxa"/>
          </w:tcPr>
          <w:p w14:paraId="600C8977" w14:textId="77777777" w:rsidR="003F1BDC" w:rsidRPr="002E5B81" w:rsidRDefault="003F1BDC" w:rsidP="003F1BDC">
            <w:pPr>
              <w:jc w:val="center"/>
              <w:rPr>
                <w:rFonts w:cs="Arial"/>
                <w:sz w:val="19"/>
                <w:szCs w:val="19"/>
              </w:rPr>
            </w:pPr>
            <w:r w:rsidRPr="002E5B81">
              <w:rPr>
                <w:rFonts w:cs="Arial"/>
                <w:sz w:val="19"/>
                <w:szCs w:val="19"/>
              </w:rPr>
              <w:t>2047</w:t>
            </w:r>
          </w:p>
        </w:tc>
        <w:tc>
          <w:tcPr>
            <w:tcW w:w="2315" w:type="dxa"/>
          </w:tcPr>
          <w:p w14:paraId="5C027B43" w14:textId="77777777" w:rsidR="003F1BDC" w:rsidRPr="002E5B81" w:rsidRDefault="003F1BDC" w:rsidP="003F1BDC">
            <w:pPr>
              <w:jc w:val="center"/>
              <w:rPr>
                <w:rFonts w:cs="Arial"/>
                <w:sz w:val="19"/>
                <w:szCs w:val="19"/>
              </w:rPr>
            </w:pPr>
            <w:r>
              <w:rPr>
                <w:rFonts w:cs="Arial"/>
                <w:sz w:val="19"/>
                <w:szCs w:val="19"/>
              </w:rPr>
              <w:t>160</w:t>
            </w:r>
            <w:r w:rsidRPr="002E5B81">
              <w:rPr>
                <w:rFonts w:cs="Arial"/>
                <w:sz w:val="19"/>
                <w:szCs w:val="19"/>
              </w:rPr>
              <w:t>5</w:t>
            </w:r>
          </w:p>
        </w:tc>
        <w:tc>
          <w:tcPr>
            <w:tcW w:w="2316" w:type="dxa"/>
          </w:tcPr>
          <w:p w14:paraId="663F9BCB" w14:textId="77777777" w:rsidR="003F1BDC" w:rsidRPr="002E5B81" w:rsidRDefault="003F1BDC" w:rsidP="003F1BDC">
            <w:pPr>
              <w:jc w:val="center"/>
              <w:rPr>
                <w:rFonts w:cs="Arial"/>
                <w:sz w:val="19"/>
                <w:szCs w:val="19"/>
              </w:rPr>
            </w:pPr>
            <w:r>
              <w:rPr>
                <w:rFonts w:cs="Arial"/>
                <w:sz w:val="19"/>
                <w:szCs w:val="19"/>
              </w:rPr>
              <w:t>1137</w:t>
            </w:r>
          </w:p>
        </w:tc>
        <w:tc>
          <w:tcPr>
            <w:tcW w:w="992" w:type="dxa"/>
          </w:tcPr>
          <w:p w14:paraId="3148AE83" w14:textId="77777777" w:rsidR="003F1BDC" w:rsidRPr="002E5B81" w:rsidRDefault="003F1BDC" w:rsidP="003F1BDC">
            <w:pPr>
              <w:rPr>
                <w:rFonts w:cs="Arial"/>
                <w:sz w:val="19"/>
                <w:szCs w:val="19"/>
              </w:rPr>
            </w:pPr>
          </w:p>
        </w:tc>
      </w:tr>
      <w:tr w:rsidR="003F1BDC" w:rsidRPr="002E5B81" w14:paraId="03D04946" w14:textId="77777777" w:rsidTr="003F1BDC">
        <w:tc>
          <w:tcPr>
            <w:tcW w:w="5665" w:type="dxa"/>
          </w:tcPr>
          <w:p w14:paraId="729912D0" w14:textId="77777777" w:rsidR="003F1BDC" w:rsidRPr="002E5B81" w:rsidRDefault="003F1BDC" w:rsidP="003F1BDC">
            <w:pPr>
              <w:rPr>
                <w:rFonts w:cs="Arial"/>
                <w:sz w:val="19"/>
                <w:szCs w:val="19"/>
              </w:rPr>
            </w:pPr>
            <w:r w:rsidRPr="002E5B81">
              <w:rPr>
                <w:rFonts w:cs="Arial"/>
                <w:sz w:val="19"/>
                <w:szCs w:val="19"/>
              </w:rPr>
              <w:t>Maternal age at first pregnancy, years (mean ± SD)</w:t>
            </w:r>
          </w:p>
        </w:tc>
        <w:tc>
          <w:tcPr>
            <w:tcW w:w="2315" w:type="dxa"/>
          </w:tcPr>
          <w:p w14:paraId="7573B8AF" w14:textId="77777777" w:rsidR="003F1BDC" w:rsidRPr="002E5B81" w:rsidRDefault="003F1BDC" w:rsidP="003F1BDC">
            <w:pPr>
              <w:jc w:val="center"/>
              <w:rPr>
                <w:rFonts w:cs="Arial"/>
                <w:sz w:val="19"/>
                <w:szCs w:val="19"/>
              </w:rPr>
            </w:pPr>
            <w:r w:rsidRPr="002E5B81">
              <w:rPr>
                <w:rFonts w:cs="Arial"/>
                <w:sz w:val="19"/>
                <w:szCs w:val="19"/>
              </w:rPr>
              <w:t>27.1 ± 5.2</w:t>
            </w:r>
          </w:p>
        </w:tc>
        <w:tc>
          <w:tcPr>
            <w:tcW w:w="2315" w:type="dxa"/>
          </w:tcPr>
          <w:p w14:paraId="73810CFA" w14:textId="77777777" w:rsidR="003F1BDC" w:rsidRPr="002E5B81" w:rsidRDefault="003F1BDC" w:rsidP="003F1BDC">
            <w:pPr>
              <w:jc w:val="center"/>
              <w:rPr>
                <w:rFonts w:cs="Arial"/>
                <w:sz w:val="19"/>
                <w:szCs w:val="19"/>
              </w:rPr>
            </w:pPr>
            <w:r w:rsidRPr="002E5B81">
              <w:rPr>
                <w:rFonts w:cs="Arial"/>
                <w:sz w:val="19"/>
                <w:szCs w:val="19"/>
              </w:rPr>
              <w:t>26.2 ± 5.3</w:t>
            </w:r>
          </w:p>
        </w:tc>
        <w:tc>
          <w:tcPr>
            <w:tcW w:w="2316" w:type="dxa"/>
          </w:tcPr>
          <w:p w14:paraId="38DBD951" w14:textId="77777777" w:rsidR="003F1BDC" w:rsidRPr="002E5B81" w:rsidRDefault="003F1BDC" w:rsidP="003F1BDC">
            <w:pPr>
              <w:jc w:val="center"/>
              <w:rPr>
                <w:rFonts w:cs="Arial"/>
                <w:sz w:val="19"/>
                <w:szCs w:val="19"/>
              </w:rPr>
            </w:pPr>
            <w:r w:rsidRPr="002E5B81">
              <w:rPr>
                <w:rFonts w:cs="Arial"/>
                <w:sz w:val="19"/>
                <w:szCs w:val="19"/>
              </w:rPr>
              <w:t>23.7 ± 5.4</w:t>
            </w:r>
          </w:p>
        </w:tc>
        <w:tc>
          <w:tcPr>
            <w:tcW w:w="992" w:type="dxa"/>
          </w:tcPr>
          <w:p w14:paraId="652CD410"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0AF89F24" w14:textId="77777777" w:rsidTr="003F1BDC">
        <w:tc>
          <w:tcPr>
            <w:tcW w:w="5665" w:type="dxa"/>
          </w:tcPr>
          <w:p w14:paraId="6897C5A3" w14:textId="77777777" w:rsidR="003F1BDC" w:rsidRPr="002E5B81" w:rsidRDefault="003F1BDC" w:rsidP="003F1BDC">
            <w:pPr>
              <w:rPr>
                <w:rFonts w:cs="Arial"/>
                <w:sz w:val="19"/>
                <w:szCs w:val="19"/>
              </w:rPr>
            </w:pPr>
            <w:r w:rsidRPr="002E5B81">
              <w:rPr>
                <w:rFonts w:cs="Arial"/>
                <w:sz w:val="19"/>
                <w:szCs w:val="19"/>
              </w:rPr>
              <w:t>Maternal age at second pregnancy, years (mean ± SD)</w:t>
            </w:r>
          </w:p>
        </w:tc>
        <w:tc>
          <w:tcPr>
            <w:tcW w:w="2315" w:type="dxa"/>
          </w:tcPr>
          <w:p w14:paraId="2185FBCC" w14:textId="77777777" w:rsidR="003F1BDC" w:rsidRPr="002E5B81" w:rsidRDefault="003F1BDC" w:rsidP="003F1BDC">
            <w:pPr>
              <w:jc w:val="center"/>
              <w:rPr>
                <w:rFonts w:cs="Arial"/>
                <w:sz w:val="19"/>
                <w:szCs w:val="19"/>
              </w:rPr>
            </w:pPr>
            <w:r w:rsidRPr="002E5B81">
              <w:rPr>
                <w:rFonts w:cs="Arial"/>
                <w:sz w:val="19"/>
                <w:szCs w:val="19"/>
              </w:rPr>
              <w:t>29.8 ± 5.2</w:t>
            </w:r>
          </w:p>
        </w:tc>
        <w:tc>
          <w:tcPr>
            <w:tcW w:w="2315" w:type="dxa"/>
          </w:tcPr>
          <w:p w14:paraId="2C198512" w14:textId="77777777" w:rsidR="003F1BDC" w:rsidRPr="002E5B81" w:rsidRDefault="003F1BDC" w:rsidP="003F1BDC">
            <w:pPr>
              <w:jc w:val="center"/>
              <w:rPr>
                <w:rFonts w:cs="Arial"/>
                <w:sz w:val="19"/>
                <w:szCs w:val="19"/>
              </w:rPr>
            </w:pPr>
            <w:r w:rsidRPr="002E5B81">
              <w:rPr>
                <w:rFonts w:cs="Arial"/>
                <w:sz w:val="19"/>
                <w:szCs w:val="19"/>
              </w:rPr>
              <w:t>29.1 ± 5.3</w:t>
            </w:r>
          </w:p>
        </w:tc>
        <w:tc>
          <w:tcPr>
            <w:tcW w:w="2316" w:type="dxa"/>
          </w:tcPr>
          <w:p w14:paraId="6A12D3B6" w14:textId="77777777" w:rsidR="003F1BDC" w:rsidRPr="002E5B81" w:rsidRDefault="003F1BDC" w:rsidP="003F1BDC">
            <w:pPr>
              <w:jc w:val="center"/>
              <w:rPr>
                <w:rFonts w:cs="Arial"/>
                <w:sz w:val="19"/>
                <w:szCs w:val="19"/>
              </w:rPr>
            </w:pPr>
            <w:r w:rsidRPr="002E5B81">
              <w:rPr>
                <w:rFonts w:cs="Arial"/>
                <w:sz w:val="19"/>
                <w:szCs w:val="19"/>
              </w:rPr>
              <w:t>2</w:t>
            </w:r>
            <w:r>
              <w:rPr>
                <w:rFonts w:cs="Arial"/>
                <w:sz w:val="19"/>
                <w:szCs w:val="19"/>
              </w:rPr>
              <w:t>7.0 ± 5.5</w:t>
            </w:r>
          </w:p>
        </w:tc>
        <w:tc>
          <w:tcPr>
            <w:tcW w:w="992" w:type="dxa"/>
          </w:tcPr>
          <w:p w14:paraId="6F50D497"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727A14CD" w14:textId="77777777" w:rsidTr="003F1BDC">
        <w:tc>
          <w:tcPr>
            <w:tcW w:w="5665" w:type="dxa"/>
          </w:tcPr>
          <w:p w14:paraId="7EFDEC56" w14:textId="77777777" w:rsidR="003F1BDC" w:rsidRPr="002E5B81" w:rsidRDefault="003F1BDC" w:rsidP="003F1BDC">
            <w:pPr>
              <w:rPr>
                <w:rFonts w:cs="Arial"/>
                <w:sz w:val="19"/>
                <w:szCs w:val="19"/>
              </w:rPr>
            </w:pPr>
            <w:r w:rsidRPr="002E5B81">
              <w:rPr>
                <w:rFonts w:cs="Arial"/>
                <w:sz w:val="19"/>
                <w:szCs w:val="19"/>
              </w:rPr>
              <w:t>First pregnancy booking appointment, weeks (mean ± SD)</w:t>
            </w:r>
          </w:p>
        </w:tc>
        <w:tc>
          <w:tcPr>
            <w:tcW w:w="2315" w:type="dxa"/>
          </w:tcPr>
          <w:p w14:paraId="6E608B49" w14:textId="77777777" w:rsidR="003F1BDC" w:rsidRPr="002E5B81" w:rsidRDefault="003F1BDC" w:rsidP="003F1BDC">
            <w:pPr>
              <w:jc w:val="center"/>
              <w:rPr>
                <w:rFonts w:cs="Arial"/>
                <w:sz w:val="19"/>
                <w:szCs w:val="19"/>
              </w:rPr>
            </w:pPr>
            <w:r w:rsidRPr="002E5B81">
              <w:rPr>
                <w:rFonts w:cs="Arial"/>
                <w:sz w:val="19"/>
                <w:szCs w:val="19"/>
              </w:rPr>
              <w:t>11.3 ± 2.5</w:t>
            </w:r>
          </w:p>
        </w:tc>
        <w:tc>
          <w:tcPr>
            <w:tcW w:w="2315" w:type="dxa"/>
          </w:tcPr>
          <w:p w14:paraId="08CC6D07" w14:textId="77777777" w:rsidR="003F1BDC" w:rsidRPr="002E5B81" w:rsidRDefault="003F1BDC" w:rsidP="003F1BDC">
            <w:pPr>
              <w:jc w:val="center"/>
              <w:rPr>
                <w:rFonts w:cs="Arial"/>
                <w:sz w:val="19"/>
                <w:szCs w:val="19"/>
              </w:rPr>
            </w:pPr>
            <w:r w:rsidRPr="002E5B81">
              <w:rPr>
                <w:rFonts w:cs="Arial"/>
                <w:sz w:val="19"/>
                <w:szCs w:val="19"/>
              </w:rPr>
              <w:t>11.4 ± 2.6</w:t>
            </w:r>
          </w:p>
        </w:tc>
        <w:tc>
          <w:tcPr>
            <w:tcW w:w="2316" w:type="dxa"/>
          </w:tcPr>
          <w:p w14:paraId="257F629D" w14:textId="77777777" w:rsidR="003F1BDC" w:rsidRPr="002E5B81" w:rsidRDefault="003F1BDC" w:rsidP="003F1BDC">
            <w:pPr>
              <w:jc w:val="center"/>
              <w:rPr>
                <w:rFonts w:cs="Arial"/>
                <w:sz w:val="19"/>
                <w:szCs w:val="19"/>
              </w:rPr>
            </w:pPr>
            <w:r w:rsidRPr="002E5B81">
              <w:rPr>
                <w:rFonts w:cs="Arial"/>
                <w:sz w:val="19"/>
                <w:szCs w:val="19"/>
              </w:rPr>
              <w:t>11.4 ± 2.8</w:t>
            </w:r>
          </w:p>
        </w:tc>
        <w:tc>
          <w:tcPr>
            <w:tcW w:w="992" w:type="dxa"/>
          </w:tcPr>
          <w:p w14:paraId="22F6D5F0" w14:textId="77777777" w:rsidR="003F1BDC" w:rsidRPr="002E5B81" w:rsidRDefault="003F1BDC" w:rsidP="003F1BDC">
            <w:pPr>
              <w:jc w:val="center"/>
              <w:rPr>
                <w:rFonts w:cs="Arial"/>
                <w:sz w:val="19"/>
                <w:szCs w:val="19"/>
              </w:rPr>
            </w:pPr>
            <w:r w:rsidRPr="002E5B81">
              <w:rPr>
                <w:rFonts w:cs="Arial"/>
                <w:sz w:val="19"/>
                <w:szCs w:val="19"/>
              </w:rPr>
              <w:t>0.78</w:t>
            </w:r>
          </w:p>
        </w:tc>
      </w:tr>
      <w:tr w:rsidR="003F1BDC" w:rsidRPr="002E5B81" w14:paraId="326DDEB1" w14:textId="77777777" w:rsidTr="003F1BDC">
        <w:tc>
          <w:tcPr>
            <w:tcW w:w="5665" w:type="dxa"/>
          </w:tcPr>
          <w:p w14:paraId="507CFAA7" w14:textId="77777777" w:rsidR="003F1BDC" w:rsidRPr="002E5B81" w:rsidRDefault="003F1BDC" w:rsidP="003F1BDC">
            <w:pPr>
              <w:rPr>
                <w:rFonts w:cs="Arial"/>
                <w:sz w:val="19"/>
                <w:szCs w:val="19"/>
              </w:rPr>
            </w:pPr>
            <w:r w:rsidRPr="002E5B81">
              <w:rPr>
                <w:rFonts w:cs="Arial"/>
                <w:sz w:val="19"/>
                <w:szCs w:val="19"/>
              </w:rPr>
              <w:t>Second pregnancy booking appointment, weeks (mean ± SD)</w:t>
            </w:r>
          </w:p>
        </w:tc>
        <w:tc>
          <w:tcPr>
            <w:tcW w:w="2315" w:type="dxa"/>
          </w:tcPr>
          <w:p w14:paraId="65A8AE02" w14:textId="77777777" w:rsidR="003F1BDC" w:rsidRPr="002E5B81" w:rsidRDefault="003F1BDC" w:rsidP="003F1BDC">
            <w:pPr>
              <w:jc w:val="center"/>
              <w:rPr>
                <w:rFonts w:cs="Arial"/>
                <w:sz w:val="19"/>
                <w:szCs w:val="19"/>
              </w:rPr>
            </w:pPr>
            <w:r w:rsidRPr="002E5B81">
              <w:rPr>
                <w:rFonts w:cs="Arial"/>
                <w:sz w:val="19"/>
                <w:szCs w:val="19"/>
              </w:rPr>
              <w:t>10.9 ± 2.3</w:t>
            </w:r>
          </w:p>
        </w:tc>
        <w:tc>
          <w:tcPr>
            <w:tcW w:w="2315" w:type="dxa"/>
          </w:tcPr>
          <w:p w14:paraId="13287EA9" w14:textId="77777777" w:rsidR="003F1BDC" w:rsidRPr="002E5B81" w:rsidRDefault="003F1BDC" w:rsidP="003F1BDC">
            <w:pPr>
              <w:jc w:val="center"/>
              <w:rPr>
                <w:rFonts w:cs="Arial"/>
                <w:sz w:val="19"/>
                <w:szCs w:val="19"/>
              </w:rPr>
            </w:pPr>
            <w:r w:rsidRPr="002E5B81">
              <w:rPr>
                <w:rFonts w:cs="Arial"/>
                <w:sz w:val="19"/>
                <w:szCs w:val="19"/>
              </w:rPr>
              <w:t>11.</w:t>
            </w:r>
            <w:r>
              <w:rPr>
                <w:rFonts w:cs="Arial"/>
                <w:sz w:val="19"/>
                <w:szCs w:val="19"/>
              </w:rPr>
              <w:t>2 ± 2.3</w:t>
            </w:r>
          </w:p>
        </w:tc>
        <w:tc>
          <w:tcPr>
            <w:tcW w:w="2316" w:type="dxa"/>
          </w:tcPr>
          <w:p w14:paraId="138FDD82" w14:textId="77777777" w:rsidR="003F1BDC" w:rsidRPr="002E5B81" w:rsidRDefault="003F1BDC" w:rsidP="003F1BDC">
            <w:pPr>
              <w:jc w:val="center"/>
              <w:rPr>
                <w:rFonts w:cs="Arial"/>
                <w:sz w:val="19"/>
                <w:szCs w:val="19"/>
              </w:rPr>
            </w:pPr>
            <w:r w:rsidRPr="002E5B81">
              <w:rPr>
                <w:rFonts w:cs="Arial"/>
                <w:sz w:val="19"/>
                <w:szCs w:val="19"/>
              </w:rPr>
              <w:t>10.9 ± 2.5</w:t>
            </w:r>
          </w:p>
        </w:tc>
        <w:tc>
          <w:tcPr>
            <w:tcW w:w="992" w:type="dxa"/>
          </w:tcPr>
          <w:p w14:paraId="11317BFA" w14:textId="77777777" w:rsidR="003F1BDC" w:rsidRPr="002E5B81" w:rsidRDefault="003F1BDC" w:rsidP="003F1BDC">
            <w:pPr>
              <w:jc w:val="center"/>
              <w:rPr>
                <w:rFonts w:cs="Arial"/>
                <w:sz w:val="19"/>
                <w:szCs w:val="19"/>
              </w:rPr>
            </w:pPr>
            <w:r>
              <w:rPr>
                <w:rFonts w:cs="Arial"/>
                <w:sz w:val="19"/>
                <w:szCs w:val="19"/>
              </w:rPr>
              <w:t>0.002</w:t>
            </w:r>
          </w:p>
        </w:tc>
      </w:tr>
      <w:tr w:rsidR="003F1BDC" w:rsidRPr="002E5B81" w14:paraId="6B6D0BC9" w14:textId="77777777" w:rsidTr="003F1BDC">
        <w:tc>
          <w:tcPr>
            <w:tcW w:w="5665" w:type="dxa"/>
          </w:tcPr>
          <w:p w14:paraId="3C0500F8" w14:textId="77777777" w:rsidR="003F1BDC" w:rsidRPr="002E5B81" w:rsidRDefault="003F1BDC" w:rsidP="003F1BDC">
            <w:pPr>
              <w:rPr>
                <w:rFonts w:cs="Arial"/>
                <w:sz w:val="19"/>
                <w:szCs w:val="19"/>
              </w:rPr>
            </w:pPr>
            <w:r w:rsidRPr="002E5B81">
              <w:rPr>
                <w:rFonts w:cs="Arial"/>
                <w:sz w:val="19"/>
                <w:szCs w:val="19"/>
              </w:rPr>
              <w:t>Maternal BMI at first pregnancy booking, kg/m</w:t>
            </w:r>
            <w:r w:rsidRPr="002E5B81">
              <w:rPr>
                <w:rFonts w:cs="Arial"/>
                <w:sz w:val="19"/>
                <w:szCs w:val="19"/>
                <w:vertAlign w:val="superscript"/>
              </w:rPr>
              <w:t>2</w:t>
            </w:r>
            <w:r w:rsidRPr="002E5B81">
              <w:rPr>
                <w:rFonts w:cs="Arial"/>
                <w:sz w:val="19"/>
                <w:szCs w:val="19"/>
              </w:rPr>
              <w:t xml:space="preserve"> (mean ± SD)</w:t>
            </w:r>
          </w:p>
        </w:tc>
        <w:tc>
          <w:tcPr>
            <w:tcW w:w="2315" w:type="dxa"/>
          </w:tcPr>
          <w:p w14:paraId="27030DAD" w14:textId="77777777" w:rsidR="003F1BDC" w:rsidRPr="002E5B81" w:rsidRDefault="003F1BDC" w:rsidP="003F1BDC">
            <w:pPr>
              <w:jc w:val="center"/>
              <w:rPr>
                <w:rFonts w:cs="Arial"/>
                <w:sz w:val="19"/>
                <w:szCs w:val="19"/>
              </w:rPr>
            </w:pPr>
            <w:r w:rsidRPr="002E5B81">
              <w:rPr>
                <w:rFonts w:cs="Arial"/>
                <w:sz w:val="19"/>
                <w:szCs w:val="19"/>
              </w:rPr>
              <w:t>24.0 ± 4.1</w:t>
            </w:r>
          </w:p>
        </w:tc>
        <w:tc>
          <w:tcPr>
            <w:tcW w:w="2315" w:type="dxa"/>
          </w:tcPr>
          <w:p w14:paraId="3B3068AF" w14:textId="77777777" w:rsidR="003F1BDC" w:rsidRPr="002E5B81" w:rsidRDefault="003F1BDC" w:rsidP="003F1BDC">
            <w:pPr>
              <w:jc w:val="center"/>
              <w:rPr>
                <w:rFonts w:cs="Arial"/>
                <w:sz w:val="19"/>
                <w:szCs w:val="19"/>
              </w:rPr>
            </w:pPr>
            <w:r>
              <w:rPr>
                <w:rFonts w:cs="Arial"/>
                <w:sz w:val="19"/>
                <w:szCs w:val="19"/>
              </w:rPr>
              <w:t>24.3</w:t>
            </w:r>
            <w:r w:rsidRPr="002E5B81">
              <w:rPr>
                <w:rFonts w:cs="Arial"/>
                <w:sz w:val="19"/>
                <w:szCs w:val="19"/>
              </w:rPr>
              <w:t xml:space="preserve"> ± 4.4</w:t>
            </w:r>
          </w:p>
        </w:tc>
        <w:tc>
          <w:tcPr>
            <w:tcW w:w="2316" w:type="dxa"/>
          </w:tcPr>
          <w:p w14:paraId="4B2CDC50" w14:textId="77777777" w:rsidR="003F1BDC" w:rsidRPr="002E5B81" w:rsidRDefault="003F1BDC" w:rsidP="003F1BDC">
            <w:pPr>
              <w:jc w:val="center"/>
              <w:rPr>
                <w:rFonts w:cs="Arial"/>
                <w:sz w:val="19"/>
                <w:szCs w:val="19"/>
              </w:rPr>
            </w:pPr>
            <w:r w:rsidRPr="002E5B81">
              <w:rPr>
                <w:rFonts w:cs="Arial"/>
                <w:sz w:val="19"/>
                <w:szCs w:val="19"/>
              </w:rPr>
              <w:t>26.0 ± 5.1</w:t>
            </w:r>
          </w:p>
        </w:tc>
        <w:tc>
          <w:tcPr>
            <w:tcW w:w="992" w:type="dxa"/>
          </w:tcPr>
          <w:p w14:paraId="130CC1A1"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2D23CB72" w14:textId="77777777" w:rsidTr="003F1BDC">
        <w:tc>
          <w:tcPr>
            <w:tcW w:w="5665" w:type="dxa"/>
          </w:tcPr>
          <w:p w14:paraId="516A171A" w14:textId="77777777" w:rsidR="003F1BDC" w:rsidRPr="002E5B81" w:rsidRDefault="003F1BDC" w:rsidP="003F1BDC">
            <w:pPr>
              <w:rPr>
                <w:rFonts w:cs="Arial"/>
                <w:sz w:val="19"/>
                <w:szCs w:val="19"/>
              </w:rPr>
            </w:pPr>
            <w:r w:rsidRPr="002E5B81">
              <w:rPr>
                <w:rFonts w:cs="Arial"/>
                <w:sz w:val="19"/>
                <w:szCs w:val="19"/>
              </w:rPr>
              <w:t>Maternal BMI at second pregnancy booking, kg/m</w:t>
            </w:r>
            <w:r w:rsidRPr="002E5B81">
              <w:rPr>
                <w:rFonts w:cs="Arial"/>
                <w:sz w:val="19"/>
                <w:szCs w:val="19"/>
                <w:vertAlign w:val="superscript"/>
              </w:rPr>
              <w:t>2</w:t>
            </w:r>
            <w:r w:rsidRPr="002E5B81">
              <w:rPr>
                <w:rFonts w:cs="Arial"/>
                <w:sz w:val="19"/>
                <w:szCs w:val="19"/>
              </w:rPr>
              <w:t xml:space="preserve"> (mean ± SD)</w:t>
            </w:r>
          </w:p>
        </w:tc>
        <w:tc>
          <w:tcPr>
            <w:tcW w:w="2315" w:type="dxa"/>
          </w:tcPr>
          <w:p w14:paraId="6E052EAA" w14:textId="77777777" w:rsidR="003F1BDC" w:rsidRPr="002E5B81" w:rsidRDefault="003F1BDC" w:rsidP="003F1BDC">
            <w:pPr>
              <w:jc w:val="center"/>
              <w:rPr>
                <w:rFonts w:cs="Arial"/>
                <w:sz w:val="19"/>
                <w:szCs w:val="19"/>
              </w:rPr>
            </w:pPr>
            <w:r w:rsidRPr="002E5B81">
              <w:rPr>
                <w:rFonts w:cs="Arial"/>
                <w:sz w:val="19"/>
                <w:szCs w:val="19"/>
              </w:rPr>
              <w:t>24.1 ± 4.1</w:t>
            </w:r>
          </w:p>
        </w:tc>
        <w:tc>
          <w:tcPr>
            <w:tcW w:w="2315" w:type="dxa"/>
          </w:tcPr>
          <w:p w14:paraId="57DC1103" w14:textId="77777777" w:rsidR="003F1BDC" w:rsidRPr="002E5B81" w:rsidRDefault="003F1BDC" w:rsidP="003F1BDC">
            <w:pPr>
              <w:jc w:val="center"/>
              <w:rPr>
                <w:rFonts w:cs="Arial"/>
                <w:sz w:val="19"/>
                <w:szCs w:val="19"/>
              </w:rPr>
            </w:pPr>
            <w:r w:rsidRPr="002E5B81">
              <w:rPr>
                <w:rFonts w:cs="Arial"/>
                <w:sz w:val="19"/>
                <w:szCs w:val="19"/>
              </w:rPr>
              <w:t>26.</w:t>
            </w:r>
            <w:r>
              <w:rPr>
                <w:rFonts w:cs="Arial"/>
                <w:sz w:val="19"/>
                <w:szCs w:val="19"/>
              </w:rPr>
              <w:t>1</w:t>
            </w:r>
            <w:r w:rsidRPr="002E5B81">
              <w:rPr>
                <w:rFonts w:cs="Arial"/>
                <w:sz w:val="19"/>
                <w:szCs w:val="19"/>
              </w:rPr>
              <w:t xml:space="preserve"> ± 4.5</w:t>
            </w:r>
          </w:p>
        </w:tc>
        <w:tc>
          <w:tcPr>
            <w:tcW w:w="2316" w:type="dxa"/>
          </w:tcPr>
          <w:p w14:paraId="3085979A" w14:textId="77777777" w:rsidR="003F1BDC" w:rsidRPr="002E5B81" w:rsidRDefault="003F1BDC" w:rsidP="003F1BDC">
            <w:pPr>
              <w:jc w:val="center"/>
              <w:rPr>
                <w:rFonts w:cs="Arial"/>
                <w:sz w:val="19"/>
                <w:szCs w:val="19"/>
              </w:rPr>
            </w:pPr>
            <w:r>
              <w:rPr>
                <w:rFonts w:cs="Arial"/>
                <w:sz w:val="19"/>
                <w:szCs w:val="19"/>
              </w:rPr>
              <w:t>31.1</w:t>
            </w:r>
            <w:r w:rsidRPr="002E5B81">
              <w:rPr>
                <w:rFonts w:cs="Arial"/>
                <w:sz w:val="19"/>
                <w:szCs w:val="19"/>
              </w:rPr>
              <w:t xml:space="preserve"> ± 5.8</w:t>
            </w:r>
          </w:p>
        </w:tc>
        <w:tc>
          <w:tcPr>
            <w:tcW w:w="992" w:type="dxa"/>
          </w:tcPr>
          <w:p w14:paraId="1015BDEC"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764EBB0B" w14:textId="77777777" w:rsidTr="003F1BDC">
        <w:tc>
          <w:tcPr>
            <w:tcW w:w="5665" w:type="dxa"/>
            <w:tcBorders>
              <w:bottom w:val="nil"/>
            </w:tcBorders>
          </w:tcPr>
          <w:p w14:paraId="51409D8B" w14:textId="77777777" w:rsidR="003F1BDC" w:rsidRPr="002E5B81" w:rsidRDefault="003F1BDC" w:rsidP="003F1BDC">
            <w:pPr>
              <w:rPr>
                <w:rFonts w:cs="Arial"/>
                <w:sz w:val="19"/>
                <w:szCs w:val="19"/>
              </w:rPr>
            </w:pPr>
            <w:r w:rsidRPr="002E5B81">
              <w:rPr>
                <w:rFonts w:cs="Arial"/>
                <w:sz w:val="19"/>
                <w:szCs w:val="19"/>
              </w:rPr>
              <w:t>Maternal BMI category at first pregnancy booking (%, 95% CI)</w:t>
            </w:r>
          </w:p>
        </w:tc>
        <w:tc>
          <w:tcPr>
            <w:tcW w:w="2315" w:type="dxa"/>
            <w:tcBorders>
              <w:bottom w:val="nil"/>
            </w:tcBorders>
          </w:tcPr>
          <w:p w14:paraId="36E8C220" w14:textId="77777777" w:rsidR="003F1BDC" w:rsidRPr="002E5B81" w:rsidRDefault="003F1BDC" w:rsidP="003F1BDC">
            <w:pPr>
              <w:jc w:val="center"/>
              <w:rPr>
                <w:rFonts w:cs="Arial"/>
                <w:sz w:val="19"/>
                <w:szCs w:val="19"/>
              </w:rPr>
            </w:pPr>
          </w:p>
        </w:tc>
        <w:tc>
          <w:tcPr>
            <w:tcW w:w="2315" w:type="dxa"/>
            <w:tcBorders>
              <w:bottom w:val="nil"/>
            </w:tcBorders>
          </w:tcPr>
          <w:p w14:paraId="1A6C1D4B" w14:textId="77777777" w:rsidR="003F1BDC" w:rsidRPr="002E5B81" w:rsidRDefault="003F1BDC" w:rsidP="003F1BDC">
            <w:pPr>
              <w:jc w:val="center"/>
              <w:rPr>
                <w:rFonts w:cs="Arial"/>
                <w:sz w:val="19"/>
                <w:szCs w:val="19"/>
              </w:rPr>
            </w:pPr>
          </w:p>
        </w:tc>
        <w:tc>
          <w:tcPr>
            <w:tcW w:w="2316" w:type="dxa"/>
            <w:tcBorders>
              <w:bottom w:val="nil"/>
            </w:tcBorders>
          </w:tcPr>
          <w:p w14:paraId="40AC8DA7" w14:textId="77777777" w:rsidR="003F1BDC" w:rsidRPr="002E5B81" w:rsidRDefault="003F1BDC" w:rsidP="003F1BDC">
            <w:pPr>
              <w:jc w:val="center"/>
              <w:rPr>
                <w:rFonts w:cs="Arial"/>
                <w:sz w:val="19"/>
                <w:szCs w:val="19"/>
              </w:rPr>
            </w:pPr>
          </w:p>
        </w:tc>
        <w:tc>
          <w:tcPr>
            <w:tcW w:w="992" w:type="dxa"/>
            <w:tcBorders>
              <w:bottom w:val="nil"/>
            </w:tcBorders>
          </w:tcPr>
          <w:p w14:paraId="36C31D7B" w14:textId="77777777" w:rsidR="003F1BDC" w:rsidRPr="002E5B81" w:rsidRDefault="003F1BDC" w:rsidP="003F1BDC">
            <w:pPr>
              <w:jc w:val="center"/>
              <w:rPr>
                <w:rFonts w:cs="Arial"/>
                <w:sz w:val="19"/>
                <w:szCs w:val="19"/>
              </w:rPr>
            </w:pPr>
          </w:p>
        </w:tc>
      </w:tr>
      <w:tr w:rsidR="003F1BDC" w:rsidRPr="002E5B81" w14:paraId="3750DEBC" w14:textId="77777777" w:rsidTr="003F1BDC">
        <w:tc>
          <w:tcPr>
            <w:tcW w:w="5665" w:type="dxa"/>
            <w:tcBorders>
              <w:top w:val="nil"/>
              <w:bottom w:val="nil"/>
            </w:tcBorders>
          </w:tcPr>
          <w:p w14:paraId="456A7A26" w14:textId="77777777" w:rsidR="003F1BDC" w:rsidRPr="002E5B81" w:rsidRDefault="003F1BDC" w:rsidP="003F1BDC">
            <w:pPr>
              <w:ind w:left="340"/>
              <w:rPr>
                <w:rFonts w:cs="Arial"/>
                <w:sz w:val="19"/>
                <w:szCs w:val="19"/>
              </w:rPr>
            </w:pPr>
            <w:r w:rsidRPr="002E5B81">
              <w:rPr>
                <w:rFonts w:cs="Arial"/>
                <w:sz w:val="19"/>
                <w:szCs w:val="19"/>
              </w:rPr>
              <w:t>Normal weight (18.5 to 24.9)</w:t>
            </w:r>
          </w:p>
        </w:tc>
        <w:tc>
          <w:tcPr>
            <w:tcW w:w="2315" w:type="dxa"/>
            <w:tcBorders>
              <w:top w:val="nil"/>
              <w:bottom w:val="nil"/>
            </w:tcBorders>
          </w:tcPr>
          <w:p w14:paraId="20DCE60A" w14:textId="77777777" w:rsidR="003F1BDC" w:rsidRPr="002E5B81" w:rsidRDefault="003F1BDC" w:rsidP="003F1BDC">
            <w:pPr>
              <w:jc w:val="center"/>
              <w:rPr>
                <w:rFonts w:cs="Arial"/>
                <w:sz w:val="19"/>
                <w:szCs w:val="19"/>
              </w:rPr>
            </w:pPr>
            <w:r w:rsidRPr="002E5B81">
              <w:rPr>
                <w:rFonts w:cs="Arial"/>
                <w:sz w:val="19"/>
                <w:szCs w:val="19"/>
              </w:rPr>
              <w:t>70.2 (68.2 to 72.2)</w:t>
            </w:r>
          </w:p>
        </w:tc>
        <w:tc>
          <w:tcPr>
            <w:tcW w:w="2315" w:type="dxa"/>
            <w:tcBorders>
              <w:top w:val="nil"/>
              <w:bottom w:val="nil"/>
            </w:tcBorders>
          </w:tcPr>
          <w:p w14:paraId="5571C621" w14:textId="77777777" w:rsidR="003F1BDC" w:rsidRPr="002E5B81" w:rsidRDefault="003F1BDC" w:rsidP="003F1BDC">
            <w:pPr>
              <w:jc w:val="center"/>
              <w:rPr>
                <w:rFonts w:cs="Arial"/>
                <w:sz w:val="19"/>
                <w:szCs w:val="19"/>
              </w:rPr>
            </w:pPr>
            <w:r w:rsidRPr="002E5B81">
              <w:rPr>
                <w:rFonts w:cs="Arial"/>
                <w:sz w:val="19"/>
                <w:szCs w:val="19"/>
              </w:rPr>
              <w:t>65.</w:t>
            </w:r>
            <w:r>
              <w:rPr>
                <w:rFonts w:cs="Arial"/>
                <w:sz w:val="19"/>
                <w:szCs w:val="19"/>
              </w:rPr>
              <w:t>4 (63.0 to 67.7</w:t>
            </w:r>
            <w:r w:rsidRPr="002E5B81">
              <w:rPr>
                <w:rFonts w:cs="Arial"/>
                <w:sz w:val="19"/>
                <w:szCs w:val="19"/>
              </w:rPr>
              <w:t>)</w:t>
            </w:r>
          </w:p>
        </w:tc>
        <w:tc>
          <w:tcPr>
            <w:tcW w:w="2316" w:type="dxa"/>
            <w:tcBorders>
              <w:top w:val="nil"/>
              <w:bottom w:val="nil"/>
            </w:tcBorders>
          </w:tcPr>
          <w:p w14:paraId="08CAB82F" w14:textId="77777777" w:rsidR="003F1BDC" w:rsidRPr="002E5B81" w:rsidRDefault="003F1BDC" w:rsidP="003F1BDC">
            <w:pPr>
              <w:jc w:val="center"/>
              <w:rPr>
                <w:rFonts w:cs="Arial"/>
                <w:sz w:val="19"/>
                <w:szCs w:val="19"/>
              </w:rPr>
            </w:pPr>
            <w:r>
              <w:rPr>
                <w:rFonts w:cs="Arial"/>
                <w:sz w:val="19"/>
                <w:szCs w:val="19"/>
              </w:rPr>
              <w:t>48.5 (45.6 to 51.5</w:t>
            </w:r>
            <w:r w:rsidRPr="002E5B81">
              <w:rPr>
                <w:rFonts w:cs="Arial"/>
                <w:sz w:val="19"/>
                <w:szCs w:val="19"/>
              </w:rPr>
              <w:t>)</w:t>
            </w:r>
          </w:p>
        </w:tc>
        <w:tc>
          <w:tcPr>
            <w:tcW w:w="992" w:type="dxa"/>
            <w:tcBorders>
              <w:top w:val="nil"/>
              <w:bottom w:val="nil"/>
            </w:tcBorders>
          </w:tcPr>
          <w:p w14:paraId="64088E88"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310CC334" w14:textId="77777777" w:rsidTr="003F1BDC">
        <w:tc>
          <w:tcPr>
            <w:tcW w:w="5665" w:type="dxa"/>
            <w:tcBorders>
              <w:top w:val="nil"/>
              <w:bottom w:val="nil"/>
            </w:tcBorders>
          </w:tcPr>
          <w:p w14:paraId="347D9848" w14:textId="77777777" w:rsidR="003F1BDC" w:rsidRPr="002E5B81" w:rsidRDefault="003F1BDC" w:rsidP="003F1BDC">
            <w:pPr>
              <w:ind w:left="340"/>
              <w:rPr>
                <w:rFonts w:cs="Arial"/>
                <w:sz w:val="19"/>
                <w:szCs w:val="19"/>
              </w:rPr>
            </w:pPr>
            <w:r w:rsidRPr="002E5B81">
              <w:rPr>
                <w:rFonts w:cs="Arial"/>
                <w:sz w:val="19"/>
                <w:szCs w:val="19"/>
              </w:rPr>
              <w:t>Overweight (25.0 to 29.9)</w:t>
            </w:r>
          </w:p>
        </w:tc>
        <w:tc>
          <w:tcPr>
            <w:tcW w:w="2315" w:type="dxa"/>
            <w:tcBorders>
              <w:top w:val="nil"/>
              <w:bottom w:val="nil"/>
            </w:tcBorders>
          </w:tcPr>
          <w:p w14:paraId="5147CEA8" w14:textId="77777777" w:rsidR="003F1BDC" w:rsidRPr="002E5B81" w:rsidRDefault="003F1BDC" w:rsidP="003F1BDC">
            <w:pPr>
              <w:jc w:val="center"/>
              <w:rPr>
                <w:rFonts w:cs="Arial"/>
                <w:sz w:val="19"/>
                <w:szCs w:val="19"/>
              </w:rPr>
            </w:pPr>
            <w:r w:rsidRPr="002E5B81">
              <w:rPr>
                <w:rFonts w:cs="Arial"/>
                <w:sz w:val="19"/>
                <w:szCs w:val="19"/>
              </w:rPr>
              <w:t>20.9 (19.2 to 22.7)</w:t>
            </w:r>
          </w:p>
        </w:tc>
        <w:tc>
          <w:tcPr>
            <w:tcW w:w="2315" w:type="dxa"/>
            <w:tcBorders>
              <w:top w:val="nil"/>
              <w:bottom w:val="nil"/>
            </w:tcBorders>
          </w:tcPr>
          <w:p w14:paraId="4ACFEE54" w14:textId="77777777" w:rsidR="003F1BDC" w:rsidRPr="002E5B81" w:rsidRDefault="003F1BDC" w:rsidP="003F1BDC">
            <w:pPr>
              <w:jc w:val="center"/>
              <w:rPr>
                <w:rFonts w:cs="Arial"/>
                <w:sz w:val="19"/>
                <w:szCs w:val="19"/>
              </w:rPr>
            </w:pPr>
            <w:r>
              <w:rPr>
                <w:rFonts w:cs="Arial"/>
                <w:sz w:val="19"/>
                <w:szCs w:val="19"/>
              </w:rPr>
              <w:t>23.9 (21.8 to 26.0</w:t>
            </w:r>
            <w:r w:rsidRPr="002E5B81">
              <w:rPr>
                <w:rFonts w:cs="Arial"/>
                <w:sz w:val="19"/>
                <w:szCs w:val="19"/>
              </w:rPr>
              <w:t>)</w:t>
            </w:r>
          </w:p>
        </w:tc>
        <w:tc>
          <w:tcPr>
            <w:tcW w:w="2316" w:type="dxa"/>
            <w:tcBorders>
              <w:top w:val="nil"/>
              <w:bottom w:val="nil"/>
            </w:tcBorders>
          </w:tcPr>
          <w:p w14:paraId="25F6EA8D" w14:textId="77777777" w:rsidR="003F1BDC" w:rsidRPr="002E5B81" w:rsidRDefault="003F1BDC" w:rsidP="003F1BDC">
            <w:pPr>
              <w:jc w:val="center"/>
              <w:rPr>
                <w:rFonts w:cs="Arial"/>
                <w:sz w:val="19"/>
                <w:szCs w:val="19"/>
              </w:rPr>
            </w:pPr>
            <w:r>
              <w:rPr>
                <w:rFonts w:cs="Arial"/>
                <w:sz w:val="19"/>
                <w:szCs w:val="19"/>
              </w:rPr>
              <w:t>33.2 (30.4 to 36.0</w:t>
            </w:r>
            <w:r w:rsidRPr="002E5B81">
              <w:rPr>
                <w:rFonts w:cs="Arial"/>
                <w:sz w:val="19"/>
                <w:szCs w:val="19"/>
              </w:rPr>
              <w:t>)</w:t>
            </w:r>
          </w:p>
        </w:tc>
        <w:tc>
          <w:tcPr>
            <w:tcW w:w="992" w:type="dxa"/>
            <w:tcBorders>
              <w:top w:val="nil"/>
              <w:bottom w:val="nil"/>
            </w:tcBorders>
          </w:tcPr>
          <w:p w14:paraId="0C90FB7E" w14:textId="77777777" w:rsidR="003F1BDC" w:rsidRPr="002E5B81" w:rsidRDefault="003F1BDC" w:rsidP="003F1BDC">
            <w:pPr>
              <w:jc w:val="center"/>
              <w:rPr>
                <w:rFonts w:cs="Arial"/>
                <w:sz w:val="19"/>
                <w:szCs w:val="19"/>
              </w:rPr>
            </w:pPr>
          </w:p>
        </w:tc>
      </w:tr>
      <w:tr w:rsidR="003F1BDC" w:rsidRPr="002E5B81" w14:paraId="0FA3B056" w14:textId="77777777" w:rsidTr="003F1BDC">
        <w:tc>
          <w:tcPr>
            <w:tcW w:w="5665" w:type="dxa"/>
            <w:tcBorders>
              <w:top w:val="nil"/>
            </w:tcBorders>
          </w:tcPr>
          <w:p w14:paraId="51A95EBB" w14:textId="77777777" w:rsidR="003F1BDC" w:rsidRPr="002E5B81" w:rsidRDefault="003F1BDC" w:rsidP="003F1BDC">
            <w:pPr>
              <w:ind w:left="340"/>
              <w:rPr>
                <w:rFonts w:cs="Arial"/>
                <w:sz w:val="19"/>
                <w:szCs w:val="19"/>
              </w:rPr>
            </w:pPr>
            <w:r w:rsidRPr="002E5B81">
              <w:rPr>
                <w:rFonts w:cs="Arial"/>
                <w:sz w:val="19"/>
                <w:szCs w:val="19"/>
              </w:rPr>
              <w:t>Obese (≥30.0)</w:t>
            </w:r>
          </w:p>
        </w:tc>
        <w:tc>
          <w:tcPr>
            <w:tcW w:w="2315" w:type="dxa"/>
            <w:tcBorders>
              <w:top w:val="nil"/>
            </w:tcBorders>
          </w:tcPr>
          <w:p w14:paraId="69A418A7" w14:textId="77777777" w:rsidR="003F1BDC" w:rsidRPr="002E5B81" w:rsidRDefault="003F1BDC" w:rsidP="003F1BDC">
            <w:pPr>
              <w:jc w:val="center"/>
              <w:rPr>
                <w:rFonts w:cs="Arial"/>
                <w:sz w:val="19"/>
                <w:szCs w:val="19"/>
              </w:rPr>
            </w:pPr>
            <w:r w:rsidRPr="002E5B81">
              <w:rPr>
                <w:rFonts w:cs="Arial"/>
                <w:sz w:val="19"/>
                <w:szCs w:val="19"/>
              </w:rPr>
              <w:t>8.8 (7.6 to 10.2)</w:t>
            </w:r>
          </w:p>
        </w:tc>
        <w:tc>
          <w:tcPr>
            <w:tcW w:w="2315" w:type="dxa"/>
            <w:tcBorders>
              <w:top w:val="nil"/>
            </w:tcBorders>
          </w:tcPr>
          <w:p w14:paraId="5752AE03" w14:textId="77777777" w:rsidR="003F1BDC" w:rsidRPr="002E5B81" w:rsidRDefault="003F1BDC" w:rsidP="003F1BDC">
            <w:pPr>
              <w:jc w:val="center"/>
              <w:rPr>
                <w:rFonts w:cs="Arial"/>
                <w:sz w:val="19"/>
                <w:szCs w:val="19"/>
              </w:rPr>
            </w:pPr>
            <w:r>
              <w:rPr>
                <w:rFonts w:cs="Arial"/>
                <w:sz w:val="19"/>
                <w:szCs w:val="19"/>
              </w:rPr>
              <w:t>10.7 (9.2 to 12.3</w:t>
            </w:r>
            <w:r w:rsidRPr="002E5B81">
              <w:rPr>
                <w:rFonts w:cs="Arial"/>
                <w:sz w:val="19"/>
                <w:szCs w:val="19"/>
              </w:rPr>
              <w:t>)</w:t>
            </w:r>
          </w:p>
        </w:tc>
        <w:tc>
          <w:tcPr>
            <w:tcW w:w="2316" w:type="dxa"/>
            <w:tcBorders>
              <w:top w:val="nil"/>
            </w:tcBorders>
          </w:tcPr>
          <w:p w14:paraId="19EA7FC9" w14:textId="77777777" w:rsidR="003F1BDC" w:rsidRPr="002E5B81" w:rsidRDefault="003F1BDC" w:rsidP="003F1BDC">
            <w:pPr>
              <w:jc w:val="center"/>
              <w:rPr>
                <w:rFonts w:cs="Arial"/>
                <w:sz w:val="19"/>
                <w:szCs w:val="19"/>
              </w:rPr>
            </w:pPr>
            <w:r>
              <w:rPr>
                <w:rFonts w:cs="Arial"/>
                <w:sz w:val="19"/>
                <w:szCs w:val="19"/>
              </w:rPr>
              <w:t>18.3 (16.1 to 20.7</w:t>
            </w:r>
            <w:r w:rsidRPr="002E5B81">
              <w:rPr>
                <w:rFonts w:cs="Arial"/>
                <w:sz w:val="19"/>
                <w:szCs w:val="19"/>
              </w:rPr>
              <w:t>)</w:t>
            </w:r>
          </w:p>
        </w:tc>
        <w:tc>
          <w:tcPr>
            <w:tcW w:w="992" w:type="dxa"/>
            <w:tcBorders>
              <w:top w:val="nil"/>
            </w:tcBorders>
          </w:tcPr>
          <w:p w14:paraId="5434FB90" w14:textId="77777777" w:rsidR="003F1BDC" w:rsidRPr="002E5B81" w:rsidRDefault="003F1BDC" w:rsidP="003F1BDC">
            <w:pPr>
              <w:jc w:val="center"/>
              <w:rPr>
                <w:rFonts w:cs="Arial"/>
                <w:sz w:val="19"/>
                <w:szCs w:val="19"/>
              </w:rPr>
            </w:pPr>
          </w:p>
        </w:tc>
      </w:tr>
      <w:tr w:rsidR="003F1BDC" w:rsidRPr="002E5B81" w14:paraId="70803898" w14:textId="77777777" w:rsidTr="003F1BDC">
        <w:tc>
          <w:tcPr>
            <w:tcW w:w="5665" w:type="dxa"/>
            <w:tcBorders>
              <w:bottom w:val="nil"/>
            </w:tcBorders>
          </w:tcPr>
          <w:p w14:paraId="15B091BC" w14:textId="77777777" w:rsidR="003F1BDC" w:rsidRPr="002E5B81" w:rsidRDefault="003F1BDC" w:rsidP="003F1BDC">
            <w:pPr>
              <w:rPr>
                <w:rFonts w:cs="Arial"/>
                <w:sz w:val="19"/>
                <w:szCs w:val="19"/>
              </w:rPr>
            </w:pPr>
            <w:r w:rsidRPr="002E5B81">
              <w:rPr>
                <w:rFonts w:cs="Arial"/>
                <w:sz w:val="19"/>
                <w:szCs w:val="19"/>
              </w:rPr>
              <w:t>Maternal BMI category at second pregnancy booking (%, 95% CI)</w:t>
            </w:r>
          </w:p>
        </w:tc>
        <w:tc>
          <w:tcPr>
            <w:tcW w:w="2315" w:type="dxa"/>
            <w:tcBorders>
              <w:bottom w:val="nil"/>
            </w:tcBorders>
          </w:tcPr>
          <w:p w14:paraId="31D39F82" w14:textId="77777777" w:rsidR="003F1BDC" w:rsidRPr="002E5B81" w:rsidRDefault="003F1BDC" w:rsidP="003F1BDC">
            <w:pPr>
              <w:jc w:val="center"/>
              <w:rPr>
                <w:rFonts w:cs="Arial"/>
                <w:sz w:val="19"/>
                <w:szCs w:val="19"/>
              </w:rPr>
            </w:pPr>
          </w:p>
        </w:tc>
        <w:tc>
          <w:tcPr>
            <w:tcW w:w="2315" w:type="dxa"/>
            <w:tcBorders>
              <w:bottom w:val="nil"/>
            </w:tcBorders>
          </w:tcPr>
          <w:p w14:paraId="1E9AF946" w14:textId="77777777" w:rsidR="003F1BDC" w:rsidRPr="002E5B81" w:rsidRDefault="003F1BDC" w:rsidP="003F1BDC">
            <w:pPr>
              <w:jc w:val="center"/>
              <w:rPr>
                <w:rFonts w:cs="Arial"/>
                <w:sz w:val="19"/>
                <w:szCs w:val="19"/>
              </w:rPr>
            </w:pPr>
          </w:p>
        </w:tc>
        <w:tc>
          <w:tcPr>
            <w:tcW w:w="2316" w:type="dxa"/>
            <w:tcBorders>
              <w:bottom w:val="nil"/>
            </w:tcBorders>
          </w:tcPr>
          <w:p w14:paraId="3A59AB00" w14:textId="77777777" w:rsidR="003F1BDC" w:rsidRPr="002E5B81" w:rsidRDefault="003F1BDC" w:rsidP="003F1BDC">
            <w:pPr>
              <w:jc w:val="center"/>
              <w:rPr>
                <w:rFonts w:cs="Arial"/>
                <w:sz w:val="19"/>
                <w:szCs w:val="19"/>
              </w:rPr>
            </w:pPr>
          </w:p>
        </w:tc>
        <w:tc>
          <w:tcPr>
            <w:tcW w:w="992" w:type="dxa"/>
            <w:tcBorders>
              <w:bottom w:val="nil"/>
            </w:tcBorders>
          </w:tcPr>
          <w:p w14:paraId="1D01FE29" w14:textId="77777777" w:rsidR="003F1BDC" w:rsidRPr="002E5B81" w:rsidRDefault="003F1BDC" w:rsidP="003F1BDC">
            <w:pPr>
              <w:jc w:val="center"/>
              <w:rPr>
                <w:rFonts w:cs="Arial"/>
                <w:sz w:val="19"/>
                <w:szCs w:val="19"/>
              </w:rPr>
            </w:pPr>
          </w:p>
        </w:tc>
      </w:tr>
      <w:tr w:rsidR="003F1BDC" w:rsidRPr="002E5B81" w14:paraId="336570CD" w14:textId="77777777" w:rsidTr="003F1BDC">
        <w:tc>
          <w:tcPr>
            <w:tcW w:w="5665" w:type="dxa"/>
            <w:tcBorders>
              <w:top w:val="nil"/>
              <w:bottom w:val="nil"/>
            </w:tcBorders>
          </w:tcPr>
          <w:p w14:paraId="020806EC" w14:textId="77777777" w:rsidR="003F1BDC" w:rsidRPr="002E5B81" w:rsidRDefault="003F1BDC" w:rsidP="003F1BDC">
            <w:pPr>
              <w:ind w:left="340"/>
              <w:rPr>
                <w:rFonts w:cs="Arial"/>
                <w:sz w:val="19"/>
                <w:szCs w:val="19"/>
              </w:rPr>
            </w:pPr>
            <w:r w:rsidRPr="002E5B81">
              <w:rPr>
                <w:rFonts w:cs="Arial"/>
                <w:sz w:val="19"/>
                <w:szCs w:val="19"/>
              </w:rPr>
              <w:t>Normal weight (18.5 to 24.9)</w:t>
            </w:r>
          </w:p>
        </w:tc>
        <w:tc>
          <w:tcPr>
            <w:tcW w:w="2315" w:type="dxa"/>
            <w:tcBorders>
              <w:top w:val="nil"/>
              <w:bottom w:val="nil"/>
            </w:tcBorders>
          </w:tcPr>
          <w:p w14:paraId="08FE4E33" w14:textId="77777777" w:rsidR="003F1BDC" w:rsidRPr="002E5B81" w:rsidRDefault="003F1BDC" w:rsidP="003F1BDC">
            <w:pPr>
              <w:jc w:val="center"/>
              <w:rPr>
                <w:rFonts w:cs="Arial"/>
                <w:sz w:val="19"/>
                <w:szCs w:val="19"/>
              </w:rPr>
            </w:pPr>
            <w:r w:rsidRPr="002E5B81">
              <w:rPr>
                <w:rFonts w:cs="Arial"/>
                <w:sz w:val="19"/>
                <w:szCs w:val="19"/>
              </w:rPr>
              <w:t>70.0 (67.9 to 71.9)</w:t>
            </w:r>
          </w:p>
        </w:tc>
        <w:tc>
          <w:tcPr>
            <w:tcW w:w="2315" w:type="dxa"/>
            <w:tcBorders>
              <w:top w:val="nil"/>
              <w:bottom w:val="nil"/>
            </w:tcBorders>
          </w:tcPr>
          <w:p w14:paraId="1F0AB26E" w14:textId="77777777" w:rsidR="003F1BDC" w:rsidRPr="002E5B81" w:rsidRDefault="003F1BDC" w:rsidP="003F1BDC">
            <w:pPr>
              <w:jc w:val="center"/>
              <w:rPr>
                <w:rFonts w:cs="Arial"/>
                <w:sz w:val="19"/>
                <w:szCs w:val="19"/>
              </w:rPr>
            </w:pPr>
            <w:r>
              <w:rPr>
                <w:rFonts w:cs="Arial"/>
                <w:sz w:val="19"/>
                <w:szCs w:val="19"/>
              </w:rPr>
              <w:t>49.3 (46.9 to 51.8</w:t>
            </w:r>
            <w:r w:rsidRPr="002E5B81">
              <w:rPr>
                <w:rFonts w:cs="Arial"/>
                <w:sz w:val="19"/>
                <w:szCs w:val="19"/>
              </w:rPr>
              <w:t>)</w:t>
            </w:r>
          </w:p>
        </w:tc>
        <w:tc>
          <w:tcPr>
            <w:tcW w:w="2316" w:type="dxa"/>
            <w:tcBorders>
              <w:top w:val="nil"/>
              <w:bottom w:val="nil"/>
            </w:tcBorders>
          </w:tcPr>
          <w:p w14:paraId="786BDD65" w14:textId="77777777" w:rsidR="003F1BDC" w:rsidRPr="002E5B81" w:rsidRDefault="003F1BDC" w:rsidP="003F1BDC">
            <w:pPr>
              <w:jc w:val="center"/>
              <w:rPr>
                <w:rFonts w:cs="Arial"/>
                <w:sz w:val="19"/>
                <w:szCs w:val="19"/>
              </w:rPr>
            </w:pPr>
            <w:r>
              <w:rPr>
                <w:rFonts w:cs="Arial"/>
                <w:sz w:val="19"/>
                <w:szCs w:val="19"/>
              </w:rPr>
              <w:t>11.8 (10.0 to 13.8</w:t>
            </w:r>
            <w:r w:rsidRPr="002E5B81">
              <w:rPr>
                <w:rFonts w:cs="Arial"/>
                <w:sz w:val="19"/>
                <w:szCs w:val="19"/>
              </w:rPr>
              <w:t>)</w:t>
            </w:r>
          </w:p>
        </w:tc>
        <w:tc>
          <w:tcPr>
            <w:tcW w:w="992" w:type="dxa"/>
            <w:tcBorders>
              <w:top w:val="nil"/>
              <w:bottom w:val="nil"/>
            </w:tcBorders>
          </w:tcPr>
          <w:p w14:paraId="5D196C87"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7061501D" w14:textId="77777777" w:rsidTr="003F1BDC">
        <w:tc>
          <w:tcPr>
            <w:tcW w:w="5665" w:type="dxa"/>
            <w:tcBorders>
              <w:top w:val="nil"/>
              <w:bottom w:val="nil"/>
            </w:tcBorders>
          </w:tcPr>
          <w:p w14:paraId="55A548AE" w14:textId="77777777" w:rsidR="003F1BDC" w:rsidRPr="002E5B81" w:rsidRDefault="003F1BDC" w:rsidP="003F1BDC">
            <w:pPr>
              <w:ind w:left="340"/>
              <w:rPr>
                <w:rFonts w:cs="Arial"/>
                <w:sz w:val="19"/>
                <w:szCs w:val="19"/>
              </w:rPr>
            </w:pPr>
            <w:r w:rsidRPr="002E5B81">
              <w:rPr>
                <w:rFonts w:cs="Arial"/>
                <w:sz w:val="19"/>
                <w:szCs w:val="19"/>
              </w:rPr>
              <w:t>Overweight (25.0 to 29.9)</w:t>
            </w:r>
          </w:p>
        </w:tc>
        <w:tc>
          <w:tcPr>
            <w:tcW w:w="2315" w:type="dxa"/>
            <w:tcBorders>
              <w:top w:val="nil"/>
              <w:bottom w:val="nil"/>
            </w:tcBorders>
          </w:tcPr>
          <w:p w14:paraId="40E21DBE" w14:textId="77777777" w:rsidR="003F1BDC" w:rsidRPr="002E5B81" w:rsidRDefault="003F1BDC" w:rsidP="003F1BDC">
            <w:pPr>
              <w:jc w:val="center"/>
              <w:rPr>
                <w:rFonts w:cs="Arial"/>
                <w:sz w:val="19"/>
                <w:szCs w:val="19"/>
              </w:rPr>
            </w:pPr>
            <w:r w:rsidRPr="002E5B81">
              <w:rPr>
                <w:rFonts w:cs="Arial"/>
                <w:sz w:val="19"/>
                <w:szCs w:val="19"/>
              </w:rPr>
              <w:t>20.7 (19.0 to 22.6)</w:t>
            </w:r>
          </w:p>
        </w:tc>
        <w:tc>
          <w:tcPr>
            <w:tcW w:w="2315" w:type="dxa"/>
            <w:tcBorders>
              <w:top w:val="nil"/>
              <w:bottom w:val="nil"/>
            </w:tcBorders>
          </w:tcPr>
          <w:p w14:paraId="3D9BD665" w14:textId="77777777" w:rsidR="003F1BDC" w:rsidRPr="002E5B81" w:rsidRDefault="003F1BDC" w:rsidP="003F1BDC">
            <w:pPr>
              <w:jc w:val="center"/>
              <w:rPr>
                <w:rFonts w:cs="Arial"/>
                <w:sz w:val="19"/>
                <w:szCs w:val="19"/>
              </w:rPr>
            </w:pPr>
            <w:r>
              <w:rPr>
                <w:rFonts w:cs="Arial"/>
                <w:sz w:val="19"/>
                <w:szCs w:val="19"/>
              </w:rPr>
              <w:t>33.8 (31.5 to 36.2</w:t>
            </w:r>
            <w:r w:rsidRPr="002E5B81">
              <w:rPr>
                <w:rFonts w:cs="Arial"/>
                <w:sz w:val="19"/>
                <w:szCs w:val="19"/>
              </w:rPr>
              <w:t>)</w:t>
            </w:r>
          </w:p>
        </w:tc>
        <w:tc>
          <w:tcPr>
            <w:tcW w:w="2316" w:type="dxa"/>
            <w:tcBorders>
              <w:top w:val="nil"/>
              <w:bottom w:val="nil"/>
            </w:tcBorders>
          </w:tcPr>
          <w:p w14:paraId="1E7CA866" w14:textId="77777777" w:rsidR="003F1BDC" w:rsidRPr="002E5B81" w:rsidRDefault="003F1BDC" w:rsidP="003F1BDC">
            <w:pPr>
              <w:jc w:val="center"/>
              <w:rPr>
                <w:rFonts w:cs="Arial"/>
                <w:sz w:val="19"/>
                <w:szCs w:val="19"/>
              </w:rPr>
            </w:pPr>
            <w:r>
              <w:rPr>
                <w:rFonts w:cs="Arial"/>
                <w:sz w:val="19"/>
                <w:szCs w:val="19"/>
              </w:rPr>
              <w:t>37.2 (34.4 to 40.1</w:t>
            </w:r>
            <w:r w:rsidRPr="002E5B81">
              <w:rPr>
                <w:rFonts w:cs="Arial"/>
                <w:sz w:val="19"/>
                <w:szCs w:val="19"/>
              </w:rPr>
              <w:t>)</w:t>
            </w:r>
          </w:p>
        </w:tc>
        <w:tc>
          <w:tcPr>
            <w:tcW w:w="992" w:type="dxa"/>
            <w:tcBorders>
              <w:top w:val="nil"/>
              <w:bottom w:val="nil"/>
            </w:tcBorders>
          </w:tcPr>
          <w:p w14:paraId="2F552460" w14:textId="77777777" w:rsidR="003F1BDC" w:rsidRPr="002E5B81" w:rsidRDefault="003F1BDC" w:rsidP="003F1BDC">
            <w:pPr>
              <w:jc w:val="center"/>
              <w:rPr>
                <w:rFonts w:cs="Arial"/>
                <w:sz w:val="19"/>
                <w:szCs w:val="19"/>
              </w:rPr>
            </w:pPr>
          </w:p>
        </w:tc>
      </w:tr>
      <w:tr w:rsidR="003F1BDC" w:rsidRPr="002E5B81" w14:paraId="2E97479F" w14:textId="77777777" w:rsidTr="003F1BDC">
        <w:tc>
          <w:tcPr>
            <w:tcW w:w="5665" w:type="dxa"/>
            <w:tcBorders>
              <w:top w:val="nil"/>
            </w:tcBorders>
          </w:tcPr>
          <w:p w14:paraId="604B4F2F" w14:textId="77777777" w:rsidR="003F1BDC" w:rsidRPr="002E5B81" w:rsidRDefault="003F1BDC" w:rsidP="003F1BDC">
            <w:pPr>
              <w:ind w:left="340"/>
              <w:rPr>
                <w:rFonts w:cs="Arial"/>
                <w:sz w:val="19"/>
                <w:szCs w:val="19"/>
              </w:rPr>
            </w:pPr>
            <w:r w:rsidRPr="002E5B81">
              <w:rPr>
                <w:rFonts w:cs="Arial"/>
                <w:sz w:val="19"/>
                <w:szCs w:val="19"/>
              </w:rPr>
              <w:t>Obese (≥30.0)</w:t>
            </w:r>
          </w:p>
        </w:tc>
        <w:tc>
          <w:tcPr>
            <w:tcW w:w="2315" w:type="dxa"/>
            <w:tcBorders>
              <w:top w:val="nil"/>
            </w:tcBorders>
          </w:tcPr>
          <w:p w14:paraId="4429B895" w14:textId="77777777" w:rsidR="003F1BDC" w:rsidRPr="002E5B81" w:rsidRDefault="003F1BDC" w:rsidP="003F1BDC">
            <w:pPr>
              <w:jc w:val="center"/>
              <w:rPr>
                <w:rFonts w:cs="Arial"/>
                <w:sz w:val="19"/>
                <w:szCs w:val="19"/>
              </w:rPr>
            </w:pPr>
            <w:r w:rsidRPr="002E5B81">
              <w:rPr>
                <w:rFonts w:cs="Arial"/>
                <w:sz w:val="19"/>
                <w:szCs w:val="19"/>
              </w:rPr>
              <w:t>9.3 (8.1 to 10.6)</w:t>
            </w:r>
          </w:p>
        </w:tc>
        <w:tc>
          <w:tcPr>
            <w:tcW w:w="2315" w:type="dxa"/>
            <w:tcBorders>
              <w:top w:val="nil"/>
            </w:tcBorders>
          </w:tcPr>
          <w:p w14:paraId="0F9B054C" w14:textId="77777777" w:rsidR="003F1BDC" w:rsidRPr="002E5B81" w:rsidRDefault="003F1BDC" w:rsidP="003F1BDC">
            <w:pPr>
              <w:jc w:val="center"/>
              <w:rPr>
                <w:rFonts w:cs="Arial"/>
                <w:sz w:val="19"/>
                <w:szCs w:val="19"/>
              </w:rPr>
            </w:pPr>
            <w:r>
              <w:rPr>
                <w:rFonts w:cs="Arial"/>
                <w:sz w:val="19"/>
                <w:szCs w:val="19"/>
              </w:rPr>
              <w:t>16.8 (15.0 to 18.7</w:t>
            </w:r>
            <w:r w:rsidRPr="002E5B81">
              <w:rPr>
                <w:rFonts w:cs="Arial"/>
                <w:sz w:val="19"/>
                <w:szCs w:val="19"/>
              </w:rPr>
              <w:t>)</w:t>
            </w:r>
          </w:p>
        </w:tc>
        <w:tc>
          <w:tcPr>
            <w:tcW w:w="2316" w:type="dxa"/>
            <w:tcBorders>
              <w:top w:val="nil"/>
            </w:tcBorders>
          </w:tcPr>
          <w:p w14:paraId="4926EDEE" w14:textId="77777777" w:rsidR="003F1BDC" w:rsidRPr="002E5B81" w:rsidRDefault="003F1BDC" w:rsidP="003F1BDC">
            <w:pPr>
              <w:jc w:val="center"/>
              <w:rPr>
                <w:rFonts w:cs="Arial"/>
                <w:sz w:val="19"/>
                <w:szCs w:val="19"/>
              </w:rPr>
            </w:pPr>
            <w:r>
              <w:rPr>
                <w:rFonts w:cs="Arial"/>
                <w:sz w:val="19"/>
                <w:szCs w:val="19"/>
              </w:rPr>
              <w:t>51.0 (48.1 to 54.0</w:t>
            </w:r>
            <w:r w:rsidRPr="002E5B81">
              <w:rPr>
                <w:rFonts w:cs="Arial"/>
                <w:sz w:val="19"/>
                <w:szCs w:val="19"/>
              </w:rPr>
              <w:t>)</w:t>
            </w:r>
          </w:p>
        </w:tc>
        <w:tc>
          <w:tcPr>
            <w:tcW w:w="992" w:type="dxa"/>
            <w:tcBorders>
              <w:top w:val="nil"/>
            </w:tcBorders>
          </w:tcPr>
          <w:p w14:paraId="75829B93" w14:textId="77777777" w:rsidR="003F1BDC" w:rsidRPr="002E5B81" w:rsidRDefault="003F1BDC" w:rsidP="003F1BDC">
            <w:pPr>
              <w:jc w:val="center"/>
              <w:rPr>
                <w:rFonts w:cs="Arial"/>
                <w:sz w:val="19"/>
                <w:szCs w:val="19"/>
              </w:rPr>
            </w:pPr>
          </w:p>
        </w:tc>
      </w:tr>
      <w:tr w:rsidR="003F1BDC" w:rsidRPr="002E5B81" w14:paraId="584DF18B" w14:textId="77777777" w:rsidTr="003F1BDC">
        <w:tc>
          <w:tcPr>
            <w:tcW w:w="5665" w:type="dxa"/>
            <w:tcBorders>
              <w:bottom w:val="nil"/>
            </w:tcBorders>
          </w:tcPr>
          <w:p w14:paraId="7CA363EB" w14:textId="77777777" w:rsidR="003F1BDC" w:rsidRPr="002E5B81" w:rsidRDefault="003F1BDC" w:rsidP="003F1BDC">
            <w:pPr>
              <w:rPr>
                <w:rFonts w:cs="Arial"/>
                <w:sz w:val="19"/>
                <w:szCs w:val="19"/>
              </w:rPr>
            </w:pPr>
            <w:r w:rsidRPr="002E5B81">
              <w:rPr>
                <w:rFonts w:cs="Arial"/>
                <w:sz w:val="19"/>
                <w:szCs w:val="19"/>
              </w:rPr>
              <w:t>Maternal smoking status at first pregnancy booking (%, 95% CI)</w:t>
            </w:r>
          </w:p>
        </w:tc>
        <w:tc>
          <w:tcPr>
            <w:tcW w:w="2315" w:type="dxa"/>
            <w:tcBorders>
              <w:bottom w:val="nil"/>
            </w:tcBorders>
          </w:tcPr>
          <w:p w14:paraId="233D2150" w14:textId="77777777" w:rsidR="003F1BDC" w:rsidRPr="002E5B81" w:rsidRDefault="003F1BDC" w:rsidP="003F1BDC">
            <w:pPr>
              <w:jc w:val="center"/>
              <w:rPr>
                <w:rFonts w:cs="Arial"/>
                <w:sz w:val="19"/>
                <w:szCs w:val="19"/>
              </w:rPr>
            </w:pPr>
          </w:p>
        </w:tc>
        <w:tc>
          <w:tcPr>
            <w:tcW w:w="2315" w:type="dxa"/>
            <w:tcBorders>
              <w:bottom w:val="nil"/>
            </w:tcBorders>
          </w:tcPr>
          <w:p w14:paraId="7B33C61D" w14:textId="77777777" w:rsidR="003F1BDC" w:rsidRPr="002E5B81" w:rsidRDefault="003F1BDC" w:rsidP="003F1BDC">
            <w:pPr>
              <w:jc w:val="center"/>
              <w:rPr>
                <w:rFonts w:cs="Arial"/>
                <w:sz w:val="19"/>
                <w:szCs w:val="19"/>
              </w:rPr>
            </w:pPr>
          </w:p>
        </w:tc>
        <w:tc>
          <w:tcPr>
            <w:tcW w:w="2316" w:type="dxa"/>
            <w:tcBorders>
              <w:bottom w:val="nil"/>
            </w:tcBorders>
          </w:tcPr>
          <w:p w14:paraId="0C442E64" w14:textId="77777777" w:rsidR="003F1BDC" w:rsidRPr="002E5B81" w:rsidRDefault="003F1BDC" w:rsidP="003F1BDC">
            <w:pPr>
              <w:jc w:val="center"/>
              <w:rPr>
                <w:rFonts w:cs="Arial"/>
                <w:sz w:val="19"/>
                <w:szCs w:val="19"/>
              </w:rPr>
            </w:pPr>
          </w:p>
        </w:tc>
        <w:tc>
          <w:tcPr>
            <w:tcW w:w="992" w:type="dxa"/>
            <w:tcBorders>
              <w:bottom w:val="nil"/>
            </w:tcBorders>
          </w:tcPr>
          <w:p w14:paraId="2EB45C84" w14:textId="77777777" w:rsidR="003F1BDC" w:rsidRPr="002E5B81" w:rsidRDefault="003F1BDC" w:rsidP="003F1BDC">
            <w:pPr>
              <w:jc w:val="center"/>
              <w:rPr>
                <w:rFonts w:cs="Arial"/>
                <w:sz w:val="19"/>
                <w:szCs w:val="19"/>
              </w:rPr>
            </w:pPr>
          </w:p>
        </w:tc>
      </w:tr>
      <w:tr w:rsidR="003F1BDC" w:rsidRPr="002E5B81" w14:paraId="638F56D6" w14:textId="77777777" w:rsidTr="003F1BDC">
        <w:tc>
          <w:tcPr>
            <w:tcW w:w="5665" w:type="dxa"/>
            <w:tcBorders>
              <w:top w:val="nil"/>
              <w:bottom w:val="nil"/>
            </w:tcBorders>
          </w:tcPr>
          <w:p w14:paraId="4138472D" w14:textId="77777777" w:rsidR="003F1BDC" w:rsidRPr="002E5B81" w:rsidRDefault="003F1BDC" w:rsidP="003F1BDC">
            <w:pPr>
              <w:ind w:left="340"/>
              <w:rPr>
                <w:rFonts w:cs="Arial"/>
                <w:sz w:val="19"/>
                <w:szCs w:val="19"/>
              </w:rPr>
            </w:pPr>
            <w:r w:rsidRPr="002E5B81">
              <w:rPr>
                <w:rFonts w:cs="Arial"/>
                <w:sz w:val="19"/>
                <w:szCs w:val="19"/>
              </w:rPr>
              <w:t>Never smoked/quit</w:t>
            </w:r>
          </w:p>
        </w:tc>
        <w:tc>
          <w:tcPr>
            <w:tcW w:w="2315" w:type="dxa"/>
            <w:tcBorders>
              <w:top w:val="nil"/>
              <w:bottom w:val="nil"/>
            </w:tcBorders>
          </w:tcPr>
          <w:p w14:paraId="270F4F7B" w14:textId="77777777" w:rsidR="003F1BDC" w:rsidRPr="002E5B81" w:rsidRDefault="003F1BDC" w:rsidP="003F1BDC">
            <w:pPr>
              <w:jc w:val="center"/>
              <w:rPr>
                <w:rFonts w:cs="Arial"/>
                <w:sz w:val="19"/>
                <w:szCs w:val="19"/>
              </w:rPr>
            </w:pPr>
            <w:r w:rsidRPr="002E5B81">
              <w:rPr>
                <w:rFonts w:cs="Arial"/>
                <w:sz w:val="19"/>
                <w:szCs w:val="19"/>
              </w:rPr>
              <w:t>55.4 (53.2 to 57.6)</w:t>
            </w:r>
          </w:p>
        </w:tc>
        <w:tc>
          <w:tcPr>
            <w:tcW w:w="2315" w:type="dxa"/>
            <w:tcBorders>
              <w:top w:val="nil"/>
              <w:bottom w:val="nil"/>
            </w:tcBorders>
          </w:tcPr>
          <w:p w14:paraId="1168FC20" w14:textId="77777777" w:rsidR="003F1BDC" w:rsidRPr="002E5B81" w:rsidRDefault="003F1BDC" w:rsidP="003F1BDC">
            <w:pPr>
              <w:jc w:val="center"/>
              <w:rPr>
                <w:rFonts w:cs="Arial"/>
                <w:sz w:val="19"/>
                <w:szCs w:val="19"/>
              </w:rPr>
            </w:pPr>
            <w:r>
              <w:rPr>
                <w:rFonts w:cs="Arial"/>
                <w:sz w:val="19"/>
                <w:szCs w:val="19"/>
              </w:rPr>
              <w:t>52.7 (50.2 to 55.2</w:t>
            </w:r>
            <w:r w:rsidRPr="002E5B81">
              <w:rPr>
                <w:rFonts w:cs="Arial"/>
                <w:sz w:val="19"/>
                <w:szCs w:val="19"/>
              </w:rPr>
              <w:t>)</w:t>
            </w:r>
          </w:p>
        </w:tc>
        <w:tc>
          <w:tcPr>
            <w:tcW w:w="2316" w:type="dxa"/>
            <w:tcBorders>
              <w:top w:val="nil"/>
              <w:bottom w:val="nil"/>
            </w:tcBorders>
          </w:tcPr>
          <w:p w14:paraId="039D1452" w14:textId="77777777" w:rsidR="003F1BDC" w:rsidRPr="002E5B81" w:rsidRDefault="003F1BDC" w:rsidP="003F1BDC">
            <w:pPr>
              <w:jc w:val="center"/>
              <w:rPr>
                <w:rFonts w:cs="Arial"/>
                <w:sz w:val="19"/>
                <w:szCs w:val="19"/>
              </w:rPr>
            </w:pPr>
            <w:r>
              <w:rPr>
                <w:rFonts w:cs="Arial"/>
                <w:sz w:val="19"/>
                <w:szCs w:val="19"/>
              </w:rPr>
              <w:t>42.0 (39.1 to 44.9</w:t>
            </w:r>
            <w:r w:rsidRPr="002E5B81">
              <w:rPr>
                <w:rFonts w:cs="Arial"/>
                <w:sz w:val="19"/>
                <w:szCs w:val="19"/>
              </w:rPr>
              <w:t>)</w:t>
            </w:r>
          </w:p>
        </w:tc>
        <w:tc>
          <w:tcPr>
            <w:tcW w:w="992" w:type="dxa"/>
            <w:tcBorders>
              <w:top w:val="nil"/>
              <w:bottom w:val="nil"/>
            </w:tcBorders>
          </w:tcPr>
          <w:p w14:paraId="3C214636"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6BD918E8" w14:textId="77777777" w:rsidTr="003F1BDC">
        <w:tc>
          <w:tcPr>
            <w:tcW w:w="5665" w:type="dxa"/>
            <w:tcBorders>
              <w:top w:val="nil"/>
              <w:bottom w:val="nil"/>
            </w:tcBorders>
          </w:tcPr>
          <w:p w14:paraId="0D034C0D" w14:textId="77777777" w:rsidR="003F1BDC" w:rsidRPr="002E5B81" w:rsidRDefault="003F1BDC" w:rsidP="003F1BDC">
            <w:pPr>
              <w:ind w:left="340"/>
              <w:rPr>
                <w:rFonts w:cs="Arial"/>
                <w:sz w:val="19"/>
                <w:szCs w:val="19"/>
              </w:rPr>
            </w:pPr>
            <w:r w:rsidRPr="002E5B81">
              <w:rPr>
                <w:rFonts w:cs="Arial"/>
                <w:sz w:val="19"/>
                <w:szCs w:val="19"/>
              </w:rPr>
              <w:t>Stopped &gt;1 year before conceiving</w:t>
            </w:r>
          </w:p>
        </w:tc>
        <w:tc>
          <w:tcPr>
            <w:tcW w:w="2315" w:type="dxa"/>
            <w:tcBorders>
              <w:top w:val="nil"/>
              <w:bottom w:val="nil"/>
            </w:tcBorders>
          </w:tcPr>
          <w:p w14:paraId="52894F4F" w14:textId="77777777" w:rsidR="003F1BDC" w:rsidRPr="002E5B81" w:rsidRDefault="003F1BDC" w:rsidP="003F1BDC">
            <w:pPr>
              <w:jc w:val="center"/>
              <w:rPr>
                <w:rFonts w:cs="Arial"/>
                <w:sz w:val="19"/>
                <w:szCs w:val="19"/>
              </w:rPr>
            </w:pPr>
            <w:r w:rsidRPr="002E5B81">
              <w:rPr>
                <w:rFonts w:cs="Arial"/>
                <w:sz w:val="19"/>
                <w:szCs w:val="19"/>
              </w:rPr>
              <w:t>14.9 (13.3 to 16.5)</w:t>
            </w:r>
          </w:p>
        </w:tc>
        <w:tc>
          <w:tcPr>
            <w:tcW w:w="2315" w:type="dxa"/>
            <w:tcBorders>
              <w:top w:val="nil"/>
              <w:bottom w:val="nil"/>
            </w:tcBorders>
          </w:tcPr>
          <w:p w14:paraId="78B47990" w14:textId="77777777" w:rsidR="003F1BDC" w:rsidRPr="002E5B81" w:rsidRDefault="003F1BDC" w:rsidP="003F1BDC">
            <w:pPr>
              <w:jc w:val="center"/>
              <w:rPr>
                <w:rFonts w:cs="Arial"/>
                <w:sz w:val="19"/>
                <w:szCs w:val="19"/>
              </w:rPr>
            </w:pPr>
            <w:r w:rsidRPr="002E5B81">
              <w:rPr>
                <w:rFonts w:cs="Arial"/>
                <w:sz w:val="19"/>
                <w:szCs w:val="19"/>
              </w:rPr>
              <w:t>1</w:t>
            </w:r>
            <w:r>
              <w:rPr>
                <w:rFonts w:cs="Arial"/>
                <w:sz w:val="19"/>
                <w:szCs w:val="19"/>
              </w:rPr>
              <w:t>3.5 (11.9 to 15.3</w:t>
            </w:r>
            <w:r w:rsidRPr="002E5B81">
              <w:rPr>
                <w:rFonts w:cs="Arial"/>
                <w:sz w:val="19"/>
                <w:szCs w:val="19"/>
              </w:rPr>
              <w:t>)</w:t>
            </w:r>
          </w:p>
        </w:tc>
        <w:tc>
          <w:tcPr>
            <w:tcW w:w="2316" w:type="dxa"/>
            <w:tcBorders>
              <w:top w:val="nil"/>
              <w:bottom w:val="nil"/>
            </w:tcBorders>
          </w:tcPr>
          <w:p w14:paraId="3EA890C9" w14:textId="77777777" w:rsidR="003F1BDC" w:rsidRPr="002E5B81" w:rsidRDefault="003F1BDC" w:rsidP="003F1BDC">
            <w:pPr>
              <w:jc w:val="center"/>
              <w:rPr>
                <w:rFonts w:cs="Arial"/>
                <w:sz w:val="19"/>
                <w:szCs w:val="19"/>
              </w:rPr>
            </w:pPr>
            <w:r>
              <w:rPr>
                <w:rFonts w:cs="Arial"/>
                <w:sz w:val="19"/>
                <w:szCs w:val="19"/>
              </w:rPr>
              <w:t>9.8 (8.1 to 11.6</w:t>
            </w:r>
            <w:r w:rsidRPr="002E5B81">
              <w:rPr>
                <w:rFonts w:cs="Arial"/>
                <w:sz w:val="19"/>
                <w:szCs w:val="19"/>
              </w:rPr>
              <w:t>)</w:t>
            </w:r>
          </w:p>
        </w:tc>
        <w:tc>
          <w:tcPr>
            <w:tcW w:w="992" w:type="dxa"/>
            <w:tcBorders>
              <w:top w:val="nil"/>
              <w:bottom w:val="nil"/>
            </w:tcBorders>
          </w:tcPr>
          <w:p w14:paraId="63C73214" w14:textId="77777777" w:rsidR="003F1BDC" w:rsidRPr="002E5B81" w:rsidRDefault="003F1BDC" w:rsidP="003F1BDC">
            <w:pPr>
              <w:jc w:val="center"/>
              <w:rPr>
                <w:rFonts w:cs="Arial"/>
                <w:sz w:val="19"/>
                <w:szCs w:val="19"/>
              </w:rPr>
            </w:pPr>
          </w:p>
        </w:tc>
      </w:tr>
      <w:tr w:rsidR="003F1BDC" w:rsidRPr="002E5B81" w14:paraId="437FF0AC" w14:textId="77777777" w:rsidTr="003F1BDC">
        <w:tc>
          <w:tcPr>
            <w:tcW w:w="5665" w:type="dxa"/>
            <w:tcBorders>
              <w:top w:val="nil"/>
              <w:bottom w:val="nil"/>
            </w:tcBorders>
          </w:tcPr>
          <w:p w14:paraId="029D6EDA" w14:textId="77777777" w:rsidR="003F1BDC" w:rsidRPr="002E5B81" w:rsidRDefault="003F1BDC" w:rsidP="003F1BDC">
            <w:pPr>
              <w:ind w:left="340"/>
              <w:rPr>
                <w:rFonts w:cs="Arial"/>
                <w:sz w:val="19"/>
                <w:szCs w:val="19"/>
              </w:rPr>
            </w:pPr>
            <w:r w:rsidRPr="002E5B81">
              <w:rPr>
                <w:rFonts w:cs="Arial"/>
                <w:sz w:val="19"/>
                <w:szCs w:val="19"/>
              </w:rPr>
              <w:t>Stopped &lt;1 year prior to conceiving</w:t>
            </w:r>
          </w:p>
        </w:tc>
        <w:tc>
          <w:tcPr>
            <w:tcW w:w="2315" w:type="dxa"/>
            <w:tcBorders>
              <w:top w:val="nil"/>
              <w:bottom w:val="nil"/>
            </w:tcBorders>
          </w:tcPr>
          <w:p w14:paraId="6CB24A54" w14:textId="77777777" w:rsidR="003F1BDC" w:rsidRPr="002E5B81" w:rsidRDefault="003F1BDC" w:rsidP="003F1BDC">
            <w:pPr>
              <w:jc w:val="center"/>
              <w:rPr>
                <w:rFonts w:cs="Arial"/>
                <w:sz w:val="19"/>
                <w:szCs w:val="19"/>
              </w:rPr>
            </w:pPr>
            <w:r w:rsidRPr="002E5B81">
              <w:rPr>
                <w:rFonts w:cs="Arial"/>
                <w:sz w:val="19"/>
                <w:szCs w:val="19"/>
              </w:rPr>
              <w:t>7.3 (6.2 to 8.5)</w:t>
            </w:r>
          </w:p>
        </w:tc>
        <w:tc>
          <w:tcPr>
            <w:tcW w:w="2315" w:type="dxa"/>
            <w:tcBorders>
              <w:top w:val="nil"/>
              <w:bottom w:val="nil"/>
            </w:tcBorders>
          </w:tcPr>
          <w:p w14:paraId="0EDA6E02" w14:textId="77777777" w:rsidR="003F1BDC" w:rsidRPr="002E5B81" w:rsidRDefault="003F1BDC" w:rsidP="003F1BDC">
            <w:pPr>
              <w:jc w:val="center"/>
              <w:rPr>
                <w:rFonts w:cs="Arial"/>
                <w:sz w:val="19"/>
                <w:szCs w:val="19"/>
              </w:rPr>
            </w:pPr>
            <w:r>
              <w:rPr>
                <w:rFonts w:cs="Arial"/>
                <w:sz w:val="19"/>
                <w:szCs w:val="19"/>
              </w:rPr>
              <w:t>8.9 (7.6</w:t>
            </w:r>
            <w:r w:rsidRPr="002E5B81">
              <w:rPr>
                <w:rFonts w:cs="Arial"/>
                <w:sz w:val="19"/>
                <w:szCs w:val="19"/>
              </w:rPr>
              <w:t xml:space="preserve"> to 10.4)</w:t>
            </w:r>
          </w:p>
        </w:tc>
        <w:tc>
          <w:tcPr>
            <w:tcW w:w="2316" w:type="dxa"/>
            <w:tcBorders>
              <w:top w:val="nil"/>
              <w:bottom w:val="nil"/>
            </w:tcBorders>
          </w:tcPr>
          <w:p w14:paraId="6CBB0616" w14:textId="77777777" w:rsidR="003F1BDC" w:rsidRPr="002E5B81" w:rsidRDefault="003F1BDC" w:rsidP="003F1BDC">
            <w:pPr>
              <w:jc w:val="center"/>
              <w:rPr>
                <w:rFonts w:cs="Arial"/>
                <w:sz w:val="19"/>
                <w:szCs w:val="19"/>
              </w:rPr>
            </w:pPr>
            <w:r>
              <w:rPr>
                <w:rFonts w:cs="Arial"/>
                <w:sz w:val="19"/>
                <w:szCs w:val="19"/>
              </w:rPr>
              <w:t>8.6 (7.1 to 10.4</w:t>
            </w:r>
            <w:r w:rsidRPr="002E5B81">
              <w:rPr>
                <w:rFonts w:cs="Arial"/>
                <w:sz w:val="19"/>
                <w:szCs w:val="19"/>
              </w:rPr>
              <w:t>)</w:t>
            </w:r>
          </w:p>
        </w:tc>
        <w:tc>
          <w:tcPr>
            <w:tcW w:w="992" w:type="dxa"/>
            <w:tcBorders>
              <w:top w:val="nil"/>
              <w:bottom w:val="nil"/>
            </w:tcBorders>
          </w:tcPr>
          <w:p w14:paraId="5DE55F25" w14:textId="77777777" w:rsidR="003F1BDC" w:rsidRPr="002E5B81" w:rsidRDefault="003F1BDC" w:rsidP="003F1BDC">
            <w:pPr>
              <w:jc w:val="center"/>
              <w:rPr>
                <w:rFonts w:cs="Arial"/>
                <w:sz w:val="19"/>
                <w:szCs w:val="19"/>
              </w:rPr>
            </w:pPr>
          </w:p>
        </w:tc>
      </w:tr>
      <w:tr w:rsidR="003F1BDC" w:rsidRPr="002E5B81" w14:paraId="16874894" w14:textId="77777777" w:rsidTr="003F1BDC">
        <w:tc>
          <w:tcPr>
            <w:tcW w:w="5665" w:type="dxa"/>
            <w:tcBorders>
              <w:top w:val="nil"/>
              <w:bottom w:val="nil"/>
            </w:tcBorders>
          </w:tcPr>
          <w:p w14:paraId="1E40D559" w14:textId="77777777" w:rsidR="003F1BDC" w:rsidRPr="002E5B81" w:rsidRDefault="003F1BDC" w:rsidP="003F1BDC">
            <w:pPr>
              <w:ind w:left="340"/>
              <w:rPr>
                <w:rFonts w:cs="Arial"/>
                <w:sz w:val="19"/>
                <w:szCs w:val="19"/>
              </w:rPr>
            </w:pPr>
            <w:r w:rsidRPr="002E5B81">
              <w:rPr>
                <w:rFonts w:cs="Arial"/>
                <w:sz w:val="19"/>
                <w:szCs w:val="19"/>
              </w:rPr>
              <w:t>Stopped when pregnancy confirmed</w:t>
            </w:r>
          </w:p>
        </w:tc>
        <w:tc>
          <w:tcPr>
            <w:tcW w:w="2315" w:type="dxa"/>
            <w:tcBorders>
              <w:top w:val="nil"/>
              <w:bottom w:val="nil"/>
            </w:tcBorders>
          </w:tcPr>
          <w:p w14:paraId="38456929" w14:textId="77777777" w:rsidR="003F1BDC" w:rsidRPr="002E5B81" w:rsidRDefault="003F1BDC" w:rsidP="003F1BDC">
            <w:pPr>
              <w:jc w:val="center"/>
              <w:rPr>
                <w:rFonts w:cs="Arial"/>
                <w:sz w:val="19"/>
                <w:szCs w:val="19"/>
              </w:rPr>
            </w:pPr>
            <w:r w:rsidRPr="002E5B81">
              <w:rPr>
                <w:rFonts w:cs="Arial"/>
                <w:sz w:val="19"/>
                <w:szCs w:val="19"/>
              </w:rPr>
              <w:t>10.7 (9.4 to 12.2)</w:t>
            </w:r>
          </w:p>
        </w:tc>
        <w:tc>
          <w:tcPr>
            <w:tcW w:w="2315" w:type="dxa"/>
            <w:tcBorders>
              <w:top w:val="nil"/>
              <w:bottom w:val="nil"/>
            </w:tcBorders>
          </w:tcPr>
          <w:p w14:paraId="59E01BB7" w14:textId="77777777" w:rsidR="003F1BDC" w:rsidRPr="002E5B81" w:rsidRDefault="003F1BDC" w:rsidP="003F1BDC">
            <w:pPr>
              <w:jc w:val="center"/>
              <w:rPr>
                <w:rFonts w:cs="Arial"/>
                <w:sz w:val="19"/>
                <w:szCs w:val="19"/>
              </w:rPr>
            </w:pPr>
            <w:r>
              <w:rPr>
                <w:rFonts w:cs="Arial"/>
                <w:sz w:val="19"/>
                <w:szCs w:val="19"/>
              </w:rPr>
              <w:t>10.7 (9.2 to 12.3</w:t>
            </w:r>
            <w:r w:rsidRPr="002E5B81">
              <w:rPr>
                <w:rFonts w:cs="Arial"/>
                <w:sz w:val="19"/>
                <w:szCs w:val="19"/>
              </w:rPr>
              <w:t>)</w:t>
            </w:r>
          </w:p>
        </w:tc>
        <w:tc>
          <w:tcPr>
            <w:tcW w:w="2316" w:type="dxa"/>
            <w:tcBorders>
              <w:top w:val="nil"/>
              <w:bottom w:val="nil"/>
            </w:tcBorders>
          </w:tcPr>
          <w:p w14:paraId="059422CF" w14:textId="77777777" w:rsidR="003F1BDC" w:rsidRPr="002E5B81" w:rsidRDefault="003F1BDC" w:rsidP="003F1BDC">
            <w:pPr>
              <w:jc w:val="center"/>
              <w:rPr>
                <w:rFonts w:cs="Arial"/>
                <w:sz w:val="19"/>
                <w:szCs w:val="19"/>
              </w:rPr>
            </w:pPr>
            <w:r w:rsidRPr="002E5B81">
              <w:rPr>
                <w:rFonts w:cs="Arial"/>
                <w:sz w:val="19"/>
                <w:szCs w:val="19"/>
              </w:rPr>
              <w:t>17.0 (14.8 to 19.3)</w:t>
            </w:r>
          </w:p>
        </w:tc>
        <w:tc>
          <w:tcPr>
            <w:tcW w:w="992" w:type="dxa"/>
            <w:tcBorders>
              <w:top w:val="nil"/>
              <w:bottom w:val="nil"/>
            </w:tcBorders>
          </w:tcPr>
          <w:p w14:paraId="1F08252F" w14:textId="77777777" w:rsidR="003F1BDC" w:rsidRPr="002E5B81" w:rsidRDefault="003F1BDC" w:rsidP="003F1BDC">
            <w:pPr>
              <w:jc w:val="center"/>
              <w:rPr>
                <w:rFonts w:cs="Arial"/>
                <w:sz w:val="19"/>
                <w:szCs w:val="19"/>
              </w:rPr>
            </w:pPr>
          </w:p>
        </w:tc>
      </w:tr>
      <w:tr w:rsidR="003F1BDC" w:rsidRPr="002E5B81" w14:paraId="378CA455" w14:textId="77777777" w:rsidTr="003F1BDC">
        <w:tc>
          <w:tcPr>
            <w:tcW w:w="5665" w:type="dxa"/>
            <w:tcBorders>
              <w:top w:val="nil"/>
            </w:tcBorders>
          </w:tcPr>
          <w:p w14:paraId="5EF81AB3" w14:textId="77777777" w:rsidR="003F1BDC" w:rsidRPr="002E5B81" w:rsidRDefault="003F1BDC" w:rsidP="003F1BDC">
            <w:pPr>
              <w:ind w:left="340"/>
              <w:rPr>
                <w:rFonts w:cs="Arial"/>
                <w:sz w:val="19"/>
                <w:szCs w:val="19"/>
              </w:rPr>
            </w:pPr>
            <w:r w:rsidRPr="002E5B81">
              <w:rPr>
                <w:rFonts w:cs="Arial"/>
                <w:sz w:val="19"/>
                <w:szCs w:val="19"/>
              </w:rPr>
              <w:t xml:space="preserve">Continued smoking </w:t>
            </w:r>
          </w:p>
        </w:tc>
        <w:tc>
          <w:tcPr>
            <w:tcW w:w="2315" w:type="dxa"/>
            <w:tcBorders>
              <w:top w:val="nil"/>
            </w:tcBorders>
          </w:tcPr>
          <w:p w14:paraId="6F25230F" w14:textId="77777777" w:rsidR="003F1BDC" w:rsidRPr="002E5B81" w:rsidRDefault="003F1BDC" w:rsidP="003F1BDC">
            <w:pPr>
              <w:jc w:val="center"/>
              <w:rPr>
                <w:rFonts w:cs="Arial"/>
                <w:sz w:val="19"/>
                <w:szCs w:val="19"/>
              </w:rPr>
            </w:pPr>
            <w:r w:rsidRPr="002E5B81">
              <w:rPr>
                <w:rFonts w:cs="Arial"/>
                <w:sz w:val="19"/>
                <w:szCs w:val="19"/>
              </w:rPr>
              <w:t>11.7 (10.4 to 13.2)</w:t>
            </w:r>
          </w:p>
        </w:tc>
        <w:tc>
          <w:tcPr>
            <w:tcW w:w="2315" w:type="dxa"/>
            <w:tcBorders>
              <w:top w:val="nil"/>
            </w:tcBorders>
          </w:tcPr>
          <w:p w14:paraId="7EBEF513" w14:textId="77777777" w:rsidR="003F1BDC" w:rsidRPr="002E5B81" w:rsidRDefault="003F1BDC" w:rsidP="003F1BDC">
            <w:pPr>
              <w:jc w:val="center"/>
              <w:rPr>
                <w:rFonts w:cs="Arial"/>
                <w:sz w:val="19"/>
                <w:szCs w:val="19"/>
              </w:rPr>
            </w:pPr>
            <w:r>
              <w:rPr>
                <w:rFonts w:cs="Arial"/>
                <w:sz w:val="19"/>
                <w:szCs w:val="19"/>
              </w:rPr>
              <w:t>14.1 (12.5 to 15.9</w:t>
            </w:r>
            <w:r w:rsidRPr="002E5B81">
              <w:rPr>
                <w:rFonts w:cs="Arial"/>
                <w:sz w:val="19"/>
                <w:szCs w:val="19"/>
              </w:rPr>
              <w:t>)</w:t>
            </w:r>
          </w:p>
        </w:tc>
        <w:tc>
          <w:tcPr>
            <w:tcW w:w="2316" w:type="dxa"/>
            <w:tcBorders>
              <w:top w:val="nil"/>
            </w:tcBorders>
          </w:tcPr>
          <w:p w14:paraId="7ECCD934" w14:textId="77777777" w:rsidR="003F1BDC" w:rsidRPr="002E5B81" w:rsidRDefault="003F1BDC" w:rsidP="003F1BDC">
            <w:pPr>
              <w:jc w:val="center"/>
              <w:rPr>
                <w:rFonts w:cs="Arial"/>
                <w:sz w:val="19"/>
                <w:szCs w:val="19"/>
              </w:rPr>
            </w:pPr>
            <w:r>
              <w:rPr>
                <w:rFonts w:cs="Arial"/>
                <w:sz w:val="19"/>
                <w:szCs w:val="19"/>
              </w:rPr>
              <w:t>22.7 (20.3 to 25.2</w:t>
            </w:r>
            <w:r w:rsidRPr="002E5B81">
              <w:rPr>
                <w:rFonts w:cs="Arial"/>
                <w:sz w:val="19"/>
                <w:szCs w:val="19"/>
              </w:rPr>
              <w:t>)</w:t>
            </w:r>
          </w:p>
        </w:tc>
        <w:tc>
          <w:tcPr>
            <w:tcW w:w="992" w:type="dxa"/>
            <w:tcBorders>
              <w:top w:val="nil"/>
            </w:tcBorders>
          </w:tcPr>
          <w:p w14:paraId="13B5911C" w14:textId="77777777" w:rsidR="003F1BDC" w:rsidRPr="002E5B81" w:rsidRDefault="003F1BDC" w:rsidP="003F1BDC">
            <w:pPr>
              <w:jc w:val="center"/>
              <w:rPr>
                <w:rFonts w:cs="Arial"/>
                <w:sz w:val="19"/>
                <w:szCs w:val="19"/>
              </w:rPr>
            </w:pPr>
          </w:p>
        </w:tc>
      </w:tr>
      <w:tr w:rsidR="003F1BDC" w:rsidRPr="002E5B81" w14:paraId="3F163EC8" w14:textId="77777777" w:rsidTr="003F1BDC">
        <w:tc>
          <w:tcPr>
            <w:tcW w:w="5665" w:type="dxa"/>
            <w:tcBorders>
              <w:bottom w:val="nil"/>
            </w:tcBorders>
          </w:tcPr>
          <w:p w14:paraId="29891D75" w14:textId="77777777" w:rsidR="003F1BDC" w:rsidRPr="002E5B81" w:rsidRDefault="003F1BDC" w:rsidP="003F1BDC">
            <w:pPr>
              <w:rPr>
                <w:rFonts w:cs="Arial"/>
                <w:sz w:val="19"/>
                <w:szCs w:val="19"/>
              </w:rPr>
            </w:pPr>
            <w:r w:rsidRPr="002E5B81">
              <w:rPr>
                <w:rFonts w:cs="Arial"/>
                <w:sz w:val="19"/>
                <w:szCs w:val="19"/>
              </w:rPr>
              <w:t>Maternal smoking status at second pregnancy booking (%, 95% CI)</w:t>
            </w:r>
          </w:p>
        </w:tc>
        <w:tc>
          <w:tcPr>
            <w:tcW w:w="2315" w:type="dxa"/>
            <w:tcBorders>
              <w:bottom w:val="nil"/>
            </w:tcBorders>
          </w:tcPr>
          <w:p w14:paraId="0C3BDD69" w14:textId="77777777" w:rsidR="003F1BDC" w:rsidRPr="002E5B81" w:rsidRDefault="003F1BDC" w:rsidP="003F1BDC">
            <w:pPr>
              <w:jc w:val="center"/>
              <w:rPr>
                <w:rFonts w:cs="Arial"/>
                <w:sz w:val="19"/>
                <w:szCs w:val="19"/>
              </w:rPr>
            </w:pPr>
          </w:p>
        </w:tc>
        <w:tc>
          <w:tcPr>
            <w:tcW w:w="2315" w:type="dxa"/>
            <w:tcBorders>
              <w:bottom w:val="nil"/>
            </w:tcBorders>
          </w:tcPr>
          <w:p w14:paraId="6FA9B8B1" w14:textId="77777777" w:rsidR="003F1BDC" w:rsidRPr="002E5B81" w:rsidRDefault="003F1BDC" w:rsidP="003F1BDC">
            <w:pPr>
              <w:jc w:val="center"/>
              <w:rPr>
                <w:rFonts w:cs="Arial"/>
                <w:sz w:val="19"/>
                <w:szCs w:val="19"/>
              </w:rPr>
            </w:pPr>
          </w:p>
        </w:tc>
        <w:tc>
          <w:tcPr>
            <w:tcW w:w="2316" w:type="dxa"/>
            <w:tcBorders>
              <w:bottom w:val="nil"/>
            </w:tcBorders>
          </w:tcPr>
          <w:p w14:paraId="5D1F5D4E" w14:textId="77777777" w:rsidR="003F1BDC" w:rsidRPr="002E5B81" w:rsidRDefault="003F1BDC" w:rsidP="003F1BDC">
            <w:pPr>
              <w:jc w:val="center"/>
              <w:rPr>
                <w:rFonts w:cs="Arial"/>
                <w:sz w:val="19"/>
                <w:szCs w:val="19"/>
              </w:rPr>
            </w:pPr>
          </w:p>
        </w:tc>
        <w:tc>
          <w:tcPr>
            <w:tcW w:w="992" w:type="dxa"/>
            <w:tcBorders>
              <w:bottom w:val="nil"/>
            </w:tcBorders>
          </w:tcPr>
          <w:p w14:paraId="174B4EAF" w14:textId="77777777" w:rsidR="003F1BDC" w:rsidRPr="002E5B81" w:rsidRDefault="003F1BDC" w:rsidP="003F1BDC">
            <w:pPr>
              <w:jc w:val="center"/>
              <w:rPr>
                <w:rFonts w:cs="Arial"/>
                <w:sz w:val="19"/>
                <w:szCs w:val="19"/>
              </w:rPr>
            </w:pPr>
          </w:p>
        </w:tc>
      </w:tr>
      <w:tr w:rsidR="003F1BDC" w:rsidRPr="002E5B81" w14:paraId="359C5BB6" w14:textId="77777777" w:rsidTr="003F1BDC">
        <w:tc>
          <w:tcPr>
            <w:tcW w:w="5665" w:type="dxa"/>
            <w:tcBorders>
              <w:top w:val="nil"/>
              <w:bottom w:val="nil"/>
            </w:tcBorders>
          </w:tcPr>
          <w:p w14:paraId="537342C4" w14:textId="77777777" w:rsidR="003F1BDC" w:rsidRPr="002E5B81" w:rsidRDefault="003F1BDC" w:rsidP="003F1BDC">
            <w:pPr>
              <w:ind w:left="340"/>
              <w:rPr>
                <w:rFonts w:cs="Arial"/>
                <w:sz w:val="19"/>
                <w:szCs w:val="19"/>
              </w:rPr>
            </w:pPr>
            <w:r w:rsidRPr="002E5B81">
              <w:rPr>
                <w:rFonts w:cs="Arial"/>
                <w:sz w:val="19"/>
                <w:szCs w:val="19"/>
              </w:rPr>
              <w:t>Never smoked/quit</w:t>
            </w:r>
          </w:p>
        </w:tc>
        <w:tc>
          <w:tcPr>
            <w:tcW w:w="2315" w:type="dxa"/>
            <w:tcBorders>
              <w:top w:val="nil"/>
              <w:bottom w:val="nil"/>
            </w:tcBorders>
          </w:tcPr>
          <w:p w14:paraId="07D53751" w14:textId="77777777" w:rsidR="003F1BDC" w:rsidRPr="002E5B81" w:rsidRDefault="003F1BDC" w:rsidP="003F1BDC">
            <w:pPr>
              <w:jc w:val="center"/>
              <w:rPr>
                <w:rFonts w:cs="Arial"/>
                <w:sz w:val="19"/>
                <w:szCs w:val="19"/>
              </w:rPr>
            </w:pPr>
            <w:r w:rsidRPr="002E5B81">
              <w:rPr>
                <w:rFonts w:cs="Arial"/>
                <w:sz w:val="19"/>
                <w:szCs w:val="19"/>
              </w:rPr>
              <w:t>60.9 (58.7 to 63.0)</w:t>
            </w:r>
          </w:p>
        </w:tc>
        <w:tc>
          <w:tcPr>
            <w:tcW w:w="2315" w:type="dxa"/>
            <w:tcBorders>
              <w:top w:val="nil"/>
              <w:bottom w:val="nil"/>
            </w:tcBorders>
          </w:tcPr>
          <w:p w14:paraId="19B7D74D" w14:textId="77777777" w:rsidR="003F1BDC" w:rsidRPr="002E5B81" w:rsidRDefault="003F1BDC" w:rsidP="003F1BDC">
            <w:pPr>
              <w:jc w:val="center"/>
              <w:rPr>
                <w:rFonts w:cs="Arial"/>
                <w:sz w:val="19"/>
                <w:szCs w:val="19"/>
              </w:rPr>
            </w:pPr>
            <w:r>
              <w:rPr>
                <w:rFonts w:cs="Arial"/>
                <w:sz w:val="19"/>
                <w:szCs w:val="19"/>
              </w:rPr>
              <w:t>59.1 (56.7 to 61.5</w:t>
            </w:r>
            <w:r w:rsidRPr="002E5B81">
              <w:rPr>
                <w:rFonts w:cs="Arial"/>
                <w:sz w:val="19"/>
                <w:szCs w:val="19"/>
              </w:rPr>
              <w:t>)</w:t>
            </w:r>
          </w:p>
        </w:tc>
        <w:tc>
          <w:tcPr>
            <w:tcW w:w="2316" w:type="dxa"/>
            <w:tcBorders>
              <w:top w:val="nil"/>
              <w:bottom w:val="nil"/>
            </w:tcBorders>
          </w:tcPr>
          <w:p w14:paraId="3CCB5347" w14:textId="77777777" w:rsidR="003F1BDC" w:rsidRPr="002E5B81" w:rsidRDefault="003F1BDC" w:rsidP="003F1BDC">
            <w:pPr>
              <w:jc w:val="center"/>
              <w:rPr>
                <w:rFonts w:cs="Arial"/>
                <w:sz w:val="19"/>
                <w:szCs w:val="19"/>
              </w:rPr>
            </w:pPr>
            <w:r>
              <w:rPr>
                <w:rFonts w:cs="Arial"/>
                <w:sz w:val="19"/>
                <w:szCs w:val="19"/>
              </w:rPr>
              <w:t>46.9 (43.9 to 49.8</w:t>
            </w:r>
            <w:r w:rsidRPr="002E5B81">
              <w:rPr>
                <w:rFonts w:cs="Arial"/>
                <w:sz w:val="19"/>
                <w:szCs w:val="19"/>
              </w:rPr>
              <w:t>)</w:t>
            </w:r>
          </w:p>
        </w:tc>
        <w:tc>
          <w:tcPr>
            <w:tcW w:w="992" w:type="dxa"/>
            <w:tcBorders>
              <w:top w:val="nil"/>
              <w:bottom w:val="nil"/>
            </w:tcBorders>
          </w:tcPr>
          <w:p w14:paraId="5F46AE5F"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587F7CB2" w14:textId="77777777" w:rsidTr="003F1BDC">
        <w:tc>
          <w:tcPr>
            <w:tcW w:w="5665" w:type="dxa"/>
            <w:tcBorders>
              <w:top w:val="nil"/>
              <w:bottom w:val="nil"/>
            </w:tcBorders>
          </w:tcPr>
          <w:p w14:paraId="4A772FDB" w14:textId="77777777" w:rsidR="003F1BDC" w:rsidRPr="002E5B81" w:rsidRDefault="003F1BDC" w:rsidP="003F1BDC">
            <w:pPr>
              <w:ind w:left="340"/>
              <w:rPr>
                <w:rFonts w:cs="Arial"/>
                <w:sz w:val="19"/>
                <w:szCs w:val="19"/>
              </w:rPr>
            </w:pPr>
            <w:r w:rsidRPr="002E5B81">
              <w:rPr>
                <w:rFonts w:cs="Arial"/>
                <w:sz w:val="19"/>
                <w:szCs w:val="19"/>
              </w:rPr>
              <w:t>Stopped &gt;1 year before conceiving</w:t>
            </w:r>
          </w:p>
        </w:tc>
        <w:tc>
          <w:tcPr>
            <w:tcW w:w="2315" w:type="dxa"/>
            <w:tcBorders>
              <w:top w:val="nil"/>
              <w:bottom w:val="nil"/>
            </w:tcBorders>
          </w:tcPr>
          <w:p w14:paraId="5973BD1F" w14:textId="77777777" w:rsidR="003F1BDC" w:rsidRPr="002E5B81" w:rsidRDefault="003F1BDC" w:rsidP="003F1BDC">
            <w:pPr>
              <w:jc w:val="center"/>
              <w:rPr>
                <w:rFonts w:cs="Arial"/>
                <w:sz w:val="19"/>
                <w:szCs w:val="19"/>
              </w:rPr>
            </w:pPr>
            <w:r w:rsidRPr="002E5B81">
              <w:rPr>
                <w:rFonts w:cs="Arial"/>
                <w:sz w:val="19"/>
                <w:szCs w:val="19"/>
              </w:rPr>
              <w:t>20.1 (18.4 to 21.9)</w:t>
            </w:r>
          </w:p>
        </w:tc>
        <w:tc>
          <w:tcPr>
            <w:tcW w:w="2315" w:type="dxa"/>
            <w:tcBorders>
              <w:top w:val="nil"/>
              <w:bottom w:val="nil"/>
            </w:tcBorders>
          </w:tcPr>
          <w:p w14:paraId="482B42ED" w14:textId="77777777" w:rsidR="003F1BDC" w:rsidRPr="002E5B81" w:rsidRDefault="003F1BDC" w:rsidP="003F1BDC">
            <w:pPr>
              <w:jc w:val="center"/>
              <w:rPr>
                <w:rFonts w:cs="Arial"/>
                <w:sz w:val="19"/>
                <w:szCs w:val="19"/>
              </w:rPr>
            </w:pPr>
            <w:r>
              <w:rPr>
                <w:rFonts w:cs="Arial"/>
                <w:sz w:val="19"/>
                <w:szCs w:val="19"/>
              </w:rPr>
              <w:t>18.3 (16.4 to 20.2</w:t>
            </w:r>
            <w:r w:rsidRPr="002E5B81">
              <w:rPr>
                <w:rFonts w:cs="Arial"/>
                <w:sz w:val="19"/>
                <w:szCs w:val="19"/>
              </w:rPr>
              <w:t>)</w:t>
            </w:r>
          </w:p>
        </w:tc>
        <w:tc>
          <w:tcPr>
            <w:tcW w:w="2316" w:type="dxa"/>
            <w:tcBorders>
              <w:top w:val="nil"/>
              <w:bottom w:val="nil"/>
            </w:tcBorders>
          </w:tcPr>
          <w:p w14:paraId="3EB350D2" w14:textId="77777777" w:rsidR="003F1BDC" w:rsidRPr="002E5B81" w:rsidRDefault="003F1BDC" w:rsidP="003F1BDC">
            <w:pPr>
              <w:jc w:val="center"/>
              <w:rPr>
                <w:rFonts w:cs="Arial"/>
                <w:sz w:val="19"/>
                <w:szCs w:val="19"/>
              </w:rPr>
            </w:pPr>
            <w:r>
              <w:rPr>
                <w:rFonts w:cs="Arial"/>
                <w:sz w:val="19"/>
                <w:szCs w:val="19"/>
              </w:rPr>
              <w:t>16.4 (14.3 to 18.7</w:t>
            </w:r>
            <w:r w:rsidRPr="002E5B81">
              <w:rPr>
                <w:rFonts w:cs="Arial"/>
                <w:sz w:val="19"/>
                <w:szCs w:val="19"/>
              </w:rPr>
              <w:t>)</w:t>
            </w:r>
          </w:p>
        </w:tc>
        <w:tc>
          <w:tcPr>
            <w:tcW w:w="992" w:type="dxa"/>
            <w:tcBorders>
              <w:top w:val="nil"/>
              <w:bottom w:val="nil"/>
            </w:tcBorders>
          </w:tcPr>
          <w:p w14:paraId="00305026" w14:textId="77777777" w:rsidR="003F1BDC" w:rsidRPr="002E5B81" w:rsidRDefault="003F1BDC" w:rsidP="003F1BDC">
            <w:pPr>
              <w:jc w:val="center"/>
              <w:rPr>
                <w:rFonts w:cs="Arial"/>
                <w:sz w:val="19"/>
                <w:szCs w:val="19"/>
              </w:rPr>
            </w:pPr>
          </w:p>
        </w:tc>
      </w:tr>
      <w:tr w:rsidR="003F1BDC" w:rsidRPr="002E5B81" w14:paraId="2DE91C41" w14:textId="77777777" w:rsidTr="003F1BDC">
        <w:tc>
          <w:tcPr>
            <w:tcW w:w="5665" w:type="dxa"/>
            <w:tcBorders>
              <w:top w:val="nil"/>
              <w:bottom w:val="nil"/>
            </w:tcBorders>
          </w:tcPr>
          <w:p w14:paraId="2DDFB007" w14:textId="77777777" w:rsidR="003F1BDC" w:rsidRPr="002E5B81" w:rsidRDefault="003F1BDC" w:rsidP="003F1BDC">
            <w:pPr>
              <w:ind w:left="340"/>
              <w:rPr>
                <w:rFonts w:cs="Arial"/>
                <w:sz w:val="19"/>
                <w:szCs w:val="19"/>
              </w:rPr>
            </w:pPr>
            <w:r w:rsidRPr="002E5B81">
              <w:rPr>
                <w:rFonts w:cs="Arial"/>
                <w:sz w:val="19"/>
                <w:szCs w:val="19"/>
              </w:rPr>
              <w:t>Stopped &lt;1 year prior to conceiving</w:t>
            </w:r>
          </w:p>
        </w:tc>
        <w:tc>
          <w:tcPr>
            <w:tcW w:w="2315" w:type="dxa"/>
            <w:tcBorders>
              <w:top w:val="nil"/>
              <w:bottom w:val="nil"/>
            </w:tcBorders>
          </w:tcPr>
          <w:p w14:paraId="7970CBF7" w14:textId="77777777" w:rsidR="003F1BDC" w:rsidRPr="002E5B81" w:rsidRDefault="003F1BDC" w:rsidP="003F1BDC">
            <w:pPr>
              <w:jc w:val="center"/>
              <w:rPr>
                <w:rFonts w:cs="Arial"/>
                <w:sz w:val="19"/>
                <w:szCs w:val="19"/>
              </w:rPr>
            </w:pPr>
            <w:r w:rsidRPr="002E5B81">
              <w:rPr>
                <w:rFonts w:cs="Arial"/>
                <w:sz w:val="19"/>
                <w:szCs w:val="19"/>
              </w:rPr>
              <w:t>3.0 (2.3 to 3.9)</w:t>
            </w:r>
          </w:p>
        </w:tc>
        <w:tc>
          <w:tcPr>
            <w:tcW w:w="2315" w:type="dxa"/>
            <w:tcBorders>
              <w:top w:val="nil"/>
              <w:bottom w:val="nil"/>
            </w:tcBorders>
          </w:tcPr>
          <w:p w14:paraId="774DB13F" w14:textId="77777777" w:rsidR="003F1BDC" w:rsidRPr="002E5B81" w:rsidRDefault="003F1BDC" w:rsidP="003F1BDC">
            <w:pPr>
              <w:jc w:val="center"/>
              <w:rPr>
                <w:rFonts w:cs="Arial"/>
                <w:sz w:val="19"/>
                <w:szCs w:val="19"/>
              </w:rPr>
            </w:pPr>
            <w:r>
              <w:rPr>
                <w:rFonts w:cs="Arial"/>
                <w:sz w:val="19"/>
                <w:szCs w:val="19"/>
              </w:rPr>
              <w:t>4.0 (3.1 to 5.1</w:t>
            </w:r>
            <w:r w:rsidRPr="002E5B81">
              <w:rPr>
                <w:rFonts w:cs="Arial"/>
                <w:sz w:val="19"/>
                <w:szCs w:val="19"/>
              </w:rPr>
              <w:t>)</w:t>
            </w:r>
          </w:p>
        </w:tc>
        <w:tc>
          <w:tcPr>
            <w:tcW w:w="2316" w:type="dxa"/>
            <w:tcBorders>
              <w:top w:val="nil"/>
              <w:bottom w:val="nil"/>
            </w:tcBorders>
          </w:tcPr>
          <w:p w14:paraId="7A95BB17" w14:textId="77777777" w:rsidR="003F1BDC" w:rsidRPr="002E5B81" w:rsidRDefault="003F1BDC" w:rsidP="003F1BDC">
            <w:pPr>
              <w:jc w:val="center"/>
              <w:rPr>
                <w:rFonts w:cs="Arial"/>
                <w:sz w:val="19"/>
                <w:szCs w:val="19"/>
              </w:rPr>
            </w:pPr>
            <w:r w:rsidRPr="002E5B81">
              <w:rPr>
                <w:rFonts w:cs="Arial"/>
                <w:sz w:val="19"/>
                <w:szCs w:val="19"/>
              </w:rPr>
              <w:t>4</w:t>
            </w:r>
            <w:r>
              <w:rPr>
                <w:rFonts w:cs="Arial"/>
                <w:sz w:val="19"/>
                <w:szCs w:val="19"/>
              </w:rPr>
              <w:t>.7 (3.6 to 6.2</w:t>
            </w:r>
            <w:r w:rsidRPr="002E5B81">
              <w:rPr>
                <w:rFonts w:cs="Arial"/>
                <w:sz w:val="19"/>
                <w:szCs w:val="19"/>
              </w:rPr>
              <w:t>)</w:t>
            </w:r>
          </w:p>
        </w:tc>
        <w:tc>
          <w:tcPr>
            <w:tcW w:w="992" w:type="dxa"/>
            <w:tcBorders>
              <w:top w:val="nil"/>
              <w:bottom w:val="nil"/>
            </w:tcBorders>
          </w:tcPr>
          <w:p w14:paraId="5D374F46" w14:textId="77777777" w:rsidR="003F1BDC" w:rsidRPr="002E5B81" w:rsidRDefault="003F1BDC" w:rsidP="003F1BDC">
            <w:pPr>
              <w:jc w:val="center"/>
              <w:rPr>
                <w:rFonts w:cs="Arial"/>
                <w:sz w:val="19"/>
                <w:szCs w:val="19"/>
              </w:rPr>
            </w:pPr>
          </w:p>
        </w:tc>
      </w:tr>
      <w:tr w:rsidR="003F1BDC" w:rsidRPr="002E5B81" w14:paraId="353A3E34" w14:textId="77777777" w:rsidTr="003F1BDC">
        <w:tc>
          <w:tcPr>
            <w:tcW w:w="5665" w:type="dxa"/>
            <w:tcBorders>
              <w:top w:val="nil"/>
              <w:bottom w:val="nil"/>
            </w:tcBorders>
          </w:tcPr>
          <w:p w14:paraId="62EDABB3" w14:textId="77777777" w:rsidR="003F1BDC" w:rsidRPr="002E5B81" w:rsidRDefault="003F1BDC" w:rsidP="003F1BDC">
            <w:pPr>
              <w:ind w:left="340"/>
              <w:rPr>
                <w:rFonts w:cs="Arial"/>
                <w:sz w:val="19"/>
                <w:szCs w:val="19"/>
              </w:rPr>
            </w:pPr>
            <w:r w:rsidRPr="002E5B81">
              <w:rPr>
                <w:rFonts w:cs="Arial"/>
                <w:sz w:val="19"/>
                <w:szCs w:val="19"/>
              </w:rPr>
              <w:t>Stopped when pregnancy confirmed</w:t>
            </w:r>
          </w:p>
        </w:tc>
        <w:tc>
          <w:tcPr>
            <w:tcW w:w="2315" w:type="dxa"/>
            <w:tcBorders>
              <w:top w:val="nil"/>
              <w:bottom w:val="nil"/>
            </w:tcBorders>
          </w:tcPr>
          <w:p w14:paraId="52E0D3CF" w14:textId="77777777" w:rsidR="003F1BDC" w:rsidRPr="002E5B81" w:rsidRDefault="003F1BDC" w:rsidP="003F1BDC">
            <w:pPr>
              <w:jc w:val="center"/>
              <w:rPr>
                <w:rFonts w:cs="Arial"/>
                <w:sz w:val="19"/>
                <w:szCs w:val="19"/>
              </w:rPr>
            </w:pPr>
            <w:r w:rsidRPr="002E5B81">
              <w:rPr>
                <w:rFonts w:cs="Arial"/>
                <w:sz w:val="19"/>
                <w:szCs w:val="19"/>
              </w:rPr>
              <w:t>5.9 (4.9 to 7.0)</w:t>
            </w:r>
          </w:p>
        </w:tc>
        <w:tc>
          <w:tcPr>
            <w:tcW w:w="2315" w:type="dxa"/>
            <w:tcBorders>
              <w:top w:val="nil"/>
              <w:bottom w:val="nil"/>
            </w:tcBorders>
          </w:tcPr>
          <w:p w14:paraId="162A879D" w14:textId="77777777" w:rsidR="003F1BDC" w:rsidRPr="002E5B81" w:rsidRDefault="003F1BDC" w:rsidP="003F1BDC">
            <w:pPr>
              <w:jc w:val="center"/>
              <w:rPr>
                <w:rFonts w:cs="Arial"/>
                <w:sz w:val="19"/>
                <w:szCs w:val="19"/>
              </w:rPr>
            </w:pPr>
            <w:r>
              <w:rPr>
                <w:rFonts w:cs="Arial"/>
                <w:sz w:val="19"/>
                <w:szCs w:val="19"/>
              </w:rPr>
              <w:t>6.9 (5.7 to 8.3</w:t>
            </w:r>
            <w:r w:rsidRPr="002E5B81">
              <w:rPr>
                <w:rFonts w:cs="Arial"/>
                <w:sz w:val="19"/>
                <w:szCs w:val="19"/>
              </w:rPr>
              <w:t>)</w:t>
            </w:r>
          </w:p>
        </w:tc>
        <w:tc>
          <w:tcPr>
            <w:tcW w:w="2316" w:type="dxa"/>
            <w:tcBorders>
              <w:top w:val="nil"/>
              <w:bottom w:val="nil"/>
            </w:tcBorders>
          </w:tcPr>
          <w:p w14:paraId="78A15C96" w14:textId="77777777" w:rsidR="003F1BDC" w:rsidRPr="002E5B81" w:rsidRDefault="003F1BDC" w:rsidP="003F1BDC">
            <w:pPr>
              <w:jc w:val="center"/>
              <w:rPr>
                <w:rFonts w:cs="Arial"/>
                <w:sz w:val="19"/>
                <w:szCs w:val="19"/>
              </w:rPr>
            </w:pPr>
            <w:r w:rsidRPr="002E5B81">
              <w:rPr>
                <w:rFonts w:cs="Arial"/>
                <w:sz w:val="19"/>
                <w:szCs w:val="19"/>
              </w:rPr>
              <w:t>10.</w:t>
            </w:r>
            <w:r>
              <w:rPr>
                <w:rFonts w:cs="Arial"/>
                <w:sz w:val="19"/>
                <w:szCs w:val="19"/>
              </w:rPr>
              <w:t>8 (9.1 to 12.7</w:t>
            </w:r>
            <w:r w:rsidRPr="002E5B81">
              <w:rPr>
                <w:rFonts w:cs="Arial"/>
                <w:sz w:val="19"/>
                <w:szCs w:val="19"/>
              </w:rPr>
              <w:t>)</w:t>
            </w:r>
          </w:p>
        </w:tc>
        <w:tc>
          <w:tcPr>
            <w:tcW w:w="992" w:type="dxa"/>
            <w:tcBorders>
              <w:top w:val="nil"/>
              <w:bottom w:val="nil"/>
            </w:tcBorders>
          </w:tcPr>
          <w:p w14:paraId="6169DC6D" w14:textId="77777777" w:rsidR="003F1BDC" w:rsidRPr="002E5B81" w:rsidRDefault="003F1BDC" w:rsidP="003F1BDC">
            <w:pPr>
              <w:jc w:val="center"/>
              <w:rPr>
                <w:rFonts w:cs="Arial"/>
                <w:sz w:val="19"/>
                <w:szCs w:val="19"/>
              </w:rPr>
            </w:pPr>
          </w:p>
        </w:tc>
      </w:tr>
      <w:tr w:rsidR="003F1BDC" w:rsidRPr="002E5B81" w14:paraId="2B96FDDA" w14:textId="77777777" w:rsidTr="003F1BDC">
        <w:tc>
          <w:tcPr>
            <w:tcW w:w="5665" w:type="dxa"/>
            <w:tcBorders>
              <w:top w:val="nil"/>
            </w:tcBorders>
          </w:tcPr>
          <w:p w14:paraId="16712D5B" w14:textId="77777777" w:rsidR="003F1BDC" w:rsidRPr="002E5B81" w:rsidRDefault="003F1BDC" w:rsidP="003F1BDC">
            <w:pPr>
              <w:ind w:left="340"/>
              <w:rPr>
                <w:rFonts w:cs="Arial"/>
                <w:sz w:val="19"/>
                <w:szCs w:val="19"/>
              </w:rPr>
            </w:pPr>
            <w:r w:rsidRPr="002E5B81">
              <w:rPr>
                <w:rFonts w:cs="Arial"/>
                <w:sz w:val="19"/>
                <w:szCs w:val="19"/>
              </w:rPr>
              <w:t xml:space="preserve">Continued smoking </w:t>
            </w:r>
          </w:p>
        </w:tc>
        <w:tc>
          <w:tcPr>
            <w:tcW w:w="2315" w:type="dxa"/>
            <w:tcBorders>
              <w:top w:val="nil"/>
            </w:tcBorders>
          </w:tcPr>
          <w:p w14:paraId="0EE5B515" w14:textId="77777777" w:rsidR="003F1BDC" w:rsidRPr="002E5B81" w:rsidRDefault="003F1BDC" w:rsidP="003F1BDC">
            <w:pPr>
              <w:jc w:val="center"/>
              <w:rPr>
                <w:rFonts w:cs="Arial"/>
                <w:sz w:val="19"/>
                <w:szCs w:val="19"/>
              </w:rPr>
            </w:pPr>
            <w:r w:rsidRPr="002E5B81">
              <w:rPr>
                <w:rFonts w:cs="Arial"/>
                <w:sz w:val="19"/>
                <w:szCs w:val="19"/>
              </w:rPr>
              <w:t>10.1 (8.8 to 11.4)</w:t>
            </w:r>
          </w:p>
        </w:tc>
        <w:tc>
          <w:tcPr>
            <w:tcW w:w="2315" w:type="dxa"/>
            <w:tcBorders>
              <w:top w:val="nil"/>
            </w:tcBorders>
          </w:tcPr>
          <w:p w14:paraId="1D60A2E0" w14:textId="77777777" w:rsidR="003F1BDC" w:rsidRPr="002E5B81" w:rsidRDefault="003F1BDC" w:rsidP="003F1BDC">
            <w:pPr>
              <w:jc w:val="center"/>
              <w:rPr>
                <w:rFonts w:cs="Arial"/>
                <w:sz w:val="19"/>
                <w:szCs w:val="19"/>
              </w:rPr>
            </w:pPr>
            <w:r>
              <w:rPr>
                <w:rFonts w:cs="Arial"/>
                <w:sz w:val="19"/>
                <w:szCs w:val="19"/>
              </w:rPr>
              <w:t>11.7 (10.1 to 13.3</w:t>
            </w:r>
            <w:r w:rsidRPr="002E5B81">
              <w:rPr>
                <w:rFonts w:cs="Arial"/>
                <w:sz w:val="19"/>
                <w:szCs w:val="19"/>
              </w:rPr>
              <w:t>)</w:t>
            </w:r>
          </w:p>
        </w:tc>
        <w:tc>
          <w:tcPr>
            <w:tcW w:w="2316" w:type="dxa"/>
            <w:tcBorders>
              <w:top w:val="nil"/>
            </w:tcBorders>
          </w:tcPr>
          <w:p w14:paraId="1F55205A" w14:textId="77777777" w:rsidR="003F1BDC" w:rsidRPr="002E5B81" w:rsidRDefault="003F1BDC" w:rsidP="003F1BDC">
            <w:pPr>
              <w:jc w:val="center"/>
              <w:rPr>
                <w:rFonts w:cs="Arial"/>
                <w:sz w:val="19"/>
                <w:szCs w:val="19"/>
              </w:rPr>
            </w:pPr>
            <w:r>
              <w:rPr>
                <w:rFonts w:cs="Arial"/>
                <w:sz w:val="19"/>
                <w:szCs w:val="19"/>
              </w:rPr>
              <w:t>21.1 (18.8 to 23.6</w:t>
            </w:r>
            <w:r w:rsidRPr="002E5B81">
              <w:rPr>
                <w:rFonts w:cs="Arial"/>
                <w:sz w:val="19"/>
                <w:szCs w:val="19"/>
              </w:rPr>
              <w:t>)</w:t>
            </w:r>
          </w:p>
        </w:tc>
        <w:tc>
          <w:tcPr>
            <w:tcW w:w="992" w:type="dxa"/>
            <w:tcBorders>
              <w:top w:val="nil"/>
            </w:tcBorders>
          </w:tcPr>
          <w:p w14:paraId="1FC6E048" w14:textId="77777777" w:rsidR="003F1BDC" w:rsidRPr="002E5B81" w:rsidRDefault="003F1BDC" w:rsidP="003F1BDC">
            <w:pPr>
              <w:jc w:val="center"/>
              <w:rPr>
                <w:rFonts w:cs="Arial"/>
                <w:sz w:val="19"/>
                <w:szCs w:val="19"/>
              </w:rPr>
            </w:pPr>
          </w:p>
        </w:tc>
      </w:tr>
      <w:tr w:rsidR="003F1BDC" w:rsidRPr="002E5B81" w14:paraId="7BA70F7B" w14:textId="77777777" w:rsidTr="003F1BDC">
        <w:tc>
          <w:tcPr>
            <w:tcW w:w="5665" w:type="dxa"/>
            <w:tcBorders>
              <w:bottom w:val="nil"/>
            </w:tcBorders>
          </w:tcPr>
          <w:p w14:paraId="5A9569E9" w14:textId="77777777" w:rsidR="003F1BDC" w:rsidRPr="002E5B81" w:rsidRDefault="003F1BDC" w:rsidP="003F1BDC">
            <w:pPr>
              <w:rPr>
                <w:rFonts w:cs="Arial"/>
                <w:sz w:val="19"/>
                <w:szCs w:val="19"/>
              </w:rPr>
            </w:pPr>
            <w:r w:rsidRPr="002E5B81">
              <w:rPr>
                <w:rFonts w:cs="Arial"/>
                <w:sz w:val="19"/>
                <w:szCs w:val="19"/>
              </w:rPr>
              <w:lastRenderedPageBreak/>
              <w:t>Maternal education (%, 95% CI)</w:t>
            </w:r>
          </w:p>
        </w:tc>
        <w:tc>
          <w:tcPr>
            <w:tcW w:w="2315" w:type="dxa"/>
            <w:tcBorders>
              <w:bottom w:val="nil"/>
            </w:tcBorders>
          </w:tcPr>
          <w:p w14:paraId="310D080E" w14:textId="77777777" w:rsidR="003F1BDC" w:rsidRPr="002E5B81" w:rsidRDefault="003F1BDC" w:rsidP="003F1BDC">
            <w:pPr>
              <w:jc w:val="center"/>
              <w:rPr>
                <w:rFonts w:cs="Arial"/>
                <w:sz w:val="19"/>
                <w:szCs w:val="19"/>
              </w:rPr>
            </w:pPr>
          </w:p>
        </w:tc>
        <w:tc>
          <w:tcPr>
            <w:tcW w:w="2315" w:type="dxa"/>
            <w:tcBorders>
              <w:bottom w:val="nil"/>
            </w:tcBorders>
          </w:tcPr>
          <w:p w14:paraId="5BFAD6F4" w14:textId="77777777" w:rsidR="003F1BDC" w:rsidRPr="002E5B81" w:rsidRDefault="003F1BDC" w:rsidP="003F1BDC">
            <w:pPr>
              <w:jc w:val="center"/>
              <w:rPr>
                <w:rFonts w:cs="Arial"/>
                <w:sz w:val="19"/>
                <w:szCs w:val="19"/>
              </w:rPr>
            </w:pPr>
          </w:p>
        </w:tc>
        <w:tc>
          <w:tcPr>
            <w:tcW w:w="2316" w:type="dxa"/>
            <w:tcBorders>
              <w:bottom w:val="nil"/>
            </w:tcBorders>
          </w:tcPr>
          <w:p w14:paraId="41152EA0" w14:textId="77777777" w:rsidR="003F1BDC" w:rsidRPr="002E5B81" w:rsidRDefault="003F1BDC" w:rsidP="003F1BDC">
            <w:pPr>
              <w:jc w:val="center"/>
              <w:rPr>
                <w:rFonts w:cs="Arial"/>
                <w:sz w:val="19"/>
                <w:szCs w:val="19"/>
              </w:rPr>
            </w:pPr>
          </w:p>
        </w:tc>
        <w:tc>
          <w:tcPr>
            <w:tcW w:w="992" w:type="dxa"/>
            <w:tcBorders>
              <w:bottom w:val="nil"/>
            </w:tcBorders>
          </w:tcPr>
          <w:p w14:paraId="64AA7DC0" w14:textId="77777777" w:rsidR="003F1BDC" w:rsidRPr="002E5B81" w:rsidRDefault="003F1BDC" w:rsidP="003F1BDC">
            <w:pPr>
              <w:jc w:val="center"/>
              <w:rPr>
                <w:rFonts w:cs="Arial"/>
                <w:sz w:val="19"/>
                <w:szCs w:val="19"/>
              </w:rPr>
            </w:pPr>
          </w:p>
        </w:tc>
      </w:tr>
      <w:tr w:rsidR="003F1BDC" w:rsidRPr="002E5B81" w14:paraId="09474BF2" w14:textId="77777777" w:rsidTr="003F1BDC">
        <w:tc>
          <w:tcPr>
            <w:tcW w:w="5665" w:type="dxa"/>
            <w:tcBorders>
              <w:top w:val="nil"/>
              <w:bottom w:val="nil"/>
            </w:tcBorders>
          </w:tcPr>
          <w:p w14:paraId="5309CEA1" w14:textId="77777777" w:rsidR="003F1BDC" w:rsidRPr="002E5B81" w:rsidRDefault="003F1BDC" w:rsidP="003F1BDC">
            <w:pPr>
              <w:ind w:left="340"/>
              <w:rPr>
                <w:rFonts w:cs="Arial"/>
                <w:sz w:val="19"/>
                <w:szCs w:val="19"/>
              </w:rPr>
            </w:pPr>
            <w:r w:rsidRPr="002E5B81">
              <w:rPr>
                <w:rFonts w:cs="Arial"/>
                <w:sz w:val="19"/>
                <w:szCs w:val="19"/>
              </w:rPr>
              <w:t>Secondary (GCSE) or under</w:t>
            </w:r>
          </w:p>
        </w:tc>
        <w:tc>
          <w:tcPr>
            <w:tcW w:w="2315" w:type="dxa"/>
            <w:tcBorders>
              <w:top w:val="nil"/>
              <w:bottom w:val="nil"/>
            </w:tcBorders>
          </w:tcPr>
          <w:p w14:paraId="3A48D486" w14:textId="77777777" w:rsidR="003F1BDC" w:rsidRPr="002E5B81" w:rsidRDefault="003F1BDC" w:rsidP="003F1BDC">
            <w:pPr>
              <w:jc w:val="center"/>
              <w:rPr>
                <w:rFonts w:cs="Arial"/>
                <w:sz w:val="19"/>
                <w:szCs w:val="19"/>
              </w:rPr>
            </w:pPr>
            <w:r w:rsidRPr="002E5B81">
              <w:rPr>
                <w:rFonts w:cs="Arial"/>
                <w:sz w:val="19"/>
                <w:szCs w:val="19"/>
              </w:rPr>
              <w:t>24.4 (22.6 to 26.3)</w:t>
            </w:r>
          </w:p>
        </w:tc>
        <w:tc>
          <w:tcPr>
            <w:tcW w:w="2315" w:type="dxa"/>
            <w:tcBorders>
              <w:top w:val="nil"/>
              <w:bottom w:val="nil"/>
            </w:tcBorders>
          </w:tcPr>
          <w:p w14:paraId="170DF0F3" w14:textId="77777777" w:rsidR="003F1BDC" w:rsidRPr="002E5B81" w:rsidRDefault="003F1BDC" w:rsidP="003F1BDC">
            <w:pPr>
              <w:jc w:val="center"/>
              <w:rPr>
                <w:rFonts w:cs="Arial"/>
                <w:sz w:val="19"/>
                <w:szCs w:val="19"/>
              </w:rPr>
            </w:pPr>
            <w:r>
              <w:rPr>
                <w:rFonts w:cs="Arial"/>
                <w:sz w:val="19"/>
                <w:szCs w:val="19"/>
              </w:rPr>
              <w:t xml:space="preserve"> 28.8 (26.6 to 31.1</w:t>
            </w:r>
            <w:r w:rsidRPr="002E5B81">
              <w:rPr>
                <w:rFonts w:cs="Arial"/>
                <w:sz w:val="19"/>
                <w:szCs w:val="19"/>
              </w:rPr>
              <w:t>)</w:t>
            </w:r>
          </w:p>
        </w:tc>
        <w:tc>
          <w:tcPr>
            <w:tcW w:w="2316" w:type="dxa"/>
            <w:tcBorders>
              <w:top w:val="nil"/>
              <w:bottom w:val="nil"/>
            </w:tcBorders>
          </w:tcPr>
          <w:p w14:paraId="0CE14CB5" w14:textId="77777777" w:rsidR="003F1BDC" w:rsidRPr="002E5B81" w:rsidRDefault="003F1BDC" w:rsidP="003F1BDC">
            <w:pPr>
              <w:jc w:val="center"/>
              <w:rPr>
                <w:rFonts w:cs="Arial"/>
                <w:sz w:val="19"/>
                <w:szCs w:val="19"/>
              </w:rPr>
            </w:pPr>
            <w:r>
              <w:rPr>
                <w:rFonts w:cs="Arial"/>
                <w:sz w:val="19"/>
                <w:szCs w:val="19"/>
              </w:rPr>
              <w:t>35.4 (32.7 to 38.3</w:t>
            </w:r>
            <w:r w:rsidRPr="002E5B81">
              <w:rPr>
                <w:rFonts w:cs="Arial"/>
                <w:sz w:val="19"/>
                <w:szCs w:val="19"/>
              </w:rPr>
              <w:t>)</w:t>
            </w:r>
          </w:p>
        </w:tc>
        <w:tc>
          <w:tcPr>
            <w:tcW w:w="992" w:type="dxa"/>
            <w:tcBorders>
              <w:top w:val="nil"/>
              <w:bottom w:val="nil"/>
            </w:tcBorders>
          </w:tcPr>
          <w:p w14:paraId="3A487899"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335BF1C9" w14:textId="77777777" w:rsidTr="003F1BDC">
        <w:tc>
          <w:tcPr>
            <w:tcW w:w="5665" w:type="dxa"/>
            <w:tcBorders>
              <w:top w:val="nil"/>
              <w:bottom w:val="nil"/>
            </w:tcBorders>
          </w:tcPr>
          <w:p w14:paraId="0F392589" w14:textId="77777777" w:rsidR="003F1BDC" w:rsidRPr="002E5B81" w:rsidRDefault="003F1BDC" w:rsidP="003F1BDC">
            <w:pPr>
              <w:ind w:left="340"/>
              <w:rPr>
                <w:rFonts w:cs="Arial"/>
                <w:sz w:val="19"/>
                <w:szCs w:val="19"/>
              </w:rPr>
            </w:pPr>
            <w:r w:rsidRPr="002E5B81">
              <w:rPr>
                <w:rFonts w:cs="Arial"/>
                <w:sz w:val="19"/>
                <w:szCs w:val="19"/>
              </w:rPr>
              <w:t>College (A levels)</w:t>
            </w:r>
          </w:p>
        </w:tc>
        <w:tc>
          <w:tcPr>
            <w:tcW w:w="2315" w:type="dxa"/>
            <w:tcBorders>
              <w:top w:val="nil"/>
              <w:bottom w:val="nil"/>
            </w:tcBorders>
          </w:tcPr>
          <w:p w14:paraId="1E61A91A" w14:textId="77777777" w:rsidR="003F1BDC" w:rsidRPr="002E5B81" w:rsidRDefault="003F1BDC" w:rsidP="003F1BDC">
            <w:pPr>
              <w:jc w:val="center"/>
              <w:rPr>
                <w:rFonts w:cs="Arial"/>
                <w:sz w:val="19"/>
                <w:szCs w:val="19"/>
              </w:rPr>
            </w:pPr>
            <w:r w:rsidRPr="002E5B81">
              <w:rPr>
                <w:rFonts w:cs="Arial"/>
                <w:sz w:val="19"/>
                <w:szCs w:val="19"/>
              </w:rPr>
              <w:t>40.6 (38.5 to 42.8)</w:t>
            </w:r>
          </w:p>
        </w:tc>
        <w:tc>
          <w:tcPr>
            <w:tcW w:w="2315" w:type="dxa"/>
            <w:tcBorders>
              <w:top w:val="nil"/>
              <w:bottom w:val="nil"/>
            </w:tcBorders>
          </w:tcPr>
          <w:p w14:paraId="23A103FE" w14:textId="77777777" w:rsidR="003F1BDC" w:rsidRPr="002E5B81" w:rsidRDefault="003F1BDC" w:rsidP="003F1BDC">
            <w:pPr>
              <w:jc w:val="center"/>
              <w:rPr>
                <w:rFonts w:cs="Arial"/>
                <w:sz w:val="19"/>
                <w:szCs w:val="19"/>
              </w:rPr>
            </w:pPr>
            <w:r>
              <w:rPr>
                <w:rFonts w:cs="Arial"/>
                <w:sz w:val="19"/>
                <w:szCs w:val="19"/>
              </w:rPr>
              <w:t>40.9 (38.5 to 43.4</w:t>
            </w:r>
            <w:r w:rsidRPr="002E5B81">
              <w:rPr>
                <w:rFonts w:cs="Arial"/>
                <w:sz w:val="19"/>
                <w:szCs w:val="19"/>
              </w:rPr>
              <w:t>)</w:t>
            </w:r>
          </w:p>
        </w:tc>
        <w:tc>
          <w:tcPr>
            <w:tcW w:w="2316" w:type="dxa"/>
            <w:tcBorders>
              <w:top w:val="nil"/>
              <w:bottom w:val="nil"/>
            </w:tcBorders>
          </w:tcPr>
          <w:p w14:paraId="7322EDEE" w14:textId="77777777" w:rsidR="003F1BDC" w:rsidRPr="002E5B81" w:rsidRDefault="003F1BDC" w:rsidP="003F1BDC">
            <w:pPr>
              <w:jc w:val="center"/>
              <w:rPr>
                <w:rFonts w:cs="Arial"/>
                <w:sz w:val="19"/>
                <w:szCs w:val="19"/>
              </w:rPr>
            </w:pPr>
            <w:r>
              <w:rPr>
                <w:rFonts w:cs="Arial"/>
                <w:sz w:val="19"/>
                <w:szCs w:val="19"/>
              </w:rPr>
              <w:t>47.9 (45.0 to 50.9</w:t>
            </w:r>
            <w:r w:rsidRPr="002E5B81">
              <w:rPr>
                <w:rFonts w:cs="Arial"/>
                <w:sz w:val="19"/>
                <w:szCs w:val="19"/>
              </w:rPr>
              <w:t>)</w:t>
            </w:r>
          </w:p>
        </w:tc>
        <w:tc>
          <w:tcPr>
            <w:tcW w:w="992" w:type="dxa"/>
            <w:tcBorders>
              <w:top w:val="nil"/>
              <w:bottom w:val="nil"/>
            </w:tcBorders>
          </w:tcPr>
          <w:p w14:paraId="1E0EA851" w14:textId="77777777" w:rsidR="003F1BDC" w:rsidRPr="002E5B81" w:rsidRDefault="003F1BDC" w:rsidP="003F1BDC">
            <w:pPr>
              <w:jc w:val="center"/>
              <w:rPr>
                <w:rFonts w:cs="Arial"/>
                <w:sz w:val="19"/>
                <w:szCs w:val="19"/>
              </w:rPr>
            </w:pPr>
          </w:p>
        </w:tc>
      </w:tr>
      <w:tr w:rsidR="003F1BDC" w:rsidRPr="002E5B81" w14:paraId="5F57A3BA" w14:textId="77777777" w:rsidTr="003F1BDC">
        <w:tc>
          <w:tcPr>
            <w:tcW w:w="5665" w:type="dxa"/>
            <w:tcBorders>
              <w:top w:val="nil"/>
            </w:tcBorders>
          </w:tcPr>
          <w:p w14:paraId="695774FF" w14:textId="77777777" w:rsidR="003F1BDC" w:rsidRPr="002E5B81" w:rsidRDefault="003F1BDC" w:rsidP="003F1BDC">
            <w:pPr>
              <w:ind w:left="340"/>
              <w:rPr>
                <w:rFonts w:cs="Arial"/>
                <w:sz w:val="19"/>
                <w:szCs w:val="19"/>
              </w:rPr>
            </w:pPr>
            <w:r w:rsidRPr="002E5B81">
              <w:rPr>
                <w:rFonts w:cs="Arial"/>
                <w:sz w:val="19"/>
                <w:szCs w:val="19"/>
              </w:rPr>
              <w:t>University degree or above</w:t>
            </w:r>
          </w:p>
        </w:tc>
        <w:tc>
          <w:tcPr>
            <w:tcW w:w="2315" w:type="dxa"/>
            <w:tcBorders>
              <w:top w:val="nil"/>
            </w:tcBorders>
          </w:tcPr>
          <w:p w14:paraId="5B3057B1" w14:textId="77777777" w:rsidR="003F1BDC" w:rsidRPr="002E5B81" w:rsidRDefault="003F1BDC" w:rsidP="003F1BDC">
            <w:pPr>
              <w:jc w:val="center"/>
              <w:rPr>
                <w:rFonts w:cs="Arial"/>
                <w:sz w:val="19"/>
                <w:szCs w:val="19"/>
              </w:rPr>
            </w:pPr>
            <w:r w:rsidRPr="002E5B81">
              <w:rPr>
                <w:rFonts w:cs="Arial"/>
                <w:sz w:val="19"/>
                <w:szCs w:val="19"/>
              </w:rPr>
              <w:t>34.9 (32.9 to 37.0)</w:t>
            </w:r>
          </w:p>
        </w:tc>
        <w:tc>
          <w:tcPr>
            <w:tcW w:w="2315" w:type="dxa"/>
            <w:tcBorders>
              <w:top w:val="nil"/>
            </w:tcBorders>
          </w:tcPr>
          <w:p w14:paraId="68A10135" w14:textId="77777777" w:rsidR="003F1BDC" w:rsidRPr="002E5B81" w:rsidRDefault="003F1BDC" w:rsidP="003F1BDC">
            <w:pPr>
              <w:jc w:val="center"/>
              <w:rPr>
                <w:rFonts w:cs="Arial"/>
                <w:sz w:val="19"/>
                <w:szCs w:val="19"/>
              </w:rPr>
            </w:pPr>
            <w:r>
              <w:rPr>
                <w:rFonts w:cs="Arial"/>
                <w:sz w:val="19"/>
                <w:szCs w:val="19"/>
              </w:rPr>
              <w:t>30.3 (28.0 to 32.6</w:t>
            </w:r>
            <w:r w:rsidRPr="002E5B81">
              <w:rPr>
                <w:rFonts w:cs="Arial"/>
                <w:sz w:val="19"/>
                <w:szCs w:val="19"/>
              </w:rPr>
              <w:t>)</w:t>
            </w:r>
          </w:p>
        </w:tc>
        <w:tc>
          <w:tcPr>
            <w:tcW w:w="2316" w:type="dxa"/>
            <w:tcBorders>
              <w:top w:val="nil"/>
            </w:tcBorders>
          </w:tcPr>
          <w:p w14:paraId="03B83B47" w14:textId="77777777" w:rsidR="003F1BDC" w:rsidRPr="002E5B81" w:rsidRDefault="003F1BDC" w:rsidP="003F1BDC">
            <w:pPr>
              <w:jc w:val="center"/>
              <w:rPr>
                <w:rFonts w:cs="Arial"/>
                <w:sz w:val="19"/>
                <w:szCs w:val="19"/>
              </w:rPr>
            </w:pPr>
            <w:r>
              <w:rPr>
                <w:rFonts w:cs="Arial"/>
                <w:sz w:val="19"/>
                <w:szCs w:val="19"/>
              </w:rPr>
              <w:t>16.6 (14.5 to 18.9</w:t>
            </w:r>
            <w:r w:rsidRPr="002E5B81">
              <w:rPr>
                <w:rFonts w:cs="Arial"/>
                <w:sz w:val="19"/>
                <w:szCs w:val="19"/>
              </w:rPr>
              <w:t>)</w:t>
            </w:r>
          </w:p>
        </w:tc>
        <w:tc>
          <w:tcPr>
            <w:tcW w:w="992" w:type="dxa"/>
            <w:tcBorders>
              <w:top w:val="nil"/>
            </w:tcBorders>
          </w:tcPr>
          <w:p w14:paraId="4DC6D148" w14:textId="77777777" w:rsidR="003F1BDC" w:rsidRPr="002E5B81" w:rsidRDefault="003F1BDC" w:rsidP="003F1BDC">
            <w:pPr>
              <w:jc w:val="center"/>
              <w:rPr>
                <w:rFonts w:cs="Arial"/>
                <w:sz w:val="19"/>
                <w:szCs w:val="19"/>
              </w:rPr>
            </w:pPr>
          </w:p>
        </w:tc>
      </w:tr>
      <w:tr w:rsidR="003F1BDC" w:rsidRPr="002E5B81" w14:paraId="5BEE07C3" w14:textId="77777777" w:rsidTr="003F1BDC">
        <w:tc>
          <w:tcPr>
            <w:tcW w:w="5665" w:type="dxa"/>
            <w:tcBorders>
              <w:bottom w:val="nil"/>
            </w:tcBorders>
          </w:tcPr>
          <w:p w14:paraId="4030F7FA" w14:textId="77777777" w:rsidR="003F1BDC" w:rsidRPr="002E5B81" w:rsidRDefault="003F1BDC" w:rsidP="003F1BDC">
            <w:pPr>
              <w:rPr>
                <w:rFonts w:cs="Arial"/>
                <w:sz w:val="19"/>
                <w:szCs w:val="19"/>
              </w:rPr>
            </w:pPr>
            <w:r w:rsidRPr="002E5B81">
              <w:rPr>
                <w:rFonts w:cs="Arial"/>
                <w:sz w:val="19"/>
                <w:szCs w:val="19"/>
              </w:rPr>
              <w:t>Maternal employment status at first pregnancy (%, 95% CI)</w:t>
            </w:r>
          </w:p>
        </w:tc>
        <w:tc>
          <w:tcPr>
            <w:tcW w:w="2315" w:type="dxa"/>
            <w:tcBorders>
              <w:bottom w:val="nil"/>
            </w:tcBorders>
          </w:tcPr>
          <w:p w14:paraId="31A610C1" w14:textId="77777777" w:rsidR="003F1BDC" w:rsidRPr="002E5B81" w:rsidRDefault="003F1BDC" w:rsidP="003F1BDC">
            <w:pPr>
              <w:jc w:val="center"/>
              <w:rPr>
                <w:rFonts w:cs="Arial"/>
                <w:sz w:val="19"/>
                <w:szCs w:val="19"/>
              </w:rPr>
            </w:pPr>
          </w:p>
        </w:tc>
        <w:tc>
          <w:tcPr>
            <w:tcW w:w="2315" w:type="dxa"/>
            <w:tcBorders>
              <w:bottom w:val="nil"/>
            </w:tcBorders>
          </w:tcPr>
          <w:p w14:paraId="4ADD9B46" w14:textId="77777777" w:rsidR="003F1BDC" w:rsidRPr="002E5B81" w:rsidRDefault="003F1BDC" w:rsidP="003F1BDC">
            <w:pPr>
              <w:jc w:val="center"/>
              <w:rPr>
                <w:rFonts w:cs="Arial"/>
                <w:sz w:val="19"/>
                <w:szCs w:val="19"/>
              </w:rPr>
            </w:pPr>
          </w:p>
        </w:tc>
        <w:tc>
          <w:tcPr>
            <w:tcW w:w="2316" w:type="dxa"/>
            <w:tcBorders>
              <w:bottom w:val="nil"/>
            </w:tcBorders>
          </w:tcPr>
          <w:p w14:paraId="329A9A22" w14:textId="77777777" w:rsidR="003F1BDC" w:rsidRPr="002E5B81" w:rsidRDefault="003F1BDC" w:rsidP="003F1BDC">
            <w:pPr>
              <w:jc w:val="center"/>
              <w:rPr>
                <w:rFonts w:cs="Arial"/>
                <w:sz w:val="19"/>
                <w:szCs w:val="19"/>
              </w:rPr>
            </w:pPr>
          </w:p>
        </w:tc>
        <w:tc>
          <w:tcPr>
            <w:tcW w:w="992" w:type="dxa"/>
            <w:tcBorders>
              <w:bottom w:val="nil"/>
            </w:tcBorders>
          </w:tcPr>
          <w:p w14:paraId="7017CBB0" w14:textId="77777777" w:rsidR="003F1BDC" w:rsidRPr="002E5B81" w:rsidRDefault="003F1BDC" w:rsidP="003F1BDC">
            <w:pPr>
              <w:jc w:val="center"/>
              <w:rPr>
                <w:rFonts w:cs="Arial"/>
                <w:sz w:val="19"/>
                <w:szCs w:val="19"/>
              </w:rPr>
            </w:pPr>
          </w:p>
        </w:tc>
      </w:tr>
      <w:tr w:rsidR="003F1BDC" w:rsidRPr="002E5B81" w14:paraId="4431657A" w14:textId="77777777" w:rsidTr="003F1BDC">
        <w:tc>
          <w:tcPr>
            <w:tcW w:w="5665" w:type="dxa"/>
            <w:tcBorders>
              <w:top w:val="nil"/>
              <w:bottom w:val="nil"/>
            </w:tcBorders>
          </w:tcPr>
          <w:p w14:paraId="55ACA22C" w14:textId="77777777" w:rsidR="003F1BDC" w:rsidRPr="002E5B81" w:rsidRDefault="003F1BDC" w:rsidP="003F1BDC">
            <w:pPr>
              <w:ind w:left="340"/>
              <w:rPr>
                <w:rFonts w:cs="Arial"/>
                <w:sz w:val="19"/>
                <w:szCs w:val="19"/>
              </w:rPr>
            </w:pPr>
            <w:r w:rsidRPr="002E5B81">
              <w:rPr>
                <w:rFonts w:cs="Arial"/>
                <w:sz w:val="19"/>
                <w:szCs w:val="19"/>
              </w:rPr>
              <w:t>Employed</w:t>
            </w:r>
          </w:p>
        </w:tc>
        <w:tc>
          <w:tcPr>
            <w:tcW w:w="2315" w:type="dxa"/>
            <w:tcBorders>
              <w:top w:val="nil"/>
              <w:bottom w:val="nil"/>
            </w:tcBorders>
          </w:tcPr>
          <w:p w14:paraId="5AD6661F" w14:textId="77777777" w:rsidR="003F1BDC" w:rsidRPr="002E5B81" w:rsidRDefault="003F1BDC" w:rsidP="003F1BDC">
            <w:pPr>
              <w:jc w:val="center"/>
              <w:rPr>
                <w:rFonts w:cs="Arial"/>
                <w:sz w:val="19"/>
                <w:szCs w:val="19"/>
              </w:rPr>
            </w:pPr>
            <w:r w:rsidRPr="002E5B81">
              <w:rPr>
                <w:rFonts w:cs="Arial"/>
                <w:sz w:val="19"/>
                <w:szCs w:val="19"/>
              </w:rPr>
              <w:t>89.0 (87.6 to 90.3)</w:t>
            </w:r>
          </w:p>
        </w:tc>
        <w:tc>
          <w:tcPr>
            <w:tcW w:w="2315" w:type="dxa"/>
            <w:tcBorders>
              <w:top w:val="nil"/>
              <w:bottom w:val="nil"/>
            </w:tcBorders>
          </w:tcPr>
          <w:p w14:paraId="6E18A1EE" w14:textId="77777777" w:rsidR="003F1BDC" w:rsidRPr="002E5B81" w:rsidRDefault="003F1BDC" w:rsidP="003F1BDC">
            <w:pPr>
              <w:jc w:val="center"/>
              <w:rPr>
                <w:rFonts w:cs="Arial"/>
                <w:sz w:val="19"/>
                <w:szCs w:val="19"/>
              </w:rPr>
            </w:pPr>
            <w:r>
              <w:rPr>
                <w:rFonts w:cs="Arial"/>
                <w:sz w:val="19"/>
                <w:szCs w:val="19"/>
              </w:rPr>
              <w:t>84.6 (82.8 to 86.3</w:t>
            </w:r>
            <w:r w:rsidRPr="002E5B81">
              <w:rPr>
                <w:rFonts w:cs="Arial"/>
                <w:sz w:val="19"/>
                <w:szCs w:val="19"/>
              </w:rPr>
              <w:t>)</w:t>
            </w:r>
          </w:p>
        </w:tc>
        <w:tc>
          <w:tcPr>
            <w:tcW w:w="2316" w:type="dxa"/>
            <w:tcBorders>
              <w:top w:val="nil"/>
              <w:bottom w:val="nil"/>
            </w:tcBorders>
          </w:tcPr>
          <w:p w14:paraId="42090C2A" w14:textId="77777777" w:rsidR="003F1BDC" w:rsidRPr="002E5B81" w:rsidRDefault="003F1BDC" w:rsidP="003F1BDC">
            <w:pPr>
              <w:jc w:val="center"/>
              <w:rPr>
                <w:rFonts w:cs="Arial"/>
                <w:sz w:val="19"/>
                <w:szCs w:val="19"/>
              </w:rPr>
            </w:pPr>
            <w:r>
              <w:rPr>
                <w:rFonts w:cs="Arial"/>
                <w:sz w:val="19"/>
                <w:szCs w:val="19"/>
              </w:rPr>
              <w:t>74.1 (71.5 to 76.7</w:t>
            </w:r>
            <w:r w:rsidRPr="002E5B81">
              <w:rPr>
                <w:rFonts w:cs="Arial"/>
                <w:sz w:val="19"/>
                <w:szCs w:val="19"/>
              </w:rPr>
              <w:t>)</w:t>
            </w:r>
          </w:p>
        </w:tc>
        <w:tc>
          <w:tcPr>
            <w:tcW w:w="992" w:type="dxa"/>
            <w:tcBorders>
              <w:top w:val="nil"/>
              <w:bottom w:val="nil"/>
            </w:tcBorders>
          </w:tcPr>
          <w:p w14:paraId="702485E4"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2143A63E" w14:textId="77777777" w:rsidTr="003F1BDC">
        <w:tc>
          <w:tcPr>
            <w:tcW w:w="5665" w:type="dxa"/>
            <w:tcBorders>
              <w:top w:val="nil"/>
              <w:bottom w:val="nil"/>
            </w:tcBorders>
          </w:tcPr>
          <w:p w14:paraId="360ED7A8" w14:textId="77777777" w:rsidR="003F1BDC" w:rsidRPr="002E5B81" w:rsidRDefault="003F1BDC" w:rsidP="003F1BDC">
            <w:pPr>
              <w:ind w:left="340"/>
              <w:rPr>
                <w:rFonts w:cs="Arial"/>
                <w:sz w:val="19"/>
                <w:szCs w:val="19"/>
              </w:rPr>
            </w:pPr>
            <w:r w:rsidRPr="002E5B81">
              <w:rPr>
                <w:rFonts w:cs="Arial"/>
                <w:sz w:val="19"/>
                <w:szCs w:val="19"/>
              </w:rPr>
              <w:t xml:space="preserve">Unemployed </w:t>
            </w:r>
          </w:p>
        </w:tc>
        <w:tc>
          <w:tcPr>
            <w:tcW w:w="2315" w:type="dxa"/>
            <w:tcBorders>
              <w:top w:val="nil"/>
              <w:bottom w:val="nil"/>
            </w:tcBorders>
          </w:tcPr>
          <w:p w14:paraId="727415CE" w14:textId="77777777" w:rsidR="003F1BDC" w:rsidRPr="002E5B81" w:rsidRDefault="003F1BDC" w:rsidP="003F1BDC">
            <w:pPr>
              <w:jc w:val="center"/>
              <w:rPr>
                <w:rFonts w:cs="Arial"/>
                <w:sz w:val="19"/>
                <w:szCs w:val="19"/>
              </w:rPr>
            </w:pPr>
            <w:r w:rsidRPr="002E5B81">
              <w:rPr>
                <w:rFonts w:cs="Arial"/>
                <w:sz w:val="19"/>
                <w:szCs w:val="19"/>
              </w:rPr>
              <w:t>8.5 (7.4 to 9.8)</w:t>
            </w:r>
          </w:p>
        </w:tc>
        <w:tc>
          <w:tcPr>
            <w:tcW w:w="2315" w:type="dxa"/>
            <w:tcBorders>
              <w:top w:val="nil"/>
              <w:bottom w:val="nil"/>
            </w:tcBorders>
          </w:tcPr>
          <w:p w14:paraId="6A756E81" w14:textId="77777777" w:rsidR="003F1BDC" w:rsidRPr="002E5B81" w:rsidRDefault="003F1BDC" w:rsidP="003F1BDC">
            <w:pPr>
              <w:jc w:val="center"/>
              <w:rPr>
                <w:rFonts w:cs="Arial"/>
                <w:sz w:val="19"/>
                <w:szCs w:val="19"/>
              </w:rPr>
            </w:pPr>
            <w:r>
              <w:rPr>
                <w:rFonts w:cs="Arial"/>
                <w:sz w:val="19"/>
                <w:szCs w:val="19"/>
              </w:rPr>
              <w:t>11.5</w:t>
            </w:r>
            <w:r w:rsidRPr="002E5B81">
              <w:rPr>
                <w:rFonts w:cs="Arial"/>
                <w:sz w:val="19"/>
                <w:szCs w:val="19"/>
              </w:rPr>
              <w:t xml:space="preserve"> (9.9 to 13.1)</w:t>
            </w:r>
          </w:p>
        </w:tc>
        <w:tc>
          <w:tcPr>
            <w:tcW w:w="2316" w:type="dxa"/>
            <w:tcBorders>
              <w:top w:val="nil"/>
              <w:bottom w:val="nil"/>
            </w:tcBorders>
          </w:tcPr>
          <w:p w14:paraId="361D2FA5" w14:textId="77777777" w:rsidR="003F1BDC" w:rsidRPr="002E5B81" w:rsidRDefault="003F1BDC" w:rsidP="003F1BDC">
            <w:pPr>
              <w:jc w:val="center"/>
              <w:rPr>
                <w:rFonts w:cs="Arial"/>
                <w:sz w:val="19"/>
                <w:szCs w:val="19"/>
              </w:rPr>
            </w:pPr>
            <w:r>
              <w:rPr>
                <w:rFonts w:cs="Arial"/>
                <w:sz w:val="19"/>
                <w:szCs w:val="19"/>
              </w:rPr>
              <w:t>19.3 ( 17.0 to 21.7</w:t>
            </w:r>
            <w:r w:rsidRPr="002E5B81">
              <w:rPr>
                <w:rFonts w:cs="Arial"/>
                <w:sz w:val="19"/>
                <w:szCs w:val="19"/>
              </w:rPr>
              <w:t>)</w:t>
            </w:r>
          </w:p>
        </w:tc>
        <w:tc>
          <w:tcPr>
            <w:tcW w:w="992" w:type="dxa"/>
            <w:tcBorders>
              <w:top w:val="nil"/>
              <w:bottom w:val="nil"/>
            </w:tcBorders>
          </w:tcPr>
          <w:p w14:paraId="18B98C2F" w14:textId="77777777" w:rsidR="003F1BDC" w:rsidRPr="002E5B81" w:rsidRDefault="003F1BDC" w:rsidP="003F1BDC">
            <w:pPr>
              <w:jc w:val="center"/>
              <w:rPr>
                <w:rFonts w:cs="Arial"/>
                <w:sz w:val="19"/>
                <w:szCs w:val="19"/>
              </w:rPr>
            </w:pPr>
          </w:p>
        </w:tc>
      </w:tr>
      <w:tr w:rsidR="003F1BDC" w:rsidRPr="002E5B81" w14:paraId="00E5C81D" w14:textId="77777777" w:rsidTr="003F1BDC">
        <w:tc>
          <w:tcPr>
            <w:tcW w:w="5665" w:type="dxa"/>
            <w:tcBorders>
              <w:top w:val="nil"/>
              <w:bottom w:val="nil"/>
            </w:tcBorders>
          </w:tcPr>
          <w:p w14:paraId="3B4D50B8" w14:textId="77777777" w:rsidR="003F1BDC" w:rsidRPr="002E5B81" w:rsidRDefault="003F1BDC" w:rsidP="003F1BDC">
            <w:pPr>
              <w:ind w:left="340"/>
              <w:rPr>
                <w:rFonts w:cs="Arial"/>
                <w:sz w:val="19"/>
                <w:szCs w:val="19"/>
              </w:rPr>
            </w:pPr>
            <w:r w:rsidRPr="002E5B81">
              <w:rPr>
                <w:rFonts w:cs="Arial"/>
                <w:sz w:val="19"/>
                <w:szCs w:val="19"/>
              </w:rPr>
              <w:t xml:space="preserve">In education </w:t>
            </w:r>
          </w:p>
        </w:tc>
        <w:tc>
          <w:tcPr>
            <w:tcW w:w="2315" w:type="dxa"/>
            <w:tcBorders>
              <w:top w:val="nil"/>
              <w:bottom w:val="nil"/>
            </w:tcBorders>
          </w:tcPr>
          <w:p w14:paraId="201E8587" w14:textId="77777777" w:rsidR="003F1BDC" w:rsidRPr="002E5B81" w:rsidRDefault="003F1BDC" w:rsidP="003F1BDC">
            <w:pPr>
              <w:jc w:val="center"/>
              <w:rPr>
                <w:rFonts w:cs="Arial"/>
                <w:sz w:val="19"/>
                <w:szCs w:val="19"/>
              </w:rPr>
            </w:pPr>
            <w:r w:rsidRPr="002E5B81">
              <w:rPr>
                <w:rFonts w:cs="Arial"/>
                <w:sz w:val="19"/>
                <w:szCs w:val="19"/>
              </w:rPr>
              <w:t>2.1 (1.5 to 2.8)</w:t>
            </w:r>
          </w:p>
        </w:tc>
        <w:tc>
          <w:tcPr>
            <w:tcW w:w="2315" w:type="dxa"/>
            <w:tcBorders>
              <w:top w:val="nil"/>
              <w:bottom w:val="nil"/>
            </w:tcBorders>
          </w:tcPr>
          <w:p w14:paraId="4DF547FC" w14:textId="77777777" w:rsidR="003F1BDC" w:rsidRPr="002E5B81" w:rsidRDefault="003F1BDC" w:rsidP="003F1BDC">
            <w:pPr>
              <w:jc w:val="center"/>
              <w:rPr>
                <w:rFonts w:cs="Arial"/>
                <w:sz w:val="19"/>
                <w:szCs w:val="19"/>
              </w:rPr>
            </w:pPr>
            <w:r>
              <w:rPr>
                <w:rFonts w:cs="Arial"/>
                <w:sz w:val="19"/>
                <w:szCs w:val="19"/>
              </w:rPr>
              <w:t>3.6 (2.7 to 4.6</w:t>
            </w:r>
            <w:r w:rsidRPr="002E5B81">
              <w:rPr>
                <w:rFonts w:cs="Arial"/>
                <w:sz w:val="19"/>
                <w:szCs w:val="19"/>
              </w:rPr>
              <w:t>)</w:t>
            </w:r>
          </w:p>
        </w:tc>
        <w:tc>
          <w:tcPr>
            <w:tcW w:w="2316" w:type="dxa"/>
            <w:tcBorders>
              <w:top w:val="nil"/>
              <w:bottom w:val="nil"/>
            </w:tcBorders>
          </w:tcPr>
          <w:p w14:paraId="55D77460" w14:textId="77777777" w:rsidR="003F1BDC" w:rsidRPr="002E5B81" w:rsidRDefault="003F1BDC" w:rsidP="003F1BDC">
            <w:pPr>
              <w:jc w:val="center"/>
              <w:rPr>
                <w:rFonts w:cs="Arial"/>
                <w:sz w:val="19"/>
                <w:szCs w:val="19"/>
              </w:rPr>
            </w:pPr>
            <w:r>
              <w:rPr>
                <w:rFonts w:cs="Arial"/>
                <w:sz w:val="19"/>
                <w:szCs w:val="19"/>
              </w:rPr>
              <w:t>6.1 (4.8</w:t>
            </w:r>
            <w:r w:rsidRPr="002E5B81">
              <w:rPr>
                <w:rFonts w:cs="Arial"/>
                <w:sz w:val="19"/>
                <w:szCs w:val="19"/>
              </w:rPr>
              <w:t xml:space="preserve"> to 7.6)</w:t>
            </w:r>
          </w:p>
        </w:tc>
        <w:tc>
          <w:tcPr>
            <w:tcW w:w="992" w:type="dxa"/>
            <w:tcBorders>
              <w:top w:val="nil"/>
              <w:bottom w:val="nil"/>
            </w:tcBorders>
          </w:tcPr>
          <w:p w14:paraId="45985AF2" w14:textId="77777777" w:rsidR="003F1BDC" w:rsidRPr="002E5B81" w:rsidRDefault="003F1BDC" w:rsidP="003F1BDC">
            <w:pPr>
              <w:jc w:val="center"/>
              <w:rPr>
                <w:rFonts w:cs="Arial"/>
                <w:sz w:val="19"/>
                <w:szCs w:val="19"/>
              </w:rPr>
            </w:pPr>
          </w:p>
        </w:tc>
      </w:tr>
      <w:tr w:rsidR="003F1BDC" w:rsidRPr="002E5B81" w14:paraId="66551966" w14:textId="77777777" w:rsidTr="003F1BDC">
        <w:tc>
          <w:tcPr>
            <w:tcW w:w="5665" w:type="dxa"/>
            <w:tcBorders>
              <w:top w:val="nil"/>
            </w:tcBorders>
          </w:tcPr>
          <w:p w14:paraId="0A3ABDFB" w14:textId="77777777" w:rsidR="003F1BDC" w:rsidRPr="002E5B81" w:rsidRDefault="003F1BDC" w:rsidP="003F1BDC">
            <w:pPr>
              <w:ind w:left="340"/>
              <w:rPr>
                <w:rFonts w:cs="Arial"/>
                <w:sz w:val="19"/>
                <w:szCs w:val="19"/>
              </w:rPr>
            </w:pPr>
            <w:r w:rsidRPr="002E5B81">
              <w:rPr>
                <w:rFonts w:cs="Arial"/>
                <w:sz w:val="19"/>
                <w:szCs w:val="19"/>
              </w:rPr>
              <w:t>Not specified</w:t>
            </w:r>
          </w:p>
        </w:tc>
        <w:tc>
          <w:tcPr>
            <w:tcW w:w="2315" w:type="dxa"/>
            <w:tcBorders>
              <w:top w:val="nil"/>
            </w:tcBorders>
          </w:tcPr>
          <w:p w14:paraId="0A96F791" w14:textId="77777777" w:rsidR="003F1BDC" w:rsidRPr="002E5B81" w:rsidRDefault="003F1BDC" w:rsidP="003F1BDC">
            <w:pPr>
              <w:jc w:val="center"/>
              <w:rPr>
                <w:rFonts w:cs="Arial"/>
                <w:sz w:val="19"/>
                <w:szCs w:val="19"/>
              </w:rPr>
            </w:pPr>
            <w:r w:rsidRPr="002E5B81">
              <w:rPr>
                <w:rFonts w:cs="Arial"/>
                <w:sz w:val="19"/>
                <w:szCs w:val="19"/>
              </w:rPr>
              <w:t>0.3 (0.1 to 0.7)</w:t>
            </w:r>
          </w:p>
        </w:tc>
        <w:tc>
          <w:tcPr>
            <w:tcW w:w="2315" w:type="dxa"/>
            <w:tcBorders>
              <w:top w:val="nil"/>
            </w:tcBorders>
          </w:tcPr>
          <w:p w14:paraId="5CA42930" w14:textId="77777777" w:rsidR="003F1BDC" w:rsidRPr="002E5B81" w:rsidRDefault="003F1BDC" w:rsidP="003F1BDC">
            <w:pPr>
              <w:jc w:val="center"/>
              <w:rPr>
                <w:rFonts w:cs="Arial"/>
                <w:sz w:val="19"/>
                <w:szCs w:val="19"/>
              </w:rPr>
            </w:pPr>
            <w:r>
              <w:rPr>
                <w:rFonts w:cs="Arial"/>
                <w:sz w:val="19"/>
                <w:szCs w:val="19"/>
              </w:rPr>
              <w:t>0.3</w:t>
            </w:r>
            <w:r w:rsidRPr="002E5B81">
              <w:rPr>
                <w:rFonts w:cs="Arial"/>
                <w:sz w:val="19"/>
                <w:szCs w:val="19"/>
              </w:rPr>
              <w:t xml:space="preserve"> (0.1 to 0.8)</w:t>
            </w:r>
          </w:p>
        </w:tc>
        <w:tc>
          <w:tcPr>
            <w:tcW w:w="2316" w:type="dxa"/>
            <w:tcBorders>
              <w:top w:val="nil"/>
            </w:tcBorders>
          </w:tcPr>
          <w:p w14:paraId="20CCFEC7" w14:textId="77777777" w:rsidR="003F1BDC" w:rsidRPr="002E5B81" w:rsidRDefault="003F1BDC" w:rsidP="003F1BDC">
            <w:pPr>
              <w:jc w:val="center"/>
              <w:rPr>
                <w:rFonts w:cs="Arial"/>
                <w:sz w:val="19"/>
                <w:szCs w:val="19"/>
              </w:rPr>
            </w:pPr>
            <w:r>
              <w:rPr>
                <w:rFonts w:cs="Arial"/>
                <w:sz w:val="19"/>
                <w:szCs w:val="19"/>
              </w:rPr>
              <w:t>0.5 (0.2 to 1.1</w:t>
            </w:r>
            <w:r w:rsidRPr="002E5B81">
              <w:rPr>
                <w:rFonts w:cs="Arial"/>
                <w:sz w:val="19"/>
                <w:szCs w:val="19"/>
              </w:rPr>
              <w:t>)</w:t>
            </w:r>
          </w:p>
        </w:tc>
        <w:tc>
          <w:tcPr>
            <w:tcW w:w="992" w:type="dxa"/>
            <w:tcBorders>
              <w:top w:val="nil"/>
            </w:tcBorders>
          </w:tcPr>
          <w:p w14:paraId="7356DC7A" w14:textId="77777777" w:rsidR="003F1BDC" w:rsidRPr="002E5B81" w:rsidRDefault="003F1BDC" w:rsidP="003F1BDC">
            <w:pPr>
              <w:jc w:val="center"/>
              <w:rPr>
                <w:rFonts w:cs="Arial"/>
                <w:sz w:val="19"/>
                <w:szCs w:val="19"/>
              </w:rPr>
            </w:pPr>
          </w:p>
        </w:tc>
      </w:tr>
      <w:tr w:rsidR="003F1BDC" w:rsidRPr="002E5B81" w14:paraId="21C4FE5E" w14:textId="77777777" w:rsidTr="003F1BDC">
        <w:tc>
          <w:tcPr>
            <w:tcW w:w="5665" w:type="dxa"/>
            <w:tcBorders>
              <w:bottom w:val="nil"/>
            </w:tcBorders>
          </w:tcPr>
          <w:p w14:paraId="69BC393D" w14:textId="77777777" w:rsidR="003F1BDC" w:rsidRPr="002E5B81" w:rsidRDefault="003F1BDC" w:rsidP="003F1BDC">
            <w:pPr>
              <w:rPr>
                <w:rFonts w:cs="Arial"/>
                <w:sz w:val="19"/>
                <w:szCs w:val="19"/>
              </w:rPr>
            </w:pPr>
            <w:r w:rsidRPr="002E5B81">
              <w:rPr>
                <w:rFonts w:cs="Arial"/>
                <w:sz w:val="19"/>
                <w:szCs w:val="19"/>
              </w:rPr>
              <w:t>Maternal employment status at second pregnancy (%, 95% CI)</w:t>
            </w:r>
          </w:p>
        </w:tc>
        <w:tc>
          <w:tcPr>
            <w:tcW w:w="2315" w:type="dxa"/>
            <w:tcBorders>
              <w:bottom w:val="nil"/>
            </w:tcBorders>
          </w:tcPr>
          <w:p w14:paraId="74ECDB88" w14:textId="77777777" w:rsidR="003F1BDC" w:rsidRPr="002E5B81" w:rsidRDefault="003F1BDC" w:rsidP="003F1BDC">
            <w:pPr>
              <w:jc w:val="center"/>
              <w:rPr>
                <w:rFonts w:cs="Arial"/>
                <w:sz w:val="19"/>
                <w:szCs w:val="19"/>
              </w:rPr>
            </w:pPr>
          </w:p>
        </w:tc>
        <w:tc>
          <w:tcPr>
            <w:tcW w:w="2315" w:type="dxa"/>
            <w:tcBorders>
              <w:bottom w:val="nil"/>
            </w:tcBorders>
          </w:tcPr>
          <w:p w14:paraId="3DAEF2B5" w14:textId="77777777" w:rsidR="003F1BDC" w:rsidRPr="002E5B81" w:rsidRDefault="003F1BDC" w:rsidP="003F1BDC">
            <w:pPr>
              <w:jc w:val="center"/>
              <w:rPr>
                <w:rFonts w:cs="Arial"/>
                <w:sz w:val="19"/>
                <w:szCs w:val="19"/>
              </w:rPr>
            </w:pPr>
          </w:p>
        </w:tc>
        <w:tc>
          <w:tcPr>
            <w:tcW w:w="2316" w:type="dxa"/>
            <w:tcBorders>
              <w:bottom w:val="nil"/>
            </w:tcBorders>
          </w:tcPr>
          <w:p w14:paraId="7BA1DECB" w14:textId="77777777" w:rsidR="003F1BDC" w:rsidRPr="002E5B81" w:rsidRDefault="003F1BDC" w:rsidP="003F1BDC">
            <w:pPr>
              <w:jc w:val="center"/>
              <w:rPr>
                <w:rFonts w:cs="Arial"/>
                <w:sz w:val="19"/>
                <w:szCs w:val="19"/>
              </w:rPr>
            </w:pPr>
          </w:p>
        </w:tc>
        <w:tc>
          <w:tcPr>
            <w:tcW w:w="992" w:type="dxa"/>
            <w:tcBorders>
              <w:bottom w:val="nil"/>
            </w:tcBorders>
          </w:tcPr>
          <w:p w14:paraId="0BED182C" w14:textId="77777777" w:rsidR="003F1BDC" w:rsidRPr="002E5B81" w:rsidRDefault="003F1BDC" w:rsidP="003F1BDC">
            <w:pPr>
              <w:jc w:val="center"/>
              <w:rPr>
                <w:rFonts w:cs="Arial"/>
                <w:sz w:val="19"/>
                <w:szCs w:val="19"/>
              </w:rPr>
            </w:pPr>
          </w:p>
        </w:tc>
      </w:tr>
      <w:tr w:rsidR="003F1BDC" w:rsidRPr="002E5B81" w14:paraId="2DAE1437" w14:textId="77777777" w:rsidTr="003F1BDC">
        <w:tc>
          <w:tcPr>
            <w:tcW w:w="5665" w:type="dxa"/>
            <w:tcBorders>
              <w:top w:val="nil"/>
              <w:bottom w:val="nil"/>
            </w:tcBorders>
          </w:tcPr>
          <w:p w14:paraId="1D5F2056" w14:textId="77777777" w:rsidR="003F1BDC" w:rsidRPr="002E5B81" w:rsidRDefault="003F1BDC" w:rsidP="003F1BDC">
            <w:pPr>
              <w:ind w:left="340"/>
              <w:rPr>
                <w:rFonts w:cs="Arial"/>
                <w:sz w:val="19"/>
                <w:szCs w:val="19"/>
              </w:rPr>
            </w:pPr>
            <w:r w:rsidRPr="002E5B81">
              <w:rPr>
                <w:rFonts w:cs="Arial"/>
                <w:sz w:val="19"/>
                <w:szCs w:val="19"/>
              </w:rPr>
              <w:t>Employed</w:t>
            </w:r>
          </w:p>
        </w:tc>
        <w:tc>
          <w:tcPr>
            <w:tcW w:w="2315" w:type="dxa"/>
            <w:tcBorders>
              <w:top w:val="nil"/>
              <w:bottom w:val="nil"/>
            </w:tcBorders>
          </w:tcPr>
          <w:p w14:paraId="656841F5" w14:textId="77777777" w:rsidR="003F1BDC" w:rsidRPr="002E5B81" w:rsidRDefault="003F1BDC" w:rsidP="003F1BDC">
            <w:pPr>
              <w:jc w:val="center"/>
              <w:rPr>
                <w:rFonts w:cs="Arial"/>
                <w:sz w:val="19"/>
                <w:szCs w:val="19"/>
              </w:rPr>
            </w:pPr>
            <w:r w:rsidRPr="002E5B81">
              <w:rPr>
                <w:rFonts w:cs="Arial"/>
                <w:sz w:val="19"/>
                <w:szCs w:val="19"/>
              </w:rPr>
              <w:t>74.2 (72.3 to 76.1)</w:t>
            </w:r>
          </w:p>
        </w:tc>
        <w:tc>
          <w:tcPr>
            <w:tcW w:w="2315" w:type="dxa"/>
            <w:tcBorders>
              <w:top w:val="nil"/>
              <w:bottom w:val="nil"/>
            </w:tcBorders>
          </w:tcPr>
          <w:p w14:paraId="6BB72F1D" w14:textId="77777777" w:rsidR="003F1BDC" w:rsidRPr="002E5B81" w:rsidRDefault="003F1BDC" w:rsidP="003F1BDC">
            <w:pPr>
              <w:jc w:val="center"/>
              <w:rPr>
                <w:rFonts w:cs="Arial"/>
                <w:sz w:val="19"/>
                <w:szCs w:val="19"/>
              </w:rPr>
            </w:pPr>
            <w:r>
              <w:rPr>
                <w:rFonts w:cs="Arial"/>
                <w:sz w:val="19"/>
                <w:szCs w:val="19"/>
              </w:rPr>
              <w:t>67.7 (65.3 to 69.9</w:t>
            </w:r>
            <w:r w:rsidRPr="002E5B81">
              <w:rPr>
                <w:rFonts w:cs="Arial"/>
                <w:sz w:val="19"/>
                <w:szCs w:val="19"/>
              </w:rPr>
              <w:t>)</w:t>
            </w:r>
          </w:p>
        </w:tc>
        <w:tc>
          <w:tcPr>
            <w:tcW w:w="2316" w:type="dxa"/>
            <w:tcBorders>
              <w:top w:val="nil"/>
              <w:bottom w:val="nil"/>
            </w:tcBorders>
          </w:tcPr>
          <w:p w14:paraId="6D9766F1" w14:textId="77777777" w:rsidR="003F1BDC" w:rsidRPr="002E5B81" w:rsidRDefault="003F1BDC" w:rsidP="003F1BDC">
            <w:pPr>
              <w:jc w:val="center"/>
              <w:rPr>
                <w:rFonts w:cs="Arial"/>
                <w:sz w:val="19"/>
                <w:szCs w:val="19"/>
              </w:rPr>
            </w:pPr>
            <w:r>
              <w:rPr>
                <w:rFonts w:cs="Arial"/>
                <w:sz w:val="19"/>
                <w:szCs w:val="19"/>
              </w:rPr>
              <w:t>55.7 (52.7 to 58.6</w:t>
            </w:r>
            <w:r w:rsidRPr="002E5B81">
              <w:rPr>
                <w:rFonts w:cs="Arial"/>
                <w:sz w:val="19"/>
                <w:szCs w:val="19"/>
              </w:rPr>
              <w:t>)</w:t>
            </w:r>
          </w:p>
        </w:tc>
        <w:tc>
          <w:tcPr>
            <w:tcW w:w="992" w:type="dxa"/>
            <w:tcBorders>
              <w:top w:val="nil"/>
              <w:bottom w:val="nil"/>
            </w:tcBorders>
          </w:tcPr>
          <w:p w14:paraId="64550BAF"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23CCF84E" w14:textId="77777777" w:rsidTr="003F1BDC">
        <w:tc>
          <w:tcPr>
            <w:tcW w:w="5665" w:type="dxa"/>
            <w:tcBorders>
              <w:top w:val="nil"/>
              <w:bottom w:val="nil"/>
            </w:tcBorders>
          </w:tcPr>
          <w:p w14:paraId="0A4A3B14" w14:textId="77777777" w:rsidR="003F1BDC" w:rsidRPr="002E5B81" w:rsidRDefault="003F1BDC" w:rsidP="003F1BDC">
            <w:pPr>
              <w:ind w:left="340"/>
              <w:rPr>
                <w:rFonts w:cs="Arial"/>
                <w:sz w:val="19"/>
                <w:szCs w:val="19"/>
              </w:rPr>
            </w:pPr>
            <w:r w:rsidRPr="002E5B81">
              <w:rPr>
                <w:rFonts w:cs="Arial"/>
                <w:sz w:val="19"/>
                <w:szCs w:val="19"/>
              </w:rPr>
              <w:t xml:space="preserve">Unemployed </w:t>
            </w:r>
          </w:p>
        </w:tc>
        <w:tc>
          <w:tcPr>
            <w:tcW w:w="2315" w:type="dxa"/>
            <w:tcBorders>
              <w:top w:val="nil"/>
              <w:bottom w:val="nil"/>
            </w:tcBorders>
          </w:tcPr>
          <w:p w14:paraId="5CC9317A" w14:textId="77777777" w:rsidR="003F1BDC" w:rsidRPr="002E5B81" w:rsidRDefault="003F1BDC" w:rsidP="003F1BDC">
            <w:pPr>
              <w:jc w:val="center"/>
              <w:rPr>
                <w:rFonts w:cs="Arial"/>
                <w:sz w:val="19"/>
                <w:szCs w:val="19"/>
              </w:rPr>
            </w:pPr>
            <w:r w:rsidRPr="002E5B81">
              <w:rPr>
                <w:rFonts w:cs="Arial"/>
                <w:sz w:val="19"/>
                <w:szCs w:val="19"/>
              </w:rPr>
              <w:t>24.4 (22.6 to 26.3)</w:t>
            </w:r>
          </w:p>
        </w:tc>
        <w:tc>
          <w:tcPr>
            <w:tcW w:w="2315" w:type="dxa"/>
            <w:tcBorders>
              <w:top w:val="nil"/>
              <w:bottom w:val="nil"/>
            </w:tcBorders>
          </w:tcPr>
          <w:p w14:paraId="2D7BEC8A" w14:textId="77777777" w:rsidR="003F1BDC" w:rsidRPr="002E5B81" w:rsidRDefault="003F1BDC" w:rsidP="003F1BDC">
            <w:pPr>
              <w:jc w:val="center"/>
              <w:rPr>
                <w:rFonts w:cs="Arial"/>
                <w:sz w:val="19"/>
                <w:szCs w:val="19"/>
              </w:rPr>
            </w:pPr>
            <w:r>
              <w:rPr>
                <w:rFonts w:cs="Arial"/>
                <w:sz w:val="19"/>
                <w:szCs w:val="19"/>
              </w:rPr>
              <w:t>30.3 (28.0</w:t>
            </w:r>
            <w:r w:rsidRPr="002E5B81">
              <w:rPr>
                <w:rFonts w:cs="Arial"/>
                <w:sz w:val="19"/>
                <w:szCs w:val="19"/>
              </w:rPr>
              <w:t xml:space="preserve"> to 32.6)</w:t>
            </w:r>
          </w:p>
        </w:tc>
        <w:tc>
          <w:tcPr>
            <w:tcW w:w="2316" w:type="dxa"/>
            <w:tcBorders>
              <w:top w:val="nil"/>
              <w:bottom w:val="nil"/>
            </w:tcBorders>
          </w:tcPr>
          <w:p w14:paraId="062E2E19" w14:textId="77777777" w:rsidR="003F1BDC" w:rsidRPr="002E5B81" w:rsidRDefault="003F1BDC" w:rsidP="003F1BDC">
            <w:pPr>
              <w:jc w:val="center"/>
              <w:rPr>
                <w:rFonts w:cs="Arial"/>
                <w:sz w:val="19"/>
                <w:szCs w:val="19"/>
              </w:rPr>
            </w:pPr>
            <w:r>
              <w:rPr>
                <w:rFonts w:cs="Arial"/>
                <w:sz w:val="19"/>
                <w:szCs w:val="19"/>
              </w:rPr>
              <w:t>42.3 (39.4 to 45.2</w:t>
            </w:r>
            <w:r w:rsidRPr="002E5B81">
              <w:rPr>
                <w:rFonts w:cs="Arial"/>
                <w:sz w:val="19"/>
                <w:szCs w:val="19"/>
              </w:rPr>
              <w:t>)</w:t>
            </w:r>
          </w:p>
        </w:tc>
        <w:tc>
          <w:tcPr>
            <w:tcW w:w="992" w:type="dxa"/>
            <w:tcBorders>
              <w:top w:val="nil"/>
              <w:bottom w:val="nil"/>
            </w:tcBorders>
          </w:tcPr>
          <w:p w14:paraId="34AB1EE5" w14:textId="77777777" w:rsidR="003F1BDC" w:rsidRPr="002E5B81" w:rsidRDefault="003F1BDC" w:rsidP="003F1BDC">
            <w:pPr>
              <w:jc w:val="center"/>
              <w:rPr>
                <w:rFonts w:cs="Arial"/>
                <w:sz w:val="19"/>
                <w:szCs w:val="19"/>
              </w:rPr>
            </w:pPr>
          </w:p>
        </w:tc>
      </w:tr>
      <w:tr w:rsidR="003F1BDC" w:rsidRPr="002E5B81" w14:paraId="59187F0E" w14:textId="77777777" w:rsidTr="003F1BDC">
        <w:tc>
          <w:tcPr>
            <w:tcW w:w="5665" w:type="dxa"/>
            <w:tcBorders>
              <w:top w:val="nil"/>
              <w:bottom w:val="nil"/>
            </w:tcBorders>
          </w:tcPr>
          <w:p w14:paraId="095E9C42" w14:textId="77777777" w:rsidR="003F1BDC" w:rsidRPr="002E5B81" w:rsidRDefault="003F1BDC" w:rsidP="003F1BDC">
            <w:pPr>
              <w:ind w:left="340"/>
              <w:rPr>
                <w:rFonts w:cs="Arial"/>
                <w:sz w:val="19"/>
                <w:szCs w:val="19"/>
              </w:rPr>
            </w:pPr>
            <w:r w:rsidRPr="002E5B81">
              <w:rPr>
                <w:rFonts w:cs="Arial"/>
                <w:sz w:val="19"/>
                <w:szCs w:val="19"/>
              </w:rPr>
              <w:t xml:space="preserve">In education </w:t>
            </w:r>
          </w:p>
        </w:tc>
        <w:tc>
          <w:tcPr>
            <w:tcW w:w="2315" w:type="dxa"/>
            <w:tcBorders>
              <w:top w:val="nil"/>
              <w:bottom w:val="nil"/>
            </w:tcBorders>
          </w:tcPr>
          <w:p w14:paraId="0D9D543D" w14:textId="77777777" w:rsidR="003F1BDC" w:rsidRPr="002E5B81" w:rsidRDefault="003F1BDC" w:rsidP="003F1BDC">
            <w:pPr>
              <w:jc w:val="center"/>
              <w:rPr>
                <w:rFonts w:cs="Arial"/>
                <w:sz w:val="19"/>
                <w:szCs w:val="19"/>
              </w:rPr>
            </w:pPr>
            <w:r w:rsidRPr="002E5B81">
              <w:rPr>
                <w:rFonts w:cs="Arial"/>
                <w:sz w:val="19"/>
                <w:szCs w:val="19"/>
              </w:rPr>
              <w:t>0.7 (0.4 to 1.2)</w:t>
            </w:r>
          </w:p>
        </w:tc>
        <w:tc>
          <w:tcPr>
            <w:tcW w:w="2315" w:type="dxa"/>
            <w:tcBorders>
              <w:top w:val="nil"/>
              <w:bottom w:val="nil"/>
            </w:tcBorders>
          </w:tcPr>
          <w:p w14:paraId="67B56DD7" w14:textId="77777777" w:rsidR="003F1BDC" w:rsidRPr="002E5B81" w:rsidRDefault="003F1BDC" w:rsidP="003F1BDC">
            <w:pPr>
              <w:jc w:val="center"/>
              <w:rPr>
                <w:rFonts w:cs="Arial"/>
                <w:sz w:val="19"/>
                <w:szCs w:val="19"/>
              </w:rPr>
            </w:pPr>
            <w:r>
              <w:rPr>
                <w:rFonts w:cs="Arial"/>
                <w:sz w:val="19"/>
                <w:szCs w:val="19"/>
              </w:rPr>
              <w:t>1.2 (0.7 to 1.8</w:t>
            </w:r>
            <w:r w:rsidRPr="002E5B81">
              <w:rPr>
                <w:rFonts w:cs="Arial"/>
                <w:sz w:val="19"/>
                <w:szCs w:val="19"/>
              </w:rPr>
              <w:t>)</w:t>
            </w:r>
          </w:p>
        </w:tc>
        <w:tc>
          <w:tcPr>
            <w:tcW w:w="2316" w:type="dxa"/>
            <w:tcBorders>
              <w:top w:val="nil"/>
              <w:bottom w:val="nil"/>
            </w:tcBorders>
          </w:tcPr>
          <w:p w14:paraId="3643CE76" w14:textId="77777777" w:rsidR="003F1BDC" w:rsidRPr="002E5B81" w:rsidRDefault="003F1BDC" w:rsidP="003F1BDC">
            <w:pPr>
              <w:jc w:val="center"/>
              <w:rPr>
                <w:rFonts w:cs="Arial"/>
                <w:sz w:val="19"/>
                <w:szCs w:val="19"/>
              </w:rPr>
            </w:pPr>
            <w:r>
              <w:rPr>
                <w:rFonts w:cs="Arial"/>
                <w:sz w:val="19"/>
                <w:szCs w:val="19"/>
              </w:rPr>
              <w:t>1.2 (0.7 to 2.1</w:t>
            </w:r>
            <w:r w:rsidRPr="002E5B81">
              <w:rPr>
                <w:rFonts w:cs="Arial"/>
                <w:sz w:val="19"/>
                <w:szCs w:val="19"/>
              </w:rPr>
              <w:t>)</w:t>
            </w:r>
          </w:p>
        </w:tc>
        <w:tc>
          <w:tcPr>
            <w:tcW w:w="992" w:type="dxa"/>
            <w:tcBorders>
              <w:top w:val="nil"/>
              <w:bottom w:val="nil"/>
            </w:tcBorders>
          </w:tcPr>
          <w:p w14:paraId="62545A49" w14:textId="77777777" w:rsidR="003F1BDC" w:rsidRPr="002E5B81" w:rsidRDefault="003F1BDC" w:rsidP="003F1BDC">
            <w:pPr>
              <w:jc w:val="center"/>
              <w:rPr>
                <w:rFonts w:cs="Arial"/>
                <w:sz w:val="19"/>
                <w:szCs w:val="19"/>
              </w:rPr>
            </w:pPr>
          </w:p>
        </w:tc>
      </w:tr>
      <w:tr w:rsidR="003F1BDC" w:rsidRPr="002E5B81" w14:paraId="7EFBD2BC" w14:textId="77777777" w:rsidTr="003F1BDC">
        <w:tc>
          <w:tcPr>
            <w:tcW w:w="5665" w:type="dxa"/>
            <w:tcBorders>
              <w:top w:val="nil"/>
            </w:tcBorders>
          </w:tcPr>
          <w:p w14:paraId="1BCF2271" w14:textId="77777777" w:rsidR="003F1BDC" w:rsidRPr="002E5B81" w:rsidRDefault="003F1BDC" w:rsidP="003F1BDC">
            <w:pPr>
              <w:ind w:left="340"/>
              <w:rPr>
                <w:rFonts w:cs="Arial"/>
                <w:sz w:val="19"/>
                <w:szCs w:val="19"/>
              </w:rPr>
            </w:pPr>
            <w:r w:rsidRPr="002E5B81">
              <w:rPr>
                <w:rFonts w:cs="Arial"/>
                <w:sz w:val="19"/>
                <w:szCs w:val="19"/>
              </w:rPr>
              <w:t>Not specified</w:t>
            </w:r>
          </w:p>
        </w:tc>
        <w:tc>
          <w:tcPr>
            <w:tcW w:w="2315" w:type="dxa"/>
            <w:tcBorders>
              <w:top w:val="nil"/>
            </w:tcBorders>
          </w:tcPr>
          <w:p w14:paraId="7469012B" w14:textId="77777777" w:rsidR="003F1BDC" w:rsidRPr="002E5B81" w:rsidRDefault="003F1BDC" w:rsidP="003F1BDC">
            <w:pPr>
              <w:jc w:val="center"/>
              <w:rPr>
                <w:rFonts w:cs="Arial"/>
                <w:sz w:val="19"/>
                <w:szCs w:val="19"/>
              </w:rPr>
            </w:pPr>
            <w:r w:rsidRPr="002E5B81">
              <w:rPr>
                <w:rFonts w:cs="Arial"/>
                <w:sz w:val="19"/>
                <w:szCs w:val="19"/>
              </w:rPr>
              <w:t>0.6 (0.3 to 1.1)</w:t>
            </w:r>
          </w:p>
        </w:tc>
        <w:tc>
          <w:tcPr>
            <w:tcW w:w="2315" w:type="dxa"/>
            <w:tcBorders>
              <w:top w:val="nil"/>
            </w:tcBorders>
          </w:tcPr>
          <w:p w14:paraId="7B5ED0B1" w14:textId="77777777" w:rsidR="003F1BDC" w:rsidRPr="002E5B81" w:rsidRDefault="003F1BDC" w:rsidP="003F1BDC">
            <w:pPr>
              <w:jc w:val="center"/>
              <w:rPr>
                <w:rFonts w:cs="Arial"/>
                <w:sz w:val="19"/>
                <w:szCs w:val="19"/>
              </w:rPr>
            </w:pPr>
            <w:r>
              <w:rPr>
                <w:rFonts w:cs="Arial"/>
                <w:sz w:val="19"/>
                <w:szCs w:val="19"/>
              </w:rPr>
              <w:t>0.8 (0.5 to 1.5</w:t>
            </w:r>
            <w:r w:rsidRPr="002E5B81">
              <w:rPr>
                <w:rFonts w:cs="Arial"/>
                <w:sz w:val="19"/>
                <w:szCs w:val="19"/>
              </w:rPr>
              <w:t>)</w:t>
            </w:r>
          </w:p>
        </w:tc>
        <w:tc>
          <w:tcPr>
            <w:tcW w:w="2316" w:type="dxa"/>
            <w:tcBorders>
              <w:top w:val="nil"/>
            </w:tcBorders>
          </w:tcPr>
          <w:p w14:paraId="7F792316" w14:textId="77777777" w:rsidR="003F1BDC" w:rsidRPr="002E5B81" w:rsidRDefault="003F1BDC" w:rsidP="003F1BDC">
            <w:pPr>
              <w:jc w:val="center"/>
              <w:rPr>
                <w:rFonts w:cs="Arial"/>
                <w:sz w:val="19"/>
                <w:szCs w:val="19"/>
              </w:rPr>
            </w:pPr>
            <w:r>
              <w:rPr>
                <w:rFonts w:cs="Arial"/>
                <w:sz w:val="19"/>
                <w:szCs w:val="19"/>
              </w:rPr>
              <w:t>0.8</w:t>
            </w:r>
            <w:r w:rsidRPr="002E5B81">
              <w:rPr>
                <w:rFonts w:cs="Arial"/>
                <w:sz w:val="19"/>
                <w:szCs w:val="19"/>
              </w:rPr>
              <w:t xml:space="preserve"> </w:t>
            </w:r>
            <w:r>
              <w:rPr>
                <w:rFonts w:cs="Arial"/>
                <w:sz w:val="19"/>
                <w:szCs w:val="19"/>
              </w:rPr>
              <w:t>(0.4 to 1.5</w:t>
            </w:r>
            <w:r w:rsidRPr="002E5B81">
              <w:rPr>
                <w:rFonts w:cs="Arial"/>
                <w:sz w:val="19"/>
                <w:szCs w:val="19"/>
              </w:rPr>
              <w:t>)</w:t>
            </w:r>
          </w:p>
        </w:tc>
        <w:tc>
          <w:tcPr>
            <w:tcW w:w="992" w:type="dxa"/>
            <w:tcBorders>
              <w:top w:val="nil"/>
            </w:tcBorders>
          </w:tcPr>
          <w:p w14:paraId="65440EE2" w14:textId="77777777" w:rsidR="003F1BDC" w:rsidRPr="002E5B81" w:rsidRDefault="003F1BDC" w:rsidP="003F1BDC">
            <w:pPr>
              <w:jc w:val="center"/>
              <w:rPr>
                <w:rFonts w:cs="Arial"/>
                <w:sz w:val="19"/>
                <w:szCs w:val="19"/>
              </w:rPr>
            </w:pPr>
          </w:p>
        </w:tc>
      </w:tr>
      <w:tr w:rsidR="003F1BDC" w:rsidRPr="002E5B81" w14:paraId="0664AD68" w14:textId="77777777" w:rsidTr="003F1BDC">
        <w:tc>
          <w:tcPr>
            <w:tcW w:w="5665" w:type="dxa"/>
            <w:tcBorders>
              <w:bottom w:val="nil"/>
            </w:tcBorders>
          </w:tcPr>
          <w:p w14:paraId="1DD05FF3" w14:textId="77777777" w:rsidR="003F1BDC" w:rsidRPr="002E5B81" w:rsidRDefault="003F1BDC" w:rsidP="003F1BDC">
            <w:pPr>
              <w:rPr>
                <w:rFonts w:cs="Arial"/>
                <w:sz w:val="19"/>
                <w:szCs w:val="19"/>
              </w:rPr>
            </w:pPr>
            <w:r w:rsidRPr="002E5B81">
              <w:rPr>
                <w:rFonts w:cs="Arial"/>
                <w:sz w:val="19"/>
                <w:szCs w:val="19"/>
              </w:rPr>
              <w:t>Ethnicity (%, 95% CI)</w:t>
            </w:r>
          </w:p>
        </w:tc>
        <w:tc>
          <w:tcPr>
            <w:tcW w:w="2315" w:type="dxa"/>
            <w:tcBorders>
              <w:bottom w:val="nil"/>
            </w:tcBorders>
          </w:tcPr>
          <w:p w14:paraId="5DFDA53F" w14:textId="77777777" w:rsidR="003F1BDC" w:rsidRPr="002E5B81" w:rsidRDefault="003F1BDC" w:rsidP="003F1BDC">
            <w:pPr>
              <w:jc w:val="center"/>
              <w:rPr>
                <w:rFonts w:cs="Arial"/>
                <w:sz w:val="19"/>
                <w:szCs w:val="19"/>
              </w:rPr>
            </w:pPr>
          </w:p>
        </w:tc>
        <w:tc>
          <w:tcPr>
            <w:tcW w:w="2315" w:type="dxa"/>
            <w:tcBorders>
              <w:bottom w:val="nil"/>
            </w:tcBorders>
          </w:tcPr>
          <w:p w14:paraId="66B95606" w14:textId="77777777" w:rsidR="003F1BDC" w:rsidRPr="002E5B81" w:rsidRDefault="003F1BDC" w:rsidP="003F1BDC">
            <w:pPr>
              <w:jc w:val="center"/>
              <w:rPr>
                <w:rFonts w:cs="Arial"/>
                <w:sz w:val="19"/>
                <w:szCs w:val="19"/>
              </w:rPr>
            </w:pPr>
          </w:p>
        </w:tc>
        <w:tc>
          <w:tcPr>
            <w:tcW w:w="2316" w:type="dxa"/>
            <w:tcBorders>
              <w:bottom w:val="nil"/>
            </w:tcBorders>
          </w:tcPr>
          <w:p w14:paraId="6F2612D9" w14:textId="77777777" w:rsidR="003F1BDC" w:rsidRPr="002E5B81" w:rsidRDefault="003F1BDC" w:rsidP="003F1BDC">
            <w:pPr>
              <w:jc w:val="center"/>
              <w:rPr>
                <w:rFonts w:cs="Arial"/>
                <w:sz w:val="19"/>
                <w:szCs w:val="19"/>
              </w:rPr>
            </w:pPr>
          </w:p>
        </w:tc>
        <w:tc>
          <w:tcPr>
            <w:tcW w:w="992" w:type="dxa"/>
            <w:tcBorders>
              <w:bottom w:val="nil"/>
            </w:tcBorders>
          </w:tcPr>
          <w:p w14:paraId="22ADF38A" w14:textId="77777777" w:rsidR="003F1BDC" w:rsidRPr="002E5B81" w:rsidRDefault="003F1BDC" w:rsidP="003F1BDC">
            <w:pPr>
              <w:jc w:val="center"/>
              <w:rPr>
                <w:rFonts w:cs="Arial"/>
                <w:sz w:val="19"/>
                <w:szCs w:val="19"/>
              </w:rPr>
            </w:pPr>
          </w:p>
        </w:tc>
      </w:tr>
      <w:tr w:rsidR="003F1BDC" w:rsidRPr="002E5B81" w14:paraId="42E2495E" w14:textId="77777777" w:rsidTr="003F1BDC">
        <w:tc>
          <w:tcPr>
            <w:tcW w:w="5665" w:type="dxa"/>
            <w:tcBorders>
              <w:top w:val="nil"/>
              <w:bottom w:val="nil"/>
            </w:tcBorders>
          </w:tcPr>
          <w:p w14:paraId="5F5D3211" w14:textId="77777777" w:rsidR="003F1BDC" w:rsidRPr="002E5B81" w:rsidRDefault="003F1BDC" w:rsidP="003F1BDC">
            <w:pPr>
              <w:ind w:left="340"/>
              <w:rPr>
                <w:rFonts w:cs="Arial"/>
                <w:sz w:val="19"/>
                <w:szCs w:val="19"/>
              </w:rPr>
            </w:pPr>
            <w:r w:rsidRPr="002E5B81">
              <w:rPr>
                <w:rFonts w:cs="Arial"/>
                <w:sz w:val="19"/>
                <w:szCs w:val="19"/>
              </w:rPr>
              <w:t>White</w:t>
            </w:r>
          </w:p>
        </w:tc>
        <w:tc>
          <w:tcPr>
            <w:tcW w:w="2315" w:type="dxa"/>
            <w:tcBorders>
              <w:top w:val="nil"/>
              <w:bottom w:val="nil"/>
            </w:tcBorders>
          </w:tcPr>
          <w:p w14:paraId="1556945D" w14:textId="77777777" w:rsidR="003F1BDC" w:rsidRPr="002E5B81" w:rsidRDefault="003F1BDC" w:rsidP="003F1BDC">
            <w:pPr>
              <w:jc w:val="center"/>
              <w:rPr>
                <w:rFonts w:cs="Arial"/>
                <w:sz w:val="19"/>
                <w:szCs w:val="19"/>
              </w:rPr>
            </w:pPr>
            <w:r w:rsidRPr="002E5B81">
              <w:rPr>
                <w:rFonts w:cs="Arial"/>
                <w:sz w:val="19"/>
                <w:szCs w:val="19"/>
              </w:rPr>
              <w:t>90.9 (89.6 to 92.1)</w:t>
            </w:r>
          </w:p>
        </w:tc>
        <w:tc>
          <w:tcPr>
            <w:tcW w:w="2315" w:type="dxa"/>
            <w:tcBorders>
              <w:top w:val="nil"/>
              <w:bottom w:val="nil"/>
            </w:tcBorders>
          </w:tcPr>
          <w:p w14:paraId="358673A0" w14:textId="77777777" w:rsidR="003F1BDC" w:rsidRPr="002E5B81" w:rsidRDefault="003F1BDC" w:rsidP="003F1BDC">
            <w:pPr>
              <w:jc w:val="center"/>
              <w:rPr>
                <w:rFonts w:cs="Arial"/>
                <w:sz w:val="19"/>
                <w:szCs w:val="19"/>
              </w:rPr>
            </w:pPr>
            <w:r>
              <w:rPr>
                <w:rFonts w:cs="Arial"/>
                <w:sz w:val="19"/>
                <w:szCs w:val="19"/>
              </w:rPr>
              <w:t>87.7 (86.0 to 89.3</w:t>
            </w:r>
            <w:r w:rsidRPr="002E5B81">
              <w:rPr>
                <w:rFonts w:cs="Arial"/>
                <w:sz w:val="19"/>
                <w:szCs w:val="19"/>
              </w:rPr>
              <w:t>)</w:t>
            </w:r>
          </w:p>
        </w:tc>
        <w:tc>
          <w:tcPr>
            <w:tcW w:w="2316" w:type="dxa"/>
            <w:tcBorders>
              <w:top w:val="nil"/>
              <w:bottom w:val="nil"/>
            </w:tcBorders>
          </w:tcPr>
          <w:p w14:paraId="020E91AD" w14:textId="77777777" w:rsidR="003F1BDC" w:rsidRPr="002E5B81" w:rsidRDefault="003F1BDC" w:rsidP="003F1BDC">
            <w:pPr>
              <w:jc w:val="center"/>
              <w:rPr>
                <w:rFonts w:cs="Arial"/>
                <w:sz w:val="19"/>
                <w:szCs w:val="19"/>
              </w:rPr>
            </w:pPr>
            <w:r>
              <w:rPr>
                <w:rFonts w:cs="Arial"/>
                <w:sz w:val="19"/>
                <w:szCs w:val="19"/>
              </w:rPr>
              <w:t>87.5 (85.4 to 89.4</w:t>
            </w:r>
            <w:r w:rsidRPr="002E5B81">
              <w:rPr>
                <w:rFonts w:cs="Arial"/>
                <w:sz w:val="19"/>
                <w:szCs w:val="19"/>
              </w:rPr>
              <w:t>)</w:t>
            </w:r>
          </w:p>
        </w:tc>
        <w:tc>
          <w:tcPr>
            <w:tcW w:w="992" w:type="dxa"/>
            <w:tcBorders>
              <w:top w:val="nil"/>
              <w:bottom w:val="nil"/>
            </w:tcBorders>
          </w:tcPr>
          <w:p w14:paraId="03F75771"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03D2806F" w14:textId="77777777" w:rsidTr="003F1BDC">
        <w:tc>
          <w:tcPr>
            <w:tcW w:w="5665" w:type="dxa"/>
            <w:tcBorders>
              <w:top w:val="nil"/>
              <w:bottom w:val="nil"/>
            </w:tcBorders>
          </w:tcPr>
          <w:p w14:paraId="7E257845" w14:textId="77777777" w:rsidR="003F1BDC" w:rsidRPr="002E5B81" w:rsidRDefault="003F1BDC" w:rsidP="003F1BDC">
            <w:pPr>
              <w:ind w:left="340"/>
              <w:rPr>
                <w:rFonts w:cs="Arial"/>
                <w:sz w:val="19"/>
                <w:szCs w:val="19"/>
              </w:rPr>
            </w:pPr>
            <w:r w:rsidRPr="002E5B81">
              <w:rPr>
                <w:rFonts w:cs="Arial"/>
                <w:sz w:val="19"/>
                <w:szCs w:val="19"/>
              </w:rPr>
              <w:t>Mixed</w:t>
            </w:r>
          </w:p>
        </w:tc>
        <w:tc>
          <w:tcPr>
            <w:tcW w:w="2315" w:type="dxa"/>
            <w:tcBorders>
              <w:top w:val="nil"/>
              <w:bottom w:val="nil"/>
            </w:tcBorders>
          </w:tcPr>
          <w:p w14:paraId="7E83FDE0" w14:textId="77777777" w:rsidR="003F1BDC" w:rsidRPr="002E5B81" w:rsidRDefault="003F1BDC" w:rsidP="003F1BDC">
            <w:pPr>
              <w:jc w:val="center"/>
              <w:rPr>
                <w:rFonts w:cs="Arial"/>
                <w:sz w:val="19"/>
                <w:szCs w:val="19"/>
              </w:rPr>
            </w:pPr>
            <w:r w:rsidRPr="002E5B81">
              <w:rPr>
                <w:rFonts w:cs="Arial"/>
                <w:sz w:val="19"/>
                <w:szCs w:val="19"/>
              </w:rPr>
              <w:t>0.6 (0.3 to 1.0)</w:t>
            </w:r>
          </w:p>
        </w:tc>
        <w:tc>
          <w:tcPr>
            <w:tcW w:w="2315" w:type="dxa"/>
            <w:tcBorders>
              <w:top w:val="nil"/>
              <w:bottom w:val="nil"/>
            </w:tcBorders>
          </w:tcPr>
          <w:p w14:paraId="28AF82AC" w14:textId="77777777" w:rsidR="003F1BDC" w:rsidRPr="002E5B81" w:rsidRDefault="003F1BDC" w:rsidP="003F1BDC">
            <w:pPr>
              <w:jc w:val="center"/>
              <w:rPr>
                <w:rFonts w:cs="Arial"/>
                <w:sz w:val="19"/>
                <w:szCs w:val="19"/>
              </w:rPr>
            </w:pPr>
            <w:r w:rsidRPr="002E5B81">
              <w:rPr>
                <w:rFonts w:cs="Arial"/>
                <w:sz w:val="19"/>
                <w:szCs w:val="19"/>
              </w:rPr>
              <w:t>0</w:t>
            </w:r>
            <w:r>
              <w:rPr>
                <w:rFonts w:cs="Arial"/>
                <w:sz w:val="19"/>
                <w:szCs w:val="19"/>
              </w:rPr>
              <w:t>.9 (0.5 to 1.5</w:t>
            </w:r>
            <w:r w:rsidRPr="002E5B81">
              <w:rPr>
                <w:rFonts w:cs="Arial"/>
                <w:sz w:val="19"/>
                <w:szCs w:val="19"/>
              </w:rPr>
              <w:t>)</w:t>
            </w:r>
          </w:p>
        </w:tc>
        <w:tc>
          <w:tcPr>
            <w:tcW w:w="2316" w:type="dxa"/>
            <w:tcBorders>
              <w:top w:val="nil"/>
              <w:bottom w:val="nil"/>
            </w:tcBorders>
          </w:tcPr>
          <w:p w14:paraId="7034C38B" w14:textId="77777777" w:rsidR="003F1BDC" w:rsidRPr="002E5B81" w:rsidRDefault="003F1BDC" w:rsidP="003F1BDC">
            <w:pPr>
              <w:jc w:val="center"/>
              <w:rPr>
                <w:rFonts w:cs="Arial"/>
                <w:sz w:val="19"/>
                <w:szCs w:val="19"/>
              </w:rPr>
            </w:pPr>
            <w:r>
              <w:rPr>
                <w:rFonts w:cs="Arial"/>
                <w:sz w:val="19"/>
                <w:szCs w:val="19"/>
              </w:rPr>
              <w:t>1.7 (1.0 to 2.6</w:t>
            </w:r>
            <w:r w:rsidRPr="002E5B81">
              <w:rPr>
                <w:rFonts w:cs="Arial"/>
                <w:sz w:val="19"/>
                <w:szCs w:val="19"/>
              </w:rPr>
              <w:t>)</w:t>
            </w:r>
          </w:p>
        </w:tc>
        <w:tc>
          <w:tcPr>
            <w:tcW w:w="992" w:type="dxa"/>
            <w:tcBorders>
              <w:top w:val="nil"/>
              <w:bottom w:val="nil"/>
            </w:tcBorders>
          </w:tcPr>
          <w:p w14:paraId="333E9B24" w14:textId="77777777" w:rsidR="003F1BDC" w:rsidRPr="002E5B81" w:rsidRDefault="003F1BDC" w:rsidP="003F1BDC">
            <w:pPr>
              <w:jc w:val="center"/>
              <w:rPr>
                <w:rFonts w:cs="Arial"/>
                <w:sz w:val="19"/>
                <w:szCs w:val="19"/>
              </w:rPr>
            </w:pPr>
          </w:p>
        </w:tc>
      </w:tr>
      <w:tr w:rsidR="003F1BDC" w:rsidRPr="002E5B81" w14:paraId="1331B865" w14:textId="77777777" w:rsidTr="003F1BDC">
        <w:tc>
          <w:tcPr>
            <w:tcW w:w="5665" w:type="dxa"/>
            <w:tcBorders>
              <w:top w:val="nil"/>
              <w:bottom w:val="nil"/>
            </w:tcBorders>
          </w:tcPr>
          <w:p w14:paraId="3D95D952" w14:textId="77777777" w:rsidR="003F1BDC" w:rsidRPr="002E5B81" w:rsidRDefault="003F1BDC" w:rsidP="003F1BDC">
            <w:pPr>
              <w:ind w:left="340"/>
              <w:rPr>
                <w:rFonts w:cs="Arial"/>
                <w:sz w:val="19"/>
                <w:szCs w:val="19"/>
              </w:rPr>
            </w:pPr>
            <w:r w:rsidRPr="002E5B81">
              <w:rPr>
                <w:rFonts w:cs="Arial"/>
                <w:sz w:val="19"/>
                <w:szCs w:val="19"/>
              </w:rPr>
              <w:t xml:space="preserve">Asian </w:t>
            </w:r>
          </w:p>
        </w:tc>
        <w:tc>
          <w:tcPr>
            <w:tcW w:w="2315" w:type="dxa"/>
            <w:tcBorders>
              <w:top w:val="nil"/>
              <w:bottom w:val="nil"/>
            </w:tcBorders>
          </w:tcPr>
          <w:p w14:paraId="38BF0511" w14:textId="77777777" w:rsidR="003F1BDC" w:rsidRPr="002E5B81" w:rsidRDefault="003F1BDC" w:rsidP="003F1BDC">
            <w:pPr>
              <w:jc w:val="center"/>
              <w:rPr>
                <w:rFonts w:cs="Arial"/>
                <w:sz w:val="19"/>
                <w:szCs w:val="19"/>
              </w:rPr>
            </w:pPr>
            <w:r w:rsidRPr="002E5B81">
              <w:rPr>
                <w:rFonts w:cs="Arial"/>
                <w:sz w:val="19"/>
                <w:szCs w:val="19"/>
              </w:rPr>
              <w:t>3.1 (2.4 to 4.0)</w:t>
            </w:r>
          </w:p>
        </w:tc>
        <w:tc>
          <w:tcPr>
            <w:tcW w:w="2315" w:type="dxa"/>
            <w:tcBorders>
              <w:top w:val="nil"/>
              <w:bottom w:val="nil"/>
            </w:tcBorders>
          </w:tcPr>
          <w:p w14:paraId="133234B2" w14:textId="77777777" w:rsidR="003F1BDC" w:rsidRPr="002E5B81" w:rsidRDefault="003F1BDC" w:rsidP="003F1BDC">
            <w:pPr>
              <w:jc w:val="center"/>
              <w:rPr>
                <w:rFonts w:cs="Arial"/>
                <w:sz w:val="19"/>
                <w:szCs w:val="19"/>
              </w:rPr>
            </w:pPr>
            <w:r>
              <w:rPr>
                <w:rFonts w:cs="Arial"/>
                <w:sz w:val="19"/>
                <w:szCs w:val="19"/>
              </w:rPr>
              <w:t>4.5 (3.5 to 5.6</w:t>
            </w:r>
            <w:r w:rsidRPr="002E5B81">
              <w:rPr>
                <w:rFonts w:cs="Arial"/>
                <w:sz w:val="19"/>
                <w:szCs w:val="19"/>
              </w:rPr>
              <w:t>)</w:t>
            </w:r>
          </w:p>
        </w:tc>
        <w:tc>
          <w:tcPr>
            <w:tcW w:w="2316" w:type="dxa"/>
            <w:tcBorders>
              <w:top w:val="nil"/>
              <w:bottom w:val="nil"/>
            </w:tcBorders>
          </w:tcPr>
          <w:p w14:paraId="081C4A23" w14:textId="77777777" w:rsidR="003F1BDC" w:rsidRPr="002E5B81" w:rsidRDefault="003F1BDC" w:rsidP="003F1BDC">
            <w:pPr>
              <w:jc w:val="center"/>
              <w:rPr>
                <w:rFonts w:cs="Arial"/>
                <w:sz w:val="19"/>
                <w:szCs w:val="19"/>
              </w:rPr>
            </w:pPr>
            <w:r>
              <w:rPr>
                <w:rFonts w:cs="Arial"/>
                <w:sz w:val="19"/>
                <w:szCs w:val="19"/>
              </w:rPr>
              <w:t>5.8 (4.5</w:t>
            </w:r>
            <w:r w:rsidRPr="002E5B81">
              <w:rPr>
                <w:rFonts w:cs="Arial"/>
                <w:sz w:val="19"/>
                <w:szCs w:val="19"/>
              </w:rPr>
              <w:t xml:space="preserve"> to 7.3)</w:t>
            </w:r>
          </w:p>
        </w:tc>
        <w:tc>
          <w:tcPr>
            <w:tcW w:w="992" w:type="dxa"/>
            <w:tcBorders>
              <w:top w:val="nil"/>
              <w:bottom w:val="nil"/>
            </w:tcBorders>
          </w:tcPr>
          <w:p w14:paraId="4054E067" w14:textId="77777777" w:rsidR="003F1BDC" w:rsidRPr="002E5B81" w:rsidRDefault="003F1BDC" w:rsidP="003F1BDC">
            <w:pPr>
              <w:jc w:val="center"/>
              <w:rPr>
                <w:rFonts w:cs="Arial"/>
                <w:sz w:val="19"/>
                <w:szCs w:val="19"/>
              </w:rPr>
            </w:pPr>
          </w:p>
        </w:tc>
      </w:tr>
      <w:tr w:rsidR="003F1BDC" w:rsidRPr="002E5B81" w14:paraId="0E281F2C" w14:textId="77777777" w:rsidTr="003F1BDC">
        <w:tc>
          <w:tcPr>
            <w:tcW w:w="5665" w:type="dxa"/>
            <w:tcBorders>
              <w:top w:val="nil"/>
              <w:bottom w:val="nil"/>
            </w:tcBorders>
          </w:tcPr>
          <w:p w14:paraId="757BC086" w14:textId="77777777" w:rsidR="003F1BDC" w:rsidRPr="002E5B81" w:rsidRDefault="003F1BDC" w:rsidP="003F1BDC">
            <w:pPr>
              <w:ind w:left="340"/>
              <w:rPr>
                <w:rFonts w:cs="Arial"/>
                <w:sz w:val="19"/>
                <w:szCs w:val="19"/>
              </w:rPr>
            </w:pPr>
            <w:r w:rsidRPr="002E5B81">
              <w:rPr>
                <w:rFonts w:cs="Arial"/>
                <w:sz w:val="19"/>
                <w:szCs w:val="19"/>
              </w:rPr>
              <w:t>Black/African/Caribbean</w:t>
            </w:r>
          </w:p>
        </w:tc>
        <w:tc>
          <w:tcPr>
            <w:tcW w:w="2315" w:type="dxa"/>
            <w:tcBorders>
              <w:top w:val="nil"/>
              <w:bottom w:val="nil"/>
            </w:tcBorders>
          </w:tcPr>
          <w:p w14:paraId="2795B99C" w14:textId="77777777" w:rsidR="003F1BDC" w:rsidRPr="002E5B81" w:rsidRDefault="003F1BDC" w:rsidP="003F1BDC">
            <w:pPr>
              <w:jc w:val="center"/>
              <w:rPr>
                <w:rFonts w:cs="Arial"/>
                <w:sz w:val="19"/>
                <w:szCs w:val="19"/>
              </w:rPr>
            </w:pPr>
            <w:r w:rsidRPr="002E5B81">
              <w:rPr>
                <w:rFonts w:cs="Arial"/>
                <w:sz w:val="19"/>
                <w:szCs w:val="19"/>
              </w:rPr>
              <w:t>0.5 (0.3 to 1.0)</w:t>
            </w:r>
          </w:p>
        </w:tc>
        <w:tc>
          <w:tcPr>
            <w:tcW w:w="2315" w:type="dxa"/>
            <w:tcBorders>
              <w:top w:val="nil"/>
              <w:bottom w:val="nil"/>
            </w:tcBorders>
          </w:tcPr>
          <w:p w14:paraId="35FE62ED" w14:textId="77777777" w:rsidR="003F1BDC" w:rsidRPr="002E5B81" w:rsidRDefault="003F1BDC" w:rsidP="003F1BDC">
            <w:pPr>
              <w:jc w:val="center"/>
              <w:rPr>
                <w:rFonts w:cs="Arial"/>
                <w:sz w:val="19"/>
                <w:szCs w:val="19"/>
              </w:rPr>
            </w:pPr>
            <w:r>
              <w:rPr>
                <w:rFonts w:cs="Arial"/>
                <w:sz w:val="19"/>
                <w:szCs w:val="19"/>
              </w:rPr>
              <w:t>1.7</w:t>
            </w:r>
            <w:r w:rsidRPr="002E5B81">
              <w:rPr>
                <w:rFonts w:cs="Arial"/>
                <w:sz w:val="19"/>
                <w:szCs w:val="19"/>
              </w:rPr>
              <w:t xml:space="preserve"> (1.2 to 2.5)</w:t>
            </w:r>
          </w:p>
        </w:tc>
        <w:tc>
          <w:tcPr>
            <w:tcW w:w="2316" w:type="dxa"/>
            <w:tcBorders>
              <w:top w:val="nil"/>
              <w:bottom w:val="nil"/>
            </w:tcBorders>
          </w:tcPr>
          <w:p w14:paraId="7B25DBFC" w14:textId="77777777" w:rsidR="003F1BDC" w:rsidRPr="002E5B81" w:rsidRDefault="003F1BDC" w:rsidP="003F1BDC">
            <w:pPr>
              <w:jc w:val="center"/>
              <w:rPr>
                <w:rFonts w:cs="Arial"/>
                <w:sz w:val="19"/>
                <w:szCs w:val="19"/>
              </w:rPr>
            </w:pPr>
            <w:r>
              <w:rPr>
                <w:rFonts w:cs="Arial"/>
                <w:sz w:val="19"/>
                <w:szCs w:val="19"/>
              </w:rPr>
              <w:t>2.5 (1.6 to 3.5</w:t>
            </w:r>
            <w:r w:rsidRPr="002E5B81">
              <w:rPr>
                <w:rFonts w:cs="Arial"/>
                <w:sz w:val="19"/>
                <w:szCs w:val="19"/>
              </w:rPr>
              <w:t>)</w:t>
            </w:r>
          </w:p>
        </w:tc>
        <w:tc>
          <w:tcPr>
            <w:tcW w:w="992" w:type="dxa"/>
            <w:tcBorders>
              <w:top w:val="nil"/>
              <w:bottom w:val="nil"/>
            </w:tcBorders>
          </w:tcPr>
          <w:p w14:paraId="76755418" w14:textId="77777777" w:rsidR="003F1BDC" w:rsidRPr="002E5B81" w:rsidRDefault="003F1BDC" w:rsidP="003F1BDC">
            <w:pPr>
              <w:jc w:val="center"/>
              <w:rPr>
                <w:rFonts w:cs="Arial"/>
                <w:sz w:val="19"/>
                <w:szCs w:val="19"/>
              </w:rPr>
            </w:pPr>
          </w:p>
        </w:tc>
      </w:tr>
      <w:tr w:rsidR="003F1BDC" w:rsidRPr="002E5B81" w14:paraId="70AE62D4" w14:textId="77777777" w:rsidTr="003F1BDC">
        <w:tc>
          <w:tcPr>
            <w:tcW w:w="5665" w:type="dxa"/>
            <w:tcBorders>
              <w:top w:val="nil"/>
              <w:bottom w:val="nil"/>
            </w:tcBorders>
          </w:tcPr>
          <w:p w14:paraId="3440979A" w14:textId="77777777" w:rsidR="003F1BDC" w:rsidRPr="002E5B81" w:rsidRDefault="003F1BDC" w:rsidP="003F1BDC">
            <w:pPr>
              <w:ind w:left="340"/>
              <w:rPr>
                <w:rFonts w:cs="Arial"/>
                <w:sz w:val="19"/>
                <w:szCs w:val="19"/>
              </w:rPr>
            </w:pPr>
            <w:r w:rsidRPr="002E5B81">
              <w:rPr>
                <w:rFonts w:cs="Arial"/>
                <w:sz w:val="19"/>
                <w:szCs w:val="19"/>
              </w:rPr>
              <w:t>Other</w:t>
            </w:r>
          </w:p>
        </w:tc>
        <w:tc>
          <w:tcPr>
            <w:tcW w:w="2315" w:type="dxa"/>
            <w:tcBorders>
              <w:top w:val="nil"/>
              <w:bottom w:val="nil"/>
            </w:tcBorders>
          </w:tcPr>
          <w:p w14:paraId="2D04C6C3" w14:textId="77777777" w:rsidR="003F1BDC" w:rsidRPr="002E5B81" w:rsidRDefault="003F1BDC" w:rsidP="003F1BDC">
            <w:pPr>
              <w:jc w:val="center"/>
              <w:rPr>
                <w:rFonts w:cs="Arial"/>
                <w:sz w:val="19"/>
                <w:szCs w:val="19"/>
              </w:rPr>
            </w:pPr>
            <w:r w:rsidRPr="002E5B81">
              <w:rPr>
                <w:rFonts w:cs="Arial"/>
                <w:sz w:val="19"/>
                <w:szCs w:val="19"/>
              </w:rPr>
              <w:t>0.7 (0.4 to 1.2)</w:t>
            </w:r>
          </w:p>
        </w:tc>
        <w:tc>
          <w:tcPr>
            <w:tcW w:w="2315" w:type="dxa"/>
            <w:tcBorders>
              <w:top w:val="nil"/>
              <w:bottom w:val="nil"/>
            </w:tcBorders>
          </w:tcPr>
          <w:p w14:paraId="2B49FC2F" w14:textId="77777777" w:rsidR="003F1BDC" w:rsidRPr="002E5B81" w:rsidRDefault="003F1BDC" w:rsidP="003F1BDC">
            <w:pPr>
              <w:jc w:val="center"/>
              <w:rPr>
                <w:rFonts w:cs="Arial"/>
                <w:sz w:val="19"/>
                <w:szCs w:val="19"/>
              </w:rPr>
            </w:pPr>
            <w:r w:rsidRPr="002E5B81">
              <w:rPr>
                <w:rFonts w:cs="Arial"/>
                <w:sz w:val="19"/>
                <w:szCs w:val="19"/>
              </w:rPr>
              <w:t>0.4 (0.2 to 0.9)</w:t>
            </w:r>
          </w:p>
        </w:tc>
        <w:tc>
          <w:tcPr>
            <w:tcW w:w="2316" w:type="dxa"/>
            <w:tcBorders>
              <w:top w:val="nil"/>
              <w:bottom w:val="nil"/>
            </w:tcBorders>
          </w:tcPr>
          <w:p w14:paraId="505C6CA4" w14:textId="77777777" w:rsidR="003F1BDC" w:rsidRPr="002E5B81" w:rsidRDefault="003F1BDC" w:rsidP="003F1BDC">
            <w:pPr>
              <w:jc w:val="center"/>
              <w:rPr>
                <w:rFonts w:cs="Arial"/>
                <w:sz w:val="19"/>
                <w:szCs w:val="19"/>
              </w:rPr>
            </w:pPr>
            <w:r>
              <w:rPr>
                <w:rFonts w:cs="Arial"/>
                <w:sz w:val="19"/>
                <w:szCs w:val="19"/>
              </w:rPr>
              <w:t>0.4 (0.1 to 1.0</w:t>
            </w:r>
            <w:r w:rsidRPr="002E5B81">
              <w:rPr>
                <w:rFonts w:cs="Arial"/>
                <w:sz w:val="19"/>
                <w:szCs w:val="19"/>
              </w:rPr>
              <w:t>)</w:t>
            </w:r>
          </w:p>
        </w:tc>
        <w:tc>
          <w:tcPr>
            <w:tcW w:w="992" w:type="dxa"/>
            <w:tcBorders>
              <w:top w:val="nil"/>
              <w:bottom w:val="nil"/>
            </w:tcBorders>
          </w:tcPr>
          <w:p w14:paraId="04C0BA0E" w14:textId="77777777" w:rsidR="003F1BDC" w:rsidRPr="002E5B81" w:rsidRDefault="003F1BDC" w:rsidP="003F1BDC">
            <w:pPr>
              <w:jc w:val="center"/>
              <w:rPr>
                <w:rFonts w:cs="Arial"/>
                <w:sz w:val="19"/>
                <w:szCs w:val="19"/>
              </w:rPr>
            </w:pPr>
          </w:p>
        </w:tc>
      </w:tr>
      <w:tr w:rsidR="003F1BDC" w:rsidRPr="002E5B81" w14:paraId="1A519E94" w14:textId="77777777" w:rsidTr="003F1BDC">
        <w:tc>
          <w:tcPr>
            <w:tcW w:w="5665" w:type="dxa"/>
            <w:tcBorders>
              <w:top w:val="nil"/>
            </w:tcBorders>
          </w:tcPr>
          <w:p w14:paraId="6D12649C" w14:textId="77777777" w:rsidR="003F1BDC" w:rsidRPr="002E5B81" w:rsidRDefault="003F1BDC" w:rsidP="003F1BDC">
            <w:pPr>
              <w:ind w:left="340"/>
              <w:rPr>
                <w:rFonts w:cs="Arial"/>
                <w:sz w:val="19"/>
                <w:szCs w:val="19"/>
              </w:rPr>
            </w:pPr>
            <w:r w:rsidRPr="002E5B81">
              <w:rPr>
                <w:rFonts w:cs="Arial"/>
                <w:sz w:val="19"/>
                <w:szCs w:val="19"/>
              </w:rPr>
              <w:t>Not specified</w:t>
            </w:r>
          </w:p>
        </w:tc>
        <w:tc>
          <w:tcPr>
            <w:tcW w:w="2315" w:type="dxa"/>
            <w:tcBorders>
              <w:top w:val="nil"/>
            </w:tcBorders>
          </w:tcPr>
          <w:p w14:paraId="75AAAFC7" w14:textId="77777777" w:rsidR="003F1BDC" w:rsidRPr="002E5B81" w:rsidRDefault="003F1BDC" w:rsidP="003F1BDC">
            <w:pPr>
              <w:jc w:val="center"/>
              <w:rPr>
                <w:rFonts w:cs="Arial"/>
                <w:sz w:val="19"/>
                <w:szCs w:val="19"/>
              </w:rPr>
            </w:pPr>
            <w:r w:rsidRPr="002E5B81">
              <w:rPr>
                <w:rFonts w:cs="Arial"/>
                <w:sz w:val="19"/>
                <w:szCs w:val="19"/>
              </w:rPr>
              <w:t>4.1 (3.3 to 5.1)</w:t>
            </w:r>
          </w:p>
        </w:tc>
        <w:tc>
          <w:tcPr>
            <w:tcW w:w="2315" w:type="dxa"/>
            <w:tcBorders>
              <w:top w:val="nil"/>
            </w:tcBorders>
          </w:tcPr>
          <w:p w14:paraId="30264FEB" w14:textId="77777777" w:rsidR="003F1BDC" w:rsidRPr="002E5B81" w:rsidRDefault="003F1BDC" w:rsidP="003F1BDC">
            <w:pPr>
              <w:jc w:val="center"/>
              <w:rPr>
                <w:rFonts w:cs="Arial"/>
                <w:sz w:val="19"/>
                <w:szCs w:val="19"/>
              </w:rPr>
            </w:pPr>
            <w:r>
              <w:rPr>
                <w:rFonts w:cs="Arial"/>
                <w:sz w:val="19"/>
                <w:szCs w:val="19"/>
              </w:rPr>
              <w:t>4.7 (3.7 to 5.8</w:t>
            </w:r>
            <w:r w:rsidRPr="002E5B81">
              <w:rPr>
                <w:rFonts w:cs="Arial"/>
                <w:sz w:val="19"/>
                <w:szCs w:val="19"/>
              </w:rPr>
              <w:t>)</w:t>
            </w:r>
          </w:p>
        </w:tc>
        <w:tc>
          <w:tcPr>
            <w:tcW w:w="2316" w:type="dxa"/>
            <w:tcBorders>
              <w:top w:val="nil"/>
            </w:tcBorders>
          </w:tcPr>
          <w:p w14:paraId="48D4B021" w14:textId="77777777" w:rsidR="003F1BDC" w:rsidRPr="002E5B81" w:rsidRDefault="003F1BDC" w:rsidP="003F1BDC">
            <w:pPr>
              <w:jc w:val="center"/>
              <w:rPr>
                <w:rFonts w:cs="Arial"/>
                <w:sz w:val="19"/>
                <w:szCs w:val="19"/>
              </w:rPr>
            </w:pPr>
            <w:r>
              <w:rPr>
                <w:rFonts w:cs="Arial"/>
                <w:sz w:val="19"/>
                <w:szCs w:val="19"/>
              </w:rPr>
              <w:t>2.1 (1.4 to 3.1</w:t>
            </w:r>
            <w:r w:rsidRPr="002E5B81">
              <w:rPr>
                <w:rFonts w:cs="Arial"/>
                <w:sz w:val="19"/>
                <w:szCs w:val="19"/>
              </w:rPr>
              <w:t>)</w:t>
            </w:r>
          </w:p>
        </w:tc>
        <w:tc>
          <w:tcPr>
            <w:tcW w:w="992" w:type="dxa"/>
            <w:tcBorders>
              <w:top w:val="nil"/>
            </w:tcBorders>
          </w:tcPr>
          <w:p w14:paraId="2275BFF3" w14:textId="77777777" w:rsidR="003F1BDC" w:rsidRPr="002E5B81" w:rsidRDefault="003F1BDC" w:rsidP="003F1BDC">
            <w:pPr>
              <w:jc w:val="center"/>
              <w:rPr>
                <w:rFonts w:cs="Arial"/>
                <w:sz w:val="19"/>
                <w:szCs w:val="19"/>
              </w:rPr>
            </w:pPr>
          </w:p>
        </w:tc>
      </w:tr>
      <w:tr w:rsidR="003F1BDC" w:rsidRPr="002E5B81" w14:paraId="5D79FC59" w14:textId="77777777" w:rsidTr="003F1BDC">
        <w:tc>
          <w:tcPr>
            <w:tcW w:w="5665" w:type="dxa"/>
          </w:tcPr>
          <w:p w14:paraId="483D4A50" w14:textId="77777777" w:rsidR="003F1BDC" w:rsidRPr="002E5B81" w:rsidRDefault="003F1BDC" w:rsidP="003F1BDC">
            <w:pPr>
              <w:rPr>
                <w:rFonts w:cs="Arial"/>
                <w:sz w:val="19"/>
                <w:szCs w:val="19"/>
              </w:rPr>
            </w:pPr>
            <w:r w:rsidRPr="002E5B81">
              <w:rPr>
                <w:rFonts w:cs="Arial"/>
                <w:sz w:val="19"/>
                <w:szCs w:val="19"/>
              </w:rPr>
              <w:t>Inter-pregnancy interval (median, IQR)</w:t>
            </w:r>
          </w:p>
        </w:tc>
        <w:tc>
          <w:tcPr>
            <w:tcW w:w="2315" w:type="dxa"/>
          </w:tcPr>
          <w:p w14:paraId="7258C1E4" w14:textId="77777777" w:rsidR="003F1BDC" w:rsidRPr="002E5B81" w:rsidRDefault="003F1BDC" w:rsidP="003F1BDC">
            <w:pPr>
              <w:jc w:val="center"/>
              <w:rPr>
                <w:rFonts w:cs="Arial"/>
                <w:sz w:val="19"/>
                <w:szCs w:val="19"/>
              </w:rPr>
            </w:pPr>
            <w:r w:rsidRPr="002E5B81">
              <w:rPr>
                <w:rFonts w:cs="Arial"/>
                <w:sz w:val="19"/>
                <w:szCs w:val="19"/>
              </w:rPr>
              <w:t>21.4 (14.4 to 31.4)</w:t>
            </w:r>
          </w:p>
        </w:tc>
        <w:tc>
          <w:tcPr>
            <w:tcW w:w="2315" w:type="dxa"/>
          </w:tcPr>
          <w:p w14:paraId="52133812" w14:textId="77777777" w:rsidR="003F1BDC" w:rsidRPr="002E5B81" w:rsidRDefault="003F1BDC" w:rsidP="003F1BDC">
            <w:pPr>
              <w:jc w:val="center"/>
              <w:rPr>
                <w:rFonts w:cs="Arial"/>
                <w:sz w:val="19"/>
                <w:szCs w:val="19"/>
              </w:rPr>
            </w:pPr>
            <w:r w:rsidRPr="002E5B81">
              <w:rPr>
                <w:rFonts w:cs="Arial"/>
                <w:sz w:val="19"/>
                <w:szCs w:val="19"/>
              </w:rPr>
              <w:t>22.7 (13.8 to 3</w:t>
            </w:r>
            <w:r>
              <w:rPr>
                <w:rFonts w:cs="Arial"/>
                <w:sz w:val="19"/>
                <w:szCs w:val="19"/>
              </w:rPr>
              <w:t>3.1</w:t>
            </w:r>
            <w:r w:rsidRPr="002E5B81">
              <w:rPr>
                <w:rFonts w:cs="Arial"/>
                <w:sz w:val="19"/>
                <w:szCs w:val="19"/>
              </w:rPr>
              <w:t>)</w:t>
            </w:r>
          </w:p>
        </w:tc>
        <w:tc>
          <w:tcPr>
            <w:tcW w:w="2316" w:type="dxa"/>
          </w:tcPr>
          <w:p w14:paraId="465AE846" w14:textId="77777777" w:rsidR="003F1BDC" w:rsidRPr="002E5B81" w:rsidRDefault="003F1BDC" w:rsidP="003F1BDC">
            <w:pPr>
              <w:jc w:val="center"/>
              <w:rPr>
                <w:rFonts w:cs="Arial"/>
                <w:sz w:val="19"/>
                <w:szCs w:val="19"/>
              </w:rPr>
            </w:pPr>
            <w:r>
              <w:rPr>
                <w:rFonts w:cs="Arial"/>
                <w:sz w:val="19"/>
                <w:szCs w:val="19"/>
              </w:rPr>
              <w:t>26.2</w:t>
            </w:r>
            <w:r w:rsidRPr="002E5B81">
              <w:rPr>
                <w:rFonts w:cs="Arial"/>
                <w:sz w:val="19"/>
                <w:szCs w:val="19"/>
              </w:rPr>
              <w:t xml:space="preserve"> (15.6 to 40.5)</w:t>
            </w:r>
          </w:p>
        </w:tc>
        <w:tc>
          <w:tcPr>
            <w:tcW w:w="992" w:type="dxa"/>
          </w:tcPr>
          <w:p w14:paraId="288DA830"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757DEAEA" w14:textId="77777777" w:rsidTr="003F1BDC">
        <w:tc>
          <w:tcPr>
            <w:tcW w:w="5665" w:type="dxa"/>
            <w:tcBorders>
              <w:bottom w:val="nil"/>
            </w:tcBorders>
          </w:tcPr>
          <w:p w14:paraId="2BD2C40A" w14:textId="77777777" w:rsidR="003F1BDC" w:rsidRPr="002E5B81" w:rsidRDefault="003F1BDC" w:rsidP="003F1BDC">
            <w:pPr>
              <w:rPr>
                <w:rFonts w:cs="Arial"/>
                <w:sz w:val="19"/>
                <w:szCs w:val="19"/>
              </w:rPr>
            </w:pPr>
            <w:r w:rsidRPr="002E5B81">
              <w:rPr>
                <w:rFonts w:cs="Arial"/>
                <w:sz w:val="19"/>
                <w:szCs w:val="19"/>
              </w:rPr>
              <w:t>Inter-pregnancy interval (%, 95% CI)</w:t>
            </w:r>
          </w:p>
        </w:tc>
        <w:tc>
          <w:tcPr>
            <w:tcW w:w="2315" w:type="dxa"/>
            <w:tcBorders>
              <w:bottom w:val="nil"/>
            </w:tcBorders>
          </w:tcPr>
          <w:p w14:paraId="4FB78814" w14:textId="77777777" w:rsidR="003F1BDC" w:rsidRPr="002E5B81" w:rsidRDefault="003F1BDC" w:rsidP="003F1BDC">
            <w:pPr>
              <w:jc w:val="center"/>
              <w:rPr>
                <w:rFonts w:cs="Arial"/>
                <w:sz w:val="19"/>
                <w:szCs w:val="19"/>
              </w:rPr>
            </w:pPr>
          </w:p>
        </w:tc>
        <w:tc>
          <w:tcPr>
            <w:tcW w:w="2315" w:type="dxa"/>
            <w:tcBorders>
              <w:bottom w:val="nil"/>
            </w:tcBorders>
          </w:tcPr>
          <w:p w14:paraId="4EEC35F1" w14:textId="77777777" w:rsidR="003F1BDC" w:rsidRPr="002E5B81" w:rsidRDefault="003F1BDC" w:rsidP="003F1BDC">
            <w:pPr>
              <w:jc w:val="center"/>
              <w:rPr>
                <w:rFonts w:cs="Arial"/>
                <w:sz w:val="19"/>
                <w:szCs w:val="19"/>
              </w:rPr>
            </w:pPr>
          </w:p>
        </w:tc>
        <w:tc>
          <w:tcPr>
            <w:tcW w:w="2316" w:type="dxa"/>
            <w:tcBorders>
              <w:bottom w:val="nil"/>
            </w:tcBorders>
          </w:tcPr>
          <w:p w14:paraId="56DE2DC0" w14:textId="77777777" w:rsidR="003F1BDC" w:rsidRPr="002E5B81" w:rsidRDefault="003F1BDC" w:rsidP="003F1BDC">
            <w:pPr>
              <w:jc w:val="center"/>
              <w:rPr>
                <w:rFonts w:cs="Arial"/>
                <w:sz w:val="19"/>
                <w:szCs w:val="19"/>
              </w:rPr>
            </w:pPr>
          </w:p>
        </w:tc>
        <w:tc>
          <w:tcPr>
            <w:tcW w:w="992" w:type="dxa"/>
            <w:tcBorders>
              <w:bottom w:val="nil"/>
            </w:tcBorders>
          </w:tcPr>
          <w:p w14:paraId="248DF85E" w14:textId="77777777" w:rsidR="003F1BDC" w:rsidRPr="002E5B81" w:rsidRDefault="003F1BDC" w:rsidP="003F1BDC">
            <w:pPr>
              <w:jc w:val="center"/>
              <w:rPr>
                <w:rFonts w:cs="Arial"/>
                <w:sz w:val="19"/>
                <w:szCs w:val="19"/>
              </w:rPr>
            </w:pPr>
          </w:p>
        </w:tc>
      </w:tr>
      <w:tr w:rsidR="003F1BDC" w:rsidRPr="002E5B81" w14:paraId="532B22F7" w14:textId="77777777" w:rsidTr="003F1BDC">
        <w:tc>
          <w:tcPr>
            <w:tcW w:w="5665" w:type="dxa"/>
            <w:tcBorders>
              <w:top w:val="nil"/>
              <w:bottom w:val="nil"/>
            </w:tcBorders>
          </w:tcPr>
          <w:p w14:paraId="7AA9F8C2" w14:textId="77777777" w:rsidR="003F1BDC" w:rsidRPr="002E5B81" w:rsidRDefault="003F1BDC" w:rsidP="003F1BDC">
            <w:pPr>
              <w:ind w:left="340"/>
              <w:rPr>
                <w:rFonts w:cs="Arial"/>
                <w:sz w:val="19"/>
                <w:szCs w:val="19"/>
              </w:rPr>
            </w:pPr>
            <w:r w:rsidRPr="002E5B81">
              <w:rPr>
                <w:rFonts w:cs="Arial"/>
                <w:sz w:val="19"/>
                <w:szCs w:val="19"/>
              </w:rPr>
              <w:t>0-11 months</w:t>
            </w:r>
          </w:p>
        </w:tc>
        <w:tc>
          <w:tcPr>
            <w:tcW w:w="2315" w:type="dxa"/>
            <w:tcBorders>
              <w:top w:val="nil"/>
              <w:bottom w:val="nil"/>
            </w:tcBorders>
          </w:tcPr>
          <w:p w14:paraId="65B91E17" w14:textId="77777777" w:rsidR="003F1BDC" w:rsidRPr="002E5B81" w:rsidRDefault="003F1BDC" w:rsidP="003F1BDC">
            <w:pPr>
              <w:jc w:val="center"/>
              <w:rPr>
                <w:rFonts w:cs="Arial"/>
                <w:sz w:val="19"/>
                <w:szCs w:val="19"/>
              </w:rPr>
            </w:pPr>
            <w:r w:rsidRPr="002E5B81">
              <w:rPr>
                <w:rFonts w:cs="Arial"/>
                <w:sz w:val="19"/>
                <w:szCs w:val="19"/>
              </w:rPr>
              <w:t>16.7 (15.1 to 18.3)</w:t>
            </w:r>
          </w:p>
        </w:tc>
        <w:tc>
          <w:tcPr>
            <w:tcW w:w="2315" w:type="dxa"/>
            <w:tcBorders>
              <w:top w:val="nil"/>
              <w:bottom w:val="nil"/>
            </w:tcBorders>
          </w:tcPr>
          <w:p w14:paraId="09C43CB0" w14:textId="77777777" w:rsidR="003F1BDC" w:rsidRPr="002E5B81" w:rsidRDefault="003F1BDC" w:rsidP="003F1BDC">
            <w:pPr>
              <w:jc w:val="center"/>
              <w:rPr>
                <w:rFonts w:cs="Arial"/>
                <w:sz w:val="19"/>
                <w:szCs w:val="19"/>
              </w:rPr>
            </w:pPr>
            <w:r w:rsidRPr="002E5B81">
              <w:rPr>
                <w:rFonts w:cs="Arial"/>
                <w:sz w:val="19"/>
                <w:szCs w:val="19"/>
              </w:rPr>
              <w:t>18.4 (16.6 to 20.4)</w:t>
            </w:r>
          </w:p>
        </w:tc>
        <w:tc>
          <w:tcPr>
            <w:tcW w:w="2316" w:type="dxa"/>
            <w:tcBorders>
              <w:top w:val="nil"/>
              <w:bottom w:val="nil"/>
            </w:tcBorders>
          </w:tcPr>
          <w:p w14:paraId="4858E7BB" w14:textId="77777777" w:rsidR="003F1BDC" w:rsidRPr="002E5B81" w:rsidRDefault="003F1BDC" w:rsidP="003F1BDC">
            <w:pPr>
              <w:jc w:val="center"/>
              <w:rPr>
                <w:rFonts w:cs="Arial"/>
                <w:sz w:val="19"/>
                <w:szCs w:val="19"/>
              </w:rPr>
            </w:pPr>
            <w:r>
              <w:rPr>
                <w:rFonts w:cs="Arial"/>
                <w:sz w:val="19"/>
                <w:szCs w:val="19"/>
              </w:rPr>
              <w:t>16.7 (14.6</w:t>
            </w:r>
            <w:r w:rsidRPr="002E5B81">
              <w:rPr>
                <w:rFonts w:cs="Arial"/>
                <w:sz w:val="19"/>
                <w:szCs w:val="19"/>
              </w:rPr>
              <w:t xml:space="preserve"> to 19.0)</w:t>
            </w:r>
          </w:p>
        </w:tc>
        <w:tc>
          <w:tcPr>
            <w:tcW w:w="992" w:type="dxa"/>
            <w:tcBorders>
              <w:top w:val="nil"/>
              <w:bottom w:val="nil"/>
            </w:tcBorders>
          </w:tcPr>
          <w:p w14:paraId="15BEC8D4"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7C9259A5" w14:textId="77777777" w:rsidTr="003F1BDC">
        <w:tc>
          <w:tcPr>
            <w:tcW w:w="5665" w:type="dxa"/>
            <w:tcBorders>
              <w:top w:val="nil"/>
              <w:bottom w:val="nil"/>
            </w:tcBorders>
          </w:tcPr>
          <w:p w14:paraId="38E92F2E" w14:textId="77777777" w:rsidR="003F1BDC" w:rsidRPr="002E5B81" w:rsidRDefault="003F1BDC" w:rsidP="003F1BDC">
            <w:pPr>
              <w:ind w:left="340"/>
              <w:rPr>
                <w:rFonts w:cs="Arial"/>
                <w:sz w:val="19"/>
                <w:szCs w:val="19"/>
              </w:rPr>
            </w:pPr>
            <w:r w:rsidRPr="002E5B81">
              <w:rPr>
                <w:rFonts w:cs="Arial"/>
                <w:sz w:val="19"/>
                <w:szCs w:val="19"/>
              </w:rPr>
              <w:t>12-23 months</w:t>
            </w:r>
          </w:p>
        </w:tc>
        <w:tc>
          <w:tcPr>
            <w:tcW w:w="2315" w:type="dxa"/>
            <w:tcBorders>
              <w:top w:val="nil"/>
              <w:bottom w:val="nil"/>
            </w:tcBorders>
          </w:tcPr>
          <w:p w14:paraId="64C3BC32" w14:textId="77777777" w:rsidR="003F1BDC" w:rsidRPr="002E5B81" w:rsidRDefault="003F1BDC" w:rsidP="003F1BDC">
            <w:pPr>
              <w:jc w:val="center"/>
              <w:rPr>
                <w:rFonts w:cs="Arial"/>
                <w:sz w:val="19"/>
                <w:szCs w:val="19"/>
              </w:rPr>
            </w:pPr>
            <w:r w:rsidRPr="002E5B81">
              <w:rPr>
                <w:rFonts w:cs="Arial"/>
                <w:sz w:val="19"/>
                <w:szCs w:val="19"/>
              </w:rPr>
              <w:t>41.9 (39.7 go 44.0)</w:t>
            </w:r>
          </w:p>
        </w:tc>
        <w:tc>
          <w:tcPr>
            <w:tcW w:w="2315" w:type="dxa"/>
            <w:tcBorders>
              <w:top w:val="nil"/>
              <w:bottom w:val="nil"/>
            </w:tcBorders>
          </w:tcPr>
          <w:p w14:paraId="4417A4C1" w14:textId="77777777" w:rsidR="003F1BDC" w:rsidRPr="002E5B81" w:rsidRDefault="003F1BDC" w:rsidP="003F1BDC">
            <w:pPr>
              <w:jc w:val="center"/>
              <w:rPr>
                <w:rFonts w:cs="Arial"/>
                <w:sz w:val="19"/>
                <w:szCs w:val="19"/>
              </w:rPr>
            </w:pPr>
            <w:r>
              <w:rPr>
                <w:rFonts w:cs="Arial"/>
                <w:sz w:val="19"/>
                <w:szCs w:val="19"/>
              </w:rPr>
              <w:t>36.2 (33.8</w:t>
            </w:r>
            <w:r w:rsidRPr="002E5B81">
              <w:rPr>
                <w:rFonts w:cs="Arial"/>
                <w:sz w:val="19"/>
                <w:szCs w:val="19"/>
              </w:rPr>
              <w:t xml:space="preserve"> to 38.6)</w:t>
            </w:r>
          </w:p>
        </w:tc>
        <w:tc>
          <w:tcPr>
            <w:tcW w:w="2316" w:type="dxa"/>
            <w:tcBorders>
              <w:top w:val="nil"/>
              <w:bottom w:val="nil"/>
            </w:tcBorders>
          </w:tcPr>
          <w:p w14:paraId="5A184ABE" w14:textId="77777777" w:rsidR="003F1BDC" w:rsidRPr="002E5B81" w:rsidRDefault="003F1BDC" w:rsidP="003F1BDC">
            <w:pPr>
              <w:jc w:val="center"/>
              <w:rPr>
                <w:rFonts w:cs="Arial"/>
                <w:sz w:val="19"/>
                <w:szCs w:val="19"/>
              </w:rPr>
            </w:pPr>
            <w:r>
              <w:rPr>
                <w:rFonts w:cs="Arial"/>
                <w:sz w:val="19"/>
                <w:szCs w:val="19"/>
              </w:rPr>
              <w:t>29.4 (26.7 to 32.1</w:t>
            </w:r>
            <w:r w:rsidRPr="002E5B81">
              <w:rPr>
                <w:rFonts w:cs="Arial"/>
                <w:sz w:val="19"/>
                <w:szCs w:val="19"/>
              </w:rPr>
              <w:t>)</w:t>
            </w:r>
          </w:p>
        </w:tc>
        <w:tc>
          <w:tcPr>
            <w:tcW w:w="992" w:type="dxa"/>
            <w:tcBorders>
              <w:top w:val="nil"/>
              <w:bottom w:val="nil"/>
            </w:tcBorders>
          </w:tcPr>
          <w:p w14:paraId="70F83190" w14:textId="77777777" w:rsidR="003F1BDC" w:rsidRPr="002E5B81" w:rsidRDefault="003F1BDC" w:rsidP="003F1BDC">
            <w:pPr>
              <w:jc w:val="center"/>
              <w:rPr>
                <w:rFonts w:cs="Arial"/>
                <w:sz w:val="19"/>
                <w:szCs w:val="19"/>
              </w:rPr>
            </w:pPr>
          </w:p>
        </w:tc>
      </w:tr>
      <w:tr w:rsidR="003F1BDC" w:rsidRPr="002E5B81" w14:paraId="3AD85B1A" w14:textId="77777777" w:rsidTr="003F1BDC">
        <w:tc>
          <w:tcPr>
            <w:tcW w:w="5665" w:type="dxa"/>
            <w:tcBorders>
              <w:top w:val="nil"/>
              <w:bottom w:val="nil"/>
            </w:tcBorders>
          </w:tcPr>
          <w:p w14:paraId="1586045B" w14:textId="77777777" w:rsidR="003F1BDC" w:rsidRPr="002E5B81" w:rsidRDefault="003F1BDC" w:rsidP="003F1BDC">
            <w:pPr>
              <w:ind w:left="340"/>
              <w:rPr>
                <w:rFonts w:cs="Arial"/>
                <w:sz w:val="19"/>
                <w:szCs w:val="19"/>
              </w:rPr>
            </w:pPr>
            <w:r w:rsidRPr="002E5B81">
              <w:rPr>
                <w:rFonts w:cs="Arial"/>
                <w:sz w:val="19"/>
                <w:szCs w:val="19"/>
              </w:rPr>
              <w:t>24-35 months</w:t>
            </w:r>
          </w:p>
        </w:tc>
        <w:tc>
          <w:tcPr>
            <w:tcW w:w="2315" w:type="dxa"/>
            <w:tcBorders>
              <w:top w:val="nil"/>
              <w:bottom w:val="nil"/>
            </w:tcBorders>
          </w:tcPr>
          <w:p w14:paraId="5161E2CF" w14:textId="77777777" w:rsidR="003F1BDC" w:rsidRPr="002E5B81" w:rsidRDefault="003F1BDC" w:rsidP="003F1BDC">
            <w:pPr>
              <w:jc w:val="center"/>
              <w:rPr>
                <w:rFonts w:cs="Arial"/>
                <w:sz w:val="19"/>
                <w:szCs w:val="19"/>
              </w:rPr>
            </w:pPr>
            <w:r w:rsidRPr="002E5B81">
              <w:rPr>
                <w:rFonts w:cs="Arial"/>
                <w:sz w:val="19"/>
                <w:szCs w:val="19"/>
              </w:rPr>
              <w:t>24.2 (22.4 to 26.1)</w:t>
            </w:r>
          </w:p>
        </w:tc>
        <w:tc>
          <w:tcPr>
            <w:tcW w:w="2315" w:type="dxa"/>
            <w:tcBorders>
              <w:top w:val="nil"/>
              <w:bottom w:val="nil"/>
            </w:tcBorders>
          </w:tcPr>
          <w:p w14:paraId="3347118A" w14:textId="77777777" w:rsidR="003F1BDC" w:rsidRPr="002E5B81" w:rsidRDefault="003F1BDC" w:rsidP="003F1BDC">
            <w:pPr>
              <w:jc w:val="center"/>
              <w:rPr>
                <w:rFonts w:cs="Arial"/>
                <w:sz w:val="19"/>
                <w:szCs w:val="19"/>
              </w:rPr>
            </w:pPr>
            <w:r>
              <w:rPr>
                <w:rFonts w:cs="Arial"/>
                <w:sz w:val="19"/>
                <w:szCs w:val="19"/>
              </w:rPr>
              <w:t>24.6 (22.5 to 26.8</w:t>
            </w:r>
            <w:r w:rsidRPr="002E5B81">
              <w:rPr>
                <w:rFonts w:cs="Arial"/>
                <w:sz w:val="19"/>
                <w:szCs w:val="19"/>
              </w:rPr>
              <w:t>)</w:t>
            </w:r>
          </w:p>
        </w:tc>
        <w:tc>
          <w:tcPr>
            <w:tcW w:w="2316" w:type="dxa"/>
            <w:tcBorders>
              <w:top w:val="nil"/>
              <w:bottom w:val="nil"/>
            </w:tcBorders>
          </w:tcPr>
          <w:p w14:paraId="4878BC04" w14:textId="77777777" w:rsidR="003F1BDC" w:rsidRPr="002E5B81" w:rsidRDefault="003F1BDC" w:rsidP="003F1BDC">
            <w:pPr>
              <w:jc w:val="center"/>
              <w:rPr>
                <w:rFonts w:cs="Arial"/>
                <w:sz w:val="19"/>
                <w:szCs w:val="19"/>
              </w:rPr>
            </w:pPr>
            <w:r>
              <w:rPr>
                <w:rFonts w:cs="Arial"/>
                <w:sz w:val="19"/>
                <w:szCs w:val="19"/>
              </w:rPr>
              <w:t>23.5 (21.0 to 26.1</w:t>
            </w:r>
            <w:r w:rsidRPr="002E5B81">
              <w:rPr>
                <w:rFonts w:cs="Arial"/>
                <w:sz w:val="19"/>
                <w:szCs w:val="19"/>
              </w:rPr>
              <w:t>)</w:t>
            </w:r>
          </w:p>
        </w:tc>
        <w:tc>
          <w:tcPr>
            <w:tcW w:w="992" w:type="dxa"/>
            <w:tcBorders>
              <w:top w:val="nil"/>
              <w:bottom w:val="nil"/>
            </w:tcBorders>
          </w:tcPr>
          <w:p w14:paraId="5AD1B9F9" w14:textId="77777777" w:rsidR="003F1BDC" w:rsidRPr="002E5B81" w:rsidRDefault="003F1BDC" w:rsidP="003F1BDC">
            <w:pPr>
              <w:jc w:val="center"/>
              <w:rPr>
                <w:rFonts w:cs="Arial"/>
                <w:sz w:val="19"/>
                <w:szCs w:val="19"/>
              </w:rPr>
            </w:pPr>
          </w:p>
        </w:tc>
      </w:tr>
      <w:tr w:rsidR="003F1BDC" w:rsidRPr="002E5B81" w14:paraId="5E540E2B" w14:textId="77777777" w:rsidTr="003F1BDC">
        <w:tc>
          <w:tcPr>
            <w:tcW w:w="5665" w:type="dxa"/>
            <w:tcBorders>
              <w:top w:val="nil"/>
            </w:tcBorders>
          </w:tcPr>
          <w:p w14:paraId="192BBF87" w14:textId="77777777" w:rsidR="003F1BDC" w:rsidRPr="002E5B81" w:rsidRDefault="003F1BDC" w:rsidP="003F1BDC">
            <w:pPr>
              <w:ind w:left="340"/>
              <w:rPr>
                <w:rFonts w:cs="Arial"/>
                <w:sz w:val="19"/>
                <w:szCs w:val="19"/>
              </w:rPr>
            </w:pPr>
            <w:r w:rsidRPr="002E5B81">
              <w:rPr>
                <w:rFonts w:cs="Arial"/>
                <w:sz w:val="19"/>
                <w:szCs w:val="19"/>
              </w:rPr>
              <w:t>36 months or more</w:t>
            </w:r>
          </w:p>
        </w:tc>
        <w:tc>
          <w:tcPr>
            <w:tcW w:w="2315" w:type="dxa"/>
            <w:tcBorders>
              <w:top w:val="nil"/>
            </w:tcBorders>
          </w:tcPr>
          <w:p w14:paraId="3E5F51AB" w14:textId="77777777" w:rsidR="003F1BDC" w:rsidRPr="002E5B81" w:rsidRDefault="003F1BDC" w:rsidP="003F1BDC">
            <w:pPr>
              <w:jc w:val="center"/>
              <w:rPr>
                <w:rFonts w:cs="Arial"/>
                <w:sz w:val="19"/>
                <w:szCs w:val="19"/>
              </w:rPr>
            </w:pPr>
            <w:r w:rsidRPr="002E5B81">
              <w:rPr>
                <w:rFonts w:cs="Arial"/>
                <w:sz w:val="19"/>
                <w:szCs w:val="19"/>
              </w:rPr>
              <w:t>17.2 (15.6 to 19.0)</w:t>
            </w:r>
          </w:p>
        </w:tc>
        <w:tc>
          <w:tcPr>
            <w:tcW w:w="2315" w:type="dxa"/>
            <w:tcBorders>
              <w:top w:val="nil"/>
            </w:tcBorders>
          </w:tcPr>
          <w:p w14:paraId="69CCECBA" w14:textId="77777777" w:rsidR="003F1BDC" w:rsidRPr="002E5B81" w:rsidRDefault="003F1BDC" w:rsidP="003F1BDC">
            <w:pPr>
              <w:jc w:val="center"/>
              <w:rPr>
                <w:rFonts w:cs="Arial"/>
                <w:sz w:val="19"/>
                <w:szCs w:val="19"/>
              </w:rPr>
            </w:pPr>
            <w:r>
              <w:rPr>
                <w:rFonts w:cs="Arial"/>
                <w:sz w:val="19"/>
                <w:szCs w:val="19"/>
              </w:rPr>
              <w:t>20.7 (18.8 to 22.8</w:t>
            </w:r>
            <w:r w:rsidRPr="002E5B81">
              <w:rPr>
                <w:rFonts w:cs="Arial"/>
                <w:sz w:val="19"/>
                <w:szCs w:val="19"/>
              </w:rPr>
              <w:t>)</w:t>
            </w:r>
          </w:p>
        </w:tc>
        <w:tc>
          <w:tcPr>
            <w:tcW w:w="2316" w:type="dxa"/>
            <w:tcBorders>
              <w:top w:val="nil"/>
            </w:tcBorders>
          </w:tcPr>
          <w:p w14:paraId="75A29314" w14:textId="77777777" w:rsidR="003F1BDC" w:rsidRPr="002E5B81" w:rsidRDefault="003F1BDC" w:rsidP="003F1BDC">
            <w:pPr>
              <w:jc w:val="center"/>
              <w:rPr>
                <w:rFonts w:cs="Arial"/>
                <w:sz w:val="19"/>
                <w:szCs w:val="19"/>
              </w:rPr>
            </w:pPr>
            <w:r>
              <w:rPr>
                <w:rFonts w:cs="Arial"/>
                <w:sz w:val="19"/>
                <w:szCs w:val="19"/>
              </w:rPr>
              <w:t>30.4 (27.8 to 33.2</w:t>
            </w:r>
            <w:r w:rsidRPr="002E5B81">
              <w:rPr>
                <w:rFonts w:cs="Arial"/>
                <w:sz w:val="19"/>
                <w:szCs w:val="19"/>
              </w:rPr>
              <w:t xml:space="preserve">) </w:t>
            </w:r>
          </w:p>
        </w:tc>
        <w:tc>
          <w:tcPr>
            <w:tcW w:w="992" w:type="dxa"/>
            <w:tcBorders>
              <w:top w:val="nil"/>
            </w:tcBorders>
          </w:tcPr>
          <w:p w14:paraId="78F15B9A" w14:textId="77777777" w:rsidR="003F1BDC" w:rsidRPr="002E5B81" w:rsidRDefault="003F1BDC" w:rsidP="003F1BDC">
            <w:pPr>
              <w:jc w:val="center"/>
              <w:rPr>
                <w:rFonts w:cs="Arial"/>
                <w:sz w:val="19"/>
                <w:szCs w:val="19"/>
              </w:rPr>
            </w:pPr>
          </w:p>
        </w:tc>
      </w:tr>
      <w:tr w:rsidR="003F1BDC" w:rsidRPr="002E5B81" w14:paraId="730B6E9D" w14:textId="77777777" w:rsidTr="003F1BDC">
        <w:tc>
          <w:tcPr>
            <w:tcW w:w="5665" w:type="dxa"/>
          </w:tcPr>
          <w:p w14:paraId="59B05EC3" w14:textId="0C8DE6A7" w:rsidR="003F1BDC" w:rsidRPr="002E5B81" w:rsidRDefault="003F1BDC" w:rsidP="003F1BDC">
            <w:pPr>
              <w:rPr>
                <w:rFonts w:cs="Arial"/>
                <w:sz w:val="19"/>
                <w:szCs w:val="19"/>
              </w:rPr>
            </w:pPr>
            <w:r w:rsidRPr="002E5B81">
              <w:rPr>
                <w:rFonts w:cs="Arial"/>
                <w:sz w:val="19"/>
                <w:szCs w:val="19"/>
              </w:rPr>
              <w:t>Birthweight</w:t>
            </w:r>
            <w:r w:rsidR="002028AB">
              <w:rPr>
                <w:rFonts w:cs="Arial"/>
                <w:sz w:val="19"/>
                <w:szCs w:val="19"/>
              </w:rPr>
              <w:t xml:space="preserve"> (second pregnancy)</w:t>
            </w:r>
            <w:r w:rsidRPr="002E5B81">
              <w:rPr>
                <w:rFonts w:cs="Arial"/>
                <w:sz w:val="19"/>
                <w:szCs w:val="19"/>
              </w:rPr>
              <w:t>, grams (mean ± SD)</w:t>
            </w:r>
          </w:p>
        </w:tc>
        <w:tc>
          <w:tcPr>
            <w:tcW w:w="2315" w:type="dxa"/>
          </w:tcPr>
          <w:p w14:paraId="5E304231" w14:textId="77777777" w:rsidR="003F1BDC" w:rsidRPr="002E5B81" w:rsidRDefault="003F1BDC" w:rsidP="003F1BDC">
            <w:pPr>
              <w:jc w:val="center"/>
              <w:rPr>
                <w:rFonts w:cs="Arial"/>
                <w:sz w:val="19"/>
                <w:szCs w:val="19"/>
              </w:rPr>
            </w:pPr>
            <w:r w:rsidRPr="002E5B81">
              <w:rPr>
                <w:rFonts w:cs="Arial"/>
                <w:sz w:val="19"/>
                <w:szCs w:val="19"/>
              </w:rPr>
              <w:t>3505 ± 501</w:t>
            </w:r>
          </w:p>
        </w:tc>
        <w:tc>
          <w:tcPr>
            <w:tcW w:w="2315" w:type="dxa"/>
          </w:tcPr>
          <w:p w14:paraId="7C684C74" w14:textId="77777777" w:rsidR="003F1BDC" w:rsidRPr="002E5B81" w:rsidRDefault="003F1BDC" w:rsidP="003F1BDC">
            <w:pPr>
              <w:jc w:val="center"/>
              <w:rPr>
                <w:rFonts w:cs="Arial"/>
                <w:sz w:val="19"/>
                <w:szCs w:val="19"/>
              </w:rPr>
            </w:pPr>
            <w:r>
              <w:rPr>
                <w:rFonts w:cs="Arial"/>
                <w:sz w:val="19"/>
                <w:szCs w:val="19"/>
              </w:rPr>
              <w:t>3550 ± 515</w:t>
            </w:r>
          </w:p>
        </w:tc>
        <w:tc>
          <w:tcPr>
            <w:tcW w:w="2316" w:type="dxa"/>
          </w:tcPr>
          <w:p w14:paraId="484A0B9B" w14:textId="77777777" w:rsidR="003F1BDC" w:rsidRPr="002E5B81" w:rsidRDefault="003F1BDC" w:rsidP="003F1BDC">
            <w:pPr>
              <w:jc w:val="center"/>
              <w:rPr>
                <w:rFonts w:cs="Arial"/>
                <w:sz w:val="19"/>
                <w:szCs w:val="19"/>
              </w:rPr>
            </w:pPr>
            <w:r>
              <w:rPr>
                <w:rFonts w:cs="Arial"/>
                <w:sz w:val="19"/>
                <w:szCs w:val="19"/>
              </w:rPr>
              <w:t>3560</w:t>
            </w:r>
            <w:r w:rsidRPr="002E5B81">
              <w:rPr>
                <w:rFonts w:cs="Arial"/>
                <w:sz w:val="19"/>
                <w:szCs w:val="19"/>
              </w:rPr>
              <w:t xml:space="preserve"> ±</w:t>
            </w:r>
            <w:r>
              <w:rPr>
                <w:rFonts w:cs="Arial"/>
                <w:sz w:val="19"/>
                <w:szCs w:val="19"/>
              </w:rPr>
              <w:t xml:space="preserve"> 547</w:t>
            </w:r>
          </w:p>
        </w:tc>
        <w:tc>
          <w:tcPr>
            <w:tcW w:w="992" w:type="dxa"/>
          </w:tcPr>
          <w:p w14:paraId="5BAC10C0" w14:textId="77777777" w:rsidR="003F1BDC" w:rsidRPr="002E5B81" w:rsidRDefault="003F1BDC" w:rsidP="003F1BDC">
            <w:pPr>
              <w:jc w:val="center"/>
              <w:rPr>
                <w:rFonts w:cs="Arial"/>
                <w:sz w:val="19"/>
                <w:szCs w:val="19"/>
              </w:rPr>
            </w:pPr>
            <w:r w:rsidRPr="002E5B81">
              <w:rPr>
                <w:rFonts w:cs="Arial"/>
                <w:sz w:val="19"/>
                <w:szCs w:val="19"/>
              </w:rPr>
              <w:t>0.004</w:t>
            </w:r>
          </w:p>
        </w:tc>
      </w:tr>
      <w:tr w:rsidR="003F1BDC" w:rsidRPr="002E5B81" w14:paraId="46A1B35A" w14:textId="77777777" w:rsidTr="003F1BDC">
        <w:tc>
          <w:tcPr>
            <w:tcW w:w="5665" w:type="dxa"/>
            <w:tcBorders>
              <w:bottom w:val="nil"/>
            </w:tcBorders>
          </w:tcPr>
          <w:p w14:paraId="189F6736" w14:textId="77777777" w:rsidR="003F1BDC" w:rsidRPr="002E5B81" w:rsidRDefault="003F1BDC" w:rsidP="003F1BDC">
            <w:pPr>
              <w:rPr>
                <w:rFonts w:cs="Arial"/>
                <w:sz w:val="19"/>
                <w:szCs w:val="19"/>
              </w:rPr>
            </w:pPr>
            <w:r w:rsidRPr="002E5B81">
              <w:rPr>
                <w:rFonts w:cs="Arial"/>
                <w:sz w:val="19"/>
                <w:szCs w:val="19"/>
              </w:rPr>
              <w:t>Size at birth (second pregnancy)</w:t>
            </w:r>
          </w:p>
        </w:tc>
        <w:tc>
          <w:tcPr>
            <w:tcW w:w="2315" w:type="dxa"/>
            <w:tcBorders>
              <w:bottom w:val="nil"/>
            </w:tcBorders>
          </w:tcPr>
          <w:p w14:paraId="364744EE" w14:textId="77777777" w:rsidR="003F1BDC" w:rsidRPr="002E5B81" w:rsidRDefault="003F1BDC" w:rsidP="003F1BDC">
            <w:pPr>
              <w:jc w:val="center"/>
              <w:rPr>
                <w:rFonts w:cs="Arial"/>
                <w:sz w:val="19"/>
                <w:szCs w:val="19"/>
              </w:rPr>
            </w:pPr>
          </w:p>
        </w:tc>
        <w:tc>
          <w:tcPr>
            <w:tcW w:w="2315" w:type="dxa"/>
            <w:tcBorders>
              <w:bottom w:val="nil"/>
            </w:tcBorders>
          </w:tcPr>
          <w:p w14:paraId="672C2EC8" w14:textId="77777777" w:rsidR="003F1BDC" w:rsidRPr="002E5B81" w:rsidRDefault="003F1BDC" w:rsidP="003F1BDC">
            <w:pPr>
              <w:jc w:val="center"/>
              <w:rPr>
                <w:rFonts w:cs="Arial"/>
                <w:sz w:val="19"/>
                <w:szCs w:val="19"/>
              </w:rPr>
            </w:pPr>
          </w:p>
        </w:tc>
        <w:tc>
          <w:tcPr>
            <w:tcW w:w="2316" w:type="dxa"/>
            <w:tcBorders>
              <w:bottom w:val="nil"/>
            </w:tcBorders>
          </w:tcPr>
          <w:p w14:paraId="250BA412" w14:textId="77777777" w:rsidR="003F1BDC" w:rsidRPr="002E5B81" w:rsidRDefault="003F1BDC" w:rsidP="003F1BDC">
            <w:pPr>
              <w:jc w:val="center"/>
              <w:rPr>
                <w:rFonts w:cs="Arial"/>
                <w:sz w:val="19"/>
                <w:szCs w:val="19"/>
              </w:rPr>
            </w:pPr>
          </w:p>
        </w:tc>
        <w:tc>
          <w:tcPr>
            <w:tcW w:w="992" w:type="dxa"/>
            <w:tcBorders>
              <w:bottom w:val="nil"/>
            </w:tcBorders>
          </w:tcPr>
          <w:p w14:paraId="4AA21237" w14:textId="77777777" w:rsidR="003F1BDC" w:rsidRPr="002E5B81" w:rsidRDefault="003F1BDC" w:rsidP="003F1BDC">
            <w:pPr>
              <w:jc w:val="center"/>
              <w:rPr>
                <w:rFonts w:cs="Arial"/>
                <w:sz w:val="19"/>
                <w:szCs w:val="19"/>
              </w:rPr>
            </w:pPr>
          </w:p>
        </w:tc>
      </w:tr>
      <w:tr w:rsidR="003F1BDC" w:rsidRPr="002E5B81" w14:paraId="502819E5" w14:textId="77777777" w:rsidTr="003F1BDC">
        <w:tc>
          <w:tcPr>
            <w:tcW w:w="5665" w:type="dxa"/>
            <w:tcBorders>
              <w:top w:val="nil"/>
              <w:bottom w:val="nil"/>
            </w:tcBorders>
          </w:tcPr>
          <w:p w14:paraId="446A68B3" w14:textId="77777777" w:rsidR="003F1BDC" w:rsidRPr="002E5B81" w:rsidRDefault="003F1BDC" w:rsidP="003F1BDC">
            <w:pPr>
              <w:ind w:left="340"/>
              <w:rPr>
                <w:rFonts w:cs="Arial"/>
                <w:sz w:val="19"/>
                <w:szCs w:val="19"/>
              </w:rPr>
            </w:pPr>
            <w:r w:rsidRPr="002E5B81">
              <w:rPr>
                <w:rFonts w:cs="Arial"/>
                <w:sz w:val="19"/>
                <w:szCs w:val="19"/>
              </w:rPr>
              <w:t>Small-for-gestational age</w:t>
            </w:r>
          </w:p>
        </w:tc>
        <w:tc>
          <w:tcPr>
            <w:tcW w:w="2315" w:type="dxa"/>
            <w:tcBorders>
              <w:top w:val="nil"/>
              <w:bottom w:val="nil"/>
            </w:tcBorders>
          </w:tcPr>
          <w:p w14:paraId="413F6F2C" w14:textId="77777777" w:rsidR="003F1BDC" w:rsidRPr="002E5B81" w:rsidRDefault="003F1BDC" w:rsidP="003F1BDC">
            <w:pPr>
              <w:jc w:val="center"/>
              <w:rPr>
                <w:rFonts w:cs="Arial"/>
                <w:sz w:val="19"/>
                <w:szCs w:val="19"/>
              </w:rPr>
            </w:pPr>
            <w:r w:rsidRPr="002E5B81">
              <w:rPr>
                <w:rFonts w:cs="Arial"/>
                <w:sz w:val="19"/>
                <w:szCs w:val="19"/>
              </w:rPr>
              <w:t>6.1 (5.0 to 7.1)</w:t>
            </w:r>
          </w:p>
        </w:tc>
        <w:tc>
          <w:tcPr>
            <w:tcW w:w="2315" w:type="dxa"/>
            <w:tcBorders>
              <w:top w:val="nil"/>
              <w:bottom w:val="nil"/>
            </w:tcBorders>
          </w:tcPr>
          <w:p w14:paraId="3998C426" w14:textId="77777777" w:rsidR="003F1BDC" w:rsidRPr="002E5B81" w:rsidRDefault="003F1BDC" w:rsidP="003F1BDC">
            <w:pPr>
              <w:jc w:val="center"/>
              <w:rPr>
                <w:rFonts w:cs="Arial"/>
                <w:sz w:val="19"/>
                <w:szCs w:val="19"/>
              </w:rPr>
            </w:pPr>
            <w:r w:rsidRPr="002E5B81">
              <w:rPr>
                <w:rFonts w:cs="Arial"/>
                <w:sz w:val="19"/>
                <w:szCs w:val="19"/>
              </w:rPr>
              <w:t>5.3 (4.3 to 6.5)</w:t>
            </w:r>
          </w:p>
        </w:tc>
        <w:tc>
          <w:tcPr>
            <w:tcW w:w="2316" w:type="dxa"/>
            <w:tcBorders>
              <w:top w:val="nil"/>
              <w:bottom w:val="nil"/>
            </w:tcBorders>
          </w:tcPr>
          <w:p w14:paraId="34A9C57D" w14:textId="77777777" w:rsidR="003F1BDC" w:rsidRPr="002E5B81" w:rsidRDefault="003F1BDC" w:rsidP="003F1BDC">
            <w:pPr>
              <w:jc w:val="center"/>
              <w:rPr>
                <w:rFonts w:cs="Arial"/>
                <w:sz w:val="19"/>
                <w:szCs w:val="19"/>
              </w:rPr>
            </w:pPr>
            <w:r>
              <w:rPr>
                <w:rFonts w:cs="Arial"/>
                <w:sz w:val="19"/>
                <w:szCs w:val="19"/>
              </w:rPr>
              <w:t>6.5 (5.1 to 8.1</w:t>
            </w:r>
            <w:r w:rsidRPr="002E5B81">
              <w:rPr>
                <w:rFonts w:cs="Arial"/>
                <w:sz w:val="19"/>
                <w:szCs w:val="19"/>
              </w:rPr>
              <w:t>)</w:t>
            </w:r>
          </w:p>
        </w:tc>
        <w:tc>
          <w:tcPr>
            <w:tcW w:w="992" w:type="dxa"/>
            <w:tcBorders>
              <w:top w:val="nil"/>
              <w:bottom w:val="nil"/>
            </w:tcBorders>
          </w:tcPr>
          <w:p w14:paraId="700A2486" w14:textId="77777777" w:rsidR="003F1BDC" w:rsidRPr="002E5B81" w:rsidRDefault="003F1BDC" w:rsidP="003F1BDC">
            <w:pPr>
              <w:jc w:val="center"/>
              <w:rPr>
                <w:rFonts w:cs="Arial"/>
                <w:sz w:val="19"/>
                <w:szCs w:val="19"/>
              </w:rPr>
            </w:pPr>
            <w:r w:rsidRPr="002E5B81">
              <w:rPr>
                <w:rFonts w:cs="Arial"/>
                <w:sz w:val="19"/>
                <w:szCs w:val="19"/>
              </w:rPr>
              <w:t>0.06</w:t>
            </w:r>
          </w:p>
        </w:tc>
      </w:tr>
      <w:tr w:rsidR="003F1BDC" w:rsidRPr="002E5B81" w14:paraId="1690CA55" w14:textId="77777777" w:rsidTr="003F1BDC">
        <w:tc>
          <w:tcPr>
            <w:tcW w:w="5665" w:type="dxa"/>
            <w:tcBorders>
              <w:top w:val="nil"/>
              <w:bottom w:val="nil"/>
            </w:tcBorders>
          </w:tcPr>
          <w:p w14:paraId="2D7651B7" w14:textId="77777777" w:rsidR="003F1BDC" w:rsidRPr="002E5B81" w:rsidRDefault="003F1BDC" w:rsidP="003F1BDC">
            <w:pPr>
              <w:ind w:left="340"/>
              <w:rPr>
                <w:rFonts w:cs="Arial"/>
                <w:sz w:val="19"/>
                <w:szCs w:val="19"/>
              </w:rPr>
            </w:pPr>
            <w:r w:rsidRPr="002E5B81">
              <w:rPr>
                <w:rFonts w:cs="Arial"/>
                <w:sz w:val="19"/>
                <w:szCs w:val="19"/>
              </w:rPr>
              <w:t>Appropriate-for-gestational age</w:t>
            </w:r>
          </w:p>
        </w:tc>
        <w:tc>
          <w:tcPr>
            <w:tcW w:w="2315" w:type="dxa"/>
            <w:tcBorders>
              <w:top w:val="nil"/>
              <w:bottom w:val="nil"/>
            </w:tcBorders>
          </w:tcPr>
          <w:p w14:paraId="2F29A60F" w14:textId="77777777" w:rsidR="003F1BDC" w:rsidRPr="002E5B81" w:rsidRDefault="003F1BDC" w:rsidP="003F1BDC">
            <w:pPr>
              <w:jc w:val="center"/>
              <w:rPr>
                <w:rFonts w:cs="Arial"/>
                <w:sz w:val="19"/>
                <w:szCs w:val="19"/>
              </w:rPr>
            </w:pPr>
            <w:r w:rsidRPr="002E5B81">
              <w:rPr>
                <w:rFonts w:cs="Arial"/>
                <w:sz w:val="19"/>
                <w:szCs w:val="19"/>
              </w:rPr>
              <w:t>80.8 (79.1 to 82.5)</w:t>
            </w:r>
          </w:p>
        </w:tc>
        <w:tc>
          <w:tcPr>
            <w:tcW w:w="2315" w:type="dxa"/>
            <w:tcBorders>
              <w:top w:val="nil"/>
              <w:bottom w:val="nil"/>
            </w:tcBorders>
          </w:tcPr>
          <w:p w14:paraId="6BD45959" w14:textId="77777777" w:rsidR="003F1BDC" w:rsidRPr="002E5B81" w:rsidRDefault="003F1BDC" w:rsidP="003F1BDC">
            <w:pPr>
              <w:jc w:val="center"/>
              <w:rPr>
                <w:rFonts w:cs="Arial"/>
                <w:sz w:val="19"/>
                <w:szCs w:val="19"/>
              </w:rPr>
            </w:pPr>
            <w:r>
              <w:rPr>
                <w:rFonts w:cs="Arial"/>
                <w:sz w:val="19"/>
                <w:szCs w:val="19"/>
              </w:rPr>
              <w:t>80.4 (78.4 to 82.3</w:t>
            </w:r>
            <w:r w:rsidRPr="002E5B81">
              <w:rPr>
                <w:rFonts w:cs="Arial"/>
                <w:sz w:val="19"/>
                <w:szCs w:val="19"/>
              </w:rPr>
              <w:t>)</w:t>
            </w:r>
          </w:p>
        </w:tc>
        <w:tc>
          <w:tcPr>
            <w:tcW w:w="2316" w:type="dxa"/>
            <w:tcBorders>
              <w:top w:val="nil"/>
              <w:bottom w:val="nil"/>
            </w:tcBorders>
          </w:tcPr>
          <w:p w14:paraId="4C74AB9C" w14:textId="77777777" w:rsidR="003F1BDC" w:rsidRPr="002E5B81" w:rsidRDefault="003F1BDC" w:rsidP="003F1BDC">
            <w:pPr>
              <w:jc w:val="center"/>
              <w:rPr>
                <w:rFonts w:cs="Arial"/>
                <w:sz w:val="19"/>
                <w:szCs w:val="19"/>
              </w:rPr>
            </w:pPr>
            <w:r>
              <w:rPr>
                <w:rFonts w:cs="Arial"/>
                <w:sz w:val="19"/>
                <w:szCs w:val="19"/>
              </w:rPr>
              <w:t>76.9 (74.4 to 79.4</w:t>
            </w:r>
            <w:r w:rsidRPr="002E5B81">
              <w:rPr>
                <w:rFonts w:cs="Arial"/>
                <w:sz w:val="19"/>
                <w:szCs w:val="19"/>
              </w:rPr>
              <w:t>)</w:t>
            </w:r>
          </w:p>
        </w:tc>
        <w:tc>
          <w:tcPr>
            <w:tcW w:w="992" w:type="dxa"/>
            <w:tcBorders>
              <w:top w:val="nil"/>
              <w:bottom w:val="nil"/>
            </w:tcBorders>
          </w:tcPr>
          <w:p w14:paraId="32E85850" w14:textId="77777777" w:rsidR="003F1BDC" w:rsidRPr="002E5B81" w:rsidRDefault="003F1BDC" w:rsidP="003F1BDC">
            <w:pPr>
              <w:jc w:val="center"/>
              <w:rPr>
                <w:rFonts w:cs="Arial"/>
                <w:sz w:val="19"/>
                <w:szCs w:val="19"/>
              </w:rPr>
            </w:pPr>
          </w:p>
        </w:tc>
      </w:tr>
      <w:tr w:rsidR="003F1BDC" w:rsidRPr="002E5B81" w14:paraId="4629E320" w14:textId="77777777" w:rsidTr="003F1BDC">
        <w:tc>
          <w:tcPr>
            <w:tcW w:w="5665" w:type="dxa"/>
            <w:tcBorders>
              <w:top w:val="nil"/>
            </w:tcBorders>
          </w:tcPr>
          <w:p w14:paraId="4BAEED7A" w14:textId="77777777" w:rsidR="003F1BDC" w:rsidRPr="002E5B81" w:rsidRDefault="003F1BDC" w:rsidP="003F1BDC">
            <w:pPr>
              <w:ind w:left="340"/>
              <w:rPr>
                <w:rFonts w:cs="Arial"/>
                <w:sz w:val="19"/>
                <w:szCs w:val="19"/>
              </w:rPr>
            </w:pPr>
            <w:r w:rsidRPr="002E5B81">
              <w:rPr>
                <w:rFonts w:cs="Arial"/>
                <w:sz w:val="19"/>
                <w:szCs w:val="19"/>
              </w:rPr>
              <w:t>Large-for-gestational age</w:t>
            </w:r>
          </w:p>
        </w:tc>
        <w:tc>
          <w:tcPr>
            <w:tcW w:w="2315" w:type="dxa"/>
            <w:tcBorders>
              <w:top w:val="nil"/>
            </w:tcBorders>
          </w:tcPr>
          <w:p w14:paraId="10D94FEB" w14:textId="77777777" w:rsidR="003F1BDC" w:rsidRPr="002E5B81" w:rsidRDefault="003F1BDC" w:rsidP="003F1BDC">
            <w:pPr>
              <w:jc w:val="center"/>
              <w:rPr>
                <w:rFonts w:cs="Arial"/>
                <w:sz w:val="19"/>
                <w:szCs w:val="19"/>
              </w:rPr>
            </w:pPr>
            <w:r w:rsidRPr="002E5B81">
              <w:rPr>
                <w:rFonts w:cs="Arial"/>
                <w:sz w:val="19"/>
                <w:szCs w:val="19"/>
              </w:rPr>
              <w:t>13.1 (11.7 to 14.7)</w:t>
            </w:r>
          </w:p>
        </w:tc>
        <w:tc>
          <w:tcPr>
            <w:tcW w:w="2315" w:type="dxa"/>
            <w:tcBorders>
              <w:top w:val="nil"/>
            </w:tcBorders>
          </w:tcPr>
          <w:p w14:paraId="7BDBA1BD" w14:textId="77777777" w:rsidR="003F1BDC" w:rsidRPr="002E5B81" w:rsidRDefault="003F1BDC" w:rsidP="003F1BDC">
            <w:pPr>
              <w:jc w:val="center"/>
              <w:rPr>
                <w:rFonts w:cs="Arial"/>
                <w:sz w:val="19"/>
                <w:szCs w:val="19"/>
              </w:rPr>
            </w:pPr>
            <w:r>
              <w:rPr>
                <w:rFonts w:cs="Arial"/>
                <w:sz w:val="19"/>
                <w:szCs w:val="19"/>
              </w:rPr>
              <w:t>14.3 (12.6</w:t>
            </w:r>
            <w:r w:rsidRPr="002E5B81">
              <w:rPr>
                <w:rFonts w:cs="Arial"/>
                <w:sz w:val="19"/>
                <w:szCs w:val="19"/>
              </w:rPr>
              <w:t xml:space="preserve"> to 16.1)</w:t>
            </w:r>
          </w:p>
        </w:tc>
        <w:tc>
          <w:tcPr>
            <w:tcW w:w="2316" w:type="dxa"/>
            <w:tcBorders>
              <w:top w:val="nil"/>
            </w:tcBorders>
          </w:tcPr>
          <w:p w14:paraId="33D8D8C8" w14:textId="77777777" w:rsidR="003F1BDC" w:rsidRPr="002E5B81" w:rsidRDefault="003F1BDC" w:rsidP="003F1BDC">
            <w:pPr>
              <w:jc w:val="center"/>
              <w:rPr>
                <w:rFonts w:cs="Arial"/>
                <w:sz w:val="19"/>
                <w:szCs w:val="19"/>
              </w:rPr>
            </w:pPr>
            <w:r>
              <w:rPr>
                <w:rFonts w:cs="Arial"/>
                <w:sz w:val="19"/>
                <w:szCs w:val="19"/>
              </w:rPr>
              <w:t>16.5 (14.4 to 18.8</w:t>
            </w:r>
            <w:r w:rsidRPr="002E5B81">
              <w:rPr>
                <w:rFonts w:cs="Arial"/>
                <w:sz w:val="19"/>
                <w:szCs w:val="19"/>
              </w:rPr>
              <w:t>)</w:t>
            </w:r>
          </w:p>
        </w:tc>
        <w:tc>
          <w:tcPr>
            <w:tcW w:w="992" w:type="dxa"/>
            <w:tcBorders>
              <w:top w:val="nil"/>
            </w:tcBorders>
          </w:tcPr>
          <w:p w14:paraId="210133B8" w14:textId="77777777" w:rsidR="003F1BDC" w:rsidRPr="002E5B81" w:rsidRDefault="003F1BDC" w:rsidP="003F1BDC">
            <w:pPr>
              <w:jc w:val="center"/>
              <w:rPr>
                <w:rFonts w:cs="Arial"/>
                <w:sz w:val="19"/>
                <w:szCs w:val="19"/>
              </w:rPr>
            </w:pPr>
          </w:p>
        </w:tc>
      </w:tr>
      <w:tr w:rsidR="003F1BDC" w:rsidRPr="002E5B81" w14:paraId="57318C17" w14:textId="77777777" w:rsidTr="003F1BDC">
        <w:tc>
          <w:tcPr>
            <w:tcW w:w="5665" w:type="dxa"/>
            <w:tcBorders>
              <w:bottom w:val="nil"/>
            </w:tcBorders>
          </w:tcPr>
          <w:p w14:paraId="4FFB0ED4" w14:textId="77777777" w:rsidR="003F1BDC" w:rsidRPr="002E5B81" w:rsidRDefault="003F1BDC" w:rsidP="003F1BDC">
            <w:pPr>
              <w:rPr>
                <w:rFonts w:cs="Arial"/>
                <w:sz w:val="19"/>
                <w:szCs w:val="19"/>
              </w:rPr>
            </w:pPr>
            <w:r w:rsidRPr="002E5B81">
              <w:rPr>
                <w:rFonts w:cs="Arial"/>
                <w:sz w:val="19"/>
                <w:szCs w:val="19"/>
              </w:rPr>
              <w:t>BMI category at age 4-5 years (second pregnancy)</w:t>
            </w:r>
          </w:p>
        </w:tc>
        <w:tc>
          <w:tcPr>
            <w:tcW w:w="2315" w:type="dxa"/>
            <w:tcBorders>
              <w:bottom w:val="nil"/>
            </w:tcBorders>
          </w:tcPr>
          <w:p w14:paraId="6D74AA70" w14:textId="77777777" w:rsidR="003F1BDC" w:rsidRPr="002E5B81" w:rsidRDefault="003F1BDC" w:rsidP="003F1BDC">
            <w:pPr>
              <w:jc w:val="center"/>
              <w:rPr>
                <w:rFonts w:cs="Arial"/>
                <w:sz w:val="19"/>
                <w:szCs w:val="19"/>
              </w:rPr>
            </w:pPr>
          </w:p>
        </w:tc>
        <w:tc>
          <w:tcPr>
            <w:tcW w:w="2315" w:type="dxa"/>
            <w:tcBorders>
              <w:bottom w:val="nil"/>
            </w:tcBorders>
          </w:tcPr>
          <w:p w14:paraId="2FBB7935" w14:textId="77777777" w:rsidR="003F1BDC" w:rsidRPr="002E5B81" w:rsidRDefault="003F1BDC" w:rsidP="003F1BDC">
            <w:pPr>
              <w:jc w:val="center"/>
              <w:rPr>
                <w:rFonts w:cs="Arial"/>
                <w:sz w:val="19"/>
                <w:szCs w:val="19"/>
              </w:rPr>
            </w:pPr>
          </w:p>
        </w:tc>
        <w:tc>
          <w:tcPr>
            <w:tcW w:w="2316" w:type="dxa"/>
            <w:tcBorders>
              <w:bottom w:val="nil"/>
            </w:tcBorders>
          </w:tcPr>
          <w:p w14:paraId="4625BD19" w14:textId="77777777" w:rsidR="003F1BDC" w:rsidRPr="002E5B81" w:rsidRDefault="003F1BDC" w:rsidP="003F1BDC">
            <w:pPr>
              <w:jc w:val="center"/>
              <w:rPr>
                <w:rFonts w:cs="Arial"/>
                <w:sz w:val="19"/>
                <w:szCs w:val="19"/>
              </w:rPr>
            </w:pPr>
          </w:p>
        </w:tc>
        <w:tc>
          <w:tcPr>
            <w:tcW w:w="992" w:type="dxa"/>
            <w:tcBorders>
              <w:bottom w:val="nil"/>
            </w:tcBorders>
          </w:tcPr>
          <w:p w14:paraId="30D42F91" w14:textId="77777777" w:rsidR="003F1BDC" w:rsidRPr="002E5B81" w:rsidRDefault="003F1BDC" w:rsidP="003F1BDC">
            <w:pPr>
              <w:jc w:val="center"/>
              <w:rPr>
                <w:rFonts w:cs="Arial"/>
                <w:sz w:val="19"/>
                <w:szCs w:val="19"/>
              </w:rPr>
            </w:pPr>
          </w:p>
        </w:tc>
      </w:tr>
      <w:tr w:rsidR="003F1BDC" w:rsidRPr="002E5B81" w14:paraId="47B0EB9B" w14:textId="77777777" w:rsidTr="003F1BDC">
        <w:tc>
          <w:tcPr>
            <w:tcW w:w="5665" w:type="dxa"/>
            <w:tcBorders>
              <w:top w:val="nil"/>
              <w:bottom w:val="nil"/>
            </w:tcBorders>
          </w:tcPr>
          <w:p w14:paraId="22D833F6" w14:textId="77777777" w:rsidR="003F1BDC" w:rsidRPr="002E5B81" w:rsidRDefault="003F1BDC" w:rsidP="003F1BDC">
            <w:pPr>
              <w:ind w:left="340"/>
              <w:rPr>
                <w:rFonts w:cs="Arial"/>
                <w:sz w:val="19"/>
                <w:szCs w:val="19"/>
              </w:rPr>
            </w:pPr>
            <w:r w:rsidRPr="002E5B81">
              <w:rPr>
                <w:rFonts w:cs="Arial"/>
                <w:sz w:val="19"/>
                <w:szCs w:val="19"/>
              </w:rPr>
              <w:t>Normal weight</w:t>
            </w:r>
          </w:p>
        </w:tc>
        <w:tc>
          <w:tcPr>
            <w:tcW w:w="2315" w:type="dxa"/>
            <w:tcBorders>
              <w:top w:val="nil"/>
              <w:bottom w:val="nil"/>
            </w:tcBorders>
          </w:tcPr>
          <w:p w14:paraId="5B4E2388" w14:textId="77777777" w:rsidR="003F1BDC" w:rsidRPr="002E5B81" w:rsidRDefault="003F1BDC" w:rsidP="003F1BDC">
            <w:pPr>
              <w:jc w:val="center"/>
              <w:rPr>
                <w:rFonts w:cs="Arial"/>
                <w:sz w:val="19"/>
                <w:szCs w:val="19"/>
              </w:rPr>
            </w:pPr>
            <w:r w:rsidRPr="002E5B81">
              <w:rPr>
                <w:rFonts w:cs="Arial"/>
                <w:sz w:val="19"/>
                <w:szCs w:val="19"/>
              </w:rPr>
              <w:t>80.9 (79.1 to 82.6)</w:t>
            </w:r>
          </w:p>
        </w:tc>
        <w:tc>
          <w:tcPr>
            <w:tcW w:w="2315" w:type="dxa"/>
            <w:tcBorders>
              <w:top w:val="nil"/>
              <w:bottom w:val="nil"/>
            </w:tcBorders>
          </w:tcPr>
          <w:p w14:paraId="5FB5F6F7" w14:textId="77777777" w:rsidR="003F1BDC" w:rsidRPr="002E5B81" w:rsidRDefault="003F1BDC" w:rsidP="003F1BDC">
            <w:pPr>
              <w:jc w:val="center"/>
              <w:rPr>
                <w:rFonts w:cs="Arial"/>
                <w:sz w:val="19"/>
                <w:szCs w:val="19"/>
              </w:rPr>
            </w:pPr>
            <w:r>
              <w:rPr>
                <w:rFonts w:cs="Arial"/>
                <w:sz w:val="19"/>
                <w:szCs w:val="19"/>
              </w:rPr>
              <w:t>78.5 (76.4 to 80.5</w:t>
            </w:r>
            <w:r w:rsidRPr="002E5B81">
              <w:rPr>
                <w:rFonts w:cs="Arial"/>
                <w:sz w:val="19"/>
                <w:szCs w:val="19"/>
              </w:rPr>
              <w:t>)</w:t>
            </w:r>
          </w:p>
        </w:tc>
        <w:tc>
          <w:tcPr>
            <w:tcW w:w="2316" w:type="dxa"/>
            <w:tcBorders>
              <w:top w:val="nil"/>
              <w:bottom w:val="nil"/>
            </w:tcBorders>
          </w:tcPr>
          <w:p w14:paraId="62D04469" w14:textId="77777777" w:rsidR="003F1BDC" w:rsidRPr="002E5B81" w:rsidRDefault="003F1BDC" w:rsidP="003F1BDC">
            <w:pPr>
              <w:jc w:val="center"/>
              <w:rPr>
                <w:rFonts w:cs="Arial"/>
                <w:sz w:val="19"/>
                <w:szCs w:val="19"/>
              </w:rPr>
            </w:pPr>
            <w:r>
              <w:rPr>
                <w:rFonts w:cs="Arial"/>
                <w:sz w:val="19"/>
                <w:szCs w:val="19"/>
              </w:rPr>
              <w:t>71.7 (69.0 to 74.3</w:t>
            </w:r>
            <w:r w:rsidRPr="002E5B81">
              <w:rPr>
                <w:rFonts w:cs="Arial"/>
                <w:sz w:val="19"/>
                <w:szCs w:val="19"/>
              </w:rPr>
              <w:t>)</w:t>
            </w:r>
          </w:p>
        </w:tc>
        <w:tc>
          <w:tcPr>
            <w:tcW w:w="992" w:type="dxa"/>
            <w:tcBorders>
              <w:top w:val="nil"/>
              <w:bottom w:val="nil"/>
            </w:tcBorders>
          </w:tcPr>
          <w:p w14:paraId="6ADD5273" w14:textId="77777777" w:rsidR="003F1BDC" w:rsidRPr="002E5B81" w:rsidRDefault="003F1BDC" w:rsidP="003F1BDC">
            <w:pPr>
              <w:jc w:val="center"/>
              <w:rPr>
                <w:rFonts w:cs="Arial"/>
                <w:sz w:val="19"/>
                <w:szCs w:val="19"/>
              </w:rPr>
            </w:pPr>
            <w:r w:rsidRPr="002E5B81">
              <w:rPr>
                <w:rFonts w:cs="Arial"/>
                <w:sz w:val="19"/>
                <w:szCs w:val="19"/>
              </w:rPr>
              <w:t>&lt;0.001</w:t>
            </w:r>
          </w:p>
        </w:tc>
      </w:tr>
      <w:tr w:rsidR="003F1BDC" w:rsidRPr="002E5B81" w14:paraId="2C3D9A4C" w14:textId="77777777" w:rsidTr="003F1BDC">
        <w:tc>
          <w:tcPr>
            <w:tcW w:w="5665" w:type="dxa"/>
            <w:tcBorders>
              <w:top w:val="nil"/>
              <w:bottom w:val="nil"/>
            </w:tcBorders>
          </w:tcPr>
          <w:p w14:paraId="694B6D73" w14:textId="77777777" w:rsidR="003F1BDC" w:rsidRPr="002E5B81" w:rsidRDefault="003F1BDC" w:rsidP="003F1BDC">
            <w:pPr>
              <w:ind w:left="340"/>
              <w:rPr>
                <w:rFonts w:cs="Arial"/>
                <w:sz w:val="19"/>
                <w:szCs w:val="19"/>
              </w:rPr>
            </w:pPr>
            <w:r w:rsidRPr="002E5B81">
              <w:rPr>
                <w:rFonts w:cs="Arial"/>
                <w:sz w:val="19"/>
                <w:szCs w:val="19"/>
              </w:rPr>
              <w:t>Overweight (≥85th-&lt;95th centile)</w:t>
            </w:r>
          </w:p>
        </w:tc>
        <w:tc>
          <w:tcPr>
            <w:tcW w:w="2315" w:type="dxa"/>
            <w:tcBorders>
              <w:top w:val="nil"/>
              <w:bottom w:val="nil"/>
            </w:tcBorders>
          </w:tcPr>
          <w:p w14:paraId="0DB2D44F" w14:textId="77777777" w:rsidR="003F1BDC" w:rsidRPr="002E5B81" w:rsidRDefault="003F1BDC" w:rsidP="003F1BDC">
            <w:pPr>
              <w:jc w:val="center"/>
              <w:rPr>
                <w:rFonts w:cs="Arial"/>
                <w:sz w:val="19"/>
                <w:szCs w:val="19"/>
              </w:rPr>
            </w:pPr>
            <w:r w:rsidRPr="002E5B81">
              <w:rPr>
                <w:rFonts w:cs="Arial"/>
                <w:sz w:val="19"/>
                <w:szCs w:val="19"/>
              </w:rPr>
              <w:t>12.2 (10.8 to 13.7)</w:t>
            </w:r>
          </w:p>
        </w:tc>
        <w:tc>
          <w:tcPr>
            <w:tcW w:w="2315" w:type="dxa"/>
            <w:tcBorders>
              <w:top w:val="nil"/>
              <w:bottom w:val="nil"/>
            </w:tcBorders>
          </w:tcPr>
          <w:p w14:paraId="20879406" w14:textId="77777777" w:rsidR="003F1BDC" w:rsidRPr="002E5B81" w:rsidRDefault="003F1BDC" w:rsidP="003F1BDC">
            <w:pPr>
              <w:jc w:val="center"/>
              <w:rPr>
                <w:rFonts w:cs="Arial"/>
                <w:sz w:val="19"/>
                <w:szCs w:val="19"/>
              </w:rPr>
            </w:pPr>
            <w:r w:rsidRPr="002E5B81">
              <w:rPr>
                <w:rFonts w:cs="Arial"/>
                <w:sz w:val="19"/>
                <w:szCs w:val="19"/>
              </w:rPr>
              <w:t>14.0 (12.4 to 15.8)</w:t>
            </w:r>
          </w:p>
        </w:tc>
        <w:tc>
          <w:tcPr>
            <w:tcW w:w="2316" w:type="dxa"/>
            <w:tcBorders>
              <w:top w:val="nil"/>
              <w:bottom w:val="nil"/>
            </w:tcBorders>
          </w:tcPr>
          <w:p w14:paraId="0C465BF0" w14:textId="77777777" w:rsidR="003F1BDC" w:rsidRPr="002E5B81" w:rsidRDefault="003F1BDC" w:rsidP="003F1BDC">
            <w:pPr>
              <w:jc w:val="center"/>
              <w:rPr>
                <w:rFonts w:cs="Arial"/>
                <w:sz w:val="19"/>
                <w:szCs w:val="19"/>
              </w:rPr>
            </w:pPr>
            <w:r>
              <w:rPr>
                <w:rFonts w:cs="Arial"/>
                <w:sz w:val="19"/>
                <w:szCs w:val="19"/>
              </w:rPr>
              <w:t>16.3 (14.2 to 18.5</w:t>
            </w:r>
            <w:r w:rsidRPr="002E5B81">
              <w:rPr>
                <w:rFonts w:cs="Arial"/>
                <w:sz w:val="19"/>
                <w:szCs w:val="19"/>
              </w:rPr>
              <w:t>)</w:t>
            </w:r>
          </w:p>
        </w:tc>
        <w:tc>
          <w:tcPr>
            <w:tcW w:w="992" w:type="dxa"/>
            <w:tcBorders>
              <w:top w:val="nil"/>
              <w:bottom w:val="nil"/>
            </w:tcBorders>
          </w:tcPr>
          <w:p w14:paraId="0241AAAF" w14:textId="77777777" w:rsidR="003F1BDC" w:rsidRPr="002E5B81" w:rsidRDefault="003F1BDC" w:rsidP="003F1BDC">
            <w:pPr>
              <w:jc w:val="center"/>
              <w:rPr>
                <w:rFonts w:cs="Arial"/>
                <w:sz w:val="19"/>
                <w:szCs w:val="19"/>
              </w:rPr>
            </w:pPr>
          </w:p>
        </w:tc>
      </w:tr>
      <w:tr w:rsidR="003F1BDC" w:rsidRPr="002E5B81" w14:paraId="2F430C03" w14:textId="77777777" w:rsidTr="003F1BDC">
        <w:tc>
          <w:tcPr>
            <w:tcW w:w="5665" w:type="dxa"/>
            <w:tcBorders>
              <w:top w:val="nil"/>
            </w:tcBorders>
          </w:tcPr>
          <w:p w14:paraId="52551B38" w14:textId="77777777" w:rsidR="003F1BDC" w:rsidRPr="002E5B81" w:rsidRDefault="003F1BDC" w:rsidP="003F1BDC">
            <w:pPr>
              <w:ind w:left="340"/>
              <w:rPr>
                <w:rFonts w:cs="Arial"/>
                <w:sz w:val="19"/>
                <w:szCs w:val="19"/>
              </w:rPr>
            </w:pPr>
            <w:r w:rsidRPr="002E5B81">
              <w:rPr>
                <w:rFonts w:cs="Arial"/>
                <w:sz w:val="19"/>
                <w:szCs w:val="19"/>
              </w:rPr>
              <w:t>Obese (≥95th centile)</w:t>
            </w:r>
          </w:p>
        </w:tc>
        <w:tc>
          <w:tcPr>
            <w:tcW w:w="2315" w:type="dxa"/>
            <w:tcBorders>
              <w:top w:val="nil"/>
            </w:tcBorders>
          </w:tcPr>
          <w:p w14:paraId="26021A5F" w14:textId="77777777" w:rsidR="003F1BDC" w:rsidRPr="002E5B81" w:rsidRDefault="003F1BDC" w:rsidP="003F1BDC">
            <w:pPr>
              <w:jc w:val="center"/>
              <w:rPr>
                <w:rFonts w:cs="Arial"/>
                <w:sz w:val="19"/>
                <w:szCs w:val="19"/>
              </w:rPr>
            </w:pPr>
            <w:r w:rsidRPr="002E5B81">
              <w:rPr>
                <w:rFonts w:cs="Arial"/>
                <w:sz w:val="19"/>
                <w:szCs w:val="19"/>
              </w:rPr>
              <w:t>6.9 (5.9 to 8.1)</w:t>
            </w:r>
          </w:p>
        </w:tc>
        <w:tc>
          <w:tcPr>
            <w:tcW w:w="2315" w:type="dxa"/>
            <w:tcBorders>
              <w:top w:val="nil"/>
            </w:tcBorders>
          </w:tcPr>
          <w:p w14:paraId="39BA7EFC" w14:textId="77777777" w:rsidR="003F1BDC" w:rsidRPr="002E5B81" w:rsidRDefault="003F1BDC" w:rsidP="003F1BDC">
            <w:pPr>
              <w:jc w:val="center"/>
              <w:rPr>
                <w:rFonts w:cs="Arial"/>
                <w:sz w:val="19"/>
                <w:szCs w:val="19"/>
              </w:rPr>
            </w:pPr>
            <w:r>
              <w:rPr>
                <w:rFonts w:cs="Arial"/>
                <w:sz w:val="19"/>
                <w:szCs w:val="19"/>
              </w:rPr>
              <w:t>7.5 (6.2</w:t>
            </w:r>
            <w:r w:rsidRPr="002E5B81">
              <w:rPr>
                <w:rFonts w:cs="Arial"/>
                <w:sz w:val="19"/>
                <w:szCs w:val="19"/>
              </w:rPr>
              <w:t xml:space="preserve"> to 8.9)</w:t>
            </w:r>
          </w:p>
        </w:tc>
        <w:tc>
          <w:tcPr>
            <w:tcW w:w="2316" w:type="dxa"/>
            <w:tcBorders>
              <w:top w:val="nil"/>
            </w:tcBorders>
          </w:tcPr>
          <w:p w14:paraId="42A66688" w14:textId="77777777" w:rsidR="003F1BDC" w:rsidRPr="002E5B81" w:rsidRDefault="003F1BDC" w:rsidP="003F1BDC">
            <w:pPr>
              <w:jc w:val="center"/>
              <w:rPr>
                <w:rFonts w:cs="Arial"/>
                <w:sz w:val="19"/>
                <w:szCs w:val="19"/>
              </w:rPr>
            </w:pPr>
            <w:r>
              <w:rPr>
                <w:rFonts w:cs="Arial"/>
                <w:sz w:val="19"/>
                <w:szCs w:val="19"/>
              </w:rPr>
              <w:t>12.0 (10.2 to 14.1</w:t>
            </w:r>
            <w:r w:rsidRPr="002E5B81">
              <w:rPr>
                <w:rFonts w:cs="Arial"/>
                <w:sz w:val="19"/>
                <w:szCs w:val="19"/>
              </w:rPr>
              <w:t>)</w:t>
            </w:r>
          </w:p>
        </w:tc>
        <w:tc>
          <w:tcPr>
            <w:tcW w:w="992" w:type="dxa"/>
            <w:tcBorders>
              <w:top w:val="nil"/>
            </w:tcBorders>
          </w:tcPr>
          <w:p w14:paraId="04B85935" w14:textId="77777777" w:rsidR="003F1BDC" w:rsidRPr="002E5B81" w:rsidRDefault="003F1BDC" w:rsidP="003F1BDC">
            <w:pPr>
              <w:jc w:val="center"/>
              <w:rPr>
                <w:rFonts w:cs="Arial"/>
                <w:sz w:val="19"/>
                <w:szCs w:val="19"/>
              </w:rPr>
            </w:pPr>
          </w:p>
        </w:tc>
      </w:tr>
    </w:tbl>
    <w:p w14:paraId="3A30AD0D" w14:textId="77777777" w:rsidR="003F1BDC" w:rsidRPr="002E5B81" w:rsidRDefault="003F1BDC" w:rsidP="003F1BDC">
      <w:pPr>
        <w:tabs>
          <w:tab w:val="left" w:pos="900"/>
        </w:tabs>
        <w:rPr>
          <w:rFonts w:cs="Arial"/>
          <w:sz w:val="19"/>
          <w:szCs w:val="19"/>
        </w:rPr>
      </w:pPr>
      <w:r w:rsidRPr="002E5B81">
        <w:rPr>
          <w:rFonts w:cs="Arial"/>
          <w:sz w:val="20"/>
          <w:szCs w:val="19"/>
        </w:rPr>
        <w:t>*p values calculated using ANOVA for continuous and chi square test for categorical variables</w:t>
      </w:r>
    </w:p>
    <w:p w14:paraId="18AE2A62" w14:textId="77777777" w:rsidR="00061198" w:rsidRPr="002E5B81" w:rsidRDefault="00061198" w:rsidP="00061198">
      <w:pPr>
        <w:rPr>
          <w:rFonts w:cs="Arial"/>
          <w:szCs w:val="19"/>
        </w:rPr>
      </w:pPr>
      <w:r w:rsidRPr="002E5B81">
        <w:rPr>
          <w:rFonts w:cs="Arial"/>
          <w:szCs w:val="19"/>
        </w:rPr>
        <w:lastRenderedPageBreak/>
        <w:t>Table 2: Associations between risk of overweight and obesity (85</w:t>
      </w:r>
      <w:r w:rsidRPr="002E5B81">
        <w:rPr>
          <w:rFonts w:cs="Arial"/>
          <w:szCs w:val="19"/>
          <w:vertAlign w:val="superscript"/>
        </w:rPr>
        <w:t>th</w:t>
      </w:r>
      <w:r w:rsidRPr="002E5B81">
        <w:rPr>
          <w:rFonts w:cs="Arial"/>
          <w:szCs w:val="19"/>
        </w:rPr>
        <w:t xml:space="preserve"> centile) in the second child at age 4-5 years and change in maternal body mass index (BMI) between pregnancies as measured at the first antenatal visit of each pregnancy stratified by BMI category in the first pregnancy</w:t>
      </w:r>
    </w:p>
    <w:tbl>
      <w:tblPr>
        <w:tblStyle w:val="TableGrid"/>
        <w:tblW w:w="14089" w:type="dxa"/>
        <w:tblLayout w:type="fixed"/>
        <w:tblLook w:val="04A0" w:firstRow="1" w:lastRow="0" w:firstColumn="1" w:lastColumn="0" w:noHBand="0" w:noVBand="1"/>
      </w:tblPr>
      <w:tblGrid>
        <w:gridCol w:w="1271"/>
        <w:gridCol w:w="1276"/>
        <w:gridCol w:w="770"/>
        <w:gridCol w:w="680"/>
        <w:gridCol w:w="1417"/>
        <w:gridCol w:w="794"/>
        <w:gridCol w:w="709"/>
        <w:gridCol w:w="1417"/>
        <w:gridCol w:w="680"/>
        <w:gridCol w:w="709"/>
        <w:gridCol w:w="1418"/>
        <w:gridCol w:w="680"/>
        <w:gridCol w:w="794"/>
        <w:gridCol w:w="1474"/>
      </w:tblGrid>
      <w:tr w:rsidR="00061198" w:rsidRPr="002E5B81" w14:paraId="3E58D114" w14:textId="77777777" w:rsidTr="00D51A25">
        <w:tc>
          <w:tcPr>
            <w:tcW w:w="1271" w:type="dxa"/>
            <w:vMerge w:val="restart"/>
          </w:tcPr>
          <w:p w14:paraId="6C9CA8AC" w14:textId="77777777" w:rsidR="00061198" w:rsidRPr="00EB797E" w:rsidRDefault="00061198" w:rsidP="00D51A25">
            <w:pPr>
              <w:jc w:val="center"/>
              <w:rPr>
                <w:rFonts w:cs="Arial"/>
                <w:sz w:val="19"/>
                <w:szCs w:val="19"/>
              </w:rPr>
            </w:pPr>
            <w:r w:rsidRPr="00EB797E">
              <w:rPr>
                <w:rFonts w:cs="Arial"/>
                <w:sz w:val="19"/>
                <w:szCs w:val="19"/>
              </w:rPr>
              <w:t>Maternal BMI change (categorised)</w:t>
            </w:r>
          </w:p>
        </w:tc>
        <w:tc>
          <w:tcPr>
            <w:tcW w:w="1276" w:type="dxa"/>
            <w:tcBorders>
              <w:top w:val="single" w:sz="4" w:space="0" w:color="auto"/>
              <w:bottom w:val="nil"/>
            </w:tcBorders>
          </w:tcPr>
          <w:p w14:paraId="50FFBBBB" w14:textId="77777777" w:rsidR="00061198" w:rsidRPr="00EB797E" w:rsidRDefault="00061198" w:rsidP="00D51A25">
            <w:pPr>
              <w:jc w:val="center"/>
              <w:rPr>
                <w:rFonts w:cs="Arial"/>
                <w:sz w:val="19"/>
                <w:szCs w:val="19"/>
              </w:rPr>
            </w:pPr>
          </w:p>
        </w:tc>
        <w:tc>
          <w:tcPr>
            <w:tcW w:w="2867" w:type="dxa"/>
            <w:gridSpan w:val="3"/>
          </w:tcPr>
          <w:p w14:paraId="7DD1C87A" w14:textId="77777777" w:rsidR="00061198" w:rsidRPr="00EB797E" w:rsidRDefault="00061198" w:rsidP="00D51A25">
            <w:pPr>
              <w:jc w:val="center"/>
              <w:rPr>
                <w:rFonts w:cs="Arial"/>
                <w:sz w:val="19"/>
                <w:szCs w:val="19"/>
              </w:rPr>
            </w:pPr>
            <w:r w:rsidRPr="00EB797E">
              <w:rPr>
                <w:rFonts w:cs="Arial"/>
                <w:sz w:val="19"/>
                <w:szCs w:val="19"/>
              </w:rPr>
              <w:t>Full sample</w:t>
            </w:r>
          </w:p>
        </w:tc>
        <w:tc>
          <w:tcPr>
            <w:tcW w:w="2920" w:type="dxa"/>
            <w:gridSpan w:val="3"/>
          </w:tcPr>
          <w:p w14:paraId="7404DE76" w14:textId="77777777" w:rsidR="00061198" w:rsidRPr="00EB797E" w:rsidRDefault="00061198" w:rsidP="00D51A25">
            <w:pPr>
              <w:jc w:val="center"/>
              <w:rPr>
                <w:rFonts w:cs="Arial"/>
                <w:sz w:val="19"/>
                <w:szCs w:val="19"/>
              </w:rPr>
            </w:pPr>
            <w:r w:rsidRPr="00EB797E">
              <w:rPr>
                <w:rFonts w:cs="Arial"/>
                <w:sz w:val="19"/>
                <w:szCs w:val="19"/>
              </w:rPr>
              <w:t>Normal weight at first pregnancy</w:t>
            </w:r>
          </w:p>
        </w:tc>
        <w:tc>
          <w:tcPr>
            <w:tcW w:w="2807" w:type="dxa"/>
            <w:gridSpan w:val="3"/>
          </w:tcPr>
          <w:p w14:paraId="79D755AA" w14:textId="77777777" w:rsidR="00061198" w:rsidRPr="00EB797E" w:rsidRDefault="00061198" w:rsidP="00D51A25">
            <w:pPr>
              <w:jc w:val="center"/>
              <w:rPr>
                <w:rFonts w:cs="Arial"/>
                <w:sz w:val="19"/>
                <w:szCs w:val="19"/>
              </w:rPr>
            </w:pPr>
            <w:r w:rsidRPr="00EB797E">
              <w:rPr>
                <w:rFonts w:cs="Arial"/>
                <w:sz w:val="19"/>
                <w:szCs w:val="19"/>
              </w:rPr>
              <w:t>Overweight at first pregnancy</w:t>
            </w:r>
          </w:p>
        </w:tc>
        <w:tc>
          <w:tcPr>
            <w:tcW w:w="2948" w:type="dxa"/>
            <w:gridSpan w:val="3"/>
          </w:tcPr>
          <w:p w14:paraId="54FE6440" w14:textId="77777777" w:rsidR="00061198" w:rsidRPr="00EB797E" w:rsidRDefault="00061198" w:rsidP="00D51A25">
            <w:pPr>
              <w:jc w:val="center"/>
              <w:rPr>
                <w:rFonts w:cs="Arial"/>
                <w:sz w:val="19"/>
                <w:szCs w:val="19"/>
              </w:rPr>
            </w:pPr>
            <w:r w:rsidRPr="00EB797E">
              <w:rPr>
                <w:rFonts w:cs="Arial"/>
                <w:sz w:val="19"/>
                <w:szCs w:val="19"/>
              </w:rPr>
              <w:t>Obese at first pregnancy</w:t>
            </w:r>
          </w:p>
        </w:tc>
      </w:tr>
      <w:tr w:rsidR="00061198" w:rsidRPr="002E5B81" w14:paraId="4CD23D80" w14:textId="77777777" w:rsidTr="00D51A25">
        <w:tc>
          <w:tcPr>
            <w:tcW w:w="1271" w:type="dxa"/>
            <w:vMerge/>
          </w:tcPr>
          <w:p w14:paraId="7059C055" w14:textId="77777777" w:rsidR="00061198" w:rsidRPr="00EB797E" w:rsidRDefault="00061198" w:rsidP="00D51A25">
            <w:pPr>
              <w:jc w:val="center"/>
              <w:rPr>
                <w:rFonts w:cs="Arial"/>
                <w:sz w:val="19"/>
                <w:szCs w:val="19"/>
              </w:rPr>
            </w:pPr>
          </w:p>
        </w:tc>
        <w:tc>
          <w:tcPr>
            <w:tcW w:w="1276" w:type="dxa"/>
            <w:tcBorders>
              <w:top w:val="nil"/>
            </w:tcBorders>
          </w:tcPr>
          <w:p w14:paraId="3E347570" w14:textId="77777777" w:rsidR="00061198" w:rsidRPr="00EB797E" w:rsidRDefault="00061198" w:rsidP="00D51A25">
            <w:pPr>
              <w:jc w:val="center"/>
              <w:rPr>
                <w:rFonts w:cs="Arial"/>
                <w:sz w:val="19"/>
                <w:szCs w:val="19"/>
              </w:rPr>
            </w:pPr>
          </w:p>
        </w:tc>
        <w:tc>
          <w:tcPr>
            <w:tcW w:w="770" w:type="dxa"/>
          </w:tcPr>
          <w:p w14:paraId="7D8A2D90" w14:textId="77777777" w:rsidR="00061198" w:rsidRPr="00EB797E" w:rsidRDefault="00061198" w:rsidP="00D51A25">
            <w:pPr>
              <w:jc w:val="center"/>
              <w:rPr>
                <w:rFonts w:cs="Arial"/>
                <w:sz w:val="19"/>
                <w:szCs w:val="19"/>
              </w:rPr>
            </w:pPr>
            <w:r>
              <w:rPr>
                <w:rFonts w:cs="Arial"/>
                <w:sz w:val="19"/>
                <w:szCs w:val="19"/>
              </w:rPr>
              <w:t>n, n of cases</w:t>
            </w:r>
          </w:p>
        </w:tc>
        <w:tc>
          <w:tcPr>
            <w:tcW w:w="680" w:type="dxa"/>
          </w:tcPr>
          <w:p w14:paraId="3902F263" w14:textId="77777777" w:rsidR="00061198" w:rsidRPr="00EB797E" w:rsidRDefault="00061198" w:rsidP="00D51A25">
            <w:pPr>
              <w:jc w:val="center"/>
              <w:rPr>
                <w:rFonts w:cs="Arial"/>
                <w:sz w:val="19"/>
                <w:szCs w:val="19"/>
              </w:rPr>
            </w:pPr>
            <w:r w:rsidRPr="00EB797E">
              <w:rPr>
                <w:rFonts w:cs="Arial"/>
                <w:sz w:val="19"/>
                <w:szCs w:val="19"/>
              </w:rPr>
              <w:t>Relative risk,</w:t>
            </w:r>
          </w:p>
          <w:p w14:paraId="41198A38" w14:textId="77777777" w:rsidR="00061198" w:rsidRPr="00EB797E" w:rsidRDefault="00061198" w:rsidP="00D51A25">
            <w:pPr>
              <w:jc w:val="center"/>
              <w:rPr>
                <w:rFonts w:cs="Arial"/>
                <w:sz w:val="19"/>
                <w:szCs w:val="19"/>
              </w:rPr>
            </w:pPr>
            <w:r w:rsidRPr="00EB797E">
              <w:rPr>
                <w:rFonts w:cs="Arial"/>
                <w:sz w:val="19"/>
                <w:szCs w:val="19"/>
              </w:rPr>
              <w:t>(RR)*</w:t>
            </w:r>
          </w:p>
        </w:tc>
        <w:tc>
          <w:tcPr>
            <w:tcW w:w="1417" w:type="dxa"/>
          </w:tcPr>
          <w:p w14:paraId="0BD86069" w14:textId="77777777" w:rsidR="00061198" w:rsidRPr="00EB797E" w:rsidRDefault="00061198" w:rsidP="00D51A25">
            <w:pPr>
              <w:jc w:val="center"/>
              <w:rPr>
                <w:rFonts w:cs="Arial"/>
                <w:sz w:val="19"/>
                <w:szCs w:val="19"/>
              </w:rPr>
            </w:pPr>
            <w:r w:rsidRPr="00EB797E">
              <w:rPr>
                <w:rFonts w:cs="Arial"/>
                <w:sz w:val="19"/>
                <w:szCs w:val="19"/>
              </w:rPr>
              <w:t>95% CI</w:t>
            </w:r>
          </w:p>
        </w:tc>
        <w:tc>
          <w:tcPr>
            <w:tcW w:w="794" w:type="dxa"/>
          </w:tcPr>
          <w:p w14:paraId="06F75C5D" w14:textId="77777777" w:rsidR="00061198" w:rsidRPr="00EB797E" w:rsidRDefault="00061198" w:rsidP="00D51A25">
            <w:pPr>
              <w:jc w:val="center"/>
              <w:rPr>
                <w:rFonts w:cs="Arial"/>
                <w:sz w:val="19"/>
                <w:szCs w:val="19"/>
              </w:rPr>
            </w:pPr>
            <w:r>
              <w:rPr>
                <w:rFonts w:cs="Arial"/>
                <w:sz w:val="19"/>
                <w:szCs w:val="19"/>
              </w:rPr>
              <w:t>n, n of cases</w:t>
            </w:r>
          </w:p>
        </w:tc>
        <w:tc>
          <w:tcPr>
            <w:tcW w:w="709" w:type="dxa"/>
          </w:tcPr>
          <w:p w14:paraId="5A9F0272" w14:textId="77777777" w:rsidR="00061198" w:rsidRPr="00EB797E" w:rsidRDefault="00061198" w:rsidP="00D51A25">
            <w:pPr>
              <w:jc w:val="center"/>
              <w:rPr>
                <w:rFonts w:cs="Arial"/>
                <w:sz w:val="19"/>
                <w:szCs w:val="19"/>
              </w:rPr>
            </w:pPr>
            <w:r w:rsidRPr="00EB797E">
              <w:rPr>
                <w:rFonts w:cs="Arial"/>
                <w:sz w:val="19"/>
                <w:szCs w:val="19"/>
              </w:rPr>
              <w:t>RR*</w:t>
            </w:r>
          </w:p>
        </w:tc>
        <w:tc>
          <w:tcPr>
            <w:tcW w:w="1417" w:type="dxa"/>
          </w:tcPr>
          <w:p w14:paraId="212DC521" w14:textId="77777777" w:rsidR="00061198" w:rsidRPr="00EB797E" w:rsidRDefault="00061198" w:rsidP="00D51A25">
            <w:pPr>
              <w:jc w:val="center"/>
              <w:rPr>
                <w:rFonts w:cs="Arial"/>
                <w:sz w:val="19"/>
                <w:szCs w:val="19"/>
              </w:rPr>
            </w:pPr>
            <w:r w:rsidRPr="00EB797E">
              <w:rPr>
                <w:rFonts w:cs="Arial"/>
                <w:sz w:val="19"/>
                <w:szCs w:val="19"/>
              </w:rPr>
              <w:t>95% CI</w:t>
            </w:r>
          </w:p>
        </w:tc>
        <w:tc>
          <w:tcPr>
            <w:tcW w:w="680" w:type="dxa"/>
          </w:tcPr>
          <w:p w14:paraId="73F0442C" w14:textId="77777777" w:rsidR="00061198" w:rsidRPr="00EB797E" w:rsidRDefault="00061198" w:rsidP="00D51A25">
            <w:pPr>
              <w:jc w:val="center"/>
              <w:rPr>
                <w:rFonts w:cs="Arial"/>
                <w:sz w:val="19"/>
                <w:szCs w:val="19"/>
              </w:rPr>
            </w:pPr>
            <w:r>
              <w:rPr>
                <w:rFonts w:cs="Arial"/>
                <w:sz w:val="19"/>
                <w:szCs w:val="19"/>
              </w:rPr>
              <w:t>n, n of cases</w:t>
            </w:r>
          </w:p>
        </w:tc>
        <w:tc>
          <w:tcPr>
            <w:tcW w:w="709" w:type="dxa"/>
          </w:tcPr>
          <w:p w14:paraId="63744D3C" w14:textId="77777777" w:rsidR="00061198" w:rsidRPr="00EB797E" w:rsidRDefault="00061198" w:rsidP="00D51A25">
            <w:pPr>
              <w:jc w:val="center"/>
              <w:rPr>
                <w:rFonts w:cs="Arial"/>
                <w:sz w:val="19"/>
                <w:szCs w:val="19"/>
              </w:rPr>
            </w:pPr>
            <w:r w:rsidRPr="00EB797E">
              <w:rPr>
                <w:rFonts w:cs="Arial"/>
                <w:sz w:val="19"/>
                <w:szCs w:val="19"/>
              </w:rPr>
              <w:t>RR*</w:t>
            </w:r>
          </w:p>
        </w:tc>
        <w:tc>
          <w:tcPr>
            <w:tcW w:w="1418" w:type="dxa"/>
          </w:tcPr>
          <w:p w14:paraId="7FC3DD5F" w14:textId="77777777" w:rsidR="00061198" w:rsidRPr="00EB797E" w:rsidRDefault="00061198" w:rsidP="00D51A25">
            <w:pPr>
              <w:jc w:val="center"/>
              <w:rPr>
                <w:rFonts w:cs="Arial"/>
                <w:sz w:val="19"/>
                <w:szCs w:val="19"/>
              </w:rPr>
            </w:pPr>
            <w:r w:rsidRPr="00EB797E">
              <w:rPr>
                <w:rFonts w:cs="Arial"/>
                <w:sz w:val="19"/>
                <w:szCs w:val="19"/>
              </w:rPr>
              <w:t>95% CI</w:t>
            </w:r>
          </w:p>
        </w:tc>
        <w:tc>
          <w:tcPr>
            <w:tcW w:w="680" w:type="dxa"/>
          </w:tcPr>
          <w:p w14:paraId="181078E7" w14:textId="77777777" w:rsidR="00061198" w:rsidRPr="00EB797E" w:rsidRDefault="00061198" w:rsidP="00D51A25">
            <w:pPr>
              <w:jc w:val="center"/>
              <w:rPr>
                <w:rFonts w:cs="Arial"/>
                <w:sz w:val="19"/>
                <w:szCs w:val="19"/>
              </w:rPr>
            </w:pPr>
            <w:r>
              <w:rPr>
                <w:rFonts w:cs="Arial"/>
                <w:sz w:val="19"/>
                <w:szCs w:val="19"/>
              </w:rPr>
              <w:t>n, n of cases</w:t>
            </w:r>
          </w:p>
        </w:tc>
        <w:tc>
          <w:tcPr>
            <w:tcW w:w="794" w:type="dxa"/>
          </w:tcPr>
          <w:p w14:paraId="4AFB0544" w14:textId="77777777" w:rsidR="00061198" w:rsidRPr="00EB797E" w:rsidRDefault="00061198" w:rsidP="00D51A25">
            <w:pPr>
              <w:jc w:val="center"/>
              <w:rPr>
                <w:rFonts w:cs="Arial"/>
                <w:sz w:val="19"/>
                <w:szCs w:val="19"/>
              </w:rPr>
            </w:pPr>
            <w:r w:rsidRPr="00EB797E">
              <w:rPr>
                <w:rFonts w:cs="Arial"/>
                <w:sz w:val="19"/>
                <w:szCs w:val="19"/>
              </w:rPr>
              <w:t>RR*</w:t>
            </w:r>
          </w:p>
        </w:tc>
        <w:tc>
          <w:tcPr>
            <w:tcW w:w="1474" w:type="dxa"/>
          </w:tcPr>
          <w:p w14:paraId="1B05E942" w14:textId="77777777" w:rsidR="00061198" w:rsidRPr="00EB797E" w:rsidRDefault="00061198" w:rsidP="00D51A25">
            <w:pPr>
              <w:jc w:val="center"/>
              <w:rPr>
                <w:rFonts w:cs="Arial"/>
                <w:sz w:val="19"/>
                <w:szCs w:val="19"/>
              </w:rPr>
            </w:pPr>
            <w:r w:rsidRPr="00EB797E">
              <w:rPr>
                <w:rFonts w:cs="Arial"/>
                <w:sz w:val="19"/>
                <w:szCs w:val="19"/>
              </w:rPr>
              <w:t>95% CI</w:t>
            </w:r>
          </w:p>
        </w:tc>
      </w:tr>
      <w:tr w:rsidR="00061198" w:rsidRPr="002E5B81" w14:paraId="1C828282" w14:textId="77777777" w:rsidTr="00D51A25">
        <w:tc>
          <w:tcPr>
            <w:tcW w:w="1271" w:type="dxa"/>
            <w:tcBorders>
              <w:top w:val="single" w:sz="4" w:space="0" w:color="auto"/>
              <w:bottom w:val="single" w:sz="4" w:space="0" w:color="auto"/>
            </w:tcBorders>
          </w:tcPr>
          <w:p w14:paraId="388E3E01" w14:textId="77777777" w:rsidR="00061198" w:rsidRPr="00EB797E" w:rsidRDefault="00061198" w:rsidP="00D51A25">
            <w:pPr>
              <w:jc w:val="center"/>
              <w:rPr>
                <w:rFonts w:cs="Arial"/>
                <w:sz w:val="19"/>
                <w:szCs w:val="19"/>
              </w:rPr>
            </w:pPr>
            <w:r w:rsidRPr="00EB797E">
              <w:rPr>
                <w:rFonts w:cs="Arial"/>
                <w:sz w:val="19"/>
                <w:szCs w:val="19"/>
              </w:rPr>
              <w:t>Weight stable (&gt;-1 to &lt;1 kg/m</w:t>
            </w:r>
            <w:r w:rsidRPr="00EB797E">
              <w:rPr>
                <w:rFonts w:cs="Arial"/>
                <w:sz w:val="19"/>
                <w:szCs w:val="19"/>
                <w:vertAlign w:val="superscript"/>
              </w:rPr>
              <w:t>2</w:t>
            </w:r>
            <w:r w:rsidRPr="00EB797E">
              <w:rPr>
                <w:rFonts w:cs="Arial"/>
                <w:sz w:val="19"/>
                <w:szCs w:val="19"/>
              </w:rPr>
              <w:t>)</w:t>
            </w:r>
          </w:p>
        </w:tc>
        <w:tc>
          <w:tcPr>
            <w:tcW w:w="1276" w:type="dxa"/>
            <w:tcBorders>
              <w:top w:val="single" w:sz="4" w:space="0" w:color="auto"/>
              <w:bottom w:val="single" w:sz="4" w:space="0" w:color="auto"/>
            </w:tcBorders>
          </w:tcPr>
          <w:p w14:paraId="43ED726C" w14:textId="77777777" w:rsidR="00061198" w:rsidRPr="00EB797E" w:rsidRDefault="00061198" w:rsidP="00D51A25">
            <w:pPr>
              <w:rPr>
                <w:rFonts w:cs="Arial"/>
                <w:sz w:val="19"/>
                <w:szCs w:val="19"/>
              </w:rPr>
            </w:pPr>
          </w:p>
        </w:tc>
        <w:tc>
          <w:tcPr>
            <w:tcW w:w="770" w:type="dxa"/>
            <w:tcBorders>
              <w:top w:val="single" w:sz="4" w:space="0" w:color="auto"/>
              <w:bottom w:val="single" w:sz="4" w:space="0" w:color="auto"/>
            </w:tcBorders>
          </w:tcPr>
          <w:p w14:paraId="074B6CB5" w14:textId="77777777" w:rsidR="00061198" w:rsidRPr="00EB797E" w:rsidRDefault="00061198" w:rsidP="00D51A25">
            <w:pPr>
              <w:jc w:val="center"/>
              <w:rPr>
                <w:rFonts w:cs="Arial"/>
                <w:sz w:val="19"/>
                <w:szCs w:val="19"/>
              </w:rPr>
            </w:pPr>
            <w:r>
              <w:rPr>
                <w:rFonts w:cs="Arial"/>
                <w:sz w:val="19"/>
                <w:szCs w:val="19"/>
              </w:rPr>
              <w:t>2047, 391</w:t>
            </w:r>
          </w:p>
        </w:tc>
        <w:tc>
          <w:tcPr>
            <w:tcW w:w="680" w:type="dxa"/>
            <w:tcBorders>
              <w:top w:val="single" w:sz="4" w:space="0" w:color="auto"/>
              <w:bottom w:val="single" w:sz="4" w:space="0" w:color="auto"/>
            </w:tcBorders>
          </w:tcPr>
          <w:p w14:paraId="73961C90" w14:textId="77777777" w:rsidR="00061198" w:rsidRPr="00EB797E" w:rsidRDefault="00061198" w:rsidP="00D51A25">
            <w:pPr>
              <w:jc w:val="center"/>
              <w:rPr>
                <w:rFonts w:cs="Arial"/>
                <w:sz w:val="19"/>
                <w:szCs w:val="19"/>
              </w:rPr>
            </w:pPr>
            <w:r w:rsidRPr="00EB797E">
              <w:rPr>
                <w:rFonts w:cs="Arial"/>
                <w:sz w:val="19"/>
                <w:szCs w:val="19"/>
              </w:rPr>
              <w:t>Ref</w:t>
            </w:r>
          </w:p>
        </w:tc>
        <w:tc>
          <w:tcPr>
            <w:tcW w:w="1417" w:type="dxa"/>
            <w:tcBorders>
              <w:top w:val="single" w:sz="4" w:space="0" w:color="auto"/>
              <w:bottom w:val="single" w:sz="4" w:space="0" w:color="auto"/>
            </w:tcBorders>
          </w:tcPr>
          <w:p w14:paraId="60D2C515" w14:textId="77777777" w:rsidR="00061198" w:rsidRPr="00EB797E" w:rsidRDefault="00061198" w:rsidP="00D51A25">
            <w:pPr>
              <w:jc w:val="center"/>
              <w:rPr>
                <w:rFonts w:cs="Arial"/>
                <w:sz w:val="19"/>
                <w:szCs w:val="19"/>
              </w:rPr>
            </w:pPr>
          </w:p>
        </w:tc>
        <w:tc>
          <w:tcPr>
            <w:tcW w:w="794" w:type="dxa"/>
            <w:tcBorders>
              <w:top w:val="single" w:sz="4" w:space="0" w:color="auto"/>
              <w:bottom w:val="single" w:sz="4" w:space="0" w:color="auto"/>
            </w:tcBorders>
          </w:tcPr>
          <w:p w14:paraId="10DFB1BD" w14:textId="77777777" w:rsidR="00061198" w:rsidRPr="00EB797E" w:rsidRDefault="00061198" w:rsidP="00D51A25">
            <w:pPr>
              <w:jc w:val="center"/>
              <w:rPr>
                <w:rFonts w:cs="Arial"/>
                <w:sz w:val="19"/>
                <w:szCs w:val="19"/>
              </w:rPr>
            </w:pPr>
            <w:r>
              <w:rPr>
                <w:rFonts w:cs="Arial"/>
                <w:sz w:val="19"/>
                <w:szCs w:val="19"/>
              </w:rPr>
              <w:t>1438, 220</w:t>
            </w:r>
          </w:p>
        </w:tc>
        <w:tc>
          <w:tcPr>
            <w:tcW w:w="709" w:type="dxa"/>
            <w:tcBorders>
              <w:top w:val="single" w:sz="4" w:space="0" w:color="auto"/>
              <w:bottom w:val="single" w:sz="4" w:space="0" w:color="auto"/>
            </w:tcBorders>
          </w:tcPr>
          <w:p w14:paraId="70B263D8" w14:textId="77777777" w:rsidR="00061198" w:rsidRPr="00EB797E" w:rsidRDefault="00061198" w:rsidP="00D51A25">
            <w:pPr>
              <w:jc w:val="center"/>
              <w:rPr>
                <w:rFonts w:cs="Arial"/>
                <w:sz w:val="19"/>
                <w:szCs w:val="19"/>
              </w:rPr>
            </w:pPr>
            <w:r w:rsidRPr="00EB797E">
              <w:rPr>
                <w:rFonts w:cs="Arial"/>
                <w:sz w:val="19"/>
                <w:szCs w:val="19"/>
              </w:rPr>
              <w:t>Ref</w:t>
            </w:r>
          </w:p>
        </w:tc>
        <w:tc>
          <w:tcPr>
            <w:tcW w:w="1417" w:type="dxa"/>
            <w:tcBorders>
              <w:top w:val="single" w:sz="4" w:space="0" w:color="auto"/>
              <w:bottom w:val="single" w:sz="4" w:space="0" w:color="auto"/>
            </w:tcBorders>
          </w:tcPr>
          <w:p w14:paraId="06AD3A8D" w14:textId="77777777" w:rsidR="00061198" w:rsidRPr="00EB797E" w:rsidRDefault="00061198" w:rsidP="00D51A25">
            <w:pPr>
              <w:jc w:val="center"/>
              <w:rPr>
                <w:rFonts w:cs="Arial"/>
                <w:sz w:val="19"/>
                <w:szCs w:val="19"/>
              </w:rPr>
            </w:pPr>
          </w:p>
        </w:tc>
        <w:tc>
          <w:tcPr>
            <w:tcW w:w="680" w:type="dxa"/>
            <w:tcBorders>
              <w:top w:val="single" w:sz="4" w:space="0" w:color="auto"/>
              <w:bottom w:val="single" w:sz="4" w:space="0" w:color="auto"/>
            </w:tcBorders>
          </w:tcPr>
          <w:p w14:paraId="3EABE80C" w14:textId="77777777" w:rsidR="00061198" w:rsidRPr="00EB797E" w:rsidRDefault="00061198" w:rsidP="00D51A25">
            <w:pPr>
              <w:jc w:val="center"/>
              <w:rPr>
                <w:rFonts w:cs="Arial"/>
                <w:sz w:val="19"/>
                <w:szCs w:val="19"/>
              </w:rPr>
            </w:pPr>
            <w:r>
              <w:rPr>
                <w:rFonts w:cs="Arial"/>
                <w:sz w:val="19"/>
                <w:szCs w:val="19"/>
              </w:rPr>
              <w:t>428, 111</w:t>
            </w:r>
          </w:p>
        </w:tc>
        <w:tc>
          <w:tcPr>
            <w:tcW w:w="709" w:type="dxa"/>
            <w:tcBorders>
              <w:top w:val="single" w:sz="4" w:space="0" w:color="auto"/>
              <w:bottom w:val="single" w:sz="4" w:space="0" w:color="auto"/>
            </w:tcBorders>
          </w:tcPr>
          <w:p w14:paraId="63F1F05F" w14:textId="77777777" w:rsidR="00061198" w:rsidRPr="00EB797E" w:rsidRDefault="00061198" w:rsidP="00D51A25">
            <w:pPr>
              <w:jc w:val="center"/>
              <w:rPr>
                <w:rFonts w:cs="Arial"/>
                <w:sz w:val="19"/>
                <w:szCs w:val="19"/>
              </w:rPr>
            </w:pPr>
            <w:r w:rsidRPr="00EB797E">
              <w:rPr>
                <w:rFonts w:cs="Arial"/>
                <w:sz w:val="19"/>
                <w:szCs w:val="19"/>
              </w:rPr>
              <w:t>Ref</w:t>
            </w:r>
          </w:p>
        </w:tc>
        <w:tc>
          <w:tcPr>
            <w:tcW w:w="1418" w:type="dxa"/>
            <w:tcBorders>
              <w:top w:val="single" w:sz="4" w:space="0" w:color="auto"/>
              <w:bottom w:val="single" w:sz="4" w:space="0" w:color="auto"/>
            </w:tcBorders>
          </w:tcPr>
          <w:p w14:paraId="539F4873" w14:textId="77777777" w:rsidR="00061198" w:rsidRPr="00EB797E" w:rsidRDefault="00061198" w:rsidP="00D51A25">
            <w:pPr>
              <w:jc w:val="center"/>
              <w:rPr>
                <w:rFonts w:cs="Arial"/>
                <w:sz w:val="19"/>
                <w:szCs w:val="19"/>
              </w:rPr>
            </w:pPr>
          </w:p>
        </w:tc>
        <w:tc>
          <w:tcPr>
            <w:tcW w:w="680" w:type="dxa"/>
            <w:tcBorders>
              <w:top w:val="single" w:sz="4" w:space="0" w:color="auto"/>
              <w:bottom w:val="single" w:sz="4" w:space="0" w:color="auto"/>
            </w:tcBorders>
          </w:tcPr>
          <w:p w14:paraId="20AB38C0" w14:textId="77777777" w:rsidR="00061198" w:rsidRPr="00EB797E" w:rsidRDefault="00061198" w:rsidP="00D51A25">
            <w:pPr>
              <w:jc w:val="center"/>
              <w:rPr>
                <w:rFonts w:cs="Arial"/>
                <w:sz w:val="19"/>
                <w:szCs w:val="19"/>
              </w:rPr>
            </w:pPr>
            <w:r>
              <w:rPr>
                <w:rFonts w:cs="Arial"/>
                <w:sz w:val="19"/>
                <w:szCs w:val="19"/>
              </w:rPr>
              <w:t>181, 60</w:t>
            </w:r>
          </w:p>
        </w:tc>
        <w:tc>
          <w:tcPr>
            <w:tcW w:w="794" w:type="dxa"/>
            <w:tcBorders>
              <w:top w:val="single" w:sz="4" w:space="0" w:color="auto"/>
              <w:bottom w:val="single" w:sz="4" w:space="0" w:color="auto"/>
            </w:tcBorders>
          </w:tcPr>
          <w:p w14:paraId="63ACD079" w14:textId="77777777" w:rsidR="00061198" w:rsidRPr="00EB797E" w:rsidRDefault="00061198" w:rsidP="00D51A25">
            <w:pPr>
              <w:jc w:val="center"/>
              <w:rPr>
                <w:rFonts w:cs="Arial"/>
                <w:sz w:val="19"/>
                <w:szCs w:val="19"/>
              </w:rPr>
            </w:pPr>
            <w:r w:rsidRPr="00EB797E">
              <w:rPr>
                <w:rFonts w:cs="Arial"/>
                <w:sz w:val="19"/>
                <w:szCs w:val="19"/>
              </w:rPr>
              <w:t>Ref</w:t>
            </w:r>
          </w:p>
        </w:tc>
        <w:tc>
          <w:tcPr>
            <w:tcW w:w="1474" w:type="dxa"/>
            <w:tcBorders>
              <w:top w:val="single" w:sz="4" w:space="0" w:color="auto"/>
              <w:bottom w:val="single" w:sz="4" w:space="0" w:color="auto"/>
            </w:tcBorders>
          </w:tcPr>
          <w:p w14:paraId="77C6B108" w14:textId="77777777" w:rsidR="00061198" w:rsidRPr="00EB797E" w:rsidRDefault="00061198" w:rsidP="00D51A25">
            <w:pPr>
              <w:jc w:val="center"/>
              <w:rPr>
                <w:rFonts w:cs="Arial"/>
                <w:sz w:val="19"/>
                <w:szCs w:val="19"/>
              </w:rPr>
            </w:pPr>
          </w:p>
        </w:tc>
      </w:tr>
      <w:tr w:rsidR="00061198" w:rsidRPr="002E5B81" w14:paraId="332DD280" w14:textId="77777777" w:rsidTr="00D51A25">
        <w:tc>
          <w:tcPr>
            <w:tcW w:w="1271" w:type="dxa"/>
            <w:vMerge w:val="restart"/>
            <w:tcBorders>
              <w:top w:val="single" w:sz="4" w:space="0" w:color="auto"/>
            </w:tcBorders>
          </w:tcPr>
          <w:p w14:paraId="55D57FC7" w14:textId="77777777" w:rsidR="00061198" w:rsidRPr="00EB797E" w:rsidRDefault="00061198" w:rsidP="00D51A25">
            <w:pPr>
              <w:jc w:val="center"/>
              <w:rPr>
                <w:rFonts w:cs="Arial"/>
                <w:sz w:val="19"/>
                <w:szCs w:val="19"/>
              </w:rPr>
            </w:pPr>
            <w:r>
              <w:rPr>
                <w:rFonts w:cs="Arial"/>
                <w:sz w:val="19"/>
                <w:szCs w:val="19"/>
              </w:rPr>
              <w:t>Moderate w</w:t>
            </w:r>
            <w:r w:rsidRPr="00EB797E">
              <w:rPr>
                <w:rFonts w:cs="Arial"/>
                <w:sz w:val="19"/>
                <w:szCs w:val="19"/>
              </w:rPr>
              <w:t>eight gain</w:t>
            </w:r>
          </w:p>
          <w:p w14:paraId="7A93EB3A" w14:textId="77777777" w:rsidR="00061198" w:rsidRPr="00EB797E" w:rsidRDefault="00061198" w:rsidP="00D51A25">
            <w:pPr>
              <w:jc w:val="center"/>
              <w:rPr>
                <w:rFonts w:cs="Arial"/>
                <w:sz w:val="19"/>
                <w:szCs w:val="19"/>
              </w:rPr>
            </w:pPr>
            <w:r>
              <w:rPr>
                <w:rFonts w:cs="Arial"/>
                <w:sz w:val="19"/>
                <w:szCs w:val="19"/>
              </w:rPr>
              <w:t>(</w:t>
            </w:r>
            <w:r w:rsidRPr="00EB797E">
              <w:rPr>
                <w:rFonts w:cs="Arial"/>
                <w:sz w:val="19"/>
                <w:szCs w:val="19"/>
              </w:rPr>
              <w:t>1-3 kg/m</w:t>
            </w:r>
            <w:r w:rsidRPr="00EB797E">
              <w:rPr>
                <w:rFonts w:cs="Arial"/>
                <w:sz w:val="19"/>
                <w:szCs w:val="19"/>
                <w:vertAlign w:val="superscript"/>
              </w:rPr>
              <w:t>2</w:t>
            </w:r>
            <w:r w:rsidRPr="00E45258">
              <w:rPr>
                <w:rFonts w:cs="Arial"/>
                <w:sz w:val="19"/>
                <w:szCs w:val="19"/>
              </w:rPr>
              <w:t>)</w:t>
            </w:r>
          </w:p>
        </w:tc>
        <w:tc>
          <w:tcPr>
            <w:tcW w:w="1276" w:type="dxa"/>
            <w:tcBorders>
              <w:top w:val="single" w:sz="4" w:space="0" w:color="auto"/>
              <w:bottom w:val="nil"/>
            </w:tcBorders>
            <w:shd w:val="clear" w:color="auto" w:fill="D9D9D9" w:themeFill="background1" w:themeFillShade="D9"/>
          </w:tcPr>
          <w:p w14:paraId="17B40C87" w14:textId="77777777" w:rsidR="00061198" w:rsidRPr="00EB797E" w:rsidRDefault="00061198" w:rsidP="00D51A25">
            <w:pPr>
              <w:rPr>
                <w:rFonts w:cs="Arial"/>
                <w:sz w:val="19"/>
                <w:szCs w:val="19"/>
              </w:rPr>
            </w:pPr>
            <w:r w:rsidRPr="00EB797E">
              <w:rPr>
                <w:rFonts w:cs="Arial"/>
                <w:sz w:val="19"/>
                <w:szCs w:val="19"/>
              </w:rPr>
              <w:t>Unadjusted</w:t>
            </w:r>
          </w:p>
        </w:tc>
        <w:tc>
          <w:tcPr>
            <w:tcW w:w="770" w:type="dxa"/>
            <w:tcBorders>
              <w:top w:val="single" w:sz="4" w:space="0" w:color="auto"/>
              <w:bottom w:val="nil"/>
            </w:tcBorders>
            <w:shd w:val="clear" w:color="auto" w:fill="D9D9D9" w:themeFill="background1" w:themeFillShade="D9"/>
          </w:tcPr>
          <w:p w14:paraId="715165A4" w14:textId="77777777" w:rsidR="00061198" w:rsidRPr="00EB797E" w:rsidRDefault="00061198" w:rsidP="00D51A25">
            <w:pPr>
              <w:jc w:val="center"/>
              <w:rPr>
                <w:rFonts w:cs="Arial"/>
                <w:sz w:val="19"/>
                <w:szCs w:val="19"/>
              </w:rPr>
            </w:pPr>
            <w:r>
              <w:rPr>
                <w:rFonts w:cs="Arial"/>
                <w:sz w:val="19"/>
                <w:szCs w:val="19"/>
              </w:rPr>
              <w:t>1605, 345</w:t>
            </w:r>
          </w:p>
        </w:tc>
        <w:tc>
          <w:tcPr>
            <w:tcW w:w="680" w:type="dxa"/>
            <w:tcBorders>
              <w:top w:val="single" w:sz="4" w:space="0" w:color="auto"/>
              <w:bottom w:val="nil"/>
            </w:tcBorders>
            <w:shd w:val="clear" w:color="auto" w:fill="D9D9D9" w:themeFill="background1" w:themeFillShade="D9"/>
          </w:tcPr>
          <w:p w14:paraId="5AB5332C" w14:textId="77777777" w:rsidR="00061198" w:rsidRPr="00EB797E" w:rsidRDefault="00061198" w:rsidP="00D51A25">
            <w:pPr>
              <w:jc w:val="center"/>
              <w:rPr>
                <w:rFonts w:cs="Arial"/>
                <w:sz w:val="19"/>
                <w:szCs w:val="19"/>
              </w:rPr>
            </w:pPr>
            <w:r w:rsidRPr="00EB797E">
              <w:rPr>
                <w:rFonts w:cs="Arial"/>
                <w:sz w:val="19"/>
                <w:szCs w:val="19"/>
              </w:rPr>
              <w:t>1.13</w:t>
            </w:r>
          </w:p>
        </w:tc>
        <w:tc>
          <w:tcPr>
            <w:tcW w:w="1417" w:type="dxa"/>
            <w:tcBorders>
              <w:top w:val="single" w:sz="4" w:space="0" w:color="auto"/>
              <w:bottom w:val="nil"/>
            </w:tcBorders>
            <w:shd w:val="clear" w:color="auto" w:fill="D9D9D9" w:themeFill="background1" w:themeFillShade="D9"/>
          </w:tcPr>
          <w:p w14:paraId="7478FCB7" w14:textId="77777777" w:rsidR="00061198" w:rsidRPr="00EB797E" w:rsidRDefault="00061198" w:rsidP="00D51A25">
            <w:pPr>
              <w:jc w:val="center"/>
              <w:rPr>
                <w:rFonts w:cs="Arial"/>
                <w:sz w:val="19"/>
                <w:szCs w:val="19"/>
              </w:rPr>
            </w:pPr>
            <w:r w:rsidRPr="00EB797E">
              <w:rPr>
                <w:rFonts w:cs="Arial"/>
                <w:sz w:val="19"/>
                <w:szCs w:val="19"/>
              </w:rPr>
              <w:t>0.99 to 1.28</w:t>
            </w:r>
          </w:p>
        </w:tc>
        <w:tc>
          <w:tcPr>
            <w:tcW w:w="794" w:type="dxa"/>
            <w:tcBorders>
              <w:top w:val="single" w:sz="4" w:space="0" w:color="auto"/>
              <w:bottom w:val="nil"/>
            </w:tcBorders>
            <w:shd w:val="clear" w:color="auto" w:fill="D9D9D9" w:themeFill="background1" w:themeFillShade="D9"/>
          </w:tcPr>
          <w:p w14:paraId="60840199" w14:textId="77777777" w:rsidR="00061198" w:rsidRPr="00EB797E" w:rsidRDefault="00061198" w:rsidP="00D51A25">
            <w:pPr>
              <w:jc w:val="center"/>
              <w:rPr>
                <w:rFonts w:cs="Arial"/>
                <w:sz w:val="19"/>
                <w:szCs w:val="19"/>
              </w:rPr>
            </w:pPr>
            <w:r>
              <w:rPr>
                <w:rFonts w:cs="Arial"/>
                <w:sz w:val="19"/>
                <w:szCs w:val="19"/>
              </w:rPr>
              <w:t>1050, 188</w:t>
            </w:r>
          </w:p>
        </w:tc>
        <w:tc>
          <w:tcPr>
            <w:tcW w:w="709" w:type="dxa"/>
            <w:tcBorders>
              <w:top w:val="single" w:sz="4" w:space="0" w:color="auto"/>
              <w:bottom w:val="nil"/>
            </w:tcBorders>
            <w:shd w:val="clear" w:color="auto" w:fill="D9D9D9" w:themeFill="background1" w:themeFillShade="D9"/>
          </w:tcPr>
          <w:p w14:paraId="433E3402" w14:textId="77777777" w:rsidR="00061198" w:rsidRPr="00EB797E" w:rsidRDefault="00061198" w:rsidP="00D51A25">
            <w:pPr>
              <w:jc w:val="center"/>
              <w:rPr>
                <w:rFonts w:cs="Arial"/>
                <w:sz w:val="19"/>
                <w:szCs w:val="19"/>
              </w:rPr>
            </w:pPr>
            <w:r w:rsidRPr="00EB797E">
              <w:rPr>
                <w:rFonts w:cs="Arial"/>
                <w:sz w:val="19"/>
                <w:szCs w:val="19"/>
              </w:rPr>
              <w:t>1.17</w:t>
            </w:r>
          </w:p>
        </w:tc>
        <w:tc>
          <w:tcPr>
            <w:tcW w:w="1417" w:type="dxa"/>
            <w:tcBorders>
              <w:top w:val="single" w:sz="4" w:space="0" w:color="auto"/>
              <w:bottom w:val="nil"/>
            </w:tcBorders>
            <w:shd w:val="clear" w:color="auto" w:fill="D9D9D9" w:themeFill="background1" w:themeFillShade="D9"/>
          </w:tcPr>
          <w:p w14:paraId="445DFA02" w14:textId="77777777" w:rsidR="00061198" w:rsidRPr="00EB797E" w:rsidRDefault="00061198" w:rsidP="00D51A25">
            <w:pPr>
              <w:jc w:val="center"/>
              <w:rPr>
                <w:rFonts w:cs="Arial"/>
                <w:sz w:val="19"/>
                <w:szCs w:val="19"/>
              </w:rPr>
            </w:pPr>
            <w:r w:rsidRPr="00EB797E">
              <w:rPr>
                <w:rFonts w:cs="Arial"/>
                <w:sz w:val="19"/>
                <w:szCs w:val="19"/>
              </w:rPr>
              <w:t>0.98 to 1.40</w:t>
            </w:r>
          </w:p>
        </w:tc>
        <w:tc>
          <w:tcPr>
            <w:tcW w:w="680" w:type="dxa"/>
            <w:tcBorders>
              <w:top w:val="single" w:sz="4" w:space="0" w:color="auto"/>
              <w:bottom w:val="nil"/>
            </w:tcBorders>
            <w:shd w:val="clear" w:color="auto" w:fill="D9D9D9" w:themeFill="background1" w:themeFillShade="D9"/>
          </w:tcPr>
          <w:p w14:paraId="644CEAED" w14:textId="77777777" w:rsidR="00061198" w:rsidRPr="00EB797E" w:rsidRDefault="00061198" w:rsidP="00D51A25">
            <w:pPr>
              <w:jc w:val="center"/>
              <w:rPr>
                <w:rFonts w:cs="Arial"/>
                <w:sz w:val="19"/>
                <w:szCs w:val="19"/>
              </w:rPr>
            </w:pPr>
            <w:r>
              <w:rPr>
                <w:rFonts w:cs="Arial"/>
                <w:sz w:val="19"/>
                <w:szCs w:val="19"/>
              </w:rPr>
              <w:t>383, 96</w:t>
            </w:r>
          </w:p>
        </w:tc>
        <w:tc>
          <w:tcPr>
            <w:tcW w:w="709" w:type="dxa"/>
            <w:tcBorders>
              <w:top w:val="single" w:sz="4" w:space="0" w:color="auto"/>
              <w:bottom w:val="nil"/>
            </w:tcBorders>
            <w:shd w:val="clear" w:color="auto" w:fill="D9D9D9" w:themeFill="background1" w:themeFillShade="D9"/>
          </w:tcPr>
          <w:p w14:paraId="75DD7BE2" w14:textId="77777777" w:rsidR="00061198" w:rsidRPr="00EB797E" w:rsidRDefault="00061198" w:rsidP="00D51A25">
            <w:pPr>
              <w:jc w:val="center"/>
              <w:rPr>
                <w:rFonts w:cs="Arial"/>
                <w:sz w:val="19"/>
                <w:szCs w:val="19"/>
              </w:rPr>
            </w:pPr>
            <w:r>
              <w:rPr>
                <w:rFonts w:cs="Arial"/>
                <w:sz w:val="19"/>
                <w:szCs w:val="19"/>
              </w:rPr>
              <w:t>0.97</w:t>
            </w:r>
          </w:p>
        </w:tc>
        <w:tc>
          <w:tcPr>
            <w:tcW w:w="1418" w:type="dxa"/>
            <w:tcBorders>
              <w:top w:val="single" w:sz="4" w:space="0" w:color="auto"/>
              <w:bottom w:val="nil"/>
            </w:tcBorders>
            <w:shd w:val="clear" w:color="auto" w:fill="D9D9D9" w:themeFill="background1" w:themeFillShade="D9"/>
          </w:tcPr>
          <w:p w14:paraId="4CE67B9F" w14:textId="77777777" w:rsidR="00061198" w:rsidRPr="00EB797E" w:rsidRDefault="00061198" w:rsidP="00D51A25">
            <w:pPr>
              <w:jc w:val="center"/>
              <w:rPr>
                <w:rFonts w:cs="Arial"/>
                <w:sz w:val="19"/>
                <w:szCs w:val="19"/>
              </w:rPr>
            </w:pPr>
            <w:r>
              <w:rPr>
                <w:rFonts w:cs="Arial"/>
                <w:sz w:val="19"/>
                <w:szCs w:val="19"/>
              </w:rPr>
              <w:t>0.76</w:t>
            </w:r>
            <w:r w:rsidRPr="00EB797E">
              <w:rPr>
                <w:rFonts w:cs="Arial"/>
                <w:sz w:val="19"/>
                <w:szCs w:val="19"/>
              </w:rPr>
              <w:t xml:space="preserve"> to 1.2</w:t>
            </w:r>
            <w:r>
              <w:rPr>
                <w:rFonts w:cs="Arial"/>
                <w:sz w:val="19"/>
                <w:szCs w:val="19"/>
              </w:rPr>
              <w:t>2</w:t>
            </w:r>
          </w:p>
        </w:tc>
        <w:tc>
          <w:tcPr>
            <w:tcW w:w="680" w:type="dxa"/>
            <w:tcBorders>
              <w:top w:val="single" w:sz="4" w:space="0" w:color="auto"/>
              <w:bottom w:val="nil"/>
            </w:tcBorders>
            <w:shd w:val="clear" w:color="auto" w:fill="D9D9D9" w:themeFill="background1" w:themeFillShade="D9"/>
          </w:tcPr>
          <w:p w14:paraId="4121599B" w14:textId="77777777" w:rsidR="00061198" w:rsidRPr="00EB797E" w:rsidRDefault="00061198" w:rsidP="00D51A25">
            <w:pPr>
              <w:jc w:val="center"/>
              <w:rPr>
                <w:rFonts w:cs="Arial"/>
                <w:sz w:val="19"/>
                <w:szCs w:val="19"/>
              </w:rPr>
            </w:pPr>
            <w:r>
              <w:rPr>
                <w:rFonts w:cs="Arial"/>
                <w:sz w:val="19"/>
                <w:szCs w:val="19"/>
              </w:rPr>
              <w:t>172, 61</w:t>
            </w:r>
          </w:p>
        </w:tc>
        <w:tc>
          <w:tcPr>
            <w:tcW w:w="794" w:type="dxa"/>
            <w:tcBorders>
              <w:top w:val="single" w:sz="4" w:space="0" w:color="auto"/>
              <w:bottom w:val="nil"/>
            </w:tcBorders>
            <w:shd w:val="clear" w:color="auto" w:fill="D9D9D9" w:themeFill="background1" w:themeFillShade="D9"/>
          </w:tcPr>
          <w:p w14:paraId="377756CB" w14:textId="77777777" w:rsidR="00061198" w:rsidRPr="00EB797E" w:rsidRDefault="00061198" w:rsidP="00D51A25">
            <w:pPr>
              <w:jc w:val="center"/>
              <w:rPr>
                <w:rFonts w:cs="Arial"/>
                <w:sz w:val="19"/>
                <w:szCs w:val="19"/>
              </w:rPr>
            </w:pPr>
            <w:r>
              <w:rPr>
                <w:rFonts w:cs="Arial"/>
                <w:sz w:val="19"/>
                <w:szCs w:val="19"/>
              </w:rPr>
              <w:t>1.07</w:t>
            </w:r>
          </w:p>
        </w:tc>
        <w:tc>
          <w:tcPr>
            <w:tcW w:w="1474" w:type="dxa"/>
            <w:tcBorders>
              <w:top w:val="single" w:sz="4" w:space="0" w:color="auto"/>
              <w:bottom w:val="nil"/>
            </w:tcBorders>
            <w:shd w:val="clear" w:color="auto" w:fill="D9D9D9" w:themeFill="background1" w:themeFillShade="D9"/>
          </w:tcPr>
          <w:p w14:paraId="78496829" w14:textId="77777777" w:rsidR="00061198" w:rsidRPr="00EB797E" w:rsidRDefault="00061198" w:rsidP="00D51A25">
            <w:pPr>
              <w:jc w:val="center"/>
              <w:rPr>
                <w:rFonts w:cs="Arial"/>
                <w:sz w:val="19"/>
                <w:szCs w:val="19"/>
              </w:rPr>
            </w:pPr>
            <w:r>
              <w:rPr>
                <w:rFonts w:cs="Arial"/>
                <w:sz w:val="19"/>
                <w:szCs w:val="19"/>
              </w:rPr>
              <w:t>0.80 to 1.43</w:t>
            </w:r>
          </w:p>
        </w:tc>
      </w:tr>
      <w:tr w:rsidR="00061198" w:rsidRPr="002E5B81" w14:paraId="7E4956E6" w14:textId="77777777" w:rsidTr="00D51A25">
        <w:tc>
          <w:tcPr>
            <w:tcW w:w="1271" w:type="dxa"/>
            <w:vMerge/>
          </w:tcPr>
          <w:p w14:paraId="7FF137A9" w14:textId="77777777" w:rsidR="00061198" w:rsidRPr="00EB797E" w:rsidRDefault="00061198" w:rsidP="00D51A25">
            <w:pPr>
              <w:jc w:val="center"/>
              <w:rPr>
                <w:rFonts w:cs="Arial"/>
                <w:sz w:val="19"/>
                <w:szCs w:val="19"/>
              </w:rPr>
            </w:pPr>
          </w:p>
        </w:tc>
        <w:tc>
          <w:tcPr>
            <w:tcW w:w="1276" w:type="dxa"/>
            <w:tcBorders>
              <w:top w:val="nil"/>
              <w:bottom w:val="nil"/>
            </w:tcBorders>
          </w:tcPr>
          <w:p w14:paraId="63F15351" w14:textId="77777777" w:rsidR="00061198" w:rsidRPr="00EB797E" w:rsidRDefault="00061198" w:rsidP="00D51A25">
            <w:pPr>
              <w:rPr>
                <w:rFonts w:cs="Arial"/>
                <w:sz w:val="19"/>
                <w:szCs w:val="19"/>
              </w:rPr>
            </w:pPr>
            <w:r w:rsidRPr="00EB797E">
              <w:rPr>
                <w:rFonts w:cs="Arial"/>
                <w:sz w:val="19"/>
                <w:szCs w:val="19"/>
              </w:rPr>
              <w:t>Model 1</w:t>
            </w:r>
          </w:p>
        </w:tc>
        <w:tc>
          <w:tcPr>
            <w:tcW w:w="770" w:type="dxa"/>
            <w:tcBorders>
              <w:top w:val="nil"/>
              <w:bottom w:val="nil"/>
            </w:tcBorders>
          </w:tcPr>
          <w:p w14:paraId="3C162D42" w14:textId="77777777" w:rsidR="00061198" w:rsidRPr="00EB797E" w:rsidRDefault="00061198" w:rsidP="00D51A25">
            <w:pPr>
              <w:jc w:val="center"/>
              <w:rPr>
                <w:rFonts w:cs="Arial"/>
                <w:sz w:val="19"/>
                <w:szCs w:val="19"/>
              </w:rPr>
            </w:pPr>
          </w:p>
        </w:tc>
        <w:tc>
          <w:tcPr>
            <w:tcW w:w="680" w:type="dxa"/>
            <w:tcBorders>
              <w:top w:val="nil"/>
              <w:bottom w:val="nil"/>
            </w:tcBorders>
          </w:tcPr>
          <w:p w14:paraId="39D306DB" w14:textId="77777777" w:rsidR="00061198" w:rsidRPr="00EB797E" w:rsidRDefault="00061198" w:rsidP="00D51A25">
            <w:pPr>
              <w:jc w:val="center"/>
              <w:rPr>
                <w:rFonts w:cs="Arial"/>
                <w:sz w:val="19"/>
                <w:szCs w:val="19"/>
              </w:rPr>
            </w:pPr>
            <w:r>
              <w:rPr>
                <w:rFonts w:cs="Arial"/>
                <w:sz w:val="19"/>
                <w:szCs w:val="19"/>
              </w:rPr>
              <w:t>1.06</w:t>
            </w:r>
          </w:p>
        </w:tc>
        <w:tc>
          <w:tcPr>
            <w:tcW w:w="1417" w:type="dxa"/>
            <w:tcBorders>
              <w:top w:val="nil"/>
              <w:bottom w:val="nil"/>
            </w:tcBorders>
          </w:tcPr>
          <w:p w14:paraId="6FBADD24" w14:textId="77777777" w:rsidR="00061198" w:rsidRPr="00EB797E" w:rsidRDefault="00061198" w:rsidP="00D51A25">
            <w:pPr>
              <w:jc w:val="center"/>
              <w:rPr>
                <w:rFonts w:cs="Arial"/>
                <w:sz w:val="19"/>
                <w:szCs w:val="19"/>
              </w:rPr>
            </w:pPr>
            <w:r>
              <w:rPr>
                <w:rFonts w:cs="Arial"/>
                <w:sz w:val="19"/>
                <w:szCs w:val="19"/>
              </w:rPr>
              <w:t>0.92 to 1.21</w:t>
            </w:r>
          </w:p>
        </w:tc>
        <w:tc>
          <w:tcPr>
            <w:tcW w:w="794" w:type="dxa"/>
            <w:tcBorders>
              <w:top w:val="nil"/>
              <w:bottom w:val="nil"/>
            </w:tcBorders>
          </w:tcPr>
          <w:p w14:paraId="6EC2A942" w14:textId="77777777" w:rsidR="00061198" w:rsidRPr="00EB797E" w:rsidRDefault="00061198" w:rsidP="00D51A25">
            <w:pPr>
              <w:jc w:val="center"/>
              <w:rPr>
                <w:rFonts w:cs="Arial"/>
                <w:sz w:val="19"/>
                <w:szCs w:val="19"/>
              </w:rPr>
            </w:pPr>
          </w:p>
        </w:tc>
        <w:tc>
          <w:tcPr>
            <w:tcW w:w="709" w:type="dxa"/>
            <w:tcBorders>
              <w:top w:val="nil"/>
              <w:bottom w:val="nil"/>
            </w:tcBorders>
          </w:tcPr>
          <w:p w14:paraId="3CE43A7E" w14:textId="77777777" w:rsidR="00061198" w:rsidRPr="00EB797E" w:rsidRDefault="00061198" w:rsidP="00D51A25">
            <w:pPr>
              <w:jc w:val="center"/>
              <w:rPr>
                <w:rFonts w:cs="Arial"/>
                <w:sz w:val="19"/>
                <w:szCs w:val="19"/>
              </w:rPr>
            </w:pPr>
            <w:r>
              <w:rPr>
                <w:rFonts w:cs="Arial"/>
                <w:sz w:val="19"/>
                <w:szCs w:val="19"/>
              </w:rPr>
              <w:t>1.15</w:t>
            </w:r>
          </w:p>
        </w:tc>
        <w:tc>
          <w:tcPr>
            <w:tcW w:w="1417" w:type="dxa"/>
            <w:tcBorders>
              <w:top w:val="nil"/>
              <w:bottom w:val="nil"/>
            </w:tcBorders>
          </w:tcPr>
          <w:p w14:paraId="1AA4D4CF" w14:textId="77777777" w:rsidR="00061198" w:rsidRPr="00EB797E" w:rsidRDefault="00061198" w:rsidP="00D51A25">
            <w:pPr>
              <w:jc w:val="center"/>
              <w:rPr>
                <w:rFonts w:cs="Arial"/>
                <w:sz w:val="19"/>
                <w:szCs w:val="19"/>
              </w:rPr>
            </w:pPr>
            <w:r>
              <w:rPr>
                <w:rFonts w:cs="Arial"/>
                <w:sz w:val="19"/>
                <w:szCs w:val="19"/>
              </w:rPr>
              <w:t>0.95 to 1.38</w:t>
            </w:r>
          </w:p>
        </w:tc>
        <w:tc>
          <w:tcPr>
            <w:tcW w:w="680" w:type="dxa"/>
            <w:tcBorders>
              <w:top w:val="nil"/>
              <w:bottom w:val="nil"/>
            </w:tcBorders>
          </w:tcPr>
          <w:p w14:paraId="4084C54B" w14:textId="77777777" w:rsidR="00061198" w:rsidRPr="00EB797E" w:rsidRDefault="00061198" w:rsidP="00D51A25">
            <w:pPr>
              <w:jc w:val="center"/>
              <w:rPr>
                <w:rFonts w:cs="Arial"/>
                <w:sz w:val="19"/>
                <w:szCs w:val="19"/>
              </w:rPr>
            </w:pPr>
          </w:p>
        </w:tc>
        <w:tc>
          <w:tcPr>
            <w:tcW w:w="709" w:type="dxa"/>
            <w:tcBorders>
              <w:top w:val="nil"/>
              <w:bottom w:val="nil"/>
            </w:tcBorders>
          </w:tcPr>
          <w:p w14:paraId="40919BA6" w14:textId="77777777" w:rsidR="00061198" w:rsidRPr="00EB797E" w:rsidRDefault="00061198" w:rsidP="00D51A25">
            <w:pPr>
              <w:jc w:val="center"/>
              <w:rPr>
                <w:rFonts w:cs="Arial"/>
                <w:sz w:val="19"/>
                <w:szCs w:val="19"/>
              </w:rPr>
            </w:pPr>
            <w:r>
              <w:rPr>
                <w:rFonts w:cs="Arial"/>
                <w:sz w:val="19"/>
                <w:szCs w:val="19"/>
              </w:rPr>
              <w:t>0.94</w:t>
            </w:r>
          </w:p>
        </w:tc>
        <w:tc>
          <w:tcPr>
            <w:tcW w:w="1418" w:type="dxa"/>
            <w:tcBorders>
              <w:top w:val="nil"/>
              <w:bottom w:val="nil"/>
            </w:tcBorders>
          </w:tcPr>
          <w:p w14:paraId="2D0CFB22" w14:textId="77777777" w:rsidR="00061198" w:rsidRPr="00EB797E" w:rsidRDefault="00061198" w:rsidP="00D51A25">
            <w:pPr>
              <w:jc w:val="center"/>
              <w:rPr>
                <w:rFonts w:cs="Arial"/>
                <w:sz w:val="19"/>
                <w:szCs w:val="19"/>
              </w:rPr>
            </w:pPr>
            <w:r>
              <w:rPr>
                <w:rFonts w:cs="Arial"/>
                <w:sz w:val="19"/>
                <w:szCs w:val="19"/>
              </w:rPr>
              <w:t>0.74 to 1.20</w:t>
            </w:r>
          </w:p>
        </w:tc>
        <w:tc>
          <w:tcPr>
            <w:tcW w:w="680" w:type="dxa"/>
            <w:tcBorders>
              <w:top w:val="nil"/>
              <w:bottom w:val="nil"/>
            </w:tcBorders>
          </w:tcPr>
          <w:p w14:paraId="660B1A4C" w14:textId="77777777" w:rsidR="00061198" w:rsidRPr="00EB797E" w:rsidRDefault="00061198" w:rsidP="00D51A25">
            <w:pPr>
              <w:jc w:val="center"/>
              <w:rPr>
                <w:rFonts w:cs="Arial"/>
                <w:sz w:val="19"/>
                <w:szCs w:val="19"/>
              </w:rPr>
            </w:pPr>
          </w:p>
        </w:tc>
        <w:tc>
          <w:tcPr>
            <w:tcW w:w="794" w:type="dxa"/>
            <w:tcBorders>
              <w:top w:val="nil"/>
              <w:bottom w:val="nil"/>
            </w:tcBorders>
          </w:tcPr>
          <w:p w14:paraId="52FCB25F" w14:textId="77777777" w:rsidR="00061198" w:rsidRPr="00EB797E" w:rsidRDefault="00061198" w:rsidP="00D51A25">
            <w:pPr>
              <w:jc w:val="center"/>
              <w:rPr>
                <w:rFonts w:cs="Arial"/>
                <w:sz w:val="19"/>
                <w:szCs w:val="19"/>
              </w:rPr>
            </w:pPr>
            <w:r>
              <w:rPr>
                <w:rFonts w:cs="Arial"/>
                <w:sz w:val="19"/>
                <w:szCs w:val="19"/>
              </w:rPr>
              <w:t>1.04</w:t>
            </w:r>
          </w:p>
        </w:tc>
        <w:tc>
          <w:tcPr>
            <w:tcW w:w="1474" w:type="dxa"/>
            <w:tcBorders>
              <w:top w:val="nil"/>
              <w:bottom w:val="nil"/>
            </w:tcBorders>
          </w:tcPr>
          <w:p w14:paraId="4353BB68" w14:textId="77777777" w:rsidR="00061198" w:rsidRPr="00EB797E" w:rsidRDefault="00061198" w:rsidP="00D51A25">
            <w:pPr>
              <w:jc w:val="center"/>
              <w:rPr>
                <w:rFonts w:cs="Arial"/>
                <w:sz w:val="19"/>
                <w:szCs w:val="19"/>
              </w:rPr>
            </w:pPr>
            <w:r>
              <w:rPr>
                <w:rFonts w:cs="Arial"/>
                <w:sz w:val="19"/>
                <w:szCs w:val="19"/>
              </w:rPr>
              <w:t>0.75 to 1.43</w:t>
            </w:r>
          </w:p>
        </w:tc>
      </w:tr>
      <w:tr w:rsidR="00061198" w:rsidRPr="002E5B81" w14:paraId="733450C1" w14:textId="77777777" w:rsidTr="00D51A25">
        <w:tc>
          <w:tcPr>
            <w:tcW w:w="1271" w:type="dxa"/>
            <w:vMerge/>
          </w:tcPr>
          <w:p w14:paraId="5E97B8C1" w14:textId="77777777" w:rsidR="00061198" w:rsidRPr="00EB797E" w:rsidRDefault="00061198" w:rsidP="00D51A25">
            <w:pPr>
              <w:jc w:val="center"/>
              <w:rPr>
                <w:rFonts w:cs="Arial"/>
                <w:sz w:val="19"/>
                <w:szCs w:val="19"/>
              </w:rPr>
            </w:pPr>
          </w:p>
        </w:tc>
        <w:tc>
          <w:tcPr>
            <w:tcW w:w="1276" w:type="dxa"/>
            <w:tcBorders>
              <w:top w:val="nil"/>
              <w:bottom w:val="nil"/>
            </w:tcBorders>
            <w:shd w:val="clear" w:color="auto" w:fill="D9D9D9" w:themeFill="background1" w:themeFillShade="D9"/>
          </w:tcPr>
          <w:p w14:paraId="7D97A00C" w14:textId="77777777" w:rsidR="00061198" w:rsidRPr="00EB797E" w:rsidRDefault="00061198" w:rsidP="00D51A25">
            <w:pPr>
              <w:rPr>
                <w:rFonts w:cs="Arial"/>
                <w:sz w:val="19"/>
                <w:szCs w:val="19"/>
              </w:rPr>
            </w:pPr>
            <w:r w:rsidRPr="00EB797E">
              <w:rPr>
                <w:rFonts w:cs="Arial"/>
                <w:sz w:val="19"/>
                <w:szCs w:val="19"/>
              </w:rPr>
              <w:t>Model 2</w:t>
            </w:r>
          </w:p>
        </w:tc>
        <w:tc>
          <w:tcPr>
            <w:tcW w:w="770" w:type="dxa"/>
            <w:tcBorders>
              <w:top w:val="nil"/>
              <w:bottom w:val="nil"/>
            </w:tcBorders>
            <w:shd w:val="clear" w:color="auto" w:fill="D9D9D9" w:themeFill="background1" w:themeFillShade="D9"/>
          </w:tcPr>
          <w:p w14:paraId="3CE3E7B1" w14:textId="77777777" w:rsidR="00061198" w:rsidRPr="00EB797E" w:rsidRDefault="00061198" w:rsidP="00D51A25">
            <w:pPr>
              <w:jc w:val="center"/>
              <w:rPr>
                <w:rFonts w:cs="Arial"/>
                <w:sz w:val="19"/>
                <w:szCs w:val="19"/>
              </w:rPr>
            </w:pPr>
          </w:p>
        </w:tc>
        <w:tc>
          <w:tcPr>
            <w:tcW w:w="680" w:type="dxa"/>
            <w:tcBorders>
              <w:top w:val="nil"/>
              <w:bottom w:val="nil"/>
            </w:tcBorders>
            <w:shd w:val="clear" w:color="auto" w:fill="D9D9D9" w:themeFill="background1" w:themeFillShade="D9"/>
          </w:tcPr>
          <w:p w14:paraId="0E3C4A8B" w14:textId="77777777" w:rsidR="00061198" w:rsidRPr="00EB797E" w:rsidRDefault="00061198" w:rsidP="00D51A25">
            <w:pPr>
              <w:jc w:val="center"/>
              <w:rPr>
                <w:rFonts w:cs="Arial"/>
                <w:sz w:val="19"/>
                <w:szCs w:val="19"/>
              </w:rPr>
            </w:pPr>
            <w:r>
              <w:rPr>
                <w:rFonts w:cs="Arial"/>
                <w:sz w:val="19"/>
                <w:szCs w:val="19"/>
              </w:rPr>
              <w:t>1.01</w:t>
            </w:r>
          </w:p>
        </w:tc>
        <w:tc>
          <w:tcPr>
            <w:tcW w:w="1417" w:type="dxa"/>
            <w:tcBorders>
              <w:top w:val="nil"/>
              <w:bottom w:val="nil"/>
            </w:tcBorders>
            <w:shd w:val="clear" w:color="auto" w:fill="D9D9D9" w:themeFill="background1" w:themeFillShade="D9"/>
          </w:tcPr>
          <w:p w14:paraId="3A0476C9" w14:textId="77777777" w:rsidR="00061198" w:rsidRPr="00EB797E" w:rsidRDefault="00061198" w:rsidP="00D51A25">
            <w:pPr>
              <w:jc w:val="center"/>
              <w:rPr>
                <w:rFonts w:cs="Arial"/>
                <w:sz w:val="19"/>
                <w:szCs w:val="19"/>
              </w:rPr>
            </w:pPr>
            <w:r>
              <w:rPr>
                <w:rFonts w:cs="Arial"/>
                <w:sz w:val="19"/>
                <w:szCs w:val="19"/>
              </w:rPr>
              <w:t>0.89 to 1.16</w:t>
            </w:r>
          </w:p>
        </w:tc>
        <w:tc>
          <w:tcPr>
            <w:tcW w:w="794" w:type="dxa"/>
            <w:tcBorders>
              <w:top w:val="nil"/>
              <w:bottom w:val="nil"/>
            </w:tcBorders>
            <w:shd w:val="clear" w:color="auto" w:fill="D9D9D9" w:themeFill="background1" w:themeFillShade="D9"/>
          </w:tcPr>
          <w:p w14:paraId="584DD103" w14:textId="77777777" w:rsidR="00061198" w:rsidRPr="00EB797E" w:rsidRDefault="00061198" w:rsidP="00D51A25">
            <w:pPr>
              <w:jc w:val="center"/>
              <w:rPr>
                <w:rFonts w:cs="Arial"/>
                <w:sz w:val="19"/>
                <w:szCs w:val="19"/>
              </w:rPr>
            </w:pPr>
          </w:p>
        </w:tc>
        <w:tc>
          <w:tcPr>
            <w:tcW w:w="709" w:type="dxa"/>
            <w:tcBorders>
              <w:top w:val="nil"/>
              <w:bottom w:val="nil"/>
            </w:tcBorders>
            <w:shd w:val="clear" w:color="auto" w:fill="D9D9D9" w:themeFill="background1" w:themeFillShade="D9"/>
          </w:tcPr>
          <w:p w14:paraId="3C5851AF" w14:textId="77777777" w:rsidR="00061198" w:rsidRPr="00EB797E" w:rsidRDefault="00061198" w:rsidP="00D51A25">
            <w:pPr>
              <w:jc w:val="center"/>
              <w:rPr>
                <w:rFonts w:cs="Arial"/>
                <w:sz w:val="19"/>
                <w:szCs w:val="19"/>
              </w:rPr>
            </w:pPr>
            <w:r>
              <w:rPr>
                <w:rFonts w:cs="Arial"/>
                <w:sz w:val="19"/>
                <w:szCs w:val="19"/>
              </w:rPr>
              <w:t>1.10</w:t>
            </w:r>
          </w:p>
        </w:tc>
        <w:tc>
          <w:tcPr>
            <w:tcW w:w="1417" w:type="dxa"/>
            <w:tcBorders>
              <w:top w:val="nil"/>
              <w:bottom w:val="nil"/>
            </w:tcBorders>
            <w:shd w:val="clear" w:color="auto" w:fill="D9D9D9" w:themeFill="background1" w:themeFillShade="D9"/>
          </w:tcPr>
          <w:p w14:paraId="23426823" w14:textId="77777777" w:rsidR="00061198" w:rsidRPr="00EB797E" w:rsidRDefault="00061198" w:rsidP="00D51A25">
            <w:pPr>
              <w:jc w:val="center"/>
              <w:rPr>
                <w:rFonts w:cs="Arial"/>
                <w:sz w:val="19"/>
                <w:szCs w:val="19"/>
              </w:rPr>
            </w:pPr>
            <w:r>
              <w:rPr>
                <w:rFonts w:cs="Arial"/>
                <w:sz w:val="19"/>
                <w:szCs w:val="19"/>
              </w:rPr>
              <w:t>0.91 to 1.32</w:t>
            </w:r>
          </w:p>
        </w:tc>
        <w:tc>
          <w:tcPr>
            <w:tcW w:w="680" w:type="dxa"/>
            <w:tcBorders>
              <w:top w:val="nil"/>
              <w:bottom w:val="nil"/>
            </w:tcBorders>
            <w:shd w:val="clear" w:color="auto" w:fill="D9D9D9" w:themeFill="background1" w:themeFillShade="D9"/>
          </w:tcPr>
          <w:p w14:paraId="45A1DE15" w14:textId="77777777" w:rsidR="00061198" w:rsidRPr="00EB797E" w:rsidRDefault="00061198" w:rsidP="00D51A25">
            <w:pPr>
              <w:jc w:val="center"/>
              <w:rPr>
                <w:rFonts w:cs="Arial"/>
                <w:sz w:val="19"/>
                <w:szCs w:val="19"/>
              </w:rPr>
            </w:pPr>
          </w:p>
        </w:tc>
        <w:tc>
          <w:tcPr>
            <w:tcW w:w="709" w:type="dxa"/>
            <w:tcBorders>
              <w:top w:val="nil"/>
              <w:bottom w:val="nil"/>
            </w:tcBorders>
            <w:shd w:val="clear" w:color="auto" w:fill="D9D9D9" w:themeFill="background1" w:themeFillShade="D9"/>
          </w:tcPr>
          <w:p w14:paraId="6DD19D86" w14:textId="77777777" w:rsidR="00061198" w:rsidRPr="00EB797E" w:rsidRDefault="00061198" w:rsidP="00D51A25">
            <w:pPr>
              <w:jc w:val="center"/>
              <w:rPr>
                <w:rFonts w:cs="Arial"/>
                <w:sz w:val="19"/>
                <w:szCs w:val="19"/>
              </w:rPr>
            </w:pPr>
            <w:r>
              <w:rPr>
                <w:rFonts w:cs="Arial"/>
                <w:sz w:val="19"/>
                <w:szCs w:val="19"/>
              </w:rPr>
              <w:t>0.93</w:t>
            </w:r>
          </w:p>
        </w:tc>
        <w:tc>
          <w:tcPr>
            <w:tcW w:w="1418" w:type="dxa"/>
            <w:tcBorders>
              <w:top w:val="nil"/>
              <w:bottom w:val="nil"/>
            </w:tcBorders>
            <w:shd w:val="clear" w:color="auto" w:fill="D9D9D9" w:themeFill="background1" w:themeFillShade="D9"/>
          </w:tcPr>
          <w:p w14:paraId="1D950BFA" w14:textId="77777777" w:rsidR="00061198" w:rsidRPr="00EB797E" w:rsidRDefault="00061198" w:rsidP="00D51A25">
            <w:pPr>
              <w:jc w:val="center"/>
              <w:rPr>
                <w:rFonts w:cs="Arial"/>
                <w:sz w:val="19"/>
                <w:szCs w:val="19"/>
              </w:rPr>
            </w:pPr>
            <w:r>
              <w:rPr>
                <w:rFonts w:cs="Arial"/>
                <w:sz w:val="19"/>
                <w:szCs w:val="19"/>
              </w:rPr>
              <w:t>0.74 to 1.17</w:t>
            </w:r>
          </w:p>
        </w:tc>
        <w:tc>
          <w:tcPr>
            <w:tcW w:w="680" w:type="dxa"/>
            <w:tcBorders>
              <w:top w:val="nil"/>
              <w:bottom w:val="nil"/>
            </w:tcBorders>
            <w:shd w:val="clear" w:color="auto" w:fill="D9D9D9" w:themeFill="background1" w:themeFillShade="D9"/>
          </w:tcPr>
          <w:p w14:paraId="79F937AE" w14:textId="77777777" w:rsidR="00061198" w:rsidRPr="00EB797E" w:rsidRDefault="00061198" w:rsidP="00D51A25">
            <w:pPr>
              <w:jc w:val="center"/>
              <w:rPr>
                <w:rFonts w:cs="Arial"/>
                <w:sz w:val="19"/>
                <w:szCs w:val="19"/>
              </w:rPr>
            </w:pPr>
          </w:p>
        </w:tc>
        <w:tc>
          <w:tcPr>
            <w:tcW w:w="794" w:type="dxa"/>
            <w:tcBorders>
              <w:top w:val="nil"/>
              <w:bottom w:val="nil"/>
            </w:tcBorders>
            <w:shd w:val="clear" w:color="auto" w:fill="D9D9D9" w:themeFill="background1" w:themeFillShade="D9"/>
          </w:tcPr>
          <w:p w14:paraId="68DA0173" w14:textId="77777777" w:rsidR="00061198" w:rsidRPr="00EB797E" w:rsidRDefault="00061198" w:rsidP="00D51A25">
            <w:pPr>
              <w:jc w:val="center"/>
              <w:rPr>
                <w:rFonts w:cs="Arial"/>
                <w:sz w:val="19"/>
                <w:szCs w:val="19"/>
              </w:rPr>
            </w:pPr>
            <w:r>
              <w:rPr>
                <w:rFonts w:cs="Arial"/>
                <w:sz w:val="19"/>
                <w:szCs w:val="19"/>
              </w:rPr>
              <w:t>1.00</w:t>
            </w:r>
          </w:p>
        </w:tc>
        <w:tc>
          <w:tcPr>
            <w:tcW w:w="1474" w:type="dxa"/>
            <w:tcBorders>
              <w:top w:val="nil"/>
              <w:bottom w:val="nil"/>
            </w:tcBorders>
            <w:shd w:val="clear" w:color="auto" w:fill="D9D9D9" w:themeFill="background1" w:themeFillShade="D9"/>
          </w:tcPr>
          <w:p w14:paraId="0E7680B5" w14:textId="77777777" w:rsidR="00061198" w:rsidRPr="00EB797E" w:rsidRDefault="00061198" w:rsidP="00D51A25">
            <w:pPr>
              <w:jc w:val="center"/>
              <w:rPr>
                <w:rFonts w:cs="Arial"/>
                <w:sz w:val="19"/>
                <w:szCs w:val="19"/>
              </w:rPr>
            </w:pPr>
            <w:r>
              <w:rPr>
                <w:rFonts w:cs="Arial"/>
                <w:sz w:val="19"/>
                <w:szCs w:val="19"/>
              </w:rPr>
              <w:t>0.74 to 1.37</w:t>
            </w:r>
          </w:p>
        </w:tc>
      </w:tr>
      <w:tr w:rsidR="00061198" w:rsidRPr="002E5B81" w14:paraId="5C182D66" w14:textId="77777777" w:rsidTr="00D51A25">
        <w:tc>
          <w:tcPr>
            <w:tcW w:w="1271" w:type="dxa"/>
            <w:vMerge w:val="restart"/>
          </w:tcPr>
          <w:p w14:paraId="390AF460" w14:textId="77777777" w:rsidR="00061198" w:rsidRPr="00EB797E" w:rsidRDefault="00061198" w:rsidP="00D51A25">
            <w:pPr>
              <w:jc w:val="center"/>
              <w:rPr>
                <w:rFonts w:cs="Arial"/>
                <w:sz w:val="19"/>
                <w:szCs w:val="19"/>
              </w:rPr>
            </w:pPr>
            <w:r>
              <w:rPr>
                <w:rFonts w:cs="Arial"/>
                <w:sz w:val="19"/>
                <w:szCs w:val="19"/>
              </w:rPr>
              <w:t>Substantial weight</w:t>
            </w:r>
            <w:r w:rsidRPr="00EB797E">
              <w:rPr>
                <w:rFonts w:cs="Arial"/>
                <w:sz w:val="19"/>
                <w:szCs w:val="19"/>
              </w:rPr>
              <w:t xml:space="preserve"> gain</w:t>
            </w:r>
          </w:p>
          <w:p w14:paraId="744DCEE1" w14:textId="77777777" w:rsidR="00061198" w:rsidRPr="00EB797E" w:rsidRDefault="00061198" w:rsidP="00D51A25">
            <w:pPr>
              <w:jc w:val="center"/>
              <w:rPr>
                <w:rFonts w:cs="Arial"/>
                <w:sz w:val="19"/>
                <w:szCs w:val="19"/>
              </w:rPr>
            </w:pPr>
            <w:r>
              <w:rPr>
                <w:rFonts w:cs="Arial"/>
                <w:sz w:val="19"/>
                <w:szCs w:val="19"/>
              </w:rPr>
              <w:t>(≥</w:t>
            </w:r>
            <w:r w:rsidRPr="00EB797E">
              <w:rPr>
                <w:rFonts w:cs="Arial"/>
                <w:sz w:val="19"/>
                <w:szCs w:val="19"/>
              </w:rPr>
              <w:t>3 kg/m</w:t>
            </w:r>
            <w:r w:rsidRPr="00EB797E">
              <w:rPr>
                <w:rFonts w:cs="Arial"/>
                <w:sz w:val="19"/>
                <w:szCs w:val="19"/>
                <w:vertAlign w:val="superscript"/>
              </w:rPr>
              <w:t>2</w:t>
            </w:r>
            <w:r w:rsidRPr="00E45258">
              <w:rPr>
                <w:rFonts w:cs="Arial"/>
                <w:sz w:val="19"/>
                <w:szCs w:val="19"/>
              </w:rPr>
              <w:t>)</w:t>
            </w:r>
          </w:p>
        </w:tc>
        <w:tc>
          <w:tcPr>
            <w:tcW w:w="1276" w:type="dxa"/>
            <w:tcBorders>
              <w:top w:val="single" w:sz="4" w:space="0" w:color="auto"/>
              <w:bottom w:val="nil"/>
            </w:tcBorders>
            <w:shd w:val="clear" w:color="auto" w:fill="D9D9D9" w:themeFill="background1" w:themeFillShade="D9"/>
          </w:tcPr>
          <w:p w14:paraId="68067CEE" w14:textId="77777777" w:rsidR="00061198" w:rsidRPr="00EB797E" w:rsidRDefault="00061198" w:rsidP="00D51A25">
            <w:pPr>
              <w:rPr>
                <w:rFonts w:cs="Arial"/>
                <w:sz w:val="19"/>
                <w:szCs w:val="19"/>
              </w:rPr>
            </w:pPr>
            <w:r w:rsidRPr="00EB797E">
              <w:rPr>
                <w:rFonts w:cs="Arial"/>
                <w:sz w:val="19"/>
                <w:szCs w:val="19"/>
              </w:rPr>
              <w:t>Unadjusted</w:t>
            </w:r>
          </w:p>
        </w:tc>
        <w:tc>
          <w:tcPr>
            <w:tcW w:w="770" w:type="dxa"/>
            <w:tcBorders>
              <w:top w:val="single" w:sz="4" w:space="0" w:color="auto"/>
              <w:bottom w:val="nil"/>
            </w:tcBorders>
            <w:shd w:val="clear" w:color="auto" w:fill="D9D9D9" w:themeFill="background1" w:themeFillShade="D9"/>
          </w:tcPr>
          <w:p w14:paraId="5BF3A594" w14:textId="77777777" w:rsidR="00061198" w:rsidRPr="00EB797E" w:rsidRDefault="00061198" w:rsidP="00D51A25">
            <w:pPr>
              <w:jc w:val="center"/>
              <w:rPr>
                <w:rFonts w:cs="Arial"/>
                <w:sz w:val="19"/>
                <w:szCs w:val="19"/>
              </w:rPr>
            </w:pPr>
            <w:r>
              <w:rPr>
                <w:rFonts w:cs="Arial"/>
                <w:sz w:val="19"/>
                <w:szCs w:val="19"/>
              </w:rPr>
              <w:t>1137, 322</w:t>
            </w:r>
          </w:p>
        </w:tc>
        <w:tc>
          <w:tcPr>
            <w:tcW w:w="680" w:type="dxa"/>
            <w:tcBorders>
              <w:top w:val="single" w:sz="4" w:space="0" w:color="auto"/>
              <w:bottom w:val="nil"/>
            </w:tcBorders>
            <w:shd w:val="clear" w:color="auto" w:fill="D9D9D9" w:themeFill="background1" w:themeFillShade="D9"/>
          </w:tcPr>
          <w:p w14:paraId="2D2406EB" w14:textId="77777777" w:rsidR="00061198" w:rsidRPr="00EB797E" w:rsidRDefault="00061198" w:rsidP="00D51A25">
            <w:pPr>
              <w:jc w:val="center"/>
              <w:rPr>
                <w:rFonts w:cs="Arial"/>
                <w:b/>
                <w:sz w:val="19"/>
                <w:szCs w:val="19"/>
              </w:rPr>
            </w:pPr>
            <w:r>
              <w:rPr>
                <w:rFonts w:cs="Arial"/>
                <w:b/>
                <w:sz w:val="19"/>
                <w:szCs w:val="19"/>
              </w:rPr>
              <w:t>1.48</w:t>
            </w:r>
          </w:p>
        </w:tc>
        <w:tc>
          <w:tcPr>
            <w:tcW w:w="1417" w:type="dxa"/>
            <w:tcBorders>
              <w:top w:val="single" w:sz="4" w:space="0" w:color="auto"/>
              <w:bottom w:val="nil"/>
            </w:tcBorders>
            <w:shd w:val="clear" w:color="auto" w:fill="D9D9D9" w:themeFill="background1" w:themeFillShade="D9"/>
          </w:tcPr>
          <w:p w14:paraId="5A2A2B47" w14:textId="77777777" w:rsidR="00061198" w:rsidRPr="00EB797E" w:rsidRDefault="00061198" w:rsidP="00D51A25">
            <w:pPr>
              <w:jc w:val="center"/>
              <w:rPr>
                <w:rFonts w:cs="Arial"/>
                <w:b/>
                <w:sz w:val="19"/>
                <w:szCs w:val="19"/>
              </w:rPr>
            </w:pPr>
            <w:r>
              <w:rPr>
                <w:rFonts w:cs="Arial"/>
                <w:b/>
                <w:sz w:val="19"/>
                <w:szCs w:val="19"/>
              </w:rPr>
              <w:t>1.30 to 1.69</w:t>
            </w:r>
          </w:p>
        </w:tc>
        <w:tc>
          <w:tcPr>
            <w:tcW w:w="794" w:type="dxa"/>
            <w:tcBorders>
              <w:top w:val="single" w:sz="4" w:space="0" w:color="auto"/>
              <w:bottom w:val="nil"/>
            </w:tcBorders>
            <w:shd w:val="clear" w:color="auto" w:fill="D9D9D9" w:themeFill="background1" w:themeFillShade="D9"/>
          </w:tcPr>
          <w:p w14:paraId="1ECB2EB1" w14:textId="77777777" w:rsidR="00061198" w:rsidRPr="00EB797E" w:rsidRDefault="00061198" w:rsidP="00D51A25">
            <w:pPr>
              <w:jc w:val="center"/>
              <w:rPr>
                <w:rFonts w:cs="Arial"/>
                <w:sz w:val="19"/>
                <w:szCs w:val="19"/>
              </w:rPr>
            </w:pPr>
            <w:r>
              <w:rPr>
                <w:rFonts w:cs="Arial"/>
                <w:sz w:val="19"/>
                <w:szCs w:val="19"/>
              </w:rPr>
              <w:t>552, 124</w:t>
            </w:r>
          </w:p>
        </w:tc>
        <w:tc>
          <w:tcPr>
            <w:tcW w:w="709" w:type="dxa"/>
            <w:tcBorders>
              <w:top w:val="single" w:sz="4" w:space="0" w:color="auto"/>
              <w:bottom w:val="nil"/>
            </w:tcBorders>
            <w:shd w:val="clear" w:color="auto" w:fill="D9D9D9" w:themeFill="background1" w:themeFillShade="D9"/>
          </w:tcPr>
          <w:p w14:paraId="73CB055A" w14:textId="77777777" w:rsidR="00061198" w:rsidRPr="00EB797E" w:rsidRDefault="00061198" w:rsidP="00D51A25">
            <w:pPr>
              <w:jc w:val="center"/>
              <w:rPr>
                <w:rFonts w:cs="Arial"/>
                <w:b/>
                <w:sz w:val="19"/>
                <w:szCs w:val="19"/>
              </w:rPr>
            </w:pPr>
            <w:r>
              <w:rPr>
                <w:rFonts w:cs="Arial"/>
                <w:b/>
                <w:sz w:val="19"/>
                <w:szCs w:val="19"/>
              </w:rPr>
              <w:t>1.47</w:t>
            </w:r>
          </w:p>
        </w:tc>
        <w:tc>
          <w:tcPr>
            <w:tcW w:w="1417" w:type="dxa"/>
            <w:tcBorders>
              <w:top w:val="single" w:sz="4" w:space="0" w:color="auto"/>
              <w:bottom w:val="nil"/>
            </w:tcBorders>
            <w:shd w:val="clear" w:color="auto" w:fill="D9D9D9" w:themeFill="background1" w:themeFillShade="D9"/>
          </w:tcPr>
          <w:p w14:paraId="4E9951B8" w14:textId="77777777" w:rsidR="00061198" w:rsidRPr="00EB797E" w:rsidRDefault="00061198" w:rsidP="00D51A25">
            <w:pPr>
              <w:jc w:val="center"/>
              <w:rPr>
                <w:rFonts w:cs="Arial"/>
                <w:b/>
                <w:sz w:val="19"/>
                <w:szCs w:val="19"/>
              </w:rPr>
            </w:pPr>
            <w:r>
              <w:rPr>
                <w:rFonts w:cs="Arial"/>
                <w:b/>
                <w:sz w:val="19"/>
                <w:szCs w:val="19"/>
              </w:rPr>
              <w:t>1.21 to 1.79</w:t>
            </w:r>
          </w:p>
        </w:tc>
        <w:tc>
          <w:tcPr>
            <w:tcW w:w="680" w:type="dxa"/>
            <w:tcBorders>
              <w:top w:val="single" w:sz="4" w:space="0" w:color="auto"/>
              <w:bottom w:val="nil"/>
            </w:tcBorders>
            <w:shd w:val="clear" w:color="auto" w:fill="D9D9D9" w:themeFill="background1" w:themeFillShade="D9"/>
          </w:tcPr>
          <w:p w14:paraId="6AE0DBC7" w14:textId="77777777" w:rsidR="00061198" w:rsidRPr="00EB797E" w:rsidRDefault="00061198" w:rsidP="00D51A25">
            <w:pPr>
              <w:jc w:val="center"/>
              <w:rPr>
                <w:rFonts w:cs="Arial"/>
                <w:sz w:val="19"/>
                <w:szCs w:val="19"/>
              </w:rPr>
            </w:pPr>
            <w:r>
              <w:rPr>
                <w:rFonts w:cs="Arial"/>
                <w:sz w:val="19"/>
                <w:szCs w:val="19"/>
              </w:rPr>
              <w:t>377, 103</w:t>
            </w:r>
          </w:p>
        </w:tc>
        <w:tc>
          <w:tcPr>
            <w:tcW w:w="709" w:type="dxa"/>
            <w:tcBorders>
              <w:top w:val="single" w:sz="4" w:space="0" w:color="auto"/>
              <w:bottom w:val="nil"/>
            </w:tcBorders>
            <w:shd w:val="clear" w:color="auto" w:fill="D9D9D9" w:themeFill="background1" w:themeFillShade="D9"/>
          </w:tcPr>
          <w:p w14:paraId="4F5C5CA0" w14:textId="77777777" w:rsidR="00061198" w:rsidRPr="00EB797E" w:rsidRDefault="00061198" w:rsidP="00D51A25">
            <w:pPr>
              <w:jc w:val="center"/>
              <w:rPr>
                <w:rFonts w:cs="Arial"/>
                <w:sz w:val="19"/>
                <w:szCs w:val="19"/>
              </w:rPr>
            </w:pPr>
            <w:r>
              <w:rPr>
                <w:rFonts w:cs="Arial"/>
                <w:sz w:val="19"/>
                <w:szCs w:val="19"/>
              </w:rPr>
              <w:t>1.05</w:t>
            </w:r>
          </w:p>
        </w:tc>
        <w:tc>
          <w:tcPr>
            <w:tcW w:w="1418" w:type="dxa"/>
            <w:tcBorders>
              <w:top w:val="single" w:sz="4" w:space="0" w:color="auto"/>
              <w:bottom w:val="nil"/>
            </w:tcBorders>
            <w:shd w:val="clear" w:color="auto" w:fill="D9D9D9" w:themeFill="background1" w:themeFillShade="D9"/>
          </w:tcPr>
          <w:p w14:paraId="255A3F5E" w14:textId="77777777" w:rsidR="00061198" w:rsidRPr="00EB797E" w:rsidRDefault="00061198" w:rsidP="00D51A25">
            <w:pPr>
              <w:jc w:val="center"/>
              <w:rPr>
                <w:rFonts w:cs="Arial"/>
                <w:sz w:val="19"/>
                <w:szCs w:val="19"/>
              </w:rPr>
            </w:pPr>
            <w:r>
              <w:rPr>
                <w:rFonts w:cs="Arial"/>
                <w:sz w:val="19"/>
                <w:szCs w:val="19"/>
              </w:rPr>
              <w:t>0.84 to 1.33</w:t>
            </w:r>
          </w:p>
        </w:tc>
        <w:tc>
          <w:tcPr>
            <w:tcW w:w="680" w:type="dxa"/>
            <w:tcBorders>
              <w:top w:val="single" w:sz="4" w:space="0" w:color="auto"/>
              <w:bottom w:val="nil"/>
            </w:tcBorders>
            <w:shd w:val="clear" w:color="auto" w:fill="D9D9D9" w:themeFill="background1" w:themeFillShade="D9"/>
          </w:tcPr>
          <w:p w14:paraId="123DB971" w14:textId="77777777" w:rsidR="00061198" w:rsidRPr="00EB797E" w:rsidRDefault="00061198" w:rsidP="00D51A25">
            <w:pPr>
              <w:jc w:val="center"/>
              <w:rPr>
                <w:rFonts w:cs="Arial"/>
                <w:sz w:val="19"/>
                <w:szCs w:val="19"/>
              </w:rPr>
            </w:pPr>
            <w:r>
              <w:rPr>
                <w:rFonts w:cs="Arial"/>
                <w:sz w:val="19"/>
                <w:szCs w:val="19"/>
              </w:rPr>
              <w:t>208, 91</w:t>
            </w:r>
          </w:p>
        </w:tc>
        <w:tc>
          <w:tcPr>
            <w:tcW w:w="794" w:type="dxa"/>
            <w:tcBorders>
              <w:top w:val="single" w:sz="4" w:space="0" w:color="auto"/>
              <w:bottom w:val="nil"/>
            </w:tcBorders>
            <w:shd w:val="clear" w:color="auto" w:fill="D9D9D9" w:themeFill="background1" w:themeFillShade="D9"/>
          </w:tcPr>
          <w:p w14:paraId="64FFD1AE" w14:textId="77777777" w:rsidR="00061198" w:rsidRPr="00EB797E" w:rsidRDefault="00061198" w:rsidP="00D51A25">
            <w:pPr>
              <w:jc w:val="center"/>
              <w:rPr>
                <w:rFonts w:cs="Arial"/>
                <w:b/>
                <w:sz w:val="19"/>
                <w:szCs w:val="19"/>
              </w:rPr>
            </w:pPr>
            <w:r>
              <w:rPr>
                <w:rFonts w:cs="Arial"/>
                <w:b/>
                <w:sz w:val="19"/>
                <w:szCs w:val="19"/>
              </w:rPr>
              <w:t>1.38</w:t>
            </w:r>
          </w:p>
        </w:tc>
        <w:tc>
          <w:tcPr>
            <w:tcW w:w="1474" w:type="dxa"/>
            <w:tcBorders>
              <w:top w:val="single" w:sz="4" w:space="0" w:color="auto"/>
              <w:bottom w:val="nil"/>
            </w:tcBorders>
            <w:shd w:val="clear" w:color="auto" w:fill="D9D9D9" w:themeFill="background1" w:themeFillShade="D9"/>
          </w:tcPr>
          <w:p w14:paraId="451BF1CD" w14:textId="77777777" w:rsidR="00061198" w:rsidRPr="00EB797E" w:rsidRDefault="00061198" w:rsidP="00D51A25">
            <w:pPr>
              <w:jc w:val="center"/>
              <w:rPr>
                <w:rFonts w:cs="Arial"/>
                <w:b/>
                <w:color w:val="000000" w:themeColor="text1"/>
                <w:sz w:val="19"/>
                <w:szCs w:val="19"/>
              </w:rPr>
            </w:pPr>
            <w:r>
              <w:rPr>
                <w:rFonts w:cs="Arial"/>
                <w:b/>
                <w:color w:val="000000" w:themeColor="text1"/>
                <w:sz w:val="19"/>
                <w:szCs w:val="19"/>
              </w:rPr>
              <w:t>1.07 to 1.78</w:t>
            </w:r>
          </w:p>
        </w:tc>
      </w:tr>
      <w:tr w:rsidR="00061198" w:rsidRPr="002E5B81" w14:paraId="5B7DBBD7" w14:textId="77777777" w:rsidTr="00D51A25">
        <w:tc>
          <w:tcPr>
            <w:tcW w:w="1271" w:type="dxa"/>
            <w:vMerge/>
          </w:tcPr>
          <w:p w14:paraId="2692796C" w14:textId="77777777" w:rsidR="00061198" w:rsidRPr="00EB797E" w:rsidRDefault="00061198" w:rsidP="00D51A25">
            <w:pPr>
              <w:jc w:val="center"/>
              <w:rPr>
                <w:rFonts w:cs="Arial"/>
                <w:sz w:val="19"/>
                <w:szCs w:val="19"/>
              </w:rPr>
            </w:pPr>
          </w:p>
        </w:tc>
        <w:tc>
          <w:tcPr>
            <w:tcW w:w="1276" w:type="dxa"/>
            <w:tcBorders>
              <w:top w:val="nil"/>
              <w:bottom w:val="nil"/>
            </w:tcBorders>
          </w:tcPr>
          <w:p w14:paraId="5C48F621" w14:textId="77777777" w:rsidR="00061198" w:rsidRPr="00EB797E" w:rsidRDefault="00061198" w:rsidP="00D51A25">
            <w:pPr>
              <w:rPr>
                <w:rFonts w:cs="Arial"/>
                <w:sz w:val="19"/>
                <w:szCs w:val="19"/>
              </w:rPr>
            </w:pPr>
            <w:r w:rsidRPr="00EB797E">
              <w:rPr>
                <w:rFonts w:cs="Arial"/>
                <w:sz w:val="19"/>
                <w:szCs w:val="19"/>
              </w:rPr>
              <w:t>Model 1</w:t>
            </w:r>
          </w:p>
        </w:tc>
        <w:tc>
          <w:tcPr>
            <w:tcW w:w="770" w:type="dxa"/>
            <w:tcBorders>
              <w:top w:val="nil"/>
              <w:bottom w:val="nil"/>
            </w:tcBorders>
          </w:tcPr>
          <w:p w14:paraId="76173E48" w14:textId="77777777" w:rsidR="00061198" w:rsidRPr="00EB797E" w:rsidRDefault="00061198" w:rsidP="00D51A25">
            <w:pPr>
              <w:jc w:val="center"/>
              <w:rPr>
                <w:rFonts w:cs="Arial"/>
                <w:sz w:val="19"/>
                <w:szCs w:val="19"/>
              </w:rPr>
            </w:pPr>
          </w:p>
        </w:tc>
        <w:tc>
          <w:tcPr>
            <w:tcW w:w="680" w:type="dxa"/>
            <w:tcBorders>
              <w:top w:val="nil"/>
              <w:bottom w:val="nil"/>
            </w:tcBorders>
          </w:tcPr>
          <w:p w14:paraId="74BD3861" w14:textId="77777777" w:rsidR="00061198" w:rsidRPr="00EB797E" w:rsidRDefault="00061198" w:rsidP="00D51A25">
            <w:pPr>
              <w:jc w:val="center"/>
              <w:rPr>
                <w:rFonts w:cs="Arial"/>
                <w:b/>
                <w:sz w:val="19"/>
                <w:szCs w:val="19"/>
              </w:rPr>
            </w:pPr>
            <w:r>
              <w:rPr>
                <w:rFonts w:cs="Arial"/>
                <w:b/>
                <w:sz w:val="19"/>
                <w:szCs w:val="19"/>
              </w:rPr>
              <w:t>1.17</w:t>
            </w:r>
          </w:p>
        </w:tc>
        <w:tc>
          <w:tcPr>
            <w:tcW w:w="1417" w:type="dxa"/>
            <w:tcBorders>
              <w:top w:val="nil"/>
              <w:bottom w:val="nil"/>
            </w:tcBorders>
          </w:tcPr>
          <w:p w14:paraId="1A28D48E" w14:textId="77777777" w:rsidR="00061198" w:rsidRPr="00EB797E" w:rsidRDefault="00061198" w:rsidP="00D51A25">
            <w:pPr>
              <w:jc w:val="center"/>
              <w:rPr>
                <w:rFonts w:cs="Arial"/>
                <w:b/>
                <w:sz w:val="19"/>
                <w:szCs w:val="19"/>
              </w:rPr>
            </w:pPr>
            <w:r>
              <w:rPr>
                <w:rFonts w:cs="Arial"/>
                <w:b/>
                <w:sz w:val="19"/>
                <w:szCs w:val="19"/>
              </w:rPr>
              <w:t>1.02 to 1.34</w:t>
            </w:r>
          </w:p>
        </w:tc>
        <w:tc>
          <w:tcPr>
            <w:tcW w:w="794" w:type="dxa"/>
            <w:tcBorders>
              <w:top w:val="nil"/>
              <w:bottom w:val="nil"/>
            </w:tcBorders>
          </w:tcPr>
          <w:p w14:paraId="2B6F140B" w14:textId="77777777" w:rsidR="00061198" w:rsidRPr="00EB797E" w:rsidRDefault="00061198" w:rsidP="00D51A25">
            <w:pPr>
              <w:jc w:val="center"/>
              <w:rPr>
                <w:rFonts w:cs="Arial"/>
                <w:sz w:val="19"/>
                <w:szCs w:val="19"/>
              </w:rPr>
            </w:pPr>
          </w:p>
        </w:tc>
        <w:tc>
          <w:tcPr>
            <w:tcW w:w="709" w:type="dxa"/>
            <w:tcBorders>
              <w:top w:val="nil"/>
              <w:bottom w:val="nil"/>
            </w:tcBorders>
          </w:tcPr>
          <w:p w14:paraId="5F60B646" w14:textId="77777777" w:rsidR="00061198" w:rsidRPr="00EB797E" w:rsidRDefault="00061198" w:rsidP="00D51A25">
            <w:pPr>
              <w:jc w:val="center"/>
              <w:rPr>
                <w:rFonts w:cs="Arial"/>
                <w:sz w:val="19"/>
                <w:szCs w:val="19"/>
              </w:rPr>
            </w:pPr>
            <w:r>
              <w:rPr>
                <w:rFonts w:cs="Arial"/>
                <w:sz w:val="19"/>
                <w:szCs w:val="19"/>
              </w:rPr>
              <w:t>1.16</w:t>
            </w:r>
          </w:p>
        </w:tc>
        <w:tc>
          <w:tcPr>
            <w:tcW w:w="1417" w:type="dxa"/>
            <w:tcBorders>
              <w:top w:val="nil"/>
              <w:bottom w:val="nil"/>
            </w:tcBorders>
          </w:tcPr>
          <w:p w14:paraId="1C3D71D3" w14:textId="77777777" w:rsidR="00061198" w:rsidRPr="00EB797E" w:rsidRDefault="00061198" w:rsidP="00D51A25">
            <w:pPr>
              <w:jc w:val="center"/>
              <w:rPr>
                <w:rFonts w:cs="Arial"/>
                <w:sz w:val="19"/>
                <w:szCs w:val="19"/>
              </w:rPr>
            </w:pPr>
            <w:r>
              <w:rPr>
                <w:rFonts w:cs="Arial"/>
                <w:sz w:val="19"/>
                <w:szCs w:val="19"/>
              </w:rPr>
              <w:t>0.93 to 1.45</w:t>
            </w:r>
          </w:p>
        </w:tc>
        <w:tc>
          <w:tcPr>
            <w:tcW w:w="680" w:type="dxa"/>
            <w:tcBorders>
              <w:top w:val="nil"/>
              <w:bottom w:val="nil"/>
            </w:tcBorders>
          </w:tcPr>
          <w:p w14:paraId="7C446FAF" w14:textId="77777777" w:rsidR="00061198" w:rsidRPr="00EB797E" w:rsidRDefault="00061198" w:rsidP="00D51A25">
            <w:pPr>
              <w:jc w:val="center"/>
              <w:rPr>
                <w:rFonts w:cs="Arial"/>
                <w:sz w:val="19"/>
                <w:szCs w:val="19"/>
              </w:rPr>
            </w:pPr>
          </w:p>
        </w:tc>
        <w:tc>
          <w:tcPr>
            <w:tcW w:w="709" w:type="dxa"/>
            <w:tcBorders>
              <w:top w:val="nil"/>
              <w:bottom w:val="nil"/>
            </w:tcBorders>
          </w:tcPr>
          <w:p w14:paraId="687D8A14" w14:textId="77777777" w:rsidR="00061198" w:rsidRPr="00EB797E" w:rsidRDefault="00061198" w:rsidP="00D51A25">
            <w:pPr>
              <w:jc w:val="center"/>
              <w:rPr>
                <w:rFonts w:cs="Arial"/>
                <w:sz w:val="19"/>
                <w:szCs w:val="19"/>
              </w:rPr>
            </w:pPr>
            <w:r>
              <w:rPr>
                <w:rFonts w:cs="Arial"/>
                <w:sz w:val="19"/>
                <w:szCs w:val="19"/>
              </w:rPr>
              <w:t>0.94</w:t>
            </w:r>
          </w:p>
        </w:tc>
        <w:tc>
          <w:tcPr>
            <w:tcW w:w="1418" w:type="dxa"/>
            <w:tcBorders>
              <w:top w:val="nil"/>
              <w:bottom w:val="nil"/>
            </w:tcBorders>
          </w:tcPr>
          <w:p w14:paraId="332704B2" w14:textId="77777777" w:rsidR="00061198" w:rsidRPr="00EB797E" w:rsidRDefault="00061198" w:rsidP="00D51A25">
            <w:pPr>
              <w:jc w:val="center"/>
              <w:rPr>
                <w:rFonts w:cs="Arial"/>
                <w:sz w:val="19"/>
                <w:szCs w:val="19"/>
              </w:rPr>
            </w:pPr>
            <w:r>
              <w:rPr>
                <w:rFonts w:cs="Arial"/>
                <w:sz w:val="19"/>
                <w:szCs w:val="19"/>
              </w:rPr>
              <w:t>0.73 to 1.22</w:t>
            </w:r>
          </w:p>
        </w:tc>
        <w:tc>
          <w:tcPr>
            <w:tcW w:w="680" w:type="dxa"/>
            <w:tcBorders>
              <w:top w:val="nil"/>
              <w:bottom w:val="nil"/>
            </w:tcBorders>
          </w:tcPr>
          <w:p w14:paraId="7AEBFBEC" w14:textId="77777777" w:rsidR="00061198" w:rsidRPr="00EB797E" w:rsidRDefault="00061198" w:rsidP="00D51A25">
            <w:pPr>
              <w:jc w:val="center"/>
              <w:rPr>
                <w:rFonts w:cs="Arial"/>
                <w:sz w:val="19"/>
                <w:szCs w:val="19"/>
              </w:rPr>
            </w:pPr>
          </w:p>
        </w:tc>
        <w:tc>
          <w:tcPr>
            <w:tcW w:w="794" w:type="dxa"/>
            <w:tcBorders>
              <w:top w:val="nil"/>
              <w:bottom w:val="nil"/>
            </w:tcBorders>
          </w:tcPr>
          <w:p w14:paraId="4A2C9614" w14:textId="77777777" w:rsidR="00061198" w:rsidRPr="00EB797E" w:rsidRDefault="00061198" w:rsidP="00D51A25">
            <w:pPr>
              <w:jc w:val="center"/>
              <w:rPr>
                <w:rFonts w:cs="Arial"/>
                <w:b/>
                <w:sz w:val="19"/>
                <w:szCs w:val="19"/>
              </w:rPr>
            </w:pPr>
            <w:r>
              <w:rPr>
                <w:rFonts w:cs="Arial"/>
                <w:b/>
                <w:sz w:val="19"/>
                <w:szCs w:val="19"/>
              </w:rPr>
              <w:t>1.34</w:t>
            </w:r>
          </w:p>
        </w:tc>
        <w:tc>
          <w:tcPr>
            <w:tcW w:w="1474" w:type="dxa"/>
            <w:tcBorders>
              <w:top w:val="nil"/>
              <w:bottom w:val="nil"/>
            </w:tcBorders>
            <w:shd w:val="clear" w:color="auto" w:fill="auto"/>
          </w:tcPr>
          <w:p w14:paraId="2B865528" w14:textId="77777777" w:rsidR="00061198" w:rsidRPr="00EB797E" w:rsidRDefault="00061198" w:rsidP="00D51A25">
            <w:pPr>
              <w:jc w:val="center"/>
              <w:rPr>
                <w:rFonts w:cs="Arial"/>
                <w:b/>
                <w:sz w:val="19"/>
                <w:szCs w:val="19"/>
              </w:rPr>
            </w:pPr>
            <w:r w:rsidRPr="00EB797E">
              <w:rPr>
                <w:rFonts w:cs="Arial"/>
                <w:b/>
                <w:sz w:val="19"/>
                <w:szCs w:val="19"/>
              </w:rPr>
              <w:t>1.0</w:t>
            </w:r>
            <w:r>
              <w:rPr>
                <w:rFonts w:cs="Arial"/>
                <w:b/>
                <w:sz w:val="19"/>
                <w:szCs w:val="19"/>
              </w:rPr>
              <w:t>2 to 1.78</w:t>
            </w:r>
          </w:p>
        </w:tc>
      </w:tr>
      <w:tr w:rsidR="00061198" w:rsidRPr="002E5B81" w14:paraId="61CB1EC1" w14:textId="77777777" w:rsidTr="00D51A25">
        <w:tc>
          <w:tcPr>
            <w:tcW w:w="1271" w:type="dxa"/>
            <w:vMerge/>
          </w:tcPr>
          <w:p w14:paraId="019C1EEC" w14:textId="77777777" w:rsidR="00061198" w:rsidRPr="00EB797E" w:rsidRDefault="00061198" w:rsidP="00D51A25">
            <w:pPr>
              <w:jc w:val="center"/>
              <w:rPr>
                <w:rFonts w:cs="Arial"/>
                <w:sz w:val="19"/>
                <w:szCs w:val="19"/>
              </w:rPr>
            </w:pPr>
          </w:p>
        </w:tc>
        <w:tc>
          <w:tcPr>
            <w:tcW w:w="1276" w:type="dxa"/>
            <w:tcBorders>
              <w:top w:val="nil"/>
              <w:bottom w:val="single" w:sz="4" w:space="0" w:color="auto"/>
            </w:tcBorders>
            <w:shd w:val="clear" w:color="auto" w:fill="D9D9D9" w:themeFill="background1" w:themeFillShade="D9"/>
          </w:tcPr>
          <w:p w14:paraId="5D5AE1DB" w14:textId="77777777" w:rsidR="00061198" w:rsidRPr="00EB797E" w:rsidRDefault="00061198" w:rsidP="00D51A25">
            <w:pPr>
              <w:rPr>
                <w:rFonts w:cs="Arial"/>
                <w:sz w:val="19"/>
                <w:szCs w:val="19"/>
              </w:rPr>
            </w:pPr>
            <w:r w:rsidRPr="00EB797E">
              <w:rPr>
                <w:rFonts w:cs="Arial"/>
                <w:sz w:val="19"/>
                <w:szCs w:val="19"/>
              </w:rPr>
              <w:t>Model 2</w:t>
            </w:r>
          </w:p>
        </w:tc>
        <w:tc>
          <w:tcPr>
            <w:tcW w:w="770" w:type="dxa"/>
            <w:tcBorders>
              <w:top w:val="nil"/>
              <w:bottom w:val="single" w:sz="4" w:space="0" w:color="auto"/>
            </w:tcBorders>
            <w:shd w:val="clear" w:color="auto" w:fill="D9D9D9" w:themeFill="background1" w:themeFillShade="D9"/>
          </w:tcPr>
          <w:p w14:paraId="02976927" w14:textId="77777777" w:rsidR="00061198" w:rsidRPr="00EB797E" w:rsidRDefault="00061198" w:rsidP="00D51A25">
            <w:pPr>
              <w:jc w:val="center"/>
              <w:rPr>
                <w:rFonts w:cs="Arial"/>
                <w:sz w:val="19"/>
                <w:szCs w:val="19"/>
              </w:rPr>
            </w:pPr>
          </w:p>
        </w:tc>
        <w:tc>
          <w:tcPr>
            <w:tcW w:w="680" w:type="dxa"/>
            <w:tcBorders>
              <w:top w:val="nil"/>
              <w:bottom w:val="single" w:sz="4" w:space="0" w:color="auto"/>
            </w:tcBorders>
            <w:shd w:val="clear" w:color="auto" w:fill="D9D9D9" w:themeFill="background1" w:themeFillShade="D9"/>
          </w:tcPr>
          <w:p w14:paraId="05A9ACE7" w14:textId="77777777" w:rsidR="00061198" w:rsidRPr="00EB797E" w:rsidRDefault="00061198" w:rsidP="00D51A25">
            <w:pPr>
              <w:jc w:val="center"/>
              <w:rPr>
                <w:rFonts w:cs="Arial"/>
                <w:sz w:val="19"/>
                <w:szCs w:val="19"/>
              </w:rPr>
            </w:pPr>
            <w:r>
              <w:rPr>
                <w:rFonts w:cs="Arial"/>
                <w:sz w:val="19"/>
                <w:szCs w:val="19"/>
              </w:rPr>
              <w:t>1.08</w:t>
            </w:r>
          </w:p>
        </w:tc>
        <w:tc>
          <w:tcPr>
            <w:tcW w:w="1417" w:type="dxa"/>
            <w:tcBorders>
              <w:top w:val="nil"/>
              <w:bottom w:val="single" w:sz="4" w:space="0" w:color="auto"/>
            </w:tcBorders>
            <w:shd w:val="clear" w:color="auto" w:fill="D9D9D9" w:themeFill="background1" w:themeFillShade="D9"/>
          </w:tcPr>
          <w:p w14:paraId="595AC215" w14:textId="77777777" w:rsidR="00061198" w:rsidRPr="00EB797E" w:rsidRDefault="00061198" w:rsidP="00D51A25">
            <w:pPr>
              <w:jc w:val="center"/>
              <w:rPr>
                <w:rFonts w:cs="Arial"/>
                <w:sz w:val="19"/>
                <w:szCs w:val="19"/>
              </w:rPr>
            </w:pPr>
            <w:r>
              <w:rPr>
                <w:rFonts w:cs="Arial"/>
                <w:sz w:val="19"/>
                <w:szCs w:val="19"/>
              </w:rPr>
              <w:t>0.94 to 1.24</w:t>
            </w:r>
          </w:p>
        </w:tc>
        <w:tc>
          <w:tcPr>
            <w:tcW w:w="794" w:type="dxa"/>
            <w:tcBorders>
              <w:top w:val="nil"/>
              <w:bottom w:val="single" w:sz="4" w:space="0" w:color="auto"/>
            </w:tcBorders>
            <w:shd w:val="clear" w:color="auto" w:fill="D9D9D9" w:themeFill="background1" w:themeFillShade="D9"/>
          </w:tcPr>
          <w:p w14:paraId="09D477E4" w14:textId="77777777" w:rsidR="00061198" w:rsidRPr="00EB797E" w:rsidRDefault="00061198" w:rsidP="00D51A25">
            <w:pPr>
              <w:jc w:val="center"/>
              <w:rPr>
                <w:rFonts w:cs="Arial"/>
                <w:sz w:val="19"/>
                <w:szCs w:val="19"/>
              </w:rPr>
            </w:pPr>
          </w:p>
        </w:tc>
        <w:tc>
          <w:tcPr>
            <w:tcW w:w="709" w:type="dxa"/>
            <w:tcBorders>
              <w:top w:val="nil"/>
              <w:bottom w:val="single" w:sz="4" w:space="0" w:color="auto"/>
            </w:tcBorders>
            <w:shd w:val="clear" w:color="auto" w:fill="D9D9D9" w:themeFill="background1" w:themeFillShade="D9"/>
          </w:tcPr>
          <w:p w14:paraId="370808F8" w14:textId="77777777" w:rsidR="00061198" w:rsidRPr="00EB797E" w:rsidRDefault="00061198" w:rsidP="00D51A25">
            <w:pPr>
              <w:jc w:val="center"/>
              <w:rPr>
                <w:rFonts w:cs="Arial"/>
                <w:sz w:val="19"/>
                <w:szCs w:val="19"/>
              </w:rPr>
            </w:pPr>
            <w:r>
              <w:rPr>
                <w:rFonts w:cs="Arial"/>
                <w:sz w:val="19"/>
                <w:szCs w:val="19"/>
              </w:rPr>
              <w:t>1.07</w:t>
            </w:r>
          </w:p>
        </w:tc>
        <w:tc>
          <w:tcPr>
            <w:tcW w:w="1417" w:type="dxa"/>
            <w:tcBorders>
              <w:top w:val="nil"/>
              <w:bottom w:val="single" w:sz="4" w:space="0" w:color="auto"/>
            </w:tcBorders>
            <w:shd w:val="clear" w:color="auto" w:fill="D9D9D9" w:themeFill="background1" w:themeFillShade="D9"/>
          </w:tcPr>
          <w:p w14:paraId="4A4CF333" w14:textId="77777777" w:rsidR="00061198" w:rsidRPr="00EB797E" w:rsidRDefault="00061198" w:rsidP="00D51A25">
            <w:pPr>
              <w:jc w:val="center"/>
              <w:rPr>
                <w:rFonts w:cs="Arial"/>
                <w:sz w:val="19"/>
                <w:szCs w:val="19"/>
              </w:rPr>
            </w:pPr>
            <w:r>
              <w:rPr>
                <w:rFonts w:cs="Arial"/>
                <w:sz w:val="19"/>
                <w:szCs w:val="19"/>
              </w:rPr>
              <w:t>0.85 to 1.34</w:t>
            </w:r>
          </w:p>
        </w:tc>
        <w:tc>
          <w:tcPr>
            <w:tcW w:w="680" w:type="dxa"/>
            <w:tcBorders>
              <w:top w:val="nil"/>
              <w:bottom w:val="single" w:sz="4" w:space="0" w:color="auto"/>
            </w:tcBorders>
            <w:shd w:val="clear" w:color="auto" w:fill="D9D9D9" w:themeFill="background1" w:themeFillShade="D9"/>
          </w:tcPr>
          <w:p w14:paraId="051AD4F5" w14:textId="77777777" w:rsidR="00061198" w:rsidRPr="00EB797E" w:rsidRDefault="00061198" w:rsidP="00D51A25">
            <w:pPr>
              <w:jc w:val="center"/>
              <w:rPr>
                <w:rFonts w:cs="Arial"/>
                <w:sz w:val="19"/>
                <w:szCs w:val="19"/>
              </w:rPr>
            </w:pPr>
          </w:p>
        </w:tc>
        <w:tc>
          <w:tcPr>
            <w:tcW w:w="709" w:type="dxa"/>
            <w:tcBorders>
              <w:top w:val="nil"/>
              <w:bottom w:val="single" w:sz="4" w:space="0" w:color="auto"/>
            </w:tcBorders>
            <w:shd w:val="clear" w:color="auto" w:fill="D9D9D9" w:themeFill="background1" w:themeFillShade="D9"/>
          </w:tcPr>
          <w:p w14:paraId="71685DEB" w14:textId="77777777" w:rsidR="00061198" w:rsidRPr="00EB797E" w:rsidRDefault="00061198" w:rsidP="00D51A25">
            <w:pPr>
              <w:jc w:val="center"/>
              <w:rPr>
                <w:rFonts w:cs="Arial"/>
                <w:sz w:val="19"/>
                <w:szCs w:val="19"/>
              </w:rPr>
            </w:pPr>
            <w:r>
              <w:rPr>
                <w:rFonts w:cs="Arial"/>
                <w:sz w:val="19"/>
                <w:szCs w:val="19"/>
              </w:rPr>
              <w:t>0.94</w:t>
            </w:r>
          </w:p>
        </w:tc>
        <w:tc>
          <w:tcPr>
            <w:tcW w:w="1418" w:type="dxa"/>
            <w:tcBorders>
              <w:top w:val="nil"/>
              <w:bottom w:val="single" w:sz="4" w:space="0" w:color="auto"/>
            </w:tcBorders>
            <w:shd w:val="clear" w:color="auto" w:fill="D9D9D9" w:themeFill="background1" w:themeFillShade="D9"/>
          </w:tcPr>
          <w:p w14:paraId="4BE7F2F0" w14:textId="77777777" w:rsidR="00061198" w:rsidRPr="00EB797E" w:rsidRDefault="00061198" w:rsidP="00D51A25">
            <w:pPr>
              <w:jc w:val="center"/>
              <w:rPr>
                <w:rFonts w:cs="Arial"/>
                <w:sz w:val="19"/>
                <w:szCs w:val="19"/>
              </w:rPr>
            </w:pPr>
            <w:r>
              <w:rPr>
                <w:rFonts w:cs="Arial"/>
                <w:sz w:val="19"/>
                <w:szCs w:val="19"/>
              </w:rPr>
              <w:t>0.74 to 1.19</w:t>
            </w:r>
          </w:p>
        </w:tc>
        <w:tc>
          <w:tcPr>
            <w:tcW w:w="680" w:type="dxa"/>
            <w:tcBorders>
              <w:top w:val="nil"/>
              <w:bottom w:val="single" w:sz="4" w:space="0" w:color="auto"/>
            </w:tcBorders>
            <w:shd w:val="clear" w:color="auto" w:fill="D9D9D9" w:themeFill="background1" w:themeFillShade="D9"/>
          </w:tcPr>
          <w:p w14:paraId="1C5FB0B0" w14:textId="77777777" w:rsidR="00061198" w:rsidRPr="00EB797E" w:rsidRDefault="00061198" w:rsidP="00D51A25">
            <w:pPr>
              <w:jc w:val="center"/>
              <w:rPr>
                <w:rFonts w:cs="Arial"/>
                <w:sz w:val="19"/>
                <w:szCs w:val="19"/>
              </w:rPr>
            </w:pPr>
          </w:p>
        </w:tc>
        <w:tc>
          <w:tcPr>
            <w:tcW w:w="794" w:type="dxa"/>
            <w:tcBorders>
              <w:top w:val="nil"/>
              <w:bottom w:val="single" w:sz="4" w:space="0" w:color="auto"/>
            </w:tcBorders>
            <w:shd w:val="clear" w:color="auto" w:fill="D9D9D9" w:themeFill="background1" w:themeFillShade="D9"/>
          </w:tcPr>
          <w:p w14:paraId="1E0A1F10" w14:textId="77777777" w:rsidR="00061198" w:rsidRPr="00EB797E" w:rsidRDefault="00061198" w:rsidP="00D51A25">
            <w:pPr>
              <w:jc w:val="center"/>
              <w:rPr>
                <w:rFonts w:cs="Arial"/>
                <w:sz w:val="19"/>
                <w:szCs w:val="19"/>
              </w:rPr>
            </w:pPr>
            <w:r>
              <w:rPr>
                <w:rFonts w:cs="Arial"/>
                <w:sz w:val="19"/>
                <w:szCs w:val="19"/>
              </w:rPr>
              <w:t>1.25</w:t>
            </w:r>
          </w:p>
        </w:tc>
        <w:tc>
          <w:tcPr>
            <w:tcW w:w="1474" w:type="dxa"/>
            <w:tcBorders>
              <w:top w:val="nil"/>
              <w:bottom w:val="single" w:sz="4" w:space="0" w:color="auto"/>
            </w:tcBorders>
            <w:shd w:val="clear" w:color="auto" w:fill="D9D9D9" w:themeFill="background1" w:themeFillShade="D9"/>
          </w:tcPr>
          <w:p w14:paraId="05567B76" w14:textId="77777777" w:rsidR="00061198" w:rsidRPr="00EB797E" w:rsidRDefault="00061198" w:rsidP="00D51A25">
            <w:pPr>
              <w:jc w:val="center"/>
              <w:rPr>
                <w:rFonts w:cs="Arial"/>
                <w:sz w:val="19"/>
                <w:szCs w:val="19"/>
              </w:rPr>
            </w:pPr>
            <w:r>
              <w:rPr>
                <w:rFonts w:cs="Arial"/>
                <w:sz w:val="19"/>
                <w:szCs w:val="19"/>
              </w:rPr>
              <w:t>0.94 to 1.64</w:t>
            </w:r>
          </w:p>
        </w:tc>
      </w:tr>
    </w:tbl>
    <w:p w14:paraId="4867B77E" w14:textId="77777777" w:rsidR="00061198" w:rsidRPr="002E5B81" w:rsidRDefault="00061198" w:rsidP="00061198">
      <w:pPr>
        <w:shd w:val="clear" w:color="auto" w:fill="FFFFFF" w:themeFill="background1"/>
        <w:spacing w:after="0"/>
        <w:rPr>
          <w:rFonts w:cs="Arial"/>
          <w:sz w:val="20"/>
          <w:szCs w:val="20"/>
        </w:rPr>
      </w:pPr>
      <w:r w:rsidRPr="002E5B81">
        <w:rPr>
          <w:rFonts w:cs="Arial"/>
          <w:sz w:val="20"/>
          <w:szCs w:val="20"/>
        </w:rPr>
        <w:t>*Generalised linear model with log link and robust variance estimator used to derive RR</w:t>
      </w:r>
    </w:p>
    <w:p w14:paraId="4DF72D65" w14:textId="77777777" w:rsidR="00061198" w:rsidRPr="002E5B81" w:rsidRDefault="00061198" w:rsidP="00061198">
      <w:pPr>
        <w:spacing w:after="0" w:line="240" w:lineRule="auto"/>
        <w:rPr>
          <w:rFonts w:cs="Arial"/>
          <w:sz w:val="20"/>
          <w:szCs w:val="20"/>
        </w:rPr>
      </w:pPr>
      <w:r w:rsidRPr="002E5B81">
        <w:rPr>
          <w:rFonts w:cs="Arial"/>
          <w:sz w:val="20"/>
          <w:szCs w:val="20"/>
        </w:rPr>
        <w:t xml:space="preserve">Model 1: adjusted for maternal age at first pregnancy, ethnicity, highest educational qualification, smoking status at first and second pregnancy, employment status at first pregnancy, </w:t>
      </w:r>
      <w:r>
        <w:rPr>
          <w:rFonts w:cs="Arial"/>
          <w:sz w:val="20"/>
          <w:szCs w:val="20"/>
        </w:rPr>
        <w:t xml:space="preserve">first and second pregnancy gestational age at booking appointment, </w:t>
      </w:r>
      <w:r w:rsidRPr="002E5B81">
        <w:rPr>
          <w:rFonts w:cs="Arial"/>
          <w:sz w:val="20"/>
          <w:szCs w:val="20"/>
        </w:rPr>
        <w:t>baseline BMI, gestatio</w:t>
      </w:r>
      <w:r>
        <w:rPr>
          <w:rFonts w:cs="Arial"/>
          <w:sz w:val="20"/>
          <w:szCs w:val="20"/>
        </w:rPr>
        <w:t xml:space="preserve">nal diabetes in first pregnancy, interpregnancy interval and </w:t>
      </w:r>
      <w:r w:rsidRPr="002E5B81">
        <w:rPr>
          <w:rFonts w:cs="Arial"/>
          <w:sz w:val="20"/>
          <w:szCs w:val="20"/>
        </w:rPr>
        <w:t xml:space="preserve">breastfeeding status for first pregnancy </w:t>
      </w:r>
    </w:p>
    <w:p w14:paraId="1E95669E" w14:textId="77777777" w:rsidR="00061198" w:rsidRPr="002E5B81" w:rsidRDefault="00061198" w:rsidP="00061198">
      <w:pPr>
        <w:spacing w:after="0" w:line="240" w:lineRule="auto"/>
        <w:rPr>
          <w:rFonts w:cs="Arial"/>
          <w:sz w:val="20"/>
          <w:szCs w:val="20"/>
        </w:rPr>
      </w:pPr>
      <w:r w:rsidRPr="002E5B81">
        <w:rPr>
          <w:rFonts w:cs="Arial"/>
          <w:sz w:val="20"/>
          <w:szCs w:val="20"/>
        </w:rPr>
        <w:t xml:space="preserve">Model </w:t>
      </w:r>
      <w:r>
        <w:rPr>
          <w:rFonts w:cs="Arial"/>
          <w:sz w:val="20"/>
          <w:szCs w:val="20"/>
        </w:rPr>
        <w:t>2</w:t>
      </w:r>
      <w:r w:rsidRPr="002E5B81">
        <w:rPr>
          <w:rFonts w:cs="Arial"/>
          <w:sz w:val="20"/>
          <w:szCs w:val="20"/>
        </w:rPr>
        <w:t xml:space="preserve">:  adjusted for maternal age at first pregnancy, ethnicity, highest educational qualification, smoking status at first and second pregnancy, employment status at first pregnancy, </w:t>
      </w:r>
      <w:r>
        <w:rPr>
          <w:rFonts w:cs="Arial"/>
          <w:sz w:val="20"/>
          <w:szCs w:val="20"/>
        </w:rPr>
        <w:t xml:space="preserve">first and second pregnancy gestational age at booking appointment, </w:t>
      </w:r>
      <w:r w:rsidRPr="002E5B81">
        <w:rPr>
          <w:rFonts w:cs="Arial"/>
          <w:sz w:val="20"/>
          <w:szCs w:val="20"/>
        </w:rPr>
        <w:t>baseline BMI, gestational diabetes in second pregnancy, interpregnancy interval</w:t>
      </w:r>
      <w:r>
        <w:rPr>
          <w:rFonts w:cs="Arial"/>
          <w:sz w:val="20"/>
          <w:szCs w:val="20"/>
        </w:rPr>
        <w:t xml:space="preserve">, birthweight, </w:t>
      </w:r>
      <w:r w:rsidRPr="002E5B81">
        <w:rPr>
          <w:rFonts w:cs="Arial"/>
          <w:sz w:val="20"/>
          <w:szCs w:val="20"/>
        </w:rPr>
        <w:t xml:space="preserve">gestational age at birth </w:t>
      </w:r>
      <w:r>
        <w:rPr>
          <w:rFonts w:cs="Arial"/>
          <w:sz w:val="20"/>
          <w:szCs w:val="20"/>
        </w:rPr>
        <w:t>and</w:t>
      </w:r>
      <w:r w:rsidRPr="002E5B81">
        <w:rPr>
          <w:rFonts w:cs="Arial"/>
          <w:sz w:val="20"/>
          <w:szCs w:val="20"/>
        </w:rPr>
        <w:t xml:space="preserve"> breastfeeding status for second pregnancy</w:t>
      </w:r>
    </w:p>
    <w:p w14:paraId="648E7697" w14:textId="77777777" w:rsidR="00061198" w:rsidRPr="002E5B81" w:rsidRDefault="00061198" w:rsidP="00061198">
      <w:pPr>
        <w:spacing w:after="0" w:line="240" w:lineRule="auto"/>
        <w:rPr>
          <w:rFonts w:cs="Arial"/>
          <w:sz w:val="20"/>
          <w:szCs w:val="20"/>
        </w:rPr>
      </w:pPr>
    </w:p>
    <w:p w14:paraId="48686BBA" w14:textId="77777777" w:rsidR="00061198" w:rsidRPr="002E5B81" w:rsidRDefault="00061198" w:rsidP="00061198">
      <w:pPr>
        <w:spacing w:after="0" w:line="240" w:lineRule="auto"/>
        <w:rPr>
          <w:rFonts w:cs="Arial"/>
          <w:sz w:val="20"/>
          <w:szCs w:val="20"/>
        </w:rPr>
      </w:pPr>
    </w:p>
    <w:p w14:paraId="68F9957C" w14:textId="77777777" w:rsidR="00061198" w:rsidRPr="002E5B81" w:rsidRDefault="00061198" w:rsidP="00061198">
      <w:pPr>
        <w:spacing w:after="0" w:line="240" w:lineRule="auto"/>
        <w:rPr>
          <w:rFonts w:cs="Arial"/>
          <w:sz w:val="20"/>
          <w:szCs w:val="20"/>
        </w:rPr>
      </w:pPr>
    </w:p>
    <w:p w14:paraId="49E8AADC" w14:textId="77777777" w:rsidR="00061198" w:rsidRDefault="00061198" w:rsidP="00061198"/>
    <w:p w14:paraId="0AAE9051" w14:textId="77777777" w:rsidR="003F1BDC" w:rsidRPr="002E5B81" w:rsidRDefault="003F1BDC" w:rsidP="003F1BDC">
      <w:pPr>
        <w:spacing w:after="0" w:line="240" w:lineRule="auto"/>
        <w:rPr>
          <w:rFonts w:cs="Arial"/>
          <w:sz w:val="20"/>
          <w:szCs w:val="20"/>
        </w:rPr>
      </w:pPr>
    </w:p>
    <w:p w14:paraId="65E31C43" w14:textId="77777777" w:rsidR="003F1BDC" w:rsidRPr="002E5B81" w:rsidRDefault="003F1BDC" w:rsidP="003F1BDC">
      <w:pPr>
        <w:spacing w:after="0" w:line="240" w:lineRule="auto"/>
        <w:rPr>
          <w:rFonts w:cs="Arial"/>
          <w:sz w:val="20"/>
          <w:szCs w:val="20"/>
        </w:rPr>
      </w:pPr>
    </w:p>
    <w:p w14:paraId="54C026F2" w14:textId="77777777" w:rsidR="003F1BDC" w:rsidRPr="002E5B81" w:rsidRDefault="003F1BDC" w:rsidP="003F1BDC">
      <w:pPr>
        <w:spacing w:after="0" w:line="240" w:lineRule="auto"/>
        <w:rPr>
          <w:rFonts w:cs="Arial"/>
          <w:sz w:val="20"/>
          <w:szCs w:val="20"/>
        </w:rPr>
      </w:pPr>
    </w:p>
    <w:p w14:paraId="7384F414" w14:textId="77777777" w:rsidR="00061198" w:rsidRPr="002E5B81" w:rsidRDefault="00061198" w:rsidP="00061198">
      <w:pPr>
        <w:rPr>
          <w:rFonts w:cs="Arial"/>
          <w:szCs w:val="19"/>
        </w:rPr>
      </w:pPr>
      <w:r w:rsidRPr="002E5B81">
        <w:rPr>
          <w:rFonts w:cs="Arial"/>
          <w:szCs w:val="19"/>
        </w:rPr>
        <w:lastRenderedPageBreak/>
        <w:t xml:space="preserve">Table </w:t>
      </w:r>
      <w:r>
        <w:rPr>
          <w:rFonts w:cs="Arial"/>
          <w:szCs w:val="19"/>
        </w:rPr>
        <w:t>3</w:t>
      </w:r>
      <w:r w:rsidRPr="002E5B81">
        <w:rPr>
          <w:rFonts w:cs="Arial"/>
          <w:szCs w:val="19"/>
        </w:rPr>
        <w:t>: Associations between risk of obesity (</w:t>
      </w:r>
      <w:r>
        <w:rPr>
          <w:rFonts w:cs="Arial"/>
          <w:szCs w:val="19"/>
        </w:rPr>
        <w:t>9</w:t>
      </w:r>
      <w:r w:rsidRPr="002E5B81">
        <w:rPr>
          <w:rFonts w:cs="Arial"/>
          <w:szCs w:val="19"/>
        </w:rPr>
        <w:t>5</w:t>
      </w:r>
      <w:r w:rsidRPr="002E5B81">
        <w:rPr>
          <w:rFonts w:cs="Arial"/>
          <w:szCs w:val="19"/>
          <w:vertAlign w:val="superscript"/>
        </w:rPr>
        <w:t>th</w:t>
      </w:r>
      <w:r w:rsidRPr="002E5B81">
        <w:rPr>
          <w:rFonts w:cs="Arial"/>
          <w:szCs w:val="19"/>
        </w:rPr>
        <w:t xml:space="preserve"> centile) in the second child at age 4-5 years and change in maternal body mass index (BMI) between pregnancies as measured at the first antenatal visit of each pregnancy stratified by BMI category in the first pregnancy</w:t>
      </w:r>
    </w:p>
    <w:tbl>
      <w:tblPr>
        <w:tblStyle w:val="TableGrid"/>
        <w:tblW w:w="14596" w:type="dxa"/>
        <w:tblLayout w:type="fixed"/>
        <w:tblLook w:val="04A0" w:firstRow="1" w:lastRow="0" w:firstColumn="1" w:lastColumn="0" w:noHBand="0" w:noVBand="1"/>
      </w:tblPr>
      <w:tblGrid>
        <w:gridCol w:w="1271"/>
        <w:gridCol w:w="1276"/>
        <w:gridCol w:w="794"/>
        <w:gridCol w:w="794"/>
        <w:gridCol w:w="1389"/>
        <w:gridCol w:w="878"/>
        <w:gridCol w:w="709"/>
        <w:gridCol w:w="1389"/>
        <w:gridCol w:w="708"/>
        <w:gridCol w:w="680"/>
        <w:gridCol w:w="1589"/>
        <w:gridCol w:w="650"/>
        <w:gridCol w:w="993"/>
        <w:gridCol w:w="1476"/>
      </w:tblGrid>
      <w:tr w:rsidR="00061198" w:rsidRPr="002E5B81" w14:paraId="5CFB2795" w14:textId="77777777" w:rsidTr="00D51A25">
        <w:tc>
          <w:tcPr>
            <w:tcW w:w="1271" w:type="dxa"/>
            <w:vMerge w:val="restart"/>
          </w:tcPr>
          <w:p w14:paraId="4E94954E" w14:textId="77777777" w:rsidR="00061198" w:rsidRPr="00EB797E" w:rsidRDefault="00061198" w:rsidP="00D51A25">
            <w:pPr>
              <w:jc w:val="center"/>
              <w:rPr>
                <w:rFonts w:cs="Arial"/>
                <w:sz w:val="19"/>
                <w:szCs w:val="19"/>
              </w:rPr>
            </w:pPr>
            <w:r w:rsidRPr="00EB797E">
              <w:rPr>
                <w:rFonts w:cs="Arial"/>
                <w:sz w:val="19"/>
                <w:szCs w:val="19"/>
              </w:rPr>
              <w:t>Maternal BMI change (categorised)</w:t>
            </w:r>
          </w:p>
        </w:tc>
        <w:tc>
          <w:tcPr>
            <w:tcW w:w="1276" w:type="dxa"/>
            <w:tcBorders>
              <w:top w:val="single" w:sz="4" w:space="0" w:color="auto"/>
              <w:bottom w:val="nil"/>
            </w:tcBorders>
          </w:tcPr>
          <w:p w14:paraId="3530BCDC" w14:textId="77777777" w:rsidR="00061198" w:rsidRPr="00EB797E" w:rsidRDefault="00061198" w:rsidP="00D51A25">
            <w:pPr>
              <w:jc w:val="center"/>
              <w:rPr>
                <w:rFonts w:cs="Arial"/>
                <w:sz w:val="19"/>
                <w:szCs w:val="19"/>
              </w:rPr>
            </w:pPr>
          </w:p>
        </w:tc>
        <w:tc>
          <w:tcPr>
            <w:tcW w:w="2977" w:type="dxa"/>
            <w:gridSpan w:val="3"/>
          </w:tcPr>
          <w:p w14:paraId="29CA1080" w14:textId="77777777" w:rsidR="00061198" w:rsidRPr="00EB797E" w:rsidRDefault="00061198" w:rsidP="00D51A25">
            <w:pPr>
              <w:jc w:val="center"/>
              <w:rPr>
                <w:rFonts w:cs="Arial"/>
                <w:sz w:val="19"/>
                <w:szCs w:val="19"/>
              </w:rPr>
            </w:pPr>
            <w:r w:rsidRPr="00EB797E">
              <w:rPr>
                <w:rFonts w:cs="Arial"/>
                <w:sz w:val="19"/>
                <w:szCs w:val="19"/>
              </w:rPr>
              <w:t>Full sample</w:t>
            </w:r>
          </w:p>
        </w:tc>
        <w:tc>
          <w:tcPr>
            <w:tcW w:w="2976" w:type="dxa"/>
            <w:gridSpan w:val="3"/>
          </w:tcPr>
          <w:p w14:paraId="47E7CA67" w14:textId="77777777" w:rsidR="00061198" w:rsidRPr="00EB797E" w:rsidRDefault="00061198" w:rsidP="00D51A25">
            <w:pPr>
              <w:jc w:val="center"/>
              <w:rPr>
                <w:rFonts w:cs="Arial"/>
                <w:sz w:val="19"/>
                <w:szCs w:val="19"/>
              </w:rPr>
            </w:pPr>
            <w:r w:rsidRPr="00EB797E">
              <w:rPr>
                <w:rFonts w:cs="Arial"/>
                <w:sz w:val="19"/>
                <w:szCs w:val="19"/>
              </w:rPr>
              <w:t>Normal weight at first pregnancy</w:t>
            </w:r>
          </w:p>
        </w:tc>
        <w:tc>
          <w:tcPr>
            <w:tcW w:w="2977" w:type="dxa"/>
            <w:gridSpan w:val="3"/>
          </w:tcPr>
          <w:p w14:paraId="224CAB56" w14:textId="77777777" w:rsidR="00061198" w:rsidRPr="00EB797E" w:rsidRDefault="00061198" w:rsidP="00D51A25">
            <w:pPr>
              <w:jc w:val="center"/>
              <w:rPr>
                <w:rFonts w:cs="Arial"/>
                <w:sz w:val="19"/>
                <w:szCs w:val="19"/>
              </w:rPr>
            </w:pPr>
            <w:r w:rsidRPr="00EB797E">
              <w:rPr>
                <w:rFonts w:cs="Arial"/>
                <w:sz w:val="19"/>
                <w:szCs w:val="19"/>
              </w:rPr>
              <w:t>Overweight at first pregnancy</w:t>
            </w:r>
          </w:p>
        </w:tc>
        <w:tc>
          <w:tcPr>
            <w:tcW w:w="3119" w:type="dxa"/>
            <w:gridSpan w:val="3"/>
          </w:tcPr>
          <w:p w14:paraId="7255B484" w14:textId="77777777" w:rsidR="00061198" w:rsidRPr="00EB797E" w:rsidRDefault="00061198" w:rsidP="00D51A25">
            <w:pPr>
              <w:jc w:val="center"/>
              <w:rPr>
                <w:rFonts w:cs="Arial"/>
                <w:sz w:val="19"/>
                <w:szCs w:val="19"/>
              </w:rPr>
            </w:pPr>
            <w:r w:rsidRPr="00EB797E">
              <w:rPr>
                <w:rFonts w:cs="Arial"/>
                <w:sz w:val="19"/>
                <w:szCs w:val="19"/>
              </w:rPr>
              <w:t>Obese at first pregnancy</w:t>
            </w:r>
          </w:p>
        </w:tc>
      </w:tr>
      <w:tr w:rsidR="00061198" w:rsidRPr="002E5B81" w14:paraId="13BFA649" w14:textId="77777777" w:rsidTr="00D51A25">
        <w:tc>
          <w:tcPr>
            <w:tcW w:w="1271" w:type="dxa"/>
            <w:vMerge/>
          </w:tcPr>
          <w:p w14:paraId="2A2A743E" w14:textId="77777777" w:rsidR="00061198" w:rsidRPr="00EB797E" w:rsidRDefault="00061198" w:rsidP="00D51A25">
            <w:pPr>
              <w:jc w:val="center"/>
              <w:rPr>
                <w:rFonts w:cs="Arial"/>
                <w:sz w:val="19"/>
                <w:szCs w:val="19"/>
              </w:rPr>
            </w:pPr>
          </w:p>
        </w:tc>
        <w:tc>
          <w:tcPr>
            <w:tcW w:w="1276" w:type="dxa"/>
            <w:tcBorders>
              <w:top w:val="nil"/>
            </w:tcBorders>
          </w:tcPr>
          <w:p w14:paraId="39BA44B1" w14:textId="77777777" w:rsidR="00061198" w:rsidRPr="00EB797E" w:rsidRDefault="00061198" w:rsidP="00D51A25">
            <w:pPr>
              <w:jc w:val="center"/>
              <w:rPr>
                <w:rFonts w:cs="Arial"/>
                <w:sz w:val="19"/>
                <w:szCs w:val="19"/>
              </w:rPr>
            </w:pPr>
          </w:p>
        </w:tc>
        <w:tc>
          <w:tcPr>
            <w:tcW w:w="794" w:type="dxa"/>
          </w:tcPr>
          <w:p w14:paraId="39EA0FCB" w14:textId="77777777" w:rsidR="00061198" w:rsidRPr="00EB797E" w:rsidRDefault="00061198" w:rsidP="00D51A25">
            <w:pPr>
              <w:jc w:val="center"/>
              <w:rPr>
                <w:rFonts w:cs="Arial"/>
                <w:sz w:val="19"/>
                <w:szCs w:val="19"/>
              </w:rPr>
            </w:pPr>
            <w:r w:rsidRPr="00EB797E">
              <w:rPr>
                <w:rFonts w:cs="Arial"/>
                <w:sz w:val="19"/>
                <w:szCs w:val="19"/>
              </w:rPr>
              <w:t>n</w:t>
            </w:r>
          </w:p>
        </w:tc>
        <w:tc>
          <w:tcPr>
            <w:tcW w:w="794" w:type="dxa"/>
          </w:tcPr>
          <w:p w14:paraId="636CC240" w14:textId="77777777" w:rsidR="00061198" w:rsidRPr="00EB797E" w:rsidRDefault="00061198" w:rsidP="00D51A25">
            <w:pPr>
              <w:jc w:val="center"/>
              <w:rPr>
                <w:rFonts w:cs="Arial"/>
                <w:sz w:val="19"/>
                <w:szCs w:val="19"/>
              </w:rPr>
            </w:pPr>
            <w:r w:rsidRPr="00EB797E">
              <w:rPr>
                <w:rFonts w:cs="Arial"/>
                <w:sz w:val="19"/>
                <w:szCs w:val="19"/>
              </w:rPr>
              <w:t>Relative risk,</w:t>
            </w:r>
          </w:p>
          <w:p w14:paraId="5E64F37B" w14:textId="77777777" w:rsidR="00061198" w:rsidRPr="00EB797E" w:rsidRDefault="00061198" w:rsidP="00D51A25">
            <w:pPr>
              <w:jc w:val="center"/>
              <w:rPr>
                <w:rFonts w:cs="Arial"/>
                <w:sz w:val="19"/>
                <w:szCs w:val="19"/>
              </w:rPr>
            </w:pPr>
            <w:r w:rsidRPr="00EB797E">
              <w:rPr>
                <w:rFonts w:cs="Arial"/>
                <w:sz w:val="19"/>
                <w:szCs w:val="19"/>
              </w:rPr>
              <w:t>(RR)*</w:t>
            </w:r>
          </w:p>
        </w:tc>
        <w:tc>
          <w:tcPr>
            <w:tcW w:w="1389" w:type="dxa"/>
          </w:tcPr>
          <w:p w14:paraId="61DD948B" w14:textId="77777777" w:rsidR="00061198" w:rsidRPr="00EB797E" w:rsidRDefault="00061198" w:rsidP="00D51A25">
            <w:pPr>
              <w:jc w:val="center"/>
              <w:rPr>
                <w:rFonts w:cs="Arial"/>
                <w:sz w:val="19"/>
                <w:szCs w:val="19"/>
              </w:rPr>
            </w:pPr>
            <w:r w:rsidRPr="00EB797E">
              <w:rPr>
                <w:rFonts w:cs="Arial"/>
                <w:sz w:val="19"/>
                <w:szCs w:val="19"/>
              </w:rPr>
              <w:t>95% CI</w:t>
            </w:r>
          </w:p>
        </w:tc>
        <w:tc>
          <w:tcPr>
            <w:tcW w:w="878" w:type="dxa"/>
          </w:tcPr>
          <w:p w14:paraId="0C9870B1" w14:textId="77777777" w:rsidR="00061198" w:rsidRPr="00EB797E" w:rsidRDefault="00061198" w:rsidP="00D51A25">
            <w:pPr>
              <w:jc w:val="center"/>
              <w:rPr>
                <w:rFonts w:cs="Arial"/>
                <w:sz w:val="19"/>
                <w:szCs w:val="19"/>
              </w:rPr>
            </w:pPr>
            <w:r w:rsidRPr="00EB797E">
              <w:rPr>
                <w:rFonts w:cs="Arial"/>
                <w:sz w:val="19"/>
                <w:szCs w:val="19"/>
              </w:rPr>
              <w:t>n</w:t>
            </w:r>
          </w:p>
        </w:tc>
        <w:tc>
          <w:tcPr>
            <w:tcW w:w="709" w:type="dxa"/>
          </w:tcPr>
          <w:p w14:paraId="4F27E1C2" w14:textId="77777777" w:rsidR="00061198" w:rsidRPr="00EB797E" w:rsidRDefault="00061198" w:rsidP="00D51A25">
            <w:pPr>
              <w:jc w:val="center"/>
              <w:rPr>
                <w:rFonts w:cs="Arial"/>
                <w:sz w:val="19"/>
                <w:szCs w:val="19"/>
              </w:rPr>
            </w:pPr>
            <w:r w:rsidRPr="00EB797E">
              <w:rPr>
                <w:rFonts w:cs="Arial"/>
                <w:sz w:val="19"/>
                <w:szCs w:val="19"/>
              </w:rPr>
              <w:t>RR*</w:t>
            </w:r>
          </w:p>
        </w:tc>
        <w:tc>
          <w:tcPr>
            <w:tcW w:w="1389" w:type="dxa"/>
          </w:tcPr>
          <w:p w14:paraId="480CB6CD" w14:textId="77777777" w:rsidR="00061198" w:rsidRPr="00EB797E" w:rsidRDefault="00061198" w:rsidP="00D51A25">
            <w:pPr>
              <w:jc w:val="center"/>
              <w:rPr>
                <w:rFonts w:cs="Arial"/>
                <w:sz w:val="19"/>
                <w:szCs w:val="19"/>
              </w:rPr>
            </w:pPr>
            <w:r w:rsidRPr="00EB797E">
              <w:rPr>
                <w:rFonts w:cs="Arial"/>
                <w:sz w:val="19"/>
                <w:szCs w:val="19"/>
              </w:rPr>
              <w:t>95% CI</w:t>
            </w:r>
          </w:p>
        </w:tc>
        <w:tc>
          <w:tcPr>
            <w:tcW w:w="708" w:type="dxa"/>
          </w:tcPr>
          <w:p w14:paraId="2ACDC2D2" w14:textId="77777777" w:rsidR="00061198" w:rsidRPr="00EB797E" w:rsidRDefault="00061198" w:rsidP="00D51A25">
            <w:pPr>
              <w:jc w:val="center"/>
              <w:rPr>
                <w:rFonts w:cs="Arial"/>
                <w:sz w:val="19"/>
                <w:szCs w:val="19"/>
              </w:rPr>
            </w:pPr>
            <w:r w:rsidRPr="00EB797E">
              <w:rPr>
                <w:rFonts w:cs="Arial"/>
                <w:sz w:val="19"/>
                <w:szCs w:val="19"/>
              </w:rPr>
              <w:t>n</w:t>
            </w:r>
          </w:p>
        </w:tc>
        <w:tc>
          <w:tcPr>
            <w:tcW w:w="680" w:type="dxa"/>
          </w:tcPr>
          <w:p w14:paraId="32B7BECB" w14:textId="77777777" w:rsidR="00061198" w:rsidRPr="00EB797E" w:rsidRDefault="00061198" w:rsidP="00D51A25">
            <w:pPr>
              <w:jc w:val="center"/>
              <w:rPr>
                <w:rFonts w:cs="Arial"/>
                <w:sz w:val="19"/>
                <w:szCs w:val="19"/>
              </w:rPr>
            </w:pPr>
            <w:r w:rsidRPr="00EB797E">
              <w:rPr>
                <w:rFonts w:cs="Arial"/>
                <w:sz w:val="19"/>
                <w:szCs w:val="19"/>
              </w:rPr>
              <w:t>RR*</w:t>
            </w:r>
          </w:p>
        </w:tc>
        <w:tc>
          <w:tcPr>
            <w:tcW w:w="1589" w:type="dxa"/>
          </w:tcPr>
          <w:p w14:paraId="4E1F36AE" w14:textId="77777777" w:rsidR="00061198" w:rsidRPr="00EB797E" w:rsidRDefault="00061198" w:rsidP="00D51A25">
            <w:pPr>
              <w:jc w:val="center"/>
              <w:rPr>
                <w:rFonts w:cs="Arial"/>
                <w:sz w:val="19"/>
                <w:szCs w:val="19"/>
              </w:rPr>
            </w:pPr>
            <w:r w:rsidRPr="00EB797E">
              <w:rPr>
                <w:rFonts w:cs="Arial"/>
                <w:sz w:val="19"/>
                <w:szCs w:val="19"/>
              </w:rPr>
              <w:t>95% CI</w:t>
            </w:r>
          </w:p>
        </w:tc>
        <w:tc>
          <w:tcPr>
            <w:tcW w:w="650" w:type="dxa"/>
          </w:tcPr>
          <w:p w14:paraId="1E818F40" w14:textId="77777777" w:rsidR="00061198" w:rsidRPr="00EB797E" w:rsidRDefault="00061198" w:rsidP="00D51A25">
            <w:pPr>
              <w:jc w:val="center"/>
              <w:rPr>
                <w:rFonts w:cs="Arial"/>
                <w:sz w:val="19"/>
                <w:szCs w:val="19"/>
              </w:rPr>
            </w:pPr>
            <w:r w:rsidRPr="00EB797E">
              <w:rPr>
                <w:rFonts w:cs="Arial"/>
                <w:sz w:val="19"/>
                <w:szCs w:val="19"/>
              </w:rPr>
              <w:t>n</w:t>
            </w:r>
          </w:p>
        </w:tc>
        <w:tc>
          <w:tcPr>
            <w:tcW w:w="993" w:type="dxa"/>
          </w:tcPr>
          <w:p w14:paraId="6B613C26" w14:textId="77777777" w:rsidR="00061198" w:rsidRPr="00EB797E" w:rsidRDefault="00061198" w:rsidP="00D51A25">
            <w:pPr>
              <w:jc w:val="center"/>
              <w:rPr>
                <w:rFonts w:cs="Arial"/>
                <w:sz w:val="19"/>
                <w:szCs w:val="19"/>
              </w:rPr>
            </w:pPr>
            <w:r w:rsidRPr="00EB797E">
              <w:rPr>
                <w:rFonts w:cs="Arial"/>
                <w:sz w:val="19"/>
                <w:szCs w:val="19"/>
              </w:rPr>
              <w:t>RR*</w:t>
            </w:r>
          </w:p>
        </w:tc>
        <w:tc>
          <w:tcPr>
            <w:tcW w:w="1476" w:type="dxa"/>
          </w:tcPr>
          <w:p w14:paraId="0C4D7CF6" w14:textId="77777777" w:rsidR="00061198" w:rsidRPr="00EB797E" w:rsidRDefault="00061198" w:rsidP="00D51A25">
            <w:pPr>
              <w:jc w:val="center"/>
              <w:rPr>
                <w:rFonts w:cs="Arial"/>
                <w:sz w:val="19"/>
                <w:szCs w:val="19"/>
              </w:rPr>
            </w:pPr>
            <w:r w:rsidRPr="00EB797E">
              <w:rPr>
                <w:rFonts w:cs="Arial"/>
                <w:sz w:val="19"/>
                <w:szCs w:val="19"/>
              </w:rPr>
              <w:t>95% CI</w:t>
            </w:r>
          </w:p>
        </w:tc>
      </w:tr>
      <w:tr w:rsidR="00061198" w:rsidRPr="002E5B81" w14:paraId="3DF0D9A1" w14:textId="77777777" w:rsidTr="00D51A25">
        <w:tc>
          <w:tcPr>
            <w:tcW w:w="1271" w:type="dxa"/>
            <w:tcBorders>
              <w:top w:val="single" w:sz="4" w:space="0" w:color="auto"/>
              <w:bottom w:val="single" w:sz="4" w:space="0" w:color="auto"/>
            </w:tcBorders>
          </w:tcPr>
          <w:p w14:paraId="7E65B107" w14:textId="77777777" w:rsidR="00061198" w:rsidRPr="00EB797E" w:rsidRDefault="00061198" w:rsidP="00D51A25">
            <w:pPr>
              <w:jc w:val="center"/>
              <w:rPr>
                <w:rFonts w:cs="Arial"/>
                <w:sz w:val="19"/>
                <w:szCs w:val="19"/>
              </w:rPr>
            </w:pPr>
            <w:r w:rsidRPr="00EB797E">
              <w:rPr>
                <w:rFonts w:cs="Arial"/>
                <w:sz w:val="19"/>
                <w:szCs w:val="19"/>
              </w:rPr>
              <w:t>Weight stable (&gt;-1 to &lt;1 kg/m</w:t>
            </w:r>
            <w:r w:rsidRPr="00EB797E">
              <w:rPr>
                <w:rFonts w:cs="Arial"/>
                <w:sz w:val="19"/>
                <w:szCs w:val="19"/>
                <w:vertAlign w:val="superscript"/>
              </w:rPr>
              <w:t>2</w:t>
            </w:r>
            <w:r w:rsidRPr="00EB797E">
              <w:rPr>
                <w:rFonts w:cs="Arial"/>
                <w:sz w:val="19"/>
                <w:szCs w:val="19"/>
              </w:rPr>
              <w:t>)</w:t>
            </w:r>
          </w:p>
        </w:tc>
        <w:tc>
          <w:tcPr>
            <w:tcW w:w="1276" w:type="dxa"/>
            <w:tcBorders>
              <w:top w:val="single" w:sz="4" w:space="0" w:color="auto"/>
              <w:bottom w:val="single" w:sz="4" w:space="0" w:color="auto"/>
            </w:tcBorders>
          </w:tcPr>
          <w:p w14:paraId="1E45595F" w14:textId="77777777" w:rsidR="00061198" w:rsidRPr="00EB797E" w:rsidRDefault="00061198" w:rsidP="00D51A25">
            <w:pPr>
              <w:rPr>
                <w:rFonts w:cs="Arial"/>
                <w:sz w:val="19"/>
                <w:szCs w:val="19"/>
              </w:rPr>
            </w:pPr>
          </w:p>
        </w:tc>
        <w:tc>
          <w:tcPr>
            <w:tcW w:w="794" w:type="dxa"/>
            <w:tcBorders>
              <w:top w:val="single" w:sz="4" w:space="0" w:color="auto"/>
              <w:bottom w:val="single" w:sz="4" w:space="0" w:color="auto"/>
            </w:tcBorders>
          </w:tcPr>
          <w:p w14:paraId="658266DA" w14:textId="77777777" w:rsidR="00061198" w:rsidRPr="00EB797E" w:rsidRDefault="00061198" w:rsidP="00D51A25">
            <w:pPr>
              <w:jc w:val="center"/>
              <w:rPr>
                <w:rFonts w:cs="Arial"/>
                <w:sz w:val="19"/>
                <w:szCs w:val="19"/>
              </w:rPr>
            </w:pPr>
            <w:r>
              <w:rPr>
                <w:rFonts w:cs="Arial"/>
                <w:sz w:val="19"/>
                <w:szCs w:val="19"/>
              </w:rPr>
              <w:t>2047, 142</w:t>
            </w:r>
          </w:p>
        </w:tc>
        <w:tc>
          <w:tcPr>
            <w:tcW w:w="794" w:type="dxa"/>
            <w:tcBorders>
              <w:top w:val="single" w:sz="4" w:space="0" w:color="auto"/>
              <w:bottom w:val="single" w:sz="4" w:space="0" w:color="auto"/>
            </w:tcBorders>
          </w:tcPr>
          <w:p w14:paraId="56B0B520" w14:textId="77777777" w:rsidR="00061198" w:rsidRPr="00EB797E" w:rsidRDefault="00061198" w:rsidP="00D51A25">
            <w:pPr>
              <w:jc w:val="center"/>
              <w:rPr>
                <w:rFonts w:cs="Arial"/>
                <w:sz w:val="19"/>
                <w:szCs w:val="19"/>
              </w:rPr>
            </w:pPr>
            <w:r w:rsidRPr="00EB797E">
              <w:rPr>
                <w:rFonts w:cs="Arial"/>
                <w:sz w:val="19"/>
                <w:szCs w:val="19"/>
              </w:rPr>
              <w:t>Ref</w:t>
            </w:r>
          </w:p>
        </w:tc>
        <w:tc>
          <w:tcPr>
            <w:tcW w:w="1389" w:type="dxa"/>
            <w:tcBorders>
              <w:top w:val="single" w:sz="4" w:space="0" w:color="auto"/>
              <w:bottom w:val="single" w:sz="4" w:space="0" w:color="auto"/>
            </w:tcBorders>
          </w:tcPr>
          <w:p w14:paraId="54217719" w14:textId="77777777" w:rsidR="00061198" w:rsidRPr="00EB797E" w:rsidRDefault="00061198" w:rsidP="00D51A25">
            <w:pPr>
              <w:jc w:val="center"/>
              <w:rPr>
                <w:rFonts w:cs="Arial"/>
                <w:sz w:val="19"/>
                <w:szCs w:val="19"/>
              </w:rPr>
            </w:pPr>
          </w:p>
        </w:tc>
        <w:tc>
          <w:tcPr>
            <w:tcW w:w="878" w:type="dxa"/>
            <w:tcBorders>
              <w:top w:val="single" w:sz="4" w:space="0" w:color="auto"/>
              <w:bottom w:val="single" w:sz="4" w:space="0" w:color="auto"/>
            </w:tcBorders>
          </w:tcPr>
          <w:p w14:paraId="22E2D832" w14:textId="77777777" w:rsidR="00061198" w:rsidRPr="00EB797E" w:rsidRDefault="00061198" w:rsidP="00D51A25">
            <w:pPr>
              <w:jc w:val="center"/>
              <w:rPr>
                <w:rFonts w:cs="Arial"/>
                <w:sz w:val="19"/>
                <w:szCs w:val="19"/>
              </w:rPr>
            </w:pPr>
            <w:r>
              <w:rPr>
                <w:rFonts w:cs="Arial"/>
                <w:sz w:val="19"/>
                <w:szCs w:val="19"/>
              </w:rPr>
              <w:t>1438, 64</w:t>
            </w:r>
          </w:p>
        </w:tc>
        <w:tc>
          <w:tcPr>
            <w:tcW w:w="709" w:type="dxa"/>
            <w:tcBorders>
              <w:top w:val="single" w:sz="4" w:space="0" w:color="auto"/>
              <w:bottom w:val="single" w:sz="4" w:space="0" w:color="auto"/>
            </w:tcBorders>
          </w:tcPr>
          <w:p w14:paraId="738CAF08" w14:textId="77777777" w:rsidR="00061198" w:rsidRPr="00EB797E" w:rsidRDefault="00061198" w:rsidP="00D51A25">
            <w:pPr>
              <w:jc w:val="center"/>
              <w:rPr>
                <w:rFonts w:cs="Arial"/>
                <w:sz w:val="19"/>
                <w:szCs w:val="19"/>
              </w:rPr>
            </w:pPr>
            <w:r w:rsidRPr="00EB797E">
              <w:rPr>
                <w:rFonts w:cs="Arial"/>
                <w:sz w:val="19"/>
                <w:szCs w:val="19"/>
              </w:rPr>
              <w:t>Ref</w:t>
            </w:r>
          </w:p>
        </w:tc>
        <w:tc>
          <w:tcPr>
            <w:tcW w:w="1389" w:type="dxa"/>
            <w:tcBorders>
              <w:top w:val="single" w:sz="4" w:space="0" w:color="auto"/>
              <w:bottom w:val="single" w:sz="4" w:space="0" w:color="auto"/>
            </w:tcBorders>
          </w:tcPr>
          <w:p w14:paraId="7723C0EF" w14:textId="77777777" w:rsidR="00061198" w:rsidRPr="00EB797E" w:rsidRDefault="00061198" w:rsidP="00D51A25">
            <w:pPr>
              <w:jc w:val="center"/>
              <w:rPr>
                <w:rFonts w:cs="Arial"/>
                <w:sz w:val="19"/>
                <w:szCs w:val="19"/>
              </w:rPr>
            </w:pPr>
          </w:p>
        </w:tc>
        <w:tc>
          <w:tcPr>
            <w:tcW w:w="708" w:type="dxa"/>
            <w:tcBorders>
              <w:top w:val="single" w:sz="4" w:space="0" w:color="auto"/>
              <w:bottom w:val="single" w:sz="4" w:space="0" w:color="auto"/>
            </w:tcBorders>
          </w:tcPr>
          <w:p w14:paraId="31AD9AEB" w14:textId="77777777" w:rsidR="00061198" w:rsidRPr="00EB797E" w:rsidRDefault="00061198" w:rsidP="00D51A25">
            <w:pPr>
              <w:jc w:val="center"/>
              <w:rPr>
                <w:rFonts w:cs="Arial"/>
                <w:sz w:val="19"/>
                <w:szCs w:val="19"/>
              </w:rPr>
            </w:pPr>
            <w:r>
              <w:rPr>
                <w:rFonts w:cs="Arial"/>
                <w:sz w:val="19"/>
                <w:szCs w:val="19"/>
              </w:rPr>
              <w:t>428, 47</w:t>
            </w:r>
          </w:p>
        </w:tc>
        <w:tc>
          <w:tcPr>
            <w:tcW w:w="680" w:type="dxa"/>
            <w:tcBorders>
              <w:top w:val="single" w:sz="4" w:space="0" w:color="auto"/>
              <w:bottom w:val="single" w:sz="4" w:space="0" w:color="auto"/>
            </w:tcBorders>
          </w:tcPr>
          <w:p w14:paraId="6C1CFA37" w14:textId="77777777" w:rsidR="00061198" w:rsidRPr="00EB797E" w:rsidRDefault="00061198" w:rsidP="00D51A25">
            <w:pPr>
              <w:jc w:val="center"/>
              <w:rPr>
                <w:rFonts w:cs="Arial"/>
                <w:sz w:val="19"/>
                <w:szCs w:val="19"/>
              </w:rPr>
            </w:pPr>
            <w:r w:rsidRPr="00EB797E">
              <w:rPr>
                <w:rFonts w:cs="Arial"/>
                <w:sz w:val="19"/>
                <w:szCs w:val="19"/>
              </w:rPr>
              <w:t>Ref</w:t>
            </w:r>
          </w:p>
        </w:tc>
        <w:tc>
          <w:tcPr>
            <w:tcW w:w="1589" w:type="dxa"/>
            <w:tcBorders>
              <w:top w:val="single" w:sz="4" w:space="0" w:color="auto"/>
              <w:bottom w:val="single" w:sz="4" w:space="0" w:color="auto"/>
            </w:tcBorders>
          </w:tcPr>
          <w:p w14:paraId="2EB80FCF" w14:textId="77777777" w:rsidR="00061198" w:rsidRPr="00EB797E" w:rsidRDefault="00061198" w:rsidP="00D51A25">
            <w:pPr>
              <w:jc w:val="center"/>
              <w:rPr>
                <w:rFonts w:cs="Arial"/>
                <w:sz w:val="19"/>
                <w:szCs w:val="19"/>
              </w:rPr>
            </w:pPr>
          </w:p>
        </w:tc>
        <w:tc>
          <w:tcPr>
            <w:tcW w:w="650" w:type="dxa"/>
            <w:tcBorders>
              <w:top w:val="single" w:sz="4" w:space="0" w:color="auto"/>
              <w:bottom w:val="single" w:sz="4" w:space="0" w:color="auto"/>
            </w:tcBorders>
          </w:tcPr>
          <w:p w14:paraId="66434D8A" w14:textId="77777777" w:rsidR="00061198" w:rsidRPr="00EB797E" w:rsidRDefault="00061198" w:rsidP="00D51A25">
            <w:pPr>
              <w:jc w:val="center"/>
              <w:rPr>
                <w:rFonts w:cs="Arial"/>
                <w:sz w:val="19"/>
                <w:szCs w:val="19"/>
              </w:rPr>
            </w:pPr>
            <w:r>
              <w:rPr>
                <w:rFonts w:cs="Arial"/>
                <w:sz w:val="19"/>
                <w:szCs w:val="19"/>
              </w:rPr>
              <w:t>181, 31</w:t>
            </w:r>
          </w:p>
        </w:tc>
        <w:tc>
          <w:tcPr>
            <w:tcW w:w="993" w:type="dxa"/>
            <w:tcBorders>
              <w:top w:val="single" w:sz="4" w:space="0" w:color="auto"/>
              <w:bottom w:val="single" w:sz="4" w:space="0" w:color="auto"/>
            </w:tcBorders>
          </w:tcPr>
          <w:p w14:paraId="3F02A311" w14:textId="77777777" w:rsidR="00061198" w:rsidRPr="00EB797E" w:rsidRDefault="00061198" w:rsidP="00D51A25">
            <w:pPr>
              <w:jc w:val="center"/>
              <w:rPr>
                <w:rFonts w:cs="Arial"/>
                <w:sz w:val="19"/>
                <w:szCs w:val="19"/>
              </w:rPr>
            </w:pPr>
            <w:r w:rsidRPr="00EB797E">
              <w:rPr>
                <w:rFonts w:cs="Arial"/>
                <w:sz w:val="19"/>
                <w:szCs w:val="19"/>
              </w:rPr>
              <w:t>Ref</w:t>
            </w:r>
          </w:p>
        </w:tc>
        <w:tc>
          <w:tcPr>
            <w:tcW w:w="1476" w:type="dxa"/>
            <w:tcBorders>
              <w:top w:val="single" w:sz="4" w:space="0" w:color="auto"/>
              <w:bottom w:val="single" w:sz="4" w:space="0" w:color="auto"/>
            </w:tcBorders>
          </w:tcPr>
          <w:p w14:paraId="63368749" w14:textId="77777777" w:rsidR="00061198" w:rsidRPr="00EB797E" w:rsidRDefault="00061198" w:rsidP="00D51A25">
            <w:pPr>
              <w:jc w:val="center"/>
              <w:rPr>
                <w:rFonts w:cs="Arial"/>
                <w:sz w:val="19"/>
                <w:szCs w:val="19"/>
              </w:rPr>
            </w:pPr>
          </w:p>
        </w:tc>
      </w:tr>
      <w:tr w:rsidR="00061198" w:rsidRPr="002E5B81" w14:paraId="2F200BE0" w14:textId="77777777" w:rsidTr="00D51A25">
        <w:tc>
          <w:tcPr>
            <w:tcW w:w="1271" w:type="dxa"/>
            <w:vMerge w:val="restart"/>
            <w:tcBorders>
              <w:top w:val="single" w:sz="4" w:space="0" w:color="auto"/>
            </w:tcBorders>
          </w:tcPr>
          <w:p w14:paraId="5BD9D4B9" w14:textId="77777777" w:rsidR="00061198" w:rsidRPr="00EB797E" w:rsidRDefault="00061198" w:rsidP="00D51A25">
            <w:pPr>
              <w:jc w:val="center"/>
              <w:rPr>
                <w:rFonts w:cs="Arial"/>
                <w:sz w:val="19"/>
                <w:szCs w:val="19"/>
              </w:rPr>
            </w:pPr>
            <w:r>
              <w:rPr>
                <w:rFonts w:cs="Arial"/>
                <w:sz w:val="19"/>
                <w:szCs w:val="19"/>
              </w:rPr>
              <w:t>Moderate w</w:t>
            </w:r>
            <w:r w:rsidRPr="00EB797E">
              <w:rPr>
                <w:rFonts w:cs="Arial"/>
                <w:sz w:val="19"/>
                <w:szCs w:val="19"/>
              </w:rPr>
              <w:t>eight gain</w:t>
            </w:r>
          </w:p>
          <w:p w14:paraId="4EC291E0" w14:textId="77777777" w:rsidR="00061198" w:rsidRPr="00EB797E" w:rsidRDefault="00061198" w:rsidP="00D51A25">
            <w:pPr>
              <w:jc w:val="center"/>
              <w:rPr>
                <w:rFonts w:cs="Arial"/>
                <w:sz w:val="19"/>
                <w:szCs w:val="19"/>
              </w:rPr>
            </w:pPr>
            <w:r>
              <w:rPr>
                <w:rFonts w:cs="Arial"/>
                <w:sz w:val="19"/>
                <w:szCs w:val="19"/>
              </w:rPr>
              <w:t>(</w:t>
            </w:r>
            <w:r w:rsidRPr="00EB797E">
              <w:rPr>
                <w:rFonts w:cs="Arial"/>
                <w:sz w:val="19"/>
                <w:szCs w:val="19"/>
              </w:rPr>
              <w:t>1-3 kg/m</w:t>
            </w:r>
            <w:r w:rsidRPr="00EB797E">
              <w:rPr>
                <w:rFonts w:cs="Arial"/>
                <w:sz w:val="19"/>
                <w:szCs w:val="19"/>
                <w:vertAlign w:val="superscript"/>
              </w:rPr>
              <w:t>2</w:t>
            </w:r>
            <w:r w:rsidRPr="00E45258">
              <w:rPr>
                <w:rFonts w:cs="Arial"/>
                <w:sz w:val="19"/>
                <w:szCs w:val="19"/>
              </w:rPr>
              <w:t>)</w:t>
            </w:r>
          </w:p>
        </w:tc>
        <w:tc>
          <w:tcPr>
            <w:tcW w:w="1276" w:type="dxa"/>
            <w:tcBorders>
              <w:top w:val="single" w:sz="4" w:space="0" w:color="auto"/>
              <w:bottom w:val="nil"/>
            </w:tcBorders>
            <w:shd w:val="clear" w:color="auto" w:fill="D9D9D9" w:themeFill="background1" w:themeFillShade="D9"/>
          </w:tcPr>
          <w:p w14:paraId="196321F5" w14:textId="77777777" w:rsidR="00061198" w:rsidRPr="00EB797E" w:rsidRDefault="00061198" w:rsidP="00D51A25">
            <w:pPr>
              <w:rPr>
                <w:rFonts w:cs="Arial"/>
                <w:sz w:val="19"/>
                <w:szCs w:val="19"/>
              </w:rPr>
            </w:pPr>
            <w:r w:rsidRPr="00EB797E">
              <w:rPr>
                <w:rFonts w:cs="Arial"/>
                <w:sz w:val="19"/>
                <w:szCs w:val="19"/>
              </w:rPr>
              <w:t>Unadjusted</w:t>
            </w:r>
          </w:p>
        </w:tc>
        <w:tc>
          <w:tcPr>
            <w:tcW w:w="794" w:type="dxa"/>
            <w:tcBorders>
              <w:top w:val="single" w:sz="4" w:space="0" w:color="auto"/>
              <w:bottom w:val="nil"/>
            </w:tcBorders>
            <w:shd w:val="clear" w:color="auto" w:fill="D9D9D9" w:themeFill="background1" w:themeFillShade="D9"/>
          </w:tcPr>
          <w:p w14:paraId="0B1A76D8" w14:textId="77777777" w:rsidR="00061198" w:rsidRPr="00EB797E" w:rsidRDefault="00061198" w:rsidP="00D51A25">
            <w:pPr>
              <w:jc w:val="center"/>
              <w:rPr>
                <w:rFonts w:cs="Arial"/>
                <w:sz w:val="19"/>
                <w:szCs w:val="19"/>
              </w:rPr>
            </w:pPr>
            <w:r>
              <w:rPr>
                <w:rFonts w:cs="Arial"/>
                <w:sz w:val="19"/>
                <w:szCs w:val="19"/>
              </w:rPr>
              <w:t>1605, 120</w:t>
            </w:r>
          </w:p>
        </w:tc>
        <w:tc>
          <w:tcPr>
            <w:tcW w:w="794" w:type="dxa"/>
            <w:tcBorders>
              <w:top w:val="single" w:sz="4" w:space="0" w:color="auto"/>
              <w:bottom w:val="nil"/>
            </w:tcBorders>
            <w:shd w:val="clear" w:color="auto" w:fill="D9D9D9" w:themeFill="background1" w:themeFillShade="D9"/>
          </w:tcPr>
          <w:p w14:paraId="114DF0D9" w14:textId="77777777" w:rsidR="00061198" w:rsidRPr="00EB797E" w:rsidRDefault="00061198" w:rsidP="00D51A25">
            <w:pPr>
              <w:jc w:val="center"/>
              <w:rPr>
                <w:rFonts w:cs="Arial"/>
                <w:sz w:val="19"/>
                <w:szCs w:val="19"/>
              </w:rPr>
            </w:pPr>
            <w:r>
              <w:rPr>
                <w:rFonts w:cs="Arial"/>
                <w:sz w:val="19"/>
                <w:szCs w:val="19"/>
              </w:rPr>
              <w:t>1.08</w:t>
            </w:r>
          </w:p>
        </w:tc>
        <w:tc>
          <w:tcPr>
            <w:tcW w:w="1389" w:type="dxa"/>
            <w:tcBorders>
              <w:top w:val="single" w:sz="4" w:space="0" w:color="auto"/>
              <w:bottom w:val="nil"/>
            </w:tcBorders>
            <w:shd w:val="clear" w:color="auto" w:fill="D9D9D9" w:themeFill="background1" w:themeFillShade="D9"/>
          </w:tcPr>
          <w:p w14:paraId="761D6708" w14:textId="77777777" w:rsidR="00061198" w:rsidRPr="00EB797E" w:rsidRDefault="00061198" w:rsidP="00D51A25">
            <w:pPr>
              <w:jc w:val="center"/>
              <w:rPr>
                <w:rFonts w:cs="Arial"/>
                <w:sz w:val="19"/>
                <w:szCs w:val="19"/>
              </w:rPr>
            </w:pPr>
            <w:r>
              <w:rPr>
                <w:rFonts w:cs="Arial"/>
                <w:sz w:val="19"/>
                <w:szCs w:val="19"/>
              </w:rPr>
              <w:t>0.85 to 1.36</w:t>
            </w:r>
          </w:p>
        </w:tc>
        <w:tc>
          <w:tcPr>
            <w:tcW w:w="878" w:type="dxa"/>
            <w:tcBorders>
              <w:top w:val="single" w:sz="4" w:space="0" w:color="auto"/>
              <w:bottom w:val="nil"/>
            </w:tcBorders>
            <w:shd w:val="clear" w:color="auto" w:fill="D9D9D9" w:themeFill="background1" w:themeFillShade="D9"/>
          </w:tcPr>
          <w:p w14:paraId="61069291" w14:textId="77777777" w:rsidR="00061198" w:rsidRPr="00EB797E" w:rsidRDefault="00061198" w:rsidP="00D51A25">
            <w:pPr>
              <w:jc w:val="center"/>
              <w:rPr>
                <w:rFonts w:cs="Arial"/>
                <w:sz w:val="19"/>
                <w:szCs w:val="19"/>
              </w:rPr>
            </w:pPr>
            <w:r>
              <w:rPr>
                <w:rFonts w:cs="Arial"/>
                <w:sz w:val="19"/>
                <w:szCs w:val="19"/>
              </w:rPr>
              <w:t>1050, 64</w:t>
            </w:r>
          </w:p>
        </w:tc>
        <w:tc>
          <w:tcPr>
            <w:tcW w:w="709" w:type="dxa"/>
            <w:tcBorders>
              <w:top w:val="single" w:sz="4" w:space="0" w:color="auto"/>
              <w:bottom w:val="nil"/>
            </w:tcBorders>
            <w:shd w:val="clear" w:color="auto" w:fill="D9D9D9" w:themeFill="background1" w:themeFillShade="D9"/>
          </w:tcPr>
          <w:p w14:paraId="5431BDD5" w14:textId="77777777" w:rsidR="00061198" w:rsidRPr="00EB797E" w:rsidRDefault="00061198" w:rsidP="00D51A25">
            <w:pPr>
              <w:jc w:val="center"/>
              <w:rPr>
                <w:rFonts w:cs="Arial"/>
                <w:sz w:val="19"/>
                <w:szCs w:val="19"/>
              </w:rPr>
            </w:pPr>
            <w:r>
              <w:rPr>
                <w:rFonts w:cs="Arial"/>
                <w:sz w:val="19"/>
                <w:szCs w:val="19"/>
              </w:rPr>
              <w:t>1.37</w:t>
            </w:r>
          </w:p>
        </w:tc>
        <w:tc>
          <w:tcPr>
            <w:tcW w:w="1389" w:type="dxa"/>
            <w:tcBorders>
              <w:top w:val="single" w:sz="4" w:space="0" w:color="auto"/>
              <w:bottom w:val="nil"/>
            </w:tcBorders>
            <w:shd w:val="clear" w:color="auto" w:fill="D9D9D9" w:themeFill="background1" w:themeFillShade="D9"/>
          </w:tcPr>
          <w:p w14:paraId="134C8992" w14:textId="77777777" w:rsidR="00061198" w:rsidRPr="00EB797E" w:rsidRDefault="00061198" w:rsidP="00D51A25">
            <w:pPr>
              <w:jc w:val="center"/>
              <w:rPr>
                <w:rFonts w:cs="Arial"/>
                <w:sz w:val="19"/>
                <w:szCs w:val="19"/>
              </w:rPr>
            </w:pPr>
            <w:r>
              <w:rPr>
                <w:rFonts w:cs="Arial"/>
                <w:sz w:val="19"/>
                <w:szCs w:val="19"/>
              </w:rPr>
              <w:t>0.98 to 1.92</w:t>
            </w:r>
          </w:p>
        </w:tc>
        <w:tc>
          <w:tcPr>
            <w:tcW w:w="708" w:type="dxa"/>
            <w:tcBorders>
              <w:top w:val="single" w:sz="4" w:space="0" w:color="auto"/>
              <w:bottom w:val="nil"/>
            </w:tcBorders>
            <w:shd w:val="clear" w:color="auto" w:fill="D9D9D9" w:themeFill="background1" w:themeFillShade="D9"/>
          </w:tcPr>
          <w:p w14:paraId="7A465CCF" w14:textId="77777777" w:rsidR="00061198" w:rsidRPr="00EB797E" w:rsidRDefault="00061198" w:rsidP="00D51A25">
            <w:pPr>
              <w:jc w:val="center"/>
              <w:rPr>
                <w:rFonts w:cs="Arial"/>
                <w:sz w:val="19"/>
                <w:szCs w:val="19"/>
              </w:rPr>
            </w:pPr>
            <w:r>
              <w:rPr>
                <w:rFonts w:cs="Arial"/>
                <w:sz w:val="19"/>
                <w:szCs w:val="19"/>
              </w:rPr>
              <w:t>383, 34</w:t>
            </w:r>
          </w:p>
        </w:tc>
        <w:tc>
          <w:tcPr>
            <w:tcW w:w="680" w:type="dxa"/>
            <w:tcBorders>
              <w:top w:val="single" w:sz="4" w:space="0" w:color="auto"/>
              <w:bottom w:val="nil"/>
            </w:tcBorders>
            <w:shd w:val="clear" w:color="auto" w:fill="D9D9D9" w:themeFill="background1" w:themeFillShade="D9"/>
          </w:tcPr>
          <w:p w14:paraId="786368EE" w14:textId="77777777" w:rsidR="00061198" w:rsidRPr="00EB797E" w:rsidRDefault="00061198" w:rsidP="00D51A25">
            <w:pPr>
              <w:jc w:val="center"/>
              <w:rPr>
                <w:rFonts w:cs="Arial"/>
                <w:sz w:val="19"/>
                <w:szCs w:val="19"/>
              </w:rPr>
            </w:pPr>
            <w:r>
              <w:rPr>
                <w:rFonts w:cs="Arial"/>
                <w:sz w:val="19"/>
                <w:szCs w:val="19"/>
              </w:rPr>
              <w:t>0.81</w:t>
            </w:r>
          </w:p>
        </w:tc>
        <w:tc>
          <w:tcPr>
            <w:tcW w:w="1589" w:type="dxa"/>
            <w:tcBorders>
              <w:top w:val="single" w:sz="4" w:space="0" w:color="auto"/>
              <w:bottom w:val="nil"/>
            </w:tcBorders>
            <w:shd w:val="clear" w:color="auto" w:fill="D9D9D9" w:themeFill="background1" w:themeFillShade="D9"/>
          </w:tcPr>
          <w:p w14:paraId="18BD7CDB" w14:textId="77777777" w:rsidR="00061198" w:rsidRPr="00EB797E" w:rsidRDefault="00061198" w:rsidP="00D51A25">
            <w:pPr>
              <w:jc w:val="center"/>
              <w:rPr>
                <w:rFonts w:cs="Arial"/>
                <w:sz w:val="19"/>
                <w:szCs w:val="19"/>
              </w:rPr>
            </w:pPr>
            <w:r>
              <w:rPr>
                <w:rFonts w:cs="Arial"/>
                <w:sz w:val="19"/>
                <w:szCs w:val="19"/>
              </w:rPr>
              <w:t>0.53 to 1.23</w:t>
            </w:r>
          </w:p>
        </w:tc>
        <w:tc>
          <w:tcPr>
            <w:tcW w:w="650" w:type="dxa"/>
            <w:tcBorders>
              <w:top w:val="single" w:sz="4" w:space="0" w:color="auto"/>
              <w:bottom w:val="nil"/>
            </w:tcBorders>
            <w:shd w:val="clear" w:color="auto" w:fill="D9D9D9" w:themeFill="background1" w:themeFillShade="D9"/>
          </w:tcPr>
          <w:p w14:paraId="386BA3EB" w14:textId="77777777" w:rsidR="00061198" w:rsidRPr="00EB797E" w:rsidRDefault="00061198" w:rsidP="00D51A25">
            <w:pPr>
              <w:jc w:val="center"/>
              <w:rPr>
                <w:rFonts w:cs="Arial"/>
                <w:sz w:val="19"/>
                <w:szCs w:val="19"/>
              </w:rPr>
            </w:pPr>
            <w:r>
              <w:rPr>
                <w:rFonts w:cs="Arial"/>
                <w:sz w:val="19"/>
                <w:szCs w:val="19"/>
              </w:rPr>
              <w:t>172, 22</w:t>
            </w:r>
          </w:p>
        </w:tc>
        <w:tc>
          <w:tcPr>
            <w:tcW w:w="993" w:type="dxa"/>
            <w:tcBorders>
              <w:top w:val="single" w:sz="4" w:space="0" w:color="auto"/>
              <w:bottom w:val="nil"/>
            </w:tcBorders>
            <w:shd w:val="clear" w:color="auto" w:fill="D9D9D9" w:themeFill="background1" w:themeFillShade="D9"/>
          </w:tcPr>
          <w:p w14:paraId="147C375B" w14:textId="77777777" w:rsidR="00061198" w:rsidRPr="00EB797E" w:rsidRDefault="00061198" w:rsidP="00D51A25">
            <w:pPr>
              <w:jc w:val="center"/>
              <w:rPr>
                <w:rFonts w:cs="Arial"/>
                <w:sz w:val="19"/>
                <w:szCs w:val="19"/>
              </w:rPr>
            </w:pPr>
            <w:r>
              <w:rPr>
                <w:rFonts w:cs="Arial"/>
                <w:sz w:val="19"/>
                <w:szCs w:val="19"/>
              </w:rPr>
              <w:t>0.75</w:t>
            </w:r>
          </w:p>
        </w:tc>
        <w:tc>
          <w:tcPr>
            <w:tcW w:w="1476" w:type="dxa"/>
            <w:tcBorders>
              <w:top w:val="single" w:sz="4" w:space="0" w:color="auto"/>
              <w:bottom w:val="nil"/>
            </w:tcBorders>
            <w:shd w:val="clear" w:color="auto" w:fill="D9D9D9" w:themeFill="background1" w:themeFillShade="D9"/>
          </w:tcPr>
          <w:p w14:paraId="7C644E62" w14:textId="77777777" w:rsidR="00061198" w:rsidRPr="00EB797E" w:rsidRDefault="00061198" w:rsidP="00D51A25">
            <w:pPr>
              <w:jc w:val="center"/>
              <w:rPr>
                <w:rFonts w:cs="Arial"/>
                <w:sz w:val="19"/>
                <w:szCs w:val="19"/>
              </w:rPr>
            </w:pPr>
            <w:r>
              <w:rPr>
                <w:rFonts w:cs="Arial"/>
                <w:sz w:val="19"/>
                <w:szCs w:val="19"/>
              </w:rPr>
              <w:t>0.45 to 1.24</w:t>
            </w:r>
          </w:p>
        </w:tc>
      </w:tr>
      <w:tr w:rsidR="00061198" w:rsidRPr="002E5B81" w14:paraId="72ED95D7" w14:textId="77777777" w:rsidTr="00D51A25">
        <w:tc>
          <w:tcPr>
            <w:tcW w:w="1271" w:type="dxa"/>
            <w:vMerge/>
          </w:tcPr>
          <w:p w14:paraId="7B745707" w14:textId="77777777" w:rsidR="00061198" w:rsidRPr="00EB797E" w:rsidRDefault="00061198" w:rsidP="00D51A25">
            <w:pPr>
              <w:jc w:val="center"/>
              <w:rPr>
                <w:rFonts w:cs="Arial"/>
                <w:sz w:val="19"/>
                <w:szCs w:val="19"/>
              </w:rPr>
            </w:pPr>
          </w:p>
        </w:tc>
        <w:tc>
          <w:tcPr>
            <w:tcW w:w="1276" w:type="dxa"/>
            <w:tcBorders>
              <w:top w:val="nil"/>
              <w:bottom w:val="nil"/>
            </w:tcBorders>
          </w:tcPr>
          <w:p w14:paraId="393BB2C3" w14:textId="77777777" w:rsidR="00061198" w:rsidRPr="00EB797E" w:rsidRDefault="00061198" w:rsidP="00D51A25">
            <w:pPr>
              <w:rPr>
                <w:rFonts w:cs="Arial"/>
                <w:sz w:val="19"/>
                <w:szCs w:val="19"/>
              </w:rPr>
            </w:pPr>
            <w:r w:rsidRPr="00EB797E">
              <w:rPr>
                <w:rFonts w:cs="Arial"/>
                <w:sz w:val="19"/>
                <w:szCs w:val="19"/>
              </w:rPr>
              <w:t>Model 1</w:t>
            </w:r>
          </w:p>
        </w:tc>
        <w:tc>
          <w:tcPr>
            <w:tcW w:w="794" w:type="dxa"/>
            <w:tcBorders>
              <w:top w:val="nil"/>
              <w:bottom w:val="nil"/>
            </w:tcBorders>
          </w:tcPr>
          <w:p w14:paraId="4245A933" w14:textId="77777777" w:rsidR="00061198" w:rsidRPr="00EB797E" w:rsidRDefault="00061198" w:rsidP="00D51A25">
            <w:pPr>
              <w:jc w:val="center"/>
              <w:rPr>
                <w:rFonts w:cs="Arial"/>
                <w:sz w:val="19"/>
                <w:szCs w:val="19"/>
              </w:rPr>
            </w:pPr>
          </w:p>
        </w:tc>
        <w:tc>
          <w:tcPr>
            <w:tcW w:w="794" w:type="dxa"/>
            <w:tcBorders>
              <w:top w:val="nil"/>
              <w:bottom w:val="nil"/>
            </w:tcBorders>
          </w:tcPr>
          <w:p w14:paraId="0578D283" w14:textId="77777777" w:rsidR="00061198" w:rsidRPr="00EB797E" w:rsidRDefault="00061198" w:rsidP="00D51A25">
            <w:pPr>
              <w:jc w:val="center"/>
              <w:rPr>
                <w:rFonts w:cs="Arial"/>
                <w:sz w:val="19"/>
                <w:szCs w:val="19"/>
              </w:rPr>
            </w:pPr>
            <w:r>
              <w:rPr>
                <w:rFonts w:cs="Arial"/>
                <w:sz w:val="19"/>
                <w:szCs w:val="19"/>
              </w:rPr>
              <w:t>0.97</w:t>
            </w:r>
          </w:p>
        </w:tc>
        <w:tc>
          <w:tcPr>
            <w:tcW w:w="1389" w:type="dxa"/>
            <w:tcBorders>
              <w:top w:val="nil"/>
              <w:bottom w:val="nil"/>
            </w:tcBorders>
          </w:tcPr>
          <w:p w14:paraId="07309BEC" w14:textId="77777777" w:rsidR="00061198" w:rsidRPr="00EB797E" w:rsidRDefault="00061198" w:rsidP="00D51A25">
            <w:pPr>
              <w:jc w:val="center"/>
              <w:rPr>
                <w:rFonts w:cs="Arial"/>
                <w:sz w:val="19"/>
                <w:szCs w:val="19"/>
              </w:rPr>
            </w:pPr>
            <w:r>
              <w:rPr>
                <w:rFonts w:cs="Arial"/>
                <w:sz w:val="19"/>
                <w:szCs w:val="19"/>
              </w:rPr>
              <w:t>0.75 to 1.25</w:t>
            </w:r>
          </w:p>
        </w:tc>
        <w:tc>
          <w:tcPr>
            <w:tcW w:w="878" w:type="dxa"/>
            <w:tcBorders>
              <w:top w:val="nil"/>
              <w:bottom w:val="nil"/>
            </w:tcBorders>
          </w:tcPr>
          <w:p w14:paraId="6EDA6647" w14:textId="77777777" w:rsidR="00061198" w:rsidRPr="00EB797E" w:rsidRDefault="00061198" w:rsidP="00D51A25">
            <w:pPr>
              <w:jc w:val="center"/>
              <w:rPr>
                <w:rFonts w:cs="Arial"/>
                <w:sz w:val="19"/>
                <w:szCs w:val="19"/>
              </w:rPr>
            </w:pPr>
          </w:p>
        </w:tc>
        <w:tc>
          <w:tcPr>
            <w:tcW w:w="709" w:type="dxa"/>
            <w:tcBorders>
              <w:top w:val="nil"/>
              <w:bottom w:val="nil"/>
            </w:tcBorders>
          </w:tcPr>
          <w:p w14:paraId="4B929ED0" w14:textId="77777777" w:rsidR="00061198" w:rsidRPr="005911DB" w:rsidRDefault="00061198" w:rsidP="00D51A25">
            <w:pPr>
              <w:jc w:val="center"/>
              <w:rPr>
                <w:rFonts w:cs="Arial"/>
                <w:b/>
                <w:sz w:val="19"/>
                <w:szCs w:val="19"/>
              </w:rPr>
            </w:pPr>
            <w:r>
              <w:rPr>
                <w:rFonts w:cs="Arial"/>
                <w:sz w:val="19"/>
                <w:szCs w:val="19"/>
              </w:rPr>
              <w:t>1.55</w:t>
            </w:r>
          </w:p>
        </w:tc>
        <w:tc>
          <w:tcPr>
            <w:tcW w:w="1389" w:type="dxa"/>
            <w:tcBorders>
              <w:top w:val="nil"/>
              <w:bottom w:val="nil"/>
            </w:tcBorders>
          </w:tcPr>
          <w:p w14:paraId="52E3767D" w14:textId="77777777" w:rsidR="00061198" w:rsidRPr="005911DB" w:rsidRDefault="00061198" w:rsidP="00D51A25">
            <w:pPr>
              <w:jc w:val="center"/>
              <w:rPr>
                <w:rFonts w:cs="Arial"/>
                <w:b/>
                <w:sz w:val="19"/>
                <w:szCs w:val="19"/>
              </w:rPr>
            </w:pPr>
            <w:r w:rsidRPr="00144F96">
              <w:rPr>
                <w:rFonts w:cs="Arial"/>
                <w:sz w:val="19"/>
                <w:szCs w:val="19"/>
              </w:rPr>
              <w:t xml:space="preserve">0.99 </w:t>
            </w:r>
            <w:r>
              <w:rPr>
                <w:rFonts w:cs="Arial"/>
                <w:sz w:val="19"/>
                <w:szCs w:val="19"/>
              </w:rPr>
              <w:t>to 2.4</w:t>
            </w:r>
            <w:r w:rsidRPr="00144F96">
              <w:rPr>
                <w:rFonts w:cs="Arial"/>
                <w:sz w:val="19"/>
                <w:szCs w:val="19"/>
              </w:rPr>
              <w:t>2</w:t>
            </w:r>
          </w:p>
        </w:tc>
        <w:tc>
          <w:tcPr>
            <w:tcW w:w="708" w:type="dxa"/>
            <w:tcBorders>
              <w:top w:val="nil"/>
              <w:bottom w:val="nil"/>
            </w:tcBorders>
          </w:tcPr>
          <w:p w14:paraId="7B458CF2" w14:textId="77777777" w:rsidR="00061198" w:rsidRPr="00EB797E" w:rsidRDefault="00061198" w:rsidP="00D51A25">
            <w:pPr>
              <w:jc w:val="center"/>
              <w:rPr>
                <w:rFonts w:cs="Arial"/>
                <w:sz w:val="19"/>
                <w:szCs w:val="19"/>
              </w:rPr>
            </w:pPr>
          </w:p>
        </w:tc>
        <w:tc>
          <w:tcPr>
            <w:tcW w:w="680" w:type="dxa"/>
            <w:tcBorders>
              <w:top w:val="nil"/>
              <w:bottom w:val="nil"/>
            </w:tcBorders>
          </w:tcPr>
          <w:p w14:paraId="363D2390" w14:textId="77777777" w:rsidR="00061198" w:rsidRPr="00EB797E" w:rsidRDefault="00061198" w:rsidP="00D51A25">
            <w:pPr>
              <w:jc w:val="center"/>
              <w:rPr>
                <w:rFonts w:cs="Arial"/>
                <w:sz w:val="19"/>
                <w:szCs w:val="19"/>
              </w:rPr>
            </w:pPr>
            <w:r>
              <w:rPr>
                <w:rFonts w:cs="Arial"/>
                <w:sz w:val="19"/>
                <w:szCs w:val="19"/>
              </w:rPr>
              <w:t>0.86</w:t>
            </w:r>
          </w:p>
        </w:tc>
        <w:tc>
          <w:tcPr>
            <w:tcW w:w="1589" w:type="dxa"/>
            <w:tcBorders>
              <w:top w:val="nil"/>
              <w:bottom w:val="nil"/>
            </w:tcBorders>
          </w:tcPr>
          <w:p w14:paraId="628A2AB2" w14:textId="77777777" w:rsidR="00061198" w:rsidRPr="00EB797E" w:rsidRDefault="00061198" w:rsidP="00D51A25">
            <w:pPr>
              <w:jc w:val="center"/>
              <w:rPr>
                <w:rFonts w:cs="Arial"/>
                <w:sz w:val="19"/>
                <w:szCs w:val="19"/>
              </w:rPr>
            </w:pPr>
            <w:r>
              <w:rPr>
                <w:rFonts w:cs="Arial"/>
                <w:sz w:val="19"/>
                <w:szCs w:val="19"/>
              </w:rPr>
              <w:t>0.50 to 1.50</w:t>
            </w:r>
          </w:p>
        </w:tc>
        <w:tc>
          <w:tcPr>
            <w:tcW w:w="650" w:type="dxa"/>
            <w:tcBorders>
              <w:top w:val="nil"/>
              <w:bottom w:val="nil"/>
            </w:tcBorders>
          </w:tcPr>
          <w:p w14:paraId="6994D144" w14:textId="77777777" w:rsidR="00061198" w:rsidRPr="00EB797E" w:rsidRDefault="00061198" w:rsidP="00D51A25">
            <w:pPr>
              <w:jc w:val="center"/>
              <w:rPr>
                <w:rFonts w:cs="Arial"/>
                <w:sz w:val="19"/>
                <w:szCs w:val="19"/>
              </w:rPr>
            </w:pPr>
          </w:p>
        </w:tc>
        <w:tc>
          <w:tcPr>
            <w:tcW w:w="993" w:type="dxa"/>
            <w:tcBorders>
              <w:top w:val="nil"/>
              <w:bottom w:val="nil"/>
            </w:tcBorders>
          </w:tcPr>
          <w:p w14:paraId="0D2D1F68" w14:textId="77777777" w:rsidR="00061198" w:rsidRPr="00EB797E" w:rsidRDefault="00061198" w:rsidP="00D51A25">
            <w:pPr>
              <w:jc w:val="center"/>
              <w:rPr>
                <w:rFonts w:cs="Arial"/>
                <w:sz w:val="19"/>
                <w:szCs w:val="19"/>
              </w:rPr>
            </w:pPr>
            <w:r>
              <w:rPr>
                <w:rFonts w:cs="Arial"/>
                <w:sz w:val="19"/>
                <w:szCs w:val="19"/>
              </w:rPr>
              <w:t>0.84</w:t>
            </w:r>
          </w:p>
        </w:tc>
        <w:tc>
          <w:tcPr>
            <w:tcW w:w="1476" w:type="dxa"/>
            <w:tcBorders>
              <w:top w:val="nil"/>
              <w:bottom w:val="nil"/>
            </w:tcBorders>
          </w:tcPr>
          <w:p w14:paraId="171A9C5F" w14:textId="77777777" w:rsidR="00061198" w:rsidRPr="00EB797E" w:rsidRDefault="00061198" w:rsidP="00D51A25">
            <w:pPr>
              <w:jc w:val="center"/>
              <w:rPr>
                <w:rFonts w:cs="Arial"/>
                <w:sz w:val="19"/>
                <w:szCs w:val="19"/>
              </w:rPr>
            </w:pPr>
            <w:r>
              <w:rPr>
                <w:rFonts w:cs="Arial"/>
                <w:sz w:val="19"/>
                <w:szCs w:val="19"/>
              </w:rPr>
              <w:t>0.43 to 1.63</w:t>
            </w:r>
          </w:p>
        </w:tc>
      </w:tr>
      <w:tr w:rsidR="00061198" w:rsidRPr="002E5B81" w14:paraId="35CCEDD4" w14:textId="77777777" w:rsidTr="00D51A25">
        <w:tc>
          <w:tcPr>
            <w:tcW w:w="1271" w:type="dxa"/>
            <w:vMerge/>
          </w:tcPr>
          <w:p w14:paraId="1F9A5530" w14:textId="77777777" w:rsidR="00061198" w:rsidRPr="00EB797E" w:rsidRDefault="00061198" w:rsidP="00D51A25">
            <w:pPr>
              <w:jc w:val="center"/>
              <w:rPr>
                <w:rFonts w:cs="Arial"/>
                <w:sz w:val="19"/>
                <w:szCs w:val="19"/>
              </w:rPr>
            </w:pPr>
          </w:p>
        </w:tc>
        <w:tc>
          <w:tcPr>
            <w:tcW w:w="1276" w:type="dxa"/>
            <w:tcBorders>
              <w:top w:val="nil"/>
              <w:bottom w:val="nil"/>
            </w:tcBorders>
            <w:shd w:val="clear" w:color="auto" w:fill="D9D9D9" w:themeFill="background1" w:themeFillShade="D9"/>
          </w:tcPr>
          <w:p w14:paraId="7EC2E47B" w14:textId="77777777" w:rsidR="00061198" w:rsidRPr="00EB797E" w:rsidRDefault="00061198" w:rsidP="00D51A25">
            <w:pPr>
              <w:rPr>
                <w:rFonts w:cs="Arial"/>
                <w:sz w:val="19"/>
                <w:szCs w:val="19"/>
              </w:rPr>
            </w:pPr>
            <w:r w:rsidRPr="00EB797E">
              <w:rPr>
                <w:rFonts w:cs="Arial"/>
                <w:sz w:val="19"/>
                <w:szCs w:val="19"/>
              </w:rPr>
              <w:t>Model 2</w:t>
            </w:r>
          </w:p>
        </w:tc>
        <w:tc>
          <w:tcPr>
            <w:tcW w:w="794" w:type="dxa"/>
            <w:tcBorders>
              <w:top w:val="nil"/>
              <w:bottom w:val="nil"/>
            </w:tcBorders>
            <w:shd w:val="clear" w:color="auto" w:fill="D9D9D9" w:themeFill="background1" w:themeFillShade="D9"/>
          </w:tcPr>
          <w:p w14:paraId="15C43EEB" w14:textId="77777777" w:rsidR="00061198" w:rsidRPr="00EB797E" w:rsidRDefault="00061198" w:rsidP="00D51A25">
            <w:pPr>
              <w:rPr>
                <w:rFonts w:cs="Arial"/>
                <w:sz w:val="19"/>
                <w:szCs w:val="19"/>
              </w:rPr>
            </w:pPr>
          </w:p>
        </w:tc>
        <w:tc>
          <w:tcPr>
            <w:tcW w:w="794" w:type="dxa"/>
            <w:tcBorders>
              <w:top w:val="nil"/>
              <w:bottom w:val="nil"/>
            </w:tcBorders>
            <w:shd w:val="clear" w:color="auto" w:fill="D9D9D9" w:themeFill="background1" w:themeFillShade="D9"/>
          </w:tcPr>
          <w:p w14:paraId="24AE7725" w14:textId="77777777" w:rsidR="00061198" w:rsidRPr="00EB797E" w:rsidRDefault="00061198" w:rsidP="00D51A25">
            <w:pPr>
              <w:jc w:val="center"/>
              <w:rPr>
                <w:rFonts w:cs="Arial"/>
                <w:sz w:val="19"/>
                <w:szCs w:val="19"/>
              </w:rPr>
            </w:pPr>
            <w:r>
              <w:rPr>
                <w:rFonts w:cs="Arial"/>
                <w:sz w:val="19"/>
                <w:szCs w:val="19"/>
              </w:rPr>
              <w:t>0.93</w:t>
            </w:r>
          </w:p>
        </w:tc>
        <w:tc>
          <w:tcPr>
            <w:tcW w:w="1389" w:type="dxa"/>
            <w:tcBorders>
              <w:top w:val="nil"/>
              <w:bottom w:val="nil"/>
            </w:tcBorders>
            <w:shd w:val="clear" w:color="auto" w:fill="D9D9D9" w:themeFill="background1" w:themeFillShade="D9"/>
          </w:tcPr>
          <w:p w14:paraId="541D7BA4" w14:textId="77777777" w:rsidR="00061198" w:rsidRPr="00EB797E" w:rsidRDefault="00061198" w:rsidP="00D51A25">
            <w:pPr>
              <w:jc w:val="center"/>
              <w:rPr>
                <w:rFonts w:cs="Arial"/>
                <w:sz w:val="19"/>
                <w:szCs w:val="19"/>
              </w:rPr>
            </w:pPr>
            <w:r>
              <w:rPr>
                <w:rFonts w:cs="Arial"/>
                <w:sz w:val="19"/>
                <w:szCs w:val="19"/>
              </w:rPr>
              <w:t>0.70 to 1.22</w:t>
            </w:r>
          </w:p>
        </w:tc>
        <w:tc>
          <w:tcPr>
            <w:tcW w:w="878" w:type="dxa"/>
            <w:tcBorders>
              <w:top w:val="nil"/>
              <w:bottom w:val="nil"/>
            </w:tcBorders>
            <w:shd w:val="clear" w:color="auto" w:fill="D9D9D9" w:themeFill="background1" w:themeFillShade="D9"/>
          </w:tcPr>
          <w:p w14:paraId="0A1D1B12" w14:textId="77777777" w:rsidR="00061198" w:rsidRPr="00EB797E" w:rsidRDefault="00061198" w:rsidP="00D51A25">
            <w:pPr>
              <w:jc w:val="center"/>
              <w:rPr>
                <w:rFonts w:cs="Arial"/>
                <w:sz w:val="19"/>
                <w:szCs w:val="19"/>
              </w:rPr>
            </w:pPr>
          </w:p>
        </w:tc>
        <w:tc>
          <w:tcPr>
            <w:tcW w:w="709" w:type="dxa"/>
            <w:tcBorders>
              <w:top w:val="nil"/>
              <w:bottom w:val="nil"/>
            </w:tcBorders>
            <w:shd w:val="clear" w:color="auto" w:fill="D9D9D9" w:themeFill="background1" w:themeFillShade="D9"/>
          </w:tcPr>
          <w:p w14:paraId="19A448E0" w14:textId="77777777" w:rsidR="00061198" w:rsidRPr="00EB797E" w:rsidRDefault="00061198" w:rsidP="00D51A25">
            <w:pPr>
              <w:jc w:val="center"/>
              <w:rPr>
                <w:rFonts w:cs="Arial"/>
                <w:sz w:val="19"/>
                <w:szCs w:val="19"/>
              </w:rPr>
            </w:pPr>
            <w:r>
              <w:rPr>
                <w:rFonts w:cs="Arial"/>
                <w:b/>
                <w:sz w:val="19"/>
                <w:szCs w:val="19"/>
              </w:rPr>
              <w:t>1.74</w:t>
            </w:r>
          </w:p>
        </w:tc>
        <w:tc>
          <w:tcPr>
            <w:tcW w:w="1389" w:type="dxa"/>
            <w:tcBorders>
              <w:top w:val="nil"/>
              <w:bottom w:val="nil"/>
            </w:tcBorders>
            <w:shd w:val="clear" w:color="auto" w:fill="D9D9D9" w:themeFill="background1" w:themeFillShade="D9"/>
          </w:tcPr>
          <w:p w14:paraId="4E8C69DA" w14:textId="77777777" w:rsidR="00061198" w:rsidRPr="00EB797E" w:rsidRDefault="00061198" w:rsidP="00D51A25">
            <w:pPr>
              <w:jc w:val="center"/>
              <w:rPr>
                <w:rFonts w:cs="Arial"/>
                <w:sz w:val="19"/>
                <w:szCs w:val="19"/>
              </w:rPr>
            </w:pPr>
            <w:r>
              <w:rPr>
                <w:rFonts w:cs="Arial"/>
                <w:b/>
                <w:sz w:val="19"/>
                <w:szCs w:val="19"/>
              </w:rPr>
              <w:t>1.07 to 2.83</w:t>
            </w:r>
          </w:p>
        </w:tc>
        <w:tc>
          <w:tcPr>
            <w:tcW w:w="708" w:type="dxa"/>
            <w:tcBorders>
              <w:top w:val="nil"/>
              <w:bottom w:val="nil"/>
            </w:tcBorders>
            <w:shd w:val="clear" w:color="auto" w:fill="D9D9D9" w:themeFill="background1" w:themeFillShade="D9"/>
          </w:tcPr>
          <w:p w14:paraId="7BC5BE09" w14:textId="77777777" w:rsidR="00061198" w:rsidRPr="00EB797E" w:rsidRDefault="00061198" w:rsidP="00D51A25">
            <w:pPr>
              <w:jc w:val="center"/>
              <w:rPr>
                <w:rFonts w:cs="Arial"/>
                <w:sz w:val="19"/>
                <w:szCs w:val="19"/>
              </w:rPr>
            </w:pPr>
          </w:p>
        </w:tc>
        <w:tc>
          <w:tcPr>
            <w:tcW w:w="680" w:type="dxa"/>
            <w:tcBorders>
              <w:top w:val="nil"/>
              <w:bottom w:val="nil"/>
            </w:tcBorders>
            <w:shd w:val="clear" w:color="auto" w:fill="D9D9D9" w:themeFill="background1" w:themeFillShade="D9"/>
          </w:tcPr>
          <w:p w14:paraId="6C186A69" w14:textId="77777777" w:rsidR="00061198" w:rsidRPr="00EB797E" w:rsidRDefault="00061198" w:rsidP="00D51A25">
            <w:pPr>
              <w:jc w:val="center"/>
              <w:rPr>
                <w:rFonts w:cs="Arial"/>
                <w:sz w:val="19"/>
                <w:szCs w:val="19"/>
              </w:rPr>
            </w:pPr>
            <w:r>
              <w:rPr>
                <w:rFonts w:cs="Arial"/>
                <w:sz w:val="19"/>
                <w:szCs w:val="19"/>
              </w:rPr>
              <w:t>0.69</w:t>
            </w:r>
          </w:p>
        </w:tc>
        <w:tc>
          <w:tcPr>
            <w:tcW w:w="1589" w:type="dxa"/>
            <w:tcBorders>
              <w:top w:val="nil"/>
              <w:bottom w:val="nil"/>
            </w:tcBorders>
            <w:shd w:val="clear" w:color="auto" w:fill="D9D9D9" w:themeFill="background1" w:themeFillShade="D9"/>
          </w:tcPr>
          <w:p w14:paraId="7FB723D2" w14:textId="77777777" w:rsidR="00061198" w:rsidRPr="00EB797E" w:rsidRDefault="00061198" w:rsidP="00D51A25">
            <w:pPr>
              <w:jc w:val="center"/>
              <w:rPr>
                <w:rFonts w:cs="Arial"/>
                <w:sz w:val="19"/>
                <w:szCs w:val="19"/>
              </w:rPr>
            </w:pPr>
            <w:r>
              <w:rPr>
                <w:rFonts w:cs="Arial"/>
                <w:sz w:val="19"/>
                <w:szCs w:val="19"/>
              </w:rPr>
              <w:t>0.35 to 1.36</w:t>
            </w:r>
          </w:p>
        </w:tc>
        <w:tc>
          <w:tcPr>
            <w:tcW w:w="650" w:type="dxa"/>
            <w:tcBorders>
              <w:top w:val="nil"/>
              <w:bottom w:val="nil"/>
            </w:tcBorders>
            <w:shd w:val="clear" w:color="auto" w:fill="D9D9D9" w:themeFill="background1" w:themeFillShade="D9"/>
          </w:tcPr>
          <w:p w14:paraId="2FE61BDD" w14:textId="77777777" w:rsidR="00061198" w:rsidRPr="00EB797E" w:rsidRDefault="00061198" w:rsidP="00D51A25">
            <w:pPr>
              <w:jc w:val="center"/>
              <w:rPr>
                <w:rFonts w:cs="Arial"/>
                <w:sz w:val="19"/>
                <w:szCs w:val="19"/>
              </w:rPr>
            </w:pPr>
          </w:p>
        </w:tc>
        <w:tc>
          <w:tcPr>
            <w:tcW w:w="993" w:type="dxa"/>
            <w:tcBorders>
              <w:top w:val="nil"/>
              <w:bottom w:val="nil"/>
            </w:tcBorders>
            <w:shd w:val="clear" w:color="auto" w:fill="D9D9D9" w:themeFill="background1" w:themeFillShade="D9"/>
          </w:tcPr>
          <w:p w14:paraId="29C7A868" w14:textId="77777777" w:rsidR="00061198" w:rsidRPr="00EB797E" w:rsidRDefault="00061198" w:rsidP="00D51A25">
            <w:pPr>
              <w:jc w:val="center"/>
              <w:rPr>
                <w:rFonts w:cs="Arial"/>
                <w:sz w:val="19"/>
                <w:szCs w:val="19"/>
              </w:rPr>
            </w:pPr>
            <w:r>
              <w:rPr>
                <w:rFonts w:cs="Arial"/>
                <w:sz w:val="19"/>
                <w:szCs w:val="19"/>
              </w:rPr>
              <w:t>0.74</w:t>
            </w:r>
          </w:p>
        </w:tc>
        <w:tc>
          <w:tcPr>
            <w:tcW w:w="1476" w:type="dxa"/>
            <w:tcBorders>
              <w:top w:val="nil"/>
              <w:bottom w:val="nil"/>
            </w:tcBorders>
            <w:shd w:val="clear" w:color="auto" w:fill="D9D9D9" w:themeFill="background1" w:themeFillShade="D9"/>
          </w:tcPr>
          <w:p w14:paraId="6B945D51" w14:textId="77777777" w:rsidR="00061198" w:rsidRPr="00EB797E" w:rsidRDefault="00061198" w:rsidP="00D51A25">
            <w:pPr>
              <w:jc w:val="center"/>
              <w:rPr>
                <w:rFonts w:cs="Arial"/>
                <w:sz w:val="19"/>
                <w:szCs w:val="19"/>
              </w:rPr>
            </w:pPr>
            <w:r>
              <w:rPr>
                <w:rFonts w:cs="Arial"/>
                <w:sz w:val="19"/>
                <w:szCs w:val="19"/>
              </w:rPr>
              <w:t>0.41 to 1.33</w:t>
            </w:r>
          </w:p>
        </w:tc>
      </w:tr>
      <w:tr w:rsidR="00061198" w:rsidRPr="002E5B81" w14:paraId="1ED8AEFD" w14:textId="77777777" w:rsidTr="00D51A25">
        <w:tc>
          <w:tcPr>
            <w:tcW w:w="1271" w:type="dxa"/>
            <w:vMerge w:val="restart"/>
          </w:tcPr>
          <w:p w14:paraId="11CCAC2B" w14:textId="77777777" w:rsidR="00061198" w:rsidRPr="00EB797E" w:rsidRDefault="00061198" w:rsidP="00D51A25">
            <w:pPr>
              <w:jc w:val="center"/>
              <w:rPr>
                <w:rFonts w:cs="Arial"/>
                <w:sz w:val="19"/>
                <w:szCs w:val="19"/>
              </w:rPr>
            </w:pPr>
            <w:r>
              <w:rPr>
                <w:rFonts w:cs="Arial"/>
                <w:sz w:val="19"/>
                <w:szCs w:val="19"/>
              </w:rPr>
              <w:t>Substantial weight</w:t>
            </w:r>
            <w:r w:rsidRPr="00EB797E">
              <w:rPr>
                <w:rFonts w:cs="Arial"/>
                <w:sz w:val="19"/>
                <w:szCs w:val="19"/>
              </w:rPr>
              <w:t xml:space="preserve"> gain</w:t>
            </w:r>
          </w:p>
          <w:p w14:paraId="73F5B267" w14:textId="77777777" w:rsidR="00061198" w:rsidRPr="00EB797E" w:rsidRDefault="00061198" w:rsidP="00D51A25">
            <w:pPr>
              <w:jc w:val="center"/>
              <w:rPr>
                <w:rFonts w:cs="Arial"/>
                <w:sz w:val="19"/>
                <w:szCs w:val="19"/>
              </w:rPr>
            </w:pPr>
            <w:r>
              <w:rPr>
                <w:rFonts w:cs="Arial"/>
                <w:sz w:val="19"/>
                <w:szCs w:val="19"/>
              </w:rPr>
              <w:t>(≥</w:t>
            </w:r>
            <w:r w:rsidRPr="00EB797E">
              <w:rPr>
                <w:rFonts w:cs="Arial"/>
                <w:sz w:val="19"/>
                <w:szCs w:val="19"/>
              </w:rPr>
              <w:t>3 kg/m</w:t>
            </w:r>
            <w:r w:rsidRPr="00EB797E">
              <w:rPr>
                <w:rFonts w:cs="Arial"/>
                <w:sz w:val="19"/>
                <w:szCs w:val="19"/>
                <w:vertAlign w:val="superscript"/>
              </w:rPr>
              <w:t>2</w:t>
            </w:r>
            <w:r w:rsidRPr="00E45258">
              <w:rPr>
                <w:rFonts w:cs="Arial"/>
                <w:sz w:val="19"/>
                <w:szCs w:val="19"/>
              </w:rPr>
              <w:t>)</w:t>
            </w:r>
          </w:p>
        </w:tc>
        <w:tc>
          <w:tcPr>
            <w:tcW w:w="1276" w:type="dxa"/>
            <w:tcBorders>
              <w:top w:val="single" w:sz="4" w:space="0" w:color="auto"/>
              <w:bottom w:val="nil"/>
            </w:tcBorders>
            <w:shd w:val="clear" w:color="auto" w:fill="D9D9D9" w:themeFill="background1" w:themeFillShade="D9"/>
          </w:tcPr>
          <w:p w14:paraId="33CA0FE1" w14:textId="77777777" w:rsidR="00061198" w:rsidRPr="00EB797E" w:rsidRDefault="00061198" w:rsidP="00D51A25">
            <w:pPr>
              <w:rPr>
                <w:rFonts w:cs="Arial"/>
                <w:sz w:val="19"/>
                <w:szCs w:val="19"/>
              </w:rPr>
            </w:pPr>
            <w:r w:rsidRPr="00EB797E">
              <w:rPr>
                <w:rFonts w:cs="Arial"/>
                <w:sz w:val="19"/>
                <w:szCs w:val="19"/>
              </w:rPr>
              <w:t>Unadjusted</w:t>
            </w:r>
          </w:p>
        </w:tc>
        <w:tc>
          <w:tcPr>
            <w:tcW w:w="794" w:type="dxa"/>
            <w:tcBorders>
              <w:top w:val="single" w:sz="4" w:space="0" w:color="auto"/>
              <w:bottom w:val="nil"/>
            </w:tcBorders>
            <w:shd w:val="clear" w:color="auto" w:fill="D9D9D9" w:themeFill="background1" w:themeFillShade="D9"/>
          </w:tcPr>
          <w:p w14:paraId="69D00B52" w14:textId="77777777" w:rsidR="00061198" w:rsidRPr="00EB797E" w:rsidRDefault="00061198" w:rsidP="00D51A25">
            <w:pPr>
              <w:jc w:val="center"/>
              <w:rPr>
                <w:rFonts w:cs="Arial"/>
                <w:sz w:val="19"/>
                <w:szCs w:val="19"/>
              </w:rPr>
            </w:pPr>
            <w:r>
              <w:rPr>
                <w:rFonts w:cs="Arial"/>
                <w:sz w:val="19"/>
                <w:szCs w:val="19"/>
              </w:rPr>
              <w:t>1137, 137</w:t>
            </w:r>
          </w:p>
        </w:tc>
        <w:tc>
          <w:tcPr>
            <w:tcW w:w="794" w:type="dxa"/>
            <w:tcBorders>
              <w:top w:val="single" w:sz="4" w:space="0" w:color="auto"/>
              <w:bottom w:val="nil"/>
            </w:tcBorders>
            <w:shd w:val="clear" w:color="auto" w:fill="D9D9D9" w:themeFill="background1" w:themeFillShade="D9"/>
          </w:tcPr>
          <w:p w14:paraId="6D4F27CC" w14:textId="77777777" w:rsidR="00061198" w:rsidRPr="00EB797E" w:rsidRDefault="00061198" w:rsidP="00D51A25">
            <w:pPr>
              <w:jc w:val="center"/>
              <w:rPr>
                <w:rFonts w:cs="Arial"/>
                <w:b/>
                <w:sz w:val="19"/>
                <w:szCs w:val="19"/>
              </w:rPr>
            </w:pPr>
            <w:r>
              <w:rPr>
                <w:rFonts w:cs="Arial"/>
                <w:b/>
                <w:sz w:val="19"/>
                <w:szCs w:val="19"/>
              </w:rPr>
              <w:t>1.74</w:t>
            </w:r>
          </w:p>
        </w:tc>
        <w:tc>
          <w:tcPr>
            <w:tcW w:w="1389" w:type="dxa"/>
            <w:tcBorders>
              <w:top w:val="single" w:sz="4" w:space="0" w:color="auto"/>
              <w:bottom w:val="nil"/>
            </w:tcBorders>
            <w:shd w:val="clear" w:color="auto" w:fill="D9D9D9" w:themeFill="background1" w:themeFillShade="D9"/>
          </w:tcPr>
          <w:p w14:paraId="10B6A33D" w14:textId="77777777" w:rsidR="00061198" w:rsidRPr="00EB797E" w:rsidRDefault="00061198" w:rsidP="00D51A25">
            <w:pPr>
              <w:jc w:val="center"/>
              <w:rPr>
                <w:rFonts w:cs="Arial"/>
                <w:b/>
                <w:sz w:val="19"/>
                <w:szCs w:val="19"/>
              </w:rPr>
            </w:pPr>
            <w:r>
              <w:rPr>
                <w:rFonts w:cs="Arial"/>
                <w:b/>
                <w:sz w:val="19"/>
                <w:szCs w:val="19"/>
              </w:rPr>
              <w:t>1.39 to 2.17</w:t>
            </w:r>
          </w:p>
        </w:tc>
        <w:tc>
          <w:tcPr>
            <w:tcW w:w="878" w:type="dxa"/>
            <w:tcBorders>
              <w:top w:val="single" w:sz="4" w:space="0" w:color="auto"/>
              <w:bottom w:val="nil"/>
            </w:tcBorders>
            <w:shd w:val="clear" w:color="auto" w:fill="D9D9D9" w:themeFill="background1" w:themeFillShade="D9"/>
          </w:tcPr>
          <w:p w14:paraId="49A124D0" w14:textId="77777777" w:rsidR="00061198" w:rsidRPr="00EB797E" w:rsidRDefault="00061198" w:rsidP="00D51A25">
            <w:pPr>
              <w:jc w:val="center"/>
              <w:rPr>
                <w:rFonts w:cs="Arial"/>
                <w:sz w:val="19"/>
                <w:szCs w:val="19"/>
              </w:rPr>
            </w:pPr>
            <w:r>
              <w:rPr>
                <w:rFonts w:cs="Arial"/>
                <w:sz w:val="19"/>
                <w:szCs w:val="19"/>
              </w:rPr>
              <w:t>552, 53</w:t>
            </w:r>
          </w:p>
        </w:tc>
        <w:tc>
          <w:tcPr>
            <w:tcW w:w="709" w:type="dxa"/>
            <w:tcBorders>
              <w:top w:val="single" w:sz="4" w:space="0" w:color="auto"/>
              <w:bottom w:val="nil"/>
            </w:tcBorders>
            <w:shd w:val="clear" w:color="auto" w:fill="D9D9D9" w:themeFill="background1" w:themeFillShade="D9"/>
          </w:tcPr>
          <w:p w14:paraId="460E2E9B" w14:textId="77777777" w:rsidR="00061198" w:rsidRPr="00EB797E" w:rsidRDefault="00061198" w:rsidP="00D51A25">
            <w:pPr>
              <w:jc w:val="center"/>
              <w:rPr>
                <w:rFonts w:cs="Arial"/>
                <w:b/>
                <w:sz w:val="19"/>
                <w:szCs w:val="19"/>
              </w:rPr>
            </w:pPr>
            <w:r>
              <w:rPr>
                <w:rFonts w:cs="Arial"/>
                <w:b/>
                <w:sz w:val="19"/>
                <w:szCs w:val="19"/>
              </w:rPr>
              <w:t>2.16</w:t>
            </w:r>
          </w:p>
        </w:tc>
        <w:tc>
          <w:tcPr>
            <w:tcW w:w="1389" w:type="dxa"/>
            <w:tcBorders>
              <w:top w:val="single" w:sz="4" w:space="0" w:color="auto"/>
              <w:bottom w:val="nil"/>
            </w:tcBorders>
            <w:shd w:val="clear" w:color="auto" w:fill="D9D9D9" w:themeFill="background1" w:themeFillShade="D9"/>
          </w:tcPr>
          <w:p w14:paraId="291ED17E" w14:textId="77777777" w:rsidR="00061198" w:rsidRPr="00EB797E" w:rsidRDefault="00061198" w:rsidP="00D51A25">
            <w:pPr>
              <w:jc w:val="center"/>
              <w:rPr>
                <w:rFonts w:cs="Arial"/>
                <w:b/>
                <w:sz w:val="19"/>
                <w:szCs w:val="19"/>
              </w:rPr>
            </w:pPr>
            <w:r>
              <w:rPr>
                <w:rFonts w:cs="Arial"/>
                <w:b/>
                <w:sz w:val="19"/>
                <w:szCs w:val="19"/>
              </w:rPr>
              <w:t>1.52 to 3.06</w:t>
            </w:r>
          </w:p>
        </w:tc>
        <w:tc>
          <w:tcPr>
            <w:tcW w:w="708" w:type="dxa"/>
            <w:tcBorders>
              <w:top w:val="single" w:sz="4" w:space="0" w:color="auto"/>
              <w:bottom w:val="nil"/>
            </w:tcBorders>
            <w:shd w:val="clear" w:color="auto" w:fill="D9D9D9" w:themeFill="background1" w:themeFillShade="D9"/>
          </w:tcPr>
          <w:p w14:paraId="1E5798CE" w14:textId="77777777" w:rsidR="00061198" w:rsidRPr="00EB797E" w:rsidRDefault="00061198" w:rsidP="00D51A25">
            <w:pPr>
              <w:jc w:val="center"/>
              <w:rPr>
                <w:rFonts w:cs="Arial"/>
                <w:sz w:val="19"/>
                <w:szCs w:val="19"/>
              </w:rPr>
            </w:pPr>
            <w:r>
              <w:rPr>
                <w:rFonts w:cs="Arial"/>
                <w:sz w:val="19"/>
                <w:szCs w:val="19"/>
              </w:rPr>
              <w:t>377, 41</w:t>
            </w:r>
          </w:p>
        </w:tc>
        <w:tc>
          <w:tcPr>
            <w:tcW w:w="680" w:type="dxa"/>
            <w:tcBorders>
              <w:top w:val="single" w:sz="4" w:space="0" w:color="auto"/>
              <w:bottom w:val="nil"/>
            </w:tcBorders>
            <w:shd w:val="clear" w:color="auto" w:fill="D9D9D9" w:themeFill="background1" w:themeFillShade="D9"/>
          </w:tcPr>
          <w:p w14:paraId="218DDBFF" w14:textId="77777777" w:rsidR="00061198" w:rsidRPr="00EB797E" w:rsidRDefault="00061198" w:rsidP="00D51A25">
            <w:pPr>
              <w:jc w:val="center"/>
              <w:rPr>
                <w:rFonts w:cs="Arial"/>
                <w:sz w:val="19"/>
                <w:szCs w:val="19"/>
              </w:rPr>
            </w:pPr>
            <w:r>
              <w:rPr>
                <w:rFonts w:cs="Arial"/>
                <w:sz w:val="19"/>
                <w:szCs w:val="19"/>
              </w:rPr>
              <w:t>0.99</w:t>
            </w:r>
          </w:p>
        </w:tc>
        <w:tc>
          <w:tcPr>
            <w:tcW w:w="1589" w:type="dxa"/>
            <w:tcBorders>
              <w:top w:val="single" w:sz="4" w:space="0" w:color="auto"/>
              <w:bottom w:val="nil"/>
            </w:tcBorders>
            <w:shd w:val="clear" w:color="auto" w:fill="D9D9D9" w:themeFill="background1" w:themeFillShade="D9"/>
          </w:tcPr>
          <w:p w14:paraId="5A3D9236" w14:textId="77777777" w:rsidR="00061198" w:rsidRPr="00EB797E" w:rsidRDefault="00061198" w:rsidP="00D51A25">
            <w:pPr>
              <w:jc w:val="center"/>
              <w:rPr>
                <w:rFonts w:cs="Arial"/>
                <w:sz w:val="19"/>
                <w:szCs w:val="19"/>
              </w:rPr>
            </w:pPr>
            <w:r>
              <w:rPr>
                <w:rFonts w:cs="Arial"/>
                <w:sz w:val="19"/>
                <w:szCs w:val="19"/>
              </w:rPr>
              <w:t>0.67 to 1.47</w:t>
            </w:r>
          </w:p>
        </w:tc>
        <w:tc>
          <w:tcPr>
            <w:tcW w:w="650" w:type="dxa"/>
            <w:tcBorders>
              <w:top w:val="single" w:sz="4" w:space="0" w:color="auto"/>
              <w:bottom w:val="nil"/>
            </w:tcBorders>
            <w:shd w:val="clear" w:color="auto" w:fill="D9D9D9" w:themeFill="background1" w:themeFillShade="D9"/>
          </w:tcPr>
          <w:p w14:paraId="071F13E3" w14:textId="77777777" w:rsidR="00061198" w:rsidRPr="00EB797E" w:rsidRDefault="00061198" w:rsidP="00D51A25">
            <w:pPr>
              <w:jc w:val="center"/>
              <w:rPr>
                <w:rFonts w:cs="Arial"/>
                <w:sz w:val="19"/>
                <w:szCs w:val="19"/>
              </w:rPr>
            </w:pPr>
            <w:r>
              <w:rPr>
                <w:rFonts w:cs="Arial"/>
                <w:sz w:val="19"/>
                <w:szCs w:val="19"/>
              </w:rPr>
              <w:t>208, 43</w:t>
            </w:r>
          </w:p>
        </w:tc>
        <w:tc>
          <w:tcPr>
            <w:tcW w:w="993" w:type="dxa"/>
            <w:tcBorders>
              <w:top w:val="single" w:sz="4" w:space="0" w:color="auto"/>
              <w:bottom w:val="nil"/>
            </w:tcBorders>
            <w:shd w:val="clear" w:color="auto" w:fill="D9D9D9" w:themeFill="background1" w:themeFillShade="D9"/>
          </w:tcPr>
          <w:p w14:paraId="4E4A9F04" w14:textId="77777777" w:rsidR="00061198" w:rsidRPr="005911DB" w:rsidRDefault="00061198" w:rsidP="00D51A25">
            <w:pPr>
              <w:jc w:val="center"/>
              <w:rPr>
                <w:rFonts w:cs="Arial"/>
                <w:sz w:val="19"/>
                <w:szCs w:val="19"/>
              </w:rPr>
            </w:pPr>
            <w:r w:rsidRPr="005911DB">
              <w:rPr>
                <w:rFonts w:cs="Arial"/>
                <w:sz w:val="19"/>
                <w:szCs w:val="19"/>
              </w:rPr>
              <w:t>1.21</w:t>
            </w:r>
          </w:p>
        </w:tc>
        <w:tc>
          <w:tcPr>
            <w:tcW w:w="1476" w:type="dxa"/>
            <w:tcBorders>
              <w:top w:val="single" w:sz="4" w:space="0" w:color="auto"/>
              <w:bottom w:val="nil"/>
            </w:tcBorders>
            <w:shd w:val="clear" w:color="auto" w:fill="D9D9D9" w:themeFill="background1" w:themeFillShade="D9"/>
          </w:tcPr>
          <w:p w14:paraId="1FC33518" w14:textId="77777777" w:rsidR="00061198" w:rsidRPr="005911DB" w:rsidRDefault="00061198" w:rsidP="00D51A25">
            <w:pPr>
              <w:jc w:val="center"/>
              <w:rPr>
                <w:rFonts w:cs="Arial"/>
                <w:color w:val="000000" w:themeColor="text1"/>
                <w:sz w:val="19"/>
                <w:szCs w:val="19"/>
              </w:rPr>
            </w:pPr>
            <w:r w:rsidRPr="005911DB">
              <w:rPr>
                <w:rFonts w:cs="Arial"/>
                <w:color w:val="000000" w:themeColor="text1"/>
                <w:sz w:val="19"/>
                <w:szCs w:val="19"/>
              </w:rPr>
              <w:t>0.80 to 1.83</w:t>
            </w:r>
          </w:p>
        </w:tc>
      </w:tr>
      <w:tr w:rsidR="00061198" w:rsidRPr="002E5B81" w14:paraId="342778D4" w14:textId="77777777" w:rsidTr="00D51A25">
        <w:tc>
          <w:tcPr>
            <w:tcW w:w="1271" w:type="dxa"/>
            <w:vMerge/>
          </w:tcPr>
          <w:p w14:paraId="79BDEE82" w14:textId="77777777" w:rsidR="00061198" w:rsidRPr="00EB797E" w:rsidRDefault="00061198" w:rsidP="00D51A25">
            <w:pPr>
              <w:jc w:val="center"/>
              <w:rPr>
                <w:rFonts w:cs="Arial"/>
                <w:sz w:val="19"/>
                <w:szCs w:val="19"/>
              </w:rPr>
            </w:pPr>
          </w:p>
        </w:tc>
        <w:tc>
          <w:tcPr>
            <w:tcW w:w="1276" w:type="dxa"/>
            <w:tcBorders>
              <w:top w:val="nil"/>
              <w:bottom w:val="nil"/>
            </w:tcBorders>
          </w:tcPr>
          <w:p w14:paraId="0673DFD3" w14:textId="77777777" w:rsidR="00061198" w:rsidRPr="00EB797E" w:rsidRDefault="00061198" w:rsidP="00D51A25">
            <w:pPr>
              <w:rPr>
                <w:rFonts w:cs="Arial"/>
                <w:sz w:val="19"/>
                <w:szCs w:val="19"/>
              </w:rPr>
            </w:pPr>
            <w:r w:rsidRPr="00EB797E">
              <w:rPr>
                <w:rFonts w:cs="Arial"/>
                <w:sz w:val="19"/>
                <w:szCs w:val="19"/>
              </w:rPr>
              <w:t>Model 1</w:t>
            </w:r>
          </w:p>
        </w:tc>
        <w:tc>
          <w:tcPr>
            <w:tcW w:w="794" w:type="dxa"/>
            <w:tcBorders>
              <w:top w:val="nil"/>
              <w:bottom w:val="nil"/>
            </w:tcBorders>
          </w:tcPr>
          <w:p w14:paraId="265E5907" w14:textId="77777777" w:rsidR="00061198" w:rsidRPr="00EB797E" w:rsidRDefault="00061198" w:rsidP="00D51A25">
            <w:pPr>
              <w:jc w:val="center"/>
              <w:rPr>
                <w:rFonts w:cs="Arial"/>
                <w:sz w:val="19"/>
                <w:szCs w:val="19"/>
              </w:rPr>
            </w:pPr>
          </w:p>
        </w:tc>
        <w:tc>
          <w:tcPr>
            <w:tcW w:w="794" w:type="dxa"/>
            <w:tcBorders>
              <w:top w:val="nil"/>
              <w:bottom w:val="nil"/>
            </w:tcBorders>
          </w:tcPr>
          <w:p w14:paraId="0C8A1DF0" w14:textId="77777777" w:rsidR="00061198" w:rsidRPr="005911DB" w:rsidRDefault="00061198" w:rsidP="00D51A25">
            <w:pPr>
              <w:jc w:val="center"/>
              <w:rPr>
                <w:rFonts w:cs="Arial"/>
                <w:sz w:val="19"/>
                <w:szCs w:val="19"/>
              </w:rPr>
            </w:pPr>
            <w:r>
              <w:rPr>
                <w:rFonts w:cs="Arial"/>
                <w:sz w:val="19"/>
                <w:szCs w:val="19"/>
              </w:rPr>
              <w:t>1.26</w:t>
            </w:r>
          </w:p>
        </w:tc>
        <w:tc>
          <w:tcPr>
            <w:tcW w:w="1389" w:type="dxa"/>
            <w:tcBorders>
              <w:top w:val="nil"/>
              <w:bottom w:val="nil"/>
            </w:tcBorders>
          </w:tcPr>
          <w:p w14:paraId="29AB431A" w14:textId="77777777" w:rsidR="00061198" w:rsidRPr="005911DB" w:rsidRDefault="00061198" w:rsidP="00D51A25">
            <w:pPr>
              <w:jc w:val="center"/>
              <w:rPr>
                <w:rFonts w:cs="Arial"/>
                <w:sz w:val="19"/>
                <w:szCs w:val="19"/>
              </w:rPr>
            </w:pPr>
            <w:r>
              <w:rPr>
                <w:rFonts w:cs="Arial"/>
                <w:sz w:val="19"/>
                <w:szCs w:val="19"/>
              </w:rPr>
              <w:t>0.96 to 1.64</w:t>
            </w:r>
          </w:p>
        </w:tc>
        <w:tc>
          <w:tcPr>
            <w:tcW w:w="878" w:type="dxa"/>
            <w:tcBorders>
              <w:top w:val="nil"/>
              <w:bottom w:val="nil"/>
            </w:tcBorders>
          </w:tcPr>
          <w:p w14:paraId="2A39F7CA" w14:textId="77777777" w:rsidR="00061198" w:rsidRPr="00EB797E" w:rsidRDefault="00061198" w:rsidP="00D51A25">
            <w:pPr>
              <w:rPr>
                <w:rFonts w:cs="Arial"/>
                <w:sz w:val="19"/>
                <w:szCs w:val="19"/>
              </w:rPr>
            </w:pPr>
          </w:p>
        </w:tc>
        <w:tc>
          <w:tcPr>
            <w:tcW w:w="709" w:type="dxa"/>
            <w:tcBorders>
              <w:top w:val="nil"/>
              <w:bottom w:val="nil"/>
            </w:tcBorders>
          </w:tcPr>
          <w:p w14:paraId="0CE3D4D5" w14:textId="77777777" w:rsidR="00061198" w:rsidRPr="005911DB" w:rsidRDefault="00061198" w:rsidP="00D51A25">
            <w:pPr>
              <w:jc w:val="center"/>
              <w:rPr>
                <w:rFonts w:cs="Arial"/>
                <w:b/>
                <w:sz w:val="19"/>
                <w:szCs w:val="19"/>
              </w:rPr>
            </w:pPr>
            <w:r>
              <w:rPr>
                <w:rFonts w:cs="Arial"/>
                <w:b/>
                <w:sz w:val="19"/>
                <w:szCs w:val="19"/>
              </w:rPr>
              <w:t>1.74</w:t>
            </w:r>
          </w:p>
        </w:tc>
        <w:tc>
          <w:tcPr>
            <w:tcW w:w="1389" w:type="dxa"/>
            <w:tcBorders>
              <w:top w:val="nil"/>
              <w:bottom w:val="nil"/>
            </w:tcBorders>
          </w:tcPr>
          <w:p w14:paraId="1B6897B1" w14:textId="77777777" w:rsidR="00061198" w:rsidRPr="005911DB" w:rsidRDefault="00061198" w:rsidP="00D51A25">
            <w:pPr>
              <w:jc w:val="center"/>
              <w:rPr>
                <w:rFonts w:cs="Arial"/>
                <w:b/>
                <w:sz w:val="19"/>
                <w:szCs w:val="19"/>
              </w:rPr>
            </w:pPr>
            <w:r>
              <w:rPr>
                <w:rFonts w:cs="Arial"/>
                <w:b/>
                <w:sz w:val="19"/>
                <w:szCs w:val="19"/>
              </w:rPr>
              <w:t>1.11 to 2.73</w:t>
            </w:r>
          </w:p>
        </w:tc>
        <w:tc>
          <w:tcPr>
            <w:tcW w:w="708" w:type="dxa"/>
            <w:tcBorders>
              <w:top w:val="nil"/>
              <w:bottom w:val="nil"/>
            </w:tcBorders>
          </w:tcPr>
          <w:p w14:paraId="16903081" w14:textId="77777777" w:rsidR="00061198" w:rsidRPr="00EB797E" w:rsidRDefault="00061198" w:rsidP="00D51A25">
            <w:pPr>
              <w:rPr>
                <w:rFonts w:cs="Arial"/>
                <w:sz w:val="19"/>
                <w:szCs w:val="19"/>
              </w:rPr>
            </w:pPr>
          </w:p>
        </w:tc>
        <w:tc>
          <w:tcPr>
            <w:tcW w:w="680" w:type="dxa"/>
            <w:tcBorders>
              <w:top w:val="nil"/>
              <w:bottom w:val="nil"/>
            </w:tcBorders>
          </w:tcPr>
          <w:p w14:paraId="34A1781E" w14:textId="77777777" w:rsidR="00061198" w:rsidRPr="00EB797E" w:rsidRDefault="00061198" w:rsidP="00D51A25">
            <w:pPr>
              <w:jc w:val="center"/>
              <w:rPr>
                <w:rFonts w:cs="Arial"/>
                <w:sz w:val="19"/>
                <w:szCs w:val="19"/>
              </w:rPr>
            </w:pPr>
            <w:r>
              <w:rPr>
                <w:rFonts w:cs="Arial"/>
                <w:sz w:val="19"/>
                <w:szCs w:val="19"/>
              </w:rPr>
              <w:t>0.87</w:t>
            </w:r>
          </w:p>
        </w:tc>
        <w:tc>
          <w:tcPr>
            <w:tcW w:w="1589" w:type="dxa"/>
            <w:tcBorders>
              <w:top w:val="nil"/>
              <w:bottom w:val="nil"/>
            </w:tcBorders>
          </w:tcPr>
          <w:p w14:paraId="3189D3AB" w14:textId="77777777" w:rsidR="00061198" w:rsidRPr="00EB797E" w:rsidRDefault="00061198" w:rsidP="00D51A25">
            <w:pPr>
              <w:jc w:val="center"/>
              <w:rPr>
                <w:rFonts w:cs="Arial"/>
                <w:sz w:val="19"/>
                <w:szCs w:val="19"/>
              </w:rPr>
            </w:pPr>
            <w:r>
              <w:rPr>
                <w:rFonts w:cs="Arial"/>
                <w:sz w:val="19"/>
                <w:szCs w:val="19"/>
              </w:rPr>
              <w:t>0.52 to 1.47</w:t>
            </w:r>
          </w:p>
        </w:tc>
        <w:tc>
          <w:tcPr>
            <w:tcW w:w="650" w:type="dxa"/>
            <w:tcBorders>
              <w:top w:val="nil"/>
              <w:bottom w:val="nil"/>
            </w:tcBorders>
          </w:tcPr>
          <w:p w14:paraId="0F8A0684" w14:textId="77777777" w:rsidR="00061198" w:rsidRPr="00EB797E" w:rsidRDefault="00061198" w:rsidP="00D51A25">
            <w:pPr>
              <w:rPr>
                <w:rFonts w:cs="Arial"/>
                <w:sz w:val="19"/>
                <w:szCs w:val="19"/>
              </w:rPr>
            </w:pPr>
          </w:p>
        </w:tc>
        <w:tc>
          <w:tcPr>
            <w:tcW w:w="993" w:type="dxa"/>
            <w:tcBorders>
              <w:top w:val="nil"/>
              <w:bottom w:val="nil"/>
            </w:tcBorders>
          </w:tcPr>
          <w:p w14:paraId="3D289CB1" w14:textId="77777777" w:rsidR="00061198" w:rsidRPr="005911DB" w:rsidRDefault="00061198" w:rsidP="00D51A25">
            <w:pPr>
              <w:jc w:val="center"/>
              <w:rPr>
                <w:rFonts w:cs="Arial"/>
                <w:sz w:val="19"/>
                <w:szCs w:val="19"/>
              </w:rPr>
            </w:pPr>
            <w:r>
              <w:rPr>
                <w:rFonts w:cs="Arial"/>
                <w:sz w:val="19"/>
                <w:szCs w:val="19"/>
              </w:rPr>
              <w:t>1.28</w:t>
            </w:r>
          </w:p>
        </w:tc>
        <w:tc>
          <w:tcPr>
            <w:tcW w:w="1476" w:type="dxa"/>
            <w:tcBorders>
              <w:top w:val="nil"/>
              <w:bottom w:val="nil"/>
            </w:tcBorders>
            <w:shd w:val="clear" w:color="auto" w:fill="auto"/>
          </w:tcPr>
          <w:p w14:paraId="5A10089E" w14:textId="77777777" w:rsidR="00061198" w:rsidRPr="005911DB" w:rsidRDefault="00061198" w:rsidP="00D51A25">
            <w:pPr>
              <w:jc w:val="center"/>
              <w:rPr>
                <w:rFonts w:cs="Arial"/>
                <w:sz w:val="19"/>
                <w:szCs w:val="19"/>
              </w:rPr>
            </w:pPr>
            <w:r>
              <w:rPr>
                <w:rFonts w:cs="Arial"/>
                <w:sz w:val="19"/>
                <w:szCs w:val="19"/>
              </w:rPr>
              <w:t>0.70 to 2.35</w:t>
            </w:r>
          </w:p>
        </w:tc>
      </w:tr>
      <w:tr w:rsidR="00061198" w:rsidRPr="002E5B81" w14:paraId="148DD084" w14:textId="77777777" w:rsidTr="00D51A25">
        <w:tc>
          <w:tcPr>
            <w:tcW w:w="1271" w:type="dxa"/>
            <w:vMerge/>
          </w:tcPr>
          <w:p w14:paraId="69533847" w14:textId="77777777" w:rsidR="00061198" w:rsidRPr="00EB797E" w:rsidRDefault="00061198" w:rsidP="00D51A25">
            <w:pPr>
              <w:jc w:val="center"/>
              <w:rPr>
                <w:rFonts w:cs="Arial"/>
                <w:sz w:val="19"/>
                <w:szCs w:val="19"/>
              </w:rPr>
            </w:pPr>
          </w:p>
        </w:tc>
        <w:tc>
          <w:tcPr>
            <w:tcW w:w="1276" w:type="dxa"/>
            <w:tcBorders>
              <w:top w:val="nil"/>
              <w:bottom w:val="single" w:sz="4" w:space="0" w:color="auto"/>
            </w:tcBorders>
            <w:shd w:val="clear" w:color="auto" w:fill="D9D9D9" w:themeFill="background1" w:themeFillShade="D9"/>
          </w:tcPr>
          <w:p w14:paraId="38A2DEC6" w14:textId="77777777" w:rsidR="00061198" w:rsidRPr="00EB797E" w:rsidRDefault="00061198" w:rsidP="00D51A25">
            <w:pPr>
              <w:rPr>
                <w:rFonts w:cs="Arial"/>
                <w:sz w:val="19"/>
                <w:szCs w:val="19"/>
              </w:rPr>
            </w:pPr>
            <w:r w:rsidRPr="00EB797E">
              <w:rPr>
                <w:rFonts w:cs="Arial"/>
                <w:sz w:val="19"/>
                <w:szCs w:val="19"/>
              </w:rPr>
              <w:t>Model 2</w:t>
            </w:r>
          </w:p>
        </w:tc>
        <w:tc>
          <w:tcPr>
            <w:tcW w:w="794" w:type="dxa"/>
            <w:tcBorders>
              <w:top w:val="nil"/>
              <w:bottom w:val="single" w:sz="4" w:space="0" w:color="auto"/>
            </w:tcBorders>
            <w:shd w:val="clear" w:color="auto" w:fill="D9D9D9" w:themeFill="background1" w:themeFillShade="D9"/>
          </w:tcPr>
          <w:p w14:paraId="5B4929BF" w14:textId="77777777" w:rsidR="00061198" w:rsidRPr="00EB797E" w:rsidRDefault="00061198" w:rsidP="00D51A25">
            <w:pPr>
              <w:jc w:val="center"/>
              <w:rPr>
                <w:rFonts w:cs="Arial"/>
                <w:sz w:val="19"/>
                <w:szCs w:val="19"/>
              </w:rPr>
            </w:pPr>
          </w:p>
        </w:tc>
        <w:tc>
          <w:tcPr>
            <w:tcW w:w="794" w:type="dxa"/>
            <w:tcBorders>
              <w:top w:val="nil"/>
              <w:bottom w:val="single" w:sz="4" w:space="0" w:color="auto"/>
            </w:tcBorders>
            <w:shd w:val="clear" w:color="auto" w:fill="D9D9D9" w:themeFill="background1" w:themeFillShade="D9"/>
          </w:tcPr>
          <w:p w14:paraId="20D359BB" w14:textId="77777777" w:rsidR="00061198" w:rsidRPr="00EB797E" w:rsidRDefault="00061198" w:rsidP="00D51A25">
            <w:pPr>
              <w:jc w:val="center"/>
              <w:rPr>
                <w:rFonts w:cs="Arial"/>
                <w:sz w:val="19"/>
                <w:szCs w:val="19"/>
              </w:rPr>
            </w:pPr>
            <w:r>
              <w:rPr>
                <w:rFonts w:cs="Arial"/>
                <w:sz w:val="19"/>
                <w:szCs w:val="19"/>
              </w:rPr>
              <w:t>1.15</w:t>
            </w:r>
          </w:p>
        </w:tc>
        <w:tc>
          <w:tcPr>
            <w:tcW w:w="1389" w:type="dxa"/>
            <w:tcBorders>
              <w:top w:val="nil"/>
              <w:bottom w:val="single" w:sz="4" w:space="0" w:color="auto"/>
            </w:tcBorders>
            <w:shd w:val="clear" w:color="auto" w:fill="D9D9D9" w:themeFill="background1" w:themeFillShade="D9"/>
          </w:tcPr>
          <w:p w14:paraId="67263080" w14:textId="77777777" w:rsidR="00061198" w:rsidRPr="00EB797E" w:rsidRDefault="00061198" w:rsidP="00D51A25">
            <w:pPr>
              <w:jc w:val="center"/>
              <w:rPr>
                <w:rFonts w:cs="Arial"/>
                <w:sz w:val="19"/>
                <w:szCs w:val="19"/>
              </w:rPr>
            </w:pPr>
            <w:r>
              <w:rPr>
                <w:rFonts w:cs="Arial"/>
                <w:sz w:val="19"/>
                <w:szCs w:val="19"/>
              </w:rPr>
              <w:t>0.88 to 1.51</w:t>
            </w:r>
          </w:p>
        </w:tc>
        <w:tc>
          <w:tcPr>
            <w:tcW w:w="878" w:type="dxa"/>
            <w:tcBorders>
              <w:top w:val="nil"/>
              <w:bottom w:val="single" w:sz="4" w:space="0" w:color="auto"/>
            </w:tcBorders>
            <w:shd w:val="clear" w:color="auto" w:fill="D9D9D9" w:themeFill="background1" w:themeFillShade="D9"/>
          </w:tcPr>
          <w:p w14:paraId="3F1F88F9" w14:textId="77777777" w:rsidR="00061198" w:rsidRPr="00EB797E" w:rsidRDefault="00061198" w:rsidP="00D51A25">
            <w:pPr>
              <w:jc w:val="center"/>
              <w:rPr>
                <w:rFonts w:cs="Arial"/>
                <w:sz w:val="19"/>
                <w:szCs w:val="19"/>
              </w:rPr>
            </w:pPr>
          </w:p>
        </w:tc>
        <w:tc>
          <w:tcPr>
            <w:tcW w:w="709" w:type="dxa"/>
            <w:tcBorders>
              <w:top w:val="nil"/>
              <w:bottom w:val="single" w:sz="4" w:space="0" w:color="auto"/>
            </w:tcBorders>
            <w:shd w:val="clear" w:color="auto" w:fill="D9D9D9" w:themeFill="background1" w:themeFillShade="D9"/>
          </w:tcPr>
          <w:p w14:paraId="37D69691" w14:textId="77777777" w:rsidR="00061198" w:rsidRPr="00EB797E" w:rsidRDefault="00061198" w:rsidP="00D51A25">
            <w:pPr>
              <w:jc w:val="center"/>
              <w:rPr>
                <w:rFonts w:cs="Arial"/>
                <w:sz w:val="19"/>
                <w:szCs w:val="19"/>
              </w:rPr>
            </w:pPr>
            <w:r>
              <w:rPr>
                <w:rFonts w:cs="Arial"/>
                <w:b/>
                <w:sz w:val="19"/>
                <w:szCs w:val="19"/>
              </w:rPr>
              <w:t>1.87</w:t>
            </w:r>
          </w:p>
        </w:tc>
        <w:tc>
          <w:tcPr>
            <w:tcW w:w="1389" w:type="dxa"/>
            <w:tcBorders>
              <w:top w:val="nil"/>
              <w:bottom w:val="single" w:sz="4" w:space="0" w:color="auto"/>
            </w:tcBorders>
            <w:shd w:val="clear" w:color="auto" w:fill="D9D9D9" w:themeFill="background1" w:themeFillShade="D9"/>
          </w:tcPr>
          <w:p w14:paraId="3E5B17E9" w14:textId="77777777" w:rsidR="00061198" w:rsidRPr="00EB797E" w:rsidRDefault="00061198" w:rsidP="00D51A25">
            <w:pPr>
              <w:jc w:val="center"/>
              <w:rPr>
                <w:rFonts w:cs="Arial"/>
                <w:sz w:val="19"/>
                <w:szCs w:val="19"/>
              </w:rPr>
            </w:pPr>
            <w:r>
              <w:rPr>
                <w:rFonts w:cs="Arial"/>
                <w:b/>
                <w:sz w:val="19"/>
                <w:szCs w:val="19"/>
              </w:rPr>
              <w:t>1.18 to 3.01</w:t>
            </w:r>
          </w:p>
        </w:tc>
        <w:tc>
          <w:tcPr>
            <w:tcW w:w="708" w:type="dxa"/>
            <w:tcBorders>
              <w:top w:val="nil"/>
              <w:bottom w:val="single" w:sz="4" w:space="0" w:color="auto"/>
            </w:tcBorders>
            <w:shd w:val="clear" w:color="auto" w:fill="D9D9D9" w:themeFill="background1" w:themeFillShade="D9"/>
          </w:tcPr>
          <w:p w14:paraId="47B11A50" w14:textId="77777777" w:rsidR="00061198" w:rsidRPr="00EB797E" w:rsidRDefault="00061198" w:rsidP="00D51A25">
            <w:pPr>
              <w:jc w:val="center"/>
              <w:rPr>
                <w:rFonts w:cs="Arial"/>
                <w:sz w:val="19"/>
                <w:szCs w:val="19"/>
              </w:rPr>
            </w:pPr>
          </w:p>
        </w:tc>
        <w:tc>
          <w:tcPr>
            <w:tcW w:w="680" w:type="dxa"/>
            <w:tcBorders>
              <w:top w:val="nil"/>
              <w:bottom w:val="single" w:sz="4" w:space="0" w:color="auto"/>
            </w:tcBorders>
            <w:shd w:val="clear" w:color="auto" w:fill="D9D9D9" w:themeFill="background1" w:themeFillShade="D9"/>
          </w:tcPr>
          <w:p w14:paraId="704B52A4" w14:textId="77777777" w:rsidR="00061198" w:rsidRPr="00EB797E" w:rsidRDefault="00061198" w:rsidP="00D51A25">
            <w:pPr>
              <w:jc w:val="center"/>
              <w:rPr>
                <w:rFonts w:cs="Arial"/>
                <w:sz w:val="19"/>
                <w:szCs w:val="19"/>
              </w:rPr>
            </w:pPr>
            <w:r>
              <w:rPr>
                <w:rFonts w:cs="Arial"/>
                <w:sz w:val="19"/>
                <w:szCs w:val="19"/>
              </w:rPr>
              <w:t>0.81</w:t>
            </w:r>
          </w:p>
        </w:tc>
        <w:tc>
          <w:tcPr>
            <w:tcW w:w="1589" w:type="dxa"/>
            <w:tcBorders>
              <w:top w:val="nil"/>
              <w:bottom w:val="single" w:sz="4" w:space="0" w:color="auto"/>
            </w:tcBorders>
            <w:shd w:val="clear" w:color="auto" w:fill="D9D9D9" w:themeFill="background1" w:themeFillShade="D9"/>
          </w:tcPr>
          <w:p w14:paraId="14AE46C8" w14:textId="77777777" w:rsidR="00061198" w:rsidRPr="00EB797E" w:rsidRDefault="00061198" w:rsidP="00D51A25">
            <w:pPr>
              <w:jc w:val="center"/>
              <w:rPr>
                <w:rFonts w:cs="Arial"/>
                <w:sz w:val="19"/>
                <w:szCs w:val="19"/>
              </w:rPr>
            </w:pPr>
            <w:r>
              <w:rPr>
                <w:rFonts w:cs="Arial"/>
                <w:sz w:val="19"/>
                <w:szCs w:val="19"/>
              </w:rPr>
              <w:t>0.51 to 1.30</w:t>
            </w:r>
          </w:p>
        </w:tc>
        <w:tc>
          <w:tcPr>
            <w:tcW w:w="650" w:type="dxa"/>
            <w:tcBorders>
              <w:top w:val="nil"/>
              <w:bottom w:val="single" w:sz="4" w:space="0" w:color="auto"/>
            </w:tcBorders>
            <w:shd w:val="clear" w:color="auto" w:fill="D9D9D9" w:themeFill="background1" w:themeFillShade="D9"/>
          </w:tcPr>
          <w:p w14:paraId="7CDE1B07" w14:textId="77777777" w:rsidR="00061198" w:rsidRPr="00EB797E" w:rsidRDefault="00061198" w:rsidP="00D51A25">
            <w:pPr>
              <w:jc w:val="center"/>
              <w:rPr>
                <w:rFonts w:cs="Arial"/>
                <w:sz w:val="19"/>
                <w:szCs w:val="19"/>
              </w:rPr>
            </w:pPr>
          </w:p>
        </w:tc>
        <w:tc>
          <w:tcPr>
            <w:tcW w:w="993" w:type="dxa"/>
            <w:tcBorders>
              <w:top w:val="nil"/>
              <w:bottom w:val="single" w:sz="4" w:space="0" w:color="auto"/>
            </w:tcBorders>
            <w:shd w:val="clear" w:color="auto" w:fill="D9D9D9" w:themeFill="background1" w:themeFillShade="D9"/>
          </w:tcPr>
          <w:p w14:paraId="6FBFDA78" w14:textId="77777777" w:rsidR="00061198" w:rsidRPr="00EB797E" w:rsidRDefault="00061198" w:rsidP="00D51A25">
            <w:pPr>
              <w:jc w:val="center"/>
              <w:rPr>
                <w:rFonts w:cs="Arial"/>
                <w:sz w:val="19"/>
                <w:szCs w:val="19"/>
              </w:rPr>
            </w:pPr>
            <w:r>
              <w:rPr>
                <w:rFonts w:cs="Arial"/>
                <w:sz w:val="19"/>
                <w:szCs w:val="19"/>
              </w:rPr>
              <w:t>1.15</w:t>
            </w:r>
          </w:p>
        </w:tc>
        <w:tc>
          <w:tcPr>
            <w:tcW w:w="1476" w:type="dxa"/>
            <w:tcBorders>
              <w:top w:val="nil"/>
              <w:bottom w:val="single" w:sz="4" w:space="0" w:color="auto"/>
            </w:tcBorders>
            <w:shd w:val="clear" w:color="auto" w:fill="D9D9D9" w:themeFill="background1" w:themeFillShade="D9"/>
          </w:tcPr>
          <w:p w14:paraId="2E2D2269" w14:textId="77777777" w:rsidR="00061198" w:rsidRPr="00EB797E" w:rsidRDefault="00061198" w:rsidP="00D51A25">
            <w:pPr>
              <w:jc w:val="center"/>
              <w:rPr>
                <w:rFonts w:cs="Arial"/>
                <w:sz w:val="19"/>
                <w:szCs w:val="19"/>
              </w:rPr>
            </w:pPr>
            <w:r>
              <w:rPr>
                <w:rFonts w:cs="Arial"/>
                <w:sz w:val="19"/>
                <w:szCs w:val="19"/>
              </w:rPr>
              <w:t>0.69 to 1.94</w:t>
            </w:r>
          </w:p>
        </w:tc>
      </w:tr>
    </w:tbl>
    <w:p w14:paraId="1F851E8A" w14:textId="77777777" w:rsidR="00061198" w:rsidRPr="002E5B81" w:rsidRDefault="00061198" w:rsidP="00061198">
      <w:pPr>
        <w:shd w:val="clear" w:color="auto" w:fill="FFFFFF" w:themeFill="background1"/>
        <w:spacing w:after="0"/>
        <w:rPr>
          <w:rFonts w:cs="Arial"/>
          <w:sz w:val="20"/>
          <w:szCs w:val="20"/>
        </w:rPr>
      </w:pPr>
      <w:r w:rsidRPr="002E5B81">
        <w:rPr>
          <w:rFonts w:cs="Arial"/>
          <w:sz w:val="20"/>
          <w:szCs w:val="20"/>
        </w:rPr>
        <w:t>*Generalised linear model with log link and robust variance estimator used to derive RR</w:t>
      </w:r>
    </w:p>
    <w:p w14:paraId="50F14BA7" w14:textId="77777777" w:rsidR="00061198" w:rsidRPr="002E5B81" w:rsidRDefault="00061198" w:rsidP="00061198">
      <w:pPr>
        <w:spacing w:after="0" w:line="240" w:lineRule="auto"/>
        <w:rPr>
          <w:rFonts w:cs="Arial"/>
          <w:sz w:val="20"/>
          <w:szCs w:val="20"/>
        </w:rPr>
      </w:pPr>
      <w:r w:rsidRPr="002E5B81">
        <w:rPr>
          <w:rFonts w:cs="Arial"/>
          <w:sz w:val="20"/>
          <w:szCs w:val="20"/>
        </w:rPr>
        <w:t xml:space="preserve">Model 1: adjusted for maternal age at first pregnancy, ethnicity, highest educational qualification, smoking status at first and second pregnancy, employment status at first pregnancy, </w:t>
      </w:r>
      <w:r>
        <w:rPr>
          <w:rFonts w:cs="Arial"/>
          <w:sz w:val="20"/>
          <w:szCs w:val="20"/>
        </w:rPr>
        <w:t xml:space="preserve">first and second pregnancy gestational age at booking, </w:t>
      </w:r>
      <w:r w:rsidRPr="002E5B81">
        <w:rPr>
          <w:rFonts w:cs="Arial"/>
          <w:sz w:val="20"/>
          <w:szCs w:val="20"/>
        </w:rPr>
        <w:t xml:space="preserve">baseline BMI, gestational </w:t>
      </w:r>
      <w:r>
        <w:rPr>
          <w:rFonts w:cs="Arial"/>
          <w:sz w:val="20"/>
          <w:szCs w:val="20"/>
        </w:rPr>
        <w:t xml:space="preserve">diabetes in first pregnancy, </w:t>
      </w:r>
      <w:r w:rsidRPr="002E5B81">
        <w:rPr>
          <w:rFonts w:cs="Arial"/>
          <w:sz w:val="20"/>
          <w:szCs w:val="20"/>
        </w:rPr>
        <w:t>interpregnancy interval</w:t>
      </w:r>
      <w:r>
        <w:rPr>
          <w:rFonts w:cs="Arial"/>
          <w:sz w:val="20"/>
          <w:szCs w:val="20"/>
        </w:rPr>
        <w:t xml:space="preserve"> and</w:t>
      </w:r>
      <w:r w:rsidRPr="002E5B81">
        <w:rPr>
          <w:rFonts w:cs="Arial"/>
          <w:sz w:val="20"/>
          <w:szCs w:val="20"/>
        </w:rPr>
        <w:t xml:space="preserve"> breastfeeding status for first pregnancy </w:t>
      </w:r>
    </w:p>
    <w:p w14:paraId="53F0365C" w14:textId="77777777" w:rsidR="00061198" w:rsidRPr="002E5B81" w:rsidRDefault="00061198" w:rsidP="00061198">
      <w:pPr>
        <w:spacing w:after="0" w:line="240" w:lineRule="auto"/>
        <w:rPr>
          <w:rFonts w:cs="Arial"/>
          <w:sz w:val="20"/>
          <w:szCs w:val="20"/>
        </w:rPr>
      </w:pPr>
      <w:r w:rsidRPr="002E5B81">
        <w:rPr>
          <w:rFonts w:cs="Arial"/>
          <w:sz w:val="20"/>
          <w:szCs w:val="20"/>
        </w:rPr>
        <w:t xml:space="preserve">Model </w:t>
      </w:r>
      <w:r>
        <w:rPr>
          <w:rFonts w:cs="Arial"/>
          <w:sz w:val="20"/>
          <w:szCs w:val="20"/>
        </w:rPr>
        <w:t>2</w:t>
      </w:r>
      <w:r w:rsidRPr="002E5B81">
        <w:rPr>
          <w:rFonts w:cs="Arial"/>
          <w:sz w:val="20"/>
          <w:szCs w:val="20"/>
        </w:rPr>
        <w:t>:</w:t>
      </w:r>
      <w:r>
        <w:rPr>
          <w:rFonts w:cs="Arial"/>
          <w:sz w:val="20"/>
          <w:szCs w:val="20"/>
        </w:rPr>
        <w:t xml:space="preserve"> </w:t>
      </w:r>
      <w:r w:rsidRPr="002E5B81">
        <w:rPr>
          <w:rFonts w:cs="Arial"/>
          <w:sz w:val="20"/>
          <w:szCs w:val="20"/>
        </w:rPr>
        <w:t xml:space="preserve">adjusted for maternal age at first pregnancy, ethnicity, highest educational qualification, smoking status at first and second pregnancy, employment status at first pregnancy, </w:t>
      </w:r>
      <w:r>
        <w:rPr>
          <w:rFonts w:cs="Arial"/>
          <w:sz w:val="20"/>
          <w:szCs w:val="20"/>
        </w:rPr>
        <w:t xml:space="preserve">first and second pregnancy gestational age at booking, </w:t>
      </w:r>
      <w:r w:rsidRPr="002E5B81">
        <w:rPr>
          <w:rFonts w:cs="Arial"/>
          <w:sz w:val="20"/>
          <w:szCs w:val="20"/>
        </w:rPr>
        <w:t>baseline BMI, gestational diabetes in second pregnancy, interpregnancy interval</w:t>
      </w:r>
      <w:r>
        <w:rPr>
          <w:rFonts w:cs="Arial"/>
          <w:sz w:val="20"/>
          <w:szCs w:val="20"/>
        </w:rPr>
        <w:t xml:space="preserve">, birthweight, </w:t>
      </w:r>
      <w:r w:rsidRPr="002E5B81">
        <w:rPr>
          <w:rFonts w:cs="Arial"/>
          <w:sz w:val="20"/>
          <w:szCs w:val="20"/>
        </w:rPr>
        <w:t xml:space="preserve">gestational age at birth </w:t>
      </w:r>
      <w:r>
        <w:rPr>
          <w:rFonts w:cs="Arial"/>
          <w:sz w:val="20"/>
          <w:szCs w:val="20"/>
        </w:rPr>
        <w:t xml:space="preserve">and </w:t>
      </w:r>
      <w:r w:rsidRPr="002E5B81">
        <w:rPr>
          <w:rFonts w:cs="Arial"/>
          <w:sz w:val="20"/>
          <w:szCs w:val="20"/>
        </w:rPr>
        <w:t>breastfeeding status for second pregnancy</w:t>
      </w:r>
    </w:p>
    <w:p w14:paraId="7271A8E7" w14:textId="7CC81A51" w:rsidR="005D4C9B" w:rsidRDefault="005D4C9B" w:rsidP="003F1BDC">
      <w:pPr>
        <w:rPr>
          <w:b/>
          <w:sz w:val="20"/>
          <w:szCs w:val="20"/>
        </w:rPr>
      </w:pPr>
    </w:p>
    <w:p w14:paraId="23A693D5" w14:textId="410ECB17" w:rsidR="00F8560D" w:rsidRDefault="00F8560D" w:rsidP="003F1BDC">
      <w:pPr>
        <w:rPr>
          <w:b/>
          <w:sz w:val="20"/>
          <w:szCs w:val="20"/>
        </w:rPr>
      </w:pPr>
    </w:p>
    <w:p w14:paraId="6F9208DE" w14:textId="77777777" w:rsidR="00C26997" w:rsidRDefault="00C26997" w:rsidP="003F1BDC">
      <w:pPr>
        <w:rPr>
          <w:b/>
          <w:sz w:val="20"/>
          <w:szCs w:val="20"/>
        </w:rPr>
      </w:pPr>
    </w:p>
    <w:p w14:paraId="419FD7C7" w14:textId="2C25D4C5" w:rsidR="00F8560D" w:rsidRDefault="00F8560D" w:rsidP="003F1BDC">
      <w:pPr>
        <w:rPr>
          <w:b/>
          <w:sz w:val="20"/>
          <w:szCs w:val="20"/>
        </w:rPr>
      </w:pPr>
    </w:p>
    <w:sectPr w:rsidR="00F8560D" w:rsidSect="003F1B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81F32" w14:textId="77777777" w:rsidR="00F81A81" w:rsidRDefault="00F81A81" w:rsidP="00BA33FB">
      <w:pPr>
        <w:spacing w:after="0" w:line="240" w:lineRule="auto"/>
      </w:pPr>
      <w:r>
        <w:separator/>
      </w:r>
    </w:p>
  </w:endnote>
  <w:endnote w:type="continuationSeparator" w:id="0">
    <w:p w14:paraId="765E366C" w14:textId="77777777" w:rsidR="00F81A81" w:rsidRDefault="00F81A81" w:rsidP="00BA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456399"/>
      <w:docPartObj>
        <w:docPartGallery w:val="Page Numbers (Bottom of Page)"/>
        <w:docPartUnique/>
      </w:docPartObj>
    </w:sdtPr>
    <w:sdtEndPr>
      <w:rPr>
        <w:noProof/>
      </w:rPr>
    </w:sdtEndPr>
    <w:sdtContent>
      <w:p w14:paraId="5F21E8A8" w14:textId="48A9A04A" w:rsidR="0076463A" w:rsidRDefault="0076463A">
        <w:pPr>
          <w:pStyle w:val="Footer"/>
          <w:jc w:val="center"/>
        </w:pPr>
        <w:r>
          <w:fldChar w:fldCharType="begin"/>
        </w:r>
        <w:r>
          <w:instrText xml:space="preserve"> PAGE   \* MERGEFORMAT </w:instrText>
        </w:r>
        <w:r>
          <w:fldChar w:fldCharType="separate"/>
        </w:r>
        <w:r w:rsidR="004C2401">
          <w:rPr>
            <w:noProof/>
          </w:rPr>
          <w:t>3</w:t>
        </w:r>
        <w:r>
          <w:rPr>
            <w:noProof/>
          </w:rPr>
          <w:fldChar w:fldCharType="end"/>
        </w:r>
      </w:p>
    </w:sdtContent>
  </w:sdt>
  <w:p w14:paraId="12169377" w14:textId="77777777" w:rsidR="0076463A" w:rsidRDefault="00764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184C5" w14:textId="77777777" w:rsidR="00F81A81" w:rsidRDefault="00F81A81" w:rsidP="00BA33FB">
      <w:pPr>
        <w:spacing w:after="0" w:line="240" w:lineRule="auto"/>
      </w:pPr>
      <w:r>
        <w:separator/>
      </w:r>
    </w:p>
  </w:footnote>
  <w:footnote w:type="continuationSeparator" w:id="0">
    <w:p w14:paraId="5D87A562" w14:textId="77777777" w:rsidR="00F81A81" w:rsidRDefault="00F81A81" w:rsidP="00BA3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823A0"/>
    <w:multiLevelType w:val="hybridMultilevel"/>
    <w:tmpl w:val="AFFCC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430278"/>
    <w:multiLevelType w:val="hybridMultilevel"/>
    <w:tmpl w:val="42201C5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_SotonMED2016&lt;/Style&gt;&lt;LeftDelim&gt;{&lt;/LeftDelim&gt;&lt;RightDelim&gt;}&lt;/RightDelim&gt;&lt;FontName&gt;Lucida San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szd2dw8etdwpepvr750w2w95xwx0ewedzv&quot;&gt;Literature-Repaired&lt;record-ids&gt;&lt;item&gt;48&lt;/item&gt;&lt;item&gt;50&lt;/item&gt;&lt;item&gt;148&lt;/item&gt;&lt;item&gt;166&lt;/item&gt;&lt;item&gt;203&lt;/item&gt;&lt;item&gt;242&lt;/item&gt;&lt;item&gt;336&lt;/item&gt;&lt;item&gt;337&lt;/item&gt;&lt;item&gt;338&lt;/item&gt;&lt;item&gt;339&lt;/item&gt;&lt;item&gt;340&lt;/item&gt;&lt;item&gt;354&lt;/item&gt;&lt;item&gt;358&lt;/item&gt;&lt;item&gt;364&lt;/item&gt;&lt;item&gt;391&lt;/item&gt;&lt;item&gt;392&lt;/item&gt;&lt;item&gt;393&lt;/item&gt;&lt;item&gt;397&lt;/item&gt;&lt;item&gt;453&lt;/item&gt;&lt;item&gt;454&lt;/item&gt;&lt;item&gt;466&lt;/item&gt;&lt;item&gt;479&lt;/item&gt;&lt;item&gt;483&lt;/item&gt;&lt;item&gt;487&lt;/item&gt;&lt;item&gt;488&lt;/item&gt;&lt;item&gt;490&lt;/item&gt;&lt;item&gt;491&lt;/item&gt;&lt;item&gt;494&lt;/item&gt;&lt;item&gt;562&lt;/item&gt;&lt;item&gt;579&lt;/item&gt;&lt;item&gt;5697&lt;/item&gt;&lt;item&gt;5698&lt;/item&gt;&lt;item&gt;5699&lt;/item&gt;&lt;item&gt;5701&lt;/item&gt;&lt;item&gt;5702&lt;/item&gt;&lt;item&gt;5704&lt;/item&gt;&lt;item&gt;5705&lt;/item&gt;&lt;item&gt;9222&lt;/item&gt;&lt;item&gt;10836&lt;/item&gt;&lt;item&gt;10846&lt;/item&gt;&lt;item&gt;10848&lt;/item&gt;&lt;item&gt;10854&lt;/item&gt;&lt;item&gt;10855&lt;/item&gt;&lt;item&gt;10856&lt;/item&gt;&lt;/record-ids&gt;&lt;/item&gt;&lt;/Libraries&gt;"/>
  </w:docVars>
  <w:rsids>
    <w:rsidRoot w:val="0005409F"/>
    <w:rsid w:val="00017763"/>
    <w:rsid w:val="0002570D"/>
    <w:rsid w:val="0002697E"/>
    <w:rsid w:val="00032167"/>
    <w:rsid w:val="0004045D"/>
    <w:rsid w:val="000421DC"/>
    <w:rsid w:val="0005409F"/>
    <w:rsid w:val="00057EF3"/>
    <w:rsid w:val="00061198"/>
    <w:rsid w:val="00061452"/>
    <w:rsid w:val="00062F1A"/>
    <w:rsid w:val="00067F6D"/>
    <w:rsid w:val="00071270"/>
    <w:rsid w:val="00072FBA"/>
    <w:rsid w:val="0007799A"/>
    <w:rsid w:val="00084B48"/>
    <w:rsid w:val="00097639"/>
    <w:rsid w:val="000A4C2C"/>
    <w:rsid w:val="000B2D9B"/>
    <w:rsid w:val="000B6B91"/>
    <w:rsid w:val="000C13F2"/>
    <w:rsid w:val="000C2719"/>
    <w:rsid w:val="000D2E1B"/>
    <w:rsid w:val="000E1DBB"/>
    <w:rsid w:val="000F1A4A"/>
    <w:rsid w:val="000F65A8"/>
    <w:rsid w:val="000F6DF1"/>
    <w:rsid w:val="000F7574"/>
    <w:rsid w:val="0010131A"/>
    <w:rsid w:val="00104EB7"/>
    <w:rsid w:val="0012298C"/>
    <w:rsid w:val="00122B0B"/>
    <w:rsid w:val="00126E58"/>
    <w:rsid w:val="00135E3A"/>
    <w:rsid w:val="001520E3"/>
    <w:rsid w:val="001523B1"/>
    <w:rsid w:val="001541D0"/>
    <w:rsid w:val="00164035"/>
    <w:rsid w:val="00164F79"/>
    <w:rsid w:val="0017578D"/>
    <w:rsid w:val="00176131"/>
    <w:rsid w:val="00177EF9"/>
    <w:rsid w:val="00184A32"/>
    <w:rsid w:val="001860F2"/>
    <w:rsid w:val="001951F0"/>
    <w:rsid w:val="0019618C"/>
    <w:rsid w:val="001A3310"/>
    <w:rsid w:val="001A331D"/>
    <w:rsid w:val="001B22BE"/>
    <w:rsid w:val="001B53AD"/>
    <w:rsid w:val="001C219C"/>
    <w:rsid w:val="001C3ADD"/>
    <w:rsid w:val="001D1BD3"/>
    <w:rsid w:val="001D2538"/>
    <w:rsid w:val="001D3E90"/>
    <w:rsid w:val="001D4E51"/>
    <w:rsid w:val="001F5B67"/>
    <w:rsid w:val="001F5BD4"/>
    <w:rsid w:val="002028AB"/>
    <w:rsid w:val="0020341C"/>
    <w:rsid w:val="0021516D"/>
    <w:rsid w:val="002212E2"/>
    <w:rsid w:val="002248C2"/>
    <w:rsid w:val="00233F52"/>
    <w:rsid w:val="00237406"/>
    <w:rsid w:val="002534CE"/>
    <w:rsid w:val="00260A73"/>
    <w:rsid w:val="00264918"/>
    <w:rsid w:val="00270FCA"/>
    <w:rsid w:val="00272A45"/>
    <w:rsid w:val="002812CC"/>
    <w:rsid w:val="0028319F"/>
    <w:rsid w:val="0029320B"/>
    <w:rsid w:val="00294E5F"/>
    <w:rsid w:val="002B1D80"/>
    <w:rsid w:val="002B7853"/>
    <w:rsid w:val="002C13CC"/>
    <w:rsid w:val="002C373E"/>
    <w:rsid w:val="002D3BB1"/>
    <w:rsid w:val="002D7A1C"/>
    <w:rsid w:val="002F04E2"/>
    <w:rsid w:val="002F2139"/>
    <w:rsid w:val="002F220C"/>
    <w:rsid w:val="00307DC3"/>
    <w:rsid w:val="00324418"/>
    <w:rsid w:val="00332E58"/>
    <w:rsid w:val="00337B0E"/>
    <w:rsid w:val="00341107"/>
    <w:rsid w:val="0034424A"/>
    <w:rsid w:val="00345891"/>
    <w:rsid w:val="00357DF7"/>
    <w:rsid w:val="00366ED3"/>
    <w:rsid w:val="003704B2"/>
    <w:rsid w:val="003745F7"/>
    <w:rsid w:val="00374601"/>
    <w:rsid w:val="00375973"/>
    <w:rsid w:val="003811C3"/>
    <w:rsid w:val="0038539B"/>
    <w:rsid w:val="0038644C"/>
    <w:rsid w:val="003876CD"/>
    <w:rsid w:val="0039003C"/>
    <w:rsid w:val="00390EF7"/>
    <w:rsid w:val="00394160"/>
    <w:rsid w:val="00397AD9"/>
    <w:rsid w:val="003A4A6C"/>
    <w:rsid w:val="003A4AFD"/>
    <w:rsid w:val="003B0BCB"/>
    <w:rsid w:val="003B3CFD"/>
    <w:rsid w:val="003B7A81"/>
    <w:rsid w:val="003C1423"/>
    <w:rsid w:val="003C4489"/>
    <w:rsid w:val="003D63B7"/>
    <w:rsid w:val="003F15D5"/>
    <w:rsid w:val="003F1BDC"/>
    <w:rsid w:val="003F4BBD"/>
    <w:rsid w:val="003F51BC"/>
    <w:rsid w:val="003F5862"/>
    <w:rsid w:val="00400672"/>
    <w:rsid w:val="00400CC7"/>
    <w:rsid w:val="004052F6"/>
    <w:rsid w:val="00407D53"/>
    <w:rsid w:val="00415C84"/>
    <w:rsid w:val="00422620"/>
    <w:rsid w:val="00426654"/>
    <w:rsid w:val="004266E5"/>
    <w:rsid w:val="00426D97"/>
    <w:rsid w:val="00445E36"/>
    <w:rsid w:val="00451AC6"/>
    <w:rsid w:val="004525A9"/>
    <w:rsid w:val="0045392C"/>
    <w:rsid w:val="00455AB5"/>
    <w:rsid w:val="00456504"/>
    <w:rsid w:val="00457703"/>
    <w:rsid w:val="00462EFB"/>
    <w:rsid w:val="0046550C"/>
    <w:rsid w:val="00465675"/>
    <w:rsid w:val="00471133"/>
    <w:rsid w:val="004715BC"/>
    <w:rsid w:val="004724D8"/>
    <w:rsid w:val="0047776F"/>
    <w:rsid w:val="00477A67"/>
    <w:rsid w:val="004814B1"/>
    <w:rsid w:val="004840DD"/>
    <w:rsid w:val="004935E2"/>
    <w:rsid w:val="004C089A"/>
    <w:rsid w:val="004C2401"/>
    <w:rsid w:val="004C5775"/>
    <w:rsid w:val="004D608B"/>
    <w:rsid w:val="004E61D8"/>
    <w:rsid w:val="004F0651"/>
    <w:rsid w:val="004F6210"/>
    <w:rsid w:val="004F7CCE"/>
    <w:rsid w:val="00505B4D"/>
    <w:rsid w:val="0051324C"/>
    <w:rsid w:val="005220B5"/>
    <w:rsid w:val="005345CE"/>
    <w:rsid w:val="005356BD"/>
    <w:rsid w:val="005359A3"/>
    <w:rsid w:val="00541D1C"/>
    <w:rsid w:val="005441F0"/>
    <w:rsid w:val="00544D79"/>
    <w:rsid w:val="00546D12"/>
    <w:rsid w:val="005558B0"/>
    <w:rsid w:val="005623A9"/>
    <w:rsid w:val="00562F8B"/>
    <w:rsid w:val="005677DE"/>
    <w:rsid w:val="0057049F"/>
    <w:rsid w:val="00572A5D"/>
    <w:rsid w:val="00581863"/>
    <w:rsid w:val="00584D3B"/>
    <w:rsid w:val="0059736C"/>
    <w:rsid w:val="005A3602"/>
    <w:rsid w:val="005B4953"/>
    <w:rsid w:val="005B6531"/>
    <w:rsid w:val="005C1019"/>
    <w:rsid w:val="005D4C9B"/>
    <w:rsid w:val="005E4A03"/>
    <w:rsid w:val="005E61A3"/>
    <w:rsid w:val="005F04E5"/>
    <w:rsid w:val="005F1D83"/>
    <w:rsid w:val="00600BC3"/>
    <w:rsid w:val="00605C87"/>
    <w:rsid w:val="0061117A"/>
    <w:rsid w:val="0061439F"/>
    <w:rsid w:val="006144AB"/>
    <w:rsid w:val="006149FA"/>
    <w:rsid w:val="00622CF8"/>
    <w:rsid w:val="00623A9E"/>
    <w:rsid w:val="00653FDF"/>
    <w:rsid w:val="0065465C"/>
    <w:rsid w:val="00654E76"/>
    <w:rsid w:val="00657CE2"/>
    <w:rsid w:val="00667879"/>
    <w:rsid w:val="00692DF4"/>
    <w:rsid w:val="0069679E"/>
    <w:rsid w:val="006A5F3C"/>
    <w:rsid w:val="006A641F"/>
    <w:rsid w:val="006B0C12"/>
    <w:rsid w:val="006B0F91"/>
    <w:rsid w:val="006B39E1"/>
    <w:rsid w:val="006C4DC8"/>
    <w:rsid w:val="006C6100"/>
    <w:rsid w:val="006C6825"/>
    <w:rsid w:val="006D2224"/>
    <w:rsid w:val="006D4CEC"/>
    <w:rsid w:val="006D62E3"/>
    <w:rsid w:val="006E15C3"/>
    <w:rsid w:val="006E18EA"/>
    <w:rsid w:val="006E4A3C"/>
    <w:rsid w:val="006E7EEC"/>
    <w:rsid w:val="006F444F"/>
    <w:rsid w:val="007015E0"/>
    <w:rsid w:val="007017EB"/>
    <w:rsid w:val="00707CFA"/>
    <w:rsid w:val="00714BAD"/>
    <w:rsid w:val="00723422"/>
    <w:rsid w:val="00725E90"/>
    <w:rsid w:val="007266DF"/>
    <w:rsid w:val="0073470E"/>
    <w:rsid w:val="007428D2"/>
    <w:rsid w:val="00744BFC"/>
    <w:rsid w:val="00754C6F"/>
    <w:rsid w:val="00763F7C"/>
    <w:rsid w:val="0076463A"/>
    <w:rsid w:val="007655F9"/>
    <w:rsid w:val="00771F84"/>
    <w:rsid w:val="00777895"/>
    <w:rsid w:val="00780E8B"/>
    <w:rsid w:val="00782541"/>
    <w:rsid w:val="00792994"/>
    <w:rsid w:val="0079388E"/>
    <w:rsid w:val="007A34FC"/>
    <w:rsid w:val="007A46B5"/>
    <w:rsid w:val="007A48A5"/>
    <w:rsid w:val="007B078D"/>
    <w:rsid w:val="007B0F0D"/>
    <w:rsid w:val="007B1A21"/>
    <w:rsid w:val="007B1D39"/>
    <w:rsid w:val="007B1FAC"/>
    <w:rsid w:val="007B4654"/>
    <w:rsid w:val="007B5934"/>
    <w:rsid w:val="007C0091"/>
    <w:rsid w:val="007C35F6"/>
    <w:rsid w:val="007D0086"/>
    <w:rsid w:val="007D0906"/>
    <w:rsid w:val="007D0A39"/>
    <w:rsid w:val="007D3A94"/>
    <w:rsid w:val="007D7B71"/>
    <w:rsid w:val="007E0169"/>
    <w:rsid w:val="007F0DAD"/>
    <w:rsid w:val="007F22F1"/>
    <w:rsid w:val="007F4F0E"/>
    <w:rsid w:val="007F5D0F"/>
    <w:rsid w:val="008021BE"/>
    <w:rsid w:val="00803C2C"/>
    <w:rsid w:val="00804A49"/>
    <w:rsid w:val="00807797"/>
    <w:rsid w:val="00811DE8"/>
    <w:rsid w:val="008135BA"/>
    <w:rsid w:val="008140EE"/>
    <w:rsid w:val="00820342"/>
    <w:rsid w:val="008212BC"/>
    <w:rsid w:val="00822D46"/>
    <w:rsid w:val="008274CA"/>
    <w:rsid w:val="00836A24"/>
    <w:rsid w:val="00837147"/>
    <w:rsid w:val="00841D36"/>
    <w:rsid w:val="00843E01"/>
    <w:rsid w:val="008524CD"/>
    <w:rsid w:val="00855222"/>
    <w:rsid w:val="00887CA9"/>
    <w:rsid w:val="008902C3"/>
    <w:rsid w:val="00893E0E"/>
    <w:rsid w:val="00897DB2"/>
    <w:rsid w:val="008A2F04"/>
    <w:rsid w:val="008A6912"/>
    <w:rsid w:val="008A7EBC"/>
    <w:rsid w:val="008B3099"/>
    <w:rsid w:val="008B73D0"/>
    <w:rsid w:val="008C03E4"/>
    <w:rsid w:val="008C086E"/>
    <w:rsid w:val="008C2A7A"/>
    <w:rsid w:val="008D7535"/>
    <w:rsid w:val="008F0939"/>
    <w:rsid w:val="008F1418"/>
    <w:rsid w:val="008F7253"/>
    <w:rsid w:val="00902726"/>
    <w:rsid w:val="00904581"/>
    <w:rsid w:val="00914BDA"/>
    <w:rsid w:val="00920628"/>
    <w:rsid w:val="00921D45"/>
    <w:rsid w:val="00923D92"/>
    <w:rsid w:val="00925288"/>
    <w:rsid w:val="009260C8"/>
    <w:rsid w:val="00926B90"/>
    <w:rsid w:val="0093570A"/>
    <w:rsid w:val="00940418"/>
    <w:rsid w:val="00943BE7"/>
    <w:rsid w:val="00943E5D"/>
    <w:rsid w:val="00961D0B"/>
    <w:rsid w:val="00967E0B"/>
    <w:rsid w:val="00971A74"/>
    <w:rsid w:val="00975FD5"/>
    <w:rsid w:val="0097615F"/>
    <w:rsid w:val="00984451"/>
    <w:rsid w:val="00987D7C"/>
    <w:rsid w:val="009928B0"/>
    <w:rsid w:val="00992B33"/>
    <w:rsid w:val="00995F59"/>
    <w:rsid w:val="009A1007"/>
    <w:rsid w:val="009A1290"/>
    <w:rsid w:val="009A23FC"/>
    <w:rsid w:val="009A248E"/>
    <w:rsid w:val="009A3825"/>
    <w:rsid w:val="009A3CF5"/>
    <w:rsid w:val="009B5477"/>
    <w:rsid w:val="009C2032"/>
    <w:rsid w:val="009C40A0"/>
    <w:rsid w:val="009C5CB9"/>
    <w:rsid w:val="009C690C"/>
    <w:rsid w:val="009D317F"/>
    <w:rsid w:val="009D49A2"/>
    <w:rsid w:val="009E3622"/>
    <w:rsid w:val="009E6486"/>
    <w:rsid w:val="009E6F0B"/>
    <w:rsid w:val="009E77D1"/>
    <w:rsid w:val="009F2AAE"/>
    <w:rsid w:val="009F5314"/>
    <w:rsid w:val="00A03522"/>
    <w:rsid w:val="00A03582"/>
    <w:rsid w:val="00A03BB5"/>
    <w:rsid w:val="00A27E0E"/>
    <w:rsid w:val="00A30E78"/>
    <w:rsid w:val="00A316D8"/>
    <w:rsid w:val="00A31945"/>
    <w:rsid w:val="00A324AD"/>
    <w:rsid w:val="00A43741"/>
    <w:rsid w:val="00A670C4"/>
    <w:rsid w:val="00A70D9B"/>
    <w:rsid w:val="00A77BC2"/>
    <w:rsid w:val="00A80D8A"/>
    <w:rsid w:val="00A8773A"/>
    <w:rsid w:val="00A93397"/>
    <w:rsid w:val="00A95B99"/>
    <w:rsid w:val="00AB49BA"/>
    <w:rsid w:val="00AB7830"/>
    <w:rsid w:val="00AB79CD"/>
    <w:rsid w:val="00AD2146"/>
    <w:rsid w:val="00AD3A86"/>
    <w:rsid w:val="00AD66C0"/>
    <w:rsid w:val="00AE3A6D"/>
    <w:rsid w:val="00AE6DFF"/>
    <w:rsid w:val="00AF4771"/>
    <w:rsid w:val="00AF776E"/>
    <w:rsid w:val="00B013FA"/>
    <w:rsid w:val="00B0266D"/>
    <w:rsid w:val="00B0352C"/>
    <w:rsid w:val="00B13A30"/>
    <w:rsid w:val="00B246B9"/>
    <w:rsid w:val="00B30BEC"/>
    <w:rsid w:val="00B313E1"/>
    <w:rsid w:val="00B32AC6"/>
    <w:rsid w:val="00B34DC8"/>
    <w:rsid w:val="00B36531"/>
    <w:rsid w:val="00B369F8"/>
    <w:rsid w:val="00B36AEE"/>
    <w:rsid w:val="00B3788C"/>
    <w:rsid w:val="00B41BB4"/>
    <w:rsid w:val="00B42109"/>
    <w:rsid w:val="00B4754F"/>
    <w:rsid w:val="00B548BF"/>
    <w:rsid w:val="00B6152D"/>
    <w:rsid w:val="00B72F66"/>
    <w:rsid w:val="00B75C75"/>
    <w:rsid w:val="00B86F5F"/>
    <w:rsid w:val="00B90073"/>
    <w:rsid w:val="00B9071C"/>
    <w:rsid w:val="00B91141"/>
    <w:rsid w:val="00BA33FB"/>
    <w:rsid w:val="00BA7AB3"/>
    <w:rsid w:val="00BB0C2F"/>
    <w:rsid w:val="00BB1AF7"/>
    <w:rsid w:val="00BB46DE"/>
    <w:rsid w:val="00BB4F00"/>
    <w:rsid w:val="00BC6A96"/>
    <w:rsid w:val="00BC776F"/>
    <w:rsid w:val="00BD24B9"/>
    <w:rsid w:val="00BD3467"/>
    <w:rsid w:val="00BD4F36"/>
    <w:rsid w:val="00BE066D"/>
    <w:rsid w:val="00BF4733"/>
    <w:rsid w:val="00BF5082"/>
    <w:rsid w:val="00C0246B"/>
    <w:rsid w:val="00C04BB8"/>
    <w:rsid w:val="00C063CC"/>
    <w:rsid w:val="00C1491C"/>
    <w:rsid w:val="00C172B2"/>
    <w:rsid w:val="00C26997"/>
    <w:rsid w:val="00C43D49"/>
    <w:rsid w:val="00C46338"/>
    <w:rsid w:val="00C57AB9"/>
    <w:rsid w:val="00C631F8"/>
    <w:rsid w:val="00C63B99"/>
    <w:rsid w:val="00C738D2"/>
    <w:rsid w:val="00C842FC"/>
    <w:rsid w:val="00C85DCA"/>
    <w:rsid w:val="00C85E1E"/>
    <w:rsid w:val="00C86359"/>
    <w:rsid w:val="00C86588"/>
    <w:rsid w:val="00CA1516"/>
    <w:rsid w:val="00CA4FB0"/>
    <w:rsid w:val="00CC7AA0"/>
    <w:rsid w:val="00CD746C"/>
    <w:rsid w:val="00CE1273"/>
    <w:rsid w:val="00CE6247"/>
    <w:rsid w:val="00CF6CBB"/>
    <w:rsid w:val="00D0625A"/>
    <w:rsid w:val="00D07B23"/>
    <w:rsid w:val="00D217D8"/>
    <w:rsid w:val="00D26825"/>
    <w:rsid w:val="00D3305D"/>
    <w:rsid w:val="00D34431"/>
    <w:rsid w:val="00D34C60"/>
    <w:rsid w:val="00D36A06"/>
    <w:rsid w:val="00D37F9B"/>
    <w:rsid w:val="00D45A24"/>
    <w:rsid w:val="00D51A25"/>
    <w:rsid w:val="00D52F49"/>
    <w:rsid w:val="00D54D98"/>
    <w:rsid w:val="00D626E8"/>
    <w:rsid w:val="00D717B1"/>
    <w:rsid w:val="00D75E7A"/>
    <w:rsid w:val="00D7628E"/>
    <w:rsid w:val="00DA046D"/>
    <w:rsid w:val="00DB0309"/>
    <w:rsid w:val="00DB0492"/>
    <w:rsid w:val="00DB1E84"/>
    <w:rsid w:val="00DB5DF1"/>
    <w:rsid w:val="00DC1821"/>
    <w:rsid w:val="00DC18EF"/>
    <w:rsid w:val="00DD3A0D"/>
    <w:rsid w:val="00DF48A6"/>
    <w:rsid w:val="00E013C9"/>
    <w:rsid w:val="00E063C7"/>
    <w:rsid w:val="00E0662F"/>
    <w:rsid w:val="00E13008"/>
    <w:rsid w:val="00E151B7"/>
    <w:rsid w:val="00E26ACE"/>
    <w:rsid w:val="00E408E6"/>
    <w:rsid w:val="00E44E75"/>
    <w:rsid w:val="00E45258"/>
    <w:rsid w:val="00E52DF2"/>
    <w:rsid w:val="00E55D24"/>
    <w:rsid w:val="00E6131E"/>
    <w:rsid w:val="00E70E30"/>
    <w:rsid w:val="00E77F0B"/>
    <w:rsid w:val="00E802D0"/>
    <w:rsid w:val="00E828BD"/>
    <w:rsid w:val="00E860AA"/>
    <w:rsid w:val="00E86F4D"/>
    <w:rsid w:val="00E94CEB"/>
    <w:rsid w:val="00E97848"/>
    <w:rsid w:val="00EA3E3F"/>
    <w:rsid w:val="00EA4B35"/>
    <w:rsid w:val="00EA5CA9"/>
    <w:rsid w:val="00EC10C7"/>
    <w:rsid w:val="00EC1A52"/>
    <w:rsid w:val="00ED1179"/>
    <w:rsid w:val="00ED3082"/>
    <w:rsid w:val="00EE73F2"/>
    <w:rsid w:val="00EF0988"/>
    <w:rsid w:val="00F04615"/>
    <w:rsid w:val="00F124B2"/>
    <w:rsid w:val="00F15081"/>
    <w:rsid w:val="00F15E3F"/>
    <w:rsid w:val="00F23CF1"/>
    <w:rsid w:val="00F31B89"/>
    <w:rsid w:val="00F331F0"/>
    <w:rsid w:val="00F34B03"/>
    <w:rsid w:val="00F359B8"/>
    <w:rsid w:val="00F36EA8"/>
    <w:rsid w:val="00F435D3"/>
    <w:rsid w:val="00F462D6"/>
    <w:rsid w:val="00F47012"/>
    <w:rsid w:val="00F519D6"/>
    <w:rsid w:val="00F63D74"/>
    <w:rsid w:val="00F64CEF"/>
    <w:rsid w:val="00F70F43"/>
    <w:rsid w:val="00F75ABC"/>
    <w:rsid w:val="00F81A81"/>
    <w:rsid w:val="00F84E54"/>
    <w:rsid w:val="00F8560D"/>
    <w:rsid w:val="00F92C17"/>
    <w:rsid w:val="00F92E6E"/>
    <w:rsid w:val="00F94D24"/>
    <w:rsid w:val="00FA134E"/>
    <w:rsid w:val="00FA181E"/>
    <w:rsid w:val="00FB120D"/>
    <w:rsid w:val="00FB2BB7"/>
    <w:rsid w:val="00FB77BE"/>
    <w:rsid w:val="00FD0C56"/>
    <w:rsid w:val="00FE224F"/>
    <w:rsid w:val="00FE2F3C"/>
    <w:rsid w:val="00FE7B61"/>
    <w:rsid w:val="00FE7BAA"/>
    <w:rsid w:val="00FF7733"/>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B63C"/>
  <w15:chartTrackingRefBased/>
  <w15:docId w15:val="{1C59E738-D981-4A78-AF33-CDA0ECD1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67"/>
    <w:rPr>
      <w:rFonts w:ascii="Lucida Sans" w:hAnsi="Lucida Sans"/>
    </w:rPr>
  </w:style>
  <w:style w:type="paragraph" w:styleId="Heading1">
    <w:name w:val="heading 1"/>
    <w:basedOn w:val="Normal"/>
    <w:link w:val="Heading1Char"/>
    <w:uiPriority w:val="9"/>
    <w:qFormat/>
    <w:rsid w:val="00FF77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9928B0"/>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9928B0"/>
    <w:rPr>
      <w:rFonts w:ascii="Lucida Sans" w:hAnsi="Lucida Sans" w:cs="Calibri"/>
      <w:noProof/>
      <w:lang w:val="en-US"/>
    </w:rPr>
  </w:style>
  <w:style w:type="paragraph" w:customStyle="1" w:styleId="EndNoteBibliographyTitle">
    <w:name w:val="EndNote Bibliography Title"/>
    <w:basedOn w:val="Normal"/>
    <w:link w:val="EndNoteBibliographyTitleChar"/>
    <w:rsid w:val="00584D3B"/>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584D3B"/>
    <w:rPr>
      <w:rFonts w:ascii="Lucida Sans" w:hAnsi="Lucida Sans" w:cs="Calibri"/>
      <w:noProof/>
      <w:lang w:val="en-US"/>
    </w:rPr>
  </w:style>
  <w:style w:type="character" w:styleId="Hyperlink">
    <w:name w:val="Hyperlink"/>
    <w:basedOn w:val="DefaultParagraphFont"/>
    <w:uiPriority w:val="99"/>
    <w:unhideWhenUsed/>
    <w:rsid w:val="00584D3B"/>
    <w:rPr>
      <w:color w:val="0563C1" w:themeColor="hyperlink"/>
      <w:u w:val="single"/>
    </w:rPr>
  </w:style>
  <w:style w:type="paragraph" w:styleId="NormalWeb">
    <w:name w:val="Normal (Web)"/>
    <w:basedOn w:val="Normal"/>
    <w:uiPriority w:val="99"/>
    <w:unhideWhenUsed/>
    <w:rsid w:val="00BD346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94D24"/>
  </w:style>
  <w:style w:type="character" w:styleId="PlaceholderText">
    <w:name w:val="Placeholder Text"/>
    <w:basedOn w:val="DefaultParagraphFont"/>
    <w:uiPriority w:val="99"/>
    <w:semiHidden/>
    <w:rsid w:val="00F94D24"/>
    <w:rPr>
      <w:color w:val="808080"/>
    </w:rPr>
  </w:style>
  <w:style w:type="character" w:styleId="CommentReference">
    <w:name w:val="annotation reference"/>
    <w:basedOn w:val="DefaultParagraphFont"/>
    <w:uiPriority w:val="99"/>
    <w:semiHidden/>
    <w:unhideWhenUsed/>
    <w:rsid w:val="00C46338"/>
    <w:rPr>
      <w:sz w:val="16"/>
      <w:szCs w:val="16"/>
    </w:rPr>
  </w:style>
  <w:style w:type="paragraph" w:styleId="CommentText">
    <w:name w:val="annotation text"/>
    <w:basedOn w:val="Normal"/>
    <w:link w:val="CommentTextChar"/>
    <w:uiPriority w:val="99"/>
    <w:unhideWhenUsed/>
    <w:rsid w:val="00C46338"/>
    <w:pPr>
      <w:spacing w:line="240" w:lineRule="auto"/>
    </w:pPr>
    <w:rPr>
      <w:sz w:val="20"/>
      <w:szCs w:val="20"/>
    </w:rPr>
  </w:style>
  <w:style w:type="character" w:customStyle="1" w:styleId="CommentTextChar">
    <w:name w:val="Comment Text Char"/>
    <w:basedOn w:val="DefaultParagraphFont"/>
    <w:link w:val="CommentText"/>
    <w:uiPriority w:val="99"/>
    <w:rsid w:val="00C46338"/>
    <w:rPr>
      <w:rFonts w:ascii="Lucida Sans" w:hAnsi="Lucida Sans"/>
      <w:sz w:val="20"/>
      <w:szCs w:val="20"/>
    </w:rPr>
  </w:style>
  <w:style w:type="paragraph" w:styleId="CommentSubject">
    <w:name w:val="annotation subject"/>
    <w:basedOn w:val="CommentText"/>
    <w:next w:val="CommentText"/>
    <w:link w:val="CommentSubjectChar"/>
    <w:uiPriority w:val="99"/>
    <w:semiHidden/>
    <w:unhideWhenUsed/>
    <w:rsid w:val="00C46338"/>
    <w:rPr>
      <w:b/>
      <w:bCs/>
    </w:rPr>
  </w:style>
  <w:style w:type="character" w:customStyle="1" w:styleId="CommentSubjectChar">
    <w:name w:val="Comment Subject Char"/>
    <w:basedOn w:val="CommentTextChar"/>
    <w:link w:val="CommentSubject"/>
    <w:uiPriority w:val="99"/>
    <w:semiHidden/>
    <w:rsid w:val="00C46338"/>
    <w:rPr>
      <w:rFonts w:ascii="Lucida Sans" w:hAnsi="Lucida Sans"/>
      <w:b/>
      <w:bCs/>
      <w:sz w:val="20"/>
      <w:szCs w:val="20"/>
    </w:rPr>
  </w:style>
  <w:style w:type="paragraph" w:styleId="BalloonText">
    <w:name w:val="Balloon Text"/>
    <w:basedOn w:val="Normal"/>
    <w:link w:val="BalloonTextChar"/>
    <w:uiPriority w:val="99"/>
    <w:semiHidden/>
    <w:unhideWhenUsed/>
    <w:rsid w:val="00C4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338"/>
    <w:rPr>
      <w:rFonts w:ascii="Segoe UI" w:hAnsi="Segoe UI" w:cs="Segoe UI"/>
      <w:sz w:val="18"/>
      <w:szCs w:val="18"/>
    </w:rPr>
  </w:style>
  <w:style w:type="character" w:styleId="Emphasis">
    <w:name w:val="Emphasis"/>
    <w:basedOn w:val="DefaultParagraphFont"/>
    <w:uiPriority w:val="20"/>
    <w:qFormat/>
    <w:rsid w:val="008C086E"/>
    <w:rPr>
      <w:i/>
      <w:iCs/>
    </w:rPr>
  </w:style>
  <w:style w:type="character" w:customStyle="1" w:styleId="Heading1Char">
    <w:name w:val="Heading 1 Char"/>
    <w:basedOn w:val="DefaultParagraphFont"/>
    <w:link w:val="Heading1"/>
    <w:uiPriority w:val="9"/>
    <w:rsid w:val="00FF7733"/>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FF7733"/>
  </w:style>
  <w:style w:type="character" w:customStyle="1" w:styleId="Subtitle1">
    <w:name w:val="Subtitle1"/>
    <w:basedOn w:val="DefaultParagraphFont"/>
    <w:rsid w:val="009C5CB9"/>
  </w:style>
  <w:style w:type="table" w:styleId="TableGrid">
    <w:name w:val="Table Grid"/>
    <w:basedOn w:val="TableNormal"/>
    <w:uiPriority w:val="39"/>
    <w:rsid w:val="003F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77D1"/>
    <w:pPr>
      <w:spacing w:after="0" w:line="240" w:lineRule="auto"/>
    </w:pPr>
    <w:rPr>
      <w:rFonts w:ascii="Lucida Sans" w:hAnsi="Lucida Sans"/>
    </w:rPr>
  </w:style>
  <w:style w:type="paragraph" w:styleId="Bibliography">
    <w:name w:val="Bibliography"/>
    <w:basedOn w:val="Normal"/>
    <w:next w:val="Normal"/>
    <w:uiPriority w:val="37"/>
    <w:unhideWhenUsed/>
    <w:rsid w:val="00E860AA"/>
    <w:pPr>
      <w:tabs>
        <w:tab w:val="left" w:pos="504"/>
      </w:tabs>
      <w:spacing w:after="240" w:line="240" w:lineRule="auto"/>
      <w:ind w:left="504" w:hanging="504"/>
    </w:pPr>
  </w:style>
  <w:style w:type="character" w:styleId="LineNumber">
    <w:name w:val="line number"/>
    <w:basedOn w:val="DefaultParagraphFont"/>
    <w:uiPriority w:val="99"/>
    <w:semiHidden/>
    <w:unhideWhenUsed/>
    <w:rsid w:val="00BA33FB"/>
  </w:style>
  <w:style w:type="paragraph" w:styleId="Header">
    <w:name w:val="header"/>
    <w:basedOn w:val="Normal"/>
    <w:link w:val="HeaderChar"/>
    <w:uiPriority w:val="99"/>
    <w:unhideWhenUsed/>
    <w:rsid w:val="00BA3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3FB"/>
    <w:rPr>
      <w:rFonts w:ascii="Lucida Sans" w:hAnsi="Lucida Sans"/>
    </w:rPr>
  </w:style>
  <w:style w:type="paragraph" w:styleId="Footer">
    <w:name w:val="footer"/>
    <w:basedOn w:val="Normal"/>
    <w:link w:val="FooterChar"/>
    <w:uiPriority w:val="99"/>
    <w:unhideWhenUsed/>
    <w:rsid w:val="00BA3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3FB"/>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62372">
      <w:bodyDiv w:val="1"/>
      <w:marLeft w:val="0"/>
      <w:marRight w:val="0"/>
      <w:marTop w:val="0"/>
      <w:marBottom w:val="0"/>
      <w:divBdr>
        <w:top w:val="none" w:sz="0" w:space="0" w:color="auto"/>
        <w:left w:val="none" w:sz="0" w:space="0" w:color="auto"/>
        <w:bottom w:val="none" w:sz="0" w:space="0" w:color="auto"/>
        <w:right w:val="none" w:sz="0" w:space="0" w:color="auto"/>
      </w:divBdr>
    </w:div>
    <w:div w:id="975721357">
      <w:bodyDiv w:val="1"/>
      <w:marLeft w:val="0"/>
      <w:marRight w:val="0"/>
      <w:marTop w:val="0"/>
      <w:marBottom w:val="0"/>
      <w:divBdr>
        <w:top w:val="none" w:sz="0" w:space="0" w:color="auto"/>
        <w:left w:val="none" w:sz="0" w:space="0" w:color="auto"/>
        <w:bottom w:val="none" w:sz="0" w:space="0" w:color="auto"/>
        <w:right w:val="none" w:sz="0" w:space="0" w:color="auto"/>
      </w:divBdr>
    </w:div>
    <w:div w:id="999818285">
      <w:bodyDiv w:val="1"/>
      <w:marLeft w:val="0"/>
      <w:marRight w:val="0"/>
      <w:marTop w:val="0"/>
      <w:marBottom w:val="0"/>
      <w:divBdr>
        <w:top w:val="none" w:sz="0" w:space="0" w:color="auto"/>
        <w:left w:val="none" w:sz="0" w:space="0" w:color="auto"/>
        <w:bottom w:val="none" w:sz="0" w:space="0" w:color="auto"/>
        <w:right w:val="none" w:sz="0" w:space="0" w:color="auto"/>
      </w:divBdr>
    </w:div>
    <w:div w:id="105797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AD5EA08D88F4097EB1089078D680E" ma:contentTypeVersion="8" ma:contentTypeDescription="Create a new document." ma:contentTypeScope="" ma:versionID="e0c9335d7eef997b5ecbd7f55459e3a6">
  <xsd:schema xmlns:xsd="http://www.w3.org/2001/XMLSchema" xmlns:xs="http://www.w3.org/2001/XMLSchema" xmlns:p="http://schemas.microsoft.com/office/2006/metadata/properties" xmlns:ns2="a157ac3f-25af-4b49-b0b1-31168d77f48a" targetNamespace="http://schemas.microsoft.com/office/2006/metadata/properties" ma:root="true" ma:fieldsID="170e54da2655de11d3c1ac173e6bca0e" ns2:_="">
    <xsd:import namespace="a157ac3f-25af-4b49-b0b1-31168d77f4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7ac3f-25af-4b49-b0b1-31168d77f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E8AE2-831C-41A1-A314-F655F4B69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7ac3f-25af-4b49-b0b1-31168d77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DD9E7-70B2-45E7-BC95-A78F13A20E3E}">
  <ds:schemaRefs>
    <ds:schemaRef ds:uri="http://schemas.openxmlformats.org/officeDocument/2006/bibliography"/>
  </ds:schemaRefs>
</ds:datastoreItem>
</file>

<file path=customXml/itemProps3.xml><?xml version="1.0" encoding="utf-8"?>
<ds:datastoreItem xmlns:ds="http://schemas.openxmlformats.org/officeDocument/2006/customXml" ds:itemID="{C4613EF8-475C-4683-BBC0-9BB3639C9D46}">
  <ds:schemaRefs>
    <ds:schemaRef ds:uri="http://schemas.microsoft.com/sharepoint/v3/contenttype/forms"/>
  </ds:schemaRefs>
</ds:datastoreItem>
</file>

<file path=customXml/itemProps4.xml><?xml version="1.0" encoding="utf-8"?>
<ds:datastoreItem xmlns:ds="http://schemas.openxmlformats.org/officeDocument/2006/customXml" ds:itemID="{F7278EA6-4D10-44EE-B4DB-DCD39BEB4F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26</Pages>
  <Words>21623</Words>
  <Characters>123254</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Ziauddeen N.</dc:creator>
  <cp:keywords/>
  <dc:description/>
  <cp:lastModifiedBy>Nida Ziauddeen</cp:lastModifiedBy>
  <cp:revision>13</cp:revision>
  <dcterms:created xsi:type="dcterms:W3CDTF">2021-09-19T07:10:00Z</dcterms:created>
  <dcterms:modified xsi:type="dcterms:W3CDTF">2021-09-28T14:45:00Z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id="2DOQtC0r"/&gt;&lt;style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y fmtid="{D5CDD505-2E9C-101B-9397-08002B2CF9AE}" pid="4" name="ContentTypeId">
    <vt:lpwstr>0x010100A9CAD5EA08D88F4097EB1089078D680E</vt:lpwstr>
  </property>
</Properties>
</file>