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6FD8E" w14:textId="0FA8106A" w:rsidR="001448A9" w:rsidRPr="00894305" w:rsidRDefault="00827252" w:rsidP="000976DE">
      <w:pPr>
        <w:pStyle w:val="Title"/>
        <w:pBdr>
          <w:bottom w:val="single" w:sz="4" w:space="1" w:color="auto"/>
        </w:pBdr>
        <w:jc w:val="center"/>
        <w:rPr>
          <w:b/>
          <w:bCs/>
          <w:sz w:val="24"/>
          <w:szCs w:val="24"/>
        </w:rPr>
      </w:pPr>
      <w:r w:rsidRPr="00894305">
        <w:rPr>
          <w:b/>
          <w:bCs/>
          <w:sz w:val="24"/>
          <w:szCs w:val="24"/>
        </w:rPr>
        <w:t xml:space="preserve">Family Refusal of eye tissue donation from </w:t>
      </w:r>
      <w:r w:rsidR="00F55183">
        <w:rPr>
          <w:b/>
          <w:bCs/>
          <w:sz w:val="24"/>
          <w:szCs w:val="24"/>
        </w:rPr>
        <w:t xml:space="preserve">potential </w:t>
      </w:r>
      <w:r w:rsidRPr="00894305">
        <w:rPr>
          <w:b/>
          <w:bCs/>
          <w:sz w:val="24"/>
          <w:szCs w:val="24"/>
        </w:rPr>
        <w:t>solid organ donors</w:t>
      </w:r>
      <w:r w:rsidR="00CA0497" w:rsidRPr="00894305">
        <w:rPr>
          <w:b/>
          <w:bCs/>
          <w:sz w:val="24"/>
          <w:szCs w:val="24"/>
        </w:rPr>
        <w:t xml:space="preserve"> – a retrospective analysis of</w:t>
      </w:r>
      <w:r w:rsidR="007A00D1" w:rsidRPr="00894305">
        <w:rPr>
          <w:b/>
          <w:bCs/>
          <w:sz w:val="24"/>
          <w:szCs w:val="24"/>
        </w:rPr>
        <w:t xml:space="preserve"> summary and</w:t>
      </w:r>
      <w:r w:rsidR="00CA0497" w:rsidRPr="00894305">
        <w:rPr>
          <w:b/>
          <w:bCs/>
          <w:sz w:val="24"/>
          <w:szCs w:val="24"/>
        </w:rPr>
        <w:t xml:space="preserve"> free-text data from the UK National Health Service </w:t>
      </w:r>
      <w:r w:rsidR="000A2C2C" w:rsidRPr="00894305">
        <w:rPr>
          <w:b/>
          <w:bCs/>
          <w:sz w:val="24"/>
          <w:szCs w:val="24"/>
        </w:rPr>
        <w:t>Blood and T</w:t>
      </w:r>
      <w:r w:rsidR="00647085" w:rsidRPr="00894305">
        <w:rPr>
          <w:b/>
          <w:bCs/>
          <w:sz w:val="24"/>
          <w:szCs w:val="24"/>
        </w:rPr>
        <w:t xml:space="preserve">ransplant </w:t>
      </w:r>
      <w:r w:rsidR="000A2C2C" w:rsidRPr="00894305">
        <w:rPr>
          <w:b/>
          <w:bCs/>
          <w:sz w:val="24"/>
          <w:szCs w:val="24"/>
        </w:rPr>
        <w:t xml:space="preserve">Services </w:t>
      </w:r>
      <w:r w:rsidR="00CA0497" w:rsidRPr="00894305">
        <w:rPr>
          <w:b/>
          <w:bCs/>
          <w:sz w:val="24"/>
          <w:szCs w:val="24"/>
        </w:rPr>
        <w:t>(NHS</w:t>
      </w:r>
      <w:r w:rsidR="000A2C2C" w:rsidRPr="00894305">
        <w:rPr>
          <w:b/>
          <w:bCs/>
          <w:sz w:val="24"/>
          <w:szCs w:val="24"/>
        </w:rPr>
        <w:t>-BT</w:t>
      </w:r>
      <w:r w:rsidR="00CA0497" w:rsidRPr="00894305">
        <w:rPr>
          <w:b/>
          <w:bCs/>
          <w:sz w:val="24"/>
          <w:szCs w:val="24"/>
        </w:rPr>
        <w:t>) National R</w:t>
      </w:r>
      <w:r w:rsidR="00647085" w:rsidRPr="00894305">
        <w:rPr>
          <w:b/>
          <w:bCs/>
          <w:sz w:val="24"/>
          <w:szCs w:val="24"/>
        </w:rPr>
        <w:t xml:space="preserve">eferral </w:t>
      </w:r>
      <w:r w:rsidR="00CA0497" w:rsidRPr="00894305">
        <w:rPr>
          <w:b/>
          <w:bCs/>
          <w:sz w:val="24"/>
          <w:szCs w:val="24"/>
        </w:rPr>
        <w:t>Centre (</w:t>
      </w:r>
      <w:r w:rsidR="000D51FC" w:rsidRPr="00894305">
        <w:rPr>
          <w:b/>
          <w:bCs/>
          <w:sz w:val="24"/>
          <w:szCs w:val="24"/>
        </w:rPr>
        <w:t>1</w:t>
      </w:r>
      <w:r w:rsidR="000D51FC" w:rsidRPr="00894305">
        <w:rPr>
          <w:b/>
          <w:bCs/>
          <w:sz w:val="24"/>
          <w:szCs w:val="24"/>
          <w:vertAlign w:val="superscript"/>
        </w:rPr>
        <w:t>st</w:t>
      </w:r>
      <w:r w:rsidR="000D51FC" w:rsidRPr="00894305">
        <w:rPr>
          <w:b/>
          <w:bCs/>
          <w:sz w:val="24"/>
          <w:szCs w:val="24"/>
        </w:rPr>
        <w:t xml:space="preserve"> </w:t>
      </w:r>
      <w:r w:rsidR="00CA0497" w:rsidRPr="00894305">
        <w:rPr>
          <w:b/>
          <w:bCs/>
          <w:sz w:val="24"/>
          <w:szCs w:val="24"/>
        </w:rPr>
        <w:t>April</w:t>
      </w:r>
      <w:r w:rsidR="000D51FC" w:rsidRPr="00894305">
        <w:rPr>
          <w:b/>
          <w:bCs/>
          <w:sz w:val="24"/>
          <w:szCs w:val="24"/>
        </w:rPr>
        <w:t xml:space="preserve"> 2014 – 31</w:t>
      </w:r>
      <w:r w:rsidR="000D51FC" w:rsidRPr="00894305">
        <w:rPr>
          <w:b/>
          <w:bCs/>
          <w:sz w:val="24"/>
          <w:szCs w:val="24"/>
          <w:vertAlign w:val="superscript"/>
        </w:rPr>
        <w:t>st</w:t>
      </w:r>
      <w:r w:rsidR="000D51FC" w:rsidRPr="00894305">
        <w:rPr>
          <w:b/>
          <w:bCs/>
          <w:sz w:val="24"/>
          <w:szCs w:val="24"/>
        </w:rPr>
        <w:t xml:space="preserve"> March 2017</w:t>
      </w:r>
      <w:r w:rsidR="00CA0497" w:rsidRPr="00894305">
        <w:rPr>
          <w:b/>
          <w:bCs/>
          <w:sz w:val="24"/>
          <w:szCs w:val="24"/>
        </w:rPr>
        <w:t>)</w:t>
      </w:r>
      <w:r w:rsidR="001448A9" w:rsidRPr="00894305">
        <w:rPr>
          <w:b/>
          <w:bCs/>
          <w:sz w:val="24"/>
          <w:szCs w:val="24"/>
        </w:rPr>
        <w:t>.</w:t>
      </w:r>
    </w:p>
    <w:p w14:paraId="1219C7CC" w14:textId="77777777" w:rsidR="00FA7F1E" w:rsidRPr="00894305" w:rsidRDefault="00FA7F1E" w:rsidP="001448A9">
      <w:pPr>
        <w:rPr>
          <w:sz w:val="24"/>
          <w:szCs w:val="24"/>
        </w:rPr>
      </w:pPr>
    </w:p>
    <w:p w14:paraId="7E59E09D" w14:textId="07F9B823" w:rsidR="001448A9" w:rsidRDefault="001448A9" w:rsidP="001448A9">
      <w:pPr>
        <w:rPr>
          <w:vertAlign w:val="superscript"/>
        </w:rPr>
      </w:pPr>
      <w:r>
        <w:t>Mike Bracher (MB) (</w:t>
      </w:r>
      <w:hyperlink r:id="rId8" w:history="1">
        <w:r w:rsidRPr="004E2CE8">
          <w:rPr>
            <w:rStyle w:val="Hyperlink"/>
          </w:rPr>
          <w:t>m.j.bracher@soton.ac.uk)</w:t>
        </w:r>
        <w:r w:rsidRPr="004E2CE8">
          <w:rPr>
            <w:rStyle w:val="Hyperlink"/>
            <w:vertAlign w:val="superscript"/>
          </w:rPr>
          <w:t>1</w:t>
        </w:r>
      </w:hyperlink>
      <w:r w:rsidRPr="001448A9">
        <w:rPr>
          <w:vertAlign w:val="superscript"/>
        </w:rPr>
        <w:t>§</w:t>
      </w:r>
    </w:p>
    <w:p w14:paraId="590AD16F" w14:textId="762FAF6F" w:rsidR="001448A9" w:rsidRDefault="001448A9" w:rsidP="001448A9">
      <w:pPr>
        <w:rPr>
          <w:vertAlign w:val="superscript"/>
        </w:rPr>
      </w:pPr>
      <w:r>
        <w:t>Banyana C. Madi-Segwa</w:t>
      </w:r>
      <w:r w:rsidR="000E7D49">
        <w:t>g</w:t>
      </w:r>
      <w:r>
        <w:t>we (BMS) (</w:t>
      </w:r>
      <w:hyperlink r:id="rId9" w:history="1">
        <w:r w:rsidR="000E7D49" w:rsidRPr="0077075B">
          <w:rPr>
            <w:rStyle w:val="Hyperlink"/>
          </w:rPr>
          <w:t>b.c.madi-segwagwe@soton.ac.uk</w:t>
        </w:r>
      </w:hyperlink>
      <w:r>
        <w:t>)</w:t>
      </w:r>
      <w:r>
        <w:rPr>
          <w:vertAlign w:val="superscript"/>
        </w:rPr>
        <w:t>1</w:t>
      </w:r>
      <w:r w:rsidRPr="00986A8F">
        <w:rPr>
          <w:vertAlign w:val="superscript"/>
        </w:rPr>
        <w:t xml:space="preserve"> </w:t>
      </w:r>
    </w:p>
    <w:p w14:paraId="1E6A3754" w14:textId="490599D3" w:rsidR="00C760A2" w:rsidRPr="002516E7" w:rsidRDefault="00C760A2" w:rsidP="001448A9">
      <w:r w:rsidRPr="002516E7">
        <w:t xml:space="preserve">Emma Winstanley </w:t>
      </w:r>
      <w:r w:rsidR="00095DB6">
        <w:t>(EW)</w:t>
      </w:r>
      <w:r w:rsidR="005E0B34">
        <w:t xml:space="preserve"> (</w:t>
      </w:r>
      <w:hyperlink r:id="rId10" w:history="1">
        <w:r w:rsidR="005E0B34" w:rsidRPr="00834597">
          <w:rPr>
            <w:rStyle w:val="Hyperlink"/>
          </w:rPr>
          <w:t>emma.winstanley@nhsbt.nhs.uk</w:t>
        </w:r>
      </w:hyperlink>
      <w:r w:rsidR="005E0B34">
        <w:t>)</w:t>
      </w:r>
      <w:r w:rsidR="005E0B34" w:rsidRPr="005E0B34">
        <w:rPr>
          <w:vertAlign w:val="superscript"/>
        </w:rPr>
        <w:t xml:space="preserve"> </w:t>
      </w:r>
      <w:r w:rsidR="005E0B34" w:rsidRPr="00E861A1">
        <w:rPr>
          <w:vertAlign w:val="superscript"/>
        </w:rPr>
        <w:t>2</w:t>
      </w:r>
      <w:r w:rsidR="005E0B34">
        <w:t xml:space="preserve"> </w:t>
      </w:r>
    </w:p>
    <w:p w14:paraId="0C13AF09" w14:textId="2855F728" w:rsidR="00C760A2" w:rsidRPr="00095DB6" w:rsidRDefault="00C760A2" w:rsidP="001448A9">
      <w:r w:rsidRPr="002516E7">
        <w:t>Helen Gillan</w:t>
      </w:r>
      <w:r w:rsidR="00095DB6">
        <w:rPr>
          <w:vertAlign w:val="superscript"/>
        </w:rPr>
        <w:t xml:space="preserve"> </w:t>
      </w:r>
      <w:r w:rsidR="00095DB6">
        <w:t>(HG)</w:t>
      </w:r>
      <w:r w:rsidR="005E0B34">
        <w:t xml:space="preserve"> (</w:t>
      </w:r>
      <w:hyperlink r:id="rId11" w:history="1">
        <w:r w:rsidR="005E0B34" w:rsidRPr="00834597">
          <w:rPr>
            <w:rStyle w:val="Hyperlink"/>
          </w:rPr>
          <w:t>helen.gillan@nhsbt.nhs.uk</w:t>
        </w:r>
      </w:hyperlink>
      <w:r w:rsidR="005E0B34">
        <w:t>)</w:t>
      </w:r>
      <w:r w:rsidR="005E0B34" w:rsidRPr="005E0B34">
        <w:rPr>
          <w:vertAlign w:val="superscript"/>
        </w:rPr>
        <w:t xml:space="preserve"> </w:t>
      </w:r>
      <w:r w:rsidR="005E0B34" w:rsidRPr="00E861A1">
        <w:rPr>
          <w:vertAlign w:val="superscript"/>
        </w:rPr>
        <w:t>2</w:t>
      </w:r>
    </w:p>
    <w:p w14:paraId="0F117202" w14:textId="77777777" w:rsidR="001448A9" w:rsidRDefault="001448A9" w:rsidP="001448A9">
      <w:r>
        <w:t>Tracy Long-Sutehall (TLS) (</w:t>
      </w:r>
      <w:hyperlink r:id="rId12" w:history="1">
        <w:r w:rsidRPr="004E2CE8">
          <w:rPr>
            <w:rStyle w:val="Hyperlink"/>
          </w:rPr>
          <w:t>t.long@soton.ac.uk</w:t>
        </w:r>
      </w:hyperlink>
      <w:r>
        <w:t>)</w:t>
      </w:r>
      <w:r w:rsidRPr="001448A9">
        <w:rPr>
          <w:vertAlign w:val="superscript"/>
        </w:rPr>
        <w:t>1</w:t>
      </w:r>
    </w:p>
    <w:p w14:paraId="2B4F72AC" w14:textId="5E756A46" w:rsidR="001448A9" w:rsidRDefault="001448A9" w:rsidP="001448A9">
      <w:pPr>
        <w:pStyle w:val="ListParagraph"/>
        <w:numPr>
          <w:ilvl w:val="0"/>
          <w:numId w:val="1"/>
        </w:numPr>
      </w:pPr>
      <w:r>
        <w:t>School of Health Sciences, University of Southampton</w:t>
      </w:r>
      <w:r w:rsidR="0007086E">
        <w:t>, UK</w:t>
      </w:r>
    </w:p>
    <w:p w14:paraId="68063047" w14:textId="4015E7A5" w:rsidR="00E861A1" w:rsidRPr="00894305" w:rsidRDefault="00894305" w:rsidP="001448A9">
      <w:pPr>
        <w:pStyle w:val="ListParagraph"/>
        <w:numPr>
          <w:ilvl w:val="0"/>
          <w:numId w:val="1"/>
        </w:numPr>
      </w:pPr>
      <w:r w:rsidRPr="00894305">
        <w:rPr>
          <w:bCs/>
        </w:rPr>
        <w:t>UK National Health Service Blood and Transplant Services</w:t>
      </w:r>
      <w:r w:rsidR="009641B3">
        <w:rPr>
          <w:bCs/>
        </w:rPr>
        <w:t>- Organ and Tissue Donation and Transplant</w:t>
      </w:r>
      <w:r w:rsidR="00563440">
        <w:rPr>
          <w:bCs/>
        </w:rPr>
        <w:t xml:space="preserve">ation </w:t>
      </w:r>
      <w:r w:rsidR="00563440" w:rsidRPr="00563440">
        <w:rPr>
          <w:rFonts w:ascii="Calibri" w:eastAsia="Times New Roman" w:hAnsi="Calibri" w:cs="Calibri"/>
        </w:rPr>
        <w:t>(NHS BT – OTDT)</w:t>
      </w:r>
      <w:r w:rsidR="0007086E">
        <w:rPr>
          <w:rFonts w:ascii="Calibri" w:eastAsia="Times New Roman" w:hAnsi="Calibri" w:cs="Calibri"/>
        </w:rPr>
        <w:t>, UK</w:t>
      </w:r>
    </w:p>
    <w:p w14:paraId="21EEEFF3" w14:textId="77777777" w:rsidR="001448A9" w:rsidRDefault="001448A9" w:rsidP="001448A9">
      <w:r>
        <w:t>§ Corresponding author</w:t>
      </w:r>
    </w:p>
    <w:p w14:paraId="66781158" w14:textId="77777777" w:rsidR="001448A9" w:rsidRDefault="001448A9" w:rsidP="001448A9">
      <w:r>
        <w:t>Mike Bracher, School of Health Sciences, University of Southampton.</w:t>
      </w:r>
    </w:p>
    <w:p w14:paraId="273E5588" w14:textId="77777777" w:rsidR="001448A9" w:rsidRDefault="001448A9" w:rsidP="001448A9">
      <w:r>
        <w:t xml:space="preserve">Email: </w:t>
      </w:r>
      <w:hyperlink r:id="rId13" w:history="1">
        <w:r w:rsidRPr="004E2CE8">
          <w:rPr>
            <w:rStyle w:val="Hyperlink"/>
          </w:rPr>
          <w:t>m.j.bracher@soton.ac.uk</w:t>
        </w:r>
      </w:hyperlink>
      <w:r>
        <w:t xml:space="preserve">; Tel: </w:t>
      </w:r>
      <w:r w:rsidRPr="009C5228">
        <w:t xml:space="preserve">023 </w:t>
      </w:r>
      <w:r>
        <w:t>80</w:t>
      </w:r>
      <w:r w:rsidR="00980D34">
        <w:t xml:space="preserve"> </w:t>
      </w:r>
      <w:r>
        <w:t>593929</w:t>
      </w:r>
    </w:p>
    <w:p w14:paraId="6BC549F9" w14:textId="2D7B2F2D" w:rsidR="00894305" w:rsidRDefault="001448A9" w:rsidP="001448A9">
      <w:r>
        <w:t xml:space="preserve">Word count = </w:t>
      </w:r>
      <w:r w:rsidR="00495B75">
        <w:t xml:space="preserve">Abstract = </w:t>
      </w:r>
      <w:r w:rsidR="00440DDE">
        <w:t>299</w:t>
      </w:r>
      <w:r w:rsidR="00495B75">
        <w:t>;</w:t>
      </w:r>
      <w:r w:rsidR="00563440">
        <w:t xml:space="preserve"> </w:t>
      </w:r>
      <w:r w:rsidR="00495B75">
        <w:t xml:space="preserve">Article = </w:t>
      </w:r>
      <w:r w:rsidR="00CE41C8">
        <w:t>5</w:t>
      </w:r>
      <w:r w:rsidR="008B5518">
        <w:t>201</w:t>
      </w:r>
    </w:p>
    <w:p w14:paraId="4FF6A305" w14:textId="43D8CE08" w:rsidR="00894305" w:rsidRDefault="00894305" w:rsidP="001448A9"/>
    <w:p w14:paraId="6F64F33A" w14:textId="0ED3EE9C" w:rsidR="00894305" w:rsidRDefault="00894305" w:rsidP="001448A9"/>
    <w:p w14:paraId="737597EE" w14:textId="01528DAF" w:rsidR="00894305" w:rsidRDefault="00894305" w:rsidP="001448A9"/>
    <w:p w14:paraId="57122EBE" w14:textId="6F980364" w:rsidR="00894305" w:rsidRDefault="00894305" w:rsidP="001448A9"/>
    <w:p w14:paraId="35C70CDD" w14:textId="304545BD" w:rsidR="00894305" w:rsidRDefault="00894305" w:rsidP="001448A9"/>
    <w:p w14:paraId="6C913A20" w14:textId="1A6FCEFE" w:rsidR="00894305" w:rsidRDefault="00894305" w:rsidP="001448A9"/>
    <w:p w14:paraId="4E64B95E" w14:textId="092835DA" w:rsidR="00894305" w:rsidRDefault="00894305" w:rsidP="001448A9"/>
    <w:p w14:paraId="66A6927B" w14:textId="1F4E71EB" w:rsidR="00894305" w:rsidRDefault="00894305" w:rsidP="001448A9"/>
    <w:p w14:paraId="1F751A2B" w14:textId="6A799645" w:rsidR="00894305" w:rsidRDefault="00894305" w:rsidP="001448A9"/>
    <w:p w14:paraId="5586CD2D" w14:textId="2F7A17B5" w:rsidR="00894305" w:rsidRDefault="00894305" w:rsidP="001448A9"/>
    <w:p w14:paraId="79EC44DB" w14:textId="781A780C" w:rsidR="00894305" w:rsidRDefault="00894305" w:rsidP="001448A9"/>
    <w:p w14:paraId="2A7C532E" w14:textId="7E8FD80F" w:rsidR="00894305" w:rsidRDefault="00894305" w:rsidP="001448A9"/>
    <w:p w14:paraId="6F60BB2C" w14:textId="6CF96D69" w:rsidR="00894305" w:rsidRDefault="00894305" w:rsidP="001448A9"/>
    <w:p w14:paraId="37E73AAC" w14:textId="3CC2B71F" w:rsidR="00894305" w:rsidRDefault="00894305" w:rsidP="001448A9"/>
    <w:p w14:paraId="14F7E38D" w14:textId="04E1500C" w:rsidR="00894305" w:rsidRDefault="00894305" w:rsidP="001448A9"/>
    <w:p w14:paraId="52C89C33" w14:textId="751D2113" w:rsidR="00894305" w:rsidRDefault="00894305" w:rsidP="001448A9"/>
    <w:p w14:paraId="798AB9DA" w14:textId="77777777" w:rsidR="00894305" w:rsidRDefault="00894305" w:rsidP="001448A9"/>
    <w:p w14:paraId="2ECDF4F1" w14:textId="0BABEBBB" w:rsidR="00894305" w:rsidRDefault="00894305" w:rsidP="001448A9"/>
    <w:p w14:paraId="5D7F1257" w14:textId="77777777" w:rsidR="00711E2D" w:rsidRDefault="00711E2D" w:rsidP="001448A9"/>
    <w:p w14:paraId="159F6896" w14:textId="77777777" w:rsidR="00894305" w:rsidRDefault="00894305" w:rsidP="001448A9"/>
    <w:p w14:paraId="205AFF93" w14:textId="77777777" w:rsidR="001448A9" w:rsidRDefault="001448A9" w:rsidP="00170EFD">
      <w:pPr>
        <w:spacing w:line="360" w:lineRule="auto"/>
      </w:pPr>
      <w:r w:rsidRPr="007D1172">
        <w:rPr>
          <w:b/>
        </w:rPr>
        <w:t>Abstract</w:t>
      </w:r>
    </w:p>
    <w:p w14:paraId="792543FB" w14:textId="4C356DD2" w:rsidR="001448A9" w:rsidRPr="009C5228" w:rsidRDefault="001448A9" w:rsidP="00170EFD">
      <w:pPr>
        <w:spacing w:line="360" w:lineRule="auto"/>
        <w:jc w:val="both"/>
      </w:pPr>
      <w:r w:rsidRPr="00D14BA1">
        <w:rPr>
          <w:b/>
        </w:rPr>
        <w:t>Objectives</w:t>
      </w:r>
      <w:r w:rsidR="00FE38AF">
        <w:rPr>
          <w:b/>
        </w:rPr>
        <w:t>:</w:t>
      </w:r>
      <w:r>
        <w:t xml:space="preserve"> </w:t>
      </w:r>
      <w:r w:rsidR="009C2213">
        <w:t>L</w:t>
      </w:r>
      <w:r w:rsidR="00BB1F1C" w:rsidRPr="003B5BDC">
        <w:t xml:space="preserve">ong-standing </w:t>
      </w:r>
      <w:r w:rsidR="00BB1F1C">
        <w:t>under</w:t>
      </w:r>
      <w:r w:rsidR="00BB1F1C" w:rsidRPr="003B5BDC">
        <w:t xml:space="preserve">supply of eye tissue </w:t>
      </w:r>
      <w:r w:rsidR="009C2213">
        <w:t xml:space="preserve">exists both </w:t>
      </w:r>
      <w:r w:rsidR="00BB1F1C" w:rsidRPr="003B5BDC">
        <w:t>in the UK and globally</w:t>
      </w:r>
      <w:r w:rsidR="004309BE">
        <w:t>, and</w:t>
      </w:r>
      <w:r w:rsidR="00BB1F1C">
        <w:t xml:space="preserve"> </w:t>
      </w:r>
      <w:r w:rsidR="004309BE">
        <w:t xml:space="preserve">the </w:t>
      </w:r>
      <w:r w:rsidR="00BB1F1C">
        <w:t>UK National Health Service Blood and Transplant Service (NHSBT) has called for further</w:t>
      </w:r>
      <w:r w:rsidR="00BB1F1C" w:rsidRPr="002528F5">
        <w:t xml:space="preserve"> research</w:t>
      </w:r>
      <w:r w:rsidR="00BB1F1C">
        <w:t xml:space="preserve"> exploring</w:t>
      </w:r>
      <w:r w:rsidR="00BB1F1C" w:rsidRPr="002528F5">
        <w:t xml:space="preserve"> barriers to eye donation</w:t>
      </w:r>
      <w:r w:rsidR="00BB1F1C">
        <w:t xml:space="preserve">. </w:t>
      </w:r>
      <w:r w:rsidR="004309BE">
        <w:t>This study aims to</w:t>
      </w:r>
      <w:r w:rsidR="00BB1F1C">
        <w:t xml:space="preserve">: </w:t>
      </w:r>
      <w:r w:rsidR="00337652">
        <w:t xml:space="preserve">I) </w:t>
      </w:r>
      <w:r w:rsidR="00563440">
        <w:t>d</w:t>
      </w:r>
      <w:r w:rsidR="00337652">
        <w:t xml:space="preserve">escribe reported reasons </w:t>
      </w:r>
      <w:r w:rsidR="00FE38AF">
        <w:t>for non-donation of eye tissue</w:t>
      </w:r>
      <w:r w:rsidR="00337652">
        <w:t xml:space="preserve"> from solid organ donors in the UK between 1st April 2014–31st March 2017</w:t>
      </w:r>
      <w:r w:rsidR="00FE38AF">
        <w:t>;</w:t>
      </w:r>
      <w:r w:rsidR="00170EFD">
        <w:t xml:space="preserve"> </w:t>
      </w:r>
      <w:r w:rsidR="00DF291D">
        <w:t>II)</w:t>
      </w:r>
      <w:r w:rsidR="00337652">
        <w:t xml:space="preserve"> </w:t>
      </w:r>
      <w:r w:rsidR="00563440">
        <w:t>d</w:t>
      </w:r>
      <w:r w:rsidR="00337652">
        <w:t xml:space="preserve">iscuss these findings </w:t>
      </w:r>
      <w:r w:rsidR="00FE38AF">
        <w:t xml:space="preserve">with respect to </w:t>
      </w:r>
      <w:r w:rsidR="00337652">
        <w:t xml:space="preserve">existing </w:t>
      </w:r>
      <w:r w:rsidR="00FE38AF">
        <w:t>theories</w:t>
      </w:r>
      <w:r w:rsidR="00337652">
        <w:t xml:space="preserve"> relating to non-donation of eyes by family members.</w:t>
      </w:r>
      <w:r w:rsidR="00170EFD" w:rsidRPr="00170EFD">
        <w:t xml:space="preserve"> </w:t>
      </w:r>
    </w:p>
    <w:p w14:paraId="25ADDE49" w14:textId="38C2E55C" w:rsidR="001448A9" w:rsidRDefault="00BB1F1C" w:rsidP="00170EFD">
      <w:pPr>
        <w:spacing w:line="360" w:lineRule="auto"/>
        <w:jc w:val="both"/>
      </w:pPr>
      <w:r>
        <w:rPr>
          <w:b/>
        </w:rPr>
        <w:t>D</w:t>
      </w:r>
      <w:r w:rsidR="0067210F">
        <w:rPr>
          <w:b/>
        </w:rPr>
        <w:t>esign</w:t>
      </w:r>
      <w:r w:rsidR="00FE38AF">
        <w:rPr>
          <w:b/>
        </w:rPr>
        <w:t>:</w:t>
      </w:r>
      <w:r w:rsidR="001448A9">
        <w:rPr>
          <w:b/>
        </w:rPr>
        <w:t xml:space="preserve"> </w:t>
      </w:r>
      <w:r w:rsidR="00617476" w:rsidRPr="00617476">
        <w:rPr>
          <w:bCs/>
        </w:rPr>
        <w:t>Secondary</w:t>
      </w:r>
      <w:r w:rsidR="00617476">
        <w:rPr>
          <w:b/>
        </w:rPr>
        <w:t xml:space="preserve"> </w:t>
      </w:r>
      <w:r w:rsidR="00617476" w:rsidRPr="00617476">
        <w:rPr>
          <w:bCs/>
        </w:rPr>
        <w:t>analysis</w:t>
      </w:r>
      <w:r w:rsidR="00617476">
        <w:rPr>
          <w:b/>
        </w:rPr>
        <w:t xml:space="preserve"> </w:t>
      </w:r>
      <w:r w:rsidR="00617476" w:rsidRPr="00D0238B">
        <w:rPr>
          <w:bCs/>
        </w:rPr>
        <w:t>of</w:t>
      </w:r>
      <w:r w:rsidR="00617476">
        <w:rPr>
          <w:bCs/>
        </w:rPr>
        <w:t xml:space="preserve"> a</w:t>
      </w:r>
      <w:r w:rsidR="00617476">
        <w:rPr>
          <w:b/>
        </w:rPr>
        <w:t xml:space="preserve"> </w:t>
      </w:r>
      <w:r w:rsidR="00617476">
        <w:t xml:space="preserve">national primary </w:t>
      </w:r>
      <w:r w:rsidR="009E150A">
        <w:t xml:space="preserve">data </w:t>
      </w:r>
      <w:r w:rsidR="00FE38AF">
        <w:t xml:space="preserve">set </w:t>
      </w:r>
      <w:r w:rsidR="00617476">
        <w:t xml:space="preserve">of recorded </w:t>
      </w:r>
      <w:r w:rsidR="003C6E9C">
        <w:t>reasons for non-donation of eyes</w:t>
      </w:r>
      <w:r w:rsidR="00617476">
        <w:t xml:space="preserve"> from </w:t>
      </w:r>
      <w:r w:rsidR="003C6E9C">
        <w:t>27</w:t>
      </w:r>
      <w:r w:rsidR="00556203">
        <w:t>90</w:t>
      </w:r>
      <w:r w:rsidR="003C6E9C">
        <w:t xml:space="preserve"> potential</w:t>
      </w:r>
      <w:r w:rsidR="004D49A5">
        <w:t xml:space="preserve"> solid organ donors</w:t>
      </w:r>
      <w:r w:rsidR="006C43A8">
        <w:t xml:space="preserve">. </w:t>
      </w:r>
      <w:r w:rsidR="00617476">
        <w:t xml:space="preserve">Data analysis including descriptive statistics and </w:t>
      </w:r>
      <w:r w:rsidR="003C6E9C">
        <w:t xml:space="preserve">qualitative content analysis </w:t>
      </w:r>
      <w:r w:rsidR="00617476">
        <w:t>of</w:t>
      </w:r>
      <w:r w:rsidR="003C6E9C">
        <w:t xml:space="preserve"> free-text data for 126 recorded </w:t>
      </w:r>
      <w:r w:rsidR="006C43A8">
        <w:t>cases of</w:t>
      </w:r>
      <w:r w:rsidR="003C6E9C">
        <w:t xml:space="preserve"> family decline of eye donation</w:t>
      </w:r>
      <w:r w:rsidR="006C43A8">
        <w:t>.</w:t>
      </w:r>
    </w:p>
    <w:p w14:paraId="3E0B0263" w14:textId="2EAA44E7" w:rsidR="00BB1F1C" w:rsidRDefault="00BB1F1C" w:rsidP="00170EFD">
      <w:pPr>
        <w:spacing w:line="360" w:lineRule="auto"/>
        <w:jc w:val="both"/>
      </w:pPr>
      <w:r w:rsidRPr="00BB1F1C">
        <w:rPr>
          <w:b/>
          <w:bCs/>
        </w:rPr>
        <w:t>Setting:</w:t>
      </w:r>
      <w:r>
        <w:t xml:space="preserve"> National data set covering solid organ donation (secondary care)</w:t>
      </w:r>
      <w:r w:rsidR="004309BE">
        <w:t>.</w:t>
      </w:r>
    </w:p>
    <w:p w14:paraId="0054A027" w14:textId="27E5CC9F" w:rsidR="00BB1F1C" w:rsidRPr="003B5BDC" w:rsidRDefault="00BB1F1C" w:rsidP="00170EFD">
      <w:pPr>
        <w:spacing w:line="360" w:lineRule="auto"/>
        <w:jc w:val="both"/>
        <w:rPr>
          <w:bCs/>
        </w:rPr>
      </w:pPr>
      <w:r w:rsidRPr="00BB1F1C">
        <w:rPr>
          <w:b/>
          <w:bCs/>
        </w:rPr>
        <w:t>Participants:</w:t>
      </w:r>
      <w:r>
        <w:t xml:space="preserve"> 2790 potential</w:t>
      </w:r>
      <w:r w:rsidR="00012BD1">
        <w:t xml:space="preserve"> organ</w:t>
      </w:r>
      <w:r>
        <w:t xml:space="preserve"> donors assessed for </w:t>
      </w:r>
      <w:r w:rsidR="00440DDE">
        <w:t xml:space="preserve">eye donation </w:t>
      </w:r>
      <w:r>
        <w:t>eligibility between 1</w:t>
      </w:r>
      <w:r w:rsidRPr="00794AC5">
        <w:rPr>
          <w:vertAlign w:val="superscript"/>
        </w:rPr>
        <w:t>st</w:t>
      </w:r>
      <w:r>
        <w:t xml:space="preserve"> April 2014 and 31</w:t>
      </w:r>
      <w:r w:rsidRPr="00794AC5">
        <w:rPr>
          <w:vertAlign w:val="superscript"/>
        </w:rPr>
        <w:t>st</w:t>
      </w:r>
      <w:r>
        <w:t xml:space="preserve"> March 2017.  </w:t>
      </w:r>
    </w:p>
    <w:p w14:paraId="7820583C" w14:textId="04CE02A7" w:rsidR="003C6E9C" w:rsidRPr="009C5228" w:rsidRDefault="001448A9" w:rsidP="003C6E9C">
      <w:pPr>
        <w:spacing w:line="360" w:lineRule="auto"/>
        <w:jc w:val="both"/>
      </w:pPr>
      <w:r w:rsidRPr="00D14BA1">
        <w:rPr>
          <w:b/>
        </w:rPr>
        <w:t>Results</w:t>
      </w:r>
      <w:r w:rsidR="00FE38AF">
        <w:t>:</w:t>
      </w:r>
      <w:r w:rsidR="00DF291D">
        <w:t xml:space="preserve"> </w:t>
      </w:r>
      <w:r w:rsidR="00170EFD">
        <w:t xml:space="preserve">Reasons for non-retrieval of eyes were </w:t>
      </w:r>
      <w:r w:rsidR="00DF291D">
        <w:t>recorded</w:t>
      </w:r>
      <w:r w:rsidR="00170EFD">
        <w:t xml:space="preserve"> as: family wishes (n=1339, 48% of total cases); medical reasons (n=841, 30%); deceased wishes (n=180, 7%)</w:t>
      </w:r>
      <w:r w:rsidR="00894305">
        <w:t xml:space="preserve">. </w:t>
      </w:r>
      <w:r w:rsidR="004309BE">
        <w:t xml:space="preserve">In </w:t>
      </w:r>
      <w:r w:rsidR="00440DDE">
        <w:t>&gt;</w:t>
      </w:r>
      <w:r w:rsidR="003C6E9C">
        <w:t xml:space="preserve">50% of recorded </w:t>
      </w:r>
      <w:r w:rsidR="004309BE">
        <w:t>cases, reasons</w:t>
      </w:r>
      <w:r w:rsidR="00493AAF">
        <w:t xml:space="preserve"> for</w:t>
      </w:r>
      <w:r w:rsidR="004309BE">
        <w:t xml:space="preserve"> non-donation </w:t>
      </w:r>
      <w:r w:rsidR="00894305">
        <w:t xml:space="preserve">were based </w:t>
      </w:r>
      <w:proofErr w:type="gramStart"/>
      <w:r w:rsidR="00894305">
        <w:t>on</w:t>
      </w:r>
      <w:r w:rsidR="003C3A9C">
        <w:t>:</w:t>
      </w:r>
      <w:proofErr w:type="gramEnd"/>
      <w:r w:rsidR="003C3A9C">
        <w:t xml:space="preserve"> </w:t>
      </w:r>
      <w:r w:rsidR="00894305">
        <w:t>family</w:t>
      </w:r>
      <w:r w:rsidR="00012BD1">
        <w:t xml:space="preserve">’s knowledge of the </w:t>
      </w:r>
      <w:r w:rsidR="00894305">
        <w:t>deceased</w:t>
      </w:r>
      <w:r w:rsidR="00F84BB4">
        <w:t xml:space="preserve"> wishes</w:t>
      </w:r>
      <w:r w:rsidR="00012BD1">
        <w:t>,</w:t>
      </w:r>
      <w:r w:rsidR="003C3A9C">
        <w:t xml:space="preserve"> </w:t>
      </w:r>
      <w:r w:rsidR="00012BD1">
        <w:t xml:space="preserve">their </w:t>
      </w:r>
      <w:r w:rsidR="003C3A9C">
        <w:t>perception of the deceased wishes</w:t>
      </w:r>
      <w:r w:rsidR="00440DDE">
        <w:t>,</w:t>
      </w:r>
      <w:r w:rsidR="00E83075">
        <w:t xml:space="preserve"> and specific concerns regarding process</w:t>
      </w:r>
      <w:r w:rsidR="00440DDE">
        <w:t>es</w:t>
      </w:r>
      <w:r w:rsidR="00E83075">
        <w:t xml:space="preserve"> or effects of eye donation (for the deceased body). </w:t>
      </w:r>
      <w:r w:rsidR="00894305">
        <w:t xml:space="preserve"> </w:t>
      </w:r>
      <w:r w:rsidR="00F84BB4">
        <w:t>F</w:t>
      </w:r>
      <w:r w:rsidR="00DF291D">
        <w:t xml:space="preserve">indings are discussed with respect to existing </w:t>
      </w:r>
      <w:r w:rsidR="00DF291D" w:rsidRPr="00DF291D">
        <w:t>theoretical perspectives</w:t>
      </w:r>
      <w:r w:rsidR="00DF291D">
        <w:t>.</w:t>
      </w:r>
    </w:p>
    <w:p w14:paraId="533D6848" w14:textId="7FBF76D5" w:rsidR="00170EFD" w:rsidRPr="007355C9" w:rsidRDefault="001448A9" w:rsidP="003D7FDF">
      <w:pPr>
        <w:spacing w:line="360" w:lineRule="auto"/>
        <w:jc w:val="both"/>
      </w:pPr>
      <w:r w:rsidRPr="00D14BA1">
        <w:rPr>
          <w:b/>
        </w:rPr>
        <w:t>Conclusion</w:t>
      </w:r>
      <w:r w:rsidR="00FE38AF">
        <w:t xml:space="preserve">: </w:t>
      </w:r>
      <w:r w:rsidR="00711E2D">
        <w:t>E</w:t>
      </w:r>
      <w:r w:rsidR="00F84BB4">
        <w:t>ye</w:t>
      </w:r>
      <w:r w:rsidR="003D7FDF">
        <w:t xml:space="preserve"> donation</w:t>
      </w:r>
      <w:r w:rsidR="004309BE">
        <w:t xml:space="preserve"> </w:t>
      </w:r>
      <w:r w:rsidR="00EB5F60">
        <w:t>involves</w:t>
      </w:r>
      <w:r w:rsidR="00FE38AF">
        <w:t xml:space="preserve"> distinct</w:t>
      </w:r>
      <w:r w:rsidR="003D7FDF">
        <w:t xml:space="preserve"> psychological</w:t>
      </w:r>
      <w:r w:rsidR="00FE38AF">
        <w:t xml:space="preserve"> and</w:t>
      </w:r>
      <w:r w:rsidR="003D7FDF">
        <w:t xml:space="preserve"> socio-cultural </w:t>
      </w:r>
      <w:r w:rsidR="00FE38AF">
        <w:t>factors</w:t>
      </w:r>
      <w:r w:rsidR="004309BE">
        <w:t xml:space="preserve"> for</w:t>
      </w:r>
      <w:r w:rsidR="003D7FDF">
        <w:t xml:space="preserve"> </w:t>
      </w:r>
      <w:r w:rsidR="00FE38AF">
        <w:t xml:space="preserve">families and HCPs </w:t>
      </w:r>
      <w:r w:rsidR="004309BE">
        <w:t xml:space="preserve">that have </w:t>
      </w:r>
      <w:r w:rsidR="00EB5F60">
        <w:t>not been</w:t>
      </w:r>
      <w:r w:rsidR="004309BE">
        <w:t xml:space="preserve"> fully explored in research or integrated into service design</w:t>
      </w:r>
      <w:r w:rsidR="00FE38AF">
        <w:t xml:space="preserve">. </w:t>
      </w:r>
      <w:r w:rsidR="004309BE">
        <w:t xml:space="preserve">We </w:t>
      </w:r>
      <w:r w:rsidR="00D0238B">
        <w:t xml:space="preserve">propose </w:t>
      </w:r>
      <w:r w:rsidR="004309BE">
        <w:t>areas for future research and service development</w:t>
      </w:r>
      <w:r w:rsidR="00D0238B">
        <w:t xml:space="preserve"> including</w:t>
      </w:r>
      <w:r w:rsidR="00FE38AF">
        <w:t xml:space="preserve">: </w:t>
      </w:r>
      <w:r w:rsidR="003D7FDF">
        <w:t xml:space="preserve">potential of </w:t>
      </w:r>
      <w:r w:rsidR="00AE7DF0">
        <w:t>only retrieving corneal disc</w:t>
      </w:r>
      <w:r w:rsidR="00440DDE">
        <w:t>s</w:t>
      </w:r>
      <w:r w:rsidR="00AE7DF0">
        <w:t xml:space="preserve"> as opposed to full eye</w:t>
      </w:r>
      <w:r w:rsidR="00440DDE">
        <w:t>s</w:t>
      </w:r>
      <w:r w:rsidR="00AE7DF0">
        <w:t xml:space="preserve"> </w:t>
      </w:r>
      <w:r w:rsidR="003D7FDF">
        <w:t>to</w:t>
      </w:r>
      <w:r w:rsidR="00D0238B">
        <w:t xml:space="preserve"> reduce </w:t>
      </w:r>
      <w:r w:rsidR="00440DDE">
        <w:t>disfigurement concerns</w:t>
      </w:r>
      <w:r w:rsidR="00FE38AF">
        <w:t>;</w:t>
      </w:r>
      <w:r w:rsidR="003D7FDF">
        <w:t xml:space="preserve"> public education regarding donation process</w:t>
      </w:r>
      <w:r w:rsidR="00711E2D">
        <w:t>es</w:t>
      </w:r>
      <w:r w:rsidR="00FE38AF">
        <w:t>; exploration of</w:t>
      </w:r>
      <w:r w:rsidR="003D7FDF">
        <w:t xml:space="preserve"> how request process</w:t>
      </w:r>
      <w:r w:rsidR="00711E2D">
        <w:t>es</w:t>
      </w:r>
      <w:r w:rsidR="00AE7DF0">
        <w:t xml:space="preserve"> potentially influence </w:t>
      </w:r>
      <w:r w:rsidR="003D7FDF">
        <w:t>acceptance of</w:t>
      </w:r>
      <w:r w:rsidR="00FE38AF">
        <w:t xml:space="preserve"> </w:t>
      </w:r>
      <w:r w:rsidR="00AE7DF0">
        <w:t xml:space="preserve">eye </w:t>
      </w:r>
      <w:r w:rsidR="003D7FDF">
        <w:t>donation</w:t>
      </w:r>
      <w:r w:rsidR="00FE38AF">
        <w:t xml:space="preserve">; </w:t>
      </w:r>
      <w:r w:rsidR="003D7FDF">
        <w:t>proce</w:t>
      </w:r>
      <w:r w:rsidR="00711E2D">
        <w:t>dures</w:t>
      </w:r>
      <w:r w:rsidR="003D7FDF">
        <w:t xml:space="preserve"> for assessment of familial responses to information provided during consent conversation</w:t>
      </w:r>
      <w:r w:rsidR="00440DDE">
        <w:t>s</w:t>
      </w:r>
      <w:r w:rsidR="00FE38AF">
        <w:t>.</w:t>
      </w:r>
    </w:p>
    <w:p w14:paraId="4DA17C11" w14:textId="57CD53BB" w:rsidR="00587EF7" w:rsidRDefault="00BB1F1C" w:rsidP="001448A9">
      <w:pPr>
        <w:jc w:val="both"/>
      </w:pPr>
      <w:r w:rsidRPr="00BB1F1C">
        <w:rPr>
          <w:b/>
          <w:bCs/>
        </w:rPr>
        <w:t>Keywords:</w:t>
      </w:r>
      <w:r>
        <w:t xml:space="preserve"> </w:t>
      </w:r>
      <w:r w:rsidR="00AE7DF0">
        <w:t xml:space="preserve">secondary analysis, eye donation, </w:t>
      </w:r>
      <w:r>
        <w:t xml:space="preserve">cornea, consent, </w:t>
      </w:r>
      <w:r w:rsidR="00AE7DF0">
        <w:t xml:space="preserve">family decline of donation </w:t>
      </w:r>
    </w:p>
    <w:p w14:paraId="0A8F7FDD" w14:textId="47217636" w:rsidR="001448A9" w:rsidRDefault="00587EF7" w:rsidP="001448A9">
      <w:pPr>
        <w:jc w:val="both"/>
        <w:rPr>
          <w:b/>
          <w:bCs/>
        </w:rPr>
      </w:pPr>
      <w:r w:rsidRPr="00587EF7">
        <w:rPr>
          <w:b/>
          <w:bCs/>
        </w:rPr>
        <w:t>Strengths and limitations of this study</w:t>
      </w:r>
    </w:p>
    <w:p w14:paraId="3557A64B" w14:textId="507B9826" w:rsidR="004D364A" w:rsidRDefault="008A3168" w:rsidP="00DA3AEB">
      <w:pPr>
        <w:pStyle w:val="ListParagraph"/>
        <w:numPr>
          <w:ilvl w:val="0"/>
          <w:numId w:val="11"/>
        </w:numPr>
        <w:spacing w:line="240" w:lineRule="auto"/>
        <w:jc w:val="both"/>
      </w:pPr>
      <w:r>
        <w:t>This secondary analysis paper is the first reporting of primary data discussing</w:t>
      </w:r>
      <w:r w:rsidR="00587EF7" w:rsidRPr="00587EF7">
        <w:t xml:space="preserve"> reasons for non-donation of eyes recorded by Specialist Nurses in Organ Donation (SNODs) for 2790 potential solid organ donors</w:t>
      </w:r>
      <w:r w:rsidR="00110051">
        <w:t xml:space="preserve"> in the UK</w:t>
      </w:r>
      <w:r w:rsidR="00587EF7" w:rsidRPr="00587EF7">
        <w:t>.</w:t>
      </w:r>
    </w:p>
    <w:p w14:paraId="30B9EC71" w14:textId="736BB9D1" w:rsidR="00587EF7" w:rsidRDefault="0012281B" w:rsidP="00DA3AEB">
      <w:pPr>
        <w:pStyle w:val="ListParagraph"/>
        <w:numPr>
          <w:ilvl w:val="0"/>
          <w:numId w:val="11"/>
        </w:numPr>
      </w:pPr>
      <w:r>
        <w:t xml:space="preserve">The </w:t>
      </w:r>
      <w:r w:rsidR="00BA2AB9">
        <w:t>authors applied</w:t>
      </w:r>
      <w:r>
        <w:t xml:space="preserve"> </w:t>
      </w:r>
      <w:r w:rsidR="00587EF7" w:rsidRPr="00587EF7">
        <w:t xml:space="preserve">qualitative content analysis to free-text data </w:t>
      </w:r>
      <w:r>
        <w:t xml:space="preserve">and discuss findings in relation to </w:t>
      </w:r>
      <w:r w:rsidR="00587EF7" w:rsidRPr="00587EF7">
        <w:t>existing theoretical perspectives to identify areas for further research and service development.</w:t>
      </w:r>
    </w:p>
    <w:p w14:paraId="44FFACCC" w14:textId="7DE2F0CB" w:rsidR="00DA3AEB" w:rsidRDefault="00464C7B" w:rsidP="00DA3AEB">
      <w:pPr>
        <w:pStyle w:val="ListParagraph"/>
        <w:numPr>
          <w:ilvl w:val="0"/>
          <w:numId w:val="11"/>
        </w:numPr>
      </w:pPr>
      <w:r>
        <w:t xml:space="preserve">The paper reports proxy commentary recorded </w:t>
      </w:r>
      <w:r w:rsidR="00AE7DF0">
        <w:t xml:space="preserve">as </w:t>
      </w:r>
      <w:r>
        <w:t>free text</w:t>
      </w:r>
      <w:r w:rsidR="00BA2AB9">
        <w:t xml:space="preserve"> data</w:t>
      </w:r>
      <w:r>
        <w:t xml:space="preserve"> </w:t>
      </w:r>
      <w:r w:rsidR="00110051">
        <w:t>generated by S</w:t>
      </w:r>
      <w:r>
        <w:t>NODs when recording reason</w:t>
      </w:r>
      <w:r w:rsidR="00BA2AB9">
        <w:t>s</w:t>
      </w:r>
      <w:r>
        <w:t xml:space="preserve"> provided by family members for declining donation of eye tissue</w:t>
      </w:r>
      <w:r w:rsidR="00BA2AB9">
        <w:t>,</w:t>
      </w:r>
      <w:r>
        <w:t xml:space="preserve"> and therefore is limited in depth of detail available for reporting. </w:t>
      </w:r>
      <w:r w:rsidR="00110051">
        <w:t xml:space="preserve"> </w:t>
      </w:r>
    </w:p>
    <w:p w14:paraId="7260CAD5" w14:textId="6903E189" w:rsidR="004E4818" w:rsidRDefault="00DA3AEB" w:rsidP="00DA3AEB">
      <w:pPr>
        <w:pStyle w:val="ListParagraph"/>
        <w:numPr>
          <w:ilvl w:val="0"/>
          <w:numId w:val="11"/>
        </w:numPr>
      </w:pPr>
      <w:r>
        <w:t xml:space="preserve">Due to </w:t>
      </w:r>
      <w:r w:rsidR="00BA2AB9">
        <w:t xml:space="preserve">study </w:t>
      </w:r>
      <w:r>
        <w:t>design limitations</w:t>
      </w:r>
      <w:r w:rsidR="00BA2AB9">
        <w:t>,</w:t>
      </w:r>
      <w:r>
        <w:t xml:space="preserve"> factors that may have influenced family decision making (</w:t>
      </w:r>
      <w:r w:rsidR="004D364A" w:rsidRPr="004D364A">
        <w:t xml:space="preserve">i.e. </w:t>
      </w:r>
      <w:r w:rsidR="003E7924">
        <w:t xml:space="preserve">potential donor </w:t>
      </w:r>
      <w:r w:rsidR="004D364A" w:rsidRPr="004D364A">
        <w:t>demographic</w:t>
      </w:r>
      <w:r w:rsidR="003E7924">
        <w:t>s</w:t>
      </w:r>
      <w:r w:rsidR="004D364A" w:rsidRPr="004D364A">
        <w:t xml:space="preserve">/regional differences, changes in legislation) </w:t>
      </w:r>
      <w:r w:rsidR="003E7924">
        <w:t>cannot be</w:t>
      </w:r>
      <w:r>
        <w:t xml:space="preserve"> addressed in this paper. </w:t>
      </w:r>
    </w:p>
    <w:p w14:paraId="020DBE82" w14:textId="6F3ED09F" w:rsidR="00D8308C" w:rsidRDefault="003E7924" w:rsidP="00DA3AEB">
      <w:pPr>
        <w:pStyle w:val="ListParagraph"/>
        <w:numPr>
          <w:ilvl w:val="0"/>
          <w:numId w:val="11"/>
        </w:numPr>
      </w:pPr>
      <w:r>
        <w:t xml:space="preserve">Due to data sharing restrictions the paper presents descriptive statistics only.  </w:t>
      </w:r>
    </w:p>
    <w:p w14:paraId="3E28EDB8" w14:textId="10C29997" w:rsidR="00CA0497" w:rsidRPr="00711E2D" w:rsidRDefault="00CA0497" w:rsidP="00D8308C">
      <w:pPr>
        <w:pStyle w:val="Heading1"/>
        <w:spacing w:before="100" w:beforeAutospacing="1" w:after="100" w:afterAutospacing="1" w:line="360" w:lineRule="auto"/>
        <w:rPr>
          <w:rFonts w:asciiTheme="minorHAnsi" w:hAnsiTheme="minorHAnsi" w:cstheme="minorHAnsi"/>
          <w:b/>
          <w:color w:val="auto"/>
          <w:sz w:val="22"/>
          <w:szCs w:val="22"/>
          <w:u w:val="single"/>
        </w:rPr>
      </w:pPr>
      <w:r w:rsidRPr="00711E2D">
        <w:rPr>
          <w:rFonts w:asciiTheme="minorHAnsi" w:hAnsiTheme="minorHAnsi" w:cstheme="minorHAnsi"/>
          <w:b/>
          <w:color w:val="auto"/>
          <w:sz w:val="22"/>
          <w:szCs w:val="22"/>
          <w:u w:val="single"/>
        </w:rPr>
        <w:t>Background</w:t>
      </w:r>
    </w:p>
    <w:p w14:paraId="1DBE3FB8" w14:textId="15A7A328" w:rsidR="00B959F2" w:rsidRPr="002070DB" w:rsidRDefault="002275ED" w:rsidP="00D8308C">
      <w:pPr>
        <w:spacing w:before="100" w:beforeAutospacing="1" w:after="100" w:afterAutospacing="1" w:line="360" w:lineRule="auto"/>
        <w:jc w:val="both"/>
        <w:rPr>
          <w:rFonts w:cstheme="minorHAnsi"/>
        </w:rPr>
      </w:pPr>
      <w:r>
        <w:rPr>
          <w:rFonts w:cstheme="minorHAnsi"/>
        </w:rPr>
        <w:t>Globally, 53% of the world’s population has no access to the benefits of sigh</w:t>
      </w:r>
      <w:r w:rsidR="005620BA">
        <w:rPr>
          <w:rFonts w:cstheme="minorHAnsi"/>
        </w:rPr>
        <w:t>t</w:t>
      </w:r>
      <w:r>
        <w:rPr>
          <w:rFonts w:cstheme="minorHAnsi"/>
        </w:rPr>
        <w:t xml:space="preserve"> saving and sigh</w:t>
      </w:r>
      <w:r w:rsidR="005620BA">
        <w:rPr>
          <w:rFonts w:cstheme="minorHAnsi"/>
        </w:rPr>
        <w:t>t</w:t>
      </w:r>
      <w:r>
        <w:rPr>
          <w:rFonts w:cstheme="minorHAnsi"/>
        </w:rPr>
        <w:t xml:space="preserve"> restoring transplantation surgery due to </w:t>
      </w:r>
      <w:r w:rsidR="005620BA">
        <w:rPr>
          <w:rFonts w:cstheme="minorHAnsi"/>
        </w:rPr>
        <w:t xml:space="preserve">a </w:t>
      </w:r>
      <w:r>
        <w:rPr>
          <w:rFonts w:cstheme="minorHAnsi"/>
        </w:rPr>
        <w:t xml:space="preserve">short fall in the supply </w:t>
      </w:r>
      <w:r w:rsidR="00B1732B">
        <w:rPr>
          <w:rFonts w:cstheme="minorHAnsi"/>
        </w:rPr>
        <w:t xml:space="preserve">of </w:t>
      </w:r>
      <w:r w:rsidR="00581DEF">
        <w:rPr>
          <w:rFonts w:cstheme="minorHAnsi"/>
        </w:rPr>
        <w:t>ophthalmic tissue (cornea and sclera) that is only available via eye donation</w:t>
      </w:r>
      <w:r w:rsidR="004D49A5">
        <w:rPr>
          <w:rFonts w:cstheme="minorHAnsi"/>
        </w:rPr>
        <w:t xml:space="preserve"> [1]</w:t>
      </w:r>
      <w:r w:rsidR="00581DEF">
        <w:rPr>
          <w:rFonts w:cstheme="minorHAnsi"/>
        </w:rPr>
        <w:t xml:space="preserve">. </w:t>
      </w:r>
      <w:r w:rsidR="00B1732B">
        <w:rPr>
          <w:rFonts w:cstheme="minorHAnsi"/>
        </w:rPr>
        <w:t xml:space="preserve">According </w:t>
      </w:r>
      <w:r w:rsidR="00B1732B" w:rsidRPr="00621F6C">
        <w:rPr>
          <w:rFonts w:cstheme="minorHAnsi"/>
        </w:rPr>
        <w:t xml:space="preserve">to </w:t>
      </w:r>
      <w:proofErr w:type="spellStart"/>
      <w:r w:rsidR="00B1732B" w:rsidRPr="00621F6C">
        <w:rPr>
          <w:rFonts w:cstheme="minorHAnsi"/>
        </w:rPr>
        <w:t>Pascolin</w:t>
      </w:r>
      <w:r w:rsidR="00621F6C">
        <w:rPr>
          <w:rFonts w:cstheme="minorHAnsi"/>
        </w:rPr>
        <w:t>i</w:t>
      </w:r>
      <w:proofErr w:type="spellEnd"/>
      <w:r w:rsidR="00B1732B" w:rsidRPr="00621F6C">
        <w:rPr>
          <w:rFonts w:cstheme="minorHAnsi"/>
        </w:rPr>
        <w:t xml:space="preserve"> et al</w:t>
      </w:r>
      <w:r w:rsidR="00440DDE">
        <w:rPr>
          <w:rFonts w:cstheme="minorHAnsi"/>
        </w:rPr>
        <w:t>.</w:t>
      </w:r>
      <w:r w:rsidR="00B1732B" w:rsidRPr="00621F6C">
        <w:rPr>
          <w:rFonts w:cstheme="minorHAnsi"/>
        </w:rPr>
        <w:t xml:space="preserve"> (</w:t>
      </w:r>
      <w:r w:rsidR="00B1732B">
        <w:rPr>
          <w:rFonts w:cstheme="minorHAnsi"/>
        </w:rPr>
        <w:t>2010) over 10 million people worldwide have bilateral corneal blindness which could be restored with a corneal transplant</w:t>
      </w:r>
      <w:r w:rsidR="00865658">
        <w:rPr>
          <w:rFonts w:cstheme="minorHAnsi"/>
        </w:rPr>
        <w:t xml:space="preserve"> </w:t>
      </w:r>
      <w:r w:rsidR="00865658">
        <w:rPr>
          <w:rFonts w:cstheme="minorHAnsi"/>
        </w:rPr>
        <w:fldChar w:fldCharType="begin" w:fldLock="1"/>
      </w:r>
      <w:r w:rsidR="00621F6C">
        <w:rPr>
          <w:rFonts w:cstheme="minorHAnsi"/>
        </w:rPr>
        <w:instrText>ADDIN CSL_CITATION {"citationItems":[{"id":"ITEM-1","itemData":{"DOI":"10.1136/bjophthalmol-2011-300539","ISSN":"00071161","PMID":"22133988","abstract":"Aim: From the most recent data the magnitude of visual impairment and its causes in 2010 have been estimated, globally and by WHO region. The definitions of visual impairment are the current definitions of presenting vision in the International Classification of Diseases version 10. Methods: A systematic review was conducted of published and unpublished surveys from 2000 to the present. For countries without data on visual impairment, estimates were based on newly developed imputation methods that took into account country economic status as proxy. Results: Surveys from 39 countries satisfied the inclusion criteria for this study. Globally, the number of people of all ages visually impaired is estimated to be 285 million, of whom 39 million are blind, with uncertainties of 10-20%. People 50 years and older represent 65% and 82% of visually impaired and blind, respectively. The major causes of visual impairment are uncorrected refractive errors (43%) followed by cataract (33%); the first cause of blindness is cataract (51%). Conclusion: This study indicates that visual impairment in 2010 is a major health issue that is unequally distributed among the WHO regions; the preventable causes are as high as 80% of the total global burden.","author":[{"dropping-particle":"","family":"Pascolini","given":"Donatella","non-dropping-particle":"","parse-names":false,"suffix":""},{"dropping-particle":"","family":"Mariotti","given":"Silvio Paolo","non-dropping-particle":"","parse-names":false,"suffix":""}],"container-title":"British Journal of Ophthalmology","id":"ITEM-1","issue":"5","issued":{"date-parts":[["2012"]]},"page":"614-618","title":"Global estimates of visual impairment: 2010","type":"article-journal","volume":"96"},"uris":["http://www.mendeley.com/documents/?uuid=b5d73d57-b587-4bf0-9116-87191b3b4b9f"]}],"mendeley":{"formattedCitation":"[1]","plainTextFormattedCitation":"[1]","previouslyFormattedCitation":"[1]"},"properties":{"noteIndex":0},"schema":"https://github.com/citation-style-language/schema/raw/master/csl-citation.json"}</w:instrText>
      </w:r>
      <w:r w:rsidR="00865658">
        <w:rPr>
          <w:rFonts w:cstheme="minorHAnsi"/>
        </w:rPr>
        <w:fldChar w:fldCharType="separate"/>
      </w:r>
      <w:r w:rsidR="00865658" w:rsidRPr="00865658">
        <w:rPr>
          <w:rFonts w:cstheme="minorHAnsi"/>
          <w:noProof/>
        </w:rPr>
        <w:t>[1]</w:t>
      </w:r>
      <w:r w:rsidR="00865658">
        <w:rPr>
          <w:rFonts w:cstheme="minorHAnsi"/>
        </w:rPr>
        <w:fldChar w:fldCharType="end"/>
      </w:r>
      <w:r w:rsidR="008F6827">
        <w:rPr>
          <w:rFonts w:cstheme="minorHAnsi"/>
        </w:rPr>
        <w:t>.</w:t>
      </w:r>
      <w:r w:rsidR="00B1732B">
        <w:rPr>
          <w:rFonts w:cstheme="minorHAnsi"/>
        </w:rPr>
        <w:t xml:space="preserve"> </w:t>
      </w:r>
      <w:r w:rsidR="00153CB5" w:rsidRPr="00153CB5">
        <w:rPr>
          <w:rFonts w:cstheme="minorHAnsi"/>
        </w:rPr>
        <w:t xml:space="preserve">According to the Royal National Institute of Blind (RNIB) over two million people in the UK are living with sight loss </w:t>
      </w:r>
      <w:r w:rsidR="008F6827">
        <w:rPr>
          <w:rFonts w:cstheme="minorHAnsi"/>
        </w:rPr>
        <w:fldChar w:fldCharType="begin" w:fldLock="1"/>
      </w:r>
      <w:r w:rsidR="00621F6C">
        <w:rPr>
          <w:rFonts w:cstheme="minorHAnsi"/>
        </w:rPr>
        <w:instrText>ADDIN CSL_CITATION {"citationItems":[{"id":"ITEM-1","itemData":{"abstract":"This report draws together the latest evidence on eye health. Definitions of sight loss fall into three broad categories: • clinical (used by professionals such as optometrists and ophthalmologists) • administrative (used by health and social care bodies) • self-reported (used by people to describe their own sight loss) We have used data from all of these sources in this report. Information is presented at UK level throughout this report. In some instances data from individual countries is given because it has not been possible to derive UKlevel data. The report specifies where this is the case. The table in Appendix B draws data from each chapter into a dashboard of indicators. with descriptions, sources of evidence and, where possible, trends. Further detail about the sources of evidence is given in each section of the report.","author":[{"dropping-particle":"","family":"RNIB &amp; Specsavers","given":"","non-dropping-particle":"","parse-names":false,"suffix":""}],"container-title":"The State of the Nation","id":"ITEM-1","issued":{"date-parts":[["2016"]]},"page":"27","title":"The State of the Nation Eye Health 2016","type":"article-journal"},"uris":["http://www.mendeley.com/documents/?uuid=b6c9da8f-114e-4023-b784-e02237332b6a"]}],"mendeley":{"formattedCitation":"[2]","plainTextFormattedCitation":"[2]","previouslyFormattedCitation":"[2]"},"properties":{"noteIndex":0},"schema":"https://github.com/citation-style-language/schema/raw/master/csl-citation.json"}</w:instrText>
      </w:r>
      <w:r w:rsidR="008F6827">
        <w:rPr>
          <w:rFonts w:cstheme="minorHAnsi"/>
        </w:rPr>
        <w:fldChar w:fldCharType="separate"/>
      </w:r>
      <w:r w:rsidR="00865658" w:rsidRPr="00865658">
        <w:rPr>
          <w:rFonts w:cstheme="minorHAnsi"/>
          <w:noProof/>
        </w:rPr>
        <w:t>[2]</w:t>
      </w:r>
      <w:r w:rsidR="008F6827">
        <w:rPr>
          <w:rFonts w:cstheme="minorHAnsi"/>
        </w:rPr>
        <w:fldChar w:fldCharType="end"/>
      </w:r>
      <w:r w:rsidR="00B959F2">
        <w:rPr>
          <w:rFonts w:cstheme="minorHAnsi"/>
        </w:rPr>
        <w:t xml:space="preserve"> caused by </w:t>
      </w:r>
      <w:r w:rsidR="00153CB5" w:rsidRPr="00153CB5">
        <w:rPr>
          <w:rFonts w:cstheme="minorHAnsi"/>
        </w:rPr>
        <w:t>conditions</w:t>
      </w:r>
      <w:r w:rsidR="00B959F2">
        <w:rPr>
          <w:rFonts w:cstheme="minorHAnsi"/>
        </w:rPr>
        <w:t xml:space="preserve"> such as</w:t>
      </w:r>
      <w:r w:rsidR="00153CB5" w:rsidRPr="00153CB5">
        <w:rPr>
          <w:rFonts w:cstheme="minorHAnsi"/>
        </w:rPr>
        <w:t xml:space="preserve"> </w:t>
      </w:r>
      <w:r w:rsidR="00B959F2" w:rsidRPr="00654D57">
        <w:t>Keratoconus</w:t>
      </w:r>
      <w:r w:rsidR="00B959F2">
        <w:t xml:space="preserve"> and</w:t>
      </w:r>
      <w:r w:rsidR="00B959F2" w:rsidRPr="00654D57">
        <w:t xml:space="preserve"> Fuchs’ Corneal Dystrophy</w:t>
      </w:r>
      <w:r w:rsidR="00440DDE">
        <w:t>,</w:t>
      </w:r>
      <w:r w:rsidR="00B959F2" w:rsidRPr="00153CB5">
        <w:rPr>
          <w:rFonts w:cstheme="minorHAnsi"/>
        </w:rPr>
        <w:t xml:space="preserve"> </w:t>
      </w:r>
      <w:r w:rsidR="00153CB5" w:rsidRPr="00153CB5">
        <w:rPr>
          <w:rFonts w:cstheme="minorHAnsi"/>
        </w:rPr>
        <w:t>that can be treated if eye tissue is available</w:t>
      </w:r>
      <w:r w:rsidR="00DF291D">
        <w:rPr>
          <w:rFonts w:cstheme="minorHAnsi"/>
        </w:rPr>
        <w:t xml:space="preserve"> (e.g.</w:t>
      </w:r>
      <w:r w:rsidR="00153CB5" w:rsidRPr="00153CB5">
        <w:rPr>
          <w:rFonts w:cstheme="minorHAnsi"/>
        </w:rPr>
        <w:t xml:space="preserve"> by corneal transplantation and reconstructive surgery</w:t>
      </w:r>
      <w:r w:rsidR="00DF291D">
        <w:rPr>
          <w:rFonts w:cstheme="minorHAnsi"/>
        </w:rPr>
        <w:t>)</w:t>
      </w:r>
      <w:r w:rsidR="005620BA">
        <w:rPr>
          <w:rFonts w:cstheme="minorHAnsi"/>
        </w:rPr>
        <w:t xml:space="preserve">. </w:t>
      </w:r>
      <w:r w:rsidR="00307545">
        <w:rPr>
          <w:rFonts w:cstheme="minorHAnsi"/>
        </w:rPr>
        <w:t xml:space="preserve">Eye tissue </w:t>
      </w:r>
      <w:r w:rsidR="00B959F2">
        <w:rPr>
          <w:rFonts w:cstheme="minorHAnsi"/>
        </w:rPr>
        <w:t xml:space="preserve">is also needed </w:t>
      </w:r>
      <w:r w:rsidR="005620BA">
        <w:rPr>
          <w:rFonts w:cstheme="minorHAnsi"/>
        </w:rPr>
        <w:t xml:space="preserve">for </w:t>
      </w:r>
      <w:r w:rsidR="00153CB5" w:rsidRPr="00153CB5">
        <w:rPr>
          <w:rFonts w:cstheme="minorHAnsi"/>
        </w:rPr>
        <w:t>research into a wide variety of eye disease</w:t>
      </w:r>
      <w:r w:rsidR="005620BA">
        <w:rPr>
          <w:rFonts w:cstheme="minorHAnsi"/>
        </w:rPr>
        <w:t>s</w:t>
      </w:r>
      <w:r w:rsidR="00B959F2">
        <w:rPr>
          <w:rFonts w:cstheme="minorHAnsi"/>
        </w:rPr>
        <w:t xml:space="preserve">, for </w:t>
      </w:r>
      <w:r w:rsidR="00485C74">
        <w:rPr>
          <w:rFonts w:cstheme="minorHAnsi"/>
        </w:rPr>
        <w:t>example</w:t>
      </w:r>
      <w:r w:rsidR="00B959F2" w:rsidRPr="00B959F2">
        <w:t xml:space="preserve"> </w:t>
      </w:r>
      <w:r w:rsidR="00B959F2" w:rsidRPr="00654D57">
        <w:t>endothelial failure post</w:t>
      </w:r>
      <w:r w:rsidR="00440DDE">
        <w:t>-</w:t>
      </w:r>
      <w:r w:rsidR="00B959F2" w:rsidRPr="00654D57">
        <w:t>cataract surgery</w:t>
      </w:r>
      <w:r w:rsidR="00B959F2">
        <w:t xml:space="preserve"> </w:t>
      </w:r>
      <w:r w:rsidR="00B959F2">
        <w:fldChar w:fldCharType="begin" w:fldLock="1"/>
      </w:r>
      <w:r w:rsidR="00621F6C">
        <w:instrText xml:space="preserve">ADDIN CSL_CITATION {"citationItems":[{"id":"ITEM-1","itemData":{"DOI":"10.1093/bja/aer398","ISSN":"14716771","abstract":"NHS Blood and Transplant (NHSBT) was established in 2005 as a Special Health Authority when the National Blood Authority and UK Transplant merged. This helped to bring tissue banking and organ transplantation services under one umbrella organization. This merger means that </w:instrText>
      </w:r>
      <w:r w:rsidR="00621F6C">
        <w:rPr>
          <w:rFonts w:ascii="Cambria Math" w:hAnsi="Cambria Math" w:cs="Cambria Math"/>
        </w:rPr>
        <w:instrText>∼</w:instrText>
      </w:r>
      <w:r w:rsidR="00621F6C">
        <w:instrText xml:space="preserve">95 of all deceased donors (whether tissue, organ or both) are now facilitated by one organization. NHSBT Tissue Services is the largest tissue establishment in the UK, and is a multi-tissue bank that specializes in the consent, retrieval, processing, storage, and dispatch of donated tissue coordinated from a purpose built, state-of-the-art tissue bank in Liverpool. Tissue donations can come from either tissue-only donors or solid organ donors who also donate tissue. Annually there are </w:instrText>
      </w:r>
      <w:r w:rsidR="00621F6C">
        <w:rPr>
          <w:rFonts w:ascii="Cambria Math" w:hAnsi="Cambria Math" w:cs="Cambria Math"/>
        </w:rPr>
        <w:instrText>∼</w:instrText>
      </w:r>
      <w:r w:rsidR="00621F6C">
        <w:instrText>450 multi-tissue donors and 2500 eye donors in the UK, resulting in many thousands of transplants, including 3564 cornea transplants in 20102011. The separation of tissue- and organ-specific donors is largely artificial, and while organ transplantation can be life-saving, tissue transplantation can also have a dramatic effect on a patients quality of life. It is hoped that all donors, both organ and tissue, will be recognized for the gift they make to society after their death. © 2012 The Author.","author":[{"dropping-particle":"","family":"Gaum","given":"L.","non-dropping-particle":"","parse-names":false,"suffix":""},{"dropping-particle":"","family":"Reynolds","given":"I.","non-dropping-particle":"","parse-names":false,"suffix":""},{"dropping-particle":"","family":"Jones","given":"M. N.A.","non-dropping-particle":"","parse-names":false,"suffix":""},{"dropping-particle":"","family":"Clarkson","given":"A. J.","non-dropping-particle":"","parse-names":false,"suffix":""},{"dropping-particle":"","family":"Gillan","given":"H. L.","non-dropping-particle":"","parse-names":false,"suffix":""},{"dropping-particle":"","family":"Kaye","given":"S. B.","non-dropping-particle":"","parse-names":false,"suffix":""}],"container-title":"British Journal of Anaesthesia","id":"ITEM-1","issue":"SUPPL. 1","issued":{"date-parts":[["2012"]]},"page":"i43-i47","publisher":"British Journal of Anaesthesia. Published by Elsevier Ltd.","title":"Tissue and corneal donation and transplantation in the UK","type":"article-journal","volume":"108"},"uris":["http://www.mendeley.com/documents/?uuid=d549ed30-7cb4-43ed-84a1-614e87fcb4e9"]}],"mendeley":{"formattedCitation":"[3]","plainTextFormattedCitation":"[3]","previouslyFormattedCitation":"[3]"},"properties":{"noteIndex":0},"schema":"https://github.com/citation-style-language/schema/raw/master/csl-citation.json"}</w:instrText>
      </w:r>
      <w:r w:rsidR="00B959F2">
        <w:fldChar w:fldCharType="separate"/>
      </w:r>
      <w:r w:rsidR="00865658" w:rsidRPr="00865658">
        <w:rPr>
          <w:noProof/>
        </w:rPr>
        <w:t>[3]</w:t>
      </w:r>
      <w:r w:rsidR="00B959F2">
        <w:fldChar w:fldCharType="end"/>
      </w:r>
      <w:r w:rsidR="00B959F2">
        <w:t>.</w:t>
      </w:r>
      <w:r w:rsidR="00B959F2">
        <w:rPr>
          <w:rFonts w:cstheme="minorHAnsi"/>
        </w:rPr>
        <w:t xml:space="preserve"> </w:t>
      </w:r>
      <w:r w:rsidR="00153CB5" w:rsidRPr="00153CB5">
        <w:rPr>
          <w:rFonts w:cstheme="minorHAnsi"/>
        </w:rPr>
        <w:t xml:space="preserve">  </w:t>
      </w:r>
      <w:r w:rsidR="002830AE">
        <w:rPr>
          <w:rFonts w:cstheme="minorHAnsi"/>
        </w:rPr>
        <w:t>T</w:t>
      </w:r>
      <w:r w:rsidR="00DF291D" w:rsidRPr="00153CB5">
        <w:rPr>
          <w:rFonts w:cstheme="minorHAnsi"/>
        </w:rPr>
        <w:t xml:space="preserve">he RNIB </w:t>
      </w:r>
      <w:r w:rsidR="00DF291D">
        <w:rPr>
          <w:rFonts w:cstheme="minorHAnsi"/>
        </w:rPr>
        <w:t xml:space="preserve">report </w:t>
      </w:r>
      <w:r w:rsidR="002830AE">
        <w:rPr>
          <w:rFonts w:cstheme="minorHAnsi"/>
        </w:rPr>
        <w:t xml:space="preserve">that </w:t>
      </w:r>
      <w:r w:rsidR="00B959F2">
        <w:rPr>
          <w:rFonts w:cstheme="minorHAnsi"/>
        </w:rPr>
        <w:t>a</w:t>
      </w:r>
      <w:r w:rsidR="00B959F2" w:rsidRPr="005C4DD6">
        <w:rPr>
          <w:rFonts w:cstheme="minorHAnsi"/>
        </w:rPr>
        <w:t xml:space="preserve">pproximately 5,000 corneal transplants are required </w:t>
      </w:r>
      <w:r w:rsidR="002830AE">
        <w:rPr>
          <w:rFonts w:cstheme="minorHAnsi"/>
        </w:rPr>
        <w:t>annually</w:t>
      </w:r>
      <w:r w:rsidR="00DF291D">
        <w:rPr>
          <w:rFonts w:cstheme="minorHAnsi"/>
        </w:rPr>
        <w:t xml:space="preserve"> in the UK</w:t>
      </w:r>
      <w:r w:rsidR="00B959F2">
        <w:rPr>
          <w:rFonts w:cstheme="minorHAnsi"/>
        </w:rPr>
        <w:t xml:space="preserve"> to address disease and injury resulting in sight loss</w:t>
      </w:r>
      <w:r w:rsidR="00DF291D">
        <w:rPr>
          <w:rFonts w:cstheme="minorHAnsi"/>
        </w:rPr>
        <w:t>,</w:t>
      </w:r>
      <w:r w:rsidR="00B959F2">
        <w:rPr>
          <w:rFonts w:cstheme="minorHAnsi"/>
        </w:rPr>
        <w:t xml:space="preserve"> with costs to </w:t>
      </w:r>
      <w:r w:rsidR="00153CB5" w:rsidRPr="00153CB5">
        <w:rPr>
          <w:rFonts w:cstheme="minorHAnsi"/>
        </w:rPr>
        <w:t xml:space="preserve">the UK economy </w:t>
      </w:r>
      <w:r w:rsidR="00B959F2">
        <w:rPr>
          <w:rFonts w:cstheme="minorHAnsi"/>
        </w:rPr>
        <w:t>(</w:t>
      </w:r>
      <w:r w:rsidR="00153CB5" w:rsidRPr="00153CB5">
        <w:rPr>
          <w:rFonts w:cstheme="minorHAnsi"/>
        </w:rPr>
        <w:t xml:space="preserve">unpaid carer </w:t>
      </w:r>
      <w:r w:rsidR="005620BA">
        <w:rPr>
          <w:rFonts w:cstheme="minorHAnsi"/>
        </w:rPr>
        <w:t>burden</w:t>
      </w:r>
      <w:r w:rsidR="005620BA" w:rsidRPr="00153CB5">
        <w:rPr>
          <w:rFonts w:cstheme="minorHAnsi"/>
        </w:rPr>
        <w:t xml:space="preserve"> </w:t>
      </w:r>
      <w:r w:rsidR="00153CB5" w:rsidRPr="00153CB5">
        <w:rPr>
          <w:rFonts w:cstheme="minorHAnsi"/>
        </w:rPr>
        <w:t>and reduced employment rates</w:t>
      </w:r>
      <w:r w:rsidR="002070DB">
        <w:rPr>
          <w:rFonts w:cstheme="minorHAnsi"/>
        </w:rPr>
        <w:t>) r</w:t>
      </w:r>
      <w:r w:rsidR="00153CB5" w:rsidRPr="00153CB5">
        <w:rPr>
          <w:rFonts w:cstheme="minorHAnsi"/>
        </w:rPr>
        <w:t xml:space="preserve">eported as £4.34 billion annually </w:t>
      </w:r>
      <w:r w:rsidR="008F6827">
        <w:rPr>
          <w:rFonts w:cstheme="minorHAnsi"/>
        </w:rPr>
        <w:fldChar w:fldCharType="begin" w:fldLock="1"/>
      </w:r>
      <w:r w:rsidR="00621F6C">
        <w:rPr>
          <w:rFonts w:cstheme="minorHAnsi"/>
        </w:rPr>
        <w:instrText>ADDIN CSL_CITATION {"citationItems":[{"id":"ITEM-1","itemData":{"abstract":"This report draws together the latest evidence on eye health. Definitions of sight loss fall into three broad categories: • clinical (used by professionals such as optometrists and ophthalmologists) • administrative (used by health and social care bodies) • self-reported (used by people to describe their own sight loss) We have used data from all of these sources in this report. Information is presented at UK level throughout this report. In some instances data from individual countries is given because it has not been possible to derive UKlevel data. The report specifies where this is the case. The table in Appendix B draws data from each chapter into a dashboard of indicators. with descriptions, sources of evidence and, where possible, trends. Further detail about the sources of evidence is given in each section of the report.","author":[{"dropping-particle":"","family":"RNIB &amp; Specsavers","given":"","non-dropping-particle":"","parse-names":false,"suffix":""}],"container-title":"The State of the Nation","id":"ITEM-1","issued":{"date-parts":[["2016"]]},"page":"27","title":"The State of the Nation Eye Health 2016","type":"article-journal"},"uris":["http://www.mendeley.com/documents/?uuid=b6c9da8f-114e-4023-b784-e02237332b6a"]}],"mendeley":{"formattedCitation":"[2]","plainTextFormattedCitation":"[2]","previouslyFormattedCitation":"[2]"},"properties":{"noteIndex":0},"schema":"https://github.com/citation-style-language/schema/raw/master/csl-citation.json"}</w:instrText>
      </w:r>
      <w:r w:rsidR="008F6827">
        <w:rPr>
          <w:rFonts w:cstheme="minorHAnsi"/>
        </w:rPr>
        <w:fldChar w:fldCharType="separate"/>
      </w:r>
      <w:r w:rsidR="00865658" w:rsidRPr="00865658">
        <w:rPr>
          <w:rFonts w:cstheme="minorHAnsi"/>
          <w:noProof/>
        </w:rPr>
        <w:t>[2]</w:t>
      </w:r>
      <w:r w:rsidR="008F6827">
        <w:rPr>
          <w:rFonts w:cstheme="minorHAnsi"/>
        </w:rPr>
        <w:fldChar w:fldCharType="end"/>
      </w:r>
      <w:r w:rsidR="00153CB5" w:rsidRPr="00153CB5">
        <w:rPr>
          <w:rFonts w:cstheme="minorHAnsi"/>
        </w:rPr>
        <w:t xml:space="preserve">. </w:t>
      </w:r>
      <w:r w:rsidR="002830AE">
        <w:rPr>
          <w:rFonts w:cstheme="minorHAnsi"/>
        </w:rPr>
        <w:t>Critically, the organisation predicts</w:t>
      </w:r>
      <w:r w:rsidR="00153CB5" w:rsidRPr="00153CB5">
        <w:rPr>
          <w:rFonts w:cstheme="minorHAnsi"/>
        </w:rPr>
        <w:t xml:space="preserve"> predicted that by 2050 the number of people with sight loss will double to nearly four million </w:t>
      </w:r>
      <w:r w:rsidR="001227F4">
        <w:rPr>
          <w:rFonts w:cstheme="minorHAnsi"/>
        </w:rPr>
        <w:fldChar w:fldCharType="begin" w:fldLock="1"/>
      </w:r>
      <w:r w:rsidR="00621F6C">
        <w:rPr>
          <w:rFonts w:cstheme="minorHAnsi"/>
        </w:rPr>
        <w:instrText>ADDIN CSL_CITATION {"citationItems":[{"id":"ITEM-1","itemData":{"abstract":"This report draws together the latest evidence on eye health. Definitions of sight loss fall into three broad categories: • clinical (used by professionals such as optometrists and ophthalmologists) • administrative (used by health and social care bodies) • self-reported (used by people to describe their own sight loss) We have used data from all of these sources in this report. Information is presented at UK level throughout this report. In some instances data from individual countries is given because it has not been possible to derive UKlevel data. The report specifies where this is the case. The table in Appendix B draws data from each chapter into a dashboard of indicators. with descriptions, sources of evidence and, where possible, trends. Further detail about the sources of evidence is given in each section of the report.","author":[{"dropping-particle":"","family":"RNIB &amp; Specsavers","given":"","non-dropping-particle":"","parse-names":false,"suffix":""}],"container-title":"The State of the Nation","id":"ITEM-1","issued":{"date-parts":[["2016"]]},"page":"27","title":"The State of the Nation Eye Health 2016","type":"article-journal"},"uris":["http://www.mendeley.com/documents/?uuid=b6c9da8f-114e-4023-b784-e02237332b6a"]}],"mendeley":{"formattedCitation":"[2]","plainTextFormattedCitation":"[2]","previouslyFormattedCitation":"[2]"},"properties":{"noteIndex":0},"schema":"https://github.com/citation-style-language/schema/raw/master/csl-citation.json"}</w:instrText>
      </w:r>
      <w:r w:rsidR="001227F4">
        <w:rPr>
          <w:rFonts w:cstheme="minorHAnsi"/>
        </w:rPr>
        <w:fldChar w:fldCharType="separate"/>
      </w:r>
      <w:r w:rsidR="00865658" w:rsidRPr="00865658">
        <w:rPr>
          <w:rFonts w:cstheme="minorHAnsi"/>
          <w:noProof/>
        </w:rPr>
        <w:t>[2]</w:t>
      </w:r>
      <w:r w:rsidR="001227F4">
        <w:rPr>
          <w:rFonts w:cstheme="minorHAnsi"/>
        </w:rPr>
        <w:fldChar w:fldCharType="end"/>
      </w:r>
      <w:r w:rsidR="002830AE">
        <w:rPr>
          <w:rFonts w:cstheme="minorHAnsi"/>
        </w:rPr>
        <w:t>.</w:t>
      </w:r>
      <w:r w:rsidR="00B959F2">
        <w:rPr>
          <w:rFonts w:cstheme="minorHAnsi"/>
        </w:rPr>
        <w:t xml:space="preserve"> </w:t>
      </w:r>
      <w:r w:rsidR="002830AE">
        <w:rPr>
          <w:rFonts w:cstheme="minorHAnsi"/>
        </w:rPr>
        <w:t>It is therefore imperative</w:t>
      </w:r>
      <w:r w:rsidR="00153CB5" w:rsidRPr="00153CB5">
        <w:rPr>
          <w:rFonts w:cstheme="minorHAnsi"/>
        </w:rPr>
        <w:t xml:space="preserve"> that the tissue needed to intervene in these conditions via corneal transplantation, reconstructive surgery, glaucoma surgery, and research into the causes and treatment of eye disease is available</w:t>
      </w:r>
    </w:p>
    <w:p w14:paraId="2E5A7116" w14:textId="356EF38A" w:rsidR="00723818" w:rsidRDefault="00654D57" w:rsidP="00D8308C">
      <w:pPr>
        <w:spacing w:before="100" w:beforeAutospacing="1" w:after="100" w:afterAutospacing="1" w:line="360" w:lineRule="auto"/>
        <w:jc w:val="both"/>
      </w:pPr>
      <w:r>
        <w:t>However, there is</w:t>
      </w:r>
      <w:r w:rsidR="00444AC1">
        <w:t xml:space="preserve"> a</w:t>
      </w:r>
      <w:r>
        <w:t xml:space="preserve"> long-standing shortfall in supply of</w:t>
      </w:r>
      <w:r w:rsidR="00EB02ED">
        <w:t xml:space="preserve"> eye </w:t>
      </w:r>
      <w:r w:rsidR="00444AC1">
        <w:t xml:space="preserve">tissue </w:t>
      </w:r>
      <w:r>
        <w:t>in the UK</w:t>
      </w:r>
      <w:r w:rsidR="00B1732B">
        <w:t xml:space="preserve"> and globally</w:t>
      </w:r>
      <w:r>
        <w:t>, with e</w:t>
      </w:r>
      <w:r w:rsidRPr="00654D57">
        <w:t xml:space="preserve">yes </w:t>
      </w:r>
      <w:r>
        <w:t>being the</w:t>
      </w:r>
      <w:r w:rsidRPr="00654D57">
        <w:t xml:space="preserve"> least donated</w:t>
      </w:r>
      <w:r>
        <w:t xml:space="preserve"> of all organs and tissues</w:t>
      </w:r>
      <w:r w:rsidR="00935215">
        <w:t xml:space="preserve"> when decision makers are offered a ‘list’ that they need to agree to</w:t>
      </w:r>
      <w:r w:rsidR="00A6573C">
        <w:t xml:space="preserve"> </w:t>
      </w:r>
      <w:r w:rsidR="002830AE">
        <w:t xml:space="preserve">that can be retrieved for use in transplantation </w:t>
      </w:r>
      <w:r w:rsidR="00A6573C">
        <w:t>(</w:t>
      </w:r>
      <w:proofErr w:type="spellStart"/>
      <w:r w:rsidR="002830AE">
        <w:t>n.b.</w:t>
      </w:r>
      <w:proofErr w:type="spellEnd"/>
      <w:r w:rsidR="002830AE">
        <w:t xml:space="preserve"> as </w:t>
      </w:r>
      <w:r w:rsidR="00A6573C" w:rsidRPr="00B959F2">
        <w:rPr>
          <w:iCs/>
        </w:rPr>
        <w:t xml:space="preserve">eyes are referred to as both organs </w:t>
      </w:r>
      <w:r w:rsidR="00A6573C" w:rsidRPr="005620BA">
        <w:rPr>
          <w:i/>
        </w:rPr>
        <w:t>and</w:t>
      </w:r>
      <w:r w:rsidR="00A6573C" w:rsidRPr="00B959F2">
        <w:rPr>
          <w:iCs/>
        </w:rPr>
        <w:t xml:space="preserve"> tissues in diffe</w:t>
      </w:r>
      <w:r w:rsidR="005620BA">
        <w:rPr>
          <w:iCs/>
        </w:rPr>
        <w:t>rent</w:t>
      </w:r>
      <w:r w:rsidR="00A6573C" w:rsidRPr="002070DB">
        <w:rPr>
          <w:iCs/>
        </w:rPr>
        <w:t xml:space="preserve"> context</w:t>
      </w:r>
      <w:r w:rsidR="005620BA">
        <w:rPr>
          <w:iCs/>
        </w:rPr>
        <w:t>s</w:t>
      </w:r>
      <w:r w:rsidR="007D5E97">
        <w:rPr>
          <w:iCs/>
        </w:rPr>
        <w:t>, we will refer to them as organs from here on</w:t>
      </w:r>
      <w:r w:rsidR="005620BA">
        <w:rPr>
          <w:iCs/>
        </w:rPr>
        <w:t>)</w:t>
      </w:r>
      <w:r>
        <w:t xml:space="preserve"> </w:t>
      </w:r>
      <w:r w:rsidR="00B85B84">
        <w:fldChar w:fldCharType="begin" w:fldLock="1"/>
      </w:r>
      <w:r w:rsidR="00F22014">
        <w:instrText>ADDIN CSL_CITATION {"citationItems":[{"id":"ITEM-1","itemData":{"author":[{"dropping-particle":"","family":"NHS-BT Organ and Tissue Advisory Group (OTAG)","given":"","non-dropping-particle":"","parse-names":false,"suffix":""}],"id":"ITEM-1","issued":{"date-parts":[["2016"]]},"title":"Tissue and Eye Procurement from Solid Organ Donors (TEPSOD) Activity Report","type":"report"},"uris":["http://www.mendeley.com/documents/?uuid=84d33db0-9610-446a-b701-95ddc6cf166f"]},{"id":"ITEM-2","itemData":{"ISSN":"00403318","PMID":"7278246","author":[{"dropping-particle":"","family":"NHS-BT","given":"","non-dropping-particle":"","parse-names":false,"suffix":""}],"id":"ITEM-2","issued":{"date-parts":[["2017"]]},"number-of-pages":"76-86","title":"Organ Donation and Transplantation - Activity report 2016/2017","type":"report"},"uris":["http://www.mendeley.com/documents/?uuid=a5ab2500-fa12-4059-819b-1bcdc99431b0"]}],"mendeley":{"formattedCitation":"[4,5]","plainTextFormattedCitation":"[4,5]","previouslyFormattedCitation":"[4,5]"},"properties":{"noteIndex":0},"schema":"https://github.com/citation-style-language/schema/raw/master/csl-citation.json"}</w:instrText>
      </w:r>
      <w:r w:rsidR="00B85B84">
        <w:fldChar w:fldCharType="separate"/>
      </w:r>
      <w:r w:rsidR="00865658" w:rsidRPr="00865658">
        <w:rPr>
          <w:noProof/>
        </w:rPr>
        <w:t>[4,5]</w:t>
      </w:r>
      <w:r w:rsidR="00B85B84">
        <w:fldChar w:fldCharType="end"/>
      </w:r>
      <w:r>
        <w:t>.</w:t>
      </w:r>
      <w:r w:rsidR="00381F38">
        <w:t xml:space="preserve"> </w:t>
      </w:r>
      <w:bookmarkStart w:id="0" w:name="_Hlk44944878"/>
      <w:r w:rsidR="00AC3066">
        <w:t>The UK National Health Services Blood and Transplant (NHSBT) Eye Bank in Speke,</w:t>
      </w:r>
      <w:r w:rsidR="00935215">
        <w:t xml:space="preserve"> </w:t>
      </w:r>
      <w:r w:rsidR="00AC3066">
        <w:t>Liverpool</w:t>
      </w:r>
      <w:r w:rsidR="00935215">
        <w:t xml:space="preserve"> and Bristol</w:t>
      </w:r>
      <w:r w:rsidR="00AC3066">
        <w:t xml:space="preserve"> (who supply most eye tissue used for surgical purposes in the UK) seeks to</w:t>
      </w:r>
      <w:r w:rsidR="002070DB">
        <w:t xml:space="preserve"> have </w:t>
      </w:r>
      <w:bookmarkStart w:id="1" w:name="_Hlk44944835"/>
      <w:r w:rsidR="00935215">
        <w:t>10 eye donors per day consistently</w:t>
      </w:r>
      <w:r w:rsidR="00935215" w:rsidDel="00935215">
        <w:t xml:space="preserve"> </w:t>
      </w:r>
      <w:r w:rsidR="00AC3066">
        <w:t>to satisfy demand for the treatment of patients</w:t>
      </w:r>
      <w:r w:rsidR="00935215">
        <w:t>.</w:t>
      </w:r>
      <w:r w:rsidR="00381F38">
        <w:t xml:space="preserve"> </w:t>
      </w:r>
      <w:bookmarkEnd w:id="0"/>
      <w:bookmarkEnd w:id="1"/>
      <w:r w:rsidR="00935215">
        <w:t xml:space="preserve">This number is not consistently met. </w:t>
      </w:r>
    </w:p>
    <w:p w14:paraId="34A6E6ED" w14:textId="481E866A" w:rsidR="002528F5" w:rsidRDefault="002528F5" w:rsidP="00D8308C">
      <w:pPr>
        <w:spacing w:before="100" w:beforeAutospacing="1" w:after="100" w:afterAutospacing="1" w:line="360" w:lineRule="auto"/>
        <w:jc w:val="both"/>
      </w:pPr>
      <w:r w:rsidRPr="002528F5">
        <w:t xml:space="preserve">Increasing supply is a key strategic aim for </w:t>
      </w:r>
      <w:r w:rsidR="004F6602" w:rsidRPr="004F6602">
        <w:t>NHSBT Tissue</w:t>
      </w:r>
      <w:r w:rsidR="00935215">
        <w:t xml:space="preserve"> and Eye </w:t>
      </w:r>
      <w:r w:rsidR="004F6602" w:rsidRPr="004F6602">
        <w:t xml:space="preserve">Services Division </w:t>
      </w:r>
      <w:r w:rsidR="00BA4FE6">
        <w:fldChar w:fldCharType="begin" w:fldLock="1"/>
      </w:r>
      <w:r w:rsidR="00621F6C">
        <w:instrText>ADDIN CSL_CITATION {"citationItems":[{"id":"ITEM-1","itemData":{"author":[{"dropping-particle":"","family":"NHS-BT","given":"","non-dropping-particle":"","parse-names":false,"suffix":""}],"id":"ITEM-1","issued":{"date-parts":[["2016"]]},"publisher-place":"Liverpool, UK","title":"NHS Blood and Transplant - Eye and Tissue Strategy","type":"report"},"uris":["http://www.mendeley.com/documents/?uuid=3c431f45-b4d8-48c5-8668-f8af1b918c21"]}],"mendeley":{"formattedCitation":"[6]","plainTextFormattedCitation":"[6]","previouslyFormattedCitation":"[6]"},"properties":{"noteIndex":0},"schema":"https://github.com/citation-style-language/schema/raw/master/csl-citation.json"}</w:instrText>
      </w:r>
      <w:r w:rsidR="00BA4FE6">
        <w:fldChar w:fldCharType="separate"/>
      </w:r>
      <w:r w:rsidR="00865658" w:rsidRPr="00865658">
        <w:rPr>
          <w:noProof/>
        </w:rPr>
        <w:t>[6]</w:t>
      </w:r>
      <w:r w:rsidR="00BA4FE6">
        <w:fldChar w:fldCharType="end"/>
      </w:r>
      <w:r w:rsidRPr="002528F5">
        <w:t xml:space="preserve"> and they, along with the UK Royal College of Ophthalmology (RCO)</w:t>
      </w:r>
      <w:r w:rsidR="00BA4FE6">
        <w:t xml:space="preserve"> </w:t>
      </w:r>
      <w:r w:rsidR="00BA4FE6">
        <w:fldChar w:fldCharType="begin" w:fldLock="1"/>
      </w:r>
      <w:r w:rsidR="00621F6C">
        <w:instrText>ADDIN CSL_CITATION {"citationItems":[{"id":"ITEM-1","itemData":{"author":[{"dropping-particle":"","family":"Royal College of Ophthalmologists","given":"","non-dropping-particle":"","parse-names":false,"suffix":""}],"id":"ITEM-1","issued":{"date-parts":[["2013"]]},"publisher-place":"London, UK","title":"Standards for the retrieval of human ocular tissue used in transplantation, research and training","type":"report"},"uris":["http://www.mendeley.com/documents/?uuid=54a8a307-35d0-4f06-b011-aa1c94bf8f4c"]}],"mendeley":{"formattedCitation":"[7]","plainTextFormattedCitation":"[7]","previouslyFormattedCitation":"[7]"},"properties":{"noteIndex":0},"schema":"https://github.com/citation-style-language/schema/raw/master/csl-citation.json"}</w:instrText>
      </w:r>
      <w:r w:rsidR="00BA4FE6">
        <w:fldChar w:fldCharType="separate"/>
      </w:r>
      <w:r w:rsidR="00865658" w:rsidRPr="00865658">
        <w:rPr>
          <w:noProof/>
        </w:rPr>
        <w:t>[7]</w:t>
      </w:r>
      <w:r w:rsidR="00BA4FE6">
        <w:fldChar w:fldCharType="end"/>
      </w:r>
      <w:r w:rsidRPr="002528F5">
        <w:t>, have expressed a need for research</w:t>
      </w:r>
      <w:r w:rsidR="005620BA">
        <w:t xml:space="preserve"> exploring</w:t>
      </w:r>
      <w:r w:rsidRPr="002528F5">
        <w:t xml:space="preserve"> barriers to eye donation</w:t>
      </w:r>
      <w:r w:rsidR="005620BA">
        <w:t>. This knowledge is needed</w:t>
      </w:r>
      <w:r w:rsidRPr="002528F5">
        <w:t xml:space="preserve"> not only as a basis for developing new routes to supply, but also </w:t>
      </w:r>
      <w:r w:rsidR="005620BA">
        <w:t>to inform guidance</w:t>
      </w:r>
      <w:r w:rsidRPr="002528F5">
        <w:t xml:space="preserve"> underpinning donation conversations with family members who are approached to </w:t>
      </w:r>
      <w:r w:rsidR="0072343F">
        <w:t xml:space="preserve">consider the option of eye donation. </w:t>
      </w:r>
      <w:r w:rsidR="00153CB5">
        <w:t>Increasing supply r</w:t>
      </w:r>
      <w:r w:rsidR="00723818" w:rsidRPr="00723818">
        <w:t>equires understanding of how patients and families relate to eye tissue donation (i.e. attitudes, beliefs, information needs</w:t>
      </w:r>
      <w:r w:rsidR="00153CB5">
        <w:t xml:space="preserve"> etc</w:t>
      </w:r>
      <w:r w:rsidR="005E68AB">
        <w:t>.</w:t>
      </w:r>
      <w:r w:rsidR="00153CB5">
        <w:t>)</w:t>
      </w:r>
      <w:r w:rsidR="00723818" w:rsidRPr="00723818">
        <w:t xml:space="preserve"> and how these processes shape donation outcomes</w:t>
      </w:r>
      <w:r w:rsidR="00153CB5">
        <w:t xml:space="preserve">, specifically family members declining </w:t>
      </w:r>
      <w:r w:rsidR="00723818" w:rsidRPr="00723818">
        <w:t xml:space="preserve">eye donation.  </w:t>
      </w:r>
    </w:p>
    <w:p w14:paraId="79A4852A" w14:textId="36ADF114" w:rsidR="00791056" w:rsidRDefault="00935215" w:rsidP="00791056">
      <w:pPr>
        <w:spacing w:before="100" w:beforeAutospacing="1" w:after="100" w:afterAutospacing="1" w:line="360" w:lineRule="auto"/>
        <w:jc w:val="both"/>
      </w:pPr>
      <w:r>
        <w:t>Eye donation from solid organ donors</w:t>
      </w:r>
      <w:r w:rsidR="003726EB">
        <w:t xml:space="preserve"> continues to prove problematic</w:t>
      </w:r>
      <w:r w:rsidR="002830AE">
        <w:t>,</w:t>
      </w:r>
      <w:r w:rsidR="00791056">
        <w:t xml:space="preserve"> with slow progress in increasing supply from this specific cohort of donors. For example, eye donation from solid organ donors generated 320 eyes between 1</w:t>
      </w:r>
      <w:r w:rsidR="002830AE" w:rsidRPr="002830AE">
        <w:rPr>
          <w:vertAlign w:val="superscript"/>
        </w:rPr>
        <w:t>st</w:t>
      </w:r>
      <w:r w:rsidR="002830AE">
        <w:t xml:space="preserve"> </w:t>
      </w:r>
      <w:r w:rsidR="00791056">
        <w:t xml:space="preserve"> April 2015 to 31</w:t>
      </w:r>
      <w:r w:rsidR="002830AE" w:rsidRPr="002830AE">
        <w:rPr>
          <w:vertAlign w:val="superscript"/>
        </w:rPr>
        <w:t>st</w:t>
      </w:r>
      <w:r w:rsidR="002830AE">
        <w:t xml:space="preserve"> </w:t>
      </w:r>
      <w:r w:rsidR="00791056">
        <w:t>March 2016</w:t>
      </w:r>
      <w:r w:rsidR="00104CBB">
        <w:t xml:space="preserve"> </w:t>
      </w:r>
      <w:r w:rsidR="00104CBB">
        <w:fldChar w:fldCharType="begin" w:fldLock="1"/>
      </w:r>
      <w:r w:rsidR="00104CBB">
        <w:instrText>ADDIN CSL_CITATION {"citationItems":[{"id":"ITEM-1","itemData":{"author":[{"dropping-particle":"","family":"NHS-BT Organ and Tissue Advisory Group (OTAG)","given":"","non-dropping-particle":"","parse-names":false,"suffix":""}],"id":"ITEM-1","issued":{"date-parts":[["2016"]]},"title":"Tissue and Eye Procurement from Solid Organ Donors (TEPSOD) Activity Report","type":"report"},"uris":["http://www.mendeley.com/documents/?uuid=84d33db0-9610-446a-b701-95ddc6cf166f"]}],"mendeley":{"formattedCitation":"[4]","plainTextFormattedCitation":"[4]","previouslyFormattedCitation":"[4]"},"properties":{"noteIndex":0},"schema":"https://github.com/citation-style-language/schema/raw/master/csl-citation.json"}</w:instrText>
      </w:r>
      <w:r w:rsidR="00104CBB">
        <w:fldChar w:fldCharType="separate"/>
      </w:r>
      <w:r w:rsidR="00104CBB" w:rsidRPr="00104CBB">
        <w:rPr>
          <w:noProof/>
        </w:rPr>
        <w:t>[4]</w:t>
      </w:r>
      <w:r w:rsidR="00104CBB">
        <w:fldChar w:fldCharType="end"/>
      </w:r>
      <w:r w:rsidR="00791056">
        <w:t xml:space="preserve"> , and 446 eyes between </w:t>
      </w:r>
      <w:r w:rsidR="00791056" w:rsidRPr="00B40A7B">
        <w:t>1</w:t>
      </w:r>
      <w:r w:rsidR="002830AE" w:rsidRPr="002830AE">
        <w:rPr>
          <w:vertAlign w:val="superscript"/>
        </w:rPr>
        <w:t>st</w:t>
      </w:r>
      <w:r w:rsidR="002830AE">
        <w:t xml:space="preserve"> </w:t>
      </w:r>
      <w:r w:rsidR="00791056" w:rsidRPr="00B40A7B">
        <w:t>April 2019 to 31</w:t>
      </w:r>
      <w:r w:rsidR="002830AE" w:rsidRPr="002830AE">
        <w:rPr>
          <w:vertAlign w:val="superscript"/>
        </w:rPr>
        <w:t>st</w:t>
      </w:r>
      <w:r w:rsidR="002830AE">
        <w:t xml:space="preserve"> </w:t>
      </w:r>
      <w:r w:rsidR="00791056" w:rsidRPr="00B40A7B">
        <w:t>March 20</w:t>
      </w:r>
      <w:r w:rsidR="00791056">
        <w:t>20</w:t>
      </w:r>
      <w:r w:rsidR="00104CBB">
        <w:t xml:space="preserve"> </w:t>
      </w:r>
      <w:r w:rsidR="00104CBB">
        <w:fldChar w:fldCharType="begin" w:fldLock="1"/>
      </w:r>
      <w:r w:rsidR="00104CBB">
        <w:instrText>ADDIN CSL_CITATION {"citationItems":[{"id":"ITEM-1","itemData":{"DOI":"10.1016/B978-0-12-373932-2.00158-7","ISBN":"9780123739322","author":[{"dropping-particle":"","family":"NHSBT","given":"","non-dropping-particle":"","parse-names":false,"suffix":""}],"id":"ITEM-1","issued":{"date-parts":[["2020"]]},"publisher-place":"Liverpool, UK","title":"Organ Donation and Transplantation Activity Report 2019/20","type":"report"},"uris":["http://www.mendeley.com/documents/?uuid=aab85c88-93ec-4516-9dc0-bad4e1d97a75"]}],"mendeley":{"formattedCitation":"[8]","plainTextFormattedCitation":"[8]","previouslyFormattedCitation":"[8]"},"properties":{"noteIndex":0},"schema":"https://github.com/citation-style-language/schema/raw/master/csl-citation.json"}</w:instrText>
      </w:r>
      <w:r w:rsidR="00104CBB">
        <w:fldChar w:fldCharType="separate"/>
      </w:r>
      <w:r w:rsidR="00104CBB" w:rsidRPr="00104CBB">
        <w:rPr>
          <w:noProof/>
        </w:rPr>
        <w:t>[8]</w:t>
      </w:r>
      <w:r w:rsidR="00104CBB">
        <w:fldChar w:fldCharType="end"/>
      </w:r>
      <w:r w:rsidR="00791056" w:rsidRPr="00EC7112">
        <w:rPr>
          <w:color w:val="4472C4" w:themeColor="accent1"/>
        </w:rPr>
        <w:t xml:space="preserve">. </w:t>
      </w:r>
      <w:r w:rsidR="00104CBB">
        <w:t>Current evidence indicates</w:t>
      </w:r>
      <w:r w:rsidR="00791056">
        <w:t xml:space="preserve"> that nationally on </w:t>
      </w:r>
      <w:r w:rsidR="00791056" w:rsidRPr="00C47759">
        <w:t>average only 40%</w:t>
      </w:r>
      <w:r w:rsidR="00791056">
        <w:t xml:space="preserve"> (range 31-64%)</w:t>
      </w:r>
      <w:r w:rsidR="00791056" w:rsidRPr="00C47759">
        <w:t xml:space="preserve"> of next-of-kin (</w:t>
      </w:r>
      <w:proofErr w:type="spellStart"/>
      <w:r w:rsidR="00791056" w:rsidRPr="00C47759">
        <w:t>NoK</w:t>
      </w:r>
      <w:proofErr w:type="spellEnd"/>
      <w:r w:rsidR="00791056" w:rsidRPr="00C47759">
        <w:t>) agree to eye donation when approached to consider solid organ donation</w:t>
      </w:r>
      <w:r w:rsidR="00104CBB">
        <w:t xml:space="preserve"> ,</w:t>
      </w:r>
      <w:r w:rsidR="00791056">
        <w:t xml:space="preserve"> whilst</w:t>
      </w:r>
      <w:r w:rsidR="00165E37">
        <w:t xml:space="preserve"> 67% of </w:t>
      </w:r>
      <w:proofErr w:type="spellStart"/>
      <w:r w:rsidR="00165E37">
        <w:t>NoK</w:t>
      </w:r>
      <w:proofErr w:type="spellEnd"/>
      <w:r w:rsidR="00165E37">
        <w:t xml:space="preserve"> agree to solid organ donation</w:t>
      </w:r>
      <w:r w:rsidR="00400E88">
        <w:t xml:space="preserve"> </w:t>
      </w:r>
      <w:r w:rsidR="00400E88">
        <w:fldChar w:fldCharType="begin" w:fldLock="1"/>
      </w:r>
      <w:r w:rsidR="004B3E3F">
        <w:instrText>ADDIN CSL_CITATION {"citationItems":[{"id":"ITEM-1","itemData":{"ISSN":"00403318","PMID":"7278246","author":[{"dropping-particle":"","family":"NHS-BT","given":"","non-dropping-particle":"","parse-names":false,"suffix":""}],"id":"ITEM-1","issued":{"date-parts":[["2017"]]},"number-of-pages":"76-86","title":"Organ Donation and Transplantation - Activity report 2016/2017","type":"report"},"uris":["http://www.mendeley.com/documents/?uuid=a5ab2500-fa12-4059-819b-1bcdc99431b0"]}],"mendeley":{"formattedCitation":"[5]","plainTextFormattedCitation":"[5]","previouslyFormattedCitation":"[5]"},"properties":{"noteIndex":0},"schema":"https://github.com/citation-style-language/schema/raw/master/csl-citation.json"}</w:instrText>
      </w:r>
      <w:r w:rsidR="00400E88">
        <w:fldChar w:fldCharType="separate"/>
      </w:r>
      <w:r w:rsidR="00400E88" w:rsidRPr="00400E88">
        <w:rPr>
          <w:noProof/>
        </w:rPr>
        <w:t>[5]</w:t>
      </w:r>
      <w:r w:rsidR="00400E88">
        <w:fldChar w:fldCharType="end"/>
      </w:r>
      <w:r w:rsidR="00165E37">
        <w:t xml:space="preserve">, </w:t>
      </w:r>
      <w:r w:rsidR="00104CBB">
        <w:t xml:space="preserve">and therefore </w:t>
      </w:r>
      <w:r w:rsidR="00791056">
        <w:t xml:space="preserve">what contributes to this difference is an important area for </w:t>
      </w:r>
      <w:r w:rsidR="00104CBB">
        <w:t>investigation</w:t>
      </w:r>
      <w:r w:rsidR="00791056">
        <w:t>.</w:t>
      </w:r>
    </w:p>
    <w:p w14:paraId="15A4A5EB" w14:textId="41DC5E08" w:rsidR="007A631A" w:rsidRPr="001919FA" w:rsidRDefault="007A631A" w:rsidP="00D8308C">
      <w:pPr>
        <w:spacing w:before="100" w:beforeAutospacing="1" w:after="100" w:afterAutospacing="1" w:line="360" w:lineRule="auto"/>
        <w:jc w:val="both"/>
      </w:pPr>
      <w:r>
        <w:t>In this paper we aim to contribute to the knowledge base around non-donation of eye tissue from solid organ donors</w:t>
      </w:r>
      <w:r w:rsidR="00EB02ED">
        <w:t xml:space="preserve"> by reporting</w:t>
      </w:r>
      <w:r w:rsidR="008F2B40">
        <w:t xml:space="preserve">, for the first time, </w:t>
      </w:r>
      <w:r w:rsidR="00EB02ED">
        <w:t xml:space="preserve">national clinical data </w:t>
      </w:r>
      <w:r w:rsidR="008129F9">
        <w:t xml:space="preserve">collected and provided by NHS Blood and </w:t>
      </w:r>
      <w:r w:rsidR="00153CB5">
        <w:t>Transplant</w:t>
      </w:r>
      <w:r w:rsidR="008129F9">
        <w:t xml:space="preserve"> </w:t>
      </w:r>
      <w:r w:rsidR="00993250">
        <w:t xml:space="preserve">between </w:t>
      </w:r>
      <w:r w:rsidR="008129F9">
        <w:t>2014–2017</w:t>
      </w:r>
      <w:r w:rsidR="00201516">
        <w:t>,</w:t>
      </w:r>
      <w:r w:rsidR="008129F9">
        <w:t xml:space="preserve"> </w:t>
      </w:r>
      <w:r w:rsidR="007D5E97">
        <w:t>aligned with key</w:t>
      </w:r>
      <w:r w:rsidR="00153CB5">
        <w:t xml:space="preserve"> </w:t>
      </w:r>
      <w:r w:rsidR="00EB02ED">
        <w:t>theoretical perspectives</w:t>
      </w:r>
      <w:r w:rsidR="007D5E97">
        <w:t xml:space="preserve"> reported to explain donating behaviours</w:t>
      </w:r>
      <w:r w:rsidR="00201516">
        <w:t xml:space="preserve">. This body of work </w:t>
      </w:r>
      <w:r w:rsidR="00153CB5">
        <w:t>from the past 30 years</w:t>
      </w:r>
      <w:r w:rsidR="007D5E97">
        <w:t xml:space="preserve"> will </w:t>
      </w:r>
      <w:r w:rsidR="00153CB5">
        <w:t xml:space="preserve">advance knowledge and understanding of </w:t>
      </w:r>
      <w:r w:rsidR="00EB02ED">
        <w:t>the reasons why of all organs and tissues that can be donated</w:t>
      </w:r>
      <w:r w:rsidR="00400E88">
        <w:t>,</w:t>
      </w:r>
      <w:r w:rsidR="00EB02ED">
        <w:t xml:space="preserve"> eyes remain the least donated </w:t>
      </w:r>
      <w:r w:rsidR="00EB02ED" w:rsidRPr="001919FA">
        <w:t>organ</w:t>
      </w:r>
      <w:r w:rsidR="00F22014" w:rsidRPr="001919FA">
        <w:t xml:space="preserve"> </w:t>
      </w:r>
      <w:r w:rsidR="00F22014" w:rsidRPr="001919FA">
        <w:fldChar w:fldCharType="begin" w:fldLock="1"/>
      </w:r>
      <w:r w:rsidR="00B5024A" w:rsidRPr="001919FA">
        <w:instrText>ADDIN CSL_CITATION {"citationItems":[{"id":"ITEM-1","itemData":{"author":[{"dropping-particle":"","family":"NHS-BT Organ and Tissue Advisory Group (OTAG)","given":"","non-dropping-particle":"","parse-names":false,"suffix":""}],"id":"ITEM-1","issued":{"date-parts":[["2016"]]},"title":"Tissue and Eye Procurement from Solid Organ Donors (TEPSOD) Activity Report","type":"report"},"uris":["http://www.mendeley.com/documents/?uuid=84d33db0-9610-446a-b701-95ddc6cf166f"]},{"id":"ITEM-2","itemData":{"ISSN":"00403318","PMID":"7278246","author":[{"dropping-particle":"","family":"NHS-BT","given":"","non-dropping-particle":"","parse-names":false,"suffix":""}],"id":"ITEM-2","issued":{"date-parts":[["2017"]]},"number-of-pages":"76-86","title":"Organ Donation and Transplantation - Activity report 2016/2017","type":"report"},"uris":["http://www.mendeley.com/documents/?uuid=a5ab2500-fa12-4059-819b-1bcdc99431b0"]}],"mendeley":{"formattedCitation":"[4,5]","plainTextFormattedCitation":"[4,5]","previouslyFormattedCitation":"[4,5]"},"properties":{"noteIndex":0},"schema":"https://github.com/citation-style-language/schema/raw/master/csl-citation.json"}</w:instrText>
      </w:r>
      <w:r w:rsidR="00F22014" w:rsidRPr="001919FA">
        <w:fldChar w:fldCharType="separate"/>
      </w:r>
      <w:r w:rsidR="00F22014" w:rsidRPr="001919FA">
        <w:rPr>
          <w:noProof/>
        </w:rPr>
        <w:t>[4,5]</w:t>
      </w:r>
      <w:r w:rsidR="00F22014" w:rsidRPr="001919FA">
        <w:fldChar w:fldCharType="end"/>
      </w:r>
      <w:r w:rsidR="007D5E97" w:rsidRPr="001919FA">
        <w:t xml:space="preserve">. </w:t>
      </w:r>
    </w:p>
    <w:p w14:paraId="687DD271" w14:textId="4A064BBB" w:rsidR="007A631A" w:rsidRPr="007D5E97" w:rsidRDefault="002528F5" w:rsidP="00D8308C">
      <w:pPr>
        <w:spacing w:before="100" w:beforeAutospacing="1" w:after="100" w:afterAutospacing="1" w:line="360" w:lineRule="auto"/>
        <w:jc w:val="both"/>
        <w:rPr>
          <w:b/>
          <w:bCs/>
        </w:rPr>
      </w:pPr>
      <w:r w:rsidRPr="007D5E97">
        <w:rPr>
          <w:b/>
          <w:bCs/>
        </w:rPr>
        <w:t>Study</w:t>
      </w:r>
      <w:r w:rsidR="007A631A" w:rsidRPr="007D5E97">
        <w:rPr>
          <w:b/>
          <w:bCs/>
        </w:rPr>
        <w:t xml:space="preserve"> objectives:</w:t>
      </w:r>
    </w:p>
    <w:p w14:paraId="2500B85F" w14:textId="3B0C3909" w:rsidR="00EB02ED" w:rsidRPr="007D5E97" w:rsidRDefault="00883EE8" w:rsidP="00D8308C">
      <w:pPr>
        <w:pStyle w:val="ListParagraph"/>
        <w:numPr>
          <w:ilvl w:val="0"/>
          <w:numId w:val="3"/>
        </w:numPr>
        <w:spacing w:before="100" w:beforeAutospacing="1" w:after="100" w:afterAutospacing="1" w:line="360" w:lineRule="auto"/>
        <w:jc w:val="both"/>
        <w:rPr>
          <w:i/>
          <w:iCs/>
        </w:rPr>
      </w:pPr>
      <w:r w:rsidRPr="007D5E97">
        <w:rPr>
          <w:i/>
          <w:iCs/>
        </w:rPr>
        <w:t>Describe</w:t>
      </w:r>
      <w:r w:rsidR="007A631A" w:rsidRPr="007D5E97">
        <w:rPr>
          <w:i/>
          <w:iCs/>
        </w:rPr>
        <w:t xml:space="preserve"> the reported reasons why eye donation did not take place from </w:t>
      </w:r>
      <w:r w:rsidR="001E640D">
        <w:rPr>
          <w:i/>
          <w:iCs/>
        </w:rPr>
        <w:t xml:space="preserve">potential </w:t>
      </w:r>
      <w:r w:rsidR="007A631A" w:rsidRPr="007D5E97">
        <w:rPr>
          <w:i/>
          <w:iCs/>
        </w:rPr>
        <w:t xml:space="preserve">solid organ donors in the UK between </w:t>
      </w:r>
      <w:r w:rsidR="00EB02ED" w:rsidRPr="007D5E97">
        <w:rPr>
          <w:bCs/>
          <w:i/>
          <w:iCs/>
        </w:rPr>
        <w:t>1</w:t>
      </w:r>
      <w:r w:rsidR="00EB02ED" w:rsidRPr="007D5E97">
        <w:rPr>
          <w:bCs/>
          <w:i/>
          <w:iCs/>
          <w:vertAlign w:val="superscript"/>
        </w:rPr>
        <w:t>st</w:t>
      </w:r>
      <w:r w:rsidR="00EB02ED" w:rsidRPr="007D5E97">
        <w:rPr>
          <w:bCs/>
          <w:i/>
          <w:iCs/>
        </w:rPr>
        <w:t xml:space="preserve"> April 2014 – 31</w:t>
      </w:r>
      <w:r w:rsidR="00EB02ED" w:rsidRPr="007D5E97">
        <w:rPr>
          <w:bCs/>
          <w:i/>
          <w:iCs/>
          <w:vertAlign w:val="superscript"/>
        </w:rPr>
        <w:t>st</w:t>
      </w:r>
      <w:r w:rsidR="00EB02ED" w:rsidRPr="007D5E97">
        <w:rPr>
          <w:bCs/>
          <w:i/>
          <w:iCs/>
        </w:rPr>
        <w:t xml:space="preserve"> March 2017</w:t>
      </w:r>
      <w:r w:rsidR="00616658" w:rsidRPr="007D5E97">
        <w:rPr>
          <w:bCs/>
          <w:i/>
          <w:iCs/>
        </w:rPr>
        <w:t xml:space="preserve">. </w:t>
      </w:r>
    </w:p>
    <w:p w14:paraId="36572D54" w14:textId="0410B4DD" w:rsidR="007A631A" w:rsidRPr="007D5E97" w:rsidRDefault="00201516" w:rsidP="00D8308C">
      <w:pPr>
        <w:pStyle w:val="ListParagraph"/>
        <w:numPr>
          <w:ilvl w:val="0"/>
          <w:numId w:val="3"/>
        </w:numPr>
        <w:spacing w:before="100" w:beforeAutospacing="1" w:after="100" w:afterAutospacing="1" w:line="360" w:lineRule="auto"/>
        <w:jc w:val="both"/>
        <w:rPr>
          <w:i/>
          <w:iCs/>
        </w:rPr>
      </w:pPr>
      <w:r w:rsidRPr="007D5E97">
        <w:rPr>
          <w:i/>
          <w:iCs/>
        </w:rPr>
        <w:t>Discuss the</w:t>
      </w:r>
      <w:r w:rsidR="00B95528">
        <w:rPr>
          <w:i/>
          <w:iCs/>
        </w:rPr>
        <w:t>se</w:t>
      </w:r>
      <w:r w:rsidRPr="007D5E97">
        <w:rPr>
          <w:i/>
          <w:iCs/>
        </w:rPr>
        <w:t xml:space="preserve"> findings in the context of existing theoretical perspectives relating to non-donation of eyes by </w:t>
      </w:r>
      <w:r w:rsidR="00442954">
        <w:rPr>
          <w:i/>
          <w:iCs/>
        </w:rPr>
        <w:t>family members</w:t>
      </w:r>
    </w:p>
    <w:p w14:paraId="7F64DF9C" w14:textId="77777777" w:rsidR="001919FA" w:rsidRPr="00711E2D" w:rsidRDefault="005C4DD6" w:rsidP="001919FA">
      <w:pPr>
        <w:pStyle w:val="Heading1"/>
        <w:spacing w:before="100" w:beforeAutospacing="1" w:after="100" w:afterAutospacing="1" w:line="360" w:lineRule="auto"/>
        <w:rPr>
          <w:rFonts w:ascii="Calibri" w:hAnsi="Calibri" w:cs="Calibri"/>
          <w:b/>
          <w:color w:val="auto"/>
          <w:sz w:val="22"/>
          <w:szCs w:val="22"/>
          <w:u w:val="single"/>
        </w:rPr>
      </w:pPr>
      <w:r w:rsidRPr="00711E2D">
        <w:rPr>
          <w:rFonts w:ascii="Calibri" w:hAnsi="Calibri" w:cs="Calibri"/>
          <w:b/>
          <w:color w:val="auto"/>
          <w:sz w:val="22"/>
          <w:szCs w:val="22"/>
          <w:u w:val="single"/>
        </w:rPr>
        <w:t xml:space="preserve">Study design </w:t>
      </w:r>
    </w:p>
    <w:p w14:paraId="6F2E92B0" w14:textId="6AB67580" w:rsidR="00F3510F" w:rsidRDefault="00883EE8" w:rsidP="009F3ADB">
      <w:pPr>
        <w:spacing w:line="360" w:lineRule="auto"/>
        <w:rPr>
          <w:rFonts w:eastAsia="Times New Roman"/>
          <w:lang w:eastAsia="en-GB"/>
        </w:rPr>
      </w:pPr>
      <w:r w:rsidRPr="001E2EBF">
        <w:rPr>
          <w:bCs/>
        </w:rPr>
        <w:t>To gain</w:t>
      </w:r>
      <w:r w:rsidR="008129F9" w:rsidRPr="001E2EBF">
        <w:t xml:space="preserve"> </w:t>
      </w:r>
      <w:r w:rsidRPr="001E2EBF">
        <w:t>further insight</w:t>
      </w:r>
      <w:r w:rsidR="005C4DD6" w:rsidRPr="001E2EBF">
        <w:t xml:space="preserve"> into</w:t>
      </w:r>
      <w:r w:rsidR="00322613" w:rsidRPr="001E2EBF">
        <w:t xml:space="preserve"> the factors</w:t>
      </w:r>
      <w:r w:rsidRPr="001E2EBF">
        <w:t xml:space="preserve"> leading to</w:t>
      </w:r>
      <w:r w:rsidR="008129F9" w:rsidRPr="001E2EBF">
        <w:t xml:space="preserve"> low number</w:t>
      </w:r>
      <w:r w:rsidRPr="001E2EBF">
        <w:t>s</w:t>
      </w:r>
      <w:r w:rsidR="008129F9" w:rsidRPr="001E2EBF">
        <w:t xml:space="preserve"> of eyes being secured from solid organ donation</w:t>
      </w:r>
      <w:r w:rsidRPr="001E2EBF">
        <w:t>,</w:t>
      </w:r>
      <w:r w:rsidR="008129F9" w:rsidRPr="001E2EBF">
        <w:t xml:space="preserve"> </w:t>
      </w:r>
      <w:r w:rsidRPr="001E2EBF">
        <w:t>a</w:t>
      </w:r>
      <w:r w:rsidR="008129F9" w:rsidRPr="001E2EBF">
        <w:t xml:space="preserve"> working party</w:t>
      </w:r>
      <w:r w:rsidR="00C47759" w:rsidRPr="001E2EBF">
        <w:t xml:space="preserve"> (</w:t>
      </w:r>
      <w:bookmarkStart w:id="2" w:name="_Hlk51938343"/>
      <w:r w:rsidR="00C47759" w:rsidRPr="001E2EBF">
        <w:t>Eye Donation from Solid Organ Donors – EPSOD, 2014-2017</w:t>
      </w:r>
      <w:bookmarkEnd w:id="2"/>
      <w:r w:rsidR="00C47759" w:rsidRPr="001E2EBF">
        <w:t>)</w:t>
      </w:r>
      <w:r w:rsidR="008129F9" w:rsidRPr="001E2EBF">
        <w:t xml:space="preserve"> </w:t>
      </w:r>
      <w:r w:rsidR="006A6736" w:rsidRPr="001E2EBF">
        <w:t xml:space="preserve">was </w:t>
      </w:r>
      <w:r w:rsidR="00322613" w:rsidRPr="001E2EBF">
        <w:t>convened</w:t>
      </w:r>
      <w:r w:rsidR="00442954" w:rsidRPr="001E2EBF">
        <w:t xml:space="preserve"> with the remit</w:t>
      </w:r>
      <w:r w:rsidR="00051AEF" w:rsidRPr="001E2EBF">
        <w:t xml:space="preserve"> </w:t>
      </w:r>
      <w:r w:rsidR="006A6736" w:rsidRPr="001E2EBF">
        <w:t>to</w:t>
      </w:r>
      <w:r w:rsidR="00442954" w:rsidRPr="001E2EBF">
        <w:t>:</w:t>
      </w:r>
      <w:r w:rsidR="0067210F" w:rsidRPr="001E2EBF">
        <w:t xml:space="preserve"> p</w:t>
      </w:r>
      <w:r w:rsidR="00CE1EB4" w:rsidRPr="001E2EBF">
        <w:rPr>
          <w:rFonts w:eastAsia="Times New Roman"/>
          <w:lang w:eastAsia="en-GB"/>
        </w:rPr>
        <w:t xml:space="preserve">lan and action </w:t>
      </w:r>
      <w:r w:rsidR="00322613" w:rsidRPr="001E2EBF">
        <w:rPr>
          <w:rFonts w:eastAsia="Times New Roman"/>
          <w:lang w:eastAsia="en-GB"/>
        </w:rPr>
        <w:t xml:space="preserve">an </w:t>
      </w:r>
      <w:r w:rsidR="00CE1EB4" w:rsidRPr="001E2EBF">
        <w:rPr>
          <w:rFonts w:eastAsia="Times New Roman"/>
          <w:lang w:eastAsia="en-GB"/>
        </w:rPr>
        <w:t>effective response to demand and supply</w:t>
      </w:r>
      <w:r w:rsidR="00442954" w:rsidRPr="001E2EBF">
        <w:rPr>
          <w:rFonts w:eastAsia="Times New Roman"/>
          <w:lang w:eastAsia="en-GB"/>
        </w:rPr>
        <w:t xml:space="preserve"> problems</w:t>
      </w:r>
      <w:r w:rsidR="00381F38">
        <w:rPr>
          <w:rFonts w:eastAsia="Times New Roman"/>
          <w:lang w:eastAsia="en-GB"/>
        </w:rPr>
        <w:t>;</w:t>
      </w:r>
      <w:r w:rsidR="00442954" w:rsidRPr="001E2EBF">
        <w:rPr>
          <w:rFonts w:eastAsia="Times New Roman"/>
          <w:lang w:eastAsia="en-GB"/>
        </w:rPr>
        <w:t xml:space="preserve"> </w:t>
      </w:r>
      <w:r w:rsidR="00400E88">
        <w:rPr>
          <w:rFonts w:eastAsia="Times New Roman"/>
          <w:lang w:eastAsia="en-GB"/>
        </w:rPr>
        <w:t xml:space="preserve">and </w:t>
      </w:r>
      <w:r w:rsidR="0067210F" w:rsidRPr="001E2EBF">
        <w:rPr>
          <w:rFonts w:eastAsia="Times New Roman"/>
          <w:lang w:eastAsia="en-GB"/>
        </w:rPr>
        <w:t>make evidence-based</w:t>
      </w:r>
      <w:r w:rsidR="00CE1EB4" w:rsidRPr="001E2EBF">
        <w:rPr>
          <w:rFonts w:eastAsia="Times New Roman"/>
          <w:lang w:eastAsia="en-GB"/>
        </w:rPr>
        <w:t xml:space="preserve"> recommendations to NHSBT and external stakeholders </w:t>
      </w:r>
      <w:r w:rsidR="0067210F" w:rsidRPr="001E2EBF">
        <w:rPr>
          <w:rFonts w:eastAsia="Times New Roman"/>
          <w:lang w:eastAsia="en-GB"/>
        </w:rPr>
        <w:t>regarding potential</w:t>
      </w:r>
      <w:r w:rsidR="00CE1EB4" w:rsidRPr="001E2EBF">
        <w:rPr>
          <w:rFonts w:eastAsia="Times New Roman"/>
          <w:lang w:eastAsia="en-GB"/>
        </w:rPr>
        <w:t xml:space="preserve"> service</w:t>
      </w:r>
      <w:r w:rsidR="001E640D">
        <w:rPr>
          <w:rFonts w:eastAsia="Times New Roman"/>
          <w:lang w:eastAsia="en-GB"/>
        </w:rPr>
        <w:t xml:space="preserve"> development </w:t>
      </w:r>
      <w:r w:rsidR="00A437FC" w:rsidRPr="001E2EBF">
        <w:rPr>
          <w:rFonts w:eastAsia="Times New Roman"/>
          <w:lang w:eastAsia="en-GB"/>
        </w:rPr>
        <w:t>that would impact on the current</w:t>
      </w:r>
      <w:r w:rsidR="00AE04E0" w:rsidRPr="001E2EBF">
        <w:rPr>
          <w:rFonts w:eastAsia="Times New Roman"/>
          <w:lang w:eastAsia="en-GB"/>
        </w:rPr>
        <w:t xml:space="preserve"> low</w:t>
      </w:r>
      <w:r w:rsidR="00A437FC" w:rsidRPr="001E2EBF">
        <w:rPr>
          <w:rFonts w:eastAsia="Times New Roman"/>
          <w:lang w:eastAsia="en-GB"/>
        </w:rPr>
        <w:t xml:space="preserve"> supply of eye tissue. </w:t>
      </w:r>
      <w:r w:rsidR="0067210F" w:rsidRPr="001E2EBF">
        <w:rPr>
          <w:rFonts w:eastAsia="Times New Roman"/>
          <w:lang w:eastAsia="en-GB"/>
        </w:rPr>
        <w:t xml:space="preserve"> </w:t>
      </w:r>
    </w:p>
    <w:p w14:paraId="087AB00E" w14:textId="646B4ACF" w:rsidR="00115262" w:rsidRPr="00115262" w:rsidRDefault="00115262" w:rsidP="009F3ADB">
      <w:pPr>
        <w:spacing w:line="360" w:lineRule="auto"/>
        <w:rPr>
          <w:rFonts w:eastAsia="Times New Roman"/>
          <w:i/>
          <w:iCs/>
          <w:lang w:eastAsia="en-GB"/>
        </w:rPr>
      </w:pPr>
      <w:r>
        <w:rPr>
          <w:rFonts w:eastAsia="Times New Roman"/>
          <w:i/>
          <w:iCs/>
          <w:lang w:eastAsia="en-GB"/>
        </w:rPr>
        <w:t>Ethical approval</w:t>
      </w:r>
    </w:p>
    <w:p w14:paraId="21FA2679" w14:textId="74C6A2E3" w:rsidR="004309BE" w:rsidRDefault="004309BE" w:rsidP="009F3ADB">
      <w:pPr>
        <w:spacing w:line="360" w:lineRule="auto"/>
        <w:rPr>
          <w:rFonts w:eastAsia="Times New Roman"/>
          <w:lang w:eastAsia="en-GB"/>
        </w:rPr>
      </w:pPr>
      <w:r>
        <w:rPr>
          <w:rFonts w:eastAsia="Times New Roman"/>
          <w:lang w:eastAsia="en-GB"/>
        </w:rPr>
        <w:t xml:space="preserve">Ethical approval was </w:t>
      </w:r>
      <w:r w:rsidR="00CE43A6">
        <w:rPr>
          <w:rFonts w:eastAsia="Times New Roman"/>
          <w:lang w:eastAsia="en-GB"/>
        </w:rPr>
        <w:t xml:space="preserve">not required for this secondary analysis of previously collected primary data. </w:t>
      </w:r>
      <w:r w:rsidR="001E640D">
        <w:rPr>
          <w:rFonts w:eastAsia="Times New Roman"/>
          <w:lang w:eastAsia="en-GB"/>
        </w:rPr>
        <w:t>Primary data</w:t>
      </w:r>
      <w:r w:rsidR="00400E88">
        <w:rPr>
          <w:rFonts w:eastAsia="Times New Roman"/>
          <w:lang w:eastAsia="en-GB"/>
        </w:rPr>
        <w:t xml:space="preserve"> </w:t>
      </w:r>
      <w:r w:rsidR="001E640D">
        <w:rPr>
          <w:rFonts w:eastAsia="Times New Roman"/>
          <w:lang w:eastAsia="en-GB"/>
        </w:rPr>
        <w:t xml:space="preserve">collected as part of the service development </w:t>
      </w:r>
      <w:r w:rsidR="00CE43A6">
        <w:rPr>
          <w:rFonts w:eastAsia="Times New Roman"/>
          <w:lang w:eastAsia="en-GB"/>
        </w:rPr>
        <w:t>was shared with the UOS team in line with a Service Level Agreement (SLA) between UOS and NHSBT T</w:t>
      </w:r>
      <w:r w:rsidR="00400E88">
        <w:rPr>
          <w:rFonts w:eastAsia="Times New Roman"/>
          <w:lang w:eastAsia="en-GB"/>
        </w:rPr>
        <w:t>issue and Eye Services Division</w:t>
      </w:r>
      <w:r w:rsidR="00CE43A6">
        <w:rPr>
          <w:rFonts w:eastAsia="Times New Roman"/>
          <w:lang w:eastAsia="en-GB"/>
        </w:rPr>
        <w:t xml:space="preserve"> since 2007. The sharing</w:t>
      </w:r>
      <w:r w:rsidR="00F707BA">
        <w:rPr>
          <w:rFonts w:eastAsia="Times New Roman"/>
          <w:lang w:eastAsia="en-GB"/>
        </w:rPr>
        <w:t xml:space="preserve">, </w:t>
      </w:r>
      <w:r w:rsidR="00CE43A6">
        <w:rPr>
          <w:rFonts w:eastAsia="Times New Roman"/>
          <w:lang w:eastAsia="en-GB"/>
        </w:rPr>
        <w:t xml:space="preserve">analysis and reporting of data was carried out in line with </w:t>
      </w:r>
      <w:r>
        <w:rPr>
          <w:rFonts w:eastAsia="Times New Roman"/>
          <w:lang w:eastAsia="en-GB"/>
        </w:rPr>
        <w:t xml:space="preserve">a UK Transplant Registry Data Release agreement relating to UK </w:t>
      </w:r>
      <w:r w:rsidRPr="004309BE">
        <w:rPr>
          <w:rFonts w:eastAsia="Times New Roman"/>
          <w:lang w:eastAsia="en-GB"/>
        </w:rPr>
        <w:t>General Data Protection Regulations</w:t>
      </w:r>
      <w:r>
        <w:rPr>
          <w:rFonts w:eastAsia="Times New Roman"/>
          <w:lang w:eastAsia="en-GB"/>
        </w:rPr>
        <w:t xml:space="preserve"> (GDPR)</w:t>
      </w:r>
      <w:r w:rsidRPr="004309BE">
        <w:rPr>
          <w:rFonts w:eastAsia="Times New Roman"/>
          <w:lang w:eastAsia="en-GB"/>
        </w:rPr>
        <w:t xml:space="preserve"> 2018, the</w:t>
      </w:r>
      <w:r>
        <w:rPr>
          <w:rFonts w:eastAsia="Times New Roman"/>
          <w:lang w:eastAsia="en-GB"/>
        </w:rPr>
        <w:t xml:space="preserve"> UK</w:t>
      </w:r>
      <w:r w:rsidRPr="004309BE">
        <w:rPr>
          <w:rFonts w:eastAsia="Times New Roman"/>
          <w:lang w:eastAsia="en-GB"/>
        </w:rPr>
        <w:t xml:space="preserve"> Data Protection Act 2018, the</w:t>
      </w:r>
      <w:r>
        <w:rPr>
          <w:rFonts w:eastAsia="Times New Roman"/>
          <w:lang w:eastAsia="en-GB"/>
        </w:rPr>
        <w:t xml:space="preserve"> UK</w:t>
      </w:r>
      <w:r w:rsidRPr="004309BE">
        <w:rPr>
          <w:rFonts w:eastAsia="Times New Roman"/>
          <w:lang w:eastAsia="en-GB"/>
        </w:rPr>
        <w:t xml:space="preserve"> Human Rights Act 1998</w:t>
      </w:r>
      <w:r>
        <w:rPr>
          <w:rFonts w:eastAsia="Times New Roman"/>
          <w:lang w:eastAsia="en-GB"/>
        </w:rPr>
        <w:t>,</w:t>
      </w:r>
      <w:r w:rsidRPr="004309BE">
        <w:rPr>
          <w:rFonts w:eastAsia="Times New Roman"/>
          <w:lang w:eastAsia="en-GB"/>
        </w:rPr>
        <w:t xml:space="preserve"> and the </w:t>
      </w:r>
      <w:r>
        <w:rPr>
          <w:rFonts w:eastAsia="Times New Roman"/>
          <w:lang w:eastAsia="en-GB"/>
        </w:rPr>
        <w:t xml:space="preserve">UK </w:t>
      </w:r>
      <w:r w:rsidRPr="004309BE">
        <w:rPr>
          <w:rFonts w:eastAsia="Times New Roman"/>
          <w:lang w:eastAsia="en-GB"/>
        </w:rPr>
        <w:t>Common Law Duty of Confidentiality</w:t>
      </w:r>
      <w:r>
        <w:rPr>
          <w:rFonts w:eastAsia="Times New Roman"/>
          <w:lang w:eastAsia="en-GB"/>
        </w:rPr>
        <w:t>.</w:t>
      </w:r>
    </w:p>
    <w:p w14:paraId="4358D2E3" w14:textId="3F0CC7F1" w:rsidR="00115262" w:rsidRDefault="00115262" w:rsidP="009F3ADB">
      <w:pPr>
        <w:spacing w:line="360" w:lineRule="auto"/>
        <w:rPr>
          <w:rFonts w:eastAsia="Times New Roman"/>
          <w:i/>
          <w:iCs/>
          <w:lang w:eastAsia="en-GB"/>
        </w:rPr>
      </w:pPr>
      <w:r>
        <w:rPr>
          <w:rFonts w:eastAsia="Times New Roman"/>
          <w:i/>
          <w:iCs/>
          <w:lang w:eastAsia="en-GB"/>
        </w:rPr>
        <w:t>Patient and Public involvement</w:t>
      </w:r>
    </w:p>
    <w:p w14:paraId="685F3B32" w14:textId="3B48BAD3" w:rsidR="00115262" w:rsidRDefault="00CE43A6" w:rsidP="009F3ADB">
      <w:pPr>
        <w:spacing w:line="360" w:lineRule="auto"/>
        <w:rPr>
          <w:rFonts w:eastAsia="Times New Roman"/>
          <w:lang w:eastAsia="en-GB"/>
        </w:rPr>
      </w:pPr>
      <w:r>
        <w:rPr>
          <w:rFonts w:eastAsia="Times New Roman"/>
          <w:lang w:eastAsia="en-GB"/>
        </w:rPr>
        <w:t>The paper present</w:t>
      </w:r>
      <w:r w:rsidR="00F707BA">
        <w:rPr>
          <w:rFonts w:eastAsia="Times New Roman"/>
          <w:lang w:eastAsia="en-GB"/>
        </w:rPr>
        <w:t>s</w:t>
      </w:r>
      <w:r>
        <w:rPr>
          <w:rFonts w:eastAsia="Times New Roman"/>
          <w:lang w:eastAsia="en-GB"/>
        </w:rPr>
        <w:t xml:space="preserve"> a secondary analysis of primary dat</w:t>
      </w:r>
      <w:r w:rsidR="00B6339D">
        <w:rPr>
          <w:rFonts w:eastAsia="Times New Roman"/>
          <w:lang w:eastAsia="en-GB"/>
        </w:rPr>
        <w:t>a</w:t>
      </w:r>
      <w:r>
        <w:rPr>
          <w:rFonts w:eastAsia="Times New Roman"/>
          <w:lang w:eastAsia="en-GB"/>
        </w:rPr>
        <w:t xml:space="preserve"> collected by NHSBT Tissue Services as</w:t>
      </w:r>
      <w:r w:rsidR="00A12612">
        <w:rPr>
          <w:rFonts w:eastAsia="Times New Roman"/>
          <w:lang w:eastAsia="en-GB"/>
        </w:rPr>
        <w:t xml:space="preserve"> part of</w:t>
      </w:r>
      <w:r>
        <w:rPr>
          <w:rFonts w:eastAsia="Times New Roman"/>
          <w:lang w:eastAsia="en-GB"/>
        </w:rPr>
        <w:t xml:space="preserve"> a service development initiative. As such there w</w:t>
      </w:r>
      <w:r w:rsidR="00400E88">
        <w:rPr>
          <w:rFonts w:eastAsia="Times New Roman"/>
          <w:lang w:eastAsia="en-GB"/>
        </w:rPr>
        <w:t>ere</w:t>
      </w:r>
      <w:r>
        <w:rPr>
          <w:rFonts w:eastAsia="Times New Roman"/>
          <w:lang w:eastAsia="en-GB"/>
        </w:rPr>
        <w:t xml:space="preserve"> no </w:t>
      </w:r>
      <w:r w:rsidR="00115262" w:rsidRPr="00115262">
        <w:rPr>
          <w:rFonts w:eastAsia="Times New Roman"/>
          <w:lang w:eastAsia="en-GB"/>
        </w:rPr>
        <w:t xml:space="preserve">patients or </w:t>
      </w:r>
      <w:r>
        <w:rPr>
          <w:rFonts w:eastAsia="Times New Roman"/>
          <w:lang w:eastAsia="en-GB"/>
        </w:rPr>
        <w:t>members of the</w:t>
      </w:r>
      <w:r w:rsidR="00115262" w:rsidRPr="00115262">
        <w:rPr>
          <w:rFonts w:eastAsia="Times New Roman"/>
          <w:lang w:eastAsia="en-GB"/>
        </w:rPr>
        <w:t xml:space="preserve"> public</w:t>
      </w:r>
      <w:r>
        <w:rPr>
          <w:rFonts w:eastAsia="Times New Roman"/>
          <w:lang w:eastAsia="en-GB"/>
        </w:rPr>
        <w:t xml:space="preserve"> involved in the </w:t>
      </w:r>
      <w:r w:rsidR="00115262" w:rsidRPr="00115262">
        <w:rPr>
          <w:rFonts w:eastAsia="Times New Roman"/>
          <w:lang w:eastAsia="en-GB"/>
        </w:rPr>
        <w:t>design</w:t>
      </w:r>
      <w:r w:rsidR="008C6962">
        <w:rPr>
          <w:rFonts w:eastAsia="Times New Roman"/>
          <w:lang w:eastAsia="en-GB"/>
        </w:rPr>
        <w:t xml:space="preserve"> or </w:t>
      </w:r>
      <w:r w:rsidR="00115262" w:rsidRPr="00115262">
        <w:rPr>
          <w:rFonts w:eastAsia="Times New Roman"/>
          <w:lang w:eastAsia="en-GB"/>
        </w:rPr>
        <w:t xml:space="preserve">conduct </w:t>
      </w:r>
      <w:r w:rsidR="008C6962">
        <w:rPr>
          <w:rFonts w:eastAsia="Times New Roman"/>
          <w:lang w:eastAsia="en-GB"/>
        </w:rPr>
        <w:t>of the primary service development</w:t>
      </w:r>
      <w:r w:rsidR="00A12612">
        <w:rPr>
          <w:rFonts w:eastAsia="Times New Roman"/>
          <w:lang w:eastAsia="en-GB"/>
        </w:rPr>
        <w:t xml:space="preserve"> initiative</w:t>
      </w:r>
      <w:r w:rsidR="008C6962">
        <w:rPr>
          <w:rFonts w:eastAsia="Times New Roman"/>
          <w:lang w:eastAsia="en-GB"/>
        </w:rPr>
        <w:t>. No dissemination of the</w:t>
      </w:r>
      <w:r w:rsidR="00A12612">
        <w:rPr>
          <w:rFonts w:eastAsia="Times New Roman"/>
          <w:lang w:eastAsia="en-GB"/>
        </w:rPr>
        <w:t xml:space="preserve"> primary </w:t>
      </w:r>
      <w:r w:rsidR="008C6962">
        <w:rPr>
          <w:rFonts w:eastAsia="Times New Roman"/>
          <w:lang w:eastAsia="en-GB"/>
        </w:rPr>
        <w:t>data has occurred until this secondary analysis. As part of secondary analysis carried out by UOS team, and in line with the team</w:t>
      </w:r>
      <w:r w:rsidR="00400E88">
        <w:rPr>
          <w:rFonts w:eastAsia="Times New Roman"/>
          <w:lang w:eastAsia="en-GB"/>
        </w:rPr>
        <w:t>’s</w:t>
      </w:r>
      <w:r w:rsidR="008C6962">
        <w:rPr>
          <w:rFonts w:eastAsia="Times New Roman"/>
          <w:lang w:eastAsia="en-GB"/>
        </w:rPr>
        <w:t xml:space="preserve"> commitment to the value of PPI input, a summary of key findings was made to</w:t>
      </w:r>
      <w:r w:rsidR="003C7D7B">
        <w:rPr>
          <w:rFonts w:eastAsia="Times New Roman"/>
          <w:lang w:eastAsia="en-GB"/>
        </w:rPr>
        <w:t xml:space="preserve"> </w:t>
      </w:r>
      <w:r w:rsidR="003C7D7B" w:rsidRPr="003C7D7B">
        <w:rPr>
          <w:rFonts w:eastAsia="Times New Roman"/>
          <w:lang w:eastAsia="en-GB"/>
        </w:rPr>
        <w:t>members</w:t>
      </w:r>
      <w:r w:rsidR="003C7D7B">
        <w:rPr>
          <w:rFonts w:eastAsia="Times New Roman"/>
          <w:lang w:eastAsia="en-GB"/>
        </w:rPr>
        <w:t xml:space="preserve"> of the NHSBT Tissue Services</w:t>
      </w:r>
      <w:r w:rsidR="008C6962">
        <w:rPr>
          <w:rFonts w:eastAsia="Times New Roman"/>
          <w:lang w:eastAsia="en-GB"/>
        </w:rPr>
        <w:t xml:space="preserve"> Donor </w:t>
      </w:r>
      <w:r w:rsidR="003C7D7B">
        <w:rPr>
          <w:rFonts w:eastAsia="Times New Roman"/>
          <w:lang w:eastAsia="en-GB"/>
        </w:rPr>
        <w:t xml:space="preserve">Advisory </w:t>
      </w:r>
      <w:r w:rsidR="008C6962">
        <w:rPr>
          <w:rFonts w:eastAsia="Times New Roman"/>
          <w:lang w:eastAsia="en-GB"/>
        </w:rPr>
        <w:t>Group</w:t>
      </w:r>
      <w:r w:rsidR="00A12612">
        <w:rPr>
          <w:rFonts w:eastAsia="Times New Roman"/>
          <w:lang w:eastAsia="en-GB"/>
        </w:rPr>
        <w:t xml:space="preserve"> (DAG)</w:t>
      </w:r>
      <w:r w:rsidR="00CE2C8A">
        <w:rPr>
          <w:rFonts w:eastAsia="Times New Roman"/>
          <w:lang w:eastAsia="en-GB"/>
        </w:rPr>
        <w:t xml:space="preserve">, which includes next of kin of donating patients and </w:t>
      </w:r>
      <w:r w:rsidR="003C7D7B">
        <w:rPr>
          <w:rFonts w:eastAsia="Times New Roman"/>
          <w:lang w:eastAsia="en-GB"/>
        </w:rPr>
        <w:t>public representatives)</w:t>
      </w:r>
      <w:r w:rsidR="008C6962">
        <w:rPr>
          <w:rFonts w:eastAsia="Times New Roman"/>
          <w:lang w:eastAsia="en-GB"/>
        </w:rPr>
        <w:t xml:space="preserve">. Members </w:t>
      </w:r>
      <w:r w:rsidR="003C7D7B" w:rsidRPr="003C7D7B">
        <w:rPr>
          <w:rFonts w:eastAsia="Times New Roman"/>
          <w:lang w:eastAsia="en-GB"/>
        </w:rPr>
        <w:t>were invited to ask questions</w:t>
      </w:r>
      <w:r w:rsidR="003C7D7B">
        <w:rPr>
          <w:rFonts w:eastAsia="Times New Roman"/>
          <w:lang w:eastAsia="en-GB"/>
        </w:rPr>
        <w:t xml:space="preserve"> as part of an update to their regular meeting in Q4 2020. </w:t>
      </w:r>
    </w:p>
    <w:p w14:paraId="146C200F" w14:textId="2B52C717" w:rsidR="008A3168" w:rsidRDefault="008A3168" w:rsidP="009F3ADB">
      <w:pPr>
        <w:spacing w:line="360" w:lineRule="auto"/>
        <w:rPr>
          <w:rFonts w:eastAsia="Times New Roman"/>
          <w:lang w:eastAsia="en-GB"/>
        </w:rPr>
      </w:pPr>
    </w:p>
    <w:p w14:paraId="21AC8EF4" w14:textId="73F4F90F" w:rsidR="006912D2" w:rsidRDefault="006912D2" w:rsidP="009F3ADB">
      <w:pPr>
        <w:spacing w:line="360" w:lineRule="auto"/>
        <w:rPr>
          <w:rFonts w:eastAsia="Times New Roman"/>
          <w:lang w:eastAsia="en-GB"/>
        </w:rPr>
      </w:pPr>
    </w:p>
    <w:p w14:paraId="6C765356" w14:textId="6304A488" w:rsidR="00F3510F" w:rsidRPr="00F3510F" w:rsidRDefault="00F3510F" w:rsidP="00D8308C">
      <w:pPr>
        <w:pStyle w:val="BodyText"/>
        <w:spacing w:before="100" w:beforeAutospacing="1" w:after="100" w:afterAutospacing="1" w:line="360" w:lineRule="auto"/>
        <w:rPr>
          <w:rFonts w:eastAsia="Times New Roman" w:cstheme="minorHAnsi"/>
          <w:b/>
          <w:lang w:eastAsia="en-GB"/>
        </w:rPr>
      </w:pPr>
      <w:r w:rsidRPr="00F3510F">
        <w:rPr>
          <w:rFonts w:eastAsia="Times New Roman" w:cstheme="minorHAnsi"/>
          <w:b/>
          <w:lang w:eastAsia="en-GB"/>
        </w:rPr>
        <w:t>Data collection</w:t>
      </w:r>
    </w:p>
    <w:p w14:paraId="774C2A4B" w14:textId="20A714CF" w:rsidR="001E640D" w:rsidRPr="00FA50CE" w:rsidRDefault="00B95528" w:rsidP="00381F38">
      <w:pPr>
        <w:spacing w:before="100" w:beforeAutospacing="1" w:after="100" w:afterAutospacing="1" w:line="360" w:lineRule="auto"/>
        <w:jc w:val="both"/>
        <w:rPr>
          <w:sz w:val="18"/>
          <w:szCs w:val="18"/>
        </w:rPr>
      </w:pPr>
      <w:r>
        <w:rPr>
          <w:rFonts w:eastAsia="Times New Roman" w:cstheme="minorHAnsi"/>
          <w:lang w:eastAsia="en-GB"/>
        </w:rPr>
        <w:t xml:space="preserve">Data </w:t>
      </w:r>
      <w:r w:rsidR="00755598">
        <w:t>for 27</w:t>
      </w:r>
      <w:r w:rsidR="008B20FB">
        <w:t>90</w:t>
      </w:r>
      <w:r w:rsidR="00755598">
        <w:t xml:space="preserve"> potential</w:t>
      </w:r>
      <w:r w:rsidR="00A12612">
        <w:t>*</w:t>
      </w:r>
      <w:r w:rsidR="00755598">
        <w:t xml:space="preserve"> donors from England, Scotland, Wales and Northern Ireland, assessed for eligibility to donate eyes between 1</w:t>
      </w:r>
      <w:r w:rsidR="00755598" w:rsidRPr="00794AC5">
        <w:rPr>
          <w:vertAlign w:val="superscript"/>
        </w:rPr>
        <w:t>st</w:t>
      </w:r>
      <w:r w:rsidR="00755598">
        <w:t xml:space="preserve"> April 2014 and 31</w:t>
      </w:r>
      <w:r w:rsidR="00755598" w:rsidRPr="00794AC5">
        <w:rPr>
          <w:vertAlign w:val="superscript"/>
        </w:rPr>
        <w:t>st</w:t>
      </w:r>
      <w:r w:rsidR="00755598">
        <w:t xml:space="preserve"> March 2017, </w:t>
      </w:r>
      <w:r>
        <w:rPr>
          <w:rFonts w:eastAsia="Times New Roman" w:cstheme="minorHAnsi"/>
          <w:lang w:eastAsia="en-GB"/>
        </w:rPr>
        <w:t>were collected using a</w:t>
      </w:r>
      <w:r w:rsidR="009C4D62">
        <w:rPr>
          <w:rFonts w:eastAsia="Times New Roman" w:cstheme="minorHAnsi"/>
          <w:lang w:eastAsia="en-GB"/>
        </w:rPr>
        <w:t xml:space="preserve"> standardised proforma</w:t>
      </w:r>
      <w:r w:rsidR="00400E88">
        <w:rPr>
          <w:rFonts w:eastAsia="Times New Roman" w:cstheme="minorHAnsi"/>
          <w:lang w:eastAsia="en-GB"/>
        </w:rPr>
        <w:t xml:space="preserve"> (*</w:t>
      </w:r>
      <w:proofErr w:type="spellStart"/>
      <w:r w:rsidR="00400E88">
        <w:rPr>
          <w:rFonts w:eastAsia="Times New Roman" w:cstheme="minorHAnsi"/>
          <w:lang w:eastAsia="en-GB"/>
        </w:rPr>
        <w:t>n.b.</w:t>
      </w:r>
      <w:proofErr w:type="spellEnd"/>
      <w:r w:rsidR="00400E88">
        <w:rPr>
          <w:rFonts w:eastAsia="Times New Roman" w:cstheme="minorHAnsi"/>
          <w:lang w:eastAsia="en-GB"/>
        </w:rPr>
        <w:t xml:space="preserve"> </w:t>
      </w:r>
      <w:r w:rsidR="00400E88" w:rsidRPr="00400E88">
        <w:rPr>
          <w:rFonts w:eastAsia="Times New Roman" w:cstheme="minorHAnsi"/>
          <w:lang w:eastAsia="en-GB"/>
        </w:rPr>
        <w:t>potential donor refers to a deceased person who could become an organ donor unless medical criteria for non-donation, or consent/authorisation is withheld by next of kin</w:t>
      </w:r>
      <w:r w:rsidR="00400E88">
        <w:rPr>
          <w:rFonts w:eastAsia="Times New Roman" w:cstheme="minorHAnsi"/>
          <w:lang w:eastAsia="en-GB"/>
        </w:rPr>
        <w:t>)</w:t>
      </w:r>
      <w:r w:rsidR="008F2B40">
        <w:rPr>
          <w:rFonts w:eastAsia="Times New Roman" w:cstheme="minorHAnsi"/>
          <w:lang w:eastAsia="en-GB"/>
        </w:rPr>
        <w:t xml:space="preserve">. </w:t>
      </w:r>
      <w:r w:rsidR="00272607">
        <w:rPr>
          <w:rFonts w:eastAsia="Times New Roman" w:cstheme="minorHAnsi"/>
          <w:lang w:eastAsia="en-GB"/>
        </w:rPr>
        <w:t>Specialist Nurses in Organ Donation (SNODs)</w:t>
      </w:r>
      <w:r w:rsidR="00755598">
        <w:rPr>
          <w:rFonts w:eastAsia="Times New Roman" w:cstheme="minorHAnsi"/>
          <w:lang w:eastAsia="en-GB"/>
        </w:rPr>
        <w:t xml:space="preserve"> were requested to record </w:t>
      </w:r>
      <w:r w:rsidR="00A12612">
        <w:rPr>
          <w:rFonts w:eastAsia="Times New Roman" w:cstheme="minorHAnsi"/>
          <w:lang w:eastAsia="en-GB"/>
        </w:rPr>
        <w:t>reasons</w:t>
      </w:r>
      <w:r w:rsidR="00755598">
        <w:rPr>
          <w:rFonts w:eastAsia="Times New Roman" w:cstheme="minorHAnsi"/>
          <w:lang w:eastAsia="en-GB"/>
        </w:rPr>
        <w:t xml:space="preserve"> for non</w:t>
      </w:r>
      <w:r w:rsidR="000905EB">
        <w:rPr>
          <w:rFonts w:eastAsia="Times New Roman" w:cstheme="minorHAnsi"/>
          <w:lang w:eastAsia="en-GB"/>
        </w:rPr>
        <w:t>-</w:t>
      </w:r>
      <w:r w:rsidR="00755598">
        <w:rPr>
          <w:rFonts w:eastAsia="Times New Roman" w:cstheme="minorHAnsi"/>
          <w:lang w:eastAsia="en-GB"/>
        </w:rPr>
        <w:t>procurement of eye tissue</w:t>
      </w:r>
      <w:r w:rsidR="00C05E31">
        <w:rPr>
          <w:rFonts w:eastAsia="Times New Roman" w:cstheme="minorHAnsi"/>
          <w:lang w:eastAsia="en-GB"/>
        </w:rPr>
        <w:t xml:space="preserve"> selecting from the domains listed in Table 1. SNODs were also asked to </w:t>
      </w:r>
      <w:r w:rsidR="00755598" w:rsidRPr="00F3510F">
        <w:rPr>
          <w:rFonts w:eastAsia="Times New Roman" w:cstheme="minorHAnsi"/>
          <w:lang w:eastAsia="en-GB"/>
        </w:rPr>
        <w:t>add further commentary</w:t>
      </w:r>
      <w:r w:rsidR="00755598">
        <w:rPr>
          <w:rFonts w:eastAsia="Times New Roman" w:cstheme="minorHAnsi"/>
          <w:lang w:eastAsia="en-GB"/>
        </w:rPr>
        <w:t xml:space="preserve"> via use of a </w:t>
      </w:r>
      <w:r w:rsidR="00755598" w:rsidRPr="00F3510F">
        <w:rPr>
          <w:rFonts w:eastAsia="Times New Roman" w:cstheme="minorHAnsi"/>
          <w:lang w:eastAsia="en-GB"/>
        </w:rPr>
        <w:t>free-text box</w:t>
      </w:r>
      <w:r w:rsidR="00755598">
        <w:rPr>
          <w:rFonts w:eastAsia="Times New Roman" w:cstheme="minorHAnsi"/>
          <w:lang w:eastAsia="en-GB"/>
        </w:rPr>
        <w:t xml:space="preserve">.  </w:t>
      </w:r>
      <w:r w:rsidR="00B47B1B" w:rsidRPr="00024201">
        <w:t>Data was gathered by</w:t>
      </w:r>
      <w:r w:rsidR="00B47B1B">
        <w:t xml:space="preserve"> SNODs</w:t>
      </w:r>
      <w:r w:rsidR="00B47B1B" w:rsidRPr="00024201">
        <w:t xml:space="preserve"> with the requirement that they complete data collection for each </w:t>
      </w:r>
      <w:r w:rsidR="00B47B1B">
        <w:t xml:space="preserve">potential donor </w:t>
      </w:r>
      <w:r w:rsidR="00B47B1B" w:rsidRPr="00024201">
        <w:t>following discussion with family members and other stakeholders (</w:t>
      </w:r>
      <w:r w:rsidR="00B47B1B">
        <w:t>e.g. c</w:t>
      </w:r>
      <w:r w:rsidR="00B47B1B" w:rsidRPr="00024201">
        <w:t>oroner). Data for each SNOD w</w:t>
      </w:r>
      <w:r w:rsidR="00B47B1B">
        <w:t>ere</w:t>
      </w:r>
      <w:r w:rsidR="00B47B1B" w:rsidRPr="00024201">
        <w:t xml:space="preserve"> collated into a monthly regional team return</w:t>
      </w:r>
      <w:r w:rsidR="00400E88">
        <w:t>s</w:t>
      </w:r>
      <w:r w:rsidR="00B47B1B" w:rsidRPr="00024201">
        <w:t xml:space="preserve"> to</w:t>
      </w:r>
      <w:r w:rsidR="00B47B1B">
        <w:t xml:space="preserve"> the</w:t>
      </w:r>
      <w:r w:rsidR="00B47B1B" w:rsidRPr="00024201">
        <w:t xml:space="preserve"> NHSBT statistical team</w:t>
      </w:r>
      <w:r w:rsidR="00B47B1B">
        <w:t>,</w:t>
      </w:r>
      <w:r w:rsidR="00B47B1B" w:rsidRPr="00024201">
        <w:t xml:space="preserve"> who generated descriptive statistical data </w:t>
      </w:r>
      <w:r w:rsidR="00B47B1B">
        <w:t>reported</w:t>
      </w:r>
      <w:r w:rsidR="00B47B1B" w:rsidRPr="00024201">
        <w:t xml:space="preserve"> in this paper</w:t>
      </w:r>
      <w:r w:rsidR="00B47B1B">
        <w:t xml:space="preserve">. </w:t>
      </w:r>
      <w:r w:rsidR="00B47B1B" w:rsidRPr="00024201">
        <w:t>Data w</w:t>
      </w:r>
      <w:r w:rsidR="00B47B1B">
        <w:t>ere</w:t>
      </w:r>
      <w:r w:rsidR="00B47B1B" w:rsidRPr="00024201">
        <w:t xml:space="preserve"> collected over three years, with a cessation in 2018 due to</w:t>
      </w:r>
      <w:r w:rsidR="00B47B1B">
        <w:t xml:space="preserve"> the operationalisation of</w:t>
      </w:r>
      <w:r w:rsidR="00B47B1B" w:rsidRPr="00024201">
        <w:t xml:space="preserve"> eye donation moving from the Organ Donation and Transplant division of NHSBT to </w:t>
      </w:r>
      <w:r w:rsidR="000905EB">
        <w:t>its</w:t>
      </w:r>
      <w:r w:rsidR="00B47B1B" w:rsidRPr="00024201">
        <w:t xml:space="preserve"> Tissue </w:t>
      </w:r>
      <w:r w:rsidR="00B47B1B">
        <w:t xml:space="preserve">and Eye Services </w:t>
      </w:r>
      <w:r w:rsidR="00B47B1B" w:rsidRPr="00024201">
        <w:t xml:space="preserve">division.  </w:t>
      </w:r>
      <w:r w:rsidR="000905EB">
        <w:t>T</w:t>
      </w:r>
      <w:r w:rsidR="00B47B1B">
        <w:t xml:space="preserve">he full data set </w:t>
      </w:r>
      <w:r w:rsidR="004B3E3F">
        <w:t xml:space="preserve">for descriptive statistics </w:t>
      </w:r>
      <w:r w:rsidR="00B47B1B">
        <w:t>relating to non-procurement of eye tissue is presented in</w:t>
      </w:r>
      <w:r w:rsidR="00B47B1B" w:rsidRPr="00504122">
        <w:t xml:space="preserve"> </w:t>
      </w:r>
      <w:r w:rsidR="00B47B1B" w:rsidRPr="00504122">
        <w:rPr>
          <w:i/>
        </w:rPr>
        <w:t xml:space="preserve">Additional File, </w:t>
      </w:r>
      <w:r w:rsidR="00B47B1B">
        <w:rPr>
          <w:i/>
        </w:rPr>
        <w:t>Table</w:t>
      </w:r>
      <w:r w:rsidR="00B47B1B" w:rsidRPr="00504122">
        <w:rPr>
          <w:i/>
        </w:rPr>
        <w:t xml:space="preserve"> 1</w:t>
      </w:r>
      <w:r w:rsidR="000905EB">
        <w:t xml:space="preserve"> – however </w:t>
      </w:r>
      <w:r w:rsidR="00B47B1B">
        <w:t>this paper focus</w:t>
      </w:r>
      <w:r w:rsidR="000905EB">
        <w:t>es on data relating specifically</w:t>
      </w:r>
      <w:r w:rsidR="00B47B1B">
        <w:t xml:space="preserve"> to </w:t>
      </w:r>
      <w:r w:rsidR="00B47B1B" w:rsidRPr="00B47B1B">
        <w:rPr>
          <w:b/>
          <w:i/>
          <w:iCs/>
        </w:rPr>
        <w:t>family decline of eye donation</w:t>
      </w:r>
      <w:r w:rsidR="00B47B1B">
        <w:t xml:space="preserve">. </w:t>
      </w:r>
    </w:p>
    <w:p w14:paraId="5F9E2DDD" w14:textId="3E4C2447" w:rsidR="009975A2" w:rsidRPr="00C05E31" w:rsidRDefault="00FD7F49" w:rsidP="009975A2">
      <w:pPr>
        <w:pStyle w:val="Heading2"/>
        <w:spacing w:line="360" w:lineRule="auto"/>
        <w:rPr>
          <w:rFonts w:asciiTheme="minorHAnsi" w:hAnsiTheme="minorHAnsi" w:cstheme="minorHAnsi"/>
          <w:b/>
          <w:color w:val="auto"/>
          <w:sz w:val="22"/>
          <w:szCs w:val="22"/>
        </w:rPr>
      </w:pPr>
      <w:r w:rsidRPr="00C05E31">
        <w:rPr>
          <w:rFonts w:asciiTheme="minorHAnsi" w:hAnsiTheme="minorHAnsi" w:cstheme="minorHAnsi"/>
          <w:b/>
          <w:color w:val="auto"/>
          <w:sz w:val="22"/>
          <w:szCs w:val="22"/>
        </w:rPr>
        <w:t>Analysis</w:t>
      </w:r>
    </w:p>
    <w:p w14:paraId="7CEF0E04" w14:textId="61F79740" w:rsidR="007153FF" w:rsidRDefault="004760D0" w:rsidP="00A326C8">
      <w:pPr>
        <w:spacing w:line="360" w:lineRule="auto"/>
        <w:jc w:val="both"/>
      </w:pPr>
      <w:bookmarkStart w:id="3" w:name="_Hlk48826011"/>
      <w:r>
        <w:t xml:space="preserve">Secondary </w:t>
      </w:r>
      <w:r w:rsidR="00F37D57">
        <w:t>Analysis</w:t>
      </w:r>
      <w:r w:rsidR="009C2213">
        <w:t xml:space="preserve"> </w:t>
      </w:r>
      <w:r w:rsidR="009C2213">
        <w:fldChar w:fldCharType="begin" w:fldLock="1"/>
      </w:r>
      <w:r w:rsidR="004B3E3F">
        <w:instrText>ADDIN CSL_CITATION {"citationItems":[{"id":"ITEM-1","itemData":{"DOI":"10.1177/1744987110381553","ISSN":"1744-9871","author":[{"dropping-particle":"","family":"Long-Sutehall","given":"Tracy","non-dropping-particle":"","parse-names":false,"suffix":""},{"dropping-particle":"","family":"Sque","given":"Magi","non-dropping-particle":"","parse-names":false,"suffix":""},{"dropping-particle":"","family":"Addington-Hall","given":"Julia","non-dropping-particle":"","parse-names":false,"suffix":""}],"container-title":"Journal of Research in Nursing","id":"ITEM-1","issue":"4","issued":{"date-parts":[["2011","7","3"]]},"page":"335-344","title":"Secondary analysis of qualitative data: a valuable method for exploring sensitive issues with an elusive population?","type":"article-journal","volume":"16"},"uris":["http://www.mendeley.com/documents/?uuid=420b6f21-3327-46c8-9263-bcdd97f6b321"]}],"mendeley":{"formattedCitation":"[9]","plainTextFormattedCitation":"[9]","previouslyFormattedCitation":"[9]"},"properties":{"noteIndex":0},"schema":"https://github.com/citation-style-language/schema/raw/master/csl-citation.json"}</w:instrText>
      </w:r>
      <w:r w:rsidR="009C2213">
        <w:fldChar w:fldCharType="separate"/>
      </w:r>
      <w:r w:rsidR="00400E88" w:rsidRPr="00400E88">
        <w:rPr>
          <w:noProof/>
        </w:rPr>
        <w:t>[9]</w:t>
      </w:r>
      <w:r w:rsidR="009C2213">
        <w:fldChar w:fldCharType="end"/>
      </w:r>
      <w:r>
        <w:t xml:space="preserve"> </w:t>
      </w:r>
      <w:r w:rsidR="00F37D57">
        <w:t xml:space="preserve">included generation of </w:t>
      </w:r>
      <w:r w:rsidR="00FD7F49">
        <w:t>descriptive statistics</w:t>
      </w:r>
      <w:r w:rsidR="00F37D57">
        <w:t xml:space="preserve"> </w:t>
      </w:r>
      <w:r w:rsidR="00B95528">
        <w:t>on</w:t>
      </w:r>
      <w:r w:rsidR="00A326C8">
        <w:t xml:space="preserve"> reasons for </w:t>
      </w:r>
      <w:r w:rsidR="007D5E36">
        <w:t>non-donation</w:t>
      </w:r>
      <w:r w:rsidR="00A326C8">
        <w:t xml:space="preserve"> of eyes</w:t>
      </w:r>
      <w:r w:rsidR="00B95528">
        <w:t xml:space="preserve"> recorded</w:t>
      </w:r>
      <w:r w:rsidR="00A326C8">
        <w:t xml:space="preserve"> by SNODs for 27</w:t>
      </w:r>
      <w:r w:rsidR="008B20FB">
        <w:t>90</w:t>
      </w:r>
      <w:r w:rsidR="00A326C8">
        <w:t xml:space="preserve"> potential donors</w:t>
      </w:r>
      <w:r w:rsidR="00FF1162">
        <w:t xml:space="preserve"> </w:t>
      </w:r>
      <w:r w:rsidR="007D5E36">
        <w:t>(</w:t>
      </w:r>
      <w:r w:rsidR="001919FA">
        <w:t xml:space="preserve">Table </w:t>
      </w:r>
      <w:r w:rsidR="007D5E36">
        <w:t xml:space="preserve">1) and application of </w:t>
      </w:r>
      <w:r w:rsidR="00F37D57">
        <w:t xml:space="preserve">qualitative </w:t>
      </w:r>
      <w:r w:rsidR="00FD7F49">
        <w:t>content analysis</w:t>
      </w:r>
      <w:r w:rsidR="004B3E3F">
        <w:t xml:space="preserve"> </w:t>
      </w:r>
      <w:r w:rsidR="004B3E3F">
        <w:fldChar w:fldCharType="begin" w:fldLock="1"/>
      </w:r>
      <w:r w:rsidR="00A354B8">
        <w:instrText>ADDIN CSL_CITATION {"citationItems":[{"id":"ITEM-1","itemData":{"DOI":"10.4135/9781446282243.n12","author":[{"dropping-particle":"","family":"Schreier","given":"Margrit","non-dropping-particle":"","parse-names":false,"suffix":""}],"container-title":"The SAGE Handbook of Qualitative Data Analysis","id":"ITEM-1","issued":{"date-parts":[["0"]]},"page":"170-183","publisher":"SAGE Publications Ltd","publisher-place":"1 Oliver's Yard, 55 City Road, London EC1Y 1SP United Kingdom","title":"Qualitative Content Analysis","type":"chapter"},"uris":["http://www.mendeley.com/documents/?uuid=829e3657-4b0b-41e6-90e7-049d6fd383b1"]}],"mendeley":{"formattedCitation":"[10]","plainTextFormattedCitation":"[10]","previouslyFormattedCitation":"[10]"},"properties":{"noteIndex":0},"schema":"https://github.com/citation-style-language/schema/raw/master/csl-citation.json"}</w:instrText>
      </w:r>
      <w:r w:rsidR="004B3E3F">
        <w:fldChar w:fldCharType="separate"/>
      </w:r>
      <w:r w:rsidR="004B3E3F" w:rsidRPr="004B3E3F">
        <w:rPr>
          <w:noProof/>
        </w:rPr>
        <w:t>[10]</w:t>
      </w:r>
      <w:r w:rsidR="004B3E3F">
        <w:fldChar w:fldCharType="end"/>
      </w:r>
      <w:r w:rsidR="00A326C8">
        <w:t xml:space="preserve"> </w:t>
      </w:r>
      <w:r w:rsidR="007D5E36">
        <w:t>to free</w:t>
      </w:r>
      <w:r w:rsidR="00B95528">
        <w:t>-</w:t>
      </w:r>
      <w:r w:rsidR="007D5E36">
        <w:t>t</w:t>
      </w:r>
      <w:r w:rsidR="00D16B19">
        <w:t>ext data</w:t>
      </w:r>
      <w:r w:rsidR="0040727B">
        <w:t xml:space="preserve"> for </w:t>
      </w:r>
      <w:r w:rsidR="002776F4">
        <w:t>1</w:t>
      </w:r>
      <w:r w:rsidR="00FB7402">
        <w:t>26</w:t>
      </w:r>
      <w:r w:rsidR="002776F4">
        <w:t xml:space="preserve"> recorded reasons for </w:t>
      </w:r>
      <w:r w:rsidR="0040727B">
        <w:t xml:space="preserve">family </w:t>
      </w:r>
      <w:r w:rsidR="00A437FC">
        <w:t>decline of eye donation</w:t>
      </w:r>
      <w:r w:rsidR="00B87A19">
        <w:t xml:space="preserve">. </w:t>
      </w:r>
      <w:bookmarkEnd w:id="3"/>
      <w:r w:rsidR="009975A2">
        <w:t>Analysis</w:t>
      </w:r>
      <w:r w:rsidR="00B87A19">
        <w:t xml:space="preserve"> of </w:t>
      </w:r>
      <w:r w:rsidR="00B95528">
        <w:t>free-text</w:t>
      </w:r>
      <w:r w:rsidR="00B87A19">
        <w:t xml:space="preserve"> </w:t>
      </w:r>
      <w:r w:rsidR="009975A2">
        <w:t>data</w:t>
      </w:r>
      <w:r w:rsidR="00B87A19">
        <w:t xml:space="preserve"> was undertaken </w:t>
      </w:r>
      <w:r w:rsidR="007153FF">
        <w:t xml:space="preserve">using </w:t>
      </w:r>
      <w:proofErr w:type="spellStart"/>
      <w:r w:rsidR="007153FF">
        <w:t>Nvivo</w:t>
      </w:r>
      <w:proofErr w:type="spellEnd"/>
      <w:r w:rsidR="007153FF">
        <w:t xml:space="preserve"> computer-assisted qualitative data analysis (CAQDAS) software (version 12) </w:t>
      </w:r>
      <w:r w:rsidR="007153FF">
        <w:fldChar w:fldCharType="begin" w:fldLock="1"/>
      </w:r>
      <w:r w:rsidR="00A354B8">
        <w:instrText>ADDIN CSL_CITATION {"citationItems":[{"id":"ITEM-1","itemData":{"URL":"https://www.qsrinternational.com/nvivo-qualitative-data-analysis-software/home","accessed":{"date-parts":[["2020","4","23"]]},"author":[{"dropping-particle":"","family":"QSR International Ltd.","given":"","non-dropping-particle":"","parse-names":false,"suffix":""}],"id":"ITEM-1","issued":{"date-parts":[["2018"]]},"number":"12","publisher":"QSR International Pty Ltd.","title":"NVivo qualitative data analysis software","type":"webpage"},"uris":["http://www.mendeley.com/documents/?uuid=3fe57622-166e-4f8c-9ab5-64f89857bf4e"]}],"mendeley":{"formattedCitation":"[11]","plainTextFormattedCitation":"[11]","previouslyFormattedCitation":"[11]"},"properties":{"noteIndex":0},"schema":"https://github.com/citation-style-language/schema/raw/master/csl-citation.json"}</w:instrText>
      </w:r>
      <w:r w:rsidR="007153FF">
        <w:fldChar w:fldCharType="separate"/>
      </w:r>
      <w:r w:rsidR="004B3E3F" w:rsidRPr="004B3E3F">
        <w:rPr>
          <w:noProof/>
        </w:rPr>
        <w:t>[11]</w:t>
      </w:r>
      <w:r w:rsidR="007153FF">
        <w:fldChar w:fldCharType="end"/>
      </w:r>
      <w:r w:rsidR="007153FF">
        <w:t>.</w:t>
      </w:r>
    </w:p>
    <w:p w14:paraId="6049046A" w14:textId="7EC38ADE" w:rsidR="00620633" w:rsidRPr="004C2E0D" w:rsidRDefault="00620633" w:rsidP="00A326C8">
      <w:pPr>
        <w:spacing w:line="360" w:lineRule="auto"/>
        <w:jc w:val="both"/>
      </w:pPr>
      <w:bookmarkStart w:id="4" w:name="_Hlk61344345"/>
      <w:r w:rsidRPr="004C2E0D">
        <w:t>As international empirical evidence from the past 30 years indicate</w:t>
      </w:r>
      <w:r w:rsidR="00CD5B59" w:rsidRPr="004C2E0D">
        <w:t>s</w:t>
      </w:r>
      <w:r w:rsidR="009975A2">
        <w:t>,</w:t>
      </w:r>
      <w:r w:rsidRPr="004C2E0D">
        <w:t xml:space="preserve"> eye donation involves reactions that do not impact other forms of donation</w:t>
      </w:r>
      <w:r w:rsidR="00A4628D">
        <w:t xml:space="preserve"> </w:t>
      </w:r>
      <w:bookmarkEnd w:id="4"/>
      <w:r w:rsidRPr="004C2E0D">
        <w:t>including</w:t>
      </w:r>
      <w:bookmarkStart w:id="5" w:name="_Hlk61344358"/>
      <w:r w:rsidRPr="004C2E0D">
        <w:t>: discomfort reactions</w:t>
      </w:r>
      <w:r w:rsidR="003969D1" w:rsidRPr="004C2E0D">
        <w:t xml:space="preserve"> </w:t>
      </w:r>
      <w:r w:rsidR="003969D1" w:rsidRPr="004C2E0D">
        <w:fldChar w:fldCharType="begin" w:fldLock="1"/>
      </w:r>
      <w:r w:rsidR="00A354B8">
        <w:instrText>ADDIN CSL_CITATION {"citationItems":[{"id":"ITEM-1","itemData":{"DOI":"10.1001/jama.1994.03510280046031","ISSN":"15383598","abstract":"To evaluate people's reactions to procedures involving the dead body by comparing their attitudes toward autopsy, organ donation, and dissection. —Survey, using a questionnaire with 24 items that address reactions toward autopsy, organ donation, and donation of the whole body, including religious and sociodemographic issues. —An age-stratified, random sample of 1950 individuals in Sweden, 18 to 75 years old. The response rate was 65%. —Eighty-four percent reported acceptance of an autopsy for themselves and 80% for a close relative. Sixty-two percent were willing to donate their own organs and 39% to donate the organs of a family member; 15% accepted donation of their whole body for dissection. Practically all who accepted dissection also were willing to donate their organs and to be autopsied; practically all who were willing to donate their organs also accepted autopsy. About 65% to 70% felt some discomfort at the thought of autopsy and organ donation. Women seemed more sensitive toward operations on the dead body than men. —The rank order of medical procedures after death, based on the proportion of individuals positive toward the procedures, can be used to form a scale with autopsy and dissection at each end point and organ donation in the middle. This scale has the characteristics of a Guttman scale and can be looked on as a comfort-discomfort continuum regarding procedures involving the dead body. © 1994, American Medical Association. All rights reserved.","author":[{"dropping-particle":"","family":"Sanner","given":"Margareta","non-dropping-particle":"","parse-names":false,"suffix":""}],"container-title":"JAMA: The Journal of the American Medical Association","id":"ITEM-1","issue":"4","issued":{"date-parts":[["1994"]]},"page":"284-288","title":"A Comparison of Public Attitudes Toward Autopsy, Organ Donation, and Anatomic Dissection: A Swedish Survey","type":"article-journal","volume":"271"},"uris":["http://www.mendeley.com/documents/?uuid=a527a492-9f01-4399-8e26-7c00719c9461"]},{"id":"ITEM-2","itemData":{"DOI":"10.1016/0277-9536(94)90229-1","ISSN":"02779536","author":[{"dropping-particle":"","family":"Sanner","given":"Margareta","non-dropping-particle":"","parse-names":false,"suffix":""}],"container-title":"Social Science &amp; Medicine","id":"ITEM-2","issue":"8","issued":{"date-parts":[["1994","4"]]},"page":"1141-1152","title":"Attitudes toward organ donation and transplantation","type":"article-journal","volume":"38"},"uris":["http://www.mendeley.com/documents/?uuid=337df23c-c8e6-4e3e-b0f9-35ac20961366"]}],"mendeley":{"formattedCitation":"[12,13]","plainTextFormattedCitation":"[12,13]","previouslyFormattedCitation":"[12,13]"},"properties":{"noteIndex":0},"schema":"https://github.com/citation-style-language/schema/raw/master/csl-citation.json"}</w:instrText>
      </w:r>
      <w:r w:rsidR="003969D1" w:rsidRPr="004C2E0D">
        <w:fldChar w:fldCharType="separate"/>
      </w:r>
      <w:r w:rsidR="004B3E3F" w:rsidRPr="004B3E3F">
        <w:rPr>
          <w:noProof/>
        </w:rPr>
        <w:t>[12,13]</w:t>
      </w:r>
      <w:r w:rsidR="003969D1" w:rsidRPr="004C2E0D">
        <w:fldChar w:fldCharType="end"/>
      </w:r>
      <w:r w:rsidRPr="004C2E0D">
        <w:t xml:space="preserve">, disfigurement </w:t>
      </w:r>
      <w:r w:rsidR="003969D1" w:rsidRPr="004C2E0D">
        <w:fldChar w:fldCharType="begin" w:fldLock="1"/>
      </w:r>
      <w:r w:rsidR="00621F6C">
        <w:instrText xml:space="preserve">ADDIN CSL_CITATION {"citationItems":[{"id":"ITEM-1","itemData":{"DOI":"10.1093/bja/aer398","ISSN":"14716771","abstract":"NHS Blood and Transplant (NHSBT) was established in 2005 as a Special Health Authority when the National Blood Authority and UK Transplant merged. This helped to bring tissue banking and organ transplantation services under one umbrella organization. This merger means that </w:instrText>
      </w:r>
      <w:r w:rsidR="00621F6C">
        <w:rPr>
          <w:rFonts w:ascii="Cambria Math" w:hAnsi="Cambria Math" w:cs="Cambria Math"/>
        </w:rPr>
        <w:instrText>∼</w:instrText>
      </w:r>
      <w:r w:rsidR="00621F6C">
        <w:instrText xml:space="preserve">95 of all deceased donors (whether tissue, organ or both) are now facilitated by one organization. NHSBT Tissue Services is the largest tissue establishment in the UK, and is a multi-tissue bank that specializes in the consent, retrieval, processing, storage, and dispatch of donated tissue coordinated from a purpose built, state-of-the-art tissue bank in Liverpool. Tissue donations can come from either tissue-only donors or solid organ donors who also donate tissue. Annually there are </w:instrText>
      </w:r>
      <w:r w:rsidR="00621F6C">
        <w:rPr>
          <w:rFonts w:ascii="Cambria Math" w:hAnsi="Cambria Math" w:cs="Cambria Math"/>
        </w:rPr>
        <w:instrText>∼</w:instrText>
      </w:r>
      <w:r w:rsidR="00621F6C">
        <w:instrText>450 multi-tissue donors and 2500 eye donors in the UK, resulting in many thousands of transplants, including 3564 cornea transplants in 20102011. The separation of tissue- and organ-specific donors is largely artificial, and while organ transplantation can be life-saving, tissue transplantation can also have a dramatic effect on a patients quality of life. It is hoped that all donors, both organ and tissue, will be recognized for the gift they make to society after their death. © 2012 The Author.","author":[{"dropping-particle":"","family":"Gaum","given":"L.","non-dropping-particle":"","parse-names":false,"suffix":""},{"dropping-particle":"","family":"Reynolds","given":"I.","non-dropping-particle":"","parse-names":false,"suffix":""},{"dropping-particle":"","family":"Jones","given":"M. N.A.","non-dropping-particle":"","parse-names":false,"suffix":""},{"dropping-particle":"","family":"Clarkson","given":"A. J.","non-dropping-particle":"","parse-names":false,"suffix":""},{"dropping-particle":"","family":"Gillan","given":"H. L.","non-dropping-particle":"","parse-names":false,"suffix":""},{"dropping-particle":"","family":"Kaye","given":"S. B.","non-dropping-particle":"","parse-names":false,"suffix":""}],"container-title":"British Journal of Anaesthesia","id":"ITEM-1","issue":"SUPPL. 1","issued":{"date-parts":[["2012"]]},"page":"i43-i47","publisher":"British Journal of Anaesthesia. Published by Elsevier Ltd.","title":"Tissue and corneal donation and transplantation in the UK","type":"article-journal","volume":"108"},"uris":["http://www.mendeley.com/documents/?uuid=d549ed30-7cb4-43ed-84a1-614e87fcb4e9"]}],"mendeley":{"formattedCitation":"[3]","plainTextFormattedCitation":"[3]","previouslyFormattedCitation":"[3]"},"properties":{"noteIndex":0},"schema":"https://github.com/citation-style-language/schema/raw/master/csl-citation.json"}</w:instrText>
      </w:r>
      <w:r w:rsidR="003969D1" w:rsidRPr="004C2E0D">
        <w:fldChar w:fldCharType="separate"/>
      </w:r>
      <w:r w:rsidR="00865658" w:rsidRPr="00865658">
        <w:rPr>
          <w:noProof/>
        </w:rPr>
        <w:t>[3]</w:t>
      </w:r>
      <w:r w:rsidR="003969D1" w:rsidRPr="004C2E0D">
        <w:fldChar w:fldCharType="end"/>
      </w:r>
      <w:r w:rsidRPr="004C2E0D">
        <w:t>, the belief that eyes will be needed in the afterlife, eyes being viewed as the ‘windows to the soul’</w:t>
      </w:r>
      <w:r w:rsidR="00B5024A">
        <w:t xml:space="preserve"> </w:t>
      </w:r>
      <w:r w:rsidR="003969D1" w:rsidRPr="004C2E0D">
        <w:fldChar w:fldCharType="begin" w:fldLock="1"/>
      </w:r>
      <w:r w:rsidR="004F199F">
        <w:instrText>ADDIN CSL_CITATION {"citationItems":[{"id":"ITEM-1","itemData":{"author":[{"dropping-particle":"","family":"NHS-BT","given":"","non-dropping-particle":"","parse-names":false,"suffix":""}],"id":"ITEM-1","issued":{"date-parts":[["2016"]]},"publisher-place":"Liverpool, UK","title":"NHS Blood and Transplant - Eye and Tissue Strategy","type":"report"},"uris":["http://www.mendeley.com/documents/?uuid=3c431f45-b4d8-48c5-8668-f8af1b918c21"]},{"id":"ITEM-2","itemData":{"DOI":"10.1007/s11673-013-9497-9","ISSN":"18724353","abstract":"Corneal transplantation is the most common form of organ transplantation performed globally. However, of all organs, eyes have the highest rate of refusal of donation. This study explored the reasons why individuals decide whether or not to donate corneas. Twenty-one individuals were interviewed who had made a donation decision (13 refused corneal donation and eight consented). Analysis was performed using Grounded Theory. Refusal of corneal donation was related to concerns about disfigurement and the role of eyes in memory and communication. The request for donation therefore raised concerns about a potential adverse change in the ongoing relationship with the deceased, even in death. For those who refused donation, these concerns overshadowed awareness of need or benefit of transplantation. Adjusting the donation message to be more congruent with the real, lived experience of corneal donation may to some extent \"prepare\" individuals when the donation question is raised. © 2013 Springer Science+Business Media Dordrecht.","author":[{"dropping-particle":"","family":"Lawlor","given":"Mitchell","non-dropping-particle":"","parse-names":false,"suffix":""},{"dropping-particle":"","family":"Kerridge","given":"Ian","non-dropping-particle":"","parse-names":false,"suffix":""}],"container-title":"Journal of Bioethical Inquiry","id":"ITEM-2","issue":"1","issued":{"date-parts":[["2014"]]},"page":"57-64","title":"Understanding Selective Refusal of Eye Donation: Identity, Beauty, and Interpersonal Relationships","type":"article-journal","volume":"11"},"uris":["http://www.mendeley.com/documents/?uuid=de7f06b6-d60b-4000-8982-3d5c1b125cfe"]}],"mendeley":{"formattedCitation":"[6,14]","plainTextFormattedCitation":"[6,14]","previouslyFormattedCitation":"[6,14]"},"properties":{"noteIndex":0},"schema":"https://github.com/citation-style-language/schema/raw/master/csl-citation.json"}</w:instrText>
      </w:r>
      <w:r w:rsidR="003969D1" w:rsidRPr="004C2E0D">
        <w:fldChar w:fldCharType="separate"/>
      </w:r>
      <w:r w:rsidR="004F199F" w:rsidRPr="004F199F">
        <w:rPr>
          <w:noProof/>
        </w:rPr>
        <w:t>[6,14]</w:t>
      </w:r>
      <w:r w:rsidR="003969D1" w:rsidRPr="004C2E0D">
        <w:fldChar w:fldCharType="end"/>
      </w:r>
      <w:r w:rsidRPr="004C2E0D">
        <w:t xml:space="preserve">, as well as disgust-related aversion (‘yuk’/‘ick factor’) </w:t>
      </w:r>
      <w:r w:rsidR="004B3E3F">
        <w:t>(</w:t>
      </w:r>
      <w:r w:rsidRPr="004C2E0D">
        <w:t>findings from this national dataset have been grouped under these headings</w:t>
      </w:r>
      <w:r w:rsidR="004B3E3F">
        <w:t>)</w:t>
      </w:r>
      <w:r w:rsidRPr="004C2E0D">
        <w:t xml:space="preserve">. </w:t>
      </w:r>
      <w:bookmarkEnd w:id="5"/>
    </w:p>
    <w:p w14:paraId="2EF59715" w14:textId="63C04E2E" w:rsidR="007153FF" w:rsidRDefault="00BA513A" w:rsidP="00A326C8">
      <w:pPr>
        <w:spacing w:line="360" w:lineRule="auto"/>
        <w:jc w:val="both"/>
      </w:pPr>
      <w:r>
        <w:t>The aim of th</w:t>
      </w:r>
      <w:r w:rsidR="004B3E3F">
        <w:t>e</w:t>
      </w:r>
      <w:r>
        <w:t xml:space="preserve"> analytic process was to generate a</w:t>
      </w:r>
      <w:r w:rsidR="00615AD5">
        <w:t xml:space="preserve"> descriptive analysis of </w:t>
      </w:r>
      <w:r w:rsidR="000465A7">
        <w:t xml:space="preserve">data recording </w:t>
      </w:r>
      <w:r w:rsidR="00615AD5">
        <w:t>reasons for non-donation of eye tissue</w:t>
      </w:r>
      <w:r w:rsidR="000465A7">
        <w:t xml:space="preserve"> as reported by SNODs</w:t>
      </w:r>
      <w:r w:rsidR="00615AD5">
        <w:t xml:space="preserve"> (</w:t>
      </w:r>
      <w:r w:rsidR="00433A0C">
        <w:t>O</w:t>
      </w:r>
      <w:r w:rsidR="00615AD5">
        <w:t>bjective 1)</w:t>
      </w:r>
      <w:r w:rsidR="002640CF">
        <w:t>,</w:t>
      </w:r>
      <w:r w:rsidR="00615AD5">
        <w:t xml:space="preserve"> </w:t>
      </w:r>
      <w:r w:rsidR="00CB09B2">
        <w:t>and</w:t>
      </w:r>
      <w:r>
        <w:t xml:space="preserve"> to underpin</w:t>
      </w:r>
      <w:r w:rsidR="00CB09B2">
        <w:t xml:space="preserve"> </w:t>
      </w:r>
      <w:r w:rsidR="00044596">
        <w:t xml:space="preserve">a theoretically informed discussion aimed at </w:t>
      </w:r>
      <w:r>
        <w:t xml:space="preserve">unpacking the </w:t>
      </w:r>
      <w:r w:rsidR="00616658" w:rsidRPr="00616658">
        <w:t>key reason</w:t>
      </w:r>
      <w:r>
        <w:t xml:space="preserve">s </w:t>
      </w:r>
      <w:r w:rsidR="00616658" w:rsidRPr="00616658">
        <w:t>why</w:t>
      </w:r>
      <w:r w:rsidR="00322613">
        <w:t xml:space="preserve"> family members decline the option of eye donation when this is a </w:t>
      </w:r>
      <w:r w:rsidR="004B3E3F">
        <w:t>possibility</w:t>
      </w:r>
      <w:r w:rsidR="00322613">
        <w:t xml:space="preserve"> (</w:t>
      </w:r>
      <w:r w:rsidR="00504122">
        <w:t xml:space="preserve">i.e. </w:t>
      </w:r>
      <w:r w:rsidR="00322613">
        <w:t xml:space="preserve">no medical reasons for non-donation </w:t>
      </w:r>
      <w:r w:rsidR="00FF1162">
        <w:t>are</w:t>
      </w:r>
      <w:r w:rsidR="00322613">
        <w:t xml:space="preserve"> evident) </w:t>
      </w:r>
      <w:r w:rsidR="007153FF">
        <w:t xml:space="preserve">(Objective </w:t>
      </w:r>
      <w:r w:rsidR="00CB09B2">
        <w:t>2</w:t>
      </w:r>
      <w:r w:rsidR="007153FF">
        <w:t>)</w:t>
      </w:r>
      <w:r w:rsidR="00616658">
        <w:t xml:space="preserve">. </w:t>
      </w:r>
      <w:r w:rsidR="00CB09B2">
        <w:t>By engaging with existing theory regarding donation decision making</w:t>
      </w:r>
      <w:r w:rsidR="009975A2">
        <w:t>,</w:t>
      </w:r>
      <w:r w:rsidR="00CB09B2">
        <w:t xml:space="preserve"> t</w:t>
      </w:r>
      <w:r w:rsidR="00616658">
        <w:t>his paper also aims to</w:t>
      </w:r>
      <w:r w:rsidR="007153FF">
        <w:t xml:space="preserve"> infor</w:t>
      </w:r>
      <w:bookmarkStart w:id="6" w:name="_Hlk48764252"/>
      <w:r w:rsidR="007153FF">
        <w:t xml:space="preserve">m interventions that can lead to an increase in donation of eye tissue for use in transplant operations. </w:t>
      </w:r>
    </w:p>
    <w:p w14:paraId="5891C6AD" w14:textId="5C824E2B" w:rsidR="00BD3A6B" w:rsidRPr="00711E2D" w:rsidRDefault="00616658" w:rsidP="001919FA">
      <w:pPr>
        <w:pStyle w:val="Heading1"/>
        <w:spacing w:line="360" w:lineRule="auto"/>
        <w:rPr>
          <w:rFonts w:asciiTheme="minorHAnsi" w:hAnsiTheme="minorHAnsi" w:cstheme="minorHAnsi"/>
          <w:b/>
          <w:i/>
          <w:iCs/>
          <w:color w:val="auto"/>
          <w:sz w:val="22"/>
          <w:szCs w:val="22"/>
        </w:rPr>
      </w:pPr>
      <w:r w:rsidRPr="00711E2D">
        <w:rPr>
          <w:rFonts w:asciiTheme="minorHAnsi" w:hAnsiTheme="minorHAnsi" w:cstheme="minorHAnsi"/>
          <w:b/>
          <w:i/>
          <w:iCs/>
          <w:color w:val="auto"/>
          <w:sz w:val="22"/>
          <w:szCs w:val="22"/>
        </w:rPr>
        <w:t>Descriptive statistics</w:t>
      </w:r>
    </w:p>
    <w:p w14:paraId="6B7FB608" w14:textId="7FCC34E7" w:rsidR="00000C38" w:rsidRPr="009975A2" w:rsidRDefault="00000C38" w:rsidP="001919FA">
      <w:pPr>
        <w:pStyle w:val="Heading2"/>
        <w:spacing w:line="360" w:lineRule="auto"/>
        <w:rPr>
          <w:rFonts w:asciiTheme="minorHAnsi" w:hAnsiTheme="minorHAnsi" w:cstheme="minorHAnsi"/>
          <w:i/>
          <w:iCs/>
          <w:color w:val="auto"/>
          <w:sz w:val="22"/>
          <w:szCs w:val="22"/>
        </w:rPr>
      </w:pPr>
      <w:r w:rsidRPr="009975A2">
        <w:rPr>
          <w:rFonts w:asciiTheme="minorHAnsi" w:hAnsiTheme="minorHAnsi" w:cstheme="minorHAnsi"/>
          <w:i/>
          <w:iCs/>
          <w:color w:val="auto"/>
          <w:sz w:val="22"/>
          <w:szCs w:val="22"/>
        </w:rPr>
        <w:t>Reasons for non-donation of eye tissue</w:t>
      </w:r>
      <w:r w:rsidR="00777F80" w:rsidRPr="009975A2">
        <w:rPr>
          <w:rFonts w:asciiTheme="minorHAnsi" w:hAnsiTheme="minorHAnsi" w:cstheme="minorHAnsi"/>
          <w:i/>
          <w:iCs/>
          <w:color w:val="auto"/>
          <w:sz w:val="22"/>
          <w:szCs w:val="22"/>
        </w:rPr>
        <w:t xml:space="preserve"> (o</w:t>
      </w:r>
      <w:bookmarkEnd w:id="6"/>
      <w:r w:rsidR="00777F80" w:rsidRPr="009975A2">
        <w:rPr>
          <w:rFonts w:asciiTheme="minorHAnsi" w:hAnsiTheme="minorHAnsi" w:cstheme="minorHAnsi"/>
          <w:i/>
          <w:iCs/>
          <w:color w:val="auto"/>
          <w:sz w:val="22"/>
          <w:szCs w:val="22"/>
        </w:rPr>
        <w:t>verview)</w:t>
      </w:r>
    </w:p>
    <w:p w14:paraId="1D775349" w14:textId="03843FBE" w:rsidR="00000C38" w:rsidRDefault="00000C38" w:rsidP="001919FA">
      <w:pPr>
        <w:spacing w:line="360" w:lineRule="auto"/>
        <w:jc w:val="both"/>
      </w:pPr>
      <w:bookmarkStart w:id="7" w:name="_Hlk48825444"/>
      <w:r>
        <w:t xml:space="preserve">The data </w:t>
      </w:r>
      <w:r w:rsidR="009C5A73">
        <w:t xml:space="preserve">related to </w:t>
      </w:r>
      <w:r w:rsidR="00D76240">
        <w:t>27</w:t>
      </w:r>
      <w:r w:rsidR="008B20FB">
        <w:t>90</w:t>
      </w:r>
      <w:r>
        <w:t xml:space="preserve"> potential donors from England, Scotland, Wales and Northern Ireland, assessed for eligibility to donate </w:t>
      </w:r>
      <w:r w:rsidR="00D16B19">
        <w:t>eyes</w:t>
      </w:r>
      <w:r>
        <w:t xml:space="preserve"> between 1</w:t>
      </w:r>
      <w:r w:rsidRPr="00794AC5">
        <w:rPr>
          <w:vertAlign w:val="superscript"/>
        </w:rPr>
        <w:t>st</w:t>
      </w:r>
      <w:r>
        <w:t xml:space="preserve"> April </w:t>
      </w:r>
      <w:r w:rsidR="00D76240">
        <w:t xml:space="preserve">2014 </w:t>
      </w:r>
      <w:r>
        <w:t>and 31</w:t>
      </w:r>
      <w:r w:rsidRPr="00794AC5">
        <w:rPr>
          <w:vertAlign w:val="superscript"/>
        </w:rPr>
        <w:t>st</w:t>
      </w:r>
      <w:r>
        <w:t xml:space="preserve"> </w:t>
      </w:r>
      <w:r w:rsidR="00D76240">
        <w:t>March</w:t>
      </w:r>
      <w:r>
        <w:t xml:space="preserve"> 201</w:t>
      </w:r>
      <w:r w:rsidR="00D76240">
        <w:t>7</w:t>
      </w:r>
      <w:r w:rsidR="00BA513A">
        <w:t>,</w:t>
      </w:r>
      <w:r>
        <w:t xml:space="preserve"> but </w:t>
      </w:r>
      <w:r w:rsidR="000A2C2C">
        <w:t>from whom eye tissue was not retrieved</w:t>
      </w:r>
      <w:r w:rsidR="00BC4AEF">
        <w:t xml:space="preserve"> </w:t>
      </w:r>
      <w:r w:rsidR="00D76240">
        <w:t xml:space="preserve">(reporting periods cover UK financial year, see </w:t>
      </w:r>
      <w:r w:rsidR="001919FA">
        <w:t xml:space="preserve">Table </w:t>
      </w:r>
      <w:r w:rsidR="00D76240">
        <w:t xml:space="preserve"> 1)</w:t>
      </w:r>
      <w:r>
        <w:t xml:space="preserve">. </w:t>
      </w:r>
      <w:r w:rsidR="00A4628D">
        <w:t xml:space="preserve"> T</w:t>
      </w:r>
      <w:r w:rsidR="00D76240">
        <w:t>he m</w:t>
      </w:r>
      <w:r>
        <w:t>ost common reasons for non-</w:t>
      </w:r>
      <w:r w:rsidR="000A2C2C">
        <w:t>retrieval</w:t>
      </w:r>
      <w:r>
        <w:t xml:space="preserve"> of eyes were: </w:t>
      </w:r>
      <w:r w:rsidR="00F55BCF">
        <w:t xml:space="preserve">family wishes (n=1339, 48% of total cases); </w:t>
      </w:r>
      <w:r>
        <w:t>medical reasons (n=</w:t>
      </w:r>
      <w:r w:rsidR="00D76240">
        <w:t>841</w:t>
      </w:r>
      <w:r>
        <w:t>, 3</w:t>
      </w:r>
      <w:r w:rsidR="00D76240">
        <w:t>0</w:t>
      </w:r>
      <w:r>
        <w:t>%);</w:t>
      </w:r>
      <w:r w:rsidR="00F55BCF">
        <w:t xml:space="preserve"> deceased wishes (n=180, 7%); </w:t>
      </w:r>
      <w:r>
        <w:t>and coroner refusal (n=</w:t>
      </w:r>
      <w:r w:rsidR="00D76240">
        <w:t>160</w:t>
      </w:r>
      <w:r>
        <w:t xml:space="preserve">, </w:t>
      </w:r>
      <w:r w:rsidR="00D76240">
        <w:t>6</w:t>
      </w:r>
      <w:r>
        <w:t>%), with ‘All other reasons’ accounting for n=</w:t>
      </w:r>
      <w:r w:rsidR="00D76240">
        <w:t>212</w:t>
      </w:r>
      <w:r>
        <w:t xml:space="preserve"> (</w:t>
      </w:r>
      <w:r w:rsidR="00D76240">
        <w:t>8</w:t>
      </w:r>
      <w:r>
        <w:t>%) of cases</w:t>
      </w:r>
      <w:r w:rsidR="007E3A1C">
        <w:t xml:space="preserve"> (</w:t>
      </w:r>
      <w:r w:rsidR="008B20FB">
        <w:t xml:space="preserve">reasons were not recorded in n=58 (2%) cases – see </w:t>
      </w:r>
      <w:r w:rsidR="001919FA">
        <w:t>Table</w:t>
      </w:r>
      <w:r w:rsidR="007E3A1C">
        <w:t xml:space="preserve"> </w:t>
      </w:r>
      <w:r w:rsidR="007C0194">
        <w:t>1</w:t>
      </w:r>
      <w:r w:rsidR="007E3A1C">
        <w:t>)</w:t>
      </w:r>
      <w:r w:rsidR="007861F9">
        <w:t xml:space="preserve">. </w:t>
      </w:r>
      <w:r w:rsidR="002776F4">
        <w:t xml:space="preserve">The reporting in this paper will focus on data related to </w:t>
      </w:r>
      <w:r w:rsidR="002776F4" w:rsidRPr="000E443C">
        <w:rPr>
          <w:b/>
        </w:rPr>
        <w:t>family and deceased wishes</w:t>
      </w:r>
      <w:r w:rsidR="002776F4">
        <w:t xml:space="preserve"> only as these contribute to over 50% of recorded reasons why eye donation did not proceed when donation discussions took place. </w:t>
      </w:r>
    </w:p>
    <w:bookmarkEnd w:id="7"/>
    <w:p w14:paraId="35893055" w14:textId="4DBA1F90" w:rsidR="009C4D62" w:rsidRPr="00493744" w:rsidRDefault="001919FA" w:rsidP="009C4D62">
      <w:pPr>
        <w:pStyle w:val="Caption"/>
        <w:keepNext/>
        <w:jc w:val="center"/>
        <w:rPr>
          <w:rFonts w:ascii="Calibri" w:hAnsi="Calibri" w:cs="Calibri"/>
          <w:b/>
          <w:color w:val="auto"/>
          <w:sz w:val="20"/>
          <w:szCs w:val="20"/>
        </w:rPr>
      </w:pPr>
      <w:r w:rsidRPr="00493744">
        <w:rPr>
          <w:rFonts w:ascii="Calibri" w:hAnsi="Calibri" w:cs="Calibri"/>
          <w:b/>
          <w:color w:val="auto"/>
          <w:sz w:val="20"/>
          <w:szCs w:val="20"/>
        </w:rPr>
        <w:t xml:space="preserve">Table </w:t>
      </w:r>
      <w:r w:rsidR="009C4D62" w:rsidRPr="00493744">
        <w:rPr>
          <w:rFonts w:ascii="Calibri" w:hAnsi="Calibri" w:cs="Calibri"/>
          <w:b/>
          <w:color w:val="auto"/>
          <w:sz w:val="20"/>
          <w:szCs w:val="20"/>
        </w:rPr>
        <w:t xml:space="preserve"> </w:t>
      </w:r>
      <w:r w:rsidR="009C4D62" w:rsidRPr="00493744">
        <w:rPr>
          <w:rFonts w:ascii="Calibri" w:hAnsi="Calibri" w:cs="Calibri"/>
          <w:b/>
          <w:noProof/>
          <w:color w:val="auto"/>
          <w:sz w:val="20"/>
          <w:szCs w:val="20"/>
        </w:rPr>
        <w:fldChar w:fldCharType="begin"/>
      </w:r>
      <w:r w:rsidR="009C4D62" w:rsidRPr="00493744">
        <w:rPr>
          <w:rFonts w:ascii="Calibri" w:hAnsi="Calibri" w:cs="Calibri"/>
          <w:b/>
          <w:noProof/>
          <w:color w:val="auto"/>
          <w:sz w:val="20"/>
          <w:szCs w:val="20"/>
        </w:rPr>
        <w:instrText xml:space="preserve"> SEQ Table \* ARABIC </w:instrText>
      </w:r>
      <w:r w:rsidR="009C4D62" w:rsidRPr="00493744">
        <w:rPr>
          <w:rFonts w:ascii="Calibri" w:hAnsi="Calibri" w:cs="Calibri"/>
          <w:b/>
          <w:noProof/>
          <w:color w:val="auto"/>
          <w:sz w:val="20"/>
          <w:szCs w:val="20"/>
        </w:rPr>
        <w:fldChar w:fldCharType="separate"/>
      </w:r>
      <w:r w:rsidR="004A774A" w:rsidRPr="00493744">
        <w:rPr>
          <w:rFonts w:ascii="Calibri" w:hAnsi="Calibri" w:cs="Calibri"/>
          <w:b/>
          <w:noProof/>
          <w:color w:val="auto"/>
          <w:sz w:val="20"/>
          <w:szCs w:val="20"/>
        </w:rPr>
        <w:t>1</w:t>
      </w:r>
      <w:r w:rsidR="009C4D62" w:rsidRPr="00493744">
        <w:rPr>
          <w:rFonts w:ascii="Calibri" w:hAnsi="Calibri" w:cs="Calibri"/>
          <w:b/>
          <w:noProof/>
          <w:color w:val="auto"/>
          <w:sz w:val="20"/>
          <w:szCs w:val="20"/>
        </w:rPr>
        <w:fldChar w:fldCharType="end"/>
      </w:r>
      <w:r w:rsidR="009C4D62" w:rsidRPr="00493744">
        <w:rPr>
          <w:rFonts w:ascii="Calibri" w:hAnsi="Calibri" w:cs="Calibri"/>
          <w:b/>
          <w:color w:val="auto"/>
          <w:sz w:val="20"/>
          <w:szCs w:val="20"/>
        </w:rPr>
        <w:t xml:space="preserve"> </w:t>
      </w:r>
      <w:r w:rsidR="00883EE8" w:rsidRPr="00493744">
        <w:rPr>
          <w:rFonts w:ascii="Calibri" w:hAnsi="Calibri" w:cs="Calibri"/>
          <w:b/>
          <w:color w:val="auto"/>
          <w:sz w:val="20"/>
          <w:szCs w:val="20"/>
        </w:rPr>
        <w:t>–</w:t>
      </w:r>
      <w:r w:rsidR="009C4D62" w:rsidRPr="00493744">
        <w:rPr>
          <w:rFonts w:ascii="Calibri" w:hAnsi="Calibri" w:cs="Calibri"/>
          <w:b/>
          <w:color w:val="auto"/>
          <w:sz w:val="20"/>
          <w:szCs w:val="20"/>
        </w:rPr>
        <w:t xml:space="preserve"> Summary of recorded reasons for non-donation of eye </w:t>
      </w:r>
      <w:r w:rsidR="00631B75">
        <w:rPr>
          <w:rFonts w:ascii="Calibri" w:hAnsi="Calibri" w:cs="Calibri"/>
          <w:b/>
          <w:color w:val="auto"/>
          <w:sz w:val="20"/>
          <w:szCs w:val="20"/>
        </w:rPr>
        <w:t>tissue</w:t>
      </w:r>
      <w:r w:rsidR="009C4D62" w:rsidRPr="00493744">
        <w:rPr>
          <w:rFonts w:ascii="Calibri" w:hAnsi="Calibri" w:cs="Calibri"/>
          <w:b/>
          <w:color w:val="auto"/>
          <w:sz w:val="20"/>
          <w:szCs w:val="20"/>
        </w:rPr>
        <w:t xml:space="preserve"> from </w:t>
      </w:r>
      <w:r w:rsidR="00631B75">
        <w:rPr>
          <w:rFonts w:ascii="Calibri" w:hAnsi="Calibri" w:cs="Calibri"/>
          <w:b/>
          <w:color w:val="auto"/>
          <w:sz w:val="20"/>
          <w:szCs w:val="20"/>
        </w:rPr>
        <w:t xml:space="preserve">potential </w:t>
      </w:r>
      <w:r w:rsidR="009C4D62" w:rsidRPr="00493744">
        <w:rPr>
          <w:rFonts w:ascii="Calibri" w:hAnsi="Calibri" w:cs="Calibri"/>
          <w:b/>
          <w:color w:val="auto"/>
          <w:sz w:val="20"/>
          <w:szCs w:val="20"/>
        </w:rPr>
        <w:t>solid organ donors for the period 1</w:t>
      </w:r>
      <w:r w:rsidR="009C4D62" w:rsidRPr="00493744">
        <w:rPr>
          <w:rFonts w:ascii="Calibri" w:hAnsi="Calibri" w:cs="Calibri"/>
          <w:b/>
          <w:color w:val="auto"/>
          <w:sz w:val="20"/>
          <w:szCs w:val="20"/>
          <w:vertAlign w:val="superscript"/>
        </w:rPr>
        <w:t>st</w:t>
      </w:r>
      <w:r w:rsidR="009C4D62" w:rsidRPr="00493744">
        <w:rPr>
          <w:rFonts w:ascii="Calibri" w:hAnsi="Calibri" w:cs="Calibri"/>
          <w:b/>
          <w:color w:val="auto"/>
          <w:sz w:val="20"/>
          <w:szCs w:val="20"/>
        </w:rPr>
        <w:t xml:space="preserve"> April 2014-31</w:t>
      </w:r>
      <w:r w:rsidR="009C4D62" w:rsidRPr="00493744">
        <w:rPr>
          <w:rFonts w:ascii="Calibri" w:hAnsi="Calibri" w:cs="Calibri"/>
          <w:b/>
          <w:color w:val="auto"/>
          <w:sz w:val="20"/>
          <w:szCs w:val="20"/>
          <w:vertAlign w:val="superscript"/>
        </w:rPr>
        <w:t>st</w:t>
      </w:r>
      <w:r w:rsidR="009C4D62" w:rsidRPr="00493744">
        <w:rPr>
          <w:rFonts w:ascii="Calibri" w:hAnsi="Calibri" w:cs="Calibri"/>
          <w:b/>
          <w:color w:val="auto"/>
          <w:sz w:val="20"/>
          <w:szCs w:val="20"/>
        </w:rPr>
        <w:t xml:space="preserve"> March 2017</w:t>
      </w:r>
      <w:r w:rsidR="00FF1162" w:rsidRPr="00493744">
        <w:rPr>
          <w:rFonts w:ascii="Calibri" w:hAnsi="Calibri" w:cs="Calibri"/>
          <w:b/>
          <w:color w:val="auto"/>
          <w:sz w:val="20"/>
          <w:szCs w:val="20"/>
        </w:rPr>
        <w:t xml:space="preserve"> (</w:t>
      </w:r>
      <w:r w:rsidR="00680D36" w:rsidRPr="00493744">
        <w:rPr>
          <w:rFonts w:ascii="Calibri" w:hAnsi="Calibri" w:cs="Calibri"/>
          <w:b/>
          <w:color w:val="auto"/>
          <w:sz w:val="20"/>
          <w:szCs w:val="20"/>
        </w:rPr>
        <w:t>focus categories for this paper are shaded grey).</w:t>
      </w:r>
    </w:p>
    <w:tbl>
      <w:tblPr>
        <w:tblW w:w="10915" w:type="dxa"/>
        <w:tblBorders>
          <w:insideH w:val="single" w:sz="4" w:space="0" w:color="auto"/>
          <w:insideV w:val="single" w:sz="4" w:space="0" w:color="auto"/>
        </w:tblBorders>
        <w:tblLayout w:type="fixed"/>
        <w:tblLook w:val="04A0" w:firstRow="1" w:lastRow="0" w:firstColumn="1" w:lastColumn="0" w:noHBand="0" w:noVBand="1"/>
      </w:tblPr>
      <w:tblGrid>
        <w:gridCol w:w="783"/>
        <w:gridCol w:w="627"/>
        <w:gridCol w:w="598"/>
        <w:gridCol w:w="686"/>
        <w:gridCol w:w="590"/>
        <w:gridCol w:w="567"/>
        <w:gridCol w:w="850"/>
        <w:gridCol w:w="567"/>
        <w:gridCol w:w="851"/>
        <w:gridCol w:w="567"/>
        <w:gridCol w:w="850"/>
        <w:gridCol w:w="1111"/>
        <w:gridCol w:w="709"/>
        <w:gridCol w:w="709"/>
        <w:gridCol w:w="850"/>
      </w:tblGrid>
      <w:tr w:rsidR="007425BB" w:rsidRPr="003A044E" w14:paraId="450F262A" w14:textId="59C8C288" w:rsidTr="00495B75">
        <w:trPr>
          <w:trHeight w:val="215"/>
        </w:trPr>
        <w:tc>
          <w:tcPr>
            <w:tcW w:w="783" w:type="dxa"/>
            <w:vMerge w:val="restart"/>
            <w:shd w:val="clear" w:color="auto" w:fill="auto"/>
            <w:vAlign w:val="center"/>
            <w:hideMark/>
          </w:tcPr>
          <w:p w14:paraId="41E5F155" w14:textId="77777777" w:rsidR="007425BB" w:rsidRPr="003A044E" w:rsidRDefault="007425BB" w:rsidP="00F55BCF">
            <w:pPr>
              <w:spacing w:after="0" w:line="240" w:lineRule="auto"/>
              <w:jc w:val="center"/>
              <w:rPr>
                <w:rFonts w:ascii="Calibri" w:eastAsia="Times New Roman" w:hAnsi="Calibri" w:cs="Calibri"/>
                <w:b/>
                <w:bCs/>
                <w:sz w:val="20"/>
                <w:szCs w:val="20"/>
                <w:lang w:eastAsia="en-GB"/>
              </w:rPr>
            </w:pPr>
            <w:r w:rsidRPr="003A044E">
              <w:rPr>
                <w:rFonts w:ascii="Calibri" w:eastAsia="Times New Roman" w:hAnsi="Calibri" w:cs="Calibri"/>
                <w:b/>
                <w:bCs/>
                <w:sz w:val="20"/>
                <w:szCs w:val="20"/>
                <w:lang w:eastAsia="en-GB"/>
              </w:rPr>
              <w:t>Period</w:t>
            </w:r>
          </w:p>
        </w:tc>
        <w:tc>
          <w:tcPr>
            <w:tcW w:w="1225" w:type="dxa"/>
            <w:gridSpan w:val="2"/>
            <w:tcBorders>
              <w:bottom w:val="nil"/>
            </w:tcBorders>
            <w:shd w:val="clear" w:color="auto" w:fill="F2F2F2" w:themeFill="background1" w:themeFillShade="F2"/>
          </w:tcPr>
          <w:p w14:paraId="4D09BCBC" w14:textId="055134DF" w:rsidR="007425BB" w:rsidRPr="003A044E" w:rsidRDefault="007425BB" w:rsidP="00F55BCF">
            <w:pPr>
              <w:spacing w:after="0" w:line="240" w:lineRule="auto"/>
              <w:jc w:val="center"/>
              <w:rPr>
                <w:rFonts w:ascii="Calibri" w:eastAsia="Times New Roman" w:hAnsi="Calibri" w:cs="Calibri"/>
                <w:b/>
                <w:bCs/>
                <w:sz w:val="20"/>
                <w:szCs w:val="20"/>
                <w:lang w:eastAsia="en-GB"/>
              </w:rPr>
            </w:pPr>
            <w:r w:rsidRPr="003A044E">
              <w:rPr>
                <w:rFonts w:ascii="Calibri" w:eastAsia="Times New Roman" w:hAnsi="Calibri" w:cs="Calibri"/>
                <w:b/>
                <w:bCs/>
                <w:sz w:val="20"/>
                <w:szCs w:val="20"/>
                <w:lang w:eastAsia="en-GB"/>
              </w:rPr>
              <w:t>Family wishes</w:t>
            </w:r>
          </w:p>
        </w:tc>
        <w:tc>
          <w:tcPr>
            <w:tcW w:w="1276" w:type="dxa"/>
            <w:gridSpan w:val="2"/>
            <w:tcBorders>
              <w:bottom w:val="nil"/>
            </w:tcBorders>
            <w:shd w:val="clear" w:color="auto" w:fill="auto"/>
            <w:vAlign w:val="center"/>
            <w:hideMark/>
          </w:tcPr>
          <w:p w14:paraId="2D6833D4" w14:textId="169BA487" w:rsidR="007425BB" w:rsidRPr="003A044E" w:rsidRDefault="007425BB" w:rsidP="00F55BCF">
            <w:pPr>
              <w:spacing w:after="0" w:line="240" w:lineRule="auto"/>
              <w:jc w:val="center"/>
              <w:rPr>
                <w:rFonts w:ascii="Calibri" w:eastAsia="Times New Roman" w:hAnsi="Calibri" w:cs="Calibri"/>
                <w:sz w:val="20"/>
                <w:szCs w:val="20"/>
                <w:lang w:eastAsia="en-GB"/>
              </w:rPr>
            </w:pPr>
            <w:r w:rsidRPr="003A044E">
              <w:rPr>
                <w:rFonts w:ascii="Calibri" w:eastAsia="Times New Roman" w:hAnsi="Calibri" w:cs="Calibri"/>
                <w:b/>
                <w:bCs/>
                <w:sz w:val="20"/>
                <w:szCs w:val="20"/>
                <w:lang w:eastAsia="en-GB"/>
              </w:rPr>
              <w:t>Medical reasons</w:t>
            </w:r>
          </w:p>
        </w:tc>
        <w:tc>
          <w:tcPr>
            <w:tcW w:w="1417" w:type="dxa"/>
            <w:gridSpan w:val="2"/>
            <w:tcBorders>
              <w:bottom w:val="nil"/>
            </w:tcBorders>
            <w:shd w:val="clear" w:color="auto" w:fill="F2F2F2" w:themeFill="background1" w:themeFillShade="F2"/>
            <w:vAlign w:val="center"/>
            <w:hideMark/>
          </w:tcPr>
          <w:p w14:paraId="11991FB7" w14:textId="188CD6A5" w:rsidR="007425BB" w:rsidRPr="003A044E" w:rsidRDefault="007425BB" w:rsidP="00F55BCF">
            <w:pPr>
              <w:spacing w:after="0" w:line="240" w:lineRule="auto"/>
              <w:jc w:val="center"/>
              <w:rPr>
                <w:rFonts w:ascii="Calibri" w:eastAsia="Times New Roman" w:hAnsi="Calibri" w:cs="Calibri"/>
                <w:b/>
                <w:bCs/>
                <w:sz w:val="20"/>
                <w:szCs w:val="20"/>
                <w:lang w:eastAsia="en-GB"/>
              </w:rPr>
            </w:pPr>
            <w:r w:rsidRPr="003A044E">
              <w:rPr>
                <w:rFonts w:ascii="Calibri" w:eastAsia="Times New Roman" w:hAnsi="Calibri" w:cs="Calibri"/>
                <w:b/>
                <w:bCs/>
                <w:sz w:val="20"/>
                <w:szCs w:val="20"/>
                <w:lang w:eastAsia="en-GB"/>
              </w:rPr>
              <w:t xml:space="preserve">Deceased wishes </w:t>
            </w:r>
          </w:p>
        </w:tc>
        <w:tc>
          <w:tcPr>
            <w:tcW w:w="1418" w:type="dxa"/>
            <w:gridSpan w:val="2"/>
            <w:tcBorders>
              <w:bottom w:val="nil"/>
            </w:tcBorders>
            <w:shd w:val="clear" w:color="auto" w:fill="auto"/>
            <w:vAlign w:val="center"/>
            <w:hideMark/>
          </w:tcPr>
          <w:p w14:paraId="6ADD09C9" w14:textId="328BD602" w:rsidR="007425BB" w:rsidRPr="003A044E" w:rsidRDefault="007425BB" w:rsidP="00F55BCF">
            <w:pPr>
              <w:spacing w:after="0" w:line="240" w:lineRule="auto"/>
              <w:jc w:val="center"/>
              <w:rPr>
                <w:rFonts w:ascii="Calibri" w:eastAsia="Times New Roman" w:hAnsi="Calibri" w:cs="Calibri"/>
                <w:b/>
                <w:bCs/>
                <w:sz w:val="20"/>
                <w:szCs w:val="20"/>
                <w:lang w:eastAsia="en-GB"/>
              </w:rPr>
            </w:pPr>
            <w:r w:rsidRPr="003A044E">
              <w:rPr>
                <w:rFonts w:ascii="Calibri" w:eastAsia="Times New Roman" w:hAnsi="Calibri" w:cs="Calibri"/>
                <w:b/>
                <w:bCs/>
                <w:sz w:val="20"/>
                <w:szCs w:val="20"/>
                <w:lang w:eastAsia="en-GB"/>
              </w:rPr>
              <w:t>Coroner refused</w:t>
            </w:r>
          </w:p>
        </w:tc>
        <w:tc>
          <w:tcPr>
            <w:tcW w:w="1417" w:type="dxa"/>
            <w:gridSpan w:val="2"/>
            <w:tcBorders>
              <w:bottom w:val="nil"/>
            </w:tcBorders>
            <w:shd w:val="clear" w:color="auto" w:fill="F2F2F2" w:themeFill="background1" w:themeFillShade="F2"/>
            <w:vAlign w:val="center"/>
            <w:hideMark/>
          </w:tcPr>
          <w:p w14:paraId="3CCD6040" w14:textId="66717C50" w:rsidR="007425BB" w:rsidRPr="003A044E" w:rsidRDefault="007425BB" w:rsidP="00F55BCF">
            <w:pPr>
              <w:spacing w:after="0" w:line="240" w:lineRule="auto"/>
              <w:jc w:val="center"/>
              <w:rPr>
                <w:rFonts w:ascii="Calibri" w:eastAsia="Times New Roman" w:hAnsi="Calibri" w:cs="Calibri"/>
                <w:b/>
                <w:bCs/>
                <w:sz w:val="20"/>
                <w:szCs w:val="20"/>
                <w:lang w:eastAsia="en-GB"/>
              </w:rPr>
            </w:pPr>
            <w:r w:rsidRPr="003A044E">
              <w:rPr>
                <w:rFonts w:ascii="Calibri" w:eastAsia="Times New Roman" w:hAnsi="Calibri" w:cs="Calibri"/>
                <w:b/>
                <w:bCs/>
                <w:sz w:val="20"/>
                <w:szCs w:val="20"/>
                <w:lang w:eastAsia="en-GB"/>
              </w:rPr>
              <w:t>All other reasons</w:t>
            </w:r>
          </w:p>
        </w:tc>
        <w:tc>
          <w:tcPr>
            <w:tcW w:w="1820" w:type="dxa"/>
            <w:gridSpan w:val="2"/>
            <w:tcBorders>
              <w:bottom w:val="nil"/>
            </w:tcBorders>
            <w:shd w:val="clear" w:color="auto" w:fill="auto"/>
            <w:vAlign w:val="center"/>
          </w:tcPr>
          <w:p w14:paraId="0A3B53AA" w14:textId="48DDBC9E" w:rsidR="007425BB" w:rsidRPr="003A044E" w:rsidRDefault="007425BB" w:rsidP="00443F03">
            <w:pPr>
              <w:spacing w:after="0" w:line="240" w:lineRule="auto"/>
              <w:jc w:val="center"/>
              <w:rPr>
                <w:rFonts w:ascii="Calibri" w:eastAsia="Times New Roman" w:hAnsi="Calibri" w:cs="Calibri"/>
                <w:b/>
                <w:bCs/>
                <w:sz w:val="20"/>
                <w:szCs w:val="20"/>
                <w:lang w:eastAsia="en-GB"/>
              </w:rPr>
            </w:pPr>
            <w:r>
              <w:rPr>
                <w:rFonts w:ascii="Calibri" w:eastAsia="Times New Roman" w:hAnsi="Calibri" w:cs="Calibri"/>
                <w:b/>
                <w:bCs/>
                <w:i/>
                <w:iCs/>
                <w:sz w:val="20"/>
                <w:szCs w:val="20"/>
                <w:lang w:eastAsia="en-GB"/>
              </w:rPr>
              <w:t>(</w:t>
            </w:r>
            <w:r w:rsidRPr="007425BB">
              <w:rPr>
                <w:rFonts w:ascii="Calibri" w:eastAsia="Times New Roman" w:hAnsi="Calibri" w:cs="Calibri"/>
                <w:b/>
                <w:bCs/>
                <w:i/>
                <w:iCs/>
                <w:sz w:val="20"/>
                <w:szCs w:val="20"/>
                <w:lang w:eastAsia="en-GB"/>
              </w:rPr>
              <w:t>Reasons not recorded</w:t>
            </w:r>
            <w:r>
              <w:rPr>
                <w:rFonts w:ascii="Calibri" w:eastAsia="Times New Roman" w:hAnsi="Calibri" w:cs="Calibri"/>
                <w:b/>
                <w:bCs/>
                <w:i/>
                <w:iCs/>
                <w:sz w:val="20"/>
                <w:szCs w:val="20"/>
                <w:lang w:eastAsia="en-GB"/>
              </w:rPr>
              <w:t>)</w:t>
            </w:r>
          </w:p>
        </w:tc>
        <w:tc>
          <w:tcPr>
            <w:tcW w:w="1559" w:type="dxa"/>
            <w:gridSpan w:val="2"/>
            <w:tcBorders>
              <w:bottom w:val="nil"/>
            </w:tcBorders>
            <w:shd w:val="clear" w:color="auto" w:fill="F2F2F2" w:themeFill="background1" w:themeFillShade="F2"/>
            <w:noWrap/>
            <w:vAlign w:val="center"/>
            <w:hideMark/>
          </w:tcPr>
          <w:p w14:paraId="4D2BC6F5" w14:textId="4D8EA5C1" w:rsidR="007425BB" w:rsidRPr="003A044E" w:rsidRDefault="007425BB" w:rsidP="00495B75">
            <w:pPr>
              <w:spacing w:after="0" w:line="240" w:lineRule="auto"/>
              <w:jc w:val="center"/>
              <w:rPr>
                <w:rFonts w:ascii="Calibri" w:eastAsia="Times New Roman" w:hAnsi="Calibri" w:cs="Calibri"/>
                <w:b/>
                <w:bCs/>
                <w:sz w:val="20"/>
                <w:szCs w:val="20"/>
                <w:lang w:eastAsia="en-GB"/>
              </w:rPr>
            </w:pPr>
            <w:r w:rsidRPr="003A044E">
              <w:rPr>
                <w:rFonts w:ascii="Calibri" w:eastAsia="Times New Roman" w:hAnsi="Calibri" w:cs="Calibri"/>
                <w:b/>
                <w:bCs/>
                <w:sz w:val="20"/>
                <w:szCs w:val="20"/>
                <w:lang w:eastAsia="en-GB"/>
              </w:rPr>
              <w:t>TOTAL</w:t>
            </w:r>
          </w:p>
        </w:tc>
      </w:tr>
      <w:tr w:rsidR="007425BB" w:rsidRPr="003A044E" w14:paraId="52CAB4AE" w14:textId="5A2693A6" w:rsidTr="00443F03">
        <w:trPr>
          <w:trHeight w:val="121"/>
        </w:trPr>
        <w:tc>
          <w:tcPr>
            <w:tcW w:w="783" w:type="dxa"/>
            <w:vMerge/>
            <w:vAlign w:val="center"/>
            <w:hideMark/>
          </w:tcPr>
          <w:p w14:paraId="7137F1BF" w14:textId="77777777" w:rsidR="007425BB" w:rsidRPr="003A044E" w:rsidRDefault="007425BB" w:rsidP="00495E41">
            <w:pPr>
              <w:spacing w:after="0" w:line="240" w:lineRule="auto"/>
              <w:rPr>
                <w:rFonts w:ascii="Calibri" w:eastAsia="Times New Roman" w:hAnsi="Calibri" w:cs="Calibri"/>
                <w:b/>
                <w:bCs/>
                <w:sz w:val="20"/>
                <w:szCs w:val="20"/>
                <w:lang w:eastAsia="en-GB"/>
              </w:rPr>
            </w:pPr>
          </w:p>
        </w:tc>
        <w:tc>
          <w:tcPr>
            <w:tcW w:w="627" w:type="dxa"/>
            <w:tcBorders>
              <w:top w:val="nil"/>
              <w:bottom w:val="single" w:sz="4" w:space="0" w:color="auto"/>
              <w:right w:val="nil"/>
            </w:tcBorders>
            <w:shd w:val="clear" w:color="auto" w:fill="F2F2F2" w:themeFill="background1" w:themeFillShade="F2"/>
            <w:vAlign w:val="bottom"/>
          </w:tcPr>
          <w:p w14:paraId="4C0F0107" w14:textId="1FE73C12" w:rsidR="007425BB" w:rsidRPr="003A044E" w:rsidRDefault="007425BB" w:rsidP="007425BB">
            <w:pPr>
              <w:spacing w:after="0" w:line="240" w:lineRule="auto"/>
              <w:jc w:val="right"/>
              <w:rPr>
                <w:rFonts w:ascii="Calibri" w:eastAsia="Times New Roman" w:hAnsi="Calibri" w:cs="Calibri"/>
                <w:i/>
                <w:iCs/>
                <w:sz w:val="20"/>
                <w:szCs w:val="20"/>
                <w:lang w:eastAsia="en-GB"/>
              </w:rPr>
            </w:pPr>
            <w:r w:rsidRPr="003A044E">
              <w:rPr>
                <w:rFonts w:ascii="Calibri" w:eastAsia="Times New Roman" w:hAnsi="Calibri" w:cs="Calibri"/>
                <w:i/>
                <w:iCs/>
                <w:sz w:val="20"/>
                <w:szCs w:val="20"/>
                <w:lang w:eastAsia="en-GB"/>
              </w:rPr>
              <w:t>N</w:t>
            </w:r>
          </w:p>
        </w:tc>
        <w:tc>
          <w:tcPr>
            <w:tcW w:w="598" w:type="dxa"/>
            <w:tcBorders>
              <w:top w:val="nil"/>
              <w:left w:val="nil"/>
              <w:bottom w:val="single" w:sz="4" w:space="0" w:color="auto"/>
            </w:tcBorders>
            <w:shd w:val="clear" w:color="auto" w:fill="F2F2F2" w:themeFill="background1" w:themeFillShade="F2"/>
            <w:vAlign w:val="bottom"/>
          </w:tcPr>
          <w:p w14:paraId="01A6CADF" w14:textId="04F845E0" w:rsidR="007425BB" w:rsidRPr="003A044E" w:rsidRDefault="007425BB" w:rsidP="00495E41">
            <w:pPr>
              <w:spacing w:after="0" w:line="240" w:lineRule="auto"/>
              <w:jc w:val="right"/>
              <w:rPr>
                <w:rFonts w:ascii="Calibri" w:eastAsia="Times New Roman" w:hAnsi="Calibri" w:cs="Calibri"/>
                <w:i/>
                <w:iCs/>
                <w:sz w:val="20"/>
                <w:szCs w:val="20"/>
                <w:lang w:eastAsia="en-GB"/>
              </w:rPr>
            </w:pPr>
            <w:r w:rsidRPr="003A044E">
              <w:rPr>
                <w:rFonts w:ascii="Calibri" w:eastAsia="Times New Roman" w:hAnsi="Calibri" w:cs="Calibri"/>
                <w:i/>
                <w:iCs/>
                <w:sz w:val="20"/>
                <w:szCs w:val="20"/>
                <w:lang w:eastAsia="en-GB"/>
              </w:rPr>
              <w:t xml:space="preserve">     (%)</w:t>
            </w:r>
          </w:p>
        </w:tc>
        <w:tc>
          <w:tcPr>
            <w:tcW w:w="686" w:type="dxa"/>
            <w:tcBorders>
              <w:top w:val="nil"/>
              <w:bottom w:val="single" w:sz="4" w:space="0" w:color="auto"/>
              <w:right w:val="nil"/>
            </w:tcBorders>
            <w:shd w:val="clear" w:color="auto" w:fill="auto"/>
            <w:noWrap/>
            <w:vAlign w:val="bottom"/>
          </w:tcPr>
          <w:p w14:paraId="0A421A16" w14:textId="1BA049FC" w:rsidR="007425BB" w:rsidRPr="003A044E" w:rsidRDefault="007425BB" w:rsidP="00495E41">
            <w:pPr>
              <w:spacing w:after="0" w:line="240" w:lineRule="auto"/>
              <w:jc w:val="right"/>
              <w:rPr>
                <w:rFonts w:ascii="Calibri" w:eastAsia="Times New Roman" w:hAnsi="Calibri" w:cs="Calibri"/>
                <w:i/>
                <w:iCs/>
                <w:sz w:val="20"/>
                <w:szCs w:val="20"/>
                <w:lang w:eastAsia="en-GB"/>
              </w:rPr>
            </w:pPr>
            <w:r w:rsidRPr="003A044E">
              <w:rPr>
                <w:rFonts w:ascii="Calibri" w:eastAsia="Times New Roman" w:hAnsi="Calibri" w:cs="Calibri"/>
                <w:i/>
                <w:iCs/>
                <w:sz w:val="20"/>
                <w:szCs w:val="20"/>
                <w:lang w:eastAsia="en-GB"/>
              </w:rPr>
              <w:t>N</w:t>
            </w:r>
          </w:p>
        </w:tc>
        <w:tc>
          <w:tcPr>
            <w:tcW w:w="590" w:type="dxa"/>
            <w:tcBorders>
              <w:top w:val="nil"/>
              <w:left w:val="nil"/>
              <w:bottom w:val="single" w:sz="4" w:space="0" w:color="auto"/>
            </w:tcBorders>
            <w:shd w:val="clear" w:color="auto" w:fill="auto"/>
            <w:noWrap/>
            <w:vAlign w:val="bottom"/>
          </w:tcPr>
          <w:p w14:paraId="24EF6E79" w14:textId="6F42F953" w:rsidR="007425BB" w:rsidRPr="003A044E" w:rsidRDefault="007425BB" w:rsidP="00495E41">
            <w:pPr>
              <w:spacing w:after="0" w:line="240" w:lineRule="auto"/>
              <w:jc w:val="right"/>
              <w:rPr>
                <w:rFonts w:ascii="Calibri" w:eastAsia="Times New Roman" w:hAnsi="Calibri" w:cs="Calibri"/>
                <w:i/>
                <w:iCs/>
                <w:sz w:val="20"/>
                <w:szCs w:val="20"/>
                <w:lang w:eastAsia="en-GB"/>
              </w:rPr>
            </w:pPr>
            <w:r w:rsidRPr="003A044E">
              <w:rPr>
                <w:rFonts w:ascii="Calibri" w:eastAsia="Times New Roman" w:hAnsi="Calibri" w:cs="Calibri"/>
                <w:i/>
                <w:iCs/>
                <w:sz w:val="20"/>
                <w:szCs w:val="20"/>
                <w:lang w:eastAsia="en-GB"/>
              </w:rPr>
              <w:t xml:space="preserve">      (%)</w:t>
            </w:r>
          </w:p>
        </w:tc>
        <w:tc>
          <w:tcPr>
            <w:tcW w:w="567" w:type="dxa"/>
            <w:tcBorders>
              <w:top w:val="nil"/>
              <w:bottom w:val="single" w:sz="4" w:space="0" w:color="auto"/>
              <w:right w:val="nil"/>
            </w:tcBorders>
            <w:shd w:val="clear" w:color="auto" w:fill="F2F2F2" w:themeFill="background1" w:themeFillShade="F2"/>
            <w:noWrap/>
            <w:vAlign w:val="bottom"/>
          </w:tcPr>
          <w:p w14:paraId="106DDF71" w14:textId="1F54D141" w:rsidR="007425BB" w:rsidRPr="003A044E" w:rsidRDefault="007425BB" w:rsidP="00495E41">
            <w:pPr>
              <w:spacing w:after="0" w:line="240" w:lineRule="auto"/>
              <w:jc w:val="right"/>
              <w:rPr>
                <w:rFonts w:ascii="Calibri" w:eastAsia="Times New Roman" w:hAnsi="Calibri" w:cs="Calibri"/>
                <w:i/>
                <w:iCs/>
                <w:sz w:val="20"/>
                <w:szCs w:val="20"/>
                <w:lang w:eastAsia="en-GB"/>
              </w:rPr>
            </w:pPr>
            <w:r w:rsidRPr="003A044E">
              <w:rPr>
                <w:rFonts w:ascii="Calibri" w:eastAsia="Times New Roman" w:hAnsi="Calibri" w:cs="Calibri"/>
                <w:i/>
                <w:iCs/>
                <w:sz w:val="20"/>
                <w:szCs w:val="20"/>
                <w:lang w:eastAsia="en-GB"/>
              </w:rPr>
              <w:t>N</w:t>
            </w:r>
          </w:p>
        </w:tc>
        <w:tc>
          <w:tcPr>
            <w:tcW w:w="850" w:type="dxa"/>
            <w:tcBorders>
              <w:top w:val="nil"/>
              <w:left w:val="nil"/>
              <w:bottom w:val="single" w:sz="4" w:space="0" w:color="auto"/>
            </w:tcBorders>
            <w:shd w:val="clear" w:color="auto" w:fill="F2F2F2" w:themeFill="background1" w:themeFillShade="F2"/>
            <w:noWrap/>
            <w:vAlign w:val="bottom"/>
          </w:tcPr>
          <w:p w14:paraId="6221B077" w14:textId="13EC7086" w:rsidR="007425BB" w:rsidRPr="003A044E" w:rsidRDefault="007425BB" w:rsidP="00495E41">
            <w:pPr>
              <w:spacing w:after="0" w:line="240" w:lineRule="auto"/>
              <w:jc w:val="right"/>
              <w:rPr>
                <w:rFonts w:ascii="Calibri" w:eastAsia="Times New Roman" w:hAnsi="Calibri" w:cs="Calibri"/>
                <w:i/>
                <w:iCs/>
                <w:sz w:val="20"/>
                <w:szCs w:val="20"/>
                <w:lang w:eastAsia="en-GB"/>
              </w:rPr>
            </w:pPr>
            <w:r w:rsidRPr="003A044E">
              <w:rPr>
                <w:rFonts w:ascii="Calibri" w:eastAsia="Times New Roman" w:hAnsi="Calibri" w:cs="Calibri"/>
                <w:i/>
                <w:iCs/>
                <w:sz w:val="20"/>
                <w:szCs w:val="20"/>
                <w:lang w:eastAsia="en-GB"/>
              </w:rPr>
              <w:t>(%)</w:t>
            </w:r>
          </w:p>
        </w:tc>
        <w:tc>
          <w:tcPr>
            <w:tcW w:w="567" w:type="dxa"/>
            <w:tcBorders>
              <w:top w:val="nil"/>
              <w:bottom w:val="single" w:sz="4" w:space="0" w:color="auto"/>
              <w:right w:val="nil"/>
            </w:tcBorders>
            <w:shd w:val="clear" w:color="auto" w:fill="auto"/>
            <w:noWrap/>
            <w:vAlign w:val="bottom"/>
          </w:tcPr>
          <w:p w14:paraId="2DF1ACD8" w14:textId="47D14225" w:rsidR="007425BB" w:rsidRPr="003A044E" w:rsidRDefault="007425BB" w:rsidP="00495E41">
            <w:pPr>
              <w:spacing w:after="0" w:line="240" w:lineRule="auto"/>
              <w:jc w:val="right"/>
              <w:rPr>
                <w:rFonts w:ascii="Calibri" w:eastAsia="Times New Roman" w:hAnsi="Calibri" w:cs="Calibri"/>
                <w:i/>
                <w:iCs/>
                <w:sz w:val="20"/>
                <w:szCs w:val="20"/>
                <w:lang w:eastAsia="en-GB"/>
              </w:rPr>
            </w:pPr>
            <w:r w:rsidRPr="003A044E">
              <w:rPr>
                <w:rFonts w:ascii="Calibri" w:eastAsia="Times New Roman" w:hAnsi="Calibri" w:cs="Calibri"/>
                <w:i/>
                <w:iCs/>
                <w:sz w:val="20"/>
                <w:szCs w:val="20"/>
                <w:lang w:eastAsia="en-GB"/>
              </w:rPr>
              <w:t>N</w:t>
            </w:r>
          </w:p>
        </w:tc>
        <w:tc>
          <w:tcPr>
            <w:tcW w:w="851" w:type="dxa"/>
            <w:tcBorders>
              <w:top w:val="nil"/>
              <w:left w:val="nil"/>
              <w:bottom w:val="single" w:sz="4" w:space="0" w:color="auto"/>
            </w:tcBorders>
            <w:shd w:val="clear" w:color="auto" w:fill="auto"/>
            <w:noWrap/>
            <w:vAlign w:val="bottom"/>
          </w:tcPr>
          <w:p w14:paraId="2B8096CA" w14:textId="41E36D71" w:rsidR="007425BB" w:rsidRPr="003A044E" w:rsidRDefault="007425BB" w:rsidP="00495E41">
            <w:pPr>
              <w:spacing w:after="0" w:line="240" w:lineRule="auto"/>
              <w:rPr>
                <w:rFonts w:ascii="Calibri" w:eastAsia="Times New Roman" w:hAnsi="Calibri" w:cs="Calibri"/>
                <w:i/>
                <w:iCs/>
                <w:sz w:val="20"/>
                <w:szCs w:val="20"/>
                <w:lang w:eastAsia="en-GB"/>
              </w:rPr>
            </w:pPr>
            <w:r w:rsidRPr="003A044E">
              <w:rPr>
                <w:rFonts w:ascii="Calibri" w:eastAsia="Times New Roman" w:hAnsi="Calibri" w:cs="Calibri"/>
                <w:i/>
                <w:iCs/>
                <w:sz w:val="20"/>
                <w:szCs w:val="20"/>
                <w:lang w:eastAsia="en-GB"/>
              </w:rPr>
              <w:t xml:space="preserve">       (%)</w:t>
            </w:r>
          </w:p>
        </w:tc>
        <w:tc>
          <w:tcPr>
            <w:tcW w:w="567" w:type="dxa"/>
            <w:tcBorders>
              <w:top w:val="nil"/>
              <w:bottom w:val="single" w:sz="4" w:space="0" w:color="auto"/>
              <w:right w:val="nil"/>
            </w:tcBorders>
            <w:shd w:val="clear" w:color="auto" w:fill="F2F2F2" w:themeFill="background1" w:themeFillShade="F2"/>
            <w:noWrap/>
            <w:vAlign w:val="bottom"/>
          </w:tcPr>
          <w:p w14:paraId="7F257F52" w14:textId="37FEBFD6" w:rsidR="007425BB" w:rsidRPr="003A044E" w:rsidRDefault="007425BB" w:rsidP="00495E41">
            <w:pPr>
              <w:spacing w:after="0" w:line="240" w:lineRule="auto"/>
              <w:rPr>
                <w:rFonts w:ascii="Calibri" w:eastAsia="Times New Roman" w:hAnsi="Calibri" w:cs="Calibri"/>
                <w:i/>
                <w:iCs/>
                <w:sz w:val="20"/>
                <w:szCs w:val="20"/>
                <w:lang w:eastAsia="en-GB"/>
              </w:rPr>
            </w:pPr>
            <w:r w:rsidRPr="003A044E">
              <w:rPr>
                <w:rFonts w:ascii="Calibri" w:eastAsia="Times New Roman" w:hAnsi="Calibri" w:cs="Calibri"/>
                <w:i/>
                <w:iCs/>
                <w:sz w:val="20"/>
                <w:szCs w:val="20"/>
                <w:lang w:eastAsia="en-GB"/>
              </w:rPr>
              <w:t>N</w:t>
            </w:r>
          </w:p>
        </w:tc>
        <w:tc>
          <w:tcPr>
            <w:tcW w:w="850" w:type="dxa"/>
            <w:tcBorders>
              <w:top w:val="nil"/>
              <w:left w:val="nil"/>
              <w:bottom w:val="single" w:sz="4" w:space="0" w:color="auto"/>
            </w:tcBorders>
            <w:shd w:val="clear" w:color="auto" w:fill="F2F2F2" w:themeFill="background1" w:themeFillShade="F2"/>
            <w:noWrap/>
            <w:vAlign w:val="bottom"/>
          </w:tcPr>
          <w:p w14:paraId="5C9278FA" w14:textId="43124E0F" w:rsidR="007425BB" w:rsidRPr="003A044E" w:rsidRDefault="007425BB" w:rsidP="00495E41">
            <w:pPr>
              <w:spacing w:after="0" w:line="240" w:lineRule="auto"/>
              <w:rPr>
                <w:rFonts w:ascii="Calibri" w:eastAsia="Times New Roman" w:hAnsi="Calibri" w:cs="Calibri"/>
                <w:i/>
                <w:iCs/>
                <w:sz w:val="20"/>
                <w:szCs w:val="20"/>
                <w:lang w:eastAsia="en-GB"/>
              </w:rPr>
            </w:pPr>
            <w:r w:rsidRPr="003A044E">
              <w:rPr>
                <w:rFonts w:ascii="Calibri" w:eastAsia="Times New Roman" w:hAnsi="Calibri" w:cs="Calibri"/>
                <w:i/>
                <w:iCs/>
                <w:sz w:val="20"/>
                <w:szCs w:val="20"/>
                <w:lang w:eastAsia="en-GB"/>
              </w:rPr>
              <w:t xml:space="preserve">       (%)</w:t>
            </w:r>
          </w:p>
        </w:tc>
        <w:tc>
          <w:tcPr>
            <w:tcW w:w="1111" w:type="dxa"/>
            <w:tcBorders>
              <w:top w:val="nil"/>
              <w:bottom w:val="single" w:sz="4" w:space="0" w:color="auto"/>
              <w:right w:val="nil"/>
            </w:tcBorders>
            <w:shd w:val="clear" w:color="auto" w:fill="auto"/>
            <w:vAlign w:val="bottom"/>
          </w:tcPr>
          <w:p w14:paraId="277D2359" w14:textId="77777777" w:rsidR="007425BB" w:rsidRDefault="007425BB" w:rsidP="007425BB">
            <w:pPr>
              <w:spacing w:after="0" w:line="240" w:lineRule="auto"/>
              <w:jc w:val="center"/>
              <w:rPr>
                <w:rFonts w:ascii="Calibri" w:eastAsia="Times New Roman" w:hAnsi="Calibri" w:cs="Calibri"/>
                <w:i/>
                <w:iCs/>
                <w:sz w:val="20"/>
                <w:szCs w:val="20"/>
                <w:lang w:eastAsia="en-GB"/>
              </w:rPr>
            </w:pPr>
          </w:p>
          <w:p w14:paraId="668D4E22" w14:textId="06C1E347" w:rsidR="007425BB" w:rsidRPr="003A044E" w:rsidRDefault="007425BB" w:rsidP="007425BB">
            <w:pPr>
              <w:spacing w:after="0" w:line="240" w:lineRule="auto"/>
              <w:jc w:val="center"/>
              <w:rPr>
                <w:rFonts w:ascii="Calibri" w:eastAsia="Times New Roman" w:hAnsi="Calibri" w:cs="Calibri"/>
                <w:i/>
                <w:iCs/>
                <w:sz w:val="20"/>
                <w:szCs w:val="20"/>
                <w:lang w:eastAsia="en-GB"/>
              </w:rPr>
            </w:pPr>
            <w:r>
              <w:rPr>
                <w:rFonts w:ascii="Calibri" w:eastAsia="Times New Roman" w:hAnsi="Calibri" w:cs="Calibri"/>
                <w:i/>
                <w:iCs/>
                <w:sz w:val="20"/>
                <w:szCs w:val="20"/>
                <w:lang w:eastAsia="en-GB"/>
              </w:rPr>
              <w:t>N</w:t>
            </w:r>
          </w:p>
        </w:tc>
        <w:tc>
          <w:tcPr>
            <w:tcW w:w="709" w:type="dxa"/>
            <w:tcBorders>
              <w:top w:val="nil"/>
              <w:left w:val="nil"/>
              <w:bottom w:val="single" w:sz="4" w:space="0" w:color="auto"/>
            </w:tcBorders>
            <w:shd w:val="clear" w:color="auto" w:fill="auto"/>
            <w:vAlign w:val="bottom"/>
          </w:tcPr>
          <w:p w14:paraId="29FCC2C0" w14:textId="77777777" w:rsidR="007425BB" w:rsidRDefault="007425BB" w:rsidP="007425BB">
            <w:pPr>
              <w:spacing w:after="0" w:line="240" w:lineRule="auto"/>
              <w:jc w:val="center"/>
              <w:rPr>
                <w:rFonts w:ascii="Calibri" w:eastAsia="Times New Roman" w:hAnsi="Calibri" w:cs="Calibri"/>
                <w:i/>
                <w:iCs/>
                <w:sz w:val="20"/>
                <w:szCs w:val="20"/>
                <w:lang w:eastAsia="en-GB"/>
              </w:rPr>
            </w:pPr>
          </w:p>
          <w:p w14:paraId="65046D63" w14:textId="0EDC8E02" w:rsidR="007425BB" w:rsidRPr="003A044E" w:rsidRDefault="007425BB" w:rsidP="007425BB">
            <w:pPr>
              <w:spacing w:after="0" w:line="240" w:lineRule="auto"/>
              <w:jc w:val="center"/>
              <w:rPr>
                <w:rFonts w:ascii="Calibri" w:eastAsia="Times New Roman" w:hAnsi="Calibri" w:cs="Calibri"/>
                <w:i/>
                <w:iCs/>
                <w:sz w:val="20"/>
                <w:szCs w:val="20"/>
                <w:lang w:eastAsia="en-GB"/>
              </w:rPr>
            </w:pPr>
            <w:r>
              <w:rPr>
                <w:rFonts w:ascii="Calibri" w:eastAsia="Times New Roman" w:hAnsi="Calibri" w:cs="Calibri"/>
                <w:i/>
                <w:iCs/>
                <w:sz w:val="20"/>
                <w:szCs w:val="20"/>
                <w:lang w:eastAsia="en-GB"/>
              </w:rPr>
              <w:t>(%)</w:t>
            </w:r>
          </w:p>
        </w:tc>
        <w:tc>
          <w:tcPr>
            <w:tcW w:w="709" w:type="dxa"/>
            <w:tcBorders>
              <w:top w:val="nil"/>
              <w:bottom w:val="single" w:sz="4" w:space="0" w:color="auto"/>
              <w:right w:val="nil"/>
            </w:tcBorders>
            <w:shd w:val="clear" w:color="auto" w:fill="F2F2F2" w:themeFill="background1" w:themeFillShade="F2"/>
            <w:noWrap/>
            <w:vAlign w:val="bottom"/>
            <w:hideMark/>
          </w:tcPr>
          <w:p w14:paraId="7A380953" w14:textId="210557C2" w:rsidR="007425BB" w:rsidRPr="003A044E" w:rsidRDefault="007425BB" w:rsidP="00495E41">
            <w:pPr>
              <w:spacing w:after="0" w:line="240" w:lineRule="auto"/>
              <w:rPr>
                <w:rFonts w:ascii="Calibri" w:eastAsia="Times New Roman" w:hAnsi="Calibri" w:cs="Calibri"/>
                <w:i/>
                <w:iCs/>
                <w:sz w:val="20"/>
                <w:szCs w:val="20"/>
                <w:lang w:eastAsia="en-GB"/>
              </w:rPr>
            </w:pPr>
            <w:r w:rsidRPr="003A044E">
              <w:rPr>
                <w:rFonts w:ascii="Calibri" w:eastAsia="Times New Roman" w:hAnsi="Calibri" w:cs="Calibri"/>
                <w:i/>
                <w:iCs/>
                <w:sz w:val="20"/>
                <w:szCs w:val="20"/>
                <w:lang w:eastAsia="en-GB"/>
              </w:rPr>
              <w:t>N</w:t>
            </w:r>
          </w:p>
        </w:tc>
        <w:tc>
          <w:tcPr>
            <w:tcW w:w="850" w:type="dxa"/>
            <w:tcBorders>
              <w:top w:val="nil"/>
              <w:left w:val="nil"/>
              <w:bottom w:val="single" w:sz="4" w:space="0" w:color="auto"/>
            </w:tcBorders>
            <w:shd w:val="clear" w:color="auto" w:fill="F2F2F2" w:themeFill="background1" w:themeFillShade="F2"/>
          </w:tcPr>
          <w:p w14:paraId="78C00124" w14:textId="77777777" w:rsidR="007425BB" w:rsidRPr="003A044E" w:rsidRDefault="007425BB" w:rsidP="00495E41">
            <w:pPr>
              <w:spacing w:after="0" w:line="240" w:lineRule="auto"/>
              <w:rPr>
                <w:rFonts w:ascii="Calibri" w:eastAsia="Times New Roman" w:hAnsi="Calibri" w:cs="Calibri"/>
                <w:i/>
                <w:iCs/>
                <w:sz w:val="20"/>
                <w:szCs w:val="20"/>
                <w:lang w:eastAsia="en-GB"/>
              </w:rPr>
            </w:pPr>
          </w:p>
          <w:p w14:paraId="78210CE6" w14:textId="76AAE86C" w:rsidR="007425BB" w:rsidRPr="003A044E" w:rsidRDefault="007425BB" w:rsidP="00495E41">
            <w:pPr>
              <w:spacing w:after="0" w:line="240" w:lineRule="auto"/>
              <w:rPr>
                <w:rFonts w:ascii="Calibri" w:eastAsia="Times New Roman" w:hAnsi="Calibri" w:cs="Calibri"/>
                <w:i/>
                <w:iCs/>
                <w:sz w:val="20"/>
                <w:szCs w:val="20"/>
                <w:lang w:eastAsia="en-GB"/>
              </w:rPr>
            </w:pPr>
            <w:r w:rsidRPr="003A044E">
              <w:rPr>
                <w:rFonts w:ascii="Calibri" w:eastAsia="Times New Roman" w:hAnsi="Calibri" w:cs="Calibri"/>
                <w:i/>
                <w:iCs/>
                <w:sz w:val="20"/>
                <w:szCs w:val="20"/>
                <w:lang w:eastAsia="en-GB"/>
              </w:rPr>
              <w:t>(%</w:t>
            </w:r>
            <w:r>
              <w:rPr>
                <w:rFonts w:ascii="Calibri" w:eastAsia="Times New Roman" w:hAnsi="Calibri" w:cs="Calibri"/>
                <w:i/>
                <w:iCs/>
                <w:sz w:val="20"/>
                <w:szCs w:val="20"/>
                <w:lang w:eastAsia="en-GB"/>
              </w:rPr>
              <w:t xml:space="preserve"> all years</w:t>
            </w:r>
            <w:r w:rsidRPr="003A044E">
              <w:rPr>
                <w:rFonts w:ascii="Calibri" w:eastAsia="Times New Roman" w:hAnsi="Calibri" w:cs="Calibri"/>
                <w:i/>
                <w:iCs/>
                <w:sz w:val="20"/>
                <w:szCs w:val="20"/>
                <w:lang w:eastAsia="en-GB"/>
              </w:rPr>
              <w:t>)</w:t>
            </w:r>
          </w:p>
        </w:tc>
      </w:tr>
      <w:tr w:rsidR="007425BB" w:rsidRPr="003A044E" w14:paraId="5DAB599F" w14:textId="05A886C6" w:rsidTr="00443F03">
        <w:trPr>
          <w:trHeight w:val="525"/>
        </w:trPr>
        <w:tc>
          <w:tcPr>
            <w:tcW w:w="783" w:type="dxa"/>
            <w:shd w:val="clear" w:color="auto" w:fill="auto"/>
            <w:vAlign w:val="center"/>
            <w:hideMark/>
          </w:tcPr>
          <w:p w14:paraId="4582570B" w14:textId="77777777" w:rsidR="007425BB" w:rsidRPr="003A044E" w:rsidRDefault="007425BB" w:rsidP="00495E41">
            <w:pPr>
              <w:spacing w:after="0" w:line="240" w:lineRule="auto"/>
              <w:rPr>
                <w:rFonts w:ascii="Calibri" w:eastAsia="Times New Roman" w:hAnsi="Calibri" w:cs="Calibri"/>
                <w:b/>
                <w:bCs/>
                <w:sz w:val="20"/>
                <w:szCs w:val="20"/>
                <w:lang w:eastAsia="en-GB"/>
              </w:rPr>
            </w:pPr>
            <w:r w:rsidRPr="003A044E">
              <w:rPr>
                <w:rFonts w:ascii="Calibri" w:eastAsia="Times New Roman" w:hAnsi="Calibri" w:cs="Calibri"/>
                <w:b/>
                <w:bCs/>
                <w:sz w:val="20"/>
                <w:szCs w:val="20"/>
                <w:lang w:eastAsia="en-GB"/>
              </w:rPr>
              <w:t>1 April 2014 to 31 March 2015</w:t>
            </w:r>
          </w:p>
        </w:tc>
        <w:tc>
          <w:tcPr>
            <w:tcW w:w="627" w:type="dxa"/>
            <w:tcBorders>
              <w:top w:val="single" w:sz="4" w:space="0" w:color="auto"/>
              <w:bottom w:val="single" w:sz="4" w:space="0" w:color="auto"/>
              <w:right w:val="nil"/>
            </w:tcBorders>
            <w:shd w:val="clear" w:color="auto" w:fill="F2F2F2" w:themeFill="background1" w:themeFillShade="F2"/>
            <w:vAlign w:val="bottom"/>
          </w:tcPr>
          <w:p w14:paraId="092CFFA6" w14:textId="439D52DB" w:rsidR="007425BB" w:rsidRPr="003A044E" w:rsidRDefault="007425BB" w:rsidP="00495E41">
            <w:pPr>
              <w:spacing w:after="0" w:line="240" w:lineRule="auto"/>
              <w:jc w:val="right"/>
              <w:rPr>
                <w:rFonts w:ascii="Calibri" w:eastAsia="Times New Roman" w:hAnsi="Calibri" w:cs="Calibri"/>
                <w:sz w:val="20"/>
                <w:szCs w:val="20"/>
                <w:lang w:eastAsia="en-GB"/>
              </w:rPr>
            </w:pPr>
            <w:r w:rsidRPr="003A044E">
              <w:rPr>
                <w:rFonts w:ascii="Calibri" w:eastAsia="Times New Roman" w:hAnsi="Calibri" w:cs="Calibri"/>
                <w:sz w:val="20"/>
                <w:szCs w:val="20"/>
                <w:lang w:eastAsia="en-GB"/>
              </w:rPr>
              <w:t>452</w:t>
            </w:r>
          </w:p>
        </w:tc>
        <w:tc>
          <w:tcPr>
            <w:tcW w:w="598" w:type="dxa"/>
            <w:tcBorders>
              <w:top w:val="single" w:sz="4" w:space="0" w:color="auto"/>
              <w:left w:val="nil"/>
              <w:bottom w:val="single" w:sz="4" w:space="0" w:color="auto"/>
            </w:tcBorders>
            <w:shd w:val="clear" w:color="auto" w:fill="F2F2F2" w:themeFill="background1" w:themeFillShade="F2"/>
            <w:vAlign w:val="bottom"/>
          </w:tcPr>
          <w:p w14:paraId="78FAC69D" w14:textId="5F485AFF" w:rsidR="007425BB" w:rsidRPr="003A044E" w:rsidRDefault="007425BB" w:rsidP="00495E41">
            <w:pPr>
              <w:spacing w:after="0" w:line="240" w:lineRule="auto"/>
              <w:jc w:val="right"/>
              <w:rPr>
                <w:rFonts w:ascii="Calibri" w:eastAsia="Times New Roman" w:hAnsi="Calibri" w:cs="Calibri"/>
                <w:sz w:val="20"/>
                <w:szCs w:val="20"/>
                <w:lang w:eastAsia="en-GB"/>
              </w:rPr>
            </w:pPr>
            <w:r>
              <w:rPr>
                <w:rFonts w:ascii="Calibri" w:eastAsia="Times New Roman" w:hAnsi="Calibri" w:cs="Calibri"/>
                <w:sz w:val="20"/>
                <w:szCs w:val="20"/>
                <w:lang w:eastAsia="en-GB"/>
              </w:rPr>
              <w:t>0.51</w:t>
            </w:r>
          </w:p>
        </w:tc>
        <w:tc>
          <w:tcPr>
            <w:tcW w:w="686" w:type="dxa"/>
            <w:tcBorders>
              <w:top w:val="single" w:sz="4" w:space="0" w:color="auto"/>
              <w:bottom w:val="single" w:sz="4" w:space="0" w:color="auto"/>
              <w:right w:val="nil"/>
            </w:tcBorders>
            <w:shd w:val="clear" w:color="auto" w:fill="auto"/>
            <w:noWrap/>
            <w:vAlign w:val="bottom"/>
          </w:tcPr>
          <w:p w14:paraId="3452270D" w14:textId="7763C881" w:rsidR="007425BB" w:rsidRPr="003A044E" w:rsidRDefault="007425BB" w:rsidP="00495E41">
            <w:pPr>
              <w:spacing w:after="0" w:line="240" w:lineRule="auto"/>
              <w:jc w:val="right"/>
              <w:rPr>
                <w:rFonts w:ascii="Calibri" w:eastAsia="Times New Roman" w:hAnsi="Calibri" w:cs="Calibri"/>
                <w:sz w:val="20"/>
                <w:szCs w:val="20"/>
                <w:lang w:eastAsia="en-GB"/>
              </w:rPr>
            </w:pPr>
            <w:r w:rsidRPr="003A044E">
              <w:rPr>
                <w:rFonts w:ascii="Calibri" w:eastAsia="Times New Roman" w:hAnsi="Calibri" w:cs="Calibri"/>
                <w:sz w:val="20"/>
                <w:szCs w:val="20"/>
                <w:lang w:eastAsia="en-GB"/>
              </w:rPr>
              <w:t>242</w:t>
            </w:r>
          </w:p>
        </w:tc>
        <w:tc>
          <w:tcPr>
            <w:tcW w:w="590" w:type="dxa"/>
            <w:tcBorders>
              <w:top w:val="single" w:sz="4" w:space="0" w:color="auto"/>
              <w:left w:val="nil"/>
              <w:bottom w:val="single" w:sz="4" w:space="0" w:color="auto"/>
            </w:tcBorders>
            <w:shd w:val="clear" w:color="auto" w:fill="auto"/>
            <w:noWrap/>
            <w:vAlign w:val="bottom"/>
          </w:tcPr>
          <w:p w14:paraId="4EB0E055" w14:textId="0E225CF7" w:rsidR="007425BB" w:rsidRPr="003A044E" w:rsidRDefault="007425BB" w:rsidP="00495E41">
            <w:pPr>
              <w:spacing w:after="0" w:line="240" w:lineRule="auto"/>
              <w:jc w:val="right"/>
              <w:rPr>
                <w:rFonts w:ascii="Calibri" w:eastAsia="Times New Roman" w:hAnsi="Calibri" w:cs="Calibri"/>
                <w:sz w:val="20"/>
                <w:szCs w:val="20"/>
                <w:lang w:eastAsia="en-GB"/>
              </w:rPr>
            </w:pPr>
            <w:r>
              <w:rPr>
                <w:rFonts w:ascii="Calibri" w:eastAsia="Times New Roman" w:hAnsi="Calibri" w:cs="Calibri"/>
                <w:sz w:val="20"/>
                <w:szCs w:val="20"/>
                <w:lang w:eastAsia="en-GB"/>
              </w:rPr>
              <w:t>0.27</w:t>
            </w:r>
          </w:p>
        </w:tc>
        <w:tc>
          <w:tcPr>
            <w:tcW w:w="567" w:type="dxa"/>
            <w:tcBorders>
              <w:top w:val="single" w:sz="4" w:space="0" w:color="auto"/>
              <w:bottom w:val="single" w:sz="4" w:space="0" w:color="auto"/>
              <w:right w:val="nil"/>
            </w:tcBorders>
            <w:shd w:val="clear" w:color="auto" w:fill="F2F2F2" w:themeFill="background1" w:themeFillShade="F2"/>
            <w:noWrap/>
            <w:vAlign w:val="bottom"/>
          </w:tcPr>
          <w:p w14:paraId="729B0913" w14:textId="70A58A36" w:rsidR="007425BB" w:rsidRPr="003A044E" w:rsidRDefault="007425BB" w:rsidP="00495E41">
            <w:pPr>
              <w:spacing w:after="0" w:line="240" w:lineRule="auto"/>
              <w:jc w:val="right"/>
              <w:rPr>
                <w:rFonts w:ascii="Calibri" w:eastAsia="Times New Roman" w:hAnsi="Calibri" w:cs="Calibri"/>
                <w:sz w:val="20"/>
                <w:szCs w:val="20"/>
                <w:lang w:eastAsia="en-GB"/>
              </w:rPr>
            </w:pPr>
            <w:r w:rsidRPr="003A044E">
              <w:rPr>
                <w:rFonts w:ascii="Calibri" w:eastAsia="Times New Roman" w:hAnsi="Calibri" w:cs="Calibri"/>
                <w:sz w:val="20"/>
                <w:szCs w:val="20"/>
                <w:lang w:eastAsia="en-GB"/>
              </w:rPr>
              <w:t>68</w:t>
            </w:r>
          </w:p>
        </w:tc>
        <w:tc>
          <w:tcPr>
            <w:tcW w:w="850" w:type="dxa"/>
            <w:tcBorders>
              <w:top w:val="single" w:sz="4" w:space="0" w:color="auto"/>
              <w:left w:val="nil"/>
              <w:bottom w:val="single" w:sz="4" w:space="0" w:color="auto"/>
            </w:tcBorders>
            <w:shd w:val="clear" w:color="auto" w:fill="F2F2F2" w:themeFill="background1" w:themeFillShade="F2"/>
            <w:noWrap/>
            <w:vAlign w:val="bottom"/>
          </w:tcPr>
          <w:p w14:paraId="40B802D5" w14:textId="54277AD4" w:rsidR="007425BB" w:rsidRPr="003A044E" w:rsidRDefault="007425BB" w:rsidP="00495E41">
            <w:pPr>
              <w:spacing w:after="0" w:line="240" w:lineRule="auto"/>
              <w:jc w:val="right"/>
              <w:rPr>
                <w:rFonts w:ascii="Calibri" w:eastAsia="Times New Roman" w:hAnsi="Calibri" w:cs="Calibri"/>
                <w:sz w:val="20"/>
                <w:szCs w:val="20"/>
                <w:lang w:eastAsia="en-GB"/>
              </w:rPr>
            </w:pPr>
            <w:r>
              <w:rPr>
                <w:rFonts w:ascii="Calibri" w:eastAsia="Times New Roman" w:hAnsi="Calibri" w:cs="Calibri"/>
                <w:sz w:val="20"/>
                <w:szCs w:val="20"/>
                <w:lang w:eastAsia="en-GB"/>
              </w:rPr>
              <w:t>0.08</w:t>
            </w:r>
          </w:p>
        </w:tc>
        <w:tc>
          <w:tcPr>
            <w:tcW w:w="567" w:type="dxa"/>
            <w:tcBorders>
              <w:top w:val="single" w:sz="4" w:space="0" w:color="auto"/>
              <w:bottom w:val="single" w:sz="4" w:space="0" w:color="auto"/>
              <w:right w:val="nil"/>
            </w:tcBorders>
            <w:shd w:val="clear" w:color="auto" w:fill="auto"/>
            <w:noWrap/>
            <w:vAlign w:val="bottom"/>
          </w:tcPr>
          <w:p w14:paraId="43504A5C" w14:textId="4CEA6663" w:rsidR="007425BB" w:rsidRPr="003A044E" w:rsidRDefault="007425BB" w:rsidP="00495E41">
            <w:pPr>
              <w:spacing w:after="0" w:line="240" w:lineRule="auto"/>
              <w:jc w:val="right"/>
              <w:rPr>
                <w:rFonts w:ascii="Calibri" w:eastAsia="Times New Roman" w:hAnsi="Calibri" w:cs="Calibri"/>
                <w:sz w:val="20"/>
                <w:szCs w:val="20"/>
                <w:lang w:eastAsia="en-GB"/>
              </w:rPr>
            </w:pPr>
            <w:r w:rsidRPr="003A044E">
              <w:rPr>
                <w:rFonts w:ascii="Calibri" w:eastAsia="Times New Roman" w:hAnsi="Calibri" w:cs="Calibri"/>
                <w:sz w:val="20"/>
                <w:szCs w:val="20"/>
                <w:lang w:eastAsia="en-GB"/>
              </w:rPr>
              <w:t>51</w:t>
            </w:r>
          </w:p>
        </w:tc>
        <w:tc>
          <w:tcPr>
            <w:tcW w:w="851" w:type="dxa"/>
            <w:tcBorders>
              <w:top w:val="single" w:sz="4" w:space="0" w:color="auto"/>
              <w:left w:val="nil"/>
              <w:bottom w:val="single" w:sz="4" w:space="0" w:color="auto"/>
            </w:tcBorders>
            <w:shd w:val="clear" w:color="auto" w:fill="auto"/>
            <w:noWrap/>
            <w:vAlign w:val="bottom"/>
          </w:tcPr>
          <w:p w14:paraId="7A41955E" w14:textId="60A7D9B3" w:rsidR="007425BB" w:rsidRPr="003A044E" w:rsidRDefault="007425BB" w:rsidP="00495E41">
            <w:pPr>
              <w:spacing w:after="0" w:line="240" w:lineRule="auto"/>
              <w:jc w:val="right"/>
              <w:rPr>
                <w:rFonts w:ascii="Calibri" w:eastAsia="Times New Roman" w:hAnsi="Calibri" w:cs="Calibri"/>
                <w:sz w:val="20"/>
                <w:szCs w:val="20"/>
                <w:lang w:eastAsia="en-GB"/>
              </w:rPr>
            </w:pPr>
            <w:r>
              <w:rPr>
                <w:rFonts w:ascii="Calibri" w:eastAsia="Times New Roman" w:hAnsi="Calibri" w:cs="Calibri"/>
                <w:sz w:val="20"/>
                <w:szCs w:val="20"/>
                <w:lang w:eastAsia="en-GB"/>
              </w:rPr>
              <w:t>0.06</w:t>
            </w:r>
          </w:p>
        </w:tc>
        <w:tc>
          <w:tcPr>
            <w:tcW w:w="567" w:type="dxa"/>
            <w:tcBorders>
              <w:top w:val="single" w:sz="4" w:space="0" w:color="auto"/>
              <w:bottom w:val="single" w:sz="4" w:space="0" w:color="auto"/>
              <w:right w:val="nil"/>
            </w:tcBorders>
            <w:shd w:val="clear" w:color="auto" w:fill="F2F2F2" w:themeFill="background1" w:themeFillShade="F2"/>
            <w:noWrap/>
            <w:vAlign w:val="bottom"/>
          </w:tcPr>
          <w:p w14:paraId="410C3135" w14:textId="30495CB5" w:rsidR="007425BB" w:rsidRPr="003A044E" w:rsidRDefault="007425BB" w:rsidP="00495E41">
            <w:pPr>
              <w:spacing w:after="0" w:line="240" w:lineRule="auto"/>
              <w:jc w:val="right"/>
              <w:rPr>
                <w:rFonts w:ascii="Calibri" w:eastAsia="Times New Roman" w:hAnsi="Calibri" w:cs="Calibri"/>
                <w:sz w:val="20"/>
                <w:szCs w:val="20"/>
                <w:lang w:eastAsia="en-GB"/>
              </w:rPr>
            </w:pPr>
            <w:r w:rsidRPr="003A044E">
              <w:rPr>
                <w:rFonts w:ascii="Calibri" w:eastAsia="Times New Roman" w:hAnsi="Calibri" w:cs="Calibri"/>
                <w:sz w:val="20"/>
                <w:szCs w:val="20"/>
                <w:lang w:eastAsia="en-GB"/>
              </w:rPr>
              <w:t>53</w:t>
            </w:r>
          </w:p>
        </w:tc>
        <w:tc>
          <w:tcPr>
            <w:tcW w:w="850" w:type="dxa"/>
            <w:tcBorders>
              <w:top w:val="single" w:sz="4" w:space="0" w:color="auto"/>
              <w:left w:val="nil"/>
              <w:bottom w:val="single" w:sz="4" w:space="0" w:color="auto"/>
            </w:tcBorders>
            <w:shd w:val="clear" w:color="auto" w:fill="F2F2F2" w:themeFill="background1" w:themeFillShade="F2"/>
            <w:noWrap/>
            <w:vAlign w:val="bottom"/>
          </w:tcPr>
          <w:p w14:paraId="0BC8940D" w14:textId="236F98AE" w:rsidR="007425BB" w:rsidRPr="003A044E" w:rsidRDefault="007425BB" w:rsidP="00495E41">
            <w:pPr>
              <w:spacing w:after="0" w:line="240" w:lineRule="auto"/>
              <w:jc w:val="right"/>
              <w:rPr>
                <w:rFonts w:ascii="Calibri" w:eastAsia="Times New Roman" w:hAnsi="Calibri" w:cs="Calibri"/>
                <w:sz w:val="20"/>
                <w:szCs w:val="20"/>
                <w:lang w:eastAsia="en-GB"/>
              </w:rPr>
            </w:pPr>
            <w:r>
              <w:rPr>
                <w:rFonts w:ascii="Calibri" w:eastAsia="Times New Roman" w:hAnsi="Calibri" w:cs="Calibri"/>
                <w:sz w:val="20"/>
                <w:szCs w:val="20"/>
                <w:lang w:eastAsia="en-GB"/>
              </w:rPr>
              <w:t>0.06</w:t>
            </w:r>
          </w:p>
        </w:tc>
        <w:tc>
          <w:tcPr>
            <w:tcW w:w="1111" w:type="dxa"/>
            <w:tcBorders>
              <w:top w:val="single" w:sz="4" w:space="0" w:color="auto"/>
              <w:right w:val="nil"/>
            </w:tcBorders>
            <w:shd w:val="clear" w:color="auto" w:fill="auto"/>
          </w:tcPr>
          <w:p w14:paraId="5221F448" w14:textId="77777777" w:rsidR="007425BB" w:rsidRDefault="007425BB" w:rsidP="00495E41">
            <w:pPr>
              <w:spacing w:after="0" w:line="240" w:lineRule="auto"/>
              <w:jc w:val="right"/>
              <w:rPr>
                <w:rFonts w:ascii="Calibri" w:eastAsia="Times New Roman" w:hAnsi="Calibri" w:cs="Calibri"/>
                <w:sz w:val="20"/>
                <w:szCs w:val="20"/>
                <w:lang w:eastAsia="en-GB"/>
              </w:rPr>
            </w:pPr>
          </w:p>
          <w:p w14:paraId="0FE186A3" w14:textId="77777777" w:rsidR="007425BB" w:rsidRDefault="007425BB" w:rsidP="00495E41">
            <w:pPr>
              <w:spacing w:after="0" w:line="240" w:lineRule="auto"/>
              <w:jc w:val="right"/>
              <w:rPr>
                <w:rFonts w:ascii="Calibri" w:eastAsia="Times New Roman" w:hAnsi="Calibri" w:cs="Calibri"/>
                <w:sz w:val="20"/>
                <w:szCs w:val="20"/>
                <w:lang w:eastAsia="en-GB"/>
              </w:rPr>
            </w:pPr>
          </w:p>
          <w:p w14:paraId="6F0A8F73" w14:textId="77777777" w:rsidR="007425BB" w:rsidRDefault="007425BB" w:rsidP="00495E41">
            <w:pPr>
              <w:spacing w:after="0" w:line="240" w:lineRule="auto"/>
              <w:jc w:val="right"/>
              <w:rPr>
                <w:rFonts w:ascii="Calibri" w:eastAsia="Times New Roman" w:hAnsi="Calibri" w:cs="Calibri"/>
                <w:sz w:val="20"/>
                <w:szCs w:val="20"/>
                <w:lang w:eastAsia="en-GB"/>
              </w:rPr>
            </w:pPr>
          </w:p>
          <w:p w14:paraId="1BB67CFD" w14:textId="77777777" w:rsidR="007425BB" w:rsidRDefault="007425BB" w:rsidP="00495E41">
            <w:pPr>
              <w:spacing w:after="0" w:line="240" w:lineRule="auto"/>
              <w:jc w:val="right"/>
              <w:rPr>
                <w:rFonts w:ascii="Calibri" w:eastAsia="Times New Roman" w:hAnsi="Calibri" w:cs="Calibri"/>
                <w:sz w:val="20"/>
                <w:szCs w:val="20"/>
                <w:lang w:eastAsia="en-GB"/>
              </w:rPr>
            </w:pPr>
          </w:p>
          <w:p w14:paraId="007D79B0" w14:textId="77777777" w:rsidR="007425BB" w:rsidRDefault="007425BB" w:rsidP="00495E41">
            <w:pPr>
              <w:spacing w:after="0" w:line="240" w:lineRule="auto"/>
              <w:jc w:val="right"/>
              <w:rPr>
                <w:rFonts w:ascii="Calibri" w:eastAsia="Times New Roman" w:hAnsi="Calibri" w:cs="Calibri"/>
                <w:sz w:val="20"/>
                <w:szCs w:val="20"/>
                <w:lang w:eastAsia="en-GB"/>
              </w:rPr>
            </w:pPr>
          </w:p>
          <w:p w14:paraId="26045AD8" w14:textId="0DFCFE96" w:rsidR="007425BB" w:rsidRDefault="007425BB" w:rsidP="00495E41">
            <w:pPr>
              <w:spacing w:after="0" w:line="240" w:lineRule="auto"/>
              <w:jc w:val="right"/>
              <w:rPr>
                <w:rFonts w:ascii="Calibri" w:eastAsia="Times New Roman" w:hAnsi="Calibri" w:cs="Calibri"/>
                <w:sz w:val="20"/>
                <w:szCs w:val="20"/>
                <w:lang w:eastAsia="en-GB"/>
              </w:rPr>
            </w:pPr>
            <w:r>
              <w:rPr>
                <w:rFonts w:ascii="Calibri" w:eastAsia="Times New Roman" w:hAnsi="Calibri" w:cs="Calibri"/>
                <w:sz w:val="20"/>
                <w:szCs w:val="20"/>
                <w:lang w:eastAsia="en-GB"/>
              </w:rPr>
              <w:t>26</w:t>
            </w:r>
          </w:p>
        </w:tc>
        <w:tc>
          <w:tcPr>
            <w:tcW w:w="709" w:type="dxa"/>
            <w:tcBorders>
              <w:top w:val="single" w:sz="4" w:space="0" w:color="auto"/>
              <w:left w:val="nil"/>
              <w:bottom w:val="single" w:sz="4" w:space="0" w:color="auto"/>
            </w:tcBorders>
            <w:shd w:val="clear" w:color="auto" w:fill="auto"/>
          </w:tcPr>
          <w:p w14:paraId="7404ABF2" w14:textId="77777777" w:rsidR="007425BB" w:rsidRDefault="007425BB" w:rsidP="00495E41">
            <w:pPr>
              <w:spacing w:after="0" w:line="240" w:lineRule="auto"/>
              <w:jc w:val="right"/>
              <w:rPr>
                <w:rFonts w:ascii="Calibri" w:eastAsia="Times New Roman" w:hAnsi="Calibri" w:cs="Calibri"/>
                <w:sz w:val="20"/>
                <w:szCs w:val="20"/>
                <w:lang w:eastAsia="en-GB"/>
              </w:rPr>
            </w:pPr>
          </w:p>
          <w:p w14:paraId="68C20132" w14:textId="77777777" w:rsidR="007425BB" w:rsidRDefault="007425BB" w:rsidP="00495E41">
            <w:pPr>
              <w:spacing w:after="0" w:line="240" w:lineRule="auto"/>
              <w:jc w:val="right"/>
              <w:rPr>
                <w:rFonts w:ascii="Calibri" w:eastAsia="Times New Roman" w:hAnsi="Calibri" w:cs="Calibri"/>
                <w:sz w:val="20"/>
                <w:szCs w:val="20"/>
                <w:lang w:eastAsia="en-GB"/>
              </w:rPr>
            </w:pPr>
          </w:p>
          <w:p w14:paraId="338796E5" w14:textId="77777777" w:rsidR="007425BB" w:rsidRDefault="007425BB" w:rsidP="00495E41">
            <w:pPr>
              <w:spacing w:after="0" w:line="240" w:lineRule="auto"/>
              <w:jc w:val="right"/>
              <w:rPr>
                <w:rFonts w:ascii="Calibri" w:eastAsia="Times New Roman" w:hAnsi="Calibri" w:cs="Calibri"/>
                <w:sz w:val="20"/>
                <w:szCs w:val="20"/>
                <w:lang w:eastAsia="en-GB"/>
              </w:rPr>
            </w:pPr>
          </w:p>
          <w:p w14:paraId="72A901E3" w14:textId="77777777" w:rsidR="007425BB" w:rsidRDefault="007425BB" w:rsidP="00495E41">
            <w:pPr>
              <w:spacing w:after="0" w:line="240" w:lineRule="auto"/>
              <w:jc w:val="right"/>
              <w:rPr>
                <w:rFonts w:ascii="Calibri" w:eastAsia="Times New Roman" w:hAnsi="Calibri" w:cs="Calibri"/>
                <w:sz w:val="20"/>
                <w:szCs w:val="20"/>
                <w:lang w:eastAsia="en-GB"/>
              </w:rPr>
            </w:pPr>
          </w:p>
          <w:p w14:paraId="0255A275" w14:textId="77777777" w:rsidR="007425BB" w:rsidRDefault="007425BB" w:rsidP="00495E41">
            <w:pPr>
              <w:spacing w:after="0" w:line="240" w:lineRule="auto"/>
              <w:jc w:val="right"/>
              <w:rPr>
                <w:rFonts w:ascii="Calibri" w:eastAsia="Times New Roman" w:hAnsi="Calibri" w:cs="Calibri"/>
                <w:sz w:val="20"/>
                <w:szCs w:val="20"/>
                <w:lang w:eastAsia="en-GB"/>
              </w:rPr>
            </w:pPr>
          </w:p>
          <w:p w14:paraId="7D8D7A4C" w14:textId="5DA16DA2" w:rsidR="007425BB" w:rsidRDefault="007425BB" w:rsidP="00495E41">
            <w:pPr>
              <w:spacing w:after="0" w:line="240" w:lineRule="auto"/>
              <w:jc w:val="right"/>
              <w:rPr>
                <w:rFonts w:ascii="Calibri" w:eastAsia="Times New Roman" w:hAnsi="Calibri" w:cs="Calibri"/>
                <w:sz w:val="20"/>
                <w:szCs w:val="20"/>
                <w:lang w:eastAsia="en-GB"/>
              </w:rPr>
            </w:pPr>
            <w:r>
              <w:rPr>
                <w:rFonts w:ascii="Calibri" w:eastAsia="Times New Roman" w:hAnsi="Calibri" w:cs="Calibri"/>
                <w:sz w:val="20"/>
                <w:szCs w:val="20"/>
                <w:lang w:eastAsia="en-GB"/>
              </w:rPr>
              <w:t>0.03</w:t>
            </w:r>
          </w:p>
        </w:tc>
        <w:tc>
          <w:tcPr>
            <w:tcW w:w="709" w:type="dxa"/>
            <w:tcBorders>
              <w:top w:val="single" w:sz="4" w:space="0" w:color="auto"/>
              <w:right w:val="nil"/>
            </w:tcBorders>
            <w:shd w:val="clear" w:color="auto" w:fill="F2F2F2" w:themeFill="background1" w:themeFillShade="F2"/>
            <w:noWrap/>
            <w:vAlign w:val="bottom"/>
            <w:hideMark/>
          </w:tcPr>
          <w:p w14:paraId="28E46960" w14:textId="75E56CD7" w:rsidR="007425BB" w:rsidRPr="003A044E" w:rsidRDefault="007425BB" w:rsidP="00495E41">
            <w:pPr>
              <w:spacing w:after="0" w:line="240" w:lineRule="auto"/>
              <w:jc w:val="right"/>
              <w:rPr>
                <w:rFonts w:ascii="Calibri" w:eastAsia="Times New Roman" w:hAnsi="Calibri" w:cs="Calibri"/>
                <w:sz w:val="20"/>
                <w:szCs w:val="20"/>
                <w:lang w:eastAsia="en-GB"/>
              </w:rPr>
            </w:pPr>
            <w:r>
              <w:rPr>
                <w:rFonts w:ascii="Calibri" w:eastAsia="Times New Roman" w:hAnsi="Calibri" w:cs="Calibri"/>
                <w:sz w:val="20"/>
                <w:szCs w:val="20"/>
                <w:lang w:eastAsia="en-GB"/>
              </w:rPr>
              <w:t>892</w:t>
            </w:r>
          </w:p>
        </w:tc>
        <w:tc>
          <w:tcPr>
            <w:tcW w:w="850" w:type="dxa"/>
            <w:tcBorders>
              <w:top w:val="single" w:sz="4" w:space="0" w:color="auto"/>
              <w:left w:val="nil"/>
              <w:bottom w:val="single" w:sz="4" w:space="0" w:color="auto"/>
            </w:tcBorders>
            <w:shd w:val="clear" w:color="auto" w:fill="F2F2F2" w:themeFill="background1" w:themeFillShade="F2"/>
            <w:vAlign w:val="bottom"/>
          </w:tcPr>
          <w:p w14:paraId="27212929" w14:textId="77777777" w:rsidR="007425BB" w:rsidRPr="003A044E" w:rsidRDefault="007425BB" w:rsidP="007425BB">
            <w:pPr>
              <w:spacing w:after="0" w:line="240" w:lineRule="auto"/>
              <w:jc w:val="right"/>
              <w:rPr>
                <w:rFonts w:ascii="Calibri" w:eastAsia="Times New Roman" w:hAnsi="Calibri" w:cs="Calibri"/>
                <w:sz w:val="20"/>
                <w:szCs w:val="20"/>
                <w:lang w:eastAsia="en-GB"/>
              </w:rPr>
            </w:pPr>
          </w:p>
          <w:p w14:paraId="3E34CCCE" w14:textId="77777777" w:rsidR="007425BB" w:rsidRPr="003A044E" w:rsidRDefault="007425BB" w:rsidP="007425BB">
            <w:pPr>
              <w:spacing w:after="0" w:line="240" w:lineRule="auto"/>
              <w:jc w:val="right"/>
              <w:rPr>
                <w:rFonts w:ascii="Calibri" w:eastAsia="Times New Roman" w:hAnsi="Calibri" w:cs="Calibri"/>
                <w:sz w:val="20"/>
                <w:szCs w:val="20"/>
                <w:lang w:eastAsia="en-GB"/>
              </w:rPr>
            </w:pPr>
          </w:p>
          <w:p w14:paraId="0AA1DC8C" w14:textId="77777777" w:rsidR="007425BB" w:rsidRPr="003A044E" w:rsidRDefault="007425BB" w:rsidP="007425BB">
            <w:pPr>
              <w:spacing w:after="0" w:line="240" w:lineRule="auto"/>
              <w:jc w:val="right"/>
              <w:rPr>
                <w:rFonts w:ascii="Calibri" w:eastAsia="Times New Roman" w:hAnsi="Calibri" w:cs="Calibri"/>
                <w:sz w:val="20"/>
                <w:szCs w:val="20"/>
                <w:lang w:eastAsia="en-GB"/>
              </w:rPr>
            </w:pPr>
          </w:p>
          <w:p w14:paraId="7E9694F0" w14:textId="59E83999" w:rsidR="007425BB" w:rsidRPr="003A044E" w:rsidRDefault="007425BB" w:rsidP="007425BB">
            <w:pPr>
              <w:spacing w:after="0" w:line="240" w:lineRule="auto"/>
              <w:jc w:val="right"/>
              <w:rPr>
                <w:rFonts w:ascii="Calibri" w:eastAsia="Times New Roman" w:hAnsi="Calibri" w:cs="Calibri"/>
                <w:sz w:val="20"/>
                <w:szCs w:val="20"/>
                <w:lang w:eastAsia="en-GB"/>
              </w:rPr>
            </w:pPr>
          </w:p>
          <w:p w14:paraId="32455235" w14:textId="26F88C34" w:rsidR="007425BB" w:rsidRPr="003A044E" w:rsidRDefault="00495B75" w:rsidP="007425BB">
            <w:pPr>
              <w:spacing w:after="0" w:line="240" w:lineRule="auto"/>
              <w:jc w:val="right"/>
              <w:rPr>
                <w:rFonts w:ascii="Calibri" w:eastAsia="Times New Roman" w:hAnsi="Calibri" w:cs="Calibri"/>
                <w:sz w:val="20"/>
                <w:szCs w:val="20"/>
                <w:lang w:eastAsia="en-GB"/>
              </w:rPr>
            </w:pPr>
            <w:r>
              <w:rPr>
                <w:rFonts w:ascii="Calibri" w:eastAsia="Times New Roman" w:hAnsi="Calibri" w:cs="Calibri"/>
                <w:sz w:val="20"/>
                <w:szCs w:val="20"/>
                <w:lang w:eastAsia="en-GB"/>
              </w:rPr>
              <w:t>0.32</w:t>
            </w:r>
          </w:p>
        </w:tc>
      </w:tr>
      <w:tr w:rsidR="007425BB" w:rsidRPr="003A044E" w14:paraId="394275B3" w14:textId="1BD129D3" w:rsidTr="00443F03">
        <w:trPr>
          <w:trHeight w:val="480"/>
        </w:trPr>
        <w:tc>
          <w:tcPr>
            <w:tcW w:w="783" w:type="dxa"/>
            <w:shd w:val="clear" w:color="auto" w:fill="auto"/>
            <w:vAlign w:val="center"/>
            <w:hideMark/>
          </w:tcPr>
          <w:p w14:paraId="119A091F" w14:textId="77777777" w:rsidR="007425BB" w:rsidRPr="003A044E" w:rsidRDefault="007425BB" w:rsidP="00495E41">
            <w:pPr>
              <w:spacing w:after="0" w:line="240" w:lineRule="auto"/>
              <w:rPr>
                <w:rFonts w:ascii="Calibri" w:eastAsia="Times New Roman" w:hAnsi="Calibri" w:cs="Calibri"/>
                <w:b/>
                <w:bCs/>
                <w:sz w:val="20"/>
                <w:szCs w:val="20"/>
                <w:lang w:eastAsia="en-GB"/>
              </w:rPr>
            </w:pPr>
            <w:r w:rsidRPr="003A044E">
              <w:rPr>
                <w:rFonts w:ascii="Calibri" w:eastAsia="Times New Roman" w:hAnsi="Calibri" w:cs="Calibri"/>
                <w:b/>
                <w:bCs/>
                <w:sz w:val="20"/>
                <w:szCs w:val="20"/>
                <w:lang w:eastAsia="en-GB"/>
              </w:rPr>
              <w:t>1 April 2015 to 31 March 2016</w:t>
            </w:r>
          </w:p>
        </w:tc>
        <w:tc>
          <w:tcPr>
            <w:tcW w:w="627" w:type="dxa"/>
            <w:tcBorders>
              <w:top w:val="single" w:sz="4" w:space="0" w:color="auto"/>
              <w:bottom w:val="single" w:sz="4" w:space="0" w:color="auto"/>
              <w:right w:val="nil"/>
            </w:tcBorders>
            <w:shd w:val="clear" w:color="auto" w:fill="F2F2F2" w:themeFill="background1" w:themeFillShade="F2"/>
            <w:vAlign w:val="bottom"/>
          </w:tcPr>
          <w:p w14:paraId="39E120D4" w14:textId="29645B6A" w:rsidR="007425BB" w:rsidRPr="003A044E" w:rsidRDefault="007425BB" w:rsidP="00495E41">
            <w:pPr>
              <w:spacing w:after="0" w:line="240" w:lineRule="auto"/>
              <w:jc w:val="right"/>
              <w:rPr>
                <w:rFonts w:ascii="Calibri" w:eastAsia="Times New Roman" w:hAnsi="Calibri" w:cs="Calibri"/>
                <w:sz w:val="20"/>
                <w:szCs w:val="20"/>
                <w:lang w:eastAsia="en-GB"/>
              </w:rPr>
            </w:pPr>
            <w:r w:rsidRPr="003A044E">
              <w:rPr>
                <w:rFonts w:ascii="Calibri" w:eastAsia="Times New Roman" w:hAnsi="Calibri" w:cs="Calibri"/>
                <w:sz w:val="20"/>
                <w:szCs w:val="20"/>
                <w:lang w:eastAsia="en-GB"/>
              </w:rPr>
              <w:t>420</w:t>
            </w:r>
          </w:p>
        </w:tc>
        <w:tc>
          <w:tcPr>
            <w:tcW w:w="598" w:type="dxa"/>
            <w:tcBorders>
              <w:top w:val="single" w:sz="4" w:space="0" w:color="auto"/>
              <w:left w:val="nil"/>
              <w:bottom w:val="single" w:sz="4" w:space="0" w:color="auto"/>
            </w:tcBorders>
            <w:shd w:val="clear" w:color="auto" w:fill="F2F2F2" w:themeFill="background1" w:themeFillShade="F2"/>
            <w:vAlign w:val="bottom"/>
          </w:tcPr>
          <w:p w14:paraId="3DFFBC57" w14:textId="0A13B0C0" w:rsidR="007425BB" w:rsidRPr="003A044E" w:rsidRDefault="007425BB" w:rsidP="00495E41">
            <w:pPr>
              <w:spacing w:after="0" w:line="240" w:lineRule="auto"/>
              <w:jc w:val="right"/>
              <w:rPr>
                <w:rFonts w:ascii="Calibri" w:eastAsia="Times New Roman" w:hAnsi="Calibri" w:cs="Calibri"/>
                <w:sz w:val="20"/>
                <w:szCs w:val="20"/>
                <w:lang w:eastAsia="en-GB"/>
              </w:rPr>
            </w:pPr>
            <w:r w:rsidRPr="003A044E">
              <w:rPr>
                <w:rFonts w:ascii="Calibri" w:eastAsia="Times New Roman" w:hAnsi="Calibri" w:cs="Calibri"/>
                <w:sz w:val="20"/>
                <w:szCs w:val="20"/>
                <w:lang w:eastAsia="en-GB"/>
              </w:rPr>
              <w:t>0.48</w:t>
            </w:r>
          </w:p>
        </w:tc>
        <w:tc>
          <w:tcPr>
            <w:tcW w:w="686" w:type="dxa"/>
            <w:tcBorders>
              <w:top w:val="single" w:sz="4" w:space="0" w:color="auto"/>
              <w:bottom w:val="single" w:sz="4" w:space="0" w:color="auto"/>
              <w:right w:val="nil"/>
            </w:tcBorders>
            <w:shd w:val="clear" w:color="auto" w:fill="auto"/>
            <w:noWrap/>
            <w:vAlign w:val="bottom"/>
          </w:tcPr>
          <w:p w14:paraId="5D5CB45D" w14:textId="619D503B" w:rsidR="007425BB" w:rsidRPr="003A044E" w:rsidRDefault="007425BB" w:rsidP="00495E41">
            <w:pPr>
              <w:spacing w:after="0" w:line="240" w:lineRule="auto"/>
              <w:jc w:val="right"/>
              <w:rPr>
                <w:rFonts w:ascii="Calibri" w:eastAsia="Times New Roman" w:hAnsi="Calibri" w:cs="Calibri"/>
                <w:sz w:val="20"/>
                <w:szCs w:val="20"/>
                <w:lang w:eastAsia="en-GB"/>
              </w:rPr>
            </w:pPr>
            <w:r w:rsidRPr="003A044E">
              <w:rPr>
                <w:rFonts w:ascii="Calibri" w:eastAsia="Times New Roman" w:hAnsi="Calibri" w:cs="Calibri"/>
                <w:sz w:val="20"/>
                <w:szCs w:val="20"/>
                <w:lang w:eastAsia="en-GB"/>
              </w:rPr>
              <w:t>253</w:t>
            </w:r>
          </w:p>
        </w:tc>
        <w:tc>
          <w:tcPr>
            <w:tcW w:w="590" w:type="dxa"/>
            <w:tcBorders>
              <w:top w:val="single" w:sz="4" w:space="0" w:color="auto"/>
              <w:left w:val="nil"/>
              <w:bottom w:val="single" w:sz="4" w:space="0" w:color="auto"/>
            </w:tcBorders>
            <w:shd w:val="clear" w:color="auto" w:fill="auto"/>
            <w:noWrap/>
            <w:vAlign w:val="bottom"/>
          </w:tcPr>
          <w:p w14:paraId="48804646" w14:textId="6B1BE3F6" w:rsidR="007425BB" w:rsidRPr="003A044E" w:rsidRDefault="007425BB" w:rsidP="00495E41">
            <w:pPr>
              <w:spacing w:after="0" w:line="240" w:lineRule="auto"/>
              <w:jc w:val="right"/>
              <w:rPr>
                <w:rFonts w:ascii="Calibri" w:eastAsia="Times New Roman" w:hAnsi="Calibri" w:cs="Calibri"/>
                <w:sz w:val="20"/>
                <w:szCs w:val="20"/>
                <w:lang w:eastAsia="en-GB"/>
              </w:rPr>
            </w:pPr>
            <w:r w:rsidRPr="003A044E">
              <w:rPr>
                <w:rFonts w:ascii="Calibri" w:eastAsia="Times New Roman" w:hAnsi="Calibri" w:cs="Calibri"/>
                <w:sz w:val="20"/>
                <w:szCs w:val="20"/>
                <w:lang w:eastAsia="en-GB"/>
              </w:rPr>
              <w:t>0.29</w:t>
            </w:r>
          </w:p>
        </w:tc>
        <w:tc>
          <w:tcPr>
            <w:tcW w:w="567" w:type="dxa"/>
            <w:tcBorders>
              <w:top w:val="single" w:sz="4" w:space="0" w:color="auto"/>
              <w:bottom w:val="single" w:sz="4" w:space="0" w:color="auto"/>
              <w:right w:val="nil"/>
            </w:tcBorders>
            <w:shd w:val="clear" w:color="auto" w:fill="F2F2F2" w:themeFill="background1" w:themeFillShade="F2"/>
            <w:noWrap/>
            <w:vAlign w:val="bottom"/>
          </w:tcPr>
          <w:p w14:paraId="7C14DA3F" w14:textId="2F971C02" w:rsidR="007425BB" w:rsidRPr="003A044E" w:rsidRDefault="007425BB" w:rsidP="00495E41">
            <w:pPr>
              <w:spacing w:after="0" w:line="240" w:lineRule="auto"/>
              <w:jc w:val="right"/>
              <w:rPr>
                <w:rFonts w:ascii="Calibri" w:eastAsia="Times New Roman" w:hAnsi="Calibri" w:cs="Calibri"/>
                <w:sz w:val="20"/>
                <w:szCs w:val="20"/>
                <w:lang w:eastAsia="en-GB"/>
              </w:rPr>
            </w:pPr>
            <w:r w:rsidRPr="003A044E">
              <w:rPr>
                <w:rFonts w:ascii="Calibri" w:eastAsia="Times New Roman" w:hAnsi="Calibri" w:cs="Calibri"/>
                <w:sz w:val="20"/>
                <w:szCs w:val="20"/>
                <w:lang w:eastAsia="en-GB"/>
              </w:rPr>
              <w:t>68</w:t>
            </w:r>
          </w:p>
        </w:tc>
        <w:tc>
          <w:tcPr>
            <w:tcW w:w="850" w:type="dxa"/>
            <w:tcBorders>
              <w:top w:val="single" w:sz="4" w:space="0" w:color="auto"/>
              <w:left w:val="nil"/>
              <w:bottom w:val="single" w:sz="4" w:space="0" w:color="auto"/>
            </w:tcBorders>
            <w:shd w:val="clear" w:color="auto" w:fill="F2F2F2" w:themeFill="background1" w:themeFillShade="F2"/>
            <w:noWrap/>
            <w:vAlign w:val="bottom"/>
          </w:tcPr>
          <w:p w14:paraId="47059587" w14:textId="531A351E" w:rsidR="007425BB" w:rsidRPr="003A044E" w:rsidRDefault="007425BB" w:rsidP="00495E41">
            <w:pPr>
              <w:spacing w:after="0" w:line="240" w:lineRule="auto"/>
              <w:jc w:val="right"/>
              <w:rPr>
                <w:rFonts w:ascii="Calibri" w:eastAsia="Times New Roman" w:hAnsi="Calibri" w:cs="Calibri"/>
                <w:sz w:val="20"/>
                <w:szCs w:val="20"/>
                <w:lang w:eastAsia="en-GB"/>
              </w:rPr>
            </w:pPr>
            <w:r w:rsidRPr="003A044E">
              <w:rPr>
                <w:rFonts w:ascii="Calibri" w:eastAsia="Times New Roman" w:hAnsi="Calibri" w:cs="Calibri"/>
                <w:sz w:val="20"/>
                <w:szCs w:val="20"/>
                <w:lang w:eastAsia="en-GB"/>
              </w:rPr>
              <w:t>0.08</w:t>
            </w:r>
          </w:p>
        </w:tc>
        <w:tc>
          <w:tcPr>
            <w:tcW w:w="567" w:type="dxa"/>
            <w:tcBorders>
              <w:top w:val="single" w:sz="4" w:space="0" w:color="auto"/>
              <w:bottom w:val="single" w:sz="4" w:space="0" w:color="auto"/>
              <w:right w:val="nil"/>
            </w:tcBorders>
            <w:shd w:val="clear" w:color="auto" w:fill="auto"/>
            <w:noWrap/>
            <w:vAlign w:val="bottom"/>
          </w:tcPr>
          <w:p w14:paraId="28408222" w14:textId="19BD8E55" w:rsidR="007425BB" w:rsidRPr="003A044E" w:rsidRDefault="007425BB" w:rsidP="00495E41">
            <w:pPr>
              <w:spacing w:after="0" w:line="240" w:lineRule="auto"/>
              <w:jc w:val="right"/>
              <w:rPr>
                <w:rFonts w:ascii="Calibri" w:eastAsia="Times New Roman" w:hAnsi="Calibri" w:cs="Calibri"/>
                <w:sz w:val="20"/>
                <w:szCs w:val="20"/>
                <w:lang w:eastAsia="en-GB"/>
              </w:rPr>
            </w:pPr>
            <w:r w:rsidRPr="003A044E">
              <w:rPr>
                <w:rFonts w:ascii="Calibri" w:eastAsia="Times New Roman" w:hAnsi="Calibri" w:cs="Calibri"/>
                <w:sz w:val="20"/>
                <w:szCs w:val="20"/>
                <w:lang w:eastAsia="en-GB"/>
              </w:rPr>
              <w:t>58</w:t>
            </w:r>
          </w:p>
        </w:tc>
        <w:tc>
          <w:tcPr>
            <w:tcW w:w="851" w:type="dxa"/>
            <w:tcBorders>
              <w:top w:val="single" w:sz="4" w:space="0" w:color="auto"/>
              <w:left w:val="nil"/>
              <w:bottom w:val="single" w:sz="4" w:space="0" w:color="auto"/>
            </w:tcBorders>
            <w:shd w:val="clear" w:color="auto" w:fill="auto"/>
            <w:noWrap/>
            <w:vAlign w:val="bottom"/>
          </w:tcPr>
          <w:p w14:paraId="4DCD102B" w14:textId="180A1139" w:rsidR="007425BB" w:rsidRPr="003A044E" w:rsidRDefault="007425BB" w:rsidP="00495E41">
            <w:pPr>
              <w:spacing w:after="0" w:line="240" w:lineRule="auto"/>
              <w:jc w:val="right"/>
              <w:rPr>
                <w:rFonts w:ascii="Calibri" w:eastAsia="Times New Roman" w:hAnsi="Calibri" w:cs="Calibri"/>
                <w:sz w:val="20"/>
                <w:szCs w:val="20"/>
                <w:lang w:eastAsia="en-GB"/>
              </w:rPr>
            </w:pPr>
            <w:r w:rsidRPr="003A044E">
              <w:rPr>
                <w:rFonts w:ascii="Calibri" w:eastAsia="Times New Roman" w:hAnsi="Calibri" w:cs="Calibri"/>
                <w:sz w:val="20"/>
                <w:szCs w:val="20"/>
                <w:lang w:eastAsia="en-GB"/>
              </w:rPr>
              <w:t>0.07</w:t>
            </w:r>
          </w:p>
        </w:tc>
        <w:tc>
          <w:tcPr>
            <w:tcW w:w="567" w:type="dxa"/>
            <w:tcBorders>
              <w:top w:val="single" w:sz="4" w:space="0" w:color="auto"/>
              <w:bottom w:val="single" w:sz="4" w:space="0" w:color="auto"/>
              <w:right w:val="nil"/>
            </w:tcBorders>
            <w:shd w:val="clear" w:color="auto" w:fill="F2F2F2" w:themeFill="background1" w:themeFillShade="F2"/>
            <w:noWrap/>
            <w:vAlign w:val="bottom"/>
          </w:tcPr>
          <w:p w14:paraId="4EF215D7" w14:textId="1CA5FB18" w:rsidR="007425BB" w:rsidRPr="003A044E" w:rsidRDefault="007425BB" w:rsidP="00495E41">
            <w:pPr>
              <w:spacing w:after="0" w:line="240" w:lineRule="auto"/>
              <w:jc w:val="right"/>
              <w:rPr>
                <w:rFonts w:ascii="Calibri" w:eastAsia="Times New Roman" w:hAnsi="Calibri" w:cs="Calibri"/>
                <w:sz w:val="20"/>
                <w:szCs w:val="20"/>
                <w:lang w:eastAsia="en-GB"/>
              </w:rPr>
            </w:pPr>
            <w:r w:rsidRPr="003A044E">
              <w:rPr>
                <w:rFonts w:ascii="Calibri" w:eastAsia="Times New Roman" w:hAnsi="Calibri" w:cs="Calibri"/>
                <w:sz w:val="20"/>
                <w:szCs w:val="20"/>
                <w:lang w:eastAsia="en-GB"/>
              </w:rPr>
              <w:t>50</w:t>
            </w:r>
          </w:p>
        </w:tc>
        <w:tc>
          <w:tcPr>
            <w:tcW w:w="850" w:type="dxa"/>
            <w:tcBorders>
              <w:top w:val="single" w:sz="4" w:space="0" w:color="auto"/>
              <w:left w:val="nil"/>
              <w:bottom w:val="single" w:sz="4" w:space="0" w:color="auto"/>
            </w:tcBorders>
            <w:shd w:val="clear" w:color="auto" w:fill="F2F2F2" w:themeFill="background1" w:themeFillShade="F2"/>
            <w:noWrap/>
            <w:vAlign w:val="bottom"/>
          </w:tcPr>
          <w:p w14:paraId="383CB93D" w14:textId="269E85C3" w:rsidR="007425BB" w:rsidRPr="003A044E" w:rsidRDefault="007425BB" w:rsidP="00495E41">
            <w:pPr>
              <w:spacing w:after="0" w:line="240" w:lineRule="auto"/>
              <w:jc w:val="right"/>
              <w:rPr>
                <w:rFonts w:ascii="Calibri" w:eastAsia="Times New Roman" w:hAnsi="Calibri" w:cs="Calibri"/>
                <w:sz w:val="20"/>
                <w:szCs w:val="20"/>
                <w:lang w:eastAsia="en-GB"/>
              </w:rPr>
            </w:pPr>
            <w:r w:rsidRPr="003A044E">
              <w:rPr>
                <w:rFonts w:ascii="Calibri" w:eastAsia="Times New Roman" w:hAnsi="Calibri" w:cs="Calibri"/>
                <w:sz w:val="20"/>
                <w:szCs w:val="20"/>
                <w:lang w:eastAsia="en-GB"/>
              </w:rPr>
              <w:t>0.06</w:t>
            </w:r>
          </w:p>
        </w:tc>
        <w:tc>
          <w:tcPr>
            <w:tcW w:w="1111" w:type="dxa"/>
            <w:tcBorders>
              <w:right w:val="nil"/>
            </w:tcBorders>
            <w:shd w:val="clear" w:color="auto" w:fill="auto"/>
            <w:vAlign w:val="bottom"/>
          </w:tcPr>
          <w:p w14:paraId="6209C00A" w14:textId="13FB7DCC" w:rsidR="007425BB" w:rsidRPr="003A044E" w:rsidRDefault="007425BB" w:rsidP="007425BB">
            <w:pPr>
              <w:spacing w:after="0" w:line="240" w:lineRule="auto"/>
              <w:jc w:val="right"/>
              <w:rPr>
                <w:rFonts w:ascii="Calibri" w:eastAsia="Times New Roman" w:hAnsi="Calibri" w:cs="Calibri"/>
                <w:sz w:val="20"/>
                <w:szCs w:val="20"/>
                <w:lang w:eastAsia="en-GB"/>
              </w:rPr>
            </w:pPr>
            <w:r>
              <w:rPr>
                <w:rFonts w:ascii="Calibri" w:eastAsia="Times New Roman" w:hAnsi="Calibri" w:cs="Calibri"/>
                <w:sz w:val="20"/>
                <w:szCs w:val="20"/>
                <w:lang w:eastAsia="en-GB"/>
              </w:rPr>
              <w:t>32</w:t>
            </w:r>
          </w:p>
        </w:tc>
        <w:tc>
          <w:tcPr>
            <w:tcW w:w="709" w:type="dxa"/>
            <w:tcBorders>
              <w:top w:val="single" w:sz="4" w:space="0" w:color="auto"/>
              <w:left w:val="nil"/>
              <w:bottom w:val="single" w:sz="4" w:space="0" w:color="auto"/>
            </w:tcBorders>
            <w:shd w:val="clear" w:color="auto" w:fill="auto"/>
            <w:vAlign w:val="bottom"/>
          </w:tcPr>
          <w:p w14:paraId="20B8291A" w14:textId="0E24FE9B" w:rsidR="007425BB" w:rsidRPr="003A044E" w:rsidRDefault="00443F03" w:rsidP="007425BB">
            <w:pPr>
              <w:spacing w:after="0" w:line="240" w:lineRule="auto"/>
              <w:jc w:val="right"/>
              <w:rPr>
                <w:rFonts w:ascii="Calibri" w:eastAsia="Times New Roman" w:hAnsi="Calibri" w:cs="Calibri"/>
                <w:sz w:val="20"/>
                <w:szCs w:val="20"/>
                <w:lang w:eastAsia="en-GB"/>
              </w:rPr>
            </w:pPr>
            <w:r>
              <w:rPr>
                <w:rFonts w:ascii="Calibri" w:eastAsia="Times New Roman" w:hAnsi="Calibri" w:cs="Calibri"/>
                <w:sz w:val="20"/>
                <w:szCs w:val="20"/>
                <w:lang w:eastAsia="en-GB"/>
              </w:rPr>
              <w:t>0.04</w:t>
            </w:r>
          </w:p>
        </w:tc>
        <w:tc>
          <w:tcPr>
            <w:tcW w:w="709" w:type="dxa"/>
            <w:tcBorders>
              <w:right w:val="nil"/>
            </w:tcBorders>
            <w:shd w:val="clear" w:color="auto" w:fill="F2F2F2" w:themeFill="background1" w:themeFillShade="F2"/>
            <w:noWrap/>
            <w:vAlign w:val="bottom"/>
            <w:hideMark/>
          </w:tcPr>
          <w:p w14:paraId="0C9B34BA" w14:textId="3799C21A" w:rsidR="007425BB" w:rsidRPr="003A044E" w:rsidRDefault="007425BB" w:rsidP="00495E41">
            <w:pPr>
              <w:spacing w:after="0" w:line="240" w:lineRule="auto"/>
              <w:jc w:val="right"/>
              <w:rPr>
                <w:rFonts w:ascii="Calibri" w:eastAsia="Times New Roman" w:hAnsi="Calibri" w:cs="Calibri"/>
                <w:sz w:val="20"/>
                <w:szCs w:val="20"/>
                <w:lang w:eastAsia="en-GB"/>
              </w:rPr>
            </w:pPr>
            <w:r w:rsidRPr="003A044E">
              <w:rPr>
                <w:rFonts w:ascii="Calibri" w:eastAsia="Times New Roman" w:hAnsi="Calibri" w:cs="Calibri"/>
                <w:sz w:val="20"/>
                <w:szCs w:val="20"/>
                <w:lang w:eastAsia="en-GB"/>
              </w:rPr>
              <w:t>881</w:t>
            </w:r>
          </w:p>
        </w:tc>
        <w:tc>
          <w:tcPr>
            <w:tcW w:w="850" w:type="dxa"/>
            <w:tcBorders>
              <w:top w:val="single" w:sz="4" w:space="0" w:color="auto"/>
              <w:left w:val="nil"/>
              <w:bottom w:val="single" w:sz="4" w:space="0" w:color="auto"/>
            </w:tcBorders>
            <w:shd w:val="clear" w:color="auto" w:fill="F2F2F2" w:themeFill="background1" w:themeFillShade="F2"/>
          </w:tcPr>
          <w:p w14:paraId="4722A07F" w14:textId="77777777" w:rsidR="007425BB" w:rsidRPr="003A044E" w:rsidRDefault="007425BB" w:rsidP="00495E41">
            <w:pPr>
              <w:spacing w:after="0" w:line="240" w:lineRule="auto"/>
              <w:jc w:val="right"/>
              <w:rPr>
                <w:rFonts w:ascii="Calibri" w:eastAsia="Times New Roman" w:hAnsi="Calibri" w:cs="Calibri"/>
                <w:sz w:val="20"/>
                <w:szCs w:val="20"/>
                <w:lang w:eastAsia="en-GB"/>
              </w:rPr>
            </w:pPr>
          </w:p>
          <w:p w14:paraId="167409FF" w14:textId="77777777" w:rsidR="007425BB" w:rsidRPr="003A044E" w:rsidRDefault="007425BB" w:rsidP="00495E41">
            <w:pPr>
              <w:spacing w:after="0" w:line="240" w:lineRule="auto"/>
              <w:jc w:val="right"/>
              <w:rPr>
                <w:rFonts w:ascii="Calibri" w:eastAsia="Times New Roman" w:hAnsi="Calibri" w:cs="Calibri"/>
                <w:sz w:val="20"/>
                <w:szCs w:val="20"/>
                <w:lang w:eastAsia="en-GB"/>
              </w:rPr>
            </w:pPr>
          </w:p>
          <w:p w14:paraId="7CB037A7" w14:textId="77777777" w:rsidR="007425BB" w:rsidRPr="003A044E" w:rsidRDefault="007425BB" w:rsidP="00495E41">
            <w:pPr>
              <w:spacing w:after="0" w:line="240" w:lineRule="auto"/>
              <w:jc w:val="right"/>
              <w:rPr>
                <w:rFonts w:ascii="Calibri" w:eastAsia="Times New Roman" w:hAnsi="Calibri" w:cs="Calibri"/>
                <w:sz w:val="20"/>
                <w:szCs w:val="20"/>
                <w:lang w:eastAsia="en-GB"/>
              </w:rPr>
            </w:pPr>
          </w:p>
          <w:p w14:paraId="0F53EE78" w14:textId="77777777" w:rsidR="007425BB" w:rsidRPr="003A044E" w:rsidRDefault="007425BB" w:rsidP="00495E41">
            <w:pPr>
              <w:spacing w:after="0" w:line="240" w:lineRule="auto"/>
              <w:jc w:val="right"/>
              <w:rPr>
                <w:rFonts w:ascii="Calibri" w:eastAsia="Times New Roman" w:hAnsi="Calibri" w:cs="Calibri"/>
                <w:sz w:val="20"/>
                <w:szCs w:val="20"/>
                <w:lang w:eastAsia="en-GB"/>
              </w:rPr>
            </w:pPr>
          </w:p>
          <w:p w14:paraId="5B8C6D54" w14:textId="731E5A62" w:rsidR="007425BB" w:rsidRPr="003A044E" w:rsidRDefault="00495B75" w:rsidP="00495E41">
            <w:pPr>
              <w:spacing w:after="0" w:line="240" w:lineRule="auto"/>
              <w:jc w:val="right"/>
              <w:rPr>
                <w:rFonts w:ascii="Calibri" w:eastAsia="Times New Roman" w:hAnsi="Calibri" w:cs="Calibri"/>
                <w:sz w:val="20"/>
                <w:szCs w:val="20"/>
                <w:lang w:eastAsia="en-GB"/>
              </w:rPr>
            </w:pPr>
            <w:r>
              <w:rPr>
                <w:rFonts w:ascii="Calibri" w:eastAsia="Times New Roman" w:hAnsi="Calibri" w:cs="Calibri"/>
                <w:sz w:val="20"/>
                <w:szCs w:val="20"/>
                <w:lang w:eastAsia="en-GB"/>
              </w:rPr>
              <w:t>0.32</w:t>
            </w:r>
          </w:p>
        </w:tc>
      </w:tr>
      <w:tr w:rsidR="007425BB" w:rsidRPr="003A044E" w14:paraId="69672B15" w14:textId="68EC921D" w:rsidTr="00556203">
        <w:trPr>
          <w:trHeight w:val="480"/>
        </w:trPr>
        <w:tc>
          <w:tcPr>
            <w:tcW w:w="783" w:type="dxa"/>
            <w:shd w:val="clear" w:color="auto" w:fill="auto"/>
            <w:vAlign w:val="center"/>
            <w:hideMark/>
          </w:tcPr>
          <w:p w14:paraId="45AA1B5C" w14:textId="77777777" w:rsidR="007425BB" w:rsidRPr="003A044E" w:rsidRDefault="007425BB" w:rsidP="00495E41">
            <w:pPr>
              <w:spacing w:after="0" w:line="240" w:lineRule="auto"/>
              <w:rPr>
                <w:rFonts w:ascii="Calibri" w:eastAsia="Times New Roman" w:hAnsi="Calibri" w:cs="Calibri"/>
                <w:b/>
                <w:bCs/>
                <w:sz w:val="20"/>
                <w:szCs w:val="20"/>
                <w:lang w:eastAsia="en-GB"/>
              </w:rPr>
            </w:pPr>
            <w:r w:rsidRPr="003A044E">
              <w:rPr>
                <w:rFonts w:ascii="Calibri" w:eastAsia="Times New Roman" w:hAnsi="Calibri" w:cs="Calibri"/>
                <w:b/>
                <w:bCs/>
                <w:sz w:val="20"/>
                <w:szCs w:val="20"/>
                <w:lang w:eastAsia="en-GB"/>
              </w:rPr>
              <w:t>1 April 2016 to 31 March 2017</w:t>
            </w:r>
          </w:p>
        </w:tc>
        <w:tc>
          <w:tcPr>
            <w:tcW w:w="627" w:type="dxa"/>
            <w:tcBorders>
              <w:top w:val="single" w:sz="4" w:space="0" w:color="auto"/>
              <w:bottom w:val="single" w:sz="4" w:space="0" w:color="auto"/>
              <w:right w:val="nil"/>
            </w:tcBorders>
            <w:shd w:val="clear" w:color="auto" w:fill="F2F2F2" w:themeFill="background1" w:themeFillShade="F2"/>
            <w:vAlign w:val="bottom"/>
          </w:tcPr>
          <w:p w14:paraId="1ED4B945" w14:textId="307074EA" w:rsidR="007425BB" w:rsidRPr="003A044E" w:rsidRDefault="007425BB" w:rsidP="00495E41">
            <w:pPr>
              <w:spacing w:after="0" w:line="240" w:lineRule="auto"/>
              <w:jc w:val="right"/>
              <w:rPr>
                <w:rFonts w:ascii="Calibri" w:eastAsia="Times New Roman" w:hAnsi="Calibri" w:cs="Calibri"/>
                <w:sz w:val="20"/>
                <w:szCs w:val="20"/>
                <w:lang w:eastAsia="en-GB"/>
              </w:rPr>
            </w:pPr>
            <w:r w:rsidRPr="003A044E">
              <w:rPr>
                <w:rFonts w:ascii="Calibri" w:eastAsia="Times New Roman" w:hAnsi="Calibri" w:cs="Calibri"/>
                <w:sz w:val="20"/>
                <w:szCs w:val="20"/>
                <w:lang w:eastAsia="en-GB"/>
              </w:rPr>
              <w:t>467</w:t>
            </w:r>
          </w:p>
        </w:tc>
        <w:tc>
          <w:tcPr>
            <w:tcW w:w="598" w:type="dxa"/>
            <w:tcBorders>
              <w:top w:val="single" w:sz="4" w:space="0" w:color="auto"/>
              <w:left w:val="nil"/>
              <w:bottom w:val="single" w:sz="4" w:space="0" w:color="auto"/>
            </w:tcBorders>
            <w:shd w:val="clear" w:color="auto" w:fill="F2F2F2" w:themeFill="background1" w:themeFillShade="F2"/>
            <w:vAlign w:val="bottom"/>
          </w:tcPr>
          <w:p w14:paraId="08F96F2B" w14:textId="19506F9A" w:rsidR="007425BB" w:rsidRPr="003A044E" w:rsidRDefault="00556203" w:rsidP="00495E41">
            <w:pPr>
              <w:spacing w:after="0" w:line="240" w:lineRule="auto"/>
              <w:jc w:val="right"/>
              <w:rPr>
                <w:rFonts w:ascii="Calibri" w:eastAsia="Times New Roman" w:hAnsi="Calibri" w:cs="Calibri"/>
                <w:sz w:val="20"/>
                <w:szCs w:val="20"/>
                <w:lang w:eastAsia="en-GB"/>
              </w:rPr>
            </w:pPr>
            <w:r>
              <w:rPr>
                <w:rFonts w:ascii="Calibri" w:eastAsia="Times New Roman" w:hAnsi="Calibri" w:cs="Calibri"/>
                <w:sz w:val="20"/>
                <w:szCs w:val="20"/>
                <w:lang w:eastAsia="en-GB"/>
              </w:rPr>
              <w:t>0.46</w:t>
            </w:r>
          </w:p>
        </w:tc>
        <w:tc>
          <w:tcPr>
            <w:tcW w:w="686" w:type="dxa"/>
            <w:tcBorders>
              <w:top w:val="single" w:sz="4" w:space="0" w:color="auto"/>
              <w:bottom w:val="single" w:sz="4" w:space="0" w:color="auto"/>
              <w:right w:val="nil"/>
            </w:tcBorders>
            <w:shd w:val="clear" w:color="auto" w:fill="auto"/>
            <w:noWrap/>
            <w:vAlign w:val="bottom"/>
          </w:tcPr>
          <w:p w14:paraId="29E86F44" w14:textId="2805503A" w:rsidR="007425BB" w:rsidRPr="003A044E" w:rsidRDefault="007425BB" w:rsidP="00495E41">
            <w:pPr>
              <w:spacing w:after="0" w:line="240" w:lineRule="auto"/>
              <w:jc w:val="right"/>
              <w:rPr>
                <w:rFonts w:ascii="Calibri" w:eastAsia="Times New Roman" w:hAnsi="Calibri" w:cs="Calibri"/>
                <w:sz w:val="20"/>
                <w:szCs w:val="20"/>
                <w:lang w:eastAsia="en-GB"/>
              </w:rPr>
            </w:pPr>
            <w:r w:rsidRPr="003A044E">
              <w:rPr>
                <w:rFonts w:ascii="Calibri" w:eastAsia="Times New Roman" w:hAnsi="Calibri" w:cs="Calibri"/>
                <w:sz w:val="20"/>
                <w:szCs w:val="20"/>
                <w:lang w:eastAsia="en-GB"/>
              </w:rPr>
              <w:t>346</w:t>
            </w:r>
          </w:p>
        </w:tc>
        <w:tc>
          <w:tcPr>
            <w:tcW w:w="590" w:type="dxa"/>
            <w:tcBorders>
              <w:top w:val="single" w:sz="4" w:space="0" w:color="auto"/>
              <w:left w:val="nil"/>
              <w:bottom w:val="single" w:sz="4" w:space="0" w:color="auto"/>
            </w:tcBorders>
            <w:shd w:val="clear" w:color="auto" w:fill="auto"/>
            <w:noWrap/>
            <w:vAlign w:val="bottom"/>
          </w:tcPr>
          <w:p w14:paraId="55014B2F" w14:textId="00109530" w:rsidR="007425BB" w:rsidRPr="003A044E" w:rsidRDefault="00556203" w:rsidP="00495E41">
            <w:pPr>
              <w:spacing w:after="0" w:line="240" w:lineRule="auto"/>
              <w:jc w:val="right"/>
              <w:rPr>
                <w:rFonts w:ascii="Calibri" w:eastAsia="Times New Roman" w:hAnsi="Calibri" w:cs="Calibri"/>
                <w:sz w:val="20"/>
                <w:szCs w:val="20"/>
                <w:lang w:eastAsia="en-GB"/>
              </w:rPr>
            </w:pPr>
            <w:r>
              <w:rPr>
                <w:rFonts w:ascii="Calibri" w:eastAsia="Times New Roman" w:hAnsi="Calibri" w:cs="Calibri"/>
                <w:sz w:val="20"/>
                <w:szCs w:val="20"/>
                <w:lang w:eastAsia="en-GB"/>
              </w:rPr>
              <w:t>0.34</w:t>
            </w:r>
          </w:p>
        </w:tc>
        <w:tc>
          <w:tcPr>
            <w:tcW w:w="567" w:type="dxa"/>
            <w:tcBorders>
              <w:top w:val="single" w:sz="4" w:space="0" w:color="auto"/>
              <w:bottom w:val="single" w:sz="4" w:space="0" w:color="auto"/>
              <w:right w:val="nil"/>
            </w:tcBorders>
            <w:shd w:val="clear" w:color="auto" w:fill="F2F2F2" w:themeFill="background1" w:themeFillShade="F2"/>
            <w:noWrap/>
            <w:vAlign w:val="bottom"/>
          </w:tcPr>
          <w:p w14:paraId="2DAE2EDB" w14:textId="2F74A92D" w:rsidR="007425BB" w:rsidRPr="003A044E" w:rsidRDefault="007425BB" w:rsidP="00495E41">
            <w:pPr>
              <w:spacing w:after="0" w:line="240" w:lineRule="auto"/>
              <w:jc w:val="right"/>
              <w:rPr>
                <w:rFonts w:ascii="Calibri" w:eastAsia="Times New Roman" w:hAnsi="Calibri" w:cs="Calibri"/>
                <w:sz w:val="20"/>
                <w:szCs w:val="20"/>
                <w:lang w:eastAsia="en-GB"/>
              </w:rPr>
            </w:pPr>
            <w:r w:rsidRPr="003A044E">
              <w:rPr>
                <w:rFonts w:ascii="Calibri" w:eastAsia="Times New Roman" w:hAnsi="Calibri" w:cs="Calibri"/>
                <w:sz w:val="20"/>
                <w:szCs w:val="20"/>
                <w:lang w:eastAsia="en-GB"/>
              </w:rPr>
              <w:t>44</w:t>
            </w:r>
          </w:p>
        </w:tc>
        <w:tc>
          <w:tcPr>
            <w:tcW w:w="850" w:type="dxa"/>
            <w:tcBorders>
              <w:top w:val="single" w:sz="4" w:space="0" w:color="auto"/>
              <w:left w:val="nil"/>
              <w:bottom w:val="single" w:sz="4" w:space="0" w:color="auto"/>
            </w:tcBorders>
            <w:shd w:val="clear" w:color="auto" w:fill="F2F2F2" w:themeFill="background1" w:themeFillShade="F2"/>
            <w:noWrap/>
            <w:vAlign w:val="bottom"/>
          </w:tcPr>
          <w:p w14:paraId="0E4846CD" w14:textId="6D5AC999" w:rsidR="007425BB" w:rsidRPr="003A044E" w:rsidRDefault="00556203" w:rsidP="00495E41">
            <w:pPr>
              <w:spacing w:after="0" w:line="240" w:lineRule="auto"/>
              <w:jc w:val="right"/>
              <w:rPr>
                <w:rFonts w:ascii="Calibri" w:eastAsia="Times New Roman" w:hAnsi="Calibri" w:cs="Calibri"/>
                <w:sz w:val="20"/>
                <w:szCs w:val="20"/>
                <w:lang w:eastAsia="en-GB"/>
              </w:rPr>
            </w:pPr>
            <w:r>
              <w:rPr>
                <w:rFonts w:ascii="Calibri" w:eastAsia="Times New Roman" w:hAnsi="Calibri" w:cs="Calibri"/>
                <w:sz w:val="20"/>
                <w:szCs w:val="20"/>
                <w:lang w:eastAsia="en-GB"/>
              </w:rPr>
              <w:t>0.04</w:t>
            </w:r>
          </w:p>
        </w:tc>
        <w:tc>
          <w:tcPr>
            <w:tcW w:w="567" w:type="dxa"/>
            <w:tcBorders>
              <w:top w:val="single" w:sz="4" w:space="0" w:color="auto"/>
              <w:bottom w:val="single" w:sz="4" w:space="0" w:color="auto"/>
              <w:right w:val="nil"/>
            </w:tcBorders>
            <w:shd w:val="clear" w:color="auto" w:fill="auto"/>
            <w:noWrap/>
            <w:vAlign w:val="bottom"/>
          </w:tcPr>
          <w:p w14:paraId="25ED9A9D" w14:textId="55436FFA" w:rsidR="007425BB" w:rsidRPr="003A044E" w:rsidRDefault="007425BB" w:rsidP="00495E41">
            <w:pPr>
              <w:spacing w:after="0" w:line="240" w:lineRule="auto"/>
              <w:jc w:val="right"/>
              <w:rPr>
                <w:rFonts w:ascii="Calibri" w:eastAsia="Times New Roman" w:hAnsi="Calibri" w:cs="Calibri"/>
                <w:sz w:val="20"/>
                <w:szCs w:val="20"/>
                <w:lang w:eastAsia="en-GB"/>
              </w:rPr>
            </w:pPr>
            <w:r w:rsidRPr="003A044E">
              <w:rPr>
                <w:rFonts w:ascii="Calibri" w:eastAsia="Times New Roman" w:hAnsi="Calibri" w:cs="Calibri"/>
                <w:sz w:val="20"/>
                <w:szCs w:val="20"/>
                <w:lang w:eastAsia="en-GB"/>
              </w:rPr>
              <w:t>51</w:t>
            </w:r>
          </w:p>
        </w:tc>
        <w:tc>
          <w:tcPr>
            <w:tcW w:w="851" w:type="dxa"/>
            <w:tcBorders>
              <w:top w:val="single" w:sz="4" w:space="0" w:color="auto"/>
              <w:left w:val="nil"/>
              <w:bottom w:val="single" w:sz="4" w:space="0" w:color="auto"/>
            </w:tcBorders>
            <w:shd w:val="clear" w:color="auto" w:fill="auto"/>
            <w:noWrap/>
            <w:vAlign w:val="bottom"/>
          </w:tcPr>
          <w:p w14:paraId="275134FB" w14:textId="1B9D9247" w:rsidR="007425BB" w:rsidRPr="003A044E" w:rsidRDefault="00556203" w:rsidP="00495E41">
            <w:pPr>
              <w:spacing w:after="0" w:line="240" w:lineRule="auto"/>
              <w:jc w:val="right"/>
              <w:rPr>
                <w:rFonts w:ascii="Calibri" w:eastAsia="Times New Roman" w:hAnsi="Calibri" w:cs="Calibri"/>
                <w:sz w:val="20"/>
                <w:szCs w:val="20"/>
                <w:lang w:eastAsia="en-GB"/>
              </w:rPr>
            </w:pPr>
            <w:r>
              <w:rPr>
                <w:rFonts w:ascii="Calibri" w:eastAsia="Times New Roman" w:hAnsi="Calibri" w:cs="Calibri"/>
                <w:sz w:val="20"/>
                <w:szCs w:val="20"/>
                <w:lang w:eastAsia="en-GB"/>
              </w:rPr>
              <w:t>0.05</w:t>
            </w:r>
          </w:p>
        </w:tc>
        <w:tc>
          <w:tcPr>
            <w:tcW w:w="567" w:type="dxa"/>
            <w:tcBorders>
              <w:top w:val="single" w:sz="4" w:space="0" w:color="auto"/>
              <w:bottom w:val="single" w:sz="4" w:space="0" w:color="auto"/>
              <w:right w:val="nil"/>
            </w:tcBorders>
            <w:shd w:val="clear" w:color="auto" w:fill="F2F2F2" w:themeFill="background1" w:themeFillShade="F2"/>
            <w:noWrap/>
            <w:vAlign w:val="bottom"/>
          </w:tcPr>
          <w:p w14:paraId="716A40A5" w14:textId="2A7E4C9A" w:rsidR="007425BB" w:rsidRPr="003A044E" w:rsidRDefault="007425BB" w:rsidP="00495E41">
            <w:pPr>
              <w:spacing w:after="0" w:line="240" w:lineRule="auto"/>
              <w:jc w:val="right"/>
              <w:rPr>
                <w:rFonts w:ascii="Calibri" w:eastAsia="Times New Roman" w:hAnsi="Calibri" w:cs="Calibri"/>
                <w:sz w:val="20"/>
                <w:szCs w:val="20"/>
                <w:lang w:eastAsia="en-GB"/>
              </w:rPr>
            </w:pPr>
            <w:r w:rsidRPr="003A044E">
              <w:rPr>
                <w:rFonts w:ascii="Calibri" w:eastAsia="Times New Roman" w:hAnsi="Calibri" w:cs="Calibri"/>
                <w:sz w:val="20"/>
                <w:szCs w:val="20"/>
                <w:lang w:eastAsia="en-GB"/>
              </w:rPr>
              <w:t>109</w:t>
            </w:r>
          </w:p>
        </w:tc>
        <w:tc>
          <w:tcPr>
            <w:tcW w:w="850" w:type="dxa"/>
            <w:tcBorders>
              <w:top w:val="single" w:sz="4" w:space="0" w:color="auto"/>
              <w:left w:val="nil"/>
              <w:bottom w:val="single" w:sz="4" w:space="0" w:color="auto"/>
            </w:tcBorders>
            <w:shd w:val="clear" w:color="auto" w:fill="F2F2F2" w:themeFill="background1" w:themeFillShade="F2"/>
            <w:noWrap/>
            <w:vAlign w:val="bottom"/>
          </w:tcPr>
          <w:p w14:paraId="143EF461" w14:textId="1FF11C96" w:rsidR="007425BB" w:rsidRPr="003A044E" w:rsidRDefault="00556203" w:rsidP="00495E41">
            <w:pPr>
              <w:spacing w:after="0" w:line="240" w:lineRule="auto"/>
              <w:jc w:val="right"/>
              <w:rPr>
                <w:rFonts w:ascii="Calibri" w:eastAsia="Times New Roman" w:hAnsi="Calibri" w:cs="Calibri"/>
                <w:sz w:val="20"/>
                <w:szCs w:val="20"/>
                <w:lang w:eastAsia="en-GB"/>
              </w:rPr>
            </w:pPr>
            <w:r>
              <w:rPr>
                <w:rFonts w:ascii="Calibri" w:eastAsia="Times New Roman" w:hAnsi="Calibri" w:cs="Calibri"/>
                <w:sz w:val="20"/>
                <w:szCs w:val="20"/>
                <w:lang w:eastAsia="en-GB"/>
              </w:rPr>
              <w:t>0.11</w:t>
            </w:r>
          </w:p>
        </w:tc>
        <w:tc>
          <w:tcPr>
            <w:tcW w:w="1111" w:type="dxa"/>
            <w:tcBorders>
              <w:right w:val="nil"/>
            </w:tcBorders>
            <w:shd w:val="clear" w:color="auto" w:fill="auto"/>
            <w:vAlign w:val="bottom"/>
          </w:tcPr>
          <w:p w14:paraId="00378300" w14:textId="4D6F5A13" w:rsidR="007425BB" w:rsidRPr="003A044E" w:rsidRDefault="00556203" w:rsidP="00556203">
            <w:pPr>
              <w:spacing w:after="0" w:line="240" w:lineRule="auto"/>
              <w:jc w:val="right"/>
              <w:rPr>
                <w:rFonts w:ascii="Calibri" w:eastAsia="Times New Roman" w:hAnsi="Calibri" w:cs="Calibri"/>
                <w:sz w:val="20"/>
                <w:szCs w:val="20"/>
                <w:lang w:eastAsia="en-GB"/>
              </w:rPr>
            </w:pPr>
            <w:r>
              <w:rPr>
                <w:rFonts w:ascii="Calibri" w:eastAsia="Times New Roman" w:hAnsi="Calibri" w:cs="Calibri"/>
                <w:sz w:val="20"/>
                <w:szCs w:val="20"/>
                <w:lang w:eastAsia="en-GB"/>
              </w:rPr>
              <w:t>0</w:t>
            </w:r>
          </w:p>
        </w:tc>
        <w:tc>
          <w:tcPr>
            <w:tcW w:w="709" w:type="dxa"/>
            <w:tcBorders>
              <w:top w:val="single" w:sz="4" w:space="0" w:color="auto"/>
              <w:left w:val="nil"/>
              <w:bottom w:val="single" w:sz="4" w:space="0" w:color="auto"/>
            </w:tcBorders>
            <w:shd w:val="clear" w:color="auto" w:fill="auto"/>
            <w:vAlign w:val="bottom"/>
          </w:tcPr>
          <w:p w14:paraId="27D213CF" w14:textId="43DF668A" w:rsidR="007425BB" w:rsidRPr="003A044E" w:rsidRDefault="00556203" w:rsidP="00556203">
            <w:pPr>
              <w:spacing w:after="0" w:line="240" w:lineRule="auto"/>
              <w:jc w:val="right"/>
              <w:rPr>
                <w:rFonts w:ascii="Calibri" w:eastAsia="Times New Roman" w:hAnsi="Calibri" w:cs="Calibri"/>
                <w:sz w:val="20"/>
                <w:szCs w:val="20"/>
                <w:lang w:eastAsia="en-GB"/>
              </w:rPr>
            </w:pPr>
            <w:r>
              <w:rPr>
                <w:rFonts w:ascii="Calibri" w:eastAsia="Times New Roman" w:hAnsi="Calibri" w:cs="Calibri"/>
                <w:sz w:val="20"/>
                <w:szCs w:val="20"/>
                <w:lang w:eastAsia="en-GB"/>
              </w:rPr>
              <w:t>0</w:t>
            </w:r>
          </w:p>
        </w:tc>
        <w:tc>
          <w:tcPr>
            <w:tcW w:w="709" w:type="dxa"/>
            <w:tcBorders>
              <w:right w:val="nil"/>
            </w:tcBorders>
            <w:shd w:val="clear" w:color="auto" w:fill="F2F2F2" w:themeFill="background1" w:themeFillShade="F2"/>
            <w:noWrap/>
            <w:vAlign w:val="bottom"/>
            <w:hideMark/>
          </w:tcPr>
          <w:p w14:paraId="4E31D938" w14:textId="461178B0" w:rsidR="007425BB" w:rsidRPr="003A044E" w:rsidRDefault="00443F03" w:rsidP="00495E41">
            <w:pPr>
              <w:spacing w:after="0" w:line="240" w:lineRule="auto"/>
              <w:jc w:val="right"/>
              <w:rPr>
                <w:rFonts w:ascii="Calibri" w:eastAsia="Times New Roman" w:hAnsi="Calibri" w:cs="Calibri"/>
                <w:sz w:val="20"/>
                <w:szCs w:val="20"/>
                <w:lang w:eastAsia="en-GB"/>
              </w:rPr>
            </w:pPr>
            <w:r>
              <w:rPr>
                <w:rFonts w:ascii="Calibri" w:eastAsia="Times New Roman" w:hAnsi="Calibri" w:cs="Calibri"/>
                <w:sz w:val="20"/>
                <w:szCs w:val="20"/>
                <w:lang w:eastAsia="en-GB"/>
              </w:rPr>
              <w:t>1017</w:t>
            </w:r>
          </w:p>
        </w:tc>
        <w:tc>
          <w:tcPr>
            <w:tcW w:w="850" w:type="dxa"/>
            <w:tcBorders>
              <w:top w:val="single" w:sz="4" w:space="0" w:color="auto"/>
              <w:left w:val="nil"/>
              <w:bottom w:val="single" w:sz="4" w:space="0" w:color="auto"/>
            </w:tcBorders>
            <w:shd w:val="clear" w:color="auto" w:fill="F2F2F2" w:themeFill="background1" w:themeFillShade="F2"/>
          </w:tcPr>
          <w:p w14:paraId="134F8649" w14:textId="77777777" w:rsidR="007425BB" w:rsidRPr="003A044E" w:rsidRDefault="007425BB" w:rsidP="00495E41">
            <w:pPr>
              <w:spacing w:after="0" w:line="240" w:lineRule="auto"/>
              <w:jc w:val="right"/>
              <w:rPr>
                <w:rFonts w:ascii="Calibri" w:eastAsia="Times New Roman" w:hAnsi="Calibri" w:cs="Calibri"/>
                <w:sz w:val="20"/>
                <w:szCs w:val="20"/>
                <w:lang w:eastAsia="en-GB"/>
              </w:rPr>
            </w:pPr>
          </w:p>
          <w:p w14:paraId="6CDF5870" w14:textId="77777777" w:rsidR="007425BB" w:rsidRPr="003A044E" w:rsidRDefault="007425BB" w:rsidP="00495E41">
            <w:pPr>
              <w:spacing w:after="0" w:line="240" w:lineRule="auto"/>
              <w:jc w:val="right"/>
              <w:rPr>
                <w:rFonts w:ascii="Calibri" w:eastAsia="Times New Roman" w:hAnsi="Calibri" w:cs="Calibri"/>
                <w:sz w:val="20"/>
                <w:szCs w:val="20"/>
                <w:lang w:eastAsia="en-GB"/>
              </w:rPr>
            </w:pPr>
          </w:p>
          <w:p w14:paraId="4F50AA30" w14:textId="77777777" w:rsidR="007425BB" w:rsidRPr="003A044E" w:rsidRDefault="007425BB" w:rsidP="00495E41">
            <w:pPr>
              <w:spacing w:after="0" w:line="240" w:lineRule="auto"/>
              <w:jc w:val="right"/>
              <w:rPr>
                <w:rFonts w:ascii="Calibri" w:eastAsia="Times New Roman" w:hAnsi="Calibri" w:cs="Calibri"/>
                <w:sz w:val="20"/>
                <w:szCs w:val="20"/>
                <w:lang w:eastAsia="en-GB"/>
              </w:rPr>
            </w:pPr>
          </w:p>
          <w:p w14:paraId="649DC3AF" w14:textId="77777777" w:rsidR="007425BB" w:rsidRPr="003A044E" w:rsidRDefault="007425BB" w:rsidP="00495E41">
            <w:pPr>
              <w:spacing w:after="0" w:line="240" w:lineRule="auto"/>
              <w:jc w:val="right"/>
              <w:rPr>
                <w:rFonts w:ascii="Calibri" w:eastAsia="Times New Roman" w:hAnsi="Calibri" w:cs="Calibri"/>
                <w:sz w:val="20"/>
                <w:szCs w:val="20"/>
                <w:lang w:eastAsia="en-GB"/>
              </w:rPr>
            </w:pPr>
          </w:p>
          <w:p w14:paraId="1E253208" w14:textId="513DFD35" w:rsidR="007425BB" w:rsidRPr="003A044E" w:rsidRDefault="00495B75" w:rsidP="00495E41">
            <w:pPr>
              <w:spacing w:after="0" w:line="240" w:lineRule="auto"/>
              <w:jc w:val="right"/>
              <w:rPr>
                <w:rFonts w:ascii="Calibri" w:eastAsia="Times New Roman" w:hAnsi="Calibri" w:cs="Calibri"/>
                <w:sz w:val="20"/>
                <w:szCs w:val="20"/>
                <w:lang w:eastAsia="en-GB"/>
              </w:rPr>
            </w:pPr>
            <w:r>
              <w:rPr>
                <w:rFonts w:ascii="Calibri" w:eastAsia="Times New Roman" w:hAnsi="Calibri" w:cs="Calibri"/>
                <w:sz w:val="20"/>
                <w:szCs w:val="20"/>
                <w:lang w:eastAsia="en-GB"/>
              </w:rPr>
              <w:t>0.36</w:t>
            </w:r>
          </w:p>
        </w:tc>
      </w:tr>
      <w:tr w:rsidR="007425BB" w:rsidRPr="003A044E" w14:paraId="379D4480" w14:textId="78937AE9" w:rsidTr="00495B75">
        <w:trPr>
          <w:trHeight w:val="255"/>
        </w:trPr>
        <w:tc>
          <w:tcPr>
            <w:tcW w:w="783" w:type="dxa"/>
            <w:shd w:val="clear" w:color="auto" w:fill="auto"/>
            <w:vAlign w:val="center"/>
            <w:hideMark/>
          </w:tcPr>
          <w:p w14:paraId="35ECBA7E" w14:textId="77777777" w:rsidR="007425BB" w:rsidRPr="003A044E" w:rsidRDefault="007425BB" w:rsidP="00495E41">
            <w:pPr>
              <w:spacing w:after="0" w:line="240" w:lineRule="auto"/>
              <w:rPr>
                <w:rFonts w:ascii="Calibri" w:eastAsia="Times New Roman" w:hAnsi="Calibri" w:cs="Calibri"/>
                <w:b/>
                <w:bCs/>
                <w:i/>
                <w:iCs/>
                <w:sz w:val="20"/>
                <w:szCs w:val="20"/>
                <w:lang w:eastAsia="en-GB"/>
              </w:rPr>
            </w:pPr>
            <w:r w:rsidRPr="003A044E">
              <w:rPr>
                <w:rFonts w:ascii="Calibri" w:eastAsia="Times New Roman" w:hAnsi="Calibri" w:cs="Calibri"/>
                <w:b/>
                <w:bCs/>
                <w:i/>
                <w:iCs/>
                <w:sz w:val="20"/>
                <w:szCs w:val="20"/>
                <w:lang w:eastAsia="en-GB"/>
              </w:rPr>
              <w:t>All years</w:t>
            </w:r>
          </w:p>
        </w:tc>
        <w:tc>
          <w:tcPr>
            <w:tcW w:w="627" w:type="dxa"/>
            <w:tcBorders>
              <w:top w:val="single" w:sz="4" w:space="0" w:color="auto"/>
              <w:bottom w:val="nil"/>
              <w:right w:val="nil"/>
            </w:tcBorders>
            <w:shd w:val="clear" w:color="auto" w:fill="F2F2F2" w:themeFill="background1" w:themeFillShade="F2"/>
            <w:vAlign w:val="bottom"/>
          </w:tcPr>
          <w:p w14:paraId="285CB4BC" w14:textId="32F5845C" w:rsidR="007425BB" w:rsidRPr="003A044E" w:rsidRDefault="007425BB" w:rsidP="00495E41">
            <w:pPr>
              <w:spacing w:after="0" w:line="240" w:lineRule="auto"/>
              <w:jc w:val="right"/>
              <w:rPr>
                <w:rFonts w:ascii="Calibri" w:eastAsia="Times New Roman" w:hAnsi="Calibri" w:cs="Calibri"/>
                <w:i/>
                <w:iCs/>
                <w:sz w:val="20"/>
                <w:szCs w:val="20"/>
                <w:lang w:eastAsia="en-GB"/>
              </w:rPr>
            </w:pPr>
            <w:r w:rsidRPr="003A044E">
              <w:rPr>
                <w:rFonts w:ascii="Calibri" w:eastAsia="Times New Roman" w:hAnsi="Calibri" w:cs="Calibri"/>
                <w:i/>
                <w:iCs/>
                <w:sz w:val="20"/>
                <w:szCs w:val="20"/>
                <w:lang w:eastAsia="en-GB"/>
              </w:rPr>
              <w:t>1339</w:t>
            </w:r>
          </w:p>
        </w:tc>
        <w:tc>
          <w:tcPr>
            <w:tcW w:w="598" w:type="dxa"/>
            <w:tcBorders>
              <w:top w:val="single" w:sz="4" w:space="0" w:color="auto"/>
              <w:left w:val="nil"/>
              <w:bottom w:val="nil"/>
            </w:tcBorders>
            <w:shd w:val="clear" w:color="auto" w:fill="F2F2F2" w:themeFill="background1" w:themeFillShade="F2"/>
            <w:vAlign w:val="bottom"/>
          </w:tcPr>
          <w:p w14:paraId="4F2B27C6" w14:textId="59601AF0" w:rsidR="007425BB" w:rsidRPr="003A044E" w:rsidRDefault="00556203" w:rsidP="00495E41">
            <w:pPr>
              <w:spacing w:after="0" w:line="240" w:lineRule="auto"/>
              <w:jc w:val="right"/>
              <w:rPr>
                <w:rFonts w:ascii="Calibri" w:eastAsia="Times New Roman" w:hAnsi="Calibri" w:cs="Calibri"/>
                <w:i/>
                <w:iCs/>
                <w:sz w:val="20"/>
                <w:szCs w:val="20"/>
                <w:lang w:eastAsia="en-GB"/>
              </w:rPr>
            </w:pPr>
            <w:r>
              <w:rPr>
                <w:rFonts w:ascii="Calibri" w:eastAsia="Times New Roman" w:hAnsi="Calibri" w:cs="Calibri"/>
                <w:i/>
                <w:iCs/>
                <w:sz w:val="20"/>
                <w:szCs w:val="20"/>
                <w:lang w:eastAsia="en-GB"/>
              </w:rPr>
              <w:t>0.48</w:t>
            </w:r>
          </w:p>
        </w:tc>
        <w:tc>
          <w:tcPr>
            <w:tcW w:w="686" w:type="dxa"/>
            <w:tcBorders>
              <w:top w:val="single" w:sz="4" w:space="0" w:color="auto"/>
              <w:bottom w:val="nil"/>
              <w:right w:val="nil"/>
            </w:tcBorders>
            <w:shd w:val="clear" w:color="auto" w:fill="auto"/>
            <w:noWrap/>
            <w:vAlign w:val="bottom"/>
          </w:tcPr>
          <w:p w14:paraId="55BB42E6" w14:textId="28709FB8" w:rsidR="007425BB" w:rsidRPr="003A044E" w:rsidRDefault="007425BB" w:rsidP="00495E41">
            <w:pPr>
              <w:spacing w:after="0" w:line="240" w:lineRule="auto"/>
              <w:jc w:val="right"/>
              <w:rPr>
                <w:rFonts w:ascii="Calibri" w:eastAsia="Times New Roman" w:hAnsi="Calibri" w:cs="Calibri"/>
                <w:i/>
                <w:iCs/>
                <w:sz w:val="20"/>
                <w:szCs w:val="20"/>
                <w:lang w:eastAsia="en-GB"/>
              </w:rPr>
            </w:pPr>
            <w:r w:rsidRPr="003A044E">
              <w:rPr>
                <w:rFonts w:ascii="Calibri" w:eastAsia="Times New Roman" w:hAnsi="Calibri" w:cs="Calibri"/>
                <w:i/>
                <w:iCs/>
                <w:sz w:val="20"/>
                <w:szCs w:val="20"/>
                <w:lang w:eastAsia="en-GB"/>
              </w:rPr>
              <w:t>841</w:t>
            </w:r>
          </w:p>
        </w:tc>
        <w:tc>
          <w:tcPr>
            <w:tcW w:w="590" w:type="dxa"/>
            <w:tcBorders>
              <w:top w:val="single" w:sz="4" w:space="0" w:color="auto"/>
              <w:left w:val="nil"/>
              <w:bottom w:val="nil"/>
            </w:tcBorders>
            <w:shd w:val="clear" w:color="auto" w:fill="auto"/>
            <w:noWrap/>
            <w:vAlign w:val="bottom"/>
          </w:tcPr>
          <w:p w14:paraId="0C024434" w14:textId="05241D38" w:rsidR="007425BB" w:rsidRPr="003A044E" w:rsidRDefault="00556203" w:rsidP="00495E41">
            <w:pPr>
              <w:spacing w:after="0" w:line="240" w:lineRule="auto"/>
              <w:jc w:val="right"/>
              <w:rPr>
                <w:rFonts w:ascii="Calibri" w:eastAsia="Times New Roman" w:hAnsi="Calibri" w:cs="Calibri"/>
                <w:i/>
                <w:iCs/>
                <w:sz w:val="20"/>
                <w:szCs w:val="20"/>
                <w:lang w:eastAsia="en-GB"/>
              </w:rPr>
            </w:pPr>
            <w:r>
              <w:rPr>
                <w:rFonts w:ascii="Calibri" w:eastAsia="Times New Roman" w:hAnsi="Calibri" w:cs="Calibri"/>
                <w:i/>
                <w:iCs/>
                <w:sz w:val="20"/>
                <w:szCs w:val="20"/>
                <w:lang w:eastAsia="en-GB"/>
              </w:rPr>
              <w:t>0.</w:t>
            </w:r>
            <w:r w:rsidR="00495B75">
              <w:rPr>
                <w:rFonts w:ascii="Calibri" w:eastAsia="Times New Roman" w:hAnsi="Calibri" w:cs="Calibri"/>
                <w:i/>
                <w:iCs/>
                <w:sz w:val="20"/>
                <w:szCs w:val="20"/>
                <w:lang w:eastAsia="en-GB"/>
              </w:rPr>
              <w:t>3</w:t>
            </w:r>
          </w:p>
        </w:tc>
        <w:tc>
          <w:tcPr>
            <w:tcW w:w="567" w:type="dxa"/>
            <w:tcBorders>
              <w:top w:val="single" w:sz="4" w:space="0" w:color="auto"/>
              <w:bottom w:val="nil"/>
              <w:right w:val="nil"/>
            </w:tcBorders>
            <w:shd w:val="clear" w:color="auto" w:fill="F2F2F2" w:themeFill="background1" w:themeFillShade="F2"/>
            <w:noWrap/>
            <w:vAlign w:val="bottom"/>
          </w:tcPr>
          <w:p w14:paraId="4DFF3FC7" w14:textId="4F8E00BF" w:rsidR="007425BB" w:rsidRPr="003A044E" w:rsidRDefault="007425BB" w:rsidP="00495E41">
            <w:pPr>
              <w:spacing w:after="0" w:line="240" w:lineRule="auto"/>
              <w:jc w:val="right"/>
              <w:rPr>
                <w:rFonts w:ascii="Calibri" w:eastAsia="Times New Roman" w:hAnsi="Calibri" w:cs="Calibri"/>
                <w:i/>
                <w:iCs/>
                <w:sz w:val="20"/>
                <w:szCs w:val="20"/>
                <w:lang w:eastAsia="en-GB"/>
              </w:rPr>
            </w:pPr>
            <w:r w:rsidRPr="003A044E">
              <w:rPr>
                <w:rFonts w:ascii="Calibri" w:eastAsia="Times New Roman" w:hAnsi="Calibri" w:cs="Calibri"/>
                <w:i/>
                <w:iCs/>
                <w:sz w:val="20"/>
                <w:szCs w:val="20"/>
                <w:lang w:eastAsia="en-GB"/>
              </w:rPr>
              <w:t>180</w:t>
            </w:r>
          </w:p>
        </w:tc>
        <w:tc>
          <w:tcPr>
            <w:tcW w:w="850" w:type="dxa"/>
            <w:tcBorders>
              <w:top w:val="single" w:sz="4" w:space="0" w:color="auto"/>
              <w:left w:val="nil"/>
              <w:bottom w:val="nil"/>
            </w:tcBorders>
            <w:shd w:val="clear" w:color="auto" w:fill="F2F2F2" w:themeFill="background1" w:themeFillShade="F2"/>
            <w:noWrap/>
            <w:vAlign w:val="bottom"/>
          </w:tcPr>
          <w:p w14:paraId="543E9AAC" w14:textId="3E570585" w:rsidR="007425BB" w:rsidRPr="003A044E" w:rsidRDefault="00556203" w:rsidP="00495E41">
            <w:pPr>
              <w:spacing w:after="0" w:line="240" w:lineRule="auto"/>
              <w:jc w:val="right"/>
              <w:rPr>
                <w:rFonts w:ascii="Calibri" w:eastAsia="Times New Roman" w:hAnsi="Calibri" w:cs="Calibri"/>
                <w:i/>
                <w:iCs/>
                <w:sz w:val="20"/>
                <w:szCs w:val="20"/>
                <w:lang w:eastAsia="en-GB"/>
              </w:rPr>
            </w:pPr>
            <w:r>
              <w:rPr>
                <w:rFonts w:ascii="Calibri" w:eastAsia="Times New Roman" w:hAnsi="Calibri" w:cs="Calibri"/>
                <w:i/>
                <w:iCs/>
                <w:sz w:val="20"/>
                <w:szCs w:val="20"/>
                <w:lang w:eastAsia="en-GB"/>
              </w:rPr>
              <w:t>0.</w:t>
            </w:r>
            <w:r w:rsidR="00495B75">
              <w:rPr>
                <w:rFonts w:ascii="Calibri" w:eastAsia="Times New Roman" w:hAnsi="Calibri" w:cs="Calibri"/>
                <w:i/>
                <w:iCs/>
                <w:sz w:val="20"/>
                <w:szCs w:val="20"/>
                <w:lang w:eastAsia="en-GB"/>
              </w:rPr>
              <w:t>07</w:t>
            </w:r>
          </w:p>
        </w:tc>
        <w:tc>
          <w:tcPr>
            <w:tcW w:w="567" w:type="dxa"/>
            <w:tcBorders>
              <w:top w:val="single" w:sz="4" w:space="0" w:color="auto"/>
              <w:bottom w:val="nil"/>
              <w:right w:val="nil"/>
            </w:tcBorders>
            <w:shd w:val="clear" w:color="auto" w:fill="auto"/>
            <w:noWrap/>
            <w:vAlign w:val="bottom"/>
          </w:tcPr>
          <w:p w14:paraId="6826D67D" w14:textId="0290E0C8" w:rsidR="007425BB" w:rsidRPr="003A044E" w:rsidRDefault="007425BB" w:rsidP="00495E41">
            <w:pPr>
              <w:spacing w:after="0" w:line="240" w:lineRule="auto"/>
              <w:jc w:val="right"/>
              <w:rPr>
                <w:rFonts w:ascii="Calibri" w:eastAsia="Times New Roman" w:hAnsi="Calibri" w:cs="Calibri"/>
                <w:i/>
                <w:iCs/>
                <w:sz w:val="20"/>
                <w:szCs w:val="20"/>
                <w:lang w:eastAsia="en-GB"/>
              </w:rPr>
            </w:pPr>
            <w:r w:rsidRPr="003A044E">
              <w:rPr>
                <w:rFonts w:ascii="Calibri" w:eastAsia="Times New Roman" w:hAnsi="Calibri" w:cs="Calibri"/>
                <w:i/>
                <w:iCs/>
                <w:sz w:val="20"/>
                <w:szCs w:val="20"/>
                <w:lang w:eastAsia="en-GB"/>
              </w:rPr>
              <w:t>160</w:t>
            </w:r>
          </w:p>
        </w:tc>
        <w:tc>
          <w:tcPr>
            <w:tcW w:w="851" w:type="dxa"/>
            <w:tcBorders>
              <w:top w:val="single" w:sz="4" w:space="0" w:color="auto"/>
              <w:left w:val="nil"/>
              <w:bottom w:val="nil"/>
            </w:tcBorders>
            <w:shd w:val="clear" w:color="auto" w:fill="auto"/>
            <w:noWrap/>
            <w:vAlign w:val="bottom"/>
          </w:tcPr>
          <w:p w14:paraId="34FF71D2" w14:textId="3CF7C480" w:rsidR="007425BB" w:rsidRPr="003A044E" w:rsidRDefault="00556203" w:rsidP="00495E41">
            <w:pPr>
              <w:spacing w:after="0" w:line="240" w:lineRule="auto"/>
              <w:jc w:val="right"/>
              <w:rPr>
                <w:rFonts w:ascii="Calibri" w:eastAsia="Times New Roman" w:hAnsi="Calibri" w:cs="Calibri"/>
                <w:i/>
                <w:iCs/>
                <w:sz w:val="20"/>
                <w:szCs w:val="20"/>
                <w:lang w:eastAsia="en-GB"/>
              </w:rPr>
            </w:pPr>
            <w:r>
              <w:rPr>
                <w:rFonts w:ascii="Calibri" w:eastAsia="Times New Roman" w:hAnsi="Calibri" w:cs="Calibri"/>
                <w:i/>
                <w:iCs/>
                <w:sz w:val="20"/>
                <w:szCs w:val="20"/>
                <w:lang w:eastAsia="en-GB"/>
              </w:rPr>
              <w:t>0.</w:t>
            </w:r>
            <w:r w:rsidR="00495B75">
              <w:rPr>
                <w:rFonts w:ascii="Calibri" w:eastAsia="Times New Roman" w:hAnsi="Calibri" w:cs="Calibri"/>
                <w:i/>
                <w:iCs/>
                <w:sz w:val="20"/>
                <w:szCs w:val="20"/>
                <w:lang w:eastAsia="en-GB"/>
              </w:rPr>
              <w:t>0</w:t>
            </w:r>
            <w:r>
              <w:rPr>
                <w:rFonts w:ascii="Calibri" w:eastAsia="Times New Roman" w:hAnsi="Calibri" w:cs="Calibri"/>
                <w:i/>
                <w:iCs/>
                <w:sz w:val="20"/>
                <w:szCs w:val="20"/>
                <w:lang w:eastAsia="en-GB"/>
              </w:rPr>
              <w:t>6</w:t>
            </w:r>
          </w:p>
        </w:tc>
        <w:tc>
          <w:tcPr>
            <w:tcW w:w="567" w:type="dxa"/>
            <w:tcBorders>
              <w:top w:val="single" w:sz="4" w:space="0" w:color="auto"/>
              <w:bottom w:val="nil"/>
              <w:right w:val="nil"/>
            </w:tcBorders>
            <w:shd w:val="clear" w:color="auto" w:fill="F2F2F2" w:themeFill="background1" w:themeFillShade="F2"/>
            <w:noWrap/>
            <w:vAlign w:val="bottom"/>
          </w:tcPr>
          <w:p w14:paraId="46BE5B28" w14:textId="1AC2E02B" w:rsidR="007425BB" w:rsidRPr="003A044E" w:rsidRDefault="007425BB" w:rsidP="00495E41">
            <w:pPr>
              <w:spacing w:after="0" w:line="240" w:lineRule="auto"/>
              <w:jc w:val="right"/>
              <w:rPr>
                <w:rFonts w:ascii="Calibri" w:eastAsia="Times New Roman" w:hAnsi="Calibri" w:cs="Calibri"/>
                <w:i/>
                <w:iCs/>
                <w:sz w:val="20"/>
                <w:szCs w:val="20"/>
                <w:lang w:eastAsia="en-GB"/>
              </w:rPr>
            </w:pPr>
            <w:r w:rsidRPr="003A044E">
              <w:rPr>
                <w:rFonts w:ascii="Calibri" w:eastAsia="Times New Roman" w:hAnsi="Calibri" w:cs="Calibri"/>
                <w:i/>
                <w:iCs/>
                <w:sz w:val="20"/>
                <w:szCs w:val="20"/>
                <w:lang w:eastAsia="en-GB"/>
              </w:rPr>
              <w:t>212</w:t>
            </w:r>
          </w:p>
        </w:tc>
        <w:tc>
          <w:tcPr>
            <w:tcW w:w="850" w:type="dxa"/>
            <w:tcBorders>
              <w:top w:val="single" w:sz="4" w:space="0" w:color="auto"/>
              <w:left w:val="nil"/>
              <w:bottom w:val="nil"/>
            </w:tcBorders>
            <w:shd w:val="clear" w:color="auto" w:fill="F2F2F2" w:themeFill="background1" w:themeFillShade="F2"/>
            <w:noWrap/>
            <w:vAlign w:val="bottom"/>
          </w:tcPr>
          <w:p w14:paraId="0FBBED85" w14:textId="33C6DFAE" w:rsidR="007425BB" w:rsidRPr="003A044E" w:rsidRDefault="00495B75" w:rsidP="00495E41">
            <w:pPr>
              <w:spacing w:after="0" w:line="240" w:lineRule="auto"/>
              <w:jc w:val="right"/>
              <w:rPr>
                <w:rFonts w:ascii="Calibri" w:eastAsia="Times New Roman" w:hAnsi="Calibri" w:cs="Calibri"/>
                <w:i/>
                <w:iCs/>
                <w:sz w:val="20"/>
                <w:szCs w:val="20"/>
                <w:lang w:eastAsia="en-GB"/>
              </w:rPr>
            </w:pPr>
            <w:r>
              <w:rPr>
                <w:rFonts w:ascii="Calibri" w:eastAsia="Times New Roman" w:hAnsi="Calibri" w:cs="Calibri"/>
                <w:i/>
                <w:iCs/>
                <w:sz w:val="20"/>
                <w:szCs w:val="20"/>
                <w:lang w:eastAsia="en-GB"/>
              </w:rPr>
              <w:t>0.08</w:t>
            </w:r>
          </w:p>
        </w:tc>
        <w:tc>
          <w:tcPr>
            <w:tcW w:w="1111" w:type="dxa"/>
            <w:tcBorders>
              <w:right w:val="nil"/>
            </w:tcBorders>
            <w:shd w:val="clear" w:color="auto" w:fill="auto"/>
            <w:vAlign w:val="bottom"/>
          </w:tcPr>
          <w:p w14:paraId="340B6DF9" w14:textId="65DAD7A5" w:rsidR="007425BB" w:rsidRPr="003A044E" w:rsidRDefault="00495B75" w:rsidP="00556203">
            <w:pPr>
              <w:spacing w:after="0" w:line="240" w:lineRule="auto"/>
              <w:jc w:val="right"/>
              <w:rPr>
                <w:rFonts w:ascii="Calibri" w:eastAsia="Times New Roman" w:hAnsi="Calibri" w:cs="Calibri"/>
                <w:i/>
                <w:iCs/>
                <w:sz w:val="20"/>
                <w:szCs w:val="20"/>
                <w:lang w:eastAsia="en-GB"/>
              </w:rPr>
            </w:pPr>
            <w:r>
              <w:rPr>
                <w:rFonts w:ascii="Calibri" w:eastAsia="Times New Roman" w:hAnsi="Calibri" w:cs="Calibri"/>
                <w:i/>
                <w:iCs/>
                <w:sz w:val="20"/>
                <w:szCs w:val="20"/>
                <w:lang w:eastAsia="en-GB"/>
              </w:rPr>
              <w:t>58</w:t>
            </w:r>
          </w:p>
        </w:tc>
        <w:tc>
          <w:tcPr>
            <w:tcW w:w="709" w:type="dxa"/>
            <w:tcBorders>
              <w:top w:val="single" w:sz="4" w:space="0" w:color="auto"/>
              <w:left w:val="nil"/>
              <w:bottom w:val="nil"/>
            </w:tcBorders>
            <w:shd w:val="clear" w:color="auto" w:fill="auto"/>
            <w:vAlign w:val="bottom"/>
          </w:tcPr>
          <w:p w14:paraId="03B1BA99" w14:textId="415E51E6" w:rsidR="007425BB" w:rsidRPr="003A044E" w:rsidRDefault="00495B75" w:rsidP="00495B75">
            <w:pPr>
              <w:spacing w:after="0" w:line="240" w:lineRule="auto"/>
              <w:jc w:val="right"/>
              <w:rPr>
                <w:rFonts w:ascii="Calibri" w:eastAsia="Times New Roman" w:hAnsi="Calibri" w:cs="Calibri"/>
                <w:i/>
                <w:iCs/>
                <w:sz w:val="20"/>
                <w:szCs w:val="20"/>
                <w:lang w:eastAsia="en-GB"/>
              </w:rPr>
            </w:pPr>
            <w:r>
              <w:rPr>
                <w:rFonts w:ascii="Calibri" w:eastAsia="Times New Roman" w:hAnsi="Calibri" w:cs="Calibri"/>
                <w:i/>
                <w:iCs/>
                <w:sz w:val="20"/>
                <w:szCs w:val="20"/>
                <w:lang w:eastAsia="en-GB"/>
              </w:rPr>
              <w:t>0.02</w:t>
            </w:r>
          </w:p>
        </w:tc>
        <w:tc>
          <w:tcPr>
            <w:tcW w:w="709" w:type="dxa"/>
            <w:tcBorders>
              <w:right w:val="nil"/>
            </w:tcBorders>
            <w:shd w:val="clear" w:color="auto" w:fill="F2F2F2" w:themeFill="background1" w:themeFillShade="F2"/>
            <w:noWrap/>
            <w:vAlign w:val="bottom"/>
            <w:hideMark/>
          </w:tcPr>
          <w:p w14:paraId="3793AE94" w14:textId="011BD15C" w:rsidR="007425BB" w:rsidRPr="003A044E" w:rsidRDefault="007425BB" w:rsidP="00495E41">
            <w:pPr>
              <w:spacing w:after="0" w:line="240" w:lineRule="auto"/>
              <w:jc w:val="right"/>
              <w:rPr>
                <w:rFonts w:ascii="Calibri" w:eastAsia="Times New Roman" w:hAnsi="Calibri" w:cs="Calibri"/>
                <w:i/>
                <w:iCs/>
                <w:sz w:val="20"/>
                <w:szCs w:val="20"/>
                <w:lang w:eastAsia="en-GB"/>
              </w:rPr>
            </w:pPr>
            <w:r w:rsidRPr="003A044E">
              <w:rPr>
                <w:rFonts w:ascii="Calibri" w:eastAsia="Times New Roman" w:hAnsi="Calibri" w:cs="Calibri"/>
                <w:i/>
                <w:iCs/>
                <w:sz w:val="20"/>
                <w:szCs w:val="20"/>
                <w:lang w:eastAsia="en-GB"/>
              </w:rPr>
              <w:t>27</w:t>
            </w:r>
            <w:r w:rsidR="00556203">
              <w:rPr>
                <w:rFonts w:ascii="Calibri" w:eastAsia="Times New Roman" w:hAnsi="Calibri" w:cs="Calibri"/>
                <w:i/>
                <w:iCs/>
                <w:sz w:val="20"/>
                <w:szCs w:val="20"/>
                <w:lang w:eastAsia="en-GB"/>
              </w:rPr>
              <w:t>90</w:t>
            </w:r>
          </w:p>
        </w:tc>
        <w:tc>
          <w:tcPr>
            <w:tcW w:w="850" w:type="dxa"/>
            <w:tcBorders>
              <w:top w:val="single" w:sz="4" w:space="0" w:color="auto"/>
              <w:left w:val="nil"/>
              <w:bottom w:val="nil"/>
            </w:tcBorders>
            <w:shd w:val="clear" w:color="auto" w:fill="F2F2F2" w:themeFill="background1" w:themeFillShade="F2"/>
            <w:vAlign w:val="bottom"/>
          </w:tcPr>
          <w:p w14:paraId="6E78B0A0" w14:textId="7D5CC301" w:rsidR="007425BB" w:rsidRPr="003A044E" w:rsidRDefault="007425BB" w:rsidP="00556203">
            <w:pPr>
              <w:spacing w:after="0" w:line="240" w:lineRule="auto"/>
              <w:jc w:val="right"/>
              <w:rPr>
                <w:rFonts w:ascii="Calibri" w:eastAsia="Times New Roman" w:hAnsi="Calibri" w:cs="Calibri"/>
                <w:i/>
                <w:iCs/>
                <w:sz w:val="20"/>
                <w:szCs w:val="20"/>
                <w:lang w:eastAsia="en-GB"/>
              </w:rPr>
            </w:pPr>
          </w:p>
        </w:tc>
      </w:tr>
    </w:tbl>
    <w:p w14:paraId="5F6755D3" w14:textId="721AD112" w:rsidR="00D76240" w:rsidRPr="00622163" w:rsidRDefault="00D76240" w:rsidP="00D76240"/>
    <w:p w14:paraId="378E218C" w14:textId="21381D50" w:rsidR="001919FA" w:rsidRPr="00711E2D" w:rsidRDefault="00200306" w:rsidP="001919FA">
      <w:pPr>
        <w:pStyle w:val="Heading2"/>
        <w:spacing w:line="360" w:lineRule="auto"/>
        <w:rPr>
          <w:rFonts w:asciiTheme="minorHAnsi" w:hAnsiTheme="minorHAnsi" w:cstheme="minorHAnsi"/>
          <w:bCs/>
          <w:i/>
          <w:iCs/>
          <w:color w:val="auto"/>
          <w:sz w:val="22"/>
          <w:szCs w:val="22"/>
        </w:rPr>
      </w:pPr>
      <w:r w:rsidRPr="00711E2D">
        <w:rPr>
          <w:rFonts w:asciiTheme="minorHAnsi" w:hAnsiTheme="minorHAnsi" w:cstheme="minorHAnsi"/>
          <w:bCs/>
          <w:i/>
          <w:iCs/>
          <w:color w:val="auto"/>
          <w:sz w:val="22"/>
          <w:szCs w:val="22"/>
        </w:rPr>
        <w:t xml:space="preserve">Decline </w:t>
      </w:r>
      <w:r w:rsidR="006570BD" w:rsidRPr="00711E2D">
        <w:rPr>
          <w:rFonts w:asciiTheme="minorHAnsi" w:hAnsiTheme="minorHAnsi" w:cstheme="minorHAnsi"/>
          <w:bCs/>
          <w:i/>
          <w:iCs/>
          <w:color w:val="auto"/>
          <w:sz w:val="22"/>
          <w:szCs w:val="22"/>
        </w:rPr>
        <w:t>of eye donation based on family and deceased wishes</w:t>
      </w:r>
    </w:p>
    <w:p w14:paraId="325368D0" w14:textId="7859C395" w:rsidR="00980097" w:rsidRDefault="00200306" w:rsidP="001919FA">
      <w:pPr>
        <w:spacing w:line="360" w:lineRule="auto"/>
        <w:jc w:val="both"/>
      </w:pPr>
      <w:r>
        <w:t>W</w:t>
      </w:r>
      <w:r w:rsidR="006570BD" w:rsidRPr="006570BD">
        <w:t xml:space="preserve">here </w:t>
      </w:r>
      <w:r w:rsidR="007861F9">
        <w:t xml:space="preserve">non-procurement of eye tissue was recorded under </w:t>
      </w:r>
      <w:r w:rsidR="00A437FC" w:rsidRPr="008B20FB">
        <w:rPr>
          <w:bCs/>
          <w:i/>
        </w:rPr>
        <w:t>F</w:t>
      </w:r>
      <w:r w:rsidR="006570BD" w:rsidRPr="008B20FB">
        <w:rPr>
          <w:bCs/>
          <w:i/>
        </w:rPr>
        <w:t>amily wishes</w:t>
      </w:r>
      <w:r w:rsidR="006570BD" w:rsidRPr="006570BD">
        <w:t xml:space="preserve"> (n=1339), the most common reasons related to disfigurement concerns </w:t>
      </w:r>
      <w:r w:rsidR="006570BD" w:rsidRPr="007C1EC8">
        <w:t>(n=588, 44% of</w:t>
      </w:r>
      <w:r w:rsidR="006570BD" w:rsidRPr="006570BD">
        <w:t xml:space="preserve"> family </w:t>
      </w:r>
      <w:r w:rsidR="00285E89">
        <w:t>decline</w:t>
      </w:r>
      <w:r w:rsidR="006570BD" w:rsidRPr="006570BD">
        <w:t xml:space="preserve">), or ‘personal views’ </w:t>
      </w:r>
      <w:r w:rsidR="00116366">
        <w:t>about eye donation held by Next of Kin (</w:t>
      </w:r>
      <w:proofErr w:type="spellStart"/>
      <w:r w:rsidR="00116366">
        <w:t>NoK</w:t>
      </w:r>
      <w:proofErr w:type="spellEnd"/>
      <w:r w:rsidR="00116366">
        <w:t>)</w:t>
      </w:r>
      <w:r w:rsidR="00495B75">
        <w:t xml:space="preserve"> </w:t>
      </w:r>
      <w:r w:rsidR="006570BD" w:rsidRPr="008F6827">
        <w:t>(</w:t>
      </w:r>
      <w:r w:rsidR="006570BD" w:rsidRPr="007C1EC8">
        <w:t>n=478, 36% -</w:t>
      </w:r>
      <w:r w:rsidR="006570BD">
        <w:t xml:space="preserve"> see </w:t>
      </w:r>
      <w:r w:rsidR="001919FA">
        <w:t xml:space="preserve">Table </w:t>
      </w:r>
      <w:r w:rsidR="006570BD">
        <w:t>2)</w:t>
      </w:r>
      <w:r w:rsidR="006570BD" w:rsidRPr="006570BD">
        <w:t>.</w:t>
      </w:r>
      <w:r w:rsidR="006570BD">
        <w:t xml:space="preserve"> </w:t>
      </w:r>
    </w:p>
    <w:p w14:paraId="7C6B2C6B" w14:textId="02718D00" w:rsidR="0025652C" w:rsidRDefault="00D76240" w:rsidP="001919FA">
      <w:pPr>
        <w:spacing w:line="360" w:lineRule="auto"/>
        <w:jc w:val="both"/>
      </w:pPr>
      <w:r>
        <w:t>For cases where</w:t>
      </w:r>
      <w:r w:rsidR="007861F9">
        <w:t xml:space="preserve"> non-procurement of eye tissue was recorded under </w:t>
      </w:r>
      <w:r w:rsidR="00A437FC" w:rsidRPr="008B20FB">
        <w:rPr>
          <w:bCs/>
          <w:i/>
        </w:rPr>
        <w:t>D</w:t>
      </w:r>
      <w:r w:rsidRPr="008B20FB">
        <w:rPr>
          <w:bCs/>
          <w:i/>
        </w:rPr>
        <w:t>eceased’s wishes</w:t>
      </w:r>
      <w:r>
        <w:t xml:space="preserve"> (n=</w:t>
      </w:r>
      <w:r w:rsidR="00EC54D5">
        <w:t>180</w:t>
      </w:r>
      <w:r>
        <w:t xml:space="preserve"> cases</w:t>
      </w:r>
      <w:r w:rsidR="00FB7402">
        <w:t>, 7% of total</w:t>
      </w:r>
      <w:r>
        <w:t xml:space="preserve">), </w:t>
      </w:r>
      <w:r w:rsidR="00EC54D5">
        <w:t>128</w:t>
      </w:r>
      <w:r>
        <w:t xml:space="preserve"> </w:t>
      </w:r>
      <w:r w:rsidR="00DB4A71">
        <w:t>(71%</w:t>
      </w:r>
      <w:r w:rsidR="00FB7402">
        <w:t xml:space="preserve"> of deceased wishes cases</w:t>
      </w:r>
      <w:r w:rsidR="00863DA5">
        <w:t>)</w:t>
      </w:r>
      <w:r w:rsidR="007861F9">
        <w:t xml:space="preserve"> were due to the fact that the deceased had registered (on</w:t>
      </w:r>
      <w:r w:rsidR="004842E8">
        <w:t xml:space="preserve"> the </w:t>
      </w:r>
      <w:r w:rsidR="00DB4A71">
        <w:t xml:space="preserve">organ donor </w:t>
      </w:r>
      <w:r w:rsidR="004842E8">
        <w:t>register</w:t>
      </w:r>
      <w:r w:rsidR="00631B75">
        <w:t>,</w:t>
      </w:r>
      <w:r w:rsidR="004842E8">
        <w:t xml:space="preserve"> which is always checked by SNODs in preparation for discussing donation options</w:t>
      </w:r>
      <w:r w:rsidR="007861F9">
        <w:t xml:space="preserve">) that they did not want to donate eye tissue. </w:t>
      </w:r>
      <w:r w:rsidR="004842E8">
        <w:t xml:space="preserve">A </w:t>
      </w:r>
      <w:r>
        <w:t xml:space="preserve">further </w:t>
      </w:r>
      <w:r w:rsidR="00DB4A71">
        <w:t>52</w:t>
      </w:r>
      <w:r>
        <w:t xml:space="preserve"> (</w:t>
      </w:r>
      <w:r w:rsidR="00DB4A71">
        <w:t>29</w:t>
      </w:r>
      <w:r>
        <w:t xml:space="preserve">%) </w:t>
      </w:r>
      <w:r w:rsidR="00A437FC">
        <w:t xml:space="preserve">cases of non-procurement of eye tissue </w:t>
      </w:r>
      <w:r w:rsidR="00116366">
        <w:t xml:space="preserve">resulted from </w:t>
      </w:r>
      <w:r w:rsidR="004842E8">
        <w:t xml:space="preserve">discussions with </w:t>
      </w:r>
      <w:proofErr w:type="spellStart"/>
      <w:r w:rsidR="00A96144">
        <w:t>NoK</w:t>
      </w:r>
      <w:proofErr w:type="spellEnd"/>
      <w:r w:rsidR="004842E8">
        <w:t xml:space="preserve"> where they stated that the deceased</w:t>
      </w:r>
      <w:r w:rsidR="00631B75">
        <w:t>’s</w:t>
      </w:r>
      <w:r w:rsidR="00EC54D5">
        <w:t xml:space="preserve"> wish not to donate eyes was known</w:t>
      </w:r>
      <w:r w:rsidR="004842E8">
        <w:t xml:space="preserve"> to </w:t>
      </w:r>
      <w:r w:rsidR="00A96144">
        <w:t>them</w:t>
      </w:r>
      <w:r w:rsidR="006570BD">
        <w:t xml:space="preserve"> – see </w:t>
      </w:r>
      <w:r w:rsidR="001919FA">
        <w:t xml:space="preserve">Table </w:t>
      </w:r>
      <w:r w:rsidR="006570BD">
        <w:t>2</w:t>
      </w:r>
      <w:r w:rsidR="00DB4A71">
        <w:t>.</w:t>
      </w:r>
      <w:r w:rsidR="0025652C">
        <w:t xml:space="preserve"> </w:t>
      </w:r>
    </w:p>
    <w:p w14:paraId="00D450D2" w14:textId="77777777" w:rsidR="001919FA" w:rsidRDefault="001919FA" w:rsidP="00613F59">
      <w:pPr>
        <w:pStyle w:val="Caption"/>
        <w:keepNext/>
        <w:jc w:val="center"/>
        <w:rPr>
          <w:rFonts w:ascii="Calibri" w:hAnsi="Calibri" w:cs="Calibri"/>
          <w:sz w:val="20"/>
          <w:szCs w:val="20"/>
        </w:rPr>
      </w:pPr>
    </w:p>
    <w:p w14:paraId="190E133A" w14:textId="26B11707" w:rsidR="0060025E" w:rsidRPr="00493744" w:rsidRDefault="001919FA" w:rsidP="00613F59">
      <w:pPr>
        <w:pStyle w:val="Caption"/>
        <w:keepNext/>
        <w:jc w:val="center"/>
        <w:rPr>
          <w:rFonts w:ascii="Calibri" w:hAnsi="Calibri" w:cs="Calibri"/>
          <w:b/>
          <w:color w:val="auto"/>
          <w:sz w:val="20"/>
          <w:szCs w:val="20"/>
        </w:rPr>
      </w:pPr>
      <w:r w:rsidRPr="00493744">
        <w:rPr>
          <w:rFonts w:ascii="Calibri" w:hAnsi="Calibri" w:cs="Calibri"/>
          <w:b/>
          <w:color w:val="auto"/>
          <w:sz w:val="20"/>
          <w:szCs w:val="20"/>
        </w:rPr>
        <w:t xml:space="preserve">Table </w:t>
      </w:r>
      <w:r w:rsidR="0060025E" w:rsidRPr="00493744">
        <w:rPr>
          <w:rFonts w:ascii="Calibri" w:hAnsi="Calibri" w:cs="Calibri"/>
          <w:b/>
          <w:color w:val="auto"/>
          <w:sz w:val="20"/>
          <w:szCs w:val="20"/>
        </w:rPr>
        <w:t xml:space="preserve"> </w:t>
      </w:r>
      <w:r w:rsidR="00C760A2" w:rsidRPr="00493744">
        <w:rPr>
          <w:rFonts w:ascii="Calibri" w:hAnsi="Calibri" w:cs="Calibri"/>
          <w:b/>
          <w:noProof/>
          <w:color w:val="auto"/>
          <w:sz w:val="20"/>
          <w:szCs w:val="20"/>
        </w:rPr>
        <w:fldChar w:fldCharType="begin"/>
      </w:r>
      <w:r w:rsidR="00C760A2" w:rsidRPr="00493744">
        <w:rPr>
          <w:rFonts w:ascii="Calibri" w:hAnsi="Calibri" w:cs="Calibri"/>
          <w:b/>
          <w:noProof/>
          <w:color w:val="auto"/>
          <w:sz w:val="20"/>
          <w:szCs w:val="20"/>
        </w:rPr>
        <w:instrText xml:space="preserve"> SEQ Table \* ARABIC </w:instrText>
      </w:r>
      <w:r w:rsidR="00C760A2" w:rsidRPr="00493744">
        <w:rPr>
          <w:rFonts w:ascii="Calibri" w:hAnsi="Calibri" w:cs="Calibri"/>
          <w:b/>
          <w:noProof/>
          <w:color w:val="auto"/>
          <w:sz w:val="20"/>
          <w:szCs w:val="20"/>
        </w:rPr>
        <w:fldChar w:fldCharType="separate"/>
      </w:r>
      <w:r w:rsidR="004A774A" w:rsidRPr="00493744">
        <w:rPr>
          <w:rFonts w:ascii="Calibri" w:hAnsi="Calibri" w:cs="Calibri"/>
          <w:b/>
          <w:noProof/>
          <w:color w:val="auto"/>
          <w:sz w:val="20"/>
          <w:szCs w:val="20"/>
        </w:rPr>
        <w:t>2</w:t>
      </w:r>
      <w:r w:rsidR="00C760A2" w:rsidRPr="00493744">
        <w:rPr>
          <w:rFonts w:ascii="Calibri" w:hAnsi="Calibri" w:cs="Calibri"/>
          <w:b/>
          <w:noProof/>
          <w:color w:val="auto"/>
          <w:sz w:val="20"/>
          <w:szCs w:val="20"/>
        </w:rPr>
        <w:fldChar w:fldCharType="end"/>
      </w:r>
      <w:r w:rsidR="0060025E" w:rsidRPr="00493744">
        <w:rPr>
          <w:rFonts w:ascii="Calibri" w:hAnsi="Calibri" w:cs="Calibri"/>
          <w:b/>
          <w:color w:val="auto"/>
          <w:sz w:val="20"/>
          <w:szCs w:val="20"/>
        </w:rPr>
        <w:t xml:space="preserve"> – Reasons for non-donation </w:t>
      </w:r>
      <w:r w:rsidR="00631B75">
        <w:rPr>
          <w:rFonts w:ascii="Calibri" w:hAnsi="Calibri" w:cs="Calibri"/>
          <w:b/>
          <w:color w:val="auto"/>
          <w:sz w:val="20"/>
          <w:szCs w:val="20"/>
        </w:rPr>
        <w:t>of</w:t>
      </w:r>
      <w:r w:rsidR="0060025E" w:rsidRPr="00493744">
        <w:rPr>
          <w:rFonts w:ascii="Calibri" w:hAnsi="Calibri" w:cs="Calibri"/>
          <w:b/>
          <w:color w:val="auto"/>
          <w:sz w:val="20"/>
          <w:szCs w:val="20"/>
        </w:rPr>
        <w:t xml:space="preserve"> eye tissue </w:t>
      </w:r>
      <w:r w:rsidR="00631B75">
        <w:rPr>
          <w:rFonts w:ascii="Calibri" w:hAnsi="Calibri" w:cs="Calibri"/>
          <w:b/>
          <w:color w:val="auto"/>
          <w:sz w:val="20"/>
          <w:szCs w:val="20"/>
        </w:rPr>
        <w:t xml:space="preserve">from potential solid organ donors </w:t>
      </w:r>
      <w:r w:rsidR="0060025E" w:rsidRPr="00493744">
        <w:rPr>
          <w:rFonts w:ascii="Calibri" w:hAnsi="Calibri" w:cs="Calibri"/>
          <w:b/>
          <w:color w:val="auto"/>
          <w:sz w:val="20"/>
          <w:szCs w:val="20"/>
        </w:rPr>
        <w:t>by category and major sub-category for the period 1</w:t>
      </w:r>
      <w:r w:rsidR="0060025E" w:rsidRPr="00493744">
        <w:rPr>
          <w:rFonts w:ascii="Calibri" w:hAnsi="Calibri" w:cs="Calibri"/>
          <w:b/>
          <w:color w:val="auto"/>
          <w:sz w:val="20"/>
          <w:szCs w:val="20"/>
          <w:vertAlign w:val="superscript"/>
        </w:rPr>
        <w:t>st</w:t>
      </w:r>
      <w:r w:rsidR="0060025E" w:rsidRPr="00493744">
        <w:rPr>
          <w:rFonts w:ascii="Calibri" w:hAnsi="Calibri" w:cs="Calibri"/>
          <w:b/>
          <w:color w:val="auto"/>
          <w:sz w:val="20"/>
          <w:szCs w:val="20"/>
        </w:rPr>
        <w:t xml:space="preserve"> April 2014-31</w:t>
      </w:r>
      <w:r w:rsidR="0060025E" w:rsidRPr="00493744">
        <w:rPr>
          <w:rFonts w:ascii="Calibri" w:hAnsi="Calibri" w:cs="Calibri"/>
          <w:b/>
          <w:color w:val="auto"/>
          <w:sz w:val="20"/>
          <w:szCs w:val="20"/>
          <w:vertAlign w:val="superscript"/>
        </w:rPr>
        <w:t>st</w:t>
      </w:r>
      <w:r w:rsidR="0060025E" w:rsidRPr="00493744">
        <w:rPr>
          <w:rFonts w:ascii="Calibri" w:hAnsi="Calibri" w:cs="Calibri"/>
          <w:b/>
          <w:color w:val="auto"/>
          <w:sz w:val="20"/>
          <w:szCs w:val="20"/>
        </w:rPr>
        <w:t xml:space="preserve"> March 2017.</w:t>
      </w:r>
    </w:p>
    <w:tbl>
      <w:tblPr>
        <w:tblW w:w="10057" w:type="dxa"/>
        <w:jc w:val="center"/>
        <w:tblLook w:val="04A0" w:firstRow="1" w:lastRow="0" w:firstColumn="1" w:lastColumn="0" w:noHBand="0" w:noVBand="1"/>
      </w:tblPr>
      <w:tblGrid>
        <w:gridCol w:w="1064"/>
        <w:gridCol w:w="2338"/>
        <w:gridCol w:w="708"/>
        <w:gridCol w:w="929"/>
        <w:gridCol w:w="618"/>
        <w:gridCol w:w="993"/>
        <w:gridCol w:w="567"/>
        <w:gridCol w:w="992"/>
        <w:gridCol w:w="521"/>
        <w:gridCol w:w="1327"/>
      </w:tblGrid>
      <w:tr w:rsidR="00122104" w:rsidRPr="003A044E" w14:paraId="72009BC3" w14:textId="77777777" w:rsidTr="00042353">
        <w:trPr>
          <w:trHeight w:val="393"/>
          <w:jc w:val="center"/>
        </w:trPr>
        <w:tc>
          <w:tcPr>
            <w:tcW w:w="1141" w:type="dxa"/>
            <w:vMerge w:val="restart"/>
            <w:tcBorders>
              <w:bottom w:val="single" w:sz="4" w:space="0" w:color="auto"/>
            </w:tcBorders>
            <w:shd w:val="clear" w:color="auto" w:fill="auto"/>
            <w:vAlign w:val="center"/>
            <w:hideMark/>
          </w:tcPr>
          <w:p w14:paraId="268EFFAD" w14:textId="4AFF02E6" w:rsidR="0059551B" w:rsidRPr="003A044E" w:rsidRDefault="006570BD" w:rsidP="0059551B">
            <w:pPr>
              <w:spacing w:after="0" w:line="240" w:lineRule="auto"/>
              <w:rPr>
                <w:rFonts w:ascii="Calibri" w:eastAsia="Times New Roman" w:hAnsi="Calibri" w:cs="Calibri"/>
                <w:b/>
                <w:bCs/>
                <w:sz w:val="20"/>
                <w:szCs w:val="20"/>
                <w:lang w:eastAsia="en-GB"/>
              </w:rPr>
            </w:pPr>
            <w:r w:rsidRPr="003A044E">
              <w:rPr>
                <w:rFonts w:ascii="Calibri" w:eastAsia="Times New Roman" w:hAnsi="Calibri" w:cs="Calibri"/>
                <w:b/>
                <w:bCs/>
                <w:sz w:val="20"/>
                <w:szCs w:val="20"/>
                <w:lang w:eastAsia="en-GB"/>
              </w:rPr>
              <w:t>Domain</w:t>
            </w:r>
          </w:p>
        </w:tc>
        <w:tc>
          <w:tcPr>
            <w:tcW w:w="2187" w:type="dxa"/>
            <w:vMerge w:val="restart"/>
            <w:tcBorders>
              <w:bottom w:val="single" w:sz="4" w:space="0" w:color="auto"/>
            </w:tcBorders>
            <w:shd w:val="clear" w:color="auto" w:fill="auto"/>
            <w:vAlign w:val="center"/>
            <w:hideMark/>
          </w:tcPr>
          <w:p w14:paraId="56F361D1" w14:textId="728EFCAD" w:rsidR="0059551B" w:rsidRPr="003A044E" w:rsidRDefault="0059551B" w:rsidP="0059551B">
            <w:pPr>
              <w:spacing w:after="0" w:line="240" w:lineRule="auto"/>
              <w:rPr>
                <w:rFonts w:ascii="Calibri" w:eastAsia="Times New Roman" w:hAnsi="Calibri" w:cs="Calibri"/>
                <w:b/>
                <w:bCs/>
                <w:sz w:val="20"/>
                <w:szCs w:val="20"/>
                <w:lang w:eastAsia="en-GB"/>
              </w:rPr>
            </w:pPr>
            <w:r w:rsidRPr="003A044E">
              <w:rPr>
                <w:rFonts w:ascii="Calibri" w:eastAsia="Times New Roman" w:hAnsi="Calibri" w:cs="Calibri"/>
                <w:b/>
                <w:bCs/>
                <w:sz w:val="20"/>
                <w:szCs w:val="20"/>
                <w:lang w:eastAsia="en-GB"/>
              </w:rPr>
              <w:t>Sub-</w:t>
            </w:r>
            <w:r w:rsidR="006570BD" w:rsidRPr="003A044E">
              <w:rPr>
                <w:rFonts w:ascii="Calibri" w:eastAsia="Times New Roman" w:hAnsi="Calibri" w:cs="Calibri"/>
                <w:b/>
                <w:bCs/>
                <w:sz w:val="20"/>
                <w:szCs w:val="20"/>
                <w:lang w:eastAsia="en-GB"/>
              </w:rPr>
              <w:t>domain</w:t>
            </w:r>
          </w:p>
        </w:tc>
        <w:tc>
          <w:tcPr>
            <w:tcW w:w="1715" w:type="dxa"/>
            <w:gridSpan w:val="2"/>
            <w:tcBorders>
              <w:right w:val="single" w:sz="12" w:space="0" w:color="auto"/>
            </w:tcBorders>
            <w:shd w:val="clear" w:color="auto" w:fill="auto"/>
            <w:vAlign w:val="bottom"/>
            <w:hideMark/>
          </w:tcPr>
          <w:p w14:paraId="51FC8430" w14:textId="77777777" w:rsidR="0059551B" w:rsidRPr="003A044E" w:rsidRDefault="0059551B" w:rsidP="00122104">
            <w:pPr>
              <w:spacing w:after="0" w:line="240" w:lineRule="auto"/>
              <w:jc w:val="center"/>
              <w:rPr>
                <w:rFonts w:ascii="Calibri" w:eastAsia="Times New Roman" w:hAnsi="Calibri" w:cs="Calibri"/>
                <w:b/>
                <w:bCs/>
                <w:sz w:val="20"/>
                <w:szCs w:val="20"/>
                <w:lang w:eastAsia="en-GB"/>
              </w:rPr>
            </w:pPr>
            <w:r w:rsidRPr="003A044E">
              <w:rPr>
                <w:rFonts w:ascii="Calibri" w:eastAsia="Times New Roman" w:hAnsi="Calibri" w:cs="Calibri"/>
                <w:b/>
                <w:bCs/>
                <w:sz w:val="20"/>
                <w:szCs w:val="20"/>
                <w:lang w:eastAsia="en-GB"/>
              </w:rPr>
              <w:t>1 April 2014 to 31 March 2015</w:t>
            </w:r>
          </w:p>
        </w:tc>
        <w:tc>
          <w:tcPr>
            <w:tcW w:w="1611" w:type="dxa"/>
            <w:gridSpan w:val="2"/>
            <w:tcBorders>
              <w:left w:val="single" w:sz="12" w:space="0" w:color="auto"/>
              <w:right w:val="single" w:sz="12" w:space="0" w:color="auto"/>
            </w:tcBorders>
            <w:shd w:val="clear" w:color="auto" w:fill="auto"/>
            <w:vAlign w:val="bottom"/>
            <w:hideMark/>
          </w:tcPr>
          <w:p w14:paraId="5F68098A" w14:textId="77777777" w:rsidR="0059551B" w:rsidRPr="003A044E" w:rsidRDefault="0059551B" w:rsidP="00122104">
            <w:pPr>
              <w:spacing w:after="0" w:line="240" w:lineRule="auto"/>
              <w:jc w:val="center"/>
              <w:rPr>
                <w:rFonts w:ascii="Calibri" w:eastAsia="Times New Roman" w:hAnsi="Calibri" w:cs="Calibri"/>
                <w:b/>
                <w:bCs/>
                <w:sz w:val="20"/>
                <w:szCs w:val="20"/>
                <w:lang w:eastAsia="en-GB"/>
              </w:rPr>
            </w:pPr>
            <w:r w:rsidRPr="003A044E">
              <w:rPr>
                <w:rFonts w:ascii="Calibri" w:eastAsia="Times New Roman" w:hAnsi="Calibri" w:cs="Calibri"/>
                <w:b/>
                <w:bCs/>
                <w:sz w:val="20"/>
                <w:szCs w:val="20"/>
                <w:lang w:eastAsia="en-GB"/>
              </w:rPr>
              <w:t>1 April 2015 to 31 March 2016</w:t>
            </w:r>
          </w:p>
        </w:tc>
        <w:tc>
          <w:tcPr>
            <w:tcW w:w="1559" w:type="dxa"/>
            <w:gridSpan w:val="2"/>
            <w:tcBorders>
              <w:left w:val="single" w:sz="12" w:space="0" w:color="auto"/>
              <w:right w:val="single" w:sz="12" w:space="0" w:color="auto"/>
            </w:tcBorders>
            <w:shd w:val="clear" w:color="auto" w:fill="auto"/>
            <w:vAlign w:val="bottom"/>
            <w:hideMark/>
          </w:tcPr>
          <w:p w14:paraId="3542E6C0" w14:textId="77777777" w:rsidR="0059551B" w:rsidRPr="003A044E" w:rsidRDefault="0059551B" w:rsidP="00122104">
            <w:pPr>
              <w:spacing w:after="0" w:line="240" w:lineRule="auto"/>
              <w:jc w:val="center"/>
              <w:rPr>
                <w:rFonts w:ascii="Calibri" w:eastAsia="Times New Roman" w:hAnsi="Calibri" w:cs="Calibri"/>
                <w:b/>
                <w:bCs/>
                <w:sz w:val="20"/>
                <w:szCs w:val="20"/>
                <w:lang w:eastAsia="en-GB"/>
              </w:rPr>
            </w:pPr>
            <w:r w:rsidRPr="003A044E">
              <w:rPr>
                <w:rFonts w:ascii="Calibri" w:eastAsia="Times New Roman" w:hAnsi="Calibri" w:cs="Calibri"/>
                <w:b/>
                <w:bCs/>
                <w:sz w:val="20"/>
                <w:szCs w:val="20"/>
                <w:lang w:eastAsia="en-GB"/>
              </w:rPr>
              <w:t>1 April 2016 to 31 March 2017</w:t>
            </w:r>
          </w:p>
        </w:tc>
        <w:tc>
          <w:tcPr>
            <w:tcW w:w="1844" w:type="dxa"/>
            <w:gridSpan w:val="2"/>
            <w:tcBorders>
              <w:left w:val="single" w:sz="12" w:space="0" w:color="auto"/>
            </w:tcBorders>
            <w:shd w:val="clear" w:color="auto" w:fill="auto"/>
            <w:noWrap/>
            <w:vAlign w:val="center"/>
            <w:hideMark/>
          </w:tcPr>
          <w:p w14:paraId="629B11A4" w14:textId="77777777" w:rsidR="0059551B" w:rsidRPr="003A044E" w:rsidRDefault="0059551B" w:rsidP="00122104">
            <w:pPr>
              <w:spacing w:after="0" w:line="240" w:lineRule="auto"/>
              <w:jc w:val="center"/>
              <w:rPr>
                <w:rFonts w:ascii="Calibri" w:eastAsia="Times New Roman" w:hAnsi="Calibri" w:cs="Calibri"/>
                <w:b/>
                <w:bCs/>
                <w:sz w:val="20"/>
                <w:szCs w:val="20"/>
                <w:lang w:eastAsia="en-GB"/>
              </w:rPr>
            </w:pPr>
            <w:r w:rsidRPr="003A044E">
              <w:rPr>
                <w:rFonts w:ascii="Calibri" w:eastAsia="Times New Roman" w:hAnsi="Calibri" w:cs="Calibri"/>
                <w:b/>
                <w:bCs/>
                <w:sz w:val="20"/>
                <w:szCs w:val="20"/>
                <w:lang w:eastAsia="en-GB"/>
              </w:rPr>
              <w:t>All Years</w:t>
            </w:r>
          </w:p>
        </w:tc>
      </w:tr>
      <w:tr w:rsidR="0059551B" w:rsidRPr="003A044E" w14:paraId="0D68962E" w14:textId="77777777" w:rsidTr="00042353">
        <w:trPr>
          <w:trHeight w:val="255"/>
          <w:jc w:val="center"/>
        </w:trPr>
        <w:tc>
          <w:tcPr>
            <w:tcW w:w="1141" w:type="dxa"/>
            <w:vMerge/>
            <w:tcBorders>
              <w:top w:val="single" w:sz="4" w:space="0" w:color="auto"/>
              <w:bottom w:val="single" w:sz="12" w:space="0" w:color="auto"/>
            </w:tcBorders>
            <w:vAlign w:val="center"/>
            <w:hideMark/>
          </w:tcPr>
          <w:p w14:paraId="1C648A38" w14:textId="77777777" w:rsidR="0059551B" w:rsidRPr="003A044E" w:rsidRDefault="0059551B" w:rsidP="0059551B">
            <w:pPr>
              <w:spacing w:after="0" w:line="240" w:lineRule="auto"/>
              <w:rPr>
                <w:rFonts w:ascii="Calibri" w:eastAsia="Times New Roman" w:hAnsi="Calibri" w:cs="Calibri"/>
                <w:b/>
                <w:bCs/>
                <w:sz w:val="20"/>
                <w:szCs w:val="20"/>
                <w:lang w:eastAsia="en-GB"/>
              </w:rPr>
            </w:pPr>
          </w:p>
        </w:tc>
        <w:tc>
          <w:tcPr>
            <w:tcW w:w="2187" w:type="dxa"/>
            <w:vMerge/>
            <w:tcBorders>
              <w:top w:val="single" w:sz="4" w:space="0" w:color="auto"/>
              <w:bottom w:val="single" w:sz="12" w:space="0" w:color="auto"/>
            </w:tcBorders>
            <w:vAlign w:val="center"/>
            <w:hideMark/>
          </w:tcPr>
          <w:p w14:paraId="58173BEB" w14:textId="77777777" w:rsidR="0059551B" w:rsidRPr="003A044E" w:rsidRDefault="0059551B" w:rsidP="0059551B">
            <w:pPr>
              <w:spacing w:after="0" w:line="240" w:lineRule="auto"/>
              <w:rPr>
                <w:rFonts w:ascii="Calibri" w:eastAsia="Times New Roman" w:hAnsi="Calibri" w:cs="Calibri"/>
                <w:b/>
                <w:bCs/>
                <w:sz w:val="20"/>
                <w:szCs w:val="20"/>
                <w:lang w:eastAsia="en-GB"/>
              </w:rPr>
            </w:pPr>
          </w:p>
        </w:tc>
        <w:tc>
          <w:tcPr>
            <w:tcW w:w="808" w:type="dxa"/>
            <w:tcBorders>
              <w:bottom w:val="single" w:sz="12" w:space="0" w:color="auto"/>
            </w:tcBorders>
            <w:shd w:val="clear" w:color="auto" w:fill="auto"/>
            <w:vAlign w:val="bottom"/>
            <w:hideMark/>
          </w:tcPr>
          <w:p w14:paraId="0E627B58" w14:textId="77777777" w:rsidR="0059551B" w:rsidRPr="003A044E" w:rsidRDefault="0059551B" w:rsidP="00122104">
            <w:pPr>
              <w:spacing w:after="0" w:line="240" w:lineRule="auto"/>
              <w:jc w:val="center"/>
              <w:rPr>
                <w:rFonts w:ascii="Calibri" w:eastAsia="Times New Roman" w:hAnsi="Calibri" w:cs="Calibri"/>
                <w:i/>
                <w:iCs/>
                <w:sz w:val="20"/>
                <w:szCs w:val="20"/>
                <w:lang w:eastAsia="en-GB"/>
              </w:rPr>
            </w:pPr>
            <w:r w:rsidRPr="003A044E">
              <w:rPr>
                <w:rFonts w:ascii="Calibri" w:eastAsia="Times New Roman" w:hAnsi="Calibri" w:cs="Calibri"/>
                <w:i/>
                <w:iCs/>
                <w:sz w:val="20"/>
                <w:szCs w:val="20"/>
                <w:lang w:eastAsia="en-GB"/>
              </w:rPr>
              <w:t>N</w:t>
            </w:r>
          </w:p>
        </w:tc>
        <w:tc>
          <w:tcPr>
            <w:tcW w:w="907" w:type="dxa"/>
            <w:tcBorders>
              <w:bottom w:val="single" w:sz="12" w:space="0" w:color="auto"/>
              <w:right w:val="single" w:sz="12" w:space="0" w:color="auto"/>
            </w:tcBorders>
            <w:shd w:val="clear" w:color="auto" w:fill="auto"/>
            <w:noWrap/>
            <w:vAlign w:val="bottom"/>
            <w:hideMark/>
          </w:tcPr>
          <w:p w14:paraId="732291B1" w14:textId="6EC05BBD" w:rsidR="0059551B" w:rsidRPr="003A044E" w:rsidRDefault="0059551B" w:rsidP="00122104">
            <w:pPr>
              <w:spacing w:after="0" w:line="240" w:lineRule="auto"/>
              <w:jc w:val="center"/>
              <w:rPr>
                <w:rFonts w:ascii="Calibri" w:eastAsia="Times New Roman" w:hAnsi="Calibri" w:cs="Calibri"/>
                <w:i/>
                <w:iCs/>
                <w:sz w:val="20"/>
                <w:szCs w:val="20"/>
                <w:lang w:eastAsia="en-GB"/>
              </w:rPr>
            </w:pPr>
            <w:r w:rsidRPr="003A044E">
              <w:rPr>
                <w:rFonts w:ascii="Calibri" w:eastAsia="Times New Roman" w:hAnsi="Calibri" w:cs="Calibri"/>
                <w:i/>
                <w:iCs/>
                <w:sz w:val="20"/>
                <w:szCs w:val="20"/>
                <w:lang w:eastAsia="en-GB"/>
              </w:rPr>
              <w:t>% of category</w:t>
            </w:r>
          </w:p>
        </w:tc>
        <w:tc>
          <w:tcPr>
            <w:tcW w:w="618" w:type="dxa"/>
            <w:tcBorders>
              <w:left w:val="single" w:sz="12" w:space="0" w:color="auto"/>
              <w:bottom w:val="single" w:sz="12" w:space="0" w:color="auto"/>
            </w:tcBorders>
            <w:shd w:val="clear" w:color="auto" w:fill="auto"/>
            <w:vAlign w:val="bottom"/>
            <w:hideMark/>
          </w:tcPr>
          <w:p w14:paraId="103C3262" w14:textId="77777777" w:rsidR="0059551B" w:rsidRPr="003A044E" w:rsidRDefault="0059551B" w:rsidP="00122104">
            <w:pPr>
              <w:spacing w:after="0" w:line="240" w:lineRule="auto"/>
              <w:jc w:val="center"/>
              <w:rPr>
                <w:rFonts w:ascii="Calibri" w:eastAsia="Times New Roman" w:hAnsi="Calibri" w:cs="Calibri"/>
                <w:i/>
                <w:iCs/>
                <w:sz w:val="20"/>
                <w:szCs w:val="20"/>
                <w:lang w:eastAsia="en-GB"/>
              </w:rPr>
            </w:pPr>
            <w:r w:rsidRPr="003A044E">
              <w:rPr>
                <w:rFonts w:ascii="Calibri" w:eastAsia="Times New Roman" w:hAnsi="Calibri" w:cs="Calibri"/>
                <w:i/>
                <w:iCs/>
                <w:sz w:val="20"/>
                <w:szCs w:val="20"/>
                <w:lang w:eastAsia="en-GB"/>
              </w:rPr>
              <w:t>N</w:t>
            </w:r>
          </w:p>
        </w:tc>
        <w:tc>
          <w:tcPr>
            <w:tcW w:w="993" w:type="dxa"/>
            <w:tcBorders>
              <w:bottom w:val="single" w:sz="12" w:space="0" w:color="auto"/>
              <w:right w:val="single" w:sz="12" w:space="0" w:color="auto"/>
            </w:tcBorders>
            <w:shd w:val="clear" w:color="auto" w:fill="auto"/>
            <w:noWrap/>
            <w:vAlign w:val="bottom"/>
            <w:hideMark/>
          </w:tcPr>
          <w:p w14:paraId="70658F79" w14:textId="648C447D" w:rsidR="0059551B" w:rsidRPr="003A044E" w:rsidRDefault="0059551B" w:rsidP="00122104">
            <w:pPr>
              <w:spacing w:after="0" w:line="240" w:lineRule="auto"/>
              <w:jc w:val="center"/>
              <w:rPr>
                <w:rFonts w:ascii="Calibri" w:eastAsia="Times New Roman" w:hAnsi="Calibri" w:cs="Calibri"/>
                <w:i/>
                <w:iCs/>
                <w:sz w:val="20"/>
                <w:szCs w:val="20"/>
                <w:lang w:eastAsia="en-GB"/>
              </w:rPr>
            </w:pPr>
            <w:r w:rsidRPr="003A044E">
              <w:rPr>
                <w:rFonts w:ascii="Calibri" w:eastAsia="Times New Roman" w:hAnsi="Calibri" w:cs="Calibri"/>
                <w:i/>
                <w:iCs/>
                <w:sz w:val="20"/>
                <w:szCs w:val="20"/>
                <w:lang w:eastAsia="en-GB"/>
              </w:rPr>
              <w:t>% of category</w:t>
            </w:r>
          </w:p>
        </w:tc>
        <w:tc>
          <w:tcPr>
            <w:tcW w:w="567" w:type="dxa"/>
            <w:tcBorders>
              <w:left w:val="single" w:sz="12" w:space="0" w:color="auto"/>
              <w:bottom w:val="single" w:sz="12" w:space="0" w:color="auto"/>
            </w:tcBorders>
            <w:shd w:val="clear" w:color="auto" w:fill="auto"/>
            <w:vAlign w:val="bottom"/>
            <w:hideMark/>
          </w:tcPr>
          <w:p w14:paraId="033E05CE" w14:textId="77777777" w:rsidR="0059551B" w:rsidRPr="003A044E" w:rsidRDefault="0059551B" w:rsidP="00122104">
            <w:pPr>
              <w:spacing w:after="0" w:line="240" w:lineRule="auto"/>
              <w:jc w:val="center"/>
              <w:rPr>
                <w:rFonts w:ascii="Calibri" w:eastAsia="Times New Roman" w:hAnsi="Calibri" w:cs="Calibri"/>
                <w:i/>
                <w:iCs/>
                <w:sz w:val="20"/>
                <w:szCs w:val="20"/>
                <w:lang w:eastAsia="en-GB"/>
              </w:rPr>
            </w:pPr>
            <w:r w:rsidRPr="003A044E">
              <w:rPr>
                <w:rFonts w:ascii="Calibri" w:eastAsia="Times New Roman" w:hAnsi="Calibri" w:cs="Calibri"/>
                <w:i/>
                <w:iCs/>
                <w:sz w:val="20"/>
                <w:szCs w:val="20"/>
                <w:lang w:eastAsia="en-GB"/>
              </w:rPr>
              <w:t>N</w:t>
            </w:r>
          </w:p>
        </w:tc>
        <w:tc>
          <w:tcPr>
            <w:tcW w:w="992" w:type="dxa"/>
            <w:tcBorders>
              <w:bottom w:val="single" w:sz="12" w:space="0" w:color="auto"/>
              <w:right w:val="single" w:sz="12" w:space="0" w:color="auto"/>
            </w:tcBorders>
            <w:shd w:val="clear" w:color="auto" w:fill="auto"/>
            <w:noWrap/>
            <w:vAlign w:val="bottom"/>
            <w:hideMark/>
          </w:tcPr>
          <w:p w14:paraId="7D715239" w14:textId="77777777" w:rsidR="0059551B" w:rsidRPr="003A044E" w:rsidRDefault="0059551B" w:rsidP="00122104">
            <w:pPr>
              <w:spacing w:after="0" w:line="240" w:lineRule="auto"/>
              <w:jc w:val="center"/>
              <w:rPr>
                <w:rFonts w:ascii="Calibri" w:eastAsia="Times New Roman" w:hAnsi="Calibri" w:cs="Calibri"/>
                <w:i/>
                <w:iCs/>
                <w:sz w:val="20"/>
                <w:szCs w:val="20"/>
                <w:lang w:eastAsia="en-GB"/>
              </w:rPr>
            </w:pPr>
            <w:r w:rsidRPr="003A044E">
              <w:rPr>
                <w:rFonts w:ascii="Calibri" w:eastAsia="Times New Roman" w:hAnsi="Calibri" w:cs="Calibri"/>
                <w:i/>
                <w:iCs/>
                <w:sz w:val="20"/>
                <w:szCs w:val="20"/>
                <w:lang w:eastAsia="en-GB"/>
              </w:rPr>
              <w:t>% of category</w:t>
            </w:r>
          </w:p>
        </w:tc>
        <w:tc>
          <w:tcPr>
            <w:tcW w:w="517" w:type="dxa"/>
            <w:tcBorders>
              <w:left w:val="single" w:sz="12" w:space="0" w:color="auto"/>
              <w:bottom w:val="single" w:sz="12" w:space="0" w:color="auto"/>
            </w:tcBorders>
            <w:shd w:val="clear" w:color="auto" w:fill="auto"/>
            <w:vAlign w:val="bottom"/>
            <w:hideMark/>
          </w:tcPr>
          <w:p w14:paraId="7F6C6338" w14:textId="77777777" w:rsidR="0059551B" w:rsidRPr="003A044E" w:rsidRDefault="0059551B" w:rsidP="00122104">
            <w:pPr>
              <w:spacing w:after="0" w:line="240" w:lineRule="auto"/>
              <w:jc w:val="center"/>
              <w:rPr>
                <w:rFonts w:ascii="Calibri" w:eastAsia="Times New Roman" w:hAnsi="Calibri" w:cs="Calibri"/>
                <w:i/>
                <w:iCs/>
                <w:sz w:val="20"/>
                <w:szCs w:val="20"/>
                <w:lang w:eastAsia="en-GB"/>
              </w:rPr>
            </w:pPr>
            <w:r w:rsidRPr="003A044E">
              <w:rPr>
                <w:rFonts w:ascii="Calibri" w:eastAsia="Times New Roman" w:hAnsi="Calibri" w:cs="Calibri"/>
                <w:i/>
                <w:iCs/>
                <w:sz w:val="20"/>
                <w:szCs w:val="20"/>
                <w:lang w:eastAsia="en-GB"/>
              </w:rPr>
              <w:t>N</w:t>
            </w:r>
          </w:p>
        </w:tc>
        <w:tc>
          <w:tcPr>
            <w:tcW w:w="1327" w:type="dxa"/>
            <w:tcBorders>
              <w:bottom w:val="single" w:sz="12" w:space="0" w:color="auto"/>
            </w:tcBorders>
            <w:shd w:val="clear" w:color="auto" w:fill="auto"/>
            <w:noWrap/>
            <w:vAlign w:val="bottom"/>
            <w:hideMark/>
          </w:tcPr>
          <w:p w14:paraId="7C275EB1" w14:textId="77777777" w:rsidR="0059551B" w:rsidRPr="003A044E" w:rsidRDefault="0059551B" w:rsidP="00122104">
            <w:pPr>
              <w:spacing w:after="0" w:line="240" w:lineRule="auto"/>
              <w:jc w:val="center"/>
              <w:rPr>
                <w:rFonts w:ascii="Calibri" w:eastAsia="Times New Roman" w:hAnsi="Calibri" w:cs="Calibri"/>
                <w:i/>
                <w:iCs/>
                <w:sz w:val="20"/>
                <w:szCs w:val="20"/>
                <w:lang w:eastAsia="en-GB"/>
              </w:rPr>
            </w:pPr>
            <w:r w:rsidRPr="003A044E">
              <w:rPr>
                <w:rFonts w:ascii="Calibri" w:eastAsia="Times New Roman" w:hAnsi="Calibri" w:cs="Calibri"/>
                <w:i/>
                <w:iCs/>
                <w:sz w:val="20"/>
                <w:szCs w:val="20"/>
                <w:lang w:eastAsia="en-GB"/>
              </w:rPr>
              <w:t>% of category</w:t>
            </w:r>
          </w:p>
        </w:tc>
      </w:tr>
      <w:tr w:rsidR="0059551B" w:rsidRPr="003A044E" w14:paraId="5597B985" w14:textId="77777777" w:rsidTr="00042353">
        <w:trPr>
          <w:trHeight w:val="419"/>
          <w:jc w:val="center"/>
        </w:trPr>
        <w:tc>
          <w:tcPr>
            <w:tcW w:w="1141" w:type="dxa"/>
            <w:vMerge w:val="restart"/>
            <w:tcBorders>
              <w:top w:val="single" w:sz="12" w:space="0" w:color="auto"/>
              <w:bottom w:val="single" w:sz="4" w:space="0" w:color="auto"/>
            </w:tcBorders>
            <w:shd w:val="clear" w:color="auto" w:fill="auto"/>
            <w:vAlign w:val="center"/>
            <w:hideMark/>
          </w:tcPr>
          <w:p w14:paraId="43B066B1" w14:textId="77777777" w:rsidR="0059551B" w:rsidRPr="003A044E" w:rsidRDefault="0059551B" w:rsidP="0059551B">
            <w:pPr>
              <w:spacing w:after="0" w:line="240" w:lineRule="auto"/>
              <w:rPr>
                <w:rFonts w:ascii="Calibri" w:eastAsia="Times New Roman" w:hAnsi="Calibri" w:cs="Calibri"/>
                <w:b/>
                <w:bCs/>
                <w:i/>
                <w:iCs/>
                <w:sz w:val="20"/>
                <w:szCs w:val="20"/>
                <w:lang w:eastAsia="en-GB"/>
              </w:rPr>
            </w:pPr>
            <w:r w:rsidRPr="003A044E">
              <w:rPr>
                <w:rFonts w:ascii="Calibri" w:eastAsia="Times New Roman" w:hAnsi="Calibri" w:cs="Calibri"/>
                <w:b/>
                <w:bCs/>
                <w:i/>
                <w:iCs/>
                <w:sz w:val="20"/>
                <w:szCs w:val="20"/>
                <w:lang w:eastAsia="en-GB"/>
              </w:rPr>
              <w:t>Family wishes</w:t>
            </w:r>
          </w:p>
        </w:tc>
        <w:tc>
          <w:tcPr>
            <w:tcW w:w="2187" w:type="dxa"/>
            <w:tcBorders>
              <w:top w:val="single" w:sz="12" w:space="0" w:color="auto"/>
              <w:bottom w:val="single" w:sz="4" w:space="0" w:color="auto"/>
            </w:tcBorders>
            <w:shd w:val="clear" w:color="auto" w:fill="auto"/>
            <w:vAlign w:val="bottom"/>
            <w:hideMark/>
          </w:tcPr>
          <w:p w14:paraId="616060CD" w14:textId="77777777" w:rsidR="0059551B" w:rsidRPr="003A044E" w:rsidRDefault="0059551B" w:rsidP="0059551B">
            <w:pPr>
              <w:spacing w:after="0" w:line="240" w:lineRule="auto"/>
              <w:rPr>
                <w:rFonts w:ascii="Calibri" w:eastAsia="Times New Roman" w:hAnsi="Calibri" w:cs="Calibri"/>
                <w:sz w:val="20"/>
                <w:szCs w:val="20"/>
                <w:lang w:eastAsia="en-GB"/>
              </w:rPr>
            </w:pPr>
            <w:r w:rsidRPr="003A044E">
              <w:rPr>
                <w:rFonts w:ascii="Calibri" w:eastAsia="Times New Roman" w:hAnsi="Calibri" w:cs="Calibri"/>
                <w:sz w:val="20"/>
                <w:szCs w:val="20"/>
                <w:lang w:eastAsia="en-GB"/>
              </w:rPr>
              <w:t>Decision made on personal views</w:t>
            </w:r>
          </w:p>
        </w:tc>
        <w:tc>
          <w:tcPr>
            <w:tcW w:w="808" w:type="dxa"/>
            <w:tcBorders>
              <w:top w:val="single" w:sz="12" w:space="0" w:color="auto"/>
              <w:bottom w:val="single" w:sz="4" w:space="0" w:color="auto"/>
            </w:tcBorders>
            <w:shd w:val="clear" w:color="auto" w:fill="auto"/>
            <w:vAlign w:val="bottom"/>
            <w:hideMark/>
          </w:tcPr>
          <w:p w14:paraId="496E83C5" w14:textId="77777777" w:rsidR="0059551B" w:rsidRPr="003A044E" w:rsidRDefault="0059551B" w:rsidP="0059551B">
            <w:pPr>
              <w:spacing w:after="0" w:line="240" w:lineRule="auto"/>
              <w:jc w:val="right"/>
              <w:rPr>
                <w:rFonts w:ascii="Calibri" w:eastAsia="Times New Roman" w:hAnsi="Calibri" w:cs="Calibri"/>
                <w:sz w:val="20"/>
                <w:szCs w:val="20"/>
                <w:lang w:eastAsia="en-GB"/>
              </w:rPr>
            </w:pPr>
            <w:r w:rsidRPr="003A044E">
              <w:rPr>
                <w:rFonts w:ascii="Calibri" w:eastAsia="Times New Roman" w:hAnsi="Calibri" w:cs="Calibri"/>
                <w:sz w:val="20"/>
                <w:szCs w:val="20"/>
                <w:lang w:eastAsia="en-GB"/>
              </w:rPr>
              <w:t>195</w:t>
            </w:r>
          </w:p>
        </w:tc>
        <w:tc>
          <w:tcPr>
            <w:tcW w:w="907" w:type="dxa"/>
            <w:tcBorders>
              <w:top w:val="single" w:sz="12" w:space="0" w:color="auto"/>
              <w:bottom w:val="single" w:sz="4" w:space="0" w:color="auto"/>
              <w:right w:val="single" w:sz="12" w:space="0" w:color="auto"/>
            </w:tcBorders>
            <w:shd w:val="clear" w:color="auto" w:fill="auto"/>
            <w:noWrap/>
            <w:vAlign w:val="bottom"/>
            <w:hideMark/>
          </w:tcPr>
          <w:p w14:paraId="2FC1FA9A" w14:textId="77777777" w:rsidR="0059551B" w:rsidRPr="003A044E" w:rsidRDefault="0059551B" w:rsidP="0059551B">
            <w:pPr>
              <w:spacing w:after="0" w:line="240" w:lineRule="auto"/>
              <w:jc w:val="right"/>
              <w:rPr>
                <w:rFonts w:ascii="Calibri" w:eastAsia="Times New Roman" w:hAnsi="Calibri" w:cs="Calibri"/>
                <w:sz w:val="20"/>
                <w:szCs w:val="20"/>
                <w:lang w:eastAsia="en-GB"/>
              </w:rPr>
            </w:pPr>
            <w:r w:rsidRPr="003A044E">
              <w:rPr>
                <w:rFonts w:ascii="Calibri" w:eastAsia="Times New Roman" w:hAnsi="Calibri" w:cs="Calibri"/>
                <w:sz w:val="20"/>
                <w:szCs w:val="20"/>
                <w:lang w:eastAsia="en-GB"/>
              </w:rPr>
              <w:t>0.43</w:t>
            </w:r>
          </w:p>
        </w:tc>
        <w:tc>
          <w:tcPr>
            <w:tcW w:w="618" w:type="dxa"/>
            <w:tcBorders>
              <w:top w:val="single" w:sz="12" w:space="0" w:color="auto"/>
              <w:left w:val="single" w:sz="12" w:space="0" w:color="auto"/>
              <w:bottom w:val="single" w:sz="4" w:space="0" w:color="auto"/>
            </w:tcBorders>
            <w:shd w:val="clear" w:color="auto" w:fill="auto"/>
            <w:noWrap/>
            <w:vAlign w:val="bottom"/>
            <w:hideMark/>
          </w:tcPr>
          <w:p w14:paraId="3FB7BE36" w14:textId="77777777" w:rsidR="0059551B" w:rsidRPr="003A044E" w:rsidRDefault="0059551B" w:rsidP="0059551B">
            <w:pPr>
              <w:spacing w:after="0" w:line="240" w:lineRule="auto"/>
              <w:jc w:val="right"/>
              <w:rPr>
                <w:rFonts w:ascii="Calibri" w:eastAsia="Times New Roman" w:hAnsi="Calibri" w:cs="Calibri"/>
                <w:sz w:val="20"/>
                <w:szCs w:val="20"/>
                <w:lang w:eastAsia="en-GB"/>
              </w:rPr>
            </w:pPr>
            <w:r w:rsidRPr="003A044E">
              <w:rPr>
                <w:rFonts w:ascii="Calibri" w:eastAsia="Times New Roman" w:hAnsi="Calibri" w:cs="Calibri"/>
                <w:sz w:val="20"/>
                <w:szCs w:val="20"/>
                <w:lang w:eastAsia="en-GB"/>
              </w:rPr>
              <w:t>154</w:t>
            </w:r>
          </w:p>
        </w:tc>
        <w:tc>
          <w:tcPr>
            <w:tcW w:w="993" w:type="dxa"/>
            <w:tcBorders>
              <w:top w:val="single" w:sz="12" w:space="0" w:color="auto"/>
              <w:bottom w:val="single" w:sz="4" w:space="0" w:color="auto"/>
              <w:right w:val="single" w:sz="12" w:space="0" w:color="auto"/>
            </w:tcBorders>
            <w:shd w:val="clear" w:color="auto" w:fill="auto"/>
            <w:noWrap/>
            <w:vAlign w:val="bottom"/>
            <w:hideMark/>
          </w:tcPr>
          <w:p w14:paraId="0708F669" w14:textId="77777777" w:rsidR="0059551B" w:rsidRPr="003A044E" w:rsidRDefault="0059551B" w:rsidP="0059551B">
            <w:pPr>
              <w:spacing w:after="0" w:line="240" w:lineRule="auto"/>
              <w:jc w:val="right"/>
              <w:rPr>
                <w:rFonts w:ascii="Calibri" w:eastAsia="Times New Roman" w:hAnsi="Calibri" w:cs="Calibri"/>
                <w:sz w:val="20"/>
                <w:szCs w:val="20"/>
                <w:lang w:eastAsia="en-GB"/>
              </w:rPr>
            </w:pPr>
            <w:r w:rsidRPr="003A044E">
              <w:rPr>
                <w:rFonts w:ascii="Calibri" w:eastAsia="Times New Roman" w:hAnsi="Calibri" w:cs="Calibri"/>
                <w:sz w:val="20"/>
                <w:szCs w:val="20"/>
                <w:lang w:eastAsia="en-GB"/>
              </w:rPr>
              <w:t>0.37</w:t>
            </w:r>
          </w:p>
        </w:tc>
        <w:tc>
          <w:tcPr>
            <w:tcW w:w="567" w:type="dxa"/>
            <w:tcBorders>
              <w:top w:val="single" w:sz="12" w:space="0" w:color="auto"/>
              <w:left w:val="single" w:sz="12" w:space="0" w:color="auto"/>
              <w:bottom w:val="single" w:sz="4" w:space="0" w:color="auto"/>
            </w:tcBorders>
            <w:shd w:val="clear" w:color="auto" w:fill="auto"/>
            <w:noWrap/>
            <w:vAlign w:val="bottom"/>
            <w:hideMark/>
          </w:tcPr>
          <w:p w14:paraId="7DE1D6FC" w14:textId="77777777" w:rsidR="0059551B" w:rsidRPr="003A044E" w:rsidRDefault="0059551B" w:rsidP="0059551B">
            <w:pPr>
              <w:spacing w:after="0" w:line="240" w:lineRule="auto"/>
              <w:jc w:val="right"/>
              <w:rPr>
                <w:rFonts w:ascii="Calibri" w:eastAsia="Times New Roman" w:hAnsi="Calibri" w:cs="Calibri"/>
                <w:sz w:val="20"/>
                <w:szCs w:val="20"/>
                <w:lang w:eastAsia="en-GB"/>
              </w:rPr>
            </w:pPr>
            <w:r w:rsidRPr="003A044E">
              <w:rPr>
                <w:rFonts w:ascii="Calibri" w:eastAsia="Times New Roman" w:hAnsi="Calibri" w:cs="Calibri"/>
                <w:sz w:val="20"/>
                <w:szCs w:val="20"/>
                <w:lang w:eastAsia="en-GB"/>
              </w:rPr>
              <w:t>129</w:t>
            </w:r>
          </w:p>
        </w:tc>
        <w:tc>
          <w:tcPr>
            <w:tcW w:w="992" w:type="dxa"/>
            <w:tcBorders>
              <w:top w:val="single" w:sz="12" w:space="0" w:color="auto"/>
              <w:bottom w:val="single" w:sz="4" w:space="0" w:color="auto"/>
              <w:right w:val="single" w:sz="12" w:space="0" w:color="auto"/>
            </w:tcBorders>
            <w:shd w:val="clear" w:color="auto" w:fill="auto"/>
            <w:noWrap/>
            <w:vAlign w:val="bottom"/>
            <w:hideMark/>
          </w:tcPr>
          <w:p w14:paraId="5C016E44" w14:textId="77777777" w:rsidR="0059551B" w:rsidRPr="003A044E" w:rsidRDefault="0059551B" w:rsidP="0059551B">
            <w:pPr>
              <w:spacing w:after="0" w:line="240" w:lineRule="auto"/>
              <w:jc w:val="right"/>
              <w:rPr>
                <w:rFonts w:ascii="Calibri" w:eastAsia="Times New Roman" w:hAnsi="Calibri" w:cs="Calibri"/>
                <w:sz w:val="20"/>
                <w:szCs w:val="20"/>
                <w:lang w:eastAsia="en-GB"/>
              </w:rPr>
            </w:pPr>
            <w:r w:rsidRPr="003A044E">
              <w:rPr>
                <w:rFonts w:ascii="Calibri" w:eastAsia="Times New Roman" w:hAnsi="Calibri" w:cs="Calibri"/>
                <w:sz w:val="20"/>
                <w:szCs w:val="20"/>
                <w:lang w:eastAsia="en-GB"/>
              </w:rPr>
              <w:t>0.28</w:t>
            </w:r>
          </w:p>
        </w:tc>
        <w:tc>
          <w:tcPr>
            <w:tcW w:w="517" w:type="dxa"/>
            <w:tcBorders>
              <w:top w:val="single" w:sz="12" w:space="0" w:color="auto"/>
              <w:left w:val="single" w:sz="12" w:space="0" w:color="auto"/>
              <w:bottom w:val="single" w:sz="4" w:space="0" w:color="auto"/>
            </w:tcBorders>
            <w:shd w:val="clear" w:color="auto" w:fill="auto"/>
            <w:noWrap/>
            <w:vAlign w:val="bottom"/>
            <w:hideMark/>
          </w:tcPr>
          <w:p w14:paraId="3DF0161F" w14:textId="77777777" w:rsidR="0059551B" w:rsidRPr="003A044E" w:rsidRDefault="0059551B" w:rsidP="0059551B">
            <w:pPr>
              <w:spacing w:after="0" w:line="240" w:lineRule="auto"/>
              <w:jc w:val="right"/>
              <w:rPr>
                <w:rFonts w:ascii="Calibri" w:eastAsia="Times New Roman" w:hAnsi="Calibri" w:cs="Calibri"/>
                <w:sz w:val="20"/>
                <w:szCs w:val="20"/>
                <w:lang w:eastAsia="en-GB"/>
              </w:rPr>
            </w:pPr>
            <w:r w:rsidRPr="003A044E">
              <w:rPr>
                <w:rFonts w:ascii="Calibri" w:eastAsia="Times New Roman" w:hAnsi="Calibri" w:cs="Calibri"/>
                <w:sz w:val="20"/>
                <w:szCs w:val="20"/>
                <w:lang w:eastAsia="en-GB"/>
              </w:rPr>
              <w:t>478</w:t>
            </w:r>
          </w:p>
        </w:tc>
        <w:tc>
          <w:tcPr>
            <w:tcW w:w="1327" w:type="dxa"/>
            <w:tcBorders>
              <w:top w:val="single" w:sz="12" w:space="0" w:color="auto"/>
              <w:bottom w:val="single" w:sz="4" w:space="0" w:color="auto"/>
            </w:tcBorders>
            <w:shd w:val="clear" w:color="auto" w:fill="auto"/>
            <w:noWrap/>
            <w:vAlign w:val="bottom"/>
            <w:hideMark/>
          </w:tcPr>
          <w:p w14:paraId="3E8D80EC" w14:textId="77777777" w:rsidR="0059551B" w:rsidRPr="003A044E" w:rsidRDefault="0059551B" w:rsidP="0059551B">
            <w:pPr>
              <w:spacing w:after="0" w:line="240" w:lineRule="auto"/>
              <w:jc w:val="right"/>
              <w:rPr>
                <w:rFonts w:ascii="Calibri" w:eastAsia="Times New Roman" w:hAnsi="Calibri" w:cs="Calibri"/>
                <w:sz w:val="20"/>
                <w:szCs w:val="20"/>
                <w:lang w:eastAsia="en-GB"/>
              </w:rPr>
            </w:pPr>
            <w:r w:rsidRPr="003A044E">
              <w:rPr>
                <w:rFonts w:ascii="Calibri" w:eastAsia="Times New Roman" w:hAnsi="Calibri" w:cs="Calibri"/>
                <w:sz w:val="20"/>
                <w:szCs w:val="20"/>
                <w:lang w:eastAsia="en-GB"/>
              </w:rPr>
              <w:t>0.36</w:t>
            </w:r>
          </w:p>
        </w:tc>
      </w:tr>
      <w:tr w:rsidR="0059551B" w:rsidRPr="003A044E" w14:paraId="50E6AE37" w14:textId="77777777" w:rsidTr="00042353">
        <w:trPr>
          <w:trHeight w:val="397"/>
          <w:jc w:val="center"/>
        </w:trPr>
        <w:tc>
          <w:tcPr>
            <w:tcW w:w="1141" w:type="dxa"/>
            <w:vMerge/>
            <w:tcBorders>
              <w:top w:val="single" w:sz="4" w:space="0" w:color="auto"/>
              <w:bottom w:val="single" w:sz="4" w:space="0" w:color="auto"/>
            </w:tcBorders>
            <w:vAlign w:val="center"/>
            <w:hideMark/>
          </w:tcPr>
          <w:p w14:paraId="38B510B6" w14:textId="77777777" w:rsidR="0059551B" w:rsidRPr="003A044E" w:rsidRDefault="0059551B" w:rsidP="0059551B">
            <w:pPr>
              <w:spacing w:after="0" w:line="240" w:lineRule="auto"/>
              <w:rPr>
                <w:rFonts w:ascii="Calibri" w:eastAsia="Times New Roman" w:hAnsi="Calibri" w:cs="Calibri"/>
                <w:b/>
                <w:bCs/>
                <w:i/>
                <w:iCs/>
                <w:sz w:val="20"/>
                <w:szCs w:val="20"/>
                <w:lang w:eastAsia="en-GB"/>
              </w:rPr>
            </w:pPr>
          </w:p>
        </w:tc>
        <w:tc>
          <w:tcPr>
            <w:tcW w:w="2187" w:type="dxa"/>
            <w:tcBorders>
              <w:top w:val="single" w:sz="4" w:space="0" w:color="auto"/>
              <w:bottom w:val="single" w:sz="4" w:space="0" w:color="auto"/>
            </w:tcBorders>
            <w:shd w:val="clear" w:color="auto" w:fill="auto"/>
            <w:vAlign w:val="bottom"/>
            <w:hideMark/>
          </w:tcPr>
          <w:p w14:paraId="154EF774" w14:textId="77777777" w:rsidR="0059551B" w:rsidRPr="003A044E" w:rsidRDefault="0059551B" w:rsidP="0059551B">
            <w:pPr>
              <w:spacing w:after="0" w:line="240" w:lineRule="auto"/>
              <w:rPr>
                <w:rFonts w:ascii="Calibri" w:eastAsia="Times New Roman" w:hAnsi="Calibri" w:cs="Calibri"/>
                <w:sz w:val="20"/>
                <w:szCs w:val="20"/>
                <w:lang w:eastAsia="en-GB"/>
              </w:rPr>
            </w:pPr>
            <w:r w:rsidRPr="003A044E">
              <w:rPr>
                <w:rFonts w:ascii="Calibri" w:eastAsia="Times New Roman" w:hAnsi="Calibri" w:cs="Calibri"/>
                <w:sz w:val="20"/>
                <w:szCs w:val="20"/>
                <w:lang w:eastAsia="en-GB"/>
              </w:rPr>
              <w:t>Decision made on disfigurement concerns</w:t>
            </w:r>
          </w:p>
        </w:tc>
        <w:tc>
          <w:tcPr>
            <w:tcW w:w="808" w:type="dxa"/>
            <w:tcBorders>
              <w:top w:val="single" w:sz="4" w:space="0" w:color="auto"/>
              <w:bottom w:val="single" w:sz="4" w:space="0" w:color="auto"/>
            </w:tcBorders>
            <w:shd w:val="clear" w:color="auto" w:fill="auto"/>
            <w:vAlign w:val="bottom"/>
            <w:hideMark/>
          </w:tcPr>
          <w:p w14:paraId="1177CEBF" w14:textId="77777777" w:rsidR="0059551B" w:rsidRPr="003A044E" w:rsidRDefault="0059551B" w:rsidP="0059551B">
            <w:pPr>
              <w:spacing w:after="0" w:line="240" w:lineRule="auto"/>
              <w:jc w:val="right"/>
              <w:rPr>
                <w:rFonts w:ascii="Calibri" w:eastAsia="Times New Roman" w:hAnsi="Calibri" w:cs="Calibri"/>
                <w:sz w:val="20"/>
                <w:szCs w:val="20"/>
                <w:lang w:eastAsia="en-GB"/>
              </w:rPr>
            </w:pPr>
            <w:r w:rsidRPr="003A044E">
              <w:rPr>
                <w:rFonts w:ascii="Calibri" w:eastAsia="Times New Roman" w:hAnsi="Calibri" w:cs="Calibri"/>
                <w:sz w:val="20"/>
                <w:szCs w:val="20"/>
                <w:lang w:eastAsia="en-GB"/>
              </w:rPr>
              <w:t>186</w:t>
            </w:r>
          </w:p>
        </w:tc>
        <w:tc>
          <w:tcPr>
            <w:tcW w:w="907" w:type="dxa"/>
            <w:tcBorders>
              <w:top w:val="single" w:sz="4" w:space="0" w:color="auto"/>
              <w:bottom w:val="single" w:sz="4" w:space="0" w:color="auto"/>
              <w:right w:val="single" w:sz="12" w:space="0" w:color="auto"/>
            </w:tcBorders>
            <w:shd w:val="clear" w:color="auto" w:fill="auto"/>
            <w:noWrap/>
            <w:vAlign w:val="bottom"/>
            <w:hideMark/>
          </w:tcPr>
          <w:p w14:paraId="3C43324E" w14:textId="77777777" w:rsidR="0059551B" w:rsidRPr="003A044E" w:rsidRDefault="0059551B" w:rsidP="0059551B">
            <w:pPr>
              <w:spacing w:after="0" w:line="240" w:lineRule="auto"/>
              <w:jc w:val="right"/>
              <w:rPr>
                <w:rFonts w:ascii="Calibri" w:eastAsia="Times New Roman" w:hAnsi="Calibri" w:cs="Calibri"/>
                <w:sz w:val="20"/>
                <w:szCs w:val="20"/>
                <w:lang w:eastAsia="en-GB"/>
              </w:rPr>
            </w:pPr>
            <w:r w:rsidRPr="003A044E">
              <w:rPr>
                <w:rFonts w:ascii="Calibri" w:eastAsia="Times New Roman" w:hAnsi="Calibri" w:cs="Calibri"/>
                <w:sz w:val="20"/>
                <w:szCs w:val="20"/>
                <w:lang w:eastAsia="en-GB"/>
              </w:rPr>
              <w:t>0.41</w:t>
            </w:r>
          </w:p>
        </w:tc>
        <w:tc>
          <w:tcPr>
            <w:tcW w:w="618" w:type="dxa"/>
            <w:tcBorders>
              <w:top w:val="single" w:sz="4" w:space="0" w:color="auto"/>
              <w:left w:val="single" w:sz="12" w:space="0" w:color="auto"/>
              <w:bottom w:val="single" w:sz="4" w:space="0" w:color="auto"/>
            </w:tcBorders>
            <w:shd w:val="clear" w:color="auto" w:fill="auto"/>
            <w:noWrap/>
            <w:vAlign w:val="bottom"/>
            <w:hideMark/>
          </w:tcPr>
          <w:p w14:paraId="78EDA7A9" w14:textId="77777777" w:rsidR="0059551B" w:rsidRPr="003A044E" w:rsidRDefault="0059551B" w:rsidP="0059551B">
            <w:pPr>
              <w:spacing w:after="0" w:line="240" w:lineRule="auto"/>
              <w:jc w:val="right"/>
              <w:rPr>
                <w:rFonts w:ascii="Calibri" w:eastAsia="Times New Roman" w:hAnsi="Calibri" w:cs="Calibri"/>
                <w:sz w:val="20"/>
                <w:szCs w:val="20"/>
                <w:lang w:eastAsia="en-GB"/>
              </w:rPr>
            </w:pPr>
            <w:r w:rsidRPr="003A044E">
              <w:rPr>
                <w:rFonts w:ascii="Calibri" w:eastAsia="Times New Roman" w:hAnsi="Calibri" w:cs="Calibri"/>
                <w:sz w:val="20"/>
                <w:szCs w:val="20"/>
                <w:lang w:eastAsia="en-GB"/>
              </w:rPr>
              <w:t>180</w:t>
            </w:r>
          </w:p>
        </w:tc>
        <w:tc>
          <w:tcPr>
            <w:tcW w:w="993" w:type="dxa"/>
            <w:tcBorders>
              <w:top w:val="single" w:sz="4" w:space="0" w:color="auto"/>
              <w:bottom w:val="single" w:sz="4" w:space="0" w:color="auto"/>
              <w:right w:val="single" w:sz="12" w:space="0" w:color="auto"/>
            </w:tcBorders>
            <w:shd w:val="clear" w:color="auto" w:fill="auto"/>
            <w:noWrap/>
            <w:vAlign w:val="bottom"/>
            <w:hideMark/>
          </w:tcPr>
          <w:p w14:paraId="5045E99E" w14:textId="77777777" w:rsidR="0059551B" w:rsidRPr="003A044E" w:rsidRDefault="0059551B" w:rsidP="0059551B">
            <w:pPr>
              <w:spacing w:after="0" w:line="240" w:lineRule="auto"/>
              <w:jc w:val="right"/>
              <w:rPr>
                <w:rFonts w:ascii="Calibri" w:eastAsia="Times New Roman" w:hAnsi="Calibri" w:cs="Calibri"/>
                <w:sz w:val="20"/>
                <w:szCs w:val="20"/>
                <w:lang w:eastAsia="en-GB"/>
              </w:rPr>
            </w:pPr>
            <w:r w:rsidRPr="003A044E">
              <w:rPr>
                <w:rFonts w:ascii="Calibri" w:eastAsia="Times New Roman" w:hAnsi="Calibri" w:cs="Calibri"/>
                <w:sz w:val="20"/>
                <w:szCs w:val="20"/>
                <w:lang w:eastAsia="en-GB"/>
              </w:rPr>
              <w:t>0.43</w:t>
            </w:r>
          </w:p>
        </w:tc>
        <w:tc>
          <w:tcPr>
            <w:tcW w:w="567" w:type="dxa"/>
            <w:tcBorders>
              <w:top w:val="single" w:sz="4" w:space="0" w:color="auto"/>
              <w:left w:val="single" w:sz="12" w:space="0" w:color="auto"/>
              <w:bottom w:val="single" w:sz="4" w:space="0" w:color="auto"/>
            </w:tcBorders>
            <w:shd w:val="clear" w:color="auto" w:fill="auto"/>
            <w:noWrap/>
            <w:vAlign w:val="bottom"/>
            <w:hideMark/>
          </w:tcPr>
          <w:p w14:paraId="2520298B" w14:textId="77777777" w:rsidR="0059551B" w:rsidRPr="003A044E" w:rsidRDefault="0059551B" w:rsidP="0059551B">
            <w:pPr>
              <w:spacing w:after="0" w:line="240" w:lineRule="auto"/>
              <w:jc w:val="right"/>
              <w:rPr>
                <w:rFonts w:ascii="Calibri" w:eastAsia="Times New Roman" w:hAnsi="Calibri" w:cs="Calibri"/>
                <w:sz w:val="20"/>
                <w:szCs w:val="20"/>
                <w:lang w:eastAsia="en-GB"/>
              </w:rPr>
            </w:pPr>
            <w:r w:rsidRPr="003A044E">
              <w:rPr>
                <w:rFonts w:ascii="Calibri" w:eastAsia="Times New Roman" w:hAnsi="Calibri" w:cs="Calibri"/>
                <w:sz w:val="20"/>
                <w:szCs w:val="20"/>
                <w:lang w:eastAsia="en-GB"/>
              </w:rPr>
              <w:t>222</w:t>
            </w:r>
          </w:p>
        </w:tc>
        <w:tc>
          <w:tcPr>
            <w:tcW w:w="992" w:type="dxa"/>
            <w:tcBorders>
              <w:top w:val="single" w:sz="4" w:space="0" w:color="auto"/>
              <w:bottom w:val="single" w:sz="4" w:space="0" w:color="auto"/>
              <w:right w:val="single" w:sz="12" w:space="0" w:color="auto"/>
            </w:tcBorders>
            <w:shd w:val="clear" w:color="auto" w:fill="auto"/>
            <w:noWrap/>
            <w:vAlign w:val="bottom"/>
            <w:hideMark/>
          </w:tcPr>
          <w:p w14:paraId="5DE6767C" w14:textId="77777777" w:rsidR="0059551B" w:rsidRPr="003A044E" w:rsidRDefault="0059551B" w:rsidP="0059551B">
            <w:pPr>
              <w:spacing w:after="0" w:line="240" w:lineRule="auto"/>
              <w:jc w:val="right"/>
              <w:rPr>
                <w:rFonts w:ascii="Calibri" w:eastAsia="Times New Roman" w:hAnsi="Calibri" w:cs="Calibri"/>
                <w:sz w:val="20"/>
                <w:szCs w:val="20"/>
                <w:lang w:eastAsia="en-GB"/>
              </w:rPr>
            </w:pPr>
            <w:r w:rsidRPr="003A044E">
              <w:rPr>
                <w:rFonts w:ascii="Calibri" w:eastAsia="Times New Roman" w:hAnsi="Calibri" w:cs="Calibri"/>
                <w:sz w:val="20"/>
                <w:szCs w:val="20"/>
                <w:lang w:eastAsia="en-GB"/>
              </w:rPr>
              <w:t>0.48</w:t>
            </w:r>
          </w:p>
        </w:tc>
        <w:tc>
          <w:tcPr>
            <w:tcW w:w="517" w:type="dxa"/>
            <w:tcBorders>
              <w:top w:val="single" w:sz="4" w:space="0" w:color="auto"/>
              <w:left w:val="single" w:sz="12" w:space="0" w:color="auto"/>
              <w:bottom w:val="single" w:sz="4" w:space="0" w:color="auto"/>
            </w:tcBorders>
            <w:shd w:val="clear" w:color="auto" w:fill="auto"/>
            <w:noWrap/>
            <w:vAlign w:val="bottom"/>
            <w:hideMark/>
          </w:tcPr>
          <w:p w14:paraId="6D5C6DB4" w14:textId="77777777" w:rsidR="0059551B" w:rsidRPr="003A044E" w:rsidRDefault="0059551B" w:rsidP="0059551B">
            <w:pPr>
              <w:spacing w:after="0" w:line="240" w:lineRule="auto"/>
              <w:jc w:val="right"/>
              <w:rPr>
                <w:rFonts w:ascii="Calibri" w:eastAsia="Times New Roman" w:hAnsi="Calibri" w:cs="Calibri"/>
                <w:sz w:val="20"/>
                <w:szCs w:val="20"/>
                <w:lang w:eastAsia="en-GB"/>
              </w:rPr>
            </w:pPr>
            <w:r w:rsidRPr="003A044E">
              <w:rPr>
                <w:rFonts w:ascii="Calibri" w:eastAsia="Times New Roman" w:hAnsi="Calibri" w:cs="Calibri"/>
                <w:sz w:val="20"/>
                <w:szCs w:val="20"/>
                <w:lang w:eastAsia="en-GB"/>
              </w:rPr>
              <w:t>588</w:t>
            </w:r>
          </w:p>
        </w:tc>
        <w:tc>
          <w:tcPr>
            <w:tcW w:w="1327" w:type="dxa"/>
            <w:tcBorders>
              <w:top w:val="single" w:sz="4" w:space="0" w:color="auto"/>
              <w:bottom w:val="single" w:sz="4" w:space="0" w:color="auto"/>
            </w:tcBorders>
            <w:shd w:val="clear" w:color="auto" w:fill="auto"/>
            <w:noWrap/>
            <w:vAlign w:val="bottom"/>
            <w:hideMark/>
          </w:tcPr>
          <w:p w14:paraId="0DE9797F" w14:textId="77777777" w:rsidR="0059551B" w:rsidRPr="003A044E" w:rsidRDefault="0059551B" w:rsidP="0059551B">
            <w:pPr>
              <w:spacing w:after="0" w:line="240" w:lineRule="auto"/>
              <w:jc w:val="right"/>
              <w:rPr>
                <w:rFonts w:ascii="Calibri" w:eastAsia="Times New Roman" w:hAnsi="Calibri" w:cs="Calibri"/>
                <w:sz w:val="20"/>
                <w:szCs w:val="20"/>
                <w:lang w:eastAsia="en-GB"/>
              </w:rPr>
            </w:pPr>
            <w:r w:rsidRPr="003A044E">
              <w:rPr>
                <w:rFonts w:ascii="Calibri" w:eastAsia="Times New Roman" w:hAnsi="Calibri" w:cs="Calibri"/>
                <w:sz w:val="20"/>
                <w:szCs w:val="20"/>
                <w:lang w:eastAsia="en-GB"/>
              </w:rPr>
              <w:t>0.44</w:t>
            </w:r>
          </w:p>
        </w:tc>
      </w:tr>
      <w:tr w:rsidR="0059551B" w:rsidRPr="003A044E" w14:paraId="245C06E4" w14:textId="77777777" w:rsidTr="00042353">
        <w:trPr>
          <w:trHeight w:val="416"/>
          <w:jc w:val="center"/>
        </w:trPr>
        <w:tc>
          <w:tcPr>
            <w:tcW w:w="1141" w:type="dxa"/>
            <w:vMerge/>
            <w:tcBorders>
              <w:top w:val="single" w:sz="4" w:space="0" w:color="auto"/>
              <w:bottom w:val="single" w:sz="4" w:space="0" w:color="auto"/>
            </w:tcBorders>
            <w:vAlign w:val="center"/>
            <w:hideMark/>
          </w:tcPr>
          <w:p w14:paraId="3CB64CD9" w14:textId="77777777" w:rsidR="0059551B" w:rsidRPr="003A044E" w:rsidRDefault="0059551B" w:rsidP="0059551B">
            <w:pPr>
              <w:spacing w:after="0" w:line="240" w:lineRule="auto"/>
              <w:rPr>
                <w:rFonts w:ascii="Calibri" w:eastAsia="Times New Roman" w:hAnsi="Calibri" w:cs="Calibri"/>
                <w:b/>
                <w:bCs/>
                <w:i/>
                <w:iCs/>
                <w:sz w:val="20"/>
                <w:szCs w:val="20"/>
                <w:lang w:eastAsia="en-GB"/>
              </w:rPr>
            </w:pPr>
          </w:p>
        </w:tc>
        <w:tc>
          <w:tcPr>
            <w:tcW w:w="2187" w:type="dxa"/>
            <w:tcBorders>
              <w:top w:val="single" w:sz="4" w:space="0" w:color="auto"/>
              <w:bottom w:val="single" w:sz="4" w:space="0" w:color="auto"/>
            </w:tcBorders>
            <w:shd w:val="clear" w:color="auto" w:fill="auto"/>
            <w:vAlign w:val="bottom"/>
            <w:hideMark/>
          </w:tcPr>
          <w:p w14:paraId="38AEE4A5" w14:textId="77777777" w:rsidR="0059551B" w:rsidRPr="003A044E" w:rsidRDefault="0059551B" w:rsidP="0059551B">
            <w:pPr>
              <w:spacing w:after="0" w:line="240" w:lineRule="auto"/>
              <w:rPr>
                <w:rFonts w:ascii="Calibri" w:eastAsia="Times New Roman" w:hAnsi="Calibri" w:cs="Calibri"/>
                <w:sz w:val="20"/>
                <w:szCs w:val="20"/>
                <w:lang w:eastAsia="en-GB"/>
              </w:rPr>
            </w:pPr>
            <w:r w:rsidRPr="003A044E">
              <w:rPr>
                <w:rFonts w:ascii="Calibri" w:eastAsia="Times New Roman" w:hAnsi="Calibri" w:cs="Calibri"/>
                <w:sz w:val="20"/>
                <w:szCs w:val="20"/>
                <w:lang w:eastAsia="en-GB"/>
              </w:rPr>
              <w:t>Decision made on current physical/emotional state</w:t>
            </w:r>
          </w:p>
        </w:tc>
        <w:tc>
          <w:tcPr>
            <w:tcW w:w="808" w:type="dxa"/>
            <w:tcBorders>
              <w:top w:val="single" w:sz="4" w:space="0" w:color="auto"/>
              <w:bottom w:val="single" w:sz="4" w:space="0" w:color="auto"/>
            </w:tcBorders>
            <w:shd w:val="clear" w:color="auto" w:fill="auto"/>
            <w:vAlign w:val="bottom"/>
            <w:hideMark/>
          </w:tcPr>
          <w:p w14:paraId="2886502E" w14:textId="77777777" w:rsidR="0059551B" w:rsidRPr="003A044E" w:rsidRDefault="0059551B" w:rsidP="0059551B">
            <w:pPr>
              <w:spacing w:after="0" w:line="240" w:lineRule="auto"/>
              <w:jc w:val="right"/>
              <w:rPr>
                <w:rFonts w:ascii="Calibri" w:eastAsia="Times New Roman" w:hAnsi="Calibri" w:cs="Calibri"/>
                <w:sz w:val="20"/>
                <w:szCs w:val="20"/>
                <w:lang w:eastAsia="en-GB"/>
              </w:rPr>
            </w:pPr>
            <w:r w:rsidRPr="003A044E">
              <w:rPr>
                <w:rFonts w:ascii="Calibri" w:eastAsia="Times New Roman" w:hAnsi="Calibri" w:cs="Calibri"/>
                <w:sz w:val="20"/>
                <w:szCs w:val="20"/>
                <w:lang w:eastAsia="en-GB"/>
              </w:rPr>
              <w:t>13</w:t>
            </w:r>
          </w:p>
        </w:tc>
        <w:tc>
          <w:tcPr>
            <w:tcW w:w="907" w:type="dxa"/>
            <w:tcBorders>
              <w:top w:val="single" w:sz="4" w:space="0" w:color="auto"/>
              <w:bottom w:val="single" w:sz="4" w:space="0" w:color="auto"/>
              <w:right w:val="single" w:sz="12" w:space="0" w:color="auto"/>
            </w:tcBorders>
            <w:shd w:val="clear" w:color="auto" w:fill="auto"/>
            <w:noWrap/>
            <w:vAlign w:val="bottom"/>
            <w:hideMark/>
          </w:tcPr>
          <w:p w14:paraId="43BEBE11" w14:textId="77777777" w:rsidR="0059551B" w:rsidRPr="003A044E" w:rsidRDefault="0059551B" w:rsidP="0059551B">
            <w:pPr>
              <w:spacing w:after="0" w:line="240" w:lineRule="auto"/>
              <w:jc w:val="right"/>
              <w:rPr>
                <w:rFonts w:ascii="Calibri" w:eastAsia="Times New Roman" w:hAnsi="Calibri" w:cs="Calibri"/>
                <w:sz w:val="20"/>
                <w:szCs w:val="20"/>
                <w:lang w:eastAsia="en-GB"/>
              </w:rPr>
            </w:pPr>
            <w:r w:rsidRPr="003A044E">
              <w:rPr>
                <w:rFonts w:ascii="Calibri" w:eastAsia="Times New Roman" w:hAnsi="Calibri" w:cs="Calibri"/>
                <w:sz w:val="20"/>
                <w:szCs w:val="20"/>
                <w:lang w:eastAsia="en-GB"/>
              </w:rPr>
              <w:t>0.03</w:t>
            </w:r>
          </w:p>
        </w:tc>
        <w:tc>
          <w:tcPr>
            <w:tcW w:w="618" w:type="dxa"/>
            <w:tcBorders>
              <w:top w:val="single" w:sz="4" w:space="0" w:color="auto"/>
              <w:left w:val="single" w:sz="12" w:space="0" w:color="auto"/>
              <w:bottom w:val="single" w:sz="4" w:space="0" w:color="auto"/>
            </w:tcBorders>
            <w:shd w:val="clear" w:color="auto" w:fill="auto"/>
            <w:noWrap/>
            <w:vAlign w:val="bottom"/>
            <w:hideMark/>
          </w:tcPr>
          <w:p w14:paraId="078E655A" w14:textId="77777777" w:rsidR="0059551B" w:rsidRPr="003A044E" w:rsidRDefault="0059551B" w:rsidP="0059551B">
            <w:pPr>
              <w:spacing w:after="0" w:line="240" w:lineRule="auto"/>
              <w:jc w:val="right"/>
              <w:rPr>
                <w:rFonts w:ascii="Calibri" w:eastAsia="Times New Roman" w:hAnsi="Calibri" w:cs="Calibri"/>
                <w:sz w:val="20"/>
                <w:szCs w:val="20"/>
                <w:lang w:eastAsia="en-GB"/>
              </w:rPr>
            </w:pPr>
            <w:r w:rsidRPr="003A044E">
              <w:rPr>
                <w:rFonts w:ascii="Calibri" w:eastAsia="Times New Roman" w:hAnsi="Calibri" w:cs="Calibri"/>
                <w:sz w:val="20"/>
                <w:szCs w:val="20"/>
                <w:lang w:eastAsia="en-GB"/>
              </w:rPr>
              <w:t>12</w:t>
            </w:r>
          </w:p>
        </w:tc>
        <w:tc>
          <w:tcPr>
            <w:tcW w:w="993" w:type="dxa"/>
            <w:tcBorders>
              <w:top w:val="single" w:sz="4" w:space="0" w:color="auto"/>
              <w:bottom w:val="single" w:sz="4" w:space="0" w:color="auto"/>
              <w:right w:val="single" w:sz="12" w:space="0" w:color="auto"/>
            </w:tcBorders>
            <w:shd w:val="clear" w:color="auto" w:fill="auto"/>
            <w:noWrap/>
            <w:vAlign w:val="bottom"/>
            <w:hideMark/>
          </w:tcPr>
          <w:p w14:paraId="7CD2D2A2" w14:textId="77777777" w:rsidR="0059551B" w:rsidRPr="003A044E" w:rsidRDefault="0059551B" w:rsidP="0059551B">
            <w:pPr>
              <w:spacing w:after="0" w:line="240" w:lineRule="auto"/>
              <w:jc w:val="right"/>
              <w:rPr>
                <w:rFonts w:ascii="Calibri" w:eastAsia="Times New Roman" w:hAnsi="Calibri" w:cs="Calibri"/>
                <w:sz w:val="20"/>
                <w:szCs w:val="20"/>
                <w:lang w:eastAsia="en-GB"/>
              </w:rPr>
            </w:pPr>
            <w:r w:rsidRPr="003A044E">
              <w:rPr>
                <w:rFonts w:ascii="Calibri" w:eastAsia="Times New Roman" w:hAnsi="Calibri" w:cs="Calibri"/>
                <w:sz w:val="20"/>
                <w:szCs w:val="20"/>
                <w:lang w:eastAsia="en-GB"/>
              </w:rPr>
              <w:t>0.03</w:t>
            </w:r>
          </w:p>
        </w:tc>
        <w:tc>
          <w:tcPr>
            <w:tcW w:w="567" w:type="dxa"/>
            <w:tcBorders>
              <w:top w:val="single" w:sz="4" w:space="0" w:color="auto"/>
              <w:left w:val="single" w:sz="12" w:space="0" w:color="auto"/>
              <w:bottom w:val="single" w:sz="4" w:space="0" w:color="auto"/>
            </w:tcBorders>
            <w:shd w:val="clear" w:color="auto" w:fill="auto"/>
            <w:noWrap/>
            <w:vAlign w:val="bottom"/>
            <w:hideMark/>
          </w:tcPr>
          <w:p w14:paraId="3EE77FBF" w14:textId="77777777" w:rsidR="0059551B" w:rsidRPr="003A044E" w:rsidRDefault="0059551B" w:rsidP="0059551B">
            <w:pPr>
              <w:spacing w:after="0" w:line="240" w:lineRule="auto"/>
              <w:jc w:val="right"/>
              <w:rPr>
                <w:rFonts w:ascii="Calibri" w:eastAsia="Times New Roman" w:hAnsi="Calibri" w:cs="Calibri"/>
                <w:sz w:val="20"/>
                <w:szCs w:val="20"/>
                <w:lang w:eastAsia="en-GB"/>
              </w:rPr>
            </w:pPr>
            <w:r w:rsidRPr="003A044E">
              <w:rPr>
                <w:rFonts w:ascii="Calibri" w:eastAsia="Times New Roman" w:hAnsi="Calibri" w:cs="Calibri"/>
                <w:sz w:val="20"/>
                <w:szCs w:val="20"/>
                <w:lang w:eastAsia="en-GB"/>
              </w:rPr>
              <w:t>27</w:t>
            </w:r>
          </w:p>
        </w:tc>
        <w:tc>
          <w:tcPr>
            <w:tcW w:w="992" w:type="dxa"/>
            <w:tcBorders>
              <w:top w:val="single" w:sz="4" w:space="0" w:color="auto"/>
              <w:bottom w:val="single" w:sz="4" w:space="0" w:color="auto"/>
              <w:right w:val="single" w:sz="12" w:space="0" w:color="auto"/>
            </w:tcBorders>
            <w:shd w:val="clear" w:color="auto" w:fill="auto"/>
            <w:noWrap/>
            <w:vAlign w:val="bottom"/>
            <w:hideMark/>
          </w:tcPr>
          <w:p w14:paraId="521C95A2" w14:textId="77777777" w:rsidR="0059551B" w:rsidRPr="003A044E" w:rsidRDefault="0059551B" w:rsidP="0059551B">
            <w:pPr>
              <w:spacing w:after="0" w:line="240" w:lineRule="auto"/>
              <w:jc w:val="right"/>
              <w:rPr>
                <w:rFonts w:ascii="Calibri" w:eastAsia="Times New Roman" w:hAnsi="Calibri" w:cs="Calibri"/>
                <w:sz w:val="20"/>
                <w:szCs w:val="20"/>
                <w:lang w:eastAsia="en-GB"/>
              </w:rPr>
            </w:pPr>
            <w:r w:rsidRPr="003A044E">
              <w:rPr>
                <w:rFonts w:ascii="Calibri" w:eastAsia="Times New Roman" w:hAnsi="Calibri" w:cs="Calibri"/>
                <w:sz w:val="20"/>
                <w:szCs w:val="20"/>
                <w:lang w:eastAsia="en-GB"/>
              </w:rPr>
              <w:t>0.06</w:t>
            </w:r>
          </w:p>
        </w:tc>
        <w:tc>
          <w:tcPr>
            <w:tcW w:w="517" w:type="dxa"/>
            <w:tcBorders>
              <w:top w:val="single" w:sz="4" w:space="0" w:color="auto"/>
              <w:left w:val="single" w:sz="12" w:space="0" w:color="auto"/>
              <w:bottom w:val="single" w:sz="4" w:space="0" w:color="auto"/>
            </w:tcBorders>
            <w:shd w:val="clear" w:color="auto" w:fill="auto"/>
            <w:noWrap/>
            <w:vAlign w:val="bottom"/>
            <w:hideMark/>
          </w:tcPr>
          <w:p w14:paraId="2DA53A20" w14:textId="77777777" w:rsidR="0059551B" w:rsidRPr="003A044E" w:rsidRDefault="0059551B" w:rsidP="0059551B">
            <w:pPr>
              <w:spacing w:after="0" w:line="240" w:lineRule="auto"/>
              <w:jc w:val="right"/>
              <w:rPr>
                <w:rFonts w:ascii="Calibri" w:eastAsia="Times New Roman" w:hAnsi="Calibri" w:cs="Calibri"/>
                <w:sz w:val="20"/>
                <w:szCs w:val="20"/>
                <w:lang w:eastAsia="en-GB"/>
              </w:rPr>
            </w:pPr>
            <w:r w:rsidRPr="003A044E">
              <w:rPr>
                <w:rFonts w:ascii="Calibri" w:eastAsia="Times New Roman" w:hAnsi="Calibri" w:cs="Calibri"/>
                <w:sz w:val="20"/>
                <w:szCs w:val="20"/>
                <w:lang w:eastAsia="en-GB"/>
              </w:rPr>
              <w:t>52</w:t>
            </w:r>
          </w:p>
        </w:tc>
        <w:tc>
          <w:tcPr>
            <w:tcW w:w="1327" w:type="dxa"/>
            <w:tcBorders>
              <w:top w:val="single" w:sz="4" w:space="0" w:color="auto"/>
              <w:bottom w:val="single" w:sz="4" w:space="0" w:color="auto"/>
            </w:tcBorders>
            <w:shd w:val="clear" w:color="auto" w:fill="auto"/>
            <w:noWrap/>
            <w:vAlign w:val="bottom"/>
            <w:hideMark/>
          </w:tcPr>
          <w:p w14:paraId="36B3A209" w14:textId="77777777" w:rsidR="0059551B" w:rsidRPr="003A044E" w:rsidRDefault="0059551B" w:rsidP="0059551B">
            <w:pPr>
              <w:spacing w:after="0" w:line="240" w:lineRule="auto"/>
              <w:jc w:val="right"/>
              <w:rPr>
                <w:rFonts w:ascii="Calibri" w:eastAsia="Times New Roman" w:hAnsi="Calibri" w:cs="Calibri"/>
                <w:sz w:val="20"/>
                <w:szCs w:val="20"/>
                <w:lang w:eastAsia="en-GB"/>
              </w:rPr>
            </w:pPr>
            <w:r w:rsidRPr="003A044E">
              <w:rPr>
                <w:rFonts w:ascii="Calibri" w:eastAsia="Times New Roman" w:hAnsi="Calibri" w:cs="Calibri"/>
                <w:sz w:val="20"/>
                <w:szCs w:val="20"/>
                <w:lang w:eastAsia="en-GB"/>
              </w:rPr>
              <w:t>0.04</w:t>
            </w:r>
          </w:p>
        </w:tc>
      </w:tr>
      <w:tr w:rsidR="0059551B" w:rsidRPr="003A044E" w14:paraId="745A6598" w14:textId="77777777" w:rsidTr="00042353">
        <w:trPr>
          <w:trHeight w:val="564"/>
          <w:jc w:val="center"/>
        </w:trPr>
        <w:tc>
          <w:tcPr>
            <w:tcW w:w="1141" w:type="dxa"/>
            <w:vMerge/>
            <w:tcBorders>
              <w:top w:val="single" w:sz="4" w:space="0" w:color="auto"/>
              <w:bottom w:val="single" w:sz="4" w:space="0" w:color="auto"/>
            </w:tcBorders>
            <w:vAlign w:val="center"/>
            <w:hideMark/>
          </w:tcPr>
          <w:p w14:paraId="79812793" w14:textId="77777777" w:rsidR="0059551B" w:rsidRPr="003A044E" w:rsidRDefault="0059551B" w:rsidP="0059551B">
            <w:pPr>
              <w:spacing w:after="0" w:line="240" w:lineRule="auto"/>
              <w:rPr>
                <w:rFonts w:ascii="Calibri" w:eastAsia="Times New Roman" w:hAnsi="Calibri" w:cs="Calibri"/>
                <w:b/>
                <w:bCs/>
                <w:i/>
                <w:iCs/>
                <w:sz w:val="20"/>
                <w:szCs w:val="20"/>
                <w:lang w:eastAsia="en-GB"/>
              </w:rPr>
            </w:pPr>
          </w:p>
        </w:tc>
        <w:tc>
          <w:tcPr>
            <w:tcW w:w="2187" w:type="dxa"/>
            <w:tcBorders>
              <w:top w:val="single" w:sz="4" w:space="0" w:color="auto"/>
              <w:bottom w:val="single" w:sz="4" w:space="0" w:color="auto"/>
            </w:tcBorders>
            <w:shd w:val="clear" w:color="auto" w:fill="auto"/>
            <w:vAlign w:val="bottom"/>
            <w:hideMark/>
          </w:tcPr>
          <w:p w14:paraId="6AD82EEE" w14:textId="77777777" w:rsidR="0059551B" w:rsidRPr="003A044E" w:rsidRDefault="0059551B" w:rsidP="0059551B">
            <w:pPr>
              <w:spacing w:after="0" w:line="240" w:lineRule="auto"/>
              <w:rPr>
                <w:rFonts w:ascii="Calibri" w:eastAsia="Times New Roman" w:hAnsi="Calibri" w:cs="Calibri"/>
                <w:sz w:val="20"/>
                <w:szCs w:val="20"/>
                <w:lang w:eastAsia="en-GB"/>
              </w:rPr>
            </w:pPr>
            <w:r w:rsidRPr="003A044E">
              <w:rPr>
                <w:rFonts w:ascii="Calibri" w:eastAsia="Times New Roman" w:hAnsi="Calibri" w:cs="Calibri"/>
                <w:sz w:val="20"/>
                <w:szCs w:val="20"/>
                <w:lang w:eastAsia="en-GB"/>
              </w:rPr>
              <w:t>Decision made on religious/cultural/spiritual grounds</w:t>
            </w:r>
          </w:p>
        </w:tc>
        <w:tc>
          <w:tcPr>
            <w:tcW w:w="808" w:type="dxa"/>
            <w:tcBorders>
              <w:top w:val="single" w:sz="4" w:space="0" w:color="auto"/>
              <w:bottom w:val="single" w:sz="4" w:space="0" w:color="auto"/>
            </w:tcBorders>
            <w:shd w:val="clear" w:color="auto" w:fill="auto"/>
            <w:vAlign w:val="bottom"/>
            <w:hideMark/>
          </w:tcPr>
          <w:p w14:paraId="028D5C79" w14:textId="77777777" w:rsidR="0059551B" w:rsidRPr="003A044E" w:rsidRDefault="0059551B" w:rsidP="0059551B">
            <w:pPr>
              <w:spacing w:after="0" w:line="240" w:lineRule="auto"/>
              <w:jc w:val="right"/>
              <w:rPr>
                <w:rFonts w:ascii="Calibri" w:eastAsia="Times New Roman" w:hAnsi="Calibri" w:cs="Calibri"/>
                <w:sz w:val="20"/>
                <w:szCs w:val="20"/>
                <w:lang w:eastAsia="en-GB"/>
              </w:rPr>
            </w:pPr>
            <w:r w:rsidRPr="003A044E">
              <w:rPr>
                <w:rFonts w:ascii="Calibri" w:eastAsia="Times New Roman" w:hAnsi="Calibri" w:cs="Calibri"/>
                <w:sz w:val="20"/>
                <w:szCs w:val="20"/>
                <w:lang w:eastAsia="en-GB"/>
              </w:rPr>
              <w:t>4</w:t>
            </w:r>
          </w:p>
        </w:tc>
        <w:tc>
          <w:tcPr>
            <w:tcW w:w="907" w:type="dxa"/>
            <w:tcBorders>
              <w:top w:val="single" w:sz="4" w:space="0" w:color="auto"/>
              <w:bottom w:val="single" w:sz="4" w:space="0" w:color="auto"/>
              <w:right w:val="single" w:sz="12" w:space="0" w:color="auto"/>
            </w:tcBorders>
            <w:shd w:val="clear" w:color="auto" w:fill="auto"/>
            <w:noWrap/>
            <w:vAlign w:val="bottom"/>
            <w:hideMark/>
          </w:tcPr>
          <w:p w14:paraId="042132C0" w14:textId="77777777" w:rsidR="0059551B" w:rsidRPr="003A044E" w:rsidRDefault="0059551B" w:rsidP="0059551B">
            <w:pPr>
              <w:spacing w:after="0" w:line="240" w:lineRule="auto"/>
              <w:jc w:val="right"/>
              <w:rPr>
                <w:rFonts w:ascii="Calibri" w:eastAsia="Times New Roman" w:hAnsi="Calibri" w:cs="Calibri"/>
                <w:sz w:val="20"/>
                <w:szCs w:val="20"/>
                <w:lang w:eastAsia="en-GB"/>
              </w:rPr>
            </w:pPr>
            <w:r w:rsidRPr="003A044E">
              <w:rPr>
                <w:rFonts w:ascii="Calibri" w:eastAsia="Times New Roman" w:hAnsi="Calibri" w:cs="Calibri"/>
                <w:sz w:val="20"/>
                <w:szCs w:val="20"/>
                <w:lang w:eastAsia="en-GB"/>
              </w:rPr>
              <w:t>0.01</w:t>
            </w:r>
          </w:p>
        </w:tc>
        <w:tc>
          <w:tcPr>
            <w:tcW w:w="618" w:type="dxa"/>
            <w:tcBorders>
              <w:top w:val="single" w:sz="4" w:space="0" w:color="auto"/>
              <w:left w:val="single" w:sz="12" w:space="0" w:color="auto"/>
              <w:bottom w:val="single" w:sz="4" w:space="0" w:color="auto"/>
            </w:tcBorders>
            <w:shd w:val="clear" w:color="auto" w:fill="auto"/>
            <w:noWrap/>
            <w:vAlign w:val="bottom"/>
            <w:hideMark/>
          </w:tcPr>
          <w:p w14:paraId="08A4AA5A" w14:textId="77777777" w:rsidR="0059551B" w:rsidRPr="003A044E" w:rsidRDefault="0059551B" w:rsidP="0059551B">
            <w:pPr>
              <w:spacing w:after="0" w:line="240" w:lineRule="auto"/>
              <w:jc w:val="right"/>
              <w:rPr>
                <w:rFonts w:ascii="Calibri" w:eastAsia="Times New Roman" w:hAnsi="Calibri" w:cs="Calibri"/>
                <w:sz w:val="20"/>
                <w:szCs w:val="20"/>
                <w:lang w:eastAsia="en-GB"/>
              </w:rPr>
            </w:pPr>
            <w:r w:rsidRPr="003A044E">
              <w:rPr>
                <w:rFonts w:ascii="Calibri" w:eastAsia="Times New Roman" w:hAnsi="Calibri" w:cs="Calibri"/>
                <w:sz w:val="20"/>
                <w:szCs w:val="20"/>
                <w:lang w:eastAsia="en-GB"/>
              </w:rPr>
              <w:t>12</w:t>
            </w:r>
          </w:p>
        </w:tc>
        <w:tc>
          <w:tcPr>
            <w:tcW w:w="993" w:type="dxa"/>
            <w:tcBorders>
              <w:top w:val="single" w:sz="4" w:space="0" w:color="auto"/>
              <w:bottom w:val="single" w:sz="4" w:space="0" w:color="auto"/>
              <w:right w:val="single" w:sz="12" w:space="0" w:color="auto"/>
            </w:tcBorders>
            <w:shd w:val="clear" w:color="auto" w:fill="auto"/>
            <w:noWrap/>
            <w:vAlign w:val="bottom"/>
            <w:hideMark/>
          </w:tcPr>
          <w:p w14:paraId="3027E473" w14:textId="77777777" w:rsidR="0059551B" w:rsidRPr="003A044E" w:rsidRDefault="0059551B" w:rsidP="0059551B">
            <w:pPr>
              <w:spacing w:after="0" w:line="240" w:lineRule="auto"/>
              <w:jc w:val="right"/>
              <w:rPr>
                <w:rFonts w:ascii="Calibri" w:eastAsia="Times New Roman" w:hAnsi="Calibri" w:cs="Calibri"/>
                <w:sz w:val="20"/>
                <w:szCs w:val="20"/>
                <w:lang w:eastAsia="en-GB"/>
              </w:rPr>
            </w:pPr>
            <w:r w:rsidRPr="003A044E">
              <w:rPr>
                <w:rFonts w:ascii="Calibri" w:eastAsia="Times New Roman" w:hAnsi="Calibri" w:cs="Calibri"/>
                <w:sz w:val="20"/>
                <w:szCs w:val="20"/>
                <w:lang w:eastAsia="en-GB"/>
              </w:rPr>
              <w:t>0.03</w:t>
            </w:r>
          </w:p>
        </w:tc>
        <w:tc>
          <w:tcPr>
            <w:tcW w:w="567" w:type="dxa"/>
            <w:tcBorders>
              <w:top w:val="single" w:sz="4" w:space="0" w:color="auto"/>
              <w:left w:val="single" w:sz="12" w:space="0" w:color="auto"/>
              <w:bottom w:val="single" w:sz="4" w:space="0" w:color="auto"/>
            </w:tcBorders>
            <w:shd w:val="clear" w:color="auto" w:fill="auto"/>
            <w:noWrap/>
            <w:vAlign w:val="bottom"/>
            <w:hideMark/>
          </w:tcPr>
          <w:p w14:paraId="0573EF58" w14:textId="77777777" w:rsidR="0059551B" w:rsidRPr="003A044E" w:rsidRDefault="0059551B" w:rsidP="0059551B">
            <w:pPr>
              <w:spacing w:after="0" w:line="240" w:lineRule="auto"/>
              <w:jc w:val="right"/>
              <w:rPr>
                <w:rFonts w:ascii="Calibri" w:eastAsia="Times New Roman" w:hAnsi="Calibri" w:cs="Calibri"/>
                <w:sz w:val="20"/>
                <w:szCs w:val="20"/>
                <w:lang w:eastAsia="en-GB"/>
              </w:rPr>
            </w:pPr>
            <w:r w:rsidRPr="003A044E">
              <w:rPr>
                <w:rFonts w:ascii="Calibri" w:eastAsia="Times New Roman" w:hAnsi="Calibri" w:cs="Calibri"/>
                <w:sz w:val="20"/>
                <w:szCs w:val="20"/>
                <w:lang w:eastAsia="en-GB"/>
              </w:rPr>
              <w:t>5</w:t>
            </w:r>
          </w:p>
        </w:tc>
        <w:tc>
          <w:tcPr>
            <w:tcW w:w="992" w:type="dxa"/>
            <w:tcBorders>
              <w:top w:val="single" w:sz="4" w:space="0" w:color="auto"/>
              <w:bottom w:val="single" w:sz="4" w:space="0" w:color="auto"/>
              <w:right w:val="single" w:sz="12" w:space="0" w:color="auto"/>
            </w:tcBorders>
            <w:shd w:val="clear" w:color="auto" w:fill="auto"/>
            <w:noWrap/>
            <w:vAlign w:val="bottom"/>
            <w:hideMark/>
          </w:tcPr>
          <w:p w14:paraId="4BB1AE34" w14:textId="77777777" w:rsidR="0059551B" w:rsidRPr="003A044E" w:rsidRDefault="0059551B" w:rsidP="0059551B">
            <w:pPr>
              <w:spacing w:after="0" w:line="240" w:lineRule="auto"/>
              <w:jc w:val="right"/>
              <w:rPr>
                <w:rFonts w:ascii="Calibri" w:eastAsia="Times New Roman" w:hAnsi="Calibri" w:cs="Calibri"/>
                <w:sz w:val="20"/>
                <w:szCs w:val="20"/>
                <w:lang w:eastAsia="en-GB"/>
              </w:rPr>
            </w:pPr>
            <w:r w:rsidRPr="003A044E">
              <w:rPr>
                <w:rFonts w:ascii="Calibri" w:eastAsia="Times New Roman" w:hAnsi="Calibri" w:cs="Calibri"/>
                <w:sz w:val="20"/>
                <w:szCs w:val="20"/>
                <w:lang w:eastAsia="en-GB"/>
              </w:rPr>
              <w:t>0.01</w:t>
            </w:r>
          </w:p>
        </w:tc>
        <w:tc>
          <w:tcPr>
            <w:tcW w:w="517" w:type="dxa"/>
            <w:tcBorders>
              <w:top w:val="single" w:sz="4" w:space="0" w:color="auto"/>
              <w:left w:val="single" w:sz="12" w:space="0" w:color="auto"/>
              <w:bottom w:val="single" w:sz="4" w:space="0" w:color="auto"/>
            </w:tcBorders>
            <w:shd w:val="clear" w:color="auto" w:fill="auto"/>
            <w:noWrap/>
            <w:vAlign w:val="bottom"/>
            <w:hideMark/>
          </w:tcPr>
          <w:p w14:paraId="7A74D34F" w14:textId="77777777" w:rsidR="0059551B" w:rsidRPr="003A044E" w:rsidRDefault="0059551B" w:rsidP="0059551B">
            <w:pPr>
              <w:spacing w:after="0" w:line="240" w:lineRule="auto"/>
              <w:jc w:val="right"/>
              <w:rPr>
                <w:rFonts w:ascii="Calibri" w:eastAsia="Times New Roman" w:hAnsi="Calibri" w:cs="Calibri"/>
                <w:sz w:val="20"/>
                <w:szCs w:val="20"/>
                <w:lang w:eastAsia="en-GB"/>
              </w:rPr>
            </w:pPr>
            <w:r w:rsidRPr="003A044E">
              <w:rPr>
                <w:rFonts w:ascii="Calibri" w:eastAsia="Times New Roman" w:hAnsi="Calibri" w:cs="Calibri"/>
                <w:sz w:val="20"/>
                <w:szCs w:val="20"/>
                <w:lang w:eastAsia="en-GB"/>
              </w:rPr>
              <w:t>21</w:t>
            </w:r>
          </w:p>
        </w:tc>
        <w:tc>
          <w:tcPr>
            <w:tcW w:w="1327" w:type="dxa"/>
            <w:tcBorders>
              <w:top w:val="single" w:sz="4" w:space="0" w:color="auto"/>
              <w:bottom w:val="single" w:sz="4" w:space="0" w:color="auto"/>
            </w:tcBorders>
            <w:shd w:val="clear" w:color="auto" w:fill="auto"/>
            <w:noWrap/>
            <w:vAlign w:val="bottom"/>
            <w:hideMark/>
          </w:tcPr>
          <w:p w14:paraId="6EDB7668" w14:textId="77777777" w:rsidR="0059551B" w:rsidRPr="003A044E" w:rsidRDefault="0059551B" w:rsidP="0059551B">
            <w:pPr>
              <w:spacing w:after="0" w:line="240" w:lineRule="auto"/>
              <w:jc w:val="right"/>
              <w:rPr>
                <w:rFonts w:ascii="Calibri" w:eastAsia="Times New Roman" w:hAnsi="Calibri" w:cs="Calibri"/>
                <w:sz w:val="20"/>
                <w:szCs w:val="20"/>
                <w:lang w:eastAsia="en-GB"/>
              </w:rPr>
            </w:pPr>
            <w:r w:rsidRPr="003A044E">
              <w:rPr>
                <w:rFonts w:ascii="Calibri" w:eastAsia="Times New Roman" w:hAnsi="Calibri" w:cs="Calibri"/>
                <w:sz w:val="20"/>
                <w:szCs w:val="20"/>
                <w:lang w:eastAsia="en-GB"/>
              </w:rPr>
              <w:t>0.02</w:t>
            </w:r>
          </w:p>
        </w:tc>
      </w:tr>
      <w:tr w:rsidR="0059551B" w:rsidRPr="003A044E" w14:paraId="1203B357" w14:textId="77777777" w:rsidTr="00042353">
        <w:trPr>
          <w:trHeight w:val="289"/>
          <w:jc w:val="center"/>
        </w:trPr>
        <w:tc>
          <w:tcPr>
            <w:tcW w:w="1141" w:type="dxa"/>
            <w:vMerge/>
            <w:tcBorders>
              <w:top w:val="single" w:sz="4" w:space="0" w:color="auto"/>
              <w:bottom w:val="single" w:sz="4" w:space="0" w:color="auto"/>
            </w:tcBorders>
            <w:vAlign w:val="center"/>
            <w:hideMark/>
          </w:tcPr>
          <w:p w14:paraId="4AF87520" w14:textId="77777777" w:rsidR="0059551B" w:rsidRPr="003A044E" w:rsidRDefault="0059551B" w:rsidP="0059551B">
            <w:pPr>
              <w:spacing w:after="0" w:line="240" w:lineRule="auto"/>
              <w:rPr>
                <w:rFonts w:ascii="Calibri" w:eastAsia="Times New Roman" w:hAnsi="Calibri" w:cs="Calibri"/>
                <w:b/>
                <w:bCs/>
                <w:i/>
                <w:iCs/>
                <w:sz w:val="20"/>
                <w:szCs w:val="20"/>
                <w:lang w:eastAsia="en-GB"/>
              </w:rPr>
            </w:pPr>
          </w:p>
        </w:tc>
        <w:tc>
          <w:tcPr>
            <w:tcW w:w="2187" w:type="dxa"/>
            <w:tcBorders>
              <w:top w:val="single" w:sz="4" w:space="0" w:color="auto"/>
              <w:bottom w:val="single" w:sz="4" w:space="0" w:color="auto"/>
            </w:tcBorders>
            <w:shd w:val="clear" w:color="auto" w:fill="auto"/>
            <w:vAlign w:val="bottom"/>
            <w:hideMark/>
          </w:tcPr>
          <w:p w14:paraId="38B21EAC" w14:textId="77777777" w:rsidR="0059551B" w:rsidRPr="003A044E" w:rsidRDefault="0059551B" w:rsidP="0059551B">
            <w:pPr>
              <w:spacing w:after="0" w:line="240" w:lineRule="auto"/>
              <w:rPr>
                <w:rFonts w:ascii="Calibri" w:eastAsia="Times New Roman" w:hAnsi="Calibri" w:cs="Calibri"/>
                <w:sz w:val="20"/>
                <w:szCs w:val="20"/>
                <w:lang w:eastAsia="en-GB"/>
              </w:rPr>
            </w:pPr>
            <w:r w:rsidRPr="003A044E">
              <w:rPr>
                <w:rFonts w:ascii="Calibri" w:eastAsia="Times New Roman" w:hAnsi="Calibri" w:cs="Calibri"/>
                <w:sz w:val="20"/>
                <w:szCs w:val="20"/>
                <w:lang w:eastAsia="en-GB"/>
              </w:rPr>
              <w:t>Decision made on lack of knowledge</w:t>
            </w:r>
          </w:p>
        </w:tc>
        <w:tc>
          <w:tcPr>
            <w:tcW w:w="808" w:type="dxa"/>
            <w:tcBorders>
              <w:top w:val="single" w:sz="4" w:space="0" w:color="auto"/>
              <w:bottom w:val="single" w:sz="4" w:space="0" w:color="auto"/>
            </w:tcBorders>
            <w:shd w:val="clear" w:color="auto" w:fill="auto"/>
            <w:vAlign w:val="bottom"/>
            <w:hideMark/>
          </w:tcPr>
          <w:p w14:paraId="244F825B" w14:textId="0C59C526" w:rsidR="0059551B" w:rsidRPr="003A044E" w:rsidRDefault="0059551B" w:rsidP="00122104">
            <w:pPr>
              <w:spacing w:after="0" w:line="240" w:lineRule="auto"/>
              <w:jc w:val="right"/>
              <w:rPr>
                <w:rFonts w:ascii="Calibri" w:eastAsia="Times New Roman" w:hAnsi="Calibri" w:cs="Calibri"/>
                <w:sz w:val="20"/>
                <w:szCs w:val="20"/>
                <w:lang w:eastAsia="en-GB"/>
              </w:rPr>
            </w:pPr>
            <w:r w:rsidRPr="003A044E">
              <w:rPr>
                <w:rFonts w:ascii="Calibri" w:eastAsia="Times New Roman" w:hAnsi="Calibri" w:cs="Calibri"/>
                <w:sz w:val="20"/>
                <w:szCs w:val="20"/>
                <w:lang w:eastAsia="en-GB"/>
              </w:rPr>
              <w:t>N/A</w:t>
            </w:r>
            <w:r w:rsidR="006570BD" w:rsidRPr="003A044E">
              <w:rPr>
                <w:rFonts w:ascii="Calibri" w:eastAsia="Times New Roman" w:hAnsi="Calibri" w:cs="Calibri"/>
                <w:sz w:val="20"/>
                <w:szCs w:val="20"/>
                <w:lang w:eastAsia="en-GB"/>
              </w:rPr>
              <w:t>*</w:t>
            </w:r>
            <w:r w:rsidRPr="003A044E">
              <w:rPr>
                <w:rFonts w:ascii="Calibri" w:eastAsia="Times New Roman" w:hAnsi="Calibri" w:cs="Calibri"/>
                <w:sz w:val="20"/>
                <w:szCs w:val="20"/>
                <w:lang w:eastAsia="en-GB"/>
              </w:rPr>
              <w:t xml:space="preserve"> </w:t>
            </w:r>
          </w:p>
        </w:tc>
        <w:tc>
          <w:tcPr>
            <w:tcW w:w="907" w:type="dxa"/>
            <w:tcBorders>
              <w:top w:val="single" w:sz="4" w:space="0" w:color="auto"/>
              <w:bottom w:val="single" w:sz="4" w:space="0" w:color="auto"/>
              <w:right w:val="single" w:sz="12" w:space="0" w:color="auto"/>
            </w:tcBorders>
            <w:shd w:val="clear" w:color="auto" w:fill="auto"/>
            <w:noWrap/>
            <w:vAlign w:val="bottom"/>
            <w:hideMark/>
          </w:tcPr>
          <w:p w14:paraId="194896AE" w14:textId="6AECF8AD" w:rsidR="0059551B" w:rsidRPr="003A044E" w:rsidRDefault="0059551B" w:rsidP="00122104">
            <w:pPr>
              <w:spacing w:after="0" w:line="240" w:lineRule="auto"/>
              <w:jc w:val="right"/>
              <w:rPr>
                <w:rFonts w:ascii="Calibri" w:eastAsia="Times New Roman" w:hAnsi="Calibri" w:cs="Calibri"/>
                <w:sz w:val="20"/>
                <w:szCs w:val="20"/>
                <w:lang w:eastAsia="en-GB"/>
              </w:rPr>
            </w:pPr>
            <w:r w:rsidRPr="003A044E">
              <w:rPr>
                <w:rFonts w:ascii="Calibri" w:eastAsia="Times New Roman" w:hAnsi="Calibri" w:cs="Calibri"/>
                <w:sz w:val="20"/>
                <w:szCs w:val="20"/>
                <w:lang w:eastAsia="en-GB"/>
              </w:rPr>
              <w:t>N/A</w:t>
            </w:r>
            <w:r w:rsidR="006570BD" w:rsidRPr="003A044E">
              <w:rPr>
                <w:rFonts w:ascii="Calibri" w:eastAsia="Times New Roman" w:hAnsi="Calibri" w:cs="Calibri"/>
                <w:sz w:val="20"/>
                <w:szCs w:val="20"/>
                <w:lang w:eastAsia="en-GB"/>
              </w:rPr>
              <w:t>*</w:t>
            </w:r>
          </w:p>
        </w:tc>
        <w:tc>
          <w:tcPr>
            <w:tcW w:w="618" w:type="dxa"/>
            <w:tcBorders>
              <w:top w:val="single" w:sz="4" w:space="0" w:color="auto"/>
              <w:left w:val="single" w:sz="12" w:space="0" w:color="auto"/>
              <w:bottom w:val="single" w:sz="4" w:space="0" w:color="auto"/>
            </w:tcBorders>
            <w:shd w:val="clear" w:color="auto" w:fill="auto"/>
            <w:noWrap/>
            <w:vAlign w:val="bottom"/>
            <w:hideMark/>
          </w:tcPr>
          <w:p w14:paraId="10C95ED7" w14:textId="77777777" w:rsidR="0059551B" w:rsidRPr="003A044E" w:rsidRDefault="0059551B" w:rsidP="0059551B">
            <w:pPr>
              <w:spacing w:after="0" w:line="240" w:lineRule="auto"/>
              <w:jc w:val="right"/>
              <w:rPr>
                <w:rFonts w:ascii="Calibri" w:eastAsia="Times New Roman" w:hAnsi="Calibri" w:cs="Calibri"/>
                <w:sz w:val="20"/>
                <w:szCs w:val="20"/>
                <w:lang w:eastAsia="en-GB"/>
              </w:rPr>
            </w:pPr>
            <w:r w:rsidRPr="003A044E">
              <w:rPr>
                <w:rFonts w:ascii="Calibri" w:eastAsia="Times New Roman" w:hAnsi="Calibri" w:cs="Calibri"/>
                <w:sz w:val="20"/>
                <w:szCs w:val="20"/>
                <w:lang w:eastAsia="en-GB"/>
              </w:rPr>
              <w:t>2</w:t>
            </w:r>
          </w:p>
        </w:tc>
        <w:tc>
          <w:tcPr>
            <w:tcW w:w="993" w:type="dxa"/>
            <w:tcBorders>
              <w:top w:val="single" w:sz="4" w:space="0" w:color="auto"/>
              <w:bottom w:val="single" w:sz="4" w:space="0" w:color="auto"/>
              <w:right w:val="single" w:sz="12" w:space="0" w:color="auto"/>
            </w:tcBorders>
            <w:shd w:val="clear" w:color="auto" w:fill="auto"/>
            <w:noWrap/>
            <w:vAlign w:val="bottom"/>
            <w:hideMark/>
          </w:tcPr>
          <w:p w14:paraId="1848187A" w14:textId="77777777" w:rsidR="0059551B" w:rsidRPr="003A044E" w:rsidRDefault="0059551B" w:rsidP="0059551B">
            <w:pPr>
              <w:spacing w:after="0" w:line="240" w:lineRule="auto"/>
              <w:jc w:val="right"/>
              <w:rPr>
                <w:rFonts w:ascii="Calibri" w:eastAsia="Times New Roman" w:hAnsi="Calibri" w:cs="Calibri"/>
                <w:sz w:val="20"/>
                <w:szCs w:val="20"/>
                <w:lang w:eastAsia="en-GB"/>
              </w:rPr>
            </w:pPr>
            <w:r w:rsidRPr="003A044E">
              <w:rPr>
                <w:rFonts w:ascii="Calibri" w:eastAsia="Times New Roman" w:hAnsi="Calibri" w:cs="Calibri"/>
                <w:sz w:val="20"/>
                <w:szCs w:val="20"/>
                <w:lang w:eastAsia="en-GB"/>
              </w:rPr>
              <w:t>0.00</w:t>
            </w:r>
          </w:p>
        </w:tc>
        <w:tc>
          <w:tcPr>
            <w:tcW w:w="567" w:type="dxa"/>
            <w:tcBorders>
              <w:top w:val="single" w:sz="4" w:space="0" w:color="auto"/>
              <w:left w:val="single" w:sz="12" w:space="0" w:color="auto"/>
              <w:bottom w:val="single" w:sz="4" w:space="0" w:color="auto"/>
            </w:tcBorders>
            <w:shd w:val="clear" w:color="auto" w:fill="auto"/>
            <w:noWrap/>
            <w:vAlign w:val="bottom"/>
            <w:hideMark/>
          </w:tcPr>
          <w:p w14:paraId="20DFC6E8" w14:textId="77777777" w:rsidR="0059551B" w:rsidRPr="003A044E" w:rsidRDefault="0059551B" w:rsidP="0059551B">
            <w:pPr>
              <w:spacing w:after="0" w:line="240" w:lineRule="auto"/>
              <w:jc w:val="right"/>
              <w:rPr>
                <w:rFonts w:ascii="Calibri" w:eastAsia="Times New Roman" w:hAnsi="Calibri" w:cs="Calibri"/>
                <w:sz w:val="20"/>
                <w:szCs w:val="20"/>
                <w:lang w:eastAsia="en-GB"/>
              </w:rPr>
            </w:pPr>
            <w:r w:rsidRPr="003A044E">
              <w:rPr>
                <w:rFonts w:ascii="Calibri" w:eastAsia="Times New Roman" w:hAnsi="Calibri" w:cs="Calibri"/>
                <w:sz w:val="20"/>
                <w:szCs w:val="20"/>
                <w:lang w:eastAsia="en-GB"/>
              </w:rPr>
              <w:t>1</w:t>
            </w:r>
          </w:p>
        </w:tc>
        <w:tc>
          <w:tcPr>
            <w:tcW w:w="992" w:type="dxa"/>
            <w:tcBorders>
              <w:top w:val="single" w:sz="4" w:space="0" w:color="auto"/>
              <w:bottom w:val="single" w:sz="4" w:space="0" w:color="auto"/>
              <w:right w:val="single" w:sz="12" w:space="0" w:color="auto"/>
            </w:tcBorders>
            <w:shd w:val="clear" w:color="auto" w:fill="auto"/>
            <w:noWrap/>
            <w:vAlign w:val="bottom"/>
            <w:hideMark/>
          </w:tcPr>
          <w:p w14:paraId="43DE69CE" w14:textId="77777777" w:rsidR="0059551B" w:rsidRPr="003A044E" w:rsidRDefault="0059551B" w:rsidP="0059551B">
            <w:pPr>
              <w:spacing w:after="0" w:line="240" w:lineRule="auto"/>
              <w:jc w:val="right"/>
              <w:rPr>
                <w:rFonts w:ascii="Calibri" w:eastAsia="Times New Roman" w:hAnsi="Calibri" w:cs="Calibri"/>
                <w:sz w:val="20"/>
                <w:szCs w:val="20"/>
                <w:lang w:eastAsia="en-GB"/>
              </w:rPr>
            </w:pPr>
            <w:r w:rsidRPr="003A044E">
              <w:rPr>
                <w:rFonts w:ascii="Calibri" w:eastAsia="Times New Roman" w:hAnsi="Calibri" w:cs="Calibri"/>
                <w:sz w:val="20"/>
                <w:szCs w:val="20"/>
                <w:lang w:eastAsia="en-GB"/>
              </w:rPr>
              <w:t>0.00</w:t>
            </w:r>
          </w:p>
        </w:tc>
        <w:tc>
          <w:tcPr>
            <w:tcW w:w="517" w:type="dxa"/>
            <w:tcBorders>
              <w:top w:val="single" w:sz="4" w:space="0" w:color="auto"/>
              <w:left w:val="single" w:sz="12" w:space="0" w:color="auto"/>
              <w:bottom w:val="single" w:sz="4" w:space="0" w:color="auto"/>
            </w:tcBorders>
            <w:shd w:val="clear" w:color="auto" w:fill="auto"/>
            <w:noWrap/>
            <w:vAlign w:val="bottom"/>
            <w:hideMark/>
          </w:tcPr>
          <w:p w14:paraId="468DCE2A" w14:textId="77777777" w:rsidR="0059551B" w:rsidRPr="003A044E" w:rsidRDefault="0059551B" w:rsidP="0059551B">
            <w:pPr>
              <w:spacing w:after="0" w:line="240" w:lineRule="auto"/>
              <w:jc w:val="right"/>
              <w:rPr>
                <w:rFonts w:ascii="Calibri" w:eastAsia="Times New Roman" w:hAnsi="Calibri" w:cs="Calibri"/>
                <w:sz w:val="20"/>
                <w:szCs w:val="20"/>
                <w:lang w:eastAsia="en-GB"/>
              </w:rPr>
            </w:pPr>
            <w:r w:rsidRPr="003A044E">
              <w:rPr>
                <w:rFonts w:ascii="Calibri" w:eastAsia="Times New Roman" w:hAnsi="Calibri" w:cs="Calibri"/>
                <w:sz w:val="20"/>
                <w:szCs w:val="20"/>
                <w:lang w:eastAsia="en-GB"/>
              </w:rPr>
              <w:t>3</w:t>
            </w:r>
          </w:p>
        </w:tc>
        <w:tc>
          <w:tcPr>
            <w:tcW w:w="1327" w:type="dxa"/>
            <w:tcBorders>
              <w:top w:val="single" w:sz="4" w:space="0" w:color="auto"/>
              <w:bottom w:val="single" w:sz="4" w:space="0" w:color="auto"/>
            </w:tcBorders>
            <w:shd w:val="clear" w:color="auto" w:fill="auto"/>
            <w:noWrap/>
            <w:vAlign w:val="bottom"/>
            <w:hideMark/>
          </w:tcPr>
          <w:p w14:paraId="492B024A" w14:textId="77777777" w:rsidR="0059551B" w:rsidRPr="003A044E" w:rsidRDefault="0059551B" w:rsidP="0059551B">
            <w:pPr>
              <w:spacing w:after="0" w:line="240" w:lineRule="auto"/>
              <w:jc w:val="right"/>
              <w:rPr>
                <w:rFonts w:ascii="Calibri" w:eastAsia="Times New Roman" w:hAnsi="Calibri" w:cs="Calibri"/>
                <w:sz w:val="20"/>
                <w:szCs w:val="20"/>
                <w:lang w:eastAsia="en-GB"/>
              </w:rPr>
            </w:pPr>
            <w:r w:rsidRPr="003A044E">
              <w:rPr>
                <w:rFonts w:ascii="Calibri" w:eastAsia="Times New Roman" w:hAnsi="Calibri" w:cs="Calibri"/>
                <w:sz w:val="20"/>
                <w:szCs w:val="20"/>
                <w:lang w:eastAsia="en-GB"/>
              </w:rPr>
              <w:t>0.00</w:t>
            </w:r>
          </w:p>
        </w:tc>
      </w:tr>
      <w:tr w:rsidR="0059551B" w:rsidRPr="003A044E" w14:paraId="3D5672E2" w14:textId="77777777" w:rsidTr="00042353">
        <w:trPr>
          <w:trHeight w:val="445"/>
          <w:jc w:val="center"/>
        </w:trPr>
        <w:tc>
          <w:tcPr>
            <w:tcW w:w="1141" w:type="dxa"/>
            <w:vMerge/>
            <w:tcBorders>
              <w:top w:val="single" w:sz="4" w:space="0" w:color="auto"/>
              <w:bottom w:val="single" w:sz="4" w:space="0" w:color="auto"/>
            </w:tcBorders>
            <w:vAlign w:val="center"/>
            <w:hideMark/>
          </w:tcPr>
          <w:p w14:paraId="3303DE02" w14:textId="77777777" w:rsidR="0059551B" w:rsidRPr="003A044E" w:rsidRDefault="0059551B" w:rsidP="0059551B">
            <w:pPr>
              <w:spacing w:after="0" w:line="240" w:lineRule="auto"/>
              <w:rPr>
                <w:rFonts w:ascii="Calibri" w:eastAsia="Times New Roman" w:hAnsi="Calibri" w:cs="Calibri"/>
                <w:b/>
                <w:bCs/>
                <w:i/>
                <w:iCs/>
                <w:sz w:val="20"/>
                <w:szCs w:val="20"/>
                <w:lang w:eastAsia="en-GB"/>
              </w:rPr>
            </w:pPr>
          </w:p>
        </w:tc>
        <w:tc>
          <w:tcPr>
            <w:tcW w:w="2187" w:type="dxa"/>
            <w:tcBorders>
              <w:top w:val="single" w:sz="4" w:space="0" w:color="auto"/>
              <w:bottom w:val="single" w:sz="4" w:space="0" w:color="auto"/>
            </w:tcBorders>
            <w:shd w:val="clear" w:color="auto" w:fill="auto"/>
            <w:vAlign w:val="bottom"/>
            <w:hideMark/>
          </w:tcPr>
          <w:p w14:paraId="3668BE8E" w14:textId="3F9189FB" w:rsidR="0059551B" w:rsidRPr="003A044E" w:rsidRDefault="0059551B" w:rsidP="0059551B">
            <w:pPr>
              <w:spacing w:after="0" w:line="240" w:lineRule="auto"/>
              <w:rPr>
                <w:rFonts w:ascii="Calibri" w:eastAsia="Times New Roman" w:hAnsi="Calibri" w:cs="Calibri"/>
                <w:sz w:val="20"/>
                <w:szCs w:val="20"/>
                <w:lang w:eastAsia="en-GB"/>
              </w:rPr>
            </w:pPr>
            <w:r w:rsidRPr="003A044E">
              <w:rPr>
                <w:rFonts w:ascii="Calibri" w:eastAsia="Times New Roman" w:hAnsi="Calibri" w:cs="Calibri"/>
                <w:sz w:val="20"/>
                <w:szCs w:val="20"/>
                <w:lang w:eastAsia="en-GB"/>
              </w:rPr>
              <w:t>Other/not specified family reasons</w:t>
            </w:r>
            <w:r w:rsidR="00883EE8" w:rsidRPr="003A044E">
              <w:rPr>
                <w:rFonts w:ascii="Calibri" w:eastAsia="Times New Roman" w:hAnsi="Calibri" w:cs="Calibri"/>
                <w:sz w:val="20"/>
                <w:szCs w:val="20"/>
                <w:lang w:eastAsia="en-GB"/>
              </w:rPr>
              <w:t>*</w:t>
            </w:r>
            <w:r w:rsidR="006570BD" w:rsidRPr="003A044E">
              <w:rPr>
                <w:rFonts w:ascii="Calibri" w:eastAsia="Times New Roman" w:hAnsi="Calibri" w:cs="Calibri"/>
                <w:sz w:val="20"/>
                <w:szCs w:val="20"/>
                <w:lang w:eastAsia="en-GB"/>
              </w:rPr>
              <w:t>*</w:t>
            </w:r>
          </w:p>
        </w:tc>
        <w:tc>
          <w:tcPr>
            <w:tcW w:w="808" w:type="dxa"/>
            <w:tcBorders>
              <w:top w:val="single" w:sz="4" w:space="0" w:color="auto"/>
              <w:bottom w:val="single" w:sz="4" w:space="0" w:color="auto"/>
            </w:tcBorders>
            <w:shd w:val="clear" w:color="auto" w:fill="auto"/>
            <w:vAlign w:val="bottom"/>
            <w:hideMark/>
          </w:tcPr>
          <w:p w14:paraId="6B632087" w14:textId="77777777" w:rsidR="0059551B" w:rsidRPr="003A044E" w:rsidRDefault="0059551B" w:rsidP="0059551B">
            <w:pPr>
              <w:spacing w:after="0" w:line="240" w:lineRule="auto"/>
              <w:jc w:val="right"/>
              <w:rPr>
                <w:rFonts w:ascii="Calibri" w:eastAsia="Times New Roman" w:hAnsi="Calibri" w:cs="Calibri"/>
                <w:sz w:val="20"/>
                <w:szCs w:val="20"/>
                <w:lang w:eastAsia="en-GB"/>
              </w:rPr>
            </w:pPr>
            <w:r w:rsidRPr="003A044E">
              <w:rPr>
                <w:rFonts w:ascii="Calibri" w:eastAsia="Times New Roman" w:hAnsi="Calibri" w:cs="Calibri"/>
                <w:sz w:val="20"/>
                <w:szCs w:val="20"/>
                <w:lang w:eastAsia="en-GB"/>
              </w:rPr>
              <w:t>54</w:t>
            </w:r>
          </w:p>
        </w:tc>
        <w:tc>
          <w:tcPr>
            <w:tcW w:w="907" w:type="dxa"/>
            <w:tcBorders>
              <w:top w:val="single" w:sz="4" w:space="0" w:color="auto"/>
              <w:bottom w:val="single" w:sz="4" w:space="0" w:color="auto"/>
              <w:right w:val="single" w:sz="12" w:space="0" w:color="auto"/>
            </w:tcBorders>
            <w:shd w:val="clear" w:color="auto" w:fill="auto"/>
            <w:noWrap/>
            <w:vAlign w:val="bottom"/>
            <w:hideMark/>
          </w:tcPr>
          <w:p w14:paraId="54E3DE2B" w14:textId="77777777" w:rsidR="0059551B" w:rsidRPr="003A044E" w:rsidRDefault="0059551B" w:rsidP="0059551B">
            <w:pPr>
              <w:spacing w:after="0" w:line="240" w:lineRule="auto"/>
              <w:jc w:val="right"/>
              <w:rPr>
                <w:rFonts w:ascii="Calibri" w:eastAsia="Times New Roman" w:hAnsi="Calibri" w:cs="Calibri"/>
                <w:sz w:val="20"/>
                <w:szCs w:val="20"/>
                <w:lang w:eastAsia="en-GB"/>
              </w:rPr>
            </w:pPr>
            <w:r w:rsidRPr="003A044E">
              <w:rPr>
                <w:rFonts w:ascii="Calibri" w:eastAsia="Times New Roman" w:hAnsi="Calibri" w:cs="Calibri"/>
                <w:sz w:val="20"/>
                <w:szCs w:val="20"/>
                <w:lang w:eastAsia="en-GB"/>
              </w:rPr>
              <w:t>0.12</w:t>
            </w:r>
          </w:p>
        </w:tc>
        <w:tc>
          <w:tcPr>
            <w:tcW w:w="618" w:type="dxa"/>
            <w:tcBorders>
              <w:top w:val="single" w:sz="4" w:space="0" w:color="auto"/>
              <w:left w:val="single" w:sz="12" w:space="0" w:color="auto"/>
              <w:bottom w:val="single" w:sz="4" w:space="0" w:color="auto"/>
            </w:tcBorders>
            <w:shd w:val="clear" w:color="auto" w:fill="auto"/>
            <w:noWrap/>
            <w:vAlign w:val="bottom"/>
            <w:hideMark/>
          </w:tcPr>
          <w:p w14:paraId="44CEECAA" w14:textId="77777777" w:rsidR="0059551B" w:rsidRPr="003A044E" w:rsidRDefault="0059551B" w:rsidP="0059551B">
            <w:pPr>
              <w:spacing w:after="0" w:line="240" w:lineRule="auto"/>
              <w:jc w:val="right"/>
              <w:rPr>
                <w:rFonts w:ascii="Calibri" w:eastAsia="Times New Roman" w:hAnsi="Calibri" w:cs="Calibri"/>
                <w:sz w:val="20"/>
                <w:szCs w:val="20"/>
                <w:lang w:eastAsia="en-GB"/>
              </w:rPr>
            </w:pPr>
            <w:r w:rsidRPr="003A044E">
              <w:rPr>
                <w:rFonts w:ascii="Calibri" w:eastAsia="Times New Roman" w:hAnsi="Calibri" w:cs="Calibri"/>
                <w:sz w:val="20"/>
                <w:szCs w:val="20"/>
                <w:lang w:eastAsia="en-GB"/>
              </w:rPr>
              <w:t>60</w:t>
            </w:r>
          </w:p>
        </w:tc>
        <w:tc>
          <w:tcPr>
            <w:tcW w:w="993" w:type="dxa"/>
            <w:tcBorders>
              <w:top w:val="single" w:sz="4" w:space="0" w:color="auto"/>
              <w:bottom w:val="single" w:sz="4" w:space="0" w:color="auto"/>
              <w:right w:val="single" w:sz="12" w:space="0" w:color="auto"/>
            </w:tcBorders>
            <w:shd w:val="clear" w:color="auto" w:fill="auto"/>
            <w:noWrap/>
            <w:vAlign w:val="bottom"/>
            <w:hideMark/>
          </w:tcPr>
          <w:p w14:paraId="515A15D1" w14:textId="77777777" w:rsidR="0059551B" w:rsidRPr="003A044E" w:rsidRDefault="0059551B" w:rsidP="0059551B">
            <w:pPr>
              <w:spacing w:after="0" w:line="240" w:lineRule="auto"/>
              <w:jc w:val="right"/>
              <w:rPr>
                <w:rFonts w:ascii="Calibri" w:eastAsia="Times New Roman" w:hAnsi="Calibri" w:cs="Calibri"/>
                <w:sz w:val="20"/>
                <w:szCs w:val="20"/>
                <w:lang w:eastAsia="en-GB"/>
              </w:rPr>
            </w:pPr>
            <w:r w:rsidRPr="003A044E">
              <w:rPr>
                <w:rFonts w:ascii="Calibri" w:eastAsia="Times New Roman" w:hAnsi="Calibri" w:cs="Calibri"/>
                <w:sz w:val="20"/>
                <w:szCs w:val="20"/>
                <w:lang w:eastAsia="en-GB"/>
              </w:rPr>
              <w:t>0.14</w:t>
            </w:r>
          </w:p>
        </w:tc>
        <w:tc>
          <w:tcPr>
            <w:tcW w:w="567" w:type="dxa"/>
            <w:tcBorders>
              <w:top w:val="single" w:sz="4" w:space="0" w:color="auto"/>
              <w:left w:val="single" w:sz="12" w:space="0" w:color="auto"/>
              <w:bottom w:val="single" w:sz="4" w:space="0" w:color="auto"/>
            </w:tcBorders>
            <w:shd w:val="clear" w:color="auto" w:fill="auto"/>
            <w:noWrap/>
            <w:vAlign w:val="bottom"/>
            <w:hideMark/>
          </w:tcPr>
          <w:p w14:paraId="0803C786" w14:textId="77777777" w:rsidR="0059551B" w:rsidRPr="003A044E" w:rsidRDefault="0059551B" w:rsidP="0059551B">
            <w:pPr>
              <w:spacing w:after="0" w:line="240" w:lineRule="auto"/>
              <w:jc w:val="right"/>
              <w:rPr>
                <w:rFonts w:ascii="Calibri" w:eastAsia="Times New Roman" w:hAnsi="Calibri" w:cs="Calibri"/>
                <w:sz w:val="20"/>
                <w:szCs w:val="20"/>
                <w:lang w:eastAsia="en-GB"/>
              </w:rPr>
            </w:pPr>
            <w:r w:rsidRPr="003A044E">
              <w:rPr>
                <w:rFonts w:ascii="Calibri" w:eastAsia="Times New Roman" w:hAnsi="Calibri" w:cs="Calibri"/>
                <w:sz w:val="20"/>
                <w:szCs w:val="20"/>
                <w:lang w:eastAsia="en-GB"/>
              </w:rPr>
              <w:t>83</w:t>
            </w:r>
          </w:p>
        </w:tc>
        <w:tc>
          <w:tcPr>
            <w:tcW w:w="992" w:type="dxa"/>
            <w:tcBorders>
              <w:top w:val="single" w:sz="4" w:space="0" w:color="auto"/>
              <w:bottom w:val="single" w:sz="4" w:space="0" w:color="auto"/>
              <w:right w:val="single" w:sz="12" w:space="0" w:color="auto"/>
            </w:tcBorders>
            <w:shd w:val="clear" w:color="auto" w:fill="auto"/>
            <w:noWrap/>
            <w:vAlign w:val="bottom"/>
            <w:hideMark/>
          </w:tcPr>
          <w:p w14:paraId="140A15EE" w14:textId="77777777" w:rsidR="0059551B" w:rsidRPr="003A044E" w:rsidRDefault="0059551B" w:rsidP="0059551B">
            <w:pPr>
              <w:spacing w:after="0" w:line="240" w:lineRule="auto"/>
              <w:jc w:val="right"/>
              <w:rPr>
                <w:rFonts w:ascii="Calibri" w:eastAsia="Times New Roman" w:hAnsi="Calibri" w:cs="Calibri"/>
                <w:sz w:val="20"/>
                <w:szCs w:val="20"/>
                <w:lang w:eastAsia="en-GB"/>
              </w:rPr>
            </w:pPr>
            <w:r w:rsidRPr="003A044E">
              <w:rPr>
                <w:rFonts w:ascii="Calibri" w:eastAsia="Times New Roman" w:hAnsi="Calibri" w:cs="Calibri"/>
                <w:sz w:val="20"/>
                <w:szCs w:val="20"/>
                <w:lang w:eastAsia="en-GB"/>
              </w:rPr>
              <w:t>0.18</w:t>
            </w:r>
          </w:p>
        </w:tc>
        <w:tc>
          <w:tcPr>
            <w:tcW w:w="517" w:type="dxa"/>
            <w:tcBorders>
              <w:top w:val="single" w:sz="4" w:space="0" w:color="auto"/>
              <w:left w:val="single" w:sz="12" w:space="0" w:color="auto"/>
              <w:bottom w:val="single" w:sz="4" w:space="0" w:color="auto"/>
            </w:tcBorders>
            <w:shd w:val="clear" w:color="auto" w:fill="auto"/>
            <w:noWrap/>
            <w:vAlign w:val="bottom"/>
            <w:hideMark/>
          </w:tcPr>
          <w:p w14:paraId="61F8126B" w14:textId="77777777" w:rsidR="0059551B" w:rsidRPr="003A044E" w:rsidRDefault="0059551B" w:rsidP="0059551B">
            <w:pPr>
              <w:spacing w:after="0" w:line="240" w:lineRule="auto"/>
              <w:jc w:val="right"/>
              <w:rPr>
                <w:rFonts w:ascii="Calibri" w:eastAsia="Times New Roman" w:hAnsi="Calibri" w:cs="Calibri"/>
                <w:sz w:val="20"/>
                <w:szCs w:val="20"/>
                <w:lang w:eastAsia="en-GB"/>
              </w:rPr>
            </w:pPr>
            <w:r w:rsidRPr="003A044E">
              <w:rPr>
                <w:rFonts w:ascii="Calibri" w:eastAsia="Times New Roman" w:hAnsi="Calibri" w:cs="Calibri"/>
                <w:sz w:val="20"/>
                <w:szCs w:val="20"/>
                <w:lang w:eastAsia="en-GB"/>
              </w:rPr>
              <w:t>197</w:t>
            </w:r>
          </w:p>
        </w:tc>
        <w:tc>
          <w:tcPr>
            <w:tcW w:w="1327" w:type="dxa"/>
            <w:tcBorders>
              <w:top w:val="single" w:sz="4" w:space="0" w:color="auto"/>
              <w:bottom w:val="single" w:sz="4" w:space="0" w:color="auto"/>
            </w:tcBorders>
            <w:shd w:val="clear" w:color="auto" w:fill="auto"/>
            <w:noWrap/>
            <w:vAlign w:val="bottom"/>
            <w:hideMark/>
          </w:tcPr>
          <w:p w14:paraId="04E76D3D" w14:textId="77777777" w:rsidR="0059551B" w:rsidRPr="003A044E" w:rsidRDefault="0059551B" w:rsidP="0059551B">
            <w:pPr>
              <w:spacing w:after="0" w:line="240" w:lineRule="auto"/>
              <w:jc w:val="right"/>
              <w:rPr>
                <w:rFonts w:ascii="Calibri" w:eastAsia="Times New Roman" w:hAnsi="Calibri" w:cs="Calibri"/>
                <w:sz w:val="20"/>
                <w:szCs w:val="20"/>
                <w:lang w:eastAsia="en-GB"/>
              </w:rPr>
            </w:pPr>
            <w:r w:rsidRPr="003A044E">
              <w:rPr>
                <w:rFonts w:ascii="Calibri" w:eastAsia="Times New Roman" w:hAnsi="Calibri" w:cs="Calibri"/>
                <w:sz w:val="20"/>
                <w:szCs w:val="20"/>
                <w:lang w:eastAsia="en-GB"/>
              </w:rPr>
              <w:t>0.15</w:t>
            </w:r>
          </w:p>
        </w:tc>
      </w:tr>
      <w:tr w:rsidR="00042353" w:rsidRPr="003A044E" w14:paraId="3F3571F6" w14:textId="77777777" w:rsidTr="00042353">
        <w:trPr>
          <w:trHeight w:val="445"/>
          <w:jc w:val="center"/>
        </w:trPr>
        <w:tc>
          <w:tcPr>
            <w:tcW w:w="1141" w:type="dxa"/>
            <w:vMerge w:val="restart"/>
            <w:tcBorders>
              <w:top w:val="single" w:sz="4" w:space="0" w:color="auto"/>
            </w:tcBorders>
            <w:vAlign w:val="center"/>
          </w:tcPr>
          <w:p w14:paraId="22F6204D" w14:textId="25E80EBA" w:rsidR="00042353" w:rsidRPr="003A044E" w:rsidRDefault="00042353" w:rsidP="00042353">
            <w:pPr>
              <w:spacing w:after="0" w:line="240" w:lineRule="auto"/>
              <w:rPr>
                <w:rFonts w:ascii="Calibri" w:eastAsia="Times New Roman" w:hAnsi="Calibri" w:cs="Calibri"/>
                <w:b/>
                <w:bCs/>
                <w:i/>
                <w:iCs/>
                <w:sz w:val="20"/>
                <w:szCs w:val="20"/>
                <w:lang w:eastAsia="en-GB"/>
              </w:rPr>
            </w:pPr>
            <w:r w:rsidRPr="003A044E">
              <w:rPr>
                <w:rFonts w:ascii="Calibri" w:eastAsia="Times New Roman" w:hAnsi="Calibri" w:cs="Calibri"/>
                <w:b/>
                <w:bCs/>
                <w:i/>
                <w:iCs/>
                <w:sz w:val="20"/>
                <w:szCs w:val="20"/>
                <w:lang w:eastAsia="en-GB"/>
              </w:rPr>
              <w:t>Deceased wishes</w:t>
            </w:r>
          </w:p>
        </w:tc>
        <w:tc>
          <w:tcPr>
            <w:tcW w:w="2187" w:type="dxa"/>
            <w:tcBorders>
              <w:top w:val="single" w:sz="4" w:space="0" w:color="auto"/>
            </w:tcBorders>
            <w:shd w:val="clear" w:color="auto" w:fill="auto"/>
            <w:vAlign w:val="bottom"/>
          </w:tcPr>
          <w:p w14:paraId="5741E324" w14:textId="79DCBE75" w:rsidR="00042353" w:rsidRPr="003A044E" w:rsidRDefault="00042353" w:rsidP="00042353">
            <w:pPr>
              <w:spacing w:after="0" w:line="240" w:lineRule="auto"/>
              <w:rPr>
                <w:rFonts w:ascii="Calibri" w:eastAsia="Times New Roman" w:hAnsi="Calibri" w:cs="Calibri"/>
                <w:sz w:val="20"/>
                <w:szCs w:val="20"/>
                <w:lang w:eastAsia="en-GB"/>
              </w:rPr>
            </w:pPr>
            <w:r w:rsidRPr="003A044E">
              <w:rPr>
                <w:rFonts w:ascii="Calibri" w:eastAsia="Times New Roman" w:hAnsi="Calibri" w:cs="Calibri"/>
                <w:sz w:val="20"/>
                <w:szCs w:val="20"/>
                <w:lang w:eastAsia="en-GB"/>
              </w:rPr>
              <w:t>Decision based on deceased prior registered wishes</w:t>
            </w:r>
          </w:p>
        </w:tc>
        <w:tc>
          <w:tcPr>
            <w:tcW w:w="808" w:type="dxa"/>
            <w:tcBorders>
              <w:top w:val="single" w:sz="4" w:space="0" w:color="auto"/>
            </w:tcBorders>
            <w:shd w:val="clear" w:color="auto" w:fill="auto"/>
            <w:vAlign w:val="bottom"/>
          </w:tcPr>
          <w:p w14:paraId="15B3CCA0" w14:textId="1AFE8E40" w:rsidR="00042353" w:rsidRPr="003A044E" w:rsidRDefault="00042353" w:rsidP="00042353">
            <w:pPr>
              <w:spacing w:after="0" w:line="240" w:lineRule="auto"/>
              <w:jc w:val="right"/>
              <w:rPr>
                <w:rFonts w:ascii="Calibri" w:eastAsia="Times New Roman" w:hAnsi="Calibri" w:cs="Calibri"/>
                <w:sz w:val="20"/>
                <w:szCs w:val="20"/>
                <w:lang w:eastAsia="en-GB"/>
              </w:rPr>
            </w:pPr>
            <w:r w:rsidRPr="003A044E">
              <w:rPr>
                <w:rFonts w:ascii="Calibri" w:eastAsia="Times New Roman" w:hAnsi="Calibri" w:cs="Calibri"/>
                <w:sz w:val="20"/>
                <w:szCs w:val="20"/>
                <w:lang w:eastAsia="en-GB"/>
              </w:rPr>
              <w:t>54</w:t>
            </w:r>
          </w:p>
        </w:tc>
        <w:tc>
          <w:tcPr>
            <w:tcW w:w="907" w:type="dxa"/>
            <w:tcBorders>
              <w:top w:val="single" w:sz="4" w:space="0" w:color="auto"/>
              <w:right w:val="single" w:sz="12" w:space="0" w:color="auto"/>
            </w:tcBorders>
            <w:shd w:val="clear" w:color="auto" w:fill="auto"/>
            <w:noWrap/>
            <w:vAlign w:val="bottom"/>
          </w:tcPr>
          <w:p w14:paraId="2DBDC2DC" w14:textId="32A3FC60" w:rsidR="00042353" w:rsidRPr="003A044E" w:rsidRDefault="00042353" w:rsidP="00042353">
            <w:pPr>
              <w:spacing w:after="0" w:line="240" w:lineRule="auto"/>
              <w:jc w:val="right"/>
              <w:rPr>
                <w:rFonts w:ascii="Calibri" w:eastAsia="Times New Roman" w:hAnsi="Calibri" w:cs="Calibri"/>
                <w:sz w:val="20"/>
                <w:szCs w:val="20"/>
                <w:lang w:eastAsia="en-GB"/>
              </w:rPr>
            </w:pPr>
            <w:r w:rsidRPr="003A044E">
              <w:rPr>
                <w:rFonts w:ascii="Calibri" w:eastAsia="Times New Roman" w:hAnsi="Calibri" w:cs="Calibri"/>
                <w:sz w:val="20"/>
                <w:szCs w:val="20"/>
                <w:lang w:eastAsia="en-GB"/>
              </w:rPr>
              <w:t>0.79</w:t>
            </w:r>
          </w:p>
        </w:tc>
        <w:tc>
          <w:tcPr>
            <w:tcW w:w="618" w:type="dxa"/>
            <w:tcBorders>
              <w:top w:val="single" w:sz="4" w:space="0" w:color="auto"/>
              <w:left w:val="single" w:sz="12" w:space="0" w:color="auto"/>
            </w:tcBorders>
            <w:shd w:val="clear" w:color="auto" w:fill="auto"/>
            <w:noWrap/>
            <w:vAlign w:val="bottom"/>
          </w:tcPr>
          <w:p w14:paraId="63E93641" w14:textId="5815C185" w:rsidR="00042353" w:rsidRPr="003A044E" w:rsidRDefault="00042353" w:rsidP="00042353">
            <w:pPr>
              <w:spacing w:after="0" w:line="240" w:lineRule="auto"/>
              <w:jc w:val="right"/>
              <w:rPr>
                <w:rFonts w:ascii="Calibri" w:eastAsia="Times New Roman" w:hAnsi="Calibri" w:cs="Calibri"/>
                <w:sz w:val="20"/>
                <w:szCs w:val="20"/>
                <w:lang w:eastAsia="en-GB"/>
              </w:rPr>
            </w:pPr>
            <w:r w:rsidRPr="003A044E">
              <w:rPr>
                <w:rFonts w:ascii="Calibri" w:eastAsia="Times New Roman" w:hAnsi="Calibri" w:cs="Calibri"/>
                <w:sz w:val="20"/>
                <w:szCs w:val="20"/>
                <w:lang w:eastAsia="en-GB"/>
              </w:rPr>
              <w:t>50</w:t>
            </w:r>
          </w:p>
        </w:tc>
        <w:tc>
          <w:tcPr>
            <w:tcW w:w="993" w:type="dxa"/>
            <w:tcBorders>
              <w:top w:val="single" w:sz="4" w:space="0" w:color="auto"/>
              <w:right w:val="single" w:sz="12" w:space="0" w:color="auto"/>
            </w:tcBorders>
            <w:shd w:val="clear" w:color="auto" w:fill="auto"/>
            <w:noWrap/>
            <w:vAlign w:val="bottom"/>
          </w:tcPr>
          <w:p w14:paraId="04D34EA2" w14:textId="55ADF291" w:rsidR="00042353" w:rsidRPr="003A044E" w:rsidRDefault="00042353" w:rsidP="00042353">
            <w:pPr>
              <w:spacing w:after="0" w:line="240" w:lineRule="auto"/>
              <w:jc w:val="right"/>
              <w:rPr>
                <w:rFonts w:ascii="Calibri" w:eastAsia="Times New Roman" w:hAnsi="Calibri" w:cs="Calibri"/>
                <w:sz w:val="20"/>
                <w:szCs w:val="20"/>
                <w:lang w:eastAsia="en-GB"/>
              </w:rPr>
            </w:pPr>
            <w:r w:rsidRPr="003A044E">
              <w:rPr>
                <w:rFonts w:ascii="Calibri" w:eastAsia="Times New Roman" w:hAnsi="Calibri" w:cs="Calibri"/>
                <w:sz w:val="20"/>
                <w:szCs w:val="20"/>
                <w:lang w:eastAsia="en-GB"/>
              </w:rPr>
              <w:t>0.74</w:t>
            </w:r>
          </w:p>
        </w:tc>
        <w:tc>
          <w:tcPr>
            <w:tcW w:w="567" w:type="dxa"/>
            <w:tcBorders>
              <w:top w:val="single" w:sz="4" w:space="0" w:color="auto"/>
              <w:left w:val="single" w:sz="12" w:space="0" w:color="auto"/>
            </w:tcBorders>
            <w:shd w:val="clear" w:color="auto" w:fill="auto"/>
            <w:noWrap/>
            <w:vAlign w:val="bottom"/>
          </w:tcPr>
          <w:p w14:paraId="397C495C" w14:textId="0D3F8A0F" w:rsidR="00042353" w:rsidRPr="003A044E" w:rsidRDefault="00042353" w:rsidP="00042353">
            <w:pPr>
              <w:spacing w:after="0" w:line="240" w:lineRule="auto"/>
              <w:jc w:val="right"/>
              <w:rPr>
                <w:rFonts w:ascii="Calibri" w:eastAsia="Times New Roman" w:hAnsi="Calibri" w:cs="Calibri"/>
                <w:sz w:val="20"/>
                <w:szCs w:val="20"/>
                <w:lang w:eastAsia="en-GB"/>
              </w:rPr>
            </w:pPr>
            <w:r w:rsidRPr="003A044E">
              <w:rPr>
                <w:rFonts w:ascii="Calibri" w:eastAsia="Times New Roman" w:hAnsi="Calibri" w:cs="Calibri"/>
                <w:sz w:val="20"/>
                <w:szCs w:val="20"/>
                <w:lang w:eastAsia="en-GB"/>
              </w:rPr>
              <w:t>24</w:t>
            </w:r>
          </w:p>
        </w:tc>
        <w:tc>
          <w:tcPr>
            <w:tcW w:w="992" w:type="dxa"/>
            <w:tcBorders>
              <w:top w:val="single" w:sz="4" w:space="0" w:color="auto"/>
              <w:right w:val="single" w:sz="12" w:space="0" w:color="auto"/>
            </w:tcBorders>
            <w:shd w:val="clear" w:color="auto" w:fill="auto"/>
            <w:noWrap/>
            <w:vAlign w:val="bottom"/>
          </w:tcPr>
          <w:p w14:paraId="70172436" w14:textId="59A00BB5" w:rsidR="00042353" w:rsidRPr="003A044E" w:rsidRDefault="00042353" w:rsidP="00042353">
            <w:pPr>
              <w:spacing w:after="0" w:line="240" w:lineRule="auto"/>
              <w:jc w:val="right"/>
              <w:rPr>
                <w:rFonts w:ascii="Calibri" w:eastAsia="Times New Roman" w:hAnsi="Calibri" w:cs="Calibri"/>
                <w:sz w:val="20"/>
                <w:szCs w:val="20"/>
                <w:lang w:eastAsia="en-GB"/>
              </w:rPr>
            </w:pPr>
            <w:r w:rsidRPr="003A044E">
              <w:rPr>
                <w:rFonts w:ascii="Calibri" w:eastAsia="Times New Roman" w:hAnsi="Calibri" w:cs="Calibri"/>
                <w:sz w:val="20"/>
                <w:szCs w:val="20"/>
                <w:lang w:eastAsia="en-GB"/>
              </w:rPr>
              <w:t>0.55</w:t>
            </w:r>
          </w:p>
        </w:tc>
        <w:tc>
          <w:tcPr>
            <w:tcW w:w="517" w:type="dxa"/>
            <w:tcBorders>
              <w:top w:val="single" w:sz="4" w:space="0" w:color="auto"/>
              <w:left w:val="single" w:sz="12" w:space="0" w:color="auto"/>
            </w:tcBorders>
            <w:shd w:val="clear" w:color="auto" w:fill="auto"/>
            <w:noWrap/>
            <w:vAlign w:val="bottom"/>
          </w:tcPr>
          <w:p w14:paraId="42D52AFF" w14:textId="6BEE09AD" w:rsidR="00042353" w:rsidRPr="003A044E" w:rsidRDefault="00042353" w:rsidP="00042353">
            <w:pPr>
              <w:spacing w:after="0" w:line="240" w:lineRule="auto"/>
              <w:jc w:val="right"/>
              <w:rPr>
                <w:rFonts w:ascii="Calibri" w:eastAsia="Times New Roman" w:hAnsi="Calibri" w:cs="Calibri"/>
                <w:sz w:val="20"/>
                <w:szCs w:val="20"/>
                <w:lang w:eastAsia="en-GB"/>
              </w:rPr>
            </w:pPr>
            <w:r w:rsidRPr="003A044E">
              <w:rPr>
                <w:rFonts w:ascii="Calibri" w:eastAsia="Times New Roman" w:hAnsi="Calibri" w:cs="Calibri"/>
                <w:sz w:val="20"/>
                <w:szCs w:val="20"/>
                <w:lang w:eastAsia="en-GB"/>
              </w:rPr>
              <w:t>128</w:t>
            </w:r>
          </w:p>
        </w:tc>
        <w:tc>
          <w:tcPr>
            <w:tcW w:w="1327" w:type="dxa"/>
            <w:tcBorders>
              <w:top w:val="single" w:sz="4" w:space="0" w:color="auto"/>
            </w:tcBorders>
            <w:shd w:val="clear" w:color="auto" w:fill="auto"/>
            <w:noWrap/>
            <w:vAlign w:val="bottom"/>
          </w:tcPr>
          <w:p w14:paraId="06DF4A63" w14:textId="25F61368" w:rsidR="00042353" w:rsidRPr="003A044E" w:rsidRDefault="00042353" w:rsidP="00042353">
            <w:pPr>
              <w:spacing w:after="0" w:line="240" w:lineRule="auto"/>
              <w:jc w:val="right"/>
              <w:rPr>
                <w:rFonts w:ascii="Calibri" w:eastAsia="Times New Roman" w:hAnsi="Calibri" w:cs="Calibri"/>
                <w:sz w:val="20"/>
                <w:szCs w:val="20"/>
                <w:lang w:eastAsia="en-GB"/>
              </w:rPr>
            </w:pPr>
            <w:r w:rsidRPr="003A044E">
              <w:rPr>
                <w:rFonts w:ascii="Calibri" w:eastAsia="Times New Roman" w:hAnsi="Calibri" w:cs="Calibri"/>
                <w:sz w:val="20"/>
                <w:szCs w:val="20"/>
                <w:lang w:eastAsia="en-GB"/>
              </w:rPr>
              <w:t>0.71</w:t>
            </w:r>
          </w:p>
        </w:tc>
      </w:tr>
      <w:tr w:rsidR="00042353" w:rsidRPr="003A044E" w14:paraId="68111DCC" w14:textId="77777777" w:rsidTr="004E7CC1">
        <w:trPr>
          <w:trHeight w:val="445"/>
          <w:jc w:val="center"/>
        </w:trPr>
        <w:tc>
          <w:tcPr>
            <w:tcW w:w="1141" w:type="dxa"/>
            <w:vMerge/>
            <w:vAlign w:val="center"/>
          </w:tcPr>
          <w:p w14:paraId="7AD38912" w14:textId="77777777" w:rsidR="00042353" w:rsidRPr="003A044E" w:rsidRDefault="00042353" w:rsidP="00042353">
            <w:pPr>
              <w:spacing w:after="0" w:line="240" w:lineRule="auto"/>
              <w:rPr>
                <w:rFonts w:ascii="Calibri" w:eastAsia="Times New Roman" w:hAnsi="Calibri" w:cs="Calibri"/>
                <w:b/>
                <w:bCs/>
                <w:i/>
                <w:iCs/>
                <w:sz w:val="20"/>
                <w:szCs w:val="20"/>
                <w:lang w:eastAsia="en-GB"/>
              </w:rPr>
            </w:pPr>
          </w:p>
        </w:tc>
        <w:tc>
          <w:tcPr>
            <w:tcW w:w="2187" w:type="dxa"/>
            <w:tcBorders>
              <w:top w:val="single" w:sz="4" w:space="0" w:color="auto"/>
            </w:tcBorders>
            <w:shd w:val="clear" w:color="auto" w:fill="auto"/>
            <w:vAlign w:val="bottom"/>
          </w:tcPr>
          <w:p w14:paraId="203E7D10" w14:textId="73B10A26" w:rsidR="00042353" w:rsidRPr="003A044E" w:rsidRDefault="00042353" w:rsidP="00042353">
            <w:pPr>
              <w:spacing w:after="0" w:line="240" w:lineRule="auto"/>
              <w:rPr>
                <w:rFonts w:ascii="Calibri" w:eastAsia="Times New Roman" w:hAnsi="Calibri" w:cs="Calibri"/>
                <w:sz w:val="20"/>
                <w:szCs w:val="20"/>
                <w:lang w:eastAsia="en-GB"/>
              </w:rPr>
            </w:pPr>
            <w:r w:rsidRPr="003A044E">
              <w:rPr>
                <w:rFonts w:ascii="Calibri" w:eastAsia="Times New Roman" w:hAnsi="Calibri" w:cs="Calibri"/>
                <w:sz w:val="20"/>
                <w:szCs w:val="20"/>
                <w:lang w:eastAsia="en-GB"/>
              </w:rPr>
              <w:t>Decision based on deceased inferred wishes</w:t>
            </w:r>
          </w:p>
        </w:tc>
        <w:tc>
          <w:tcPr>
            <w:tcW w:w="808" w:type="dxa"/>
            <w:tcBorders>
              <w:top w:val="single" w:sz="4" w:space="0" w:color="auto"/>
            </w:tcBorders>
            <w:shd w:val="clear" w:color="auto" w:fill="auto"/>
            <w:vAlign w:val="bottom"/>
          </w:tcPr>
          <w:p w14:paraId="18509CAA" w14:textId="69DF5B59" w:rsidR="00042353" w:rsidRPr="003A044E" w:rsidRDefault="00042353" w:rsidP="00042353">
            <w:pPr>
              <w:spacing w:after="0" w:line="240" w:lineRule="auto"/>
              <w:jc w:val="right"/>
              <w:rPr>
                <w:rFonts w:ascii="Calibri" w:eastAsia="Times New Roman" w:hAnsi="Calibri" w:cs="Calibri"/>
                <w:sz w:val="20"/>
                <w:szCs w:val="20"/>
                <w:lang w:eastAsia="en-GB"/>
              </w:rPr>
            </w:pPr>
            <w:r w:rsidRPr="003A044E">
              <w:rPr>
                <w:rFonts w:ascii="Calibri" w:eastAsia="Times New Roman" w:hAnsi="Calibri" w:cs="Calibri"/>
                <w:sz w:val="20"/>
                <w:szCs w:val="20"/>
                <w:lang w:eastAsia="en-GB"/>
              </w:rPr>
              <w:t>14</w:t>
            </w:r>
          </w:p>
        </w:tc>
        <w:tc>
          <w:tcPr>
            <w:tcW w:w="907" w:type="dxa"/>
            <w:tcBorders>
              <w:top w:val="single" w:sz="4" w:space="0" w:color="auto"/>
              <w:right w:val="single" w:sz="12" w:space="0" w:color="auto"/>
            </w:tcBorders>
            <w:shd w:val="clear" w:color="auto" w:fill="auto"/>
            <w:noWrap/>
            <w:vAlign w:val="bottom"/>
          </w:tcPr>
          <w:p w14:paraId="6796F508" w14:textId="38C055CD" w:rsidR="00042353" w:rsidRPr="003A044E" w:rsidRDefault="00042353" w:rsidP="00042353">
            <w:pPr>
              <w:spacing w:after="0" w:line="240" w:lineRule="auto"/>
              <w:jc w:val="right"/>
              <w:rPr>
                <w:rFonts w:ascii="Calibri" w:eastAsia="Times New Roman" w:hAnsi="Calibri" w:cs="Calibri"/>
                <w:sz w:val="20"/>
                <w:szCs w:val="20"/>
                <w:lang w:eastAsia="en-GB"/>
              </w:rPr>
            </w:pPr>
            <w:r w:rsidRPr="003A044E">
              <w:rPr>
                <w:rFonts w:ascii="Calibri" w:eastAsia="Times New Roman" w:hAnsi="Calibri" w:cs="Calibri"/>
                <w:sz w:val="20"/>
                <w:szCs w:val="20"/>
                <w:lang w:eastAsia="en-GB"/>
              </w:rPr>
              <w:t>0.21</w:t>
            </w:r>
          </w:p>
        </w:tc>
        <w:tc>
          <w:tcPr>
            <w:tcW w:w="618" w:type="dxa"/>
            <w:tcBorders>
              <w:top w:val="single" w:sz="4" w:space="0" w:color="auto"/>
              <w:left w:val="single" w:sz="12" w:space="0" w:color="auto"/>
            </w:tcBorders>
            <w:shd w:val="clear" w:color="auto" w:fill="auto"/>
            <w:noWrap/>
            <w:vAlign w:val="bottom"/>
          </w:tcPr>
          <w:p w14:paraId="2543147E" w14:textId="45A8659A" w:rsidR="00042353" w:rsidRPr="003A044E" w:rsidRDefault="00042353" w:rsidP="00042353">
            <w:pPr>
              <w:spacing w:after="0" w:line="240" w:lineRule="auto"/>
              <w:jc w:val="right"/>
              <w:rPr>
                <w:rFonts w:ascii="Calibri" w:eastAsia="Times New Roman" w:hAnsi="Calibri" w:cs="Calibri"/>
                <w:sz w:val="20"/>
                <w:szCs w:val="20"/>
                <w:lang w:eastAsia="en-GB"/>
              </w:rPr>
            </w:pPr>
            <w:r w:rsidRPr="003A044E">
              <w:rPr>
                <w:rFonts w:ascii="Calibri" w:eastAsia="Times New Roman" w:hAnsi="Calibri" w:cs="Calibri"/>
                <w:sz w:val="20"/>
                <w:szCs w:val="20"/>
                <w:lang w:eastAsia="en-GB"/>
              </w:rPr>
              <w:t>18</w:t>
            </w:r>
          </w:p>
        </w:tc>
        <w:tc>
          <w:tcPr>
            <w:tcW w:w="993" w:type="dxa"/>
            <w:tcBorders>
              <w:top w:val="single" w:sz="4" w:space="0" w:color="auto"/>
              <w:right w:val="single" w:sz="12" w:space="0" w:color="auto"/>
            </w:tcBorders>
            <w:shd w:val="clear" w:color="auto" w:fill="auto"/>
            <w:noWrap/>
            <w:vAlign w:val="bottom"/>
          </w:tcPr>
          <w:p w14:paraId="1975DE6C" w14:textId="684E8D66" w:rsidR="00042353" w:rsidRPr="003A044E" w:rsidRDefault="00042353" w:rsidP="00042353">
            <w:pPr>
              <w:spacing w:after="0" w:line="240" w:lineRule="auto"/>
              <w:jc w:val="right"/>
              <w:rPr>
                <w:rFonts w:ascii="Calibri" w:eastAsia="Times New Roman" w:hAnsi="Calibri" w:cs="Calibri"/>
                <w:sz w:val="20"/>
                <w:szCs w:val="20"/>
                <w:lang w:eastAsia="en-GB"/>
              </w:rPr>
            </w:pPr>
            <w:r w:rsidRPr="003A044E">
              <w:rPr>
                <w:rFonts w:ascii="Calibri" w:eastAsia="Times New Roman" w:hAnsi="Calibri" w:cs="Calibri"/>
                <w:sz w:val="20"/>
                <w:szCs w:val="20"/>
                <w:lang w:eastAsia="en-GB"/>
              </w:rPr>
              <w:t>0.26</w:t>
            </w:r>
          </w:p>
        </w:tc>
        <w:tc>
          <w:tcPr>
            <w:tcW w:w="567" w:type="dxa"/>
            <w:tcBorders>
              <w:top w:val="single" w:sz="4" w:space="0" w:color="auto"/>
              <w:left w:val="single" w:sz="12" w:space="0" w:color="auto"/>
            </w:tcBorders>
            <w:shd w:val="clear" w:color="auto" w:fill="auto"/>
            <w:noWrap/>
            <w:vAlign w:val="bottom"/>
          </w:tcPr>
          <w:p w14:paraId="59E294FF" w14:textId="289374B2" w:rsidR="00042353" w:rsidRPr="003A044E" w:rsidRDefault="00042353" w:rsidP="00042353">
            <w:pPr>
              <w:spacing w:after="0" w:line="240" w:lineRule="auto"/>
              <w:jc w:val="right"/>
              <w:rPr>
                <w:rFonts w:ascii="Calibri" w:eastAsia="Times New Roman" w:hAnsi="Calibri" w:cs="Calibri"/>
                <w:sz w:val="20"/>
                <w:szCs w:val="20"/>
                <w:lang w:eastAsia="en-GB"/>
              </w:rPr>
            </w:pPr>
            <w:r w:rsidRPr="003A044E">
              <w:rPr>
                <w:rFonts w:ascii="Calibri" w:eastAsia="Times New Roman" w:hAnsi="Calibri" w:cs="Calibri"/>
                <w:sz w:val="20"/>
                <w:szCs w:val="20"/>
                <w:lang w:eastAsia="en-GB"/>
              </w:rPr>
              <w:t>20</w:t>
            </w:r>
          </w:p>
        </w:tc>
        <w:tc>
          <w:tcPr>
            <w:tcW w:w="992" w:type="dxa"/>
            <w:tcBorders>
              <w:top w:val="single" w:sz="4" w:space="0" w:color="auto"/>
              <w:right w:val="single" w:sz="12" w:space="0" w:color="auto"/>
            </w:tcBorders>
            <w:shd w:val="clear" w:color="auto" w:fill="auto"/>
            <w:noWrap/>
            <w:vAlign w:val="bottom"/>
          </w:tcPr>
          <w:p w14:paraId="647AEA94" w14:textId="3BF0A70F" w:rsidR="00042353" w:rsidRPr="003A044E" w:rsidRDefault="00042353" w:rsidP="00042353">
            <w:pPr>
              <w:spacing w:after="0" w:line="240" w:lineRule="auto"/>
              <w:jc w:val="right"/>
              <w:rPr>
                <w:rFonts w:ascii="Calibri" w:eastAsia="Times New Roman" w:hAnsi="Calibri" w:cs="Calibri"/>
                <w:sz w:val="20"/>
                <w:szCs w:val="20"/>
                <w:lang w:eastAsia="en-GB"/>
              </w:rPr>
            </w:pPr>
            <w:r w:rsidRPr="003A044E">
              <w:rPr>
                <w:rFonts w:ascii="Calibri" w:eastAsia="Times New Roman" w:hAnsi="Calibri" w:cs="Calibri"/>
                <w:sz w:val="20"/>
                <w:szCs w:val="20"/>
                <w:lang w:eastAsia="en-GB"/>
              </w:rPr>
              <w:t>0.45</w:t>
            </w:r>
          </w:p>
        </w:tc>
        <w:tc>
          <w:tcPr>
            <w:tcW w:w="517" w:type="dxa"/>
            <w:tcBorders>
              <w:top w:val="single" w:sz="4" w:space="0" w:color="auto"/>
              <w:left w:val="single" w:sz="12" w:space="0" w:color="auto"/>
            </w:tcBorders>
            <w:shd w:val="clear" w:color="auto" w:fill="auto"/>
            <w:noWrap/>
            <w:vAlign w:val="bottom"/>
          </w:tcPr>
          <w:p w14:paraId="5A8617D7" w14:textId="1A45AE7D" w:rsidR="00042353" w:rsidRPr="003A044E" w:rsidRDefault="00042353" w:rsidP="00042353">
            <w:pPr>
              <w:spacing w:after="0" w:line="240" w:lineRule="auto"/>
              <w:jc w:val="right"/>
              <w:rPr>
                <w:rFonts w:ascii="Calibri" w:eastAsia="Times New Roman" w:hAnsi="Calibri" w:cs="Calibri"/>
                <w:sz w:val="20"/>
                <w:szCs w:val="20"/>
                <w:lang w:eastAsia="en-GB"/>
              </w:rPr>
            </w:pPr>
            <w:r w:rsidRPr="003A044E">
              <w:rPr>
                <w:rFonts w:ascii="Calibri" w:eastAsia="Times New Roman" w:hAnsi="Calibri" w:cs="Calibri"/>
                <w:sz w:val="20"/>
                <w:szCs w:val="20"/>
                <w:lang w:eastAsia="en-GB"/>
              </w:rPr>
              <w:t>52</w:t>
            </w:r>
          </w:p>
        </w:tc>
        <w:tc>
          <w:tcPr>
            <w:tcW w:w="1327" w:type="dxa"/>
            <w:tcBorders>
              <w:top w:val="single" w:sz="4" w:space="0" w:color="auto"/>
            </w:tcBorders>
            <w:shd w:val="clear" w:color="auto" w:fill="auto"/>
            <w:noWrap/>
            <w:vAlign w:val="bottom"/>
          </w:tcPr>
          <w:p w14:paraId="654D7868" w14:textId="7E43A22F" w:rsidR="00042353" w:rsidRPr="003A044E" w:rsidRDefault="00042353" w:rsidP="00042353">
            <w:pPr>
              <w:spacing w:after="0" w:line="240" w:lineRule="auto"/>
              <w:jc w:val="right"/>
              <w:rPr>
                <w:rFonts w:ascii="Calibri" w:eastAsia="Times New Roman" w:hAnsi="Calibri" w:cs="Calibri"/>
                <w:sz w:val="20"/>
                <w:szCs w:val="20"/>
                <w:lang w:eastAsia="en-GB"/>
              </w:rPr>
            </w:pPr>
            <w:r w:rsidRPr="003A044E">
              <w:rPr>
                <w:rFonts w:ascii="Calibri" w:eastAsia="Times New Roman" w:hAnsi="Calibri" w:cs="Calibri"/>
                <w:sz w:val="20"/>
                <w:szCs w:val="20"/>
                <w:lang w:eastAsia="en-GB"/>
              </w:rPr>
              <w:t>0.29</w:t>
            </w:r>
          </w:p>
        </w:tc>
      </w:tr>
    </w:tbl>
    <w:p w14:paraId="2C3A500F" w14:textId="16DA7229" w:rsidR="006570BD" w:rsidRPr="003A044E" w:rsidRDefault="006570BD" w:rsidP="006570BD">
      <w:pPr>
        <w:spacing w:after="0"/>
        <w:jc w:val="center"/>
        <w:rPr>
          <w:rFonts w:ascii="Calibri" w:hAnsi="Calibri" w:cs="Calibri"/>
          <w:i/>
          <w:iCs/>
          <w:sz w:val="20"/>
          <w:szCs w:val="20"/>
        </w:rPr>
      </w:pPr>
      <w:r w:rsidRPr="003A044E">
        <w:rPr>
          <w:rFonts w:ascii="Calibri" w:hAnsi="Calibri" w:cs="Calibri"/>
          <w:i/>
          <w:iCs/>
          <w:sz w:val="20"/>
          <w:szCs w:val="20"/>
        </w:rPr>
        <w:t>*category was not included in data collection for this period.</w:t>
      </w:r>
    </w:p>
    <w:p w14:paraId="0D923F12" w14:textId="550E713C" w:rsidR="004B3FB3" w:rsidRPr="004B3FB3" w:rsidRDefault="006570BD" w:rsidP="004B3FB3">
      <w:pPr>
        <w:jc w:val="center"/>
        <w:rPr>
          <w:rFonts w:ascii="Calibri" w:hAnsi="Calibri" w:cs="Calibri"/>
          <w:i/>
          <w:iCs/>
          <w:sz w:val="20"/>
          <w:szCs w:val="20"/>
        </w:rPr>
      </w:pPr>
      <w:r w:rsidRPr="003A044E">
        <w:rPr>
          <w:rFonts w:ascii="Calibri" w:hAnsi="Calibri" w:cs="Calibri"/>
          <w:i/>
          <w:iCs/>
          <w:sz w:val="20"/>
          <w:szCs w:val="20"/>
        </w:rPr>
        <w:t>*</w:t>
      </w:r>
      <w:r w:rsidR="00883EE8" w:rsidRPr="003A044E">
        <w:rPr>
          <w:rFonts w:ascii="Calibri" w:hAnsi="Calibri" w:cs="Calibri"/>
          <w:i/>
          <w:iCs/>
          <w:sz w:val="20"/>
          <w:szCs w:val="20"/>
        </w:rPr>
        <w:t>*Includes sub-</w:t>
      </w:r>
      <w:r w:rsidRPr="003A044E">
        <w:rPr>
          <w:rFonts w:ascii="Calibri" w:hAnsi="Calibri" w:cs="Calibri"/>
          <w:i/>
          <w:iCs/>
          <w:sz w:val="20"/>
          <w:szCs w:val="20"/>
        </w:rPr>
        <w:t>domains</w:t>
      </w:r>
      <w:r w:rsidR="00883EE8" w:rsidRPr="003A044E">
        <w:rPr>
          <w:rFonts w:ascii="Calibri" w:hAnsi="Calibri" w:cs="Calibri"/>
          <w:i/>
          <w:iCs/>
          <w:sz w:val="20"/>
          <w:szCs w:val="20"/>
        </w:rPr>
        <w:t xml:space="preserve"> inviting free-text comment (i.e. ‘please specify’)</w:t>
      </w:r>
    </w:p>
    <w:p w14:paraId="7936D610" w14:textId="01A59C6A" w:rsidR="00AE16A0" w:rsidRPr="00711E2D" w:rsidRDefault="00CB09B2" w:rsidP="00895025">
      <w:pPr>
        <w:pStyle w:val="Heading2"/>
        <w:spacing w:line="360" w:lineRule="auto"/>
        <w:rPr>
          <w:rFonts w:ascii="Calibri" w:hAnsi="Calibri" w:cs="Calibri"/>
          <w:bCs/>
          <w:i/>
          <w:iCs/>
          <w:color w:val="auto"/>
          <w:sz w:val="22"/>
          <w:szCs w:val="22"/>
        </w:rPr>
      </w:pPr>
      <w:r w:rsidRPr="00711E2D">
        <w:rPr>
          <w:rFonts w:ascii="Calibri" w:hAnsi="Calibri" w:cs="Calibri"/>
          <w:bCs/>
          <w:i/>
          <w:iCs/>
          <w:color w:val="auto"/>
          <w:sz w:val="22"/>
          <w:szCs w:val="22"/>
        </w:rPr>
        <w:t>Findings</w:t>
      </w:r>
      <w:r w:rsidR="00AE16A0" w:rsidRPr="00711E2D">
        <w:rPr>
          <w:rFonts w:ascii="Calibri" w:hAnsi="Calibri" w:cs="Calibri"/>
          <w:bCs/>
          <w:i/>
          <w:iCs/>
          <w:color w:val="auto"/>
          <w:sz w:val="22"/>
          <w:szCs w:val="22"/>
        </w:rPr>
        <w:t xml:space="preserve"> from analysis of free-text data (family </w:t>
      </w:r>
      <w:r w:rsidR="00E20B72" w:rsidRPr="00711E2D">
        <w:rPr>
          <w:rFonts w:ascii="Calibri" w:hAnsi="Calibri" w:cs="Calibri"/>
          <w:bCs/>
          <w:i/>
          <w:iCs/>
          <w:color w:val="auto"/>
          <w:sz w:val="22"/>
          <w:szCs w:val="22"/>
        </w:rPr>
        <w:t>decline</w:t>
      </w:r>
      <w:r w:rsidR="00AE16A0" w:rsidRPr="00711E2D">
        <w:rPr>
          <w:rFonts w:ascii="Calibri" w:hAnsi="Calibri" w:cs="Calibri"/>
          <w:bCs/>
          <w:i/>
          <w:iCs/>
          <w:color w:val="auto"/>
          <w:sz w:val="22"/>
          <w:szCs w:val="22"/>
        </w:rPr>
        <w:t>)</w:t>
      </w:r>
    </w:p>
    <w:p w14:paraId="2DA66D13" w14:textId="503C7486" w:rsidR="00A4116F" w:rsidRPr="001919FA" w:rsidRDefault="001919FA" w:rsidP="00A4116F">
      <w:pPr>
        <w:spacing w:line="360" w:lineRule="auto"/>
        <w:jc w:val="both"/>
        <w:rPr>
          <w:rFonts w:ascii="Calibri" w:hAnsi="Calibri" w:cs="Calibri"/>
        </w:rPr>
      </w:pPr>
      <w:r w:rsidRPr="001919FA">
        <w:rPr>
          <w:rFonts w:ascii="Calibri" w:hAnsi="Calibri" w:cs="Calibri"/>
        </w:rPr>
        <w:t xml:space="preserve">Table </w:t>
      </w:r>
      <w:r w:rsidR="00A4116F" w:rsidRPr="001919FA">
        <w:rPr>
          <w:rFonts w:ascii="Calibri" w:hAnsi="Calibri" w:cs="Calibri"/>
        </w:rPr>
        <w:t>3 lists</w:t>
      </w:r>
      <w:r w:rsidR="008B20FB">
        <w:rPr>
          <w:rFonts w:ascii="Calibri" w:hAnsi="Calibri" w:cs="Calibri"/>
        </w:rPr>
        <w:t xml:space="preserve"> results of content analysis, showing all resulting categories</w:t>
      </w:r>
      <w:r w:rsidR="00A4116F" w:rsidRPr="001919FA">
        <w:rPr>
          <w:rFonts w:ascii="Calibri" w:hAnsi="Calibri" w:cs="Calibri"/>
        </w:rPr>
        <w:t xml:space="preserve"> </w:t>
      </w:r>
      <w:r w:rsidR="008B20FB">
        <w:rPr>
          <w:rFonts w:ascii="Calibri" w:hAnsi="Calibri" w:cs="Calibri"/>
        </w:rPr>
        <w:t xml:space="preserve">of </w:t>
      </w:r>
      <w:r w:rsidR="00A4116F" w:rsidRPr="001919FA">
        <w:rPr>
          <w:rFonts w:ascii="Calibri" w:hAnsi="Calibri" w:cs="Calibri"/>
        </w:rPr>
        <w:t xml:space="preserve">recorded reasons for family decline (n = 126). </w:t>
      </w:r>
      <w:r w:rsidR="00EC7712" w:rsidRPr="001919FA">
        <w:rPr>
          <w:rFonts w:ascii="Calibri" w:hAnsi="Calibri" w:cs="Calibri"/>
        </w:rPr>
        <w:t>Of note is that</w:t>
      </w:r>
      <w:r w:rsidR="0025754F" w:rsidRPr="001919FA">
        <w:rPr>
          <w:rFonts w:ascii="Calibri" w:hAnsi="Calibri" w:cs="Calibri"/>
        </w:rPr>
        <w:t xml:space="preserve"> in 65 cases (10%) of SNOD</w:t>
      </w:r>
      <w:r w:rsidR="00821616" w:rsidRPr="001919FA">
        <w:rPr>
          <w:rFonts w:ascii="Calibri" w:hAnsi="Calibri" w:cs="Calibri"/>
        </w:rPr>
        <w:t>s</w:t>
      </w:r>
      <w:r w:rsidR="0025754F" w:rsidRPr="001919FA">
        <w:rPr>
          <w:rFonts w:ascii="Calibri" w:hAnsi="Calibri" w:cs="Calibri"/>
        </w:rPr>
        <w:t xml:space="preserve"> reporting ‘</w:t>
      </w:r>
      <w:r w:rsidR="0025754F" w:rsidRPr="00116366">
        <w:rPr>
          <w:rFonts w:ascii="Calibri" w:hAnsi="Calibri" w:cs="Calibri"/>
        </w:rPr>
        <w:t>family refused’</w:t>
      </w:r>
      <w:r w:rsidR="0025754F" w:rsidRPr="001919FA">
        <w:rPr>
          <w:rFonts w:ascii="Calibri" w:hAnsi="Calibri" w:cs="Calibri"/>
        </w:rPr>
        <w:t xml:space="preserve">, </w:t>
      </w:r>
      <w:r w:rsidR="009A35DC" w:rsidRPr="001919FA">
        <w:rPr>
          <w:rFonts w:ascii="Calibri" w:hAnsi="Calibri" w:cs="Calibri"/>
        </w:rPr>
        <w:t>‘</w:t>
      </w:r>
      <w:r w:rsidR="009A35DC" w:rsidRPr="001919FA">
        <w:rPr>
          <w:rFonts w:ascii="Calibri" w:hAnsi="Calibri" w:cs="Calibri"/>
          <w:i/>
        </w:rPr>
        <w:t>No additional information’</w:t>
      </w:r>
      <w:r w:rsidR="00AB4CF6" w:rsidRPr="001919FA">
        <w:rPr>
          <w:rFonts w:ascii="Calibri" w:hAnsi="Calibri" w:cs="Calibri"/>
        </w:rPr>
        <w:t xml:space="preserve"> </w:t>
      </w:r>
      <w:r w:rsidR="0025754F" w:rsidRPr="001919FA">
        <w:rPr>
          <w:rFonts w:ascii="Calibri" w:hAnsi="Calibri" w:cs="Calibri"/>
        </w:rPr>
        <w:t xml:space="preserve">was recorded in the </w:t>
      </w:r>
      <w:r w:rsidR="00B95528" w:rsidRPr="001919FA">
        <w:rPr>
          <w:rFonts w:ascii="Calibri" w:hAnsi="Calibri" w:cs="Calibri"/>
        </w:rPr>
        <w:t>free-text</w:t>
      </w:r>
      <w:r w:rsidR="0025754F" w:rsidRPr="001919FA">
        <w:rPr>
          <w:rFonts w:ascii="Calibri" w:hAnsi="Calibri" w:cs="Calibri"/>
        </w:rPr>
        <w:t xml:space="preserve"> comment box</w:t>
      </w:r>
      <w:r w:rsidR="008B20FB">
        <w:rPr>
          <w:rFonts w:ascii="Calibri" w:hAnsi="Calibri" w:cs="Calibri"/>
        </w:rPr>
        <w:t>. For these cases, we</w:t>
      </w:r>
      <w:r w:rsidR="0025754F" w:rsidRPr="001919FA">
        <w:rPr>
          <w:rFonts w:ascii="Calibri" w:hAnsi="Calibri" w:cs="Calibri"/>
        </w:rPr>
        <w:t xml:space="preserve"> therefore have no information on which</w:t>
      </w:r>
      <w:r w:rsidR="005A4642" w:rsidRPr="001919FA">
        <w:rPr>
          <w:rFonts w:ascii="Calibri" w:hAnsi="Calibri" w:cs="Calibri"/>
        </w:rPr>
        <w:t xml:space="preserve"> to base any commentary regarding family decline. </w:t>
      </w:r>
      <w:r w:rsidR="00A4116F" w:rsidRPr="001919FA">
        <w:rPr>
          <w:rFonts w:ascii="Calibri" w:hAnsi="Calibri" w:cs="Calibri"/>
        </w:rPr>
        <w:t xml:space="preserve">The findings and discussion </w:t>
      </w:r>
      <w:r w:rsidR="00B5024A" w:rsidRPr="001919FA">
        <w:rPr>
          <w:rFonts w:ascii="Calibri" w:hAnsi="Calibri" w:cs="Calibri"/>
        </w:rPr>
        <w:t>are</w:t>
      </w:r>
      <w:r w:rsidR="00A4116F" w:rsidRPr="001919FA">
        <w:rPr>
          <w:rFonts w:ascii="Calibri" w:hAnsi="Calibri" w:cs="Calibri"/>
        </w:rPr>
        <w:t xml:space="preserve"> therefore related to the italicised categories in </w:t>
      </w:r>
      <w:r w:rsidRPr="001919FA">
        <w:rPr>
          <w:rFonts w:ascii="Calibri" w:hAnsi="Calibri" w:cs="Calibri"/>
        </w:rPr>
        <w:t>Table</w:t>
      </w:r>
      <w:r w:rsidR="00A4116F" w:rsidRPr="001919FA">
        <w:rPr>
          <w:rFonts w:ascii="Calibri" w:hAnsi="Calibri" w:cs="Calibri"/>
        </w:rPr>
        <w:t xml:space="preserve"> 3</w:t>
      </w:r>
      <w:r w:rsidR="008B20FB">
        <w:rPr>
          <w:rFonts w:ascii="Calibri" w:hAnsi="Calibri" w:cs="Calibri"/>
        </w:rPr>
        <w:t xml:space="preserve"> (n=61 cases within this group)</w:t>
      </w:r>
      <w:r w:rsidR="00A4116F" w:rsidRPr="001919FA">
        <w:rPr>
          <w:rFonts w:ascii="Calibri" w:hAnsi="Calibri" w:cs="Calibri"/>
        </w:rPr>
        <w:t xml:space="preserve">. </w:t>
      </w:r>
    </w:p>
    <w:p w14:paraId="73991B97" w14:textId="0849A4D7" w:rsidR="008964C2" w:rsidRPr="003A044E" w:rsidRDefault="001919FA" w:rsidP="00A354B8">
      <w:pPr>
        <w:pStyle w:val="Caption"/>
        <w:keepNext/>
        <w:jc w:val="center"/>
        <w:rPr>
          <w:rFonts w:cstheme="minorHAnsi"/>
          <w:sz w:val="20"/>
          <w:szCs w:val="20"/>
        </w:rPr>
      </w:pPr>
      <w:r w:rsidRPr="00493744">
        <w:rPr>
          <w:rFonts w:cstheme="minorHAnsi"/>
          <w:b/>
          <w:color w:val="auto"/>
          <w:sz w:val="20"/>
          <w:szCs w:val="20"/>
        </w:rPr>
        <w:t xml:space="preserve">Table </w:t>
      </w:r>
      <w:r w:rsidR="008964C2" w:rsidRPr="00493744">
        <w:rPr>
          <w:rFonts w:cstheme="minorHAnsi"/>
          <w:b/>
          <w:color w:val="auto"/>
          <w:sz w:val="20"/>
          <w:szCs w:val="20"/>
        </w:rPr>
        <w:t xml:space="preserve"> </w:t>
      </w:r>
      <w:r w:rsidR="008964C2" w:rsidRPr="00493744">
        <w:rPr>
          <w:rFonts w:cstheme="minorHAnsi"/>
          <w:b/>
          <w:noProof/>
          <w:sz w:val="20"/>
          <w:szCs w:val="20"/>
        </w:rPr>
        <w:fldChar w:fldCharType="begin"/>
      </w:r>
      <w:r w:rsidR="008964C2" w:rsidRPr="00493744">
        <w:rPr>
          <w:rFonts w:cstheme="minorHAnsi"/>
          <w:b/>
          <w:noProof/>
          <w:color w:val="auto"/>
          <w:sz w:val="20"/>
          <w:szCs w:val="20"/>
        </w:rPr>
        <w:instrText xml:space="preserve"> SEQ Table \* ARABIC </w:instrText>
      </w:r>
      <w:r w:rsidR="008964C2" w:rsidRPr="00493744">
        <w:rPr>
          <w:rFonts w:cstheme="minorHAnsi"/>
          <w:b/>
          <w:noProof/>
          <w:sz w:val="20"/>
          <w:szCs w:val="20"/>
        </w:rPr>
        <w:fldChar w:fldCharType="separate"/>
      </w:r>
      <w:r w:rsidR="004A774A" w:rsidRPr="00493744">
        <w:rPr>
          <w:rFonts w:cstheme="minorHAnsi"/>
          <w:b/>
          <w:noProof/>
          <w:color w:val="auto"/>
          <w:sz w:val="20"/>
          <w:szCs w:val="20"/>
        </w:rPr>
        <w:t>3</w:t>
      </w:r>
      <w:r w:rsidR="008964C2" w:rsidRPr="00493744">
        <w:rPr>
          <w:rFonts w:cstheme="minorHAnsi"/>
          <w:b/>
          <w:noProof/>
          <w:sz w:val="20"/>
          <w:szCs w:val="20"/>
        </w:rPr>
        <w:fldChar w:fldCharType="end"/>
      </w:r>
      <w:r w:rsidR="008964C2" w:rsidRPr="00493744">
        <w:rPr>
          <w:rFonts w:cstheme="minorHAnsi"/>
          <w:b/>
          <w:color w:val="auto"/>
          <w:sz w:val="20"/>
          <w:szCs w:val="20"/>
        </w:rPr>
        <w:t xml:space="preserve"> - Summary of free-text comments relating to family re</w:t>
      </w:r>
      <w:r w:rsidR="00AE601E" w:rsidRPr="00493744">
        <w:rPr>
          <w:rFonts w:cstheme="minorHAnsi"/>
          <w:b/>
          <w:color w:val="auto"/>
          <w:sz w:val="20"/>
          <w:szCs w:val="20"/>
        </w:rPr>
        <w:t>asons</w:t>
      </w:r>
      <w:r w:rsidR="008964C2" w:rsidRPr="00493744">
        <w:rPr>
          <w:rFonts w:cstheme="minorHAnsi"/>
          <w:b/>
          <w:color w:val="auto"/>
          <w:sz w:val="20"/>
          <w:szCs w:val="20"/>
        </w:rPr>
        <w:t xml:space="preserve"> </w:t>
      </w:r>
      <w:r w:rsidR="00631B75">
        <w:rPr>
          <w:rFonts w:cstheme="minorHAnsi"/>
          <w:b/>
          <w:color w:val="auto"/>
          <w:sz w:val="20"/>
          <w:szCs w:val="20"/>
        </w:rPr>
        <w:t>for decline of eye tissue donation from potential solid organ donors</w:t>
      </w:r>
    </w:p>
    <w:tbl>
      <w:tblPr>
        <w:tblW w:w="7840" w:type="dxa"/>
        <w:jc w:val="center"/>
        <w:tblBorders>
          <w:insideH w:val="single" w:sz="4" w:space="0" w:color="auto"/>
          <w:insideV w:val="single" w:sz="4" w:space="0" w:color="auto"/>
        </w:tblBorders>
        <w:tblLook w:val="04A0" w:firstRow="1" w:lastRow="0" w:firstColumn="1" w:lastColumn="0" w:noHBand="0" w:noVBand="1"/>
      </w:tblPr>
      <w:tblGrid>
        <w:gridCol w:w="4532"/>
        <w:gridCol w:w="1508"/>
        <w:gridCol w:w="1800"/>
      </w:tblGrid>
      <w:tr w:rsidR="008964C2" w:rsidRPr="003A044E" w14:paraId="05D3BFF6" w14:textId="77777777" w:rsidTr="002275ED">
        <w:trPr>
          <w:trHeight w:val="765"/>
          <w:jc w:val="center"/>
        </w:trPr>
        <w:tc>
          <w:tcPr>
            <w:tcW w:w="4532" w:type="dxa"/>
            <w:shd w:val="clear" w:color="auto" w:fill="auto"/>
            <w:vAlign w:val="bottom"/>
            <w:hideMark/>
          </w:tcPr>
          <w:p w14:paraId="53C45F20" w14:textId="051140BD" w:rsidR="008964C2" w:rsidRPr="003A044E" w:rsidRDefault="008964C2" w:rsidP="002275ED">
            <w:pPr>
              <w:spacing w:after="0" w:line="240" w:lineRule="auto"/>
              <w:rPr>
                <w:rFonts w:eastAsia="Times New Roman" w:cstheme="minorHAnsi"/>
                <w:b/>
                <w:bCs/>
                <w:sz w:val="20"/>
                <w:szCs w:val="20"/>
                <w:lang w:eastAsia="en-GB"/>
              </w:rPr>
            </w:pPr>
            <w:r w:rsidRPr="003A044E">
              <w:rPr>
                <w:rFonts w:eastAsia="Times New Roman" w:cstheme="minorHAnsi"/>
                <w:b/>
                <w:bCs/>
                <w:sz w:val="20"/>
                <w:szCs w:val="20"/>
                <w:lang w:eastAsia="en-GB"/>
              </w:rPr>
              <w:t>Family Re</w:t>
            </w:r>
            <w:r w:rsidR="00AE601E">
              <w:rPr>
                <w:rFonts w:eastAsia="Times New Roman" w:cstheme="minorHAnsi"/>
                <w:b/>
                <w:bCs/>
                <w:sz w:val="20"/>
                <w:szCs w:val="20"/>
                <w:lang w:eastAsia="en-GB"/>
              </w:rPr>
              <w:t>asons</w:t>
            </w:r>
            <w:r w:rsidRPr="003A044E">
              <w:rPr>
                <w:rFonts w:eastAsia="Times New Roman" w:cstheme="minorHAnsi"/>
                <w:b/>
                <w:bCs/>
                <w:sz w:val="20"/>
                <w:szCs w:val="20"/>
                <w:lang w:eastAsia="en-GB"/>
              </w:rPr>
              <w:t xml:space="preserve"> Categories</w:t>
            </w:r>
          </w:p>
        </w:tc>
        <w:tc>
          <w:tcPr>
            <w:tcW w:w="1508" w:type="dxa"/>
            <w:shd w:val="clear" w:color="auto" w:fill="auto"/>
            <w:vAlign w:val="bottom"/>
            <w:hideMark/>
          </w:tcPr>
          <w:p w14:paraId="2F821E6D" w14:textId="77777777" w:rsidR="008964C2" w:rsidRPr="003A044E" w:rsidRDefault="008964C2" w:rsidP="002275ED">
            <w:pPr>
              <w:spacing w:after="0" w:line="240" w:lineRule="auto"/>
              <w:rPr>
                <w:rFonts w:eastAsia="Times New Roman" w:cstheme="minorHAnsi"/>
                <w:b/>
                <w:bCs/>
                <w:sz w:val="20"/>
                <w:szCs w:val="20"/>
                <w:lang w:eastAsia="en-GB"/>
              </w:rPr>
            </w:pPr>
            <w:r w:rsidRPr="003A044E">
              <w:rPr>
                <w:rFonts w:eastAsia="Times New Roman" w:cstheme="minorHAnsi"/>
                <w:b/>
                <w:bCs/>
                <w:sz w:val="20"/>
                <w:szCs w:val="20"/>
                <w:lang w:eastAsia="en-GB"/>
              </w:rPr>
              <w:t>Cases (n)*</w:t>
            </w:r>
          </w:p>
        </w:tc>
        <w:tc>
          <w:tcPr>
            <w:tcW w:w="1800" w:type="dxa"/>
            <w:shd w:val="clear" w:color="auto" w:fill="auto"/>
            <w:vAlign w:val="bottom"/>
            <w:hideMark/>
          </w:tcPr>
          <w:p w14:paraId="2DD6003C" w14:textId="01ED5487" w:rsidR="008964C2" w:rsidRPr="003A044E" w:rsidRDefault="008964C2" w:rsidP="002275ED">
            <w:pPr>
              <w:spacing w:after="0" w:line="240" w:lineRule="auto"/>
              <w:rPr>
                <w:rFonts w:eastAsia="Times New Roman" w:cstheme="minorHAnsi"/>
                <w:b/>
                <w:bCs/>
                <w:sz w:val="20"/>
                <w:szCs w:val="20"/>
                <w:lang w:eastAsia="en-GB"/>
              </w:rPr>
            </w:pPr>
            <w:r w:rsidRPr="003A044E">
              <w:rPr>
                <w:rFonts w:eastAsia="Times New Roman" w:cstheme="minorHAnsi"/>
                <w:b/>
                <w:bCs/>
                <w:sz w:val="20"/>
                <w:szCs w:val="20"/>
                <w:lang w:eastAsia="en-GB"/>
              </w:rPr>
              <w:t xml:space="preserve">Cases (% of n=126 cases with free-text comment relating to family </w:t>
            </w:r>
            <w:r w:rsidR="00AE601E" w:rsidRPr="003A044E">
              <w:rPr>
                <w:rFonts w:eastAsia="Times New Roman" w:cstheme="minorHAnsi"/>
                <w:b/>
                <w:bCs/>
                <w:sz w:val="20"/>
                <w:szCs w:val="20"/>
                <w:lang w:eastAsia="en-GB"/>
              </w:rPr>
              <w:t>re</w:t>
            </w:r>
            <w:r w:rsidR="00AE601E">
              <w:rPr>
                <w:rFonts w:eastAsia="Times New Roman" w:cstheme="minorHAnsi"/>
                <w:b/>
                <w:bCs/>
                <w:sz w:val="20"/>
                <w:szCs w:val="20"/>
                <w:lang w:eastAsia="en-GB"/>
              </w:rPr>
              <w:t>asons</w:t>
            </w:r>
            <w:r w:rsidRPr="003A044E">
              <w:rPr>
                <w:rFonts w:eastAsia="Times New Roman" w:cstheme="minorHAnsi"/>
                <w:b/>
                <w:bCs/>
                <w:sz w:val="20"/>
                <w:szCs w:val="20"/>
                <w:lang w:eastAsia="en-GB"/>
              </w:rPr>
              <w:t>)</w:t>
            </w:r>
          </w:p>
        </w:tc>
      </w:tr>
      <w:tr w:rsidR="008964C2" w:rsidRPr="003A044E" w14:paraId="7D60172A" w14:textId="77777777" w:rsidTr="002275ED">
        <w:trPr>
          <w:trHeight w:val="255"/>
          <w:jc w:val="center"/>
        </w:trPr>
        <w:tc>
          <w:tcPr>
            <w:tcW w:w="4532" w:type="dxa"/>
            <w:shd w:val="clear" w:color="auto" w:fill="auto"/>
            <w:noWrap/>
            <w:vAlign w:val="bottom"/>
            <w:hideMark/>
          </w:tcPr>
          <w:p w14:paraId="277802C1" w14:textId="77777777" w:rsidR="008964C2" w:rsidRPr="000E0617" w:rsidRDefault="008964C2" w:rsidP="002275ED">
            <w:pPr>
              <w:spacing w:after="0" w:line="240" w:lineRule="auto"/>
              <w:rPr>
                <w:rFonts w:eastAsia="Times New Roman" w:cstheme="minorHAnsi"/>
                <w:i/>
                <w:iCs/>
                <w:sz w:val="20"/>
                <w:szCs w:val="20"/>
                <w:lang w:eastAsia="en-GB"/>
              </w:rPr>
            </w:pPr>
            <w:r w:rsidRPr="000E0617">
              <w:rPr>
                <w:rFonts w:eastAsia="Times New Roman" w:cstheme="minorHAnsi"/>
                <w:i/>
                <w:iCs/>
                <w:sz w:val="20"/>
                <w:szCs w:val="20"/>
                <w:lang w:eastAsia="en-GB"/>
              </w:rPr>
              <w:t>No additional information</w:t>
            </w:r>
          </w:p>
        </w:tc>
        <w:tc>
          <w:tcPr>
            <w:tcW w:w="1508" w:type="dxa"/>
            <w:shd w:val="clear" w:color="auto" w:fill="auto"/>
            <w:noWrap/>
            <w:vAlign w:val="bottom"/>
            <w:hideMark/>
          </w:tcPr>
          <w:p w14:paraId="420E7D68" w14:textId="77777777" w:rsidR="008964C2" w:rsidRPr="003A044E" w:rsidRDefault="008964C2" w:rsidP="002275ED">
            <w:pPr>
              <w:spacing w:after="0" w:line="240" w:lineRule="auto"/>
              <w:jc w:val="right"/>
              <w:rPr>
                <w:rFonts w:eastAsia="Times New Roman" w:cstheme="minorHAnsi"/>
                <w:sz w:val="20"/>
                <w:szCs w:val="20"/>
                <w:lang w:eastAsia="en-GB"/>
              </w:rPr>
            </w:pPr>
            <w:r w:rsidRPr="003A044E">
              <w:rPr>
                <w:rFonts w:eastAsia="Times New Roman" w:cstheme="minorHAnsi"/>
                <w:sz w:val="20"/>
                <w:szCs w:val="20"/>
                <w:lang w:eastAsia="en-GB"/>
              </w:rPr>
              <w:t>65</w:t>
            </w:r>
          </w:p>
        </w:tc>
        <w:tc>
          <w:tcPr>
            <w:tcW w:w="1800" w:type="dxa"/>
            <w:shd w:val="clear" w:color="auto" w:fill="auto"/>
            <w:noWrap/>
          </w:tcPr>
          <w:p w14:paraId="40EDC9B6" w14:textId="77777777" w:rsidR="008964C2" w:rsidRPr="003A044E" w:rsidRDefault="008964C2" w:rsidP="002275ED">
            <w:pPr>
              <w:spacing w:after="0" w:line="240" w:lineRule="auto"/>
              <w:jc w:val="right"/>
              <w:rPr>
                <w:rFonts w:eastAsia="Times New Roman" w:cstheme="minorHAnsi"/>
                <w:sz w:val="20"/>
                <w:szCs w:val="20"/>
                <w:lang w:eastAsia="en-GB"/>
              </w:rPr>
            </w:pPr>
            <w:r w:rsidRPr="003A044E">
              <w:rPr>
                <w:rFonts w:cstheme="minorHAnsi"/>
                <w:sz w:val="20"/>
                <w:szCs w:val="20"/>
              </w:rPr>
              <w:t>0.52</w:t>
            </w:r>
          </w:p>
        </w:tc>
      </w:tr>
      <w:tr w:rsidR="008964C2" w:rsidRPr="003A044E" w14:paraId="54C3159A" w14:textId="77777777" w:rsidTr="002275ED">
        <w:trPr>
          <w:trHeight w:val="255"/>
          <w:jc w:val="center"/>
        </w:trPr>
        <w:tc>
          <w:tcPr>
            <w:tcW w:w="4532" w:type="dxa"/>
            <w:shd w:val="clear" w:color="auto" w:fill="auto"/>
            <w:noWrap/>
            <w:vAlign w:val="bottom"/>
          </w:tcPr>
          <w:p w14:paraId="6A65B478" w14:textId="0C457ED6" w:rsidR="008964C2" w:rsidRPr="000E0617" w:rsidRDefault="008964C2" w:rsidP="002275ED">
            <w:pPr>
              <w:spacing w:after="0" w:line="240" w:lineRule="auto"/>
              <w:rPr>
                <w:rFonts w:eastAsia="Times New Roman" w:cstheme="minorHAnsi"/>
                <w:i/>
                <w:iCs/>
                <w:sz w:val="20"/>
                <w:szCs w:val="20"/>
                <w:lang w:eastAsia="en-GB"/>
              </w:rPr>
            </w:pPr>
            <w:r w:rsidRPr="000E0617">
              <w:rPr>
                <w:rFonts w:eastAsia="Times New Roman" w:cstheme="minorHAnsi"/>
                <w:i/>
                <w:iCs/>
                <w:sz w:val="20"/>
                <w:szCs w:val="20"/>
                <w:lang w:eastAsia="en-GB"/>
              </w:rPr>
              <w:t>Family uncomfor</w:t>
            </w:r>
            <w:r w:rsidR="00E22A32">
              <w:rPr>
                <w:rFonts w:eastAsia="Times New Roman" w:cstheme="minorHAnsi"/>
                <w:i/>
                <w:iCs/>
                <w:sz w:val="20"/>
                <w:szCs w:val="20"/>
                <w:lang w:eastAsia="en-GB"/>
              </w:rPr>
              <w:t>t</w:t>
            </w:r>
            <w:r w:rsidR="001919FA">
              <w:rPr>
                <w:rFonts w:eastAsia="Times New Roman" w:cstheme="minorHAnsi"/>
                <w:i/>
                <w:iCs/>
                <w:sz w:val="20"/>
                <w:szCs w:val="20"/>
                <w:lang w:eastAsia="en-GB"/>
              </w:rPr>
              <w:t xml:space="preserve">able </w:t>
            </w:r>
            <w:r w:rsidRPr="000E0617">
              <w:rPr>
                <w:rFonts w:eastAsia="Times New Roman" w:cstheme="minorHAnsi"/>
                <w:i/>
                <w:iCs/>
                <w:sz w:val="20"/>
                <w:szCs w:val="20"/>
                <w:lang w:eastAsia="en-GB"/>
              </w:rPr>
              <w:t>with eye donation</w:t>
            </w:r>
          </w:p>
        </w:tc>
        <w:tc>
          <w:tcPr>
            <w:tcW w:w="1508" w:type="dxa"/>
            <w:shd w:val="clear" w:color="auto" w:fill="auto"/>
            <w:noWrap/>
            <w:vAlign w:val="bottom"/>
          </w:tcPr>
          <w:p w14:paraId="5AC95681" w14:textId="77777777" w:rsidR="008964C2" w:rsidRPr="003A044E" w:rsidRDefault="008964C2" w:rsidP="002275ED">
            <w:pPr>
              <w:spacing w:after="0" w:line="240" w:lineRule="auto"/>
              <w:jc w:val="right"/>
              <w:rPr>
                <w:rFonts w:eastAsia="Times New Roman" w:cstheme="minorHAnsi"/>
                <w:sz w:val="20"/>
                <w:szCs w:val="20"/>
                <w:lang w:eastAsia="en-GB"/>
              </w:rPr>
            </w:pPr>
            <w:r w:rsidRPr="003A044E">
              <w:rPr>
                <w:rFonts w:eastAsia="Times New Roman" w:cstheme="minorHAnsi"/>
                <w:sz w:val="20"/>
                <w:szCs w:val="20"/>
                <w:lang w:eastAsia="en-GB"/>
              </w:rPr>
              <w:t>22</w:t>
            </w:r>
          </w:p>
        </w:tc>
        <w:tc>
          <w:tcPr>
            <w:tcW w:w="1800" w:type="dxa"/>
            <w:shd w:val="clear" w:color="auto" w:fill="auto"/>
            <w:noWrap/>
          </w:tcPr>
          <w:p w14:paraId="790876D1" w14:textId="77777777" w:rsidR="008964C2" w:rsidRPr="003A044E" w:rsidRDefault="008964C2" w:rsidP="002275ED">
            <w:pPr>
              <w:spacing w:after="0" w:line="240" w:lineRule="auto"/>
              <w:jc w:val="right"/>
              <w:rPr>
                <w:rFonts w:eastAsia="Times New Roman" w:cstheme="minorHAnsi"/>
                <w:sz w:val="20"/>
                <w:szCs w:val="20"/>
                <w:lang w:eastAsia="en-GB"/>
              </w:rPr>
            </w:pPr>
            <w:r w:rsidRPr="003A044E">
              <w:rPr>
                <w:rFonts w:cstheme="minorHAnsi"/>
                <w:sz w:val="20"/>
                <w:szCs w:val="20"/>
              </w:rPr>
              <w:t>0.17</w:t>
            </w:r>
          </w:p>
        </w:tc>
      </w:tr>
      <w:tr w:rsidR="008964C2" w:rsidRPr="003A044E" w14:paraId="618E6037" w14:textId="77777777" w:rsidTr="002275ED">
        <w:trPr>
          <w:trHeight w:val="255"/>
          <w:jc w:val="center"/>
        </w:trPr>
        <w:tc>
          <w:tcPr>
            <w:tcW w:w="4532" w:type="dxa"/>
            <w:shd w:val="clear" w:color="auto" w:fill="auto"/>
            <w:noWrap/>
            <w:vAlign w:val="bottom"/>
          </w:tcPr>
          <w:p w14:paraId="5B20A184" w14:textId="08D0658F" w:rsidR="008964C2" w:rsidRPr="000E0617" w:rsidRDefault="008964C2" w:rsidP="002275ED">
            <w:pPr>
              <w:spacing w:after="0" w:line="240" w:lineRule="auto"/>
              <w:rPr>
                <w:rFonts w:eastAsia="Times New Roman" w:cstheme="minorHAnsi"/>
                <w:i/>
                <w:iCs/>
                <w:sz w:val="20"/>
                <w:szCs w:val="20"/>
                <w:lang w:eastAsia="en-GB"/>
              </w:rPr>
            </w:pPr>
            <w:r w:rsidRPr="000E0617">
              <w:rPr>
                <w:rFonts w:eastAsia="Times New Roman" w:cstheme="minorHAnsi"/>
                <w:i/>
                <w:iCs/>
                <w:sz w:val="20"/>
                <w:szCs w:val="20"/>
                <w:lang w:eastAsia="en-GB"/>
              </w:rPr>
              <w:t>Family re</w:t>
            </w:r>
            <w:r w:rsidR="00AE601E">
              <w:rPr>
                <w:rFonts w:eastAsia="Times New Roman" w:cstheme="minorHAnsi"/>
                <w:i/>
                <w:iCs/>
                <w:sz w:val="20"/>
                <w:szCs w:val="20"/>
                <w:lang w:eastAsia="en-GB"/>
              </w:rPr>
              <w:t>asons</w:t>
            </w:r>
            <w:r w:rsidRPr="000E0617">
              <w:rPr>
                <w:rFonts w:eastAsia="Times New Roman" w:cstheme="minorHAnsi"/>
                <w:i/>
                <w:iCs/>
                <w:sz w:val="20"/>
                <w:szCs w:val="20"/>
                <w:lang w:eastAsia="en-GB"/>
              </w:rPr>
              <w:t xml:space="preserve"> indicated but case not classified as either ‘88-Family, not specified’ or ‘87-Family other reasons, please specify’</w:t>
            </w:r>
          </w:p>
        </w:tc>
        <w:tc>
          <w:tcPr>
            <w:tcW w:w="1508" w:type="dxa"/>
            <w:shd w:val="clear" w:color="auto" w:fill="auto"/>
            <w:noWrap/>
            <w:vAlign w:val="bottom"/>
          </w:tcPr>
          <w:p w14:paraId="0DE1265D" w14:textId="77777777" w:rsidR="008964C2" w:rsidRPr="003A044E" w:rsidRDefault="008964C2" w:rsidP="002275ED">
            <w:pPr>
              <w:spacing w:after="0" w:line="240" w:lineRule="auto"/>
              <w:jc w:val="right"/>
              <w:rPr>
                <w:rFonts w:eastAsia="Times New Roman" w:cstheme="minorHAnsi"/>
                <w:sz w:val="20"/>
                <w:szCs w:val="20"/>
                <w:lang w:eastAsia="en-GB"/>
              </w:rPr>
            </w:pPr>
            <w:r w:rsidRPr="003A044E">
              <w:rPr>
                <w:rFonts w:eastAsia="Times New Roman" w:cstheme="minorHAnsi"/>
                <w:sz w:val="20"/>
                <w:szCs w:val="20"/>
                <w:lang w:eastAsia="en-GB"/>
              </w:rPr>
              <w:t>17</w:t>
            </w:r>
          </w:p>
        </w:tc>
        <w:tc>
          <w:tcPr>
            <w:tcW w:w="1800" w:type="dxa"/>
            <w:shd w:val="clear" w:color="auto" w:fill="auto"/>
            <w:noWrap/>
          </w:tcPr>
          <w:p w14:paraId="1189765C" w14:textId="77777777" w:rsidR="008964C2" w:rsidRPr="003A044E" w:rsidRDefault="008964C2" w:rsidP="002275ED">
            <w:pPr>
              <w:spacing w:after="0" w:line="240" w:lineRule="auto"/>
              <w:jc w:val="right"/>
              <w:rPr>
                <w:rFonts w:eastAsia="Times New Roman" w:cstheme="minorHAnsi"/>
                <w:sz w:val="20"/>
                <w:szCs w:val="20"/>
                <w:lang w:eastAsia="en-GB"/>
              </w:rPr>
            </w:pPr>
            <w:r w:rsidRPr="003A044E">
              <w:rPr>
                <w:rFonts w:cstheme="minorHAnsi"/>
                <w:sz w:val="20"/>
                <w:szCs w:val="20"/>
              </w:rPr>
              <w:t>0.13</w:t>
            </w:r>
          </w:p>
        </w:tc>
      </w:tr>
      <w:tr w:rsidR="008964C2" w:rsidRPr="003A044E" w14:paraId="427AC9BF" w14:textId="77777777" w:rsidTr="002275ED">
        <w:trPr>
          <w:trHeight w:val="255"/>
          <w:jc w:val="center"/>
        </w:trPr>
        <w:tc>
          <w:tcPr>
            <w:tcW w:w="4532" w:type="dxa"/>
            <w:shd w:val="clear" w:color="auto" w:fill="auto"/>
            <w:noWrap/>
            <w:vAlign w:val="bottom"/>
            <w:hideMark/>
          </w:tcPr>
          <w:p w14:paraId="2E0E120C" w14:textId="77777777" w:rsidR="008964C2" w:rsidRPr="000E0617" w:rsidRDefault="008964C2" w:rsidP="002275ED">
            <w:pPr>
              <w:spacing w:after="0" w:line="240" w:lineRule="auto"/>
              <w:rPr>
                <w:rFonts w:eastAsia="Times New Roman" w:cstheme="minorHAnsi"/>
                <w:i/>
                <w:iCs/>
                <w:sz w:val="20"/>
                <w:szCs w:val="20"/>
                <w:lang w:eastAsia="en-GB"/>
              </w:rPr>
            </w:pPr>
            <w:bookmarkStart w:id="8" w:name="_Hlk44937339"/>
            <w:r w:rsidRPr="000E0617">
              <w:rPr>
                <w:rFonts w:eastAsia="Times New Roman" w:cstheme="minorHAnsi"/>
                <w:i/>
                <w:iCs/>
                <w:sz w:val="20"/>
                <w:szCs w:val="20"/>
                <w:lang w:eastAsia="en-GB"/>
              </w:rPr>
              <w:t>Consent for Solid organ donation but not eyes</w:t>
            </w:r>
            <w:bookmarkEnd w:id="8"/>
          </w:p>
        </w:tc>
        <w:tc>
          <w:tcPr>
            <w:tcW w:w="1508" w:type="dxa"/>
            <w:shd w:val="clear" w:color="auto" w:fill="auto"/>
            <w:noWrap/>
            <w:vAlign w:val="bottom"/>
            <w:hideMark/>
          </w:tcPr>
          <w:p w14:paraId="6CD717B2" w14:textId="77777777" w:rsidR="008964C2" w:rsidRPr="003A044E" w:rsidRDefault="008964C2" w:rsidP="002275ED">
            <w:pPr>
              <w:spacing w:after="0" w:line="240" w:lineRule="auto"/>
              <w:jc w:val="right"/>
              <w:rPr>
                <w:rFonts w:eastAsia="Times New Roman" w:cstheme="minorHAnsi"/>
                <w:sz w:val="20"/>
                <w:szCs w:val="20"/>
                <w:lang w:eastAsia="en-GB"/>
              </w:rPr>
            </w:pPr>
            <w:r w:rsidRPr="003A044E">
              <w:rPr>
                <w:rFonts w:eastAsia="Times New Roman" w:cstheme="minorHAnsi"/>
                <w:sz w:val="20"/>
                <w:szCs w:val="20"/>
                <w:lang w:eastAsia="en-GB"/>
              </w:rPr>
              <w:t>10</w:t>
            </w:r>
          </w:p>
        </w:tc>
        <w:tc>
          <w:tcPr>
            <w:tcW w:w="1800" w:type="dxa"/>
            <w:shd w:val="clear" w:color="auto" w:fill="auto"/>
            <w:noWrap/>
          </w:tcPr>
          <w:p w14:paraId="12B4F07E" w14:textId="77777777" w:rsidR="008964C2" w:rsidRPr="003A044E" w:rsidRDefault="008964C2" w:rsidP="002275ED">
            <w:pPr>
              <w:spacing w:after="0" w:line="240" w:lineRule="auto"/>
              <w:jc w:val="right"/>
              <w:rPr>
                <w:rFonts w:eastAsia="Times New Roman" w:cstheme="minorHAnsi"/>
                <w:sz w:val="20"/>
                <w:szCs w:val="20"/>
                <w:lang w:eastAsia="en-GB"/>
              </w:rPr>
            </w:pPr>
            <w:r w:rsidRPr="003A044E">
              <w:rPr>
                <w:rFonts w:cstheme="minorHAnsi"/>
                <w:sz w:val="20"/>
                <w:szCs w:val="20"/>
              </w:rPr>
              <w:t>0.08</w:t>
            </w:r>
          </w:p>
        </w:tc>
      </w:tr>
      <w:tr w:rsidR="008964C2" w:rsidRPr="003A044E" w14:paraId="21A17209" w14:textId="77777777" w:rsidTr="002275ED">
        <w:trPr>
          <w:trHeight w:val="255"/>
          <w:jc w:val="center"/>
        </w:trPr>
        <w:tc>
          <w:tcPr>
            <w:tcW w:w="4532" w:type="dxa"/>
            <w:shd w:val="clear" w:color="auto" w:fill="auto"/>
            <w:noWrap/>
            <w:vAlign w:val="bottom"/>
            <w:hideMark/>
          </w:tcPr>
          <w:p w14:paraId="7B9A7229" w14:textId="77777777" w:rsidR="008964C2" w:rsidRPr="000E0617" w:rsidRDefault="008964C2" w:rsidP="002275ED">
            <w:pPr>
              <w:spacing w:after="0" w:line="240" w:lineRule="auto"/>
              <w:rPr>
                <w:rFonts w:eastAsia="Times New Roman" w:cstheme="minorHAnsi"/>
                <w:i/>
                <w:iCs/>
                <w:sz w:val="20"/>
                <w:szCs w:val="20"/>
                <w:lang w:eastAsia="en-GB"/>
              </w:rPr>
            </w:pPr>
            <w:r w:rsidRPr="000E0617">
              <w:rPr>
                <w:rFonts w:eastAsia="Times New Roman" w:cstheme="minorHAnsi"/>
                <w:i/>
                <w:iCs/>
                <w:sz w:val="20"/>
                <w:szCs w:val="20"/>
                <w:lang w:eastAsia="en-GB"/>
              </w:rPr>
              <w:t>Nothing ‘visible' to be removed</w:t>
            </w:r>
          </w:p>
        </w:tc>
        <w:tc>
          <w:tcPr>
            <w:tcW w:w="1508" w:type="dxa"/>
            <w:shd w:val="clear" w:color="auto" w:fill="auto"/>
            <w:noWrap/>
            <w:vAlign w:val="bottom"/>
            <w:hideMark/>
          </w:tcPr>
          <w:p w14:paraId="6F1A7D90" w14:textId="77777777" w:rsidR="008964C2" w:rsidRPr="003A044E" w:rsidRDefault="008964C2" w:rsidP="002275ED">
            <w:pPr>
              <w:spacing w:after="0" w:line="240" w:lineRule="auto"/>
              <w:jc w:val="right"/>
              <w:rPr>
                <w:rFonts w:eastAsia="Times New Roman" w:cstheme="minorHAnsi"/>
                <w:sz w:val="20"/>
                <w:szCs w:val="20"/>
                <w:lang w:eastAsia="en-GB"/>
              </w:rPr>
            </w:pPr>
            <w:r w:rsidRPr="003A044E">
              <w:rPr>
                <w:rFonts w:eastAsia="Times New Roman" w:cstheme="minorHAnsi"/>
                <w:sz w:val="20"/>
                <w:szCs w:val="20"/>
                <w:lang w:eastAsia="en-GB"/>
              </w:rPr>
              <w:t>7</w:t>
            </w:r>
          </w:p>
        </w:tc>
        <w:tc>
          <w:tcPr>
            <w:tcW w:w="1800" w:type="dxa"/>
            <w:shd w:val="clear" w:color="auto" w:fill="auto"/>
            <w:noWrap/>
          </w:tcPr>
          <w:p w14:paraId="664FE217" w14:textId="77777777" w:rsidR="008964C2" w:rsidRPr="003A044E" w:rsidRDefault="008964C2" w:rsidP="002275ED">
            <w:pPr>
              <w:spacing w:after="0" w:line="240" w:lineRule="auto"/>
              <w:jc w:val="right"/>
              <w:rPr>
                <w:rFonts w:eastAsia="Times New Roman" w:cstheme="minorHAnsi"/>
                <w:sz w:val="20"/>
                <w:szCs w:val="20"/>
                <w:lang w:eastAsia="en-GB"/>
              </w:rPr>
            </w:pPr>
            <w:r w:rsidRPr="003A044E">
              <w:rPr>
                <w:rFonts w:cstheme="minorHAnsi"/>
                <w:sz w:val="20"/>
                <w:szCs w:val="20"/>
              </w:rPr>
              <w:t>0.06</w:t>
            </w:r>
          </w:p>
        </w:tc>
      </w:tr>
      <w:tr w:rsidR="008964C2" w:rsidRPr="003A044E" w14:paraId="2BBBC7D2" w14:textId="77777777" w:rsidTr="002275ED">
        <w:trPr>
          <w:trHeight w:val="255"/>
          <w:jc w:val="center"/>
        </w:trPr>
        <w:tc>
          <w:tcPr>
            <w:tcW w:w="4532" w:type="dxa"/>
            <w:shd w:val="clear" w:color="auto" w:fill="auto"/>
            <w:noWrap/>
            <w:vAlign w:val="bottom"/>
            <w:hideMark/>
          </w:tcPr>
          <w:p w14:paraId="49A08967" w14:textId="77777777" w:rsidR="008964C2" w:rsidRPr="000E0617" w:rsidRDefault="008964C2" w:rsidP="002275ED">
            <w:pPr>
              <w:spacing w:after="0" w:line="240" w:lineRule="auto"/>
              <w:rPr>
                <w:rFonts w:eastAsia="Times New Roman" w:cstheme="minorHAnsi"/>
                <w:i/>
                <w:iCs/>
                <w:sz w:val="20"/>
                <w:szCs w:val="20"/>
                <w:lang w:eastAsia="en-GB"/>
              </w:rPr>
            </w:pPr>
            <w:r w:rsidRPr="000E0617">
              <w:rPr>
                <w:rFonts w:eastAsia="Times New Roman" w:cstheme="minorHAnsi"/>
                <w:i/>
                <w:iCs/>
                <w:sz w:val="20"/>
                <w:szCs w:val="20"/>
                <w:lang w:eastAsia="en-GB"/>
              </w:rPr>
              <w:t>Family withdrew initial consent</w:t>
            </w:r>
          </w:p>
        </w:tc>
        <w:tc>
          <w:tcPr>
            <w:tcW w:w="1508" w:type="dxa"/>
            <w:shd w:val="clear" w:color="auto" w:fill="auto"/>
            <w:noWrap/>
            <w:vAlign w:val="bottom"/>
            <w:hideMark/>
          </w:tcPr>
          <w:p w14:paraId="2EC40EDC" w14:textId="77777777" w:rsidR="008964C2" w:rsidRPr="003A044E" w:rsidRDefault="008964C2" w:rsidP="002275ED">
            <w:pPr>
              <w:spacing w:after="0" w:line="240" w:lineRule="auto"/>
              <w:jc w:val="right"/>
              <w:rPr>
                <w:rFonts w:eastAsia="Times New Roman" w:cstheme="minorHAnsi"/>
                <w:sz w:val="20"/>
                <w:szCs w:val="20"/>
                <w:lang w:eastAsia="en-GB"/>
              </w:rPr>
            </w:pPr>
            <w:r w:rsidRPr="003A044E">
              <w:rPr>
                <w:rFonts w:eastAsia="Times New Roman" w:cstheme="minorHAnsi"/>
                <w:sz w:val="20"/>
                <w:szCs w:val="20"/>
                <w:lang w:eastAsia="en-GB"/>
              </w:rPr>
              <w:t>6</w:t>
            </w:r>
          </w:p>
        </w:tc>
        <w:tc>
          <w:tcPr>
            <w:tcW w:w="1800" w:type="dxa"/>
            <w:shd w:val="clear" w:color="auto" w:fill="auto"/>
            <w:noWrap/>
          </w:tcPr>
          <w:p w14:paraId="327ACA9D" w14:textId="77777777" w:rsidR="008964C2" w:rsidRPr="003A044E" w:rsidRDefault="008964C2" w:rsidP="002275ED">
            <w:pPr>
              <w:spacing w:after="0" w:line="240" w:lineRule="auto"/>
              <w:jc w:val="right"/>
              <w:rPr>
                <w:rFonts w:eastAsia="Times New Roman" w:cstheme="minorHAnsi"/>
                <w:sz w:val="20"/>
                <w:szCs w:val="20"/>
                <w:lang w:eastAsia="en-GB"/>
              </w:rPr>
            </w:pPr>
            <w:r w:rsidRPr="003A044E">
              <w:rPr>
                <w:rFonts w:cstheme="minorHAnsi"/>
                <w:sz w:val="20"/>
                <w:szCs w:val="20"/>
              </w:rPr>
              <w:t>0.05</w:t>
            </w:r>
          </w:p>
        </w:tc>
      </w:tr>
      <w:tr w:rsidR="008964C2" w:rsidRPr="003A044E" w14:paraId="617E0E13" w14:textId="77777777" w:rsidTr="003F16C8">
        <w:trPr>
          <w:trHeight w:val="570"/>
          <w:jc w:val="center"/>
        </w:trPr>
        <w:tc>
          <w:tcPr>
            <w:tcW w:w="4532" w:type="dxa"/>
            <w:shd w:val="clear" w:color="auto" w:fill="auto"/>
            <w:vAlign w:val="bottom"/>
            <w:hideMark/>
          </w:tcPr>
          <w:p w14:paraId="5DED9483" w14:textId="77777777" w:rsidR="008964C2" w:rsidRPr="004B3FB3" w:rsidRDefault="008964C2" w:rsidP="002275ED">
            <w:pPr>
              <w:spacing w:after="0" w:line="240" w:lineRule="auto"/>
              <w:rPr>
                <w:rFonts w:eastAsia="Times New Roman" w:cstheme="minorHAnsi"/>
                <w:sz w:val="20"/>
                <w:szCs w:val="20"/>
                <w:lang w:eastAsia="en-GB"/>
              </w:rPr>
            </w:pPr>
            <w:r w:rsidRPr="004B3FB3">
              <w:rPr>
                <w:rFonts w:eastAsia="Times New Roman" w:cstheme="minorHAnsi"/>
                <w:sz w:val="20"/>
                <w:szCs w:val="20"/>
                <w:lang w:eastAsia="en-GB"/>
              </w:rPr>
              <w:t>Family Infer Patient Wishes</w:t>
            </w:r>
            <w:r w:rsidRPr="004B3FB3">
              <w:rPr>
                <w:rFonts w:eastAsia="Times New Roman" w:cstheme="minorHAnsi"/>
                <w:sz w:val="20"/>
                <w:szCs w:val="20"/>
                <w:lang w:eastAsia="en-GB"/>
              </w:rPr>
              <w:br/>
              <w:t xml:space="preserve">(e.g. </w:t>
            </w:r>
            <w:proofErr w:type="spellStart"/>
            <w:r w:rsidRPr="004B3FB3">
              <w:rPr>
                <w:rFonts w:eastAsia="Times New Roman" w:cstheme="minorHAnsi"/>
                <w:sz w:val="20"/>
                <w:szCs w:val="20"/>
                <w:lang w:eastAsia="en-GB"/>
              </w:rPr>
              <w:t>NoK</w:t>
            </w:r>
            <w:proofErr w:type="spellEnd"/>
            <w:r w:rsidRPr="004B3FB3">
              <w:rPr>
                <w:rFonts w:eastAsia="Times New Roman" w:cstheme="minorHAnsi"/>
                <w:sz w:val="20"/>
                <w:szCs w:val="20"/>
                <w:lang w:eastAsia="en-GB"/>
              </w:rPr>
              <w:t xml:space="preserve"> recorded as indicating deceased 'would not have wanted' eye donation)</w:t>
            </w:r>
          </w:p>
        </w:tc>
        <w:tc>
          <w:tcPr>
            <w:tcW w:w="1508" w:type="dxa"/>
            <w:shd w:val="clear" w:color="auto" w:fill="auto"/>
            <w:noWrap/>
            <w:vAlign w:val="bottom"/>
            <w:hideMark/>
          </w:tcPr>
          <w:p w14:paraId="7E673B87" w14:textId="77777777" w:rsidR="008964C2" w:rsidRPr="003A044E" w:rsidRDefault="008964C2" w:rsidP="002275ED">
            <w:pPr>
              <w:spacing w:after="0" w:line="240" w:lineRule="auto"/>
              <w:jc w:val="right"/>
              <w:rPr>
                <w:rFonts w:eastAsia="Times New Roman" w:cstheme="minorHAnsi"/>
                <w:sz w:val="20"/>
                <w:szCs w:val="20"/>
                <w:lang w:eastAsia="en-GB"/>
              </w:rPr>
            </w:pPr>
            <w:r w:rsidRPr="003A044E">
              <w:rPr>
                <w:rFonts w:eastAsia="Times New Roman" w:cstheme="minorHAnsi"/>
                <w:sz w:val="20"/>
                <w:szCs w:val="20"/>
                <w:lang w:eastAsia="en-GB"/>
              </w:rPr>
              <w:t>3</w:t>
            </w:r>
          </w:p>
        </w:tc>
        <w:tc>
          <w:tcPr>
            <w:tcW w:w="1800" w:type="dxa"/>
            <w:shd w:val="clear" w:color="auto" w:fill="auto"/>
            <w:noWrap/>
            <w:vAlign w:val="bottom"/>
          </w:tcPr>
          <w:p w14:paraId="5963B75B" w14:textId="77777777" w:rsidR="008964C2" w:rsidRPr="003A044E" w:rsidRDefault="008964C2" w:rsidP="003F16C8">
            <w:pPr>
              <w:spacing w:after="0" w:line="240" w:lineRule="auto"/>
              <w:jc w:val="right"/>
              <w:rPr>
                <w:rFonts w:eastAsia="Times New Roman" w:cstheme="minorHAnsi"/>
                <w:sz w:val="20"/>
                <w:szCs w:val="20"/>
                <w:lang w:eastAsia="en-GB"/>
              </w:rPr>
            </w:pPr>
            <w:r w:rsidRPr="003A044E">
              <w:rPr>
                <w:rFonts w:cstheme="minorHAnsi"/>
                <w:sz w:val="20"/>
                <w:szCs w:val="20"/>
              </w:rPr>
              <w:t>0.02</w:t>
            </w:r>
          </w:p>
        </w:tc>
      </w:tr>
      <w:tr w:rsidR="008964C2" w:rsidRPr="003A044E" w14:paraId="10A240B2" w14:textId="77777777" w:rsidTr="002275ED">
        <w:trPr>
          <w:trHeight w:val="255"/>
          <w:jc w:val="center"/>
        </w:trPr>
        <w:tc>
          <w:tcPr>
            <w:tcW w:w="4532" w:type="dxa"/>
            <w:shd w:val="clear" w:color="auto" w:fill="auto"/>
            <w:noWrap/>
            <w:vAlign w:val="bottom"/>
            <w:hideMark/>
          </w:tcPr>
          <w:p w14:paraId="3BEEDDF2" w14:textId="7E6F5453" w:rsidR="008964C2" w:rsidRPr="004B3FB3" w:rsidRDefault="008964C2" w:rsidP="002275ED">
            <w:pPr>
              <w:spacing w:after="0" w:line="240" w:lineRule="auto"/>
              <w:rPr>
                <w:rFonts w:eastAsia="Times New Roman" w:cstheme="minorHAnsi"/>
                <w:sz w:val="20"/>
                <w:szCs w:val="20"/>
                <w:lang w:eastAsia="en-GB"/>
              </w:rPr>
            </w:pPr>
            <w:r w:rsidRPr="004B3FB3">
              <w:rPr>
                <w:rFonts w:eastAsia="Times New Roman" w:cstheme="minorHAnsi"/>
                <w:sz w:val="20"/>
                <w:szCs w:val="20"/>
                <w:lang w:eastAsia="en-GB"/>
              </w:rPr>
              <w:t xml:space="preserve">Family </w:t>
            </w:r>
            <w:r w:rsidR="00E22A32">
              <w:rPr>
                <w:rFonts w:eastAsia="Times New Roman" w:cstheme="minorHAnsi"/>
                <w:sz w:val="20"/>
                <w:szCs w:val="20"/>
                <w:lang w:eastAsia="en-GB"/>
              </w:rPr>
              <w:t>r</w:t>
            </w:r>
            <w:r w:rsidRPr="004B3FB3">
              <w:rPr>
                <w:rFonts w:eastAsia="Times New Roman" w:cstheme="minorHAnsi"/>
                <w:sz w:val="20"/>
                <w:szCs w:val="20"/>
                <w:lang w:eastAsia="en-GB"/>
              </w:rPr>
              <w:t xml:space="preserve">efuse </w:t>
            </w:r>
            <w:r w:rsidR="00E22A32">
              <w:rPr>
                <w:rFonts w:eastAsia="Times New Roman" w:cstheme="minorHAnsi"/>
                <w:sz w:val="20"/>
                <w:szCs w:val="20"/>
                <w:lang w:eastAsia="en-GB"/>
              </w:rPr>
              <w:t>m</w:t>
            </w:r>
            <w:r w:rsidRPr="004B3FB3">
              <w:rPr>
                <w:rFonts w:eastAsia="Times New Roman" w:cstheme="minorHAnsi"/>
                <w:sz w:val="20"/>
                <w:szCs w:val="20"/>
                <w:lang w:eastAsia="en-GB"/>
              </w:rPr>
              <w:t xml:space="preserve">oving of </w:t>
            </w:r>
            <w:r w:rsidR="00E22A32">
              <w:rPr>
                <w:rFonts w:eastAsia="Times New Roman" w:cstheme="minorHAnsi"/>
                <w:sz w:val="20"/>
                <w:szCs w:val="20"/>
                <w:lang w:eastAsia="en-GB"/>
              </w:rPr>
              <w:t>b</w:t>
            </w:r>
            <w:r w:rsidRPr="004B3FB3">
              <w:rPr>
                <w:rFonts w:eastAsia="Times New Roman" w:cstheme="minorHAnsi"/>
                <w:sz w:val="20"/>
                <w:szCs w:val="20"/>
                <w:lang w:eastAsia="en-GB"/>
              </w:rPr>
              <w:t xml:space="preserve">ody for </w:t>
            </w:r>
            <w:r w:rsidR="00E22A32">
              <w:rPr>
                <w:rFonts w:eastAsia="Times New Roman" w:cstheme="minorHAnsi"/>
                <w:sz w:val="20"/>
                <w:szCs w:val="20"/>
                <w:lang w:eastAsia="en-GB"/>
              </w:rPr>
              <w:t>r</w:t>
            </w:r>
            <w:r w:rsidRPr="004B3FB3">
              <w:rPr>
                <w:rFonts w:eastAsia="Times New Roman" w:cstheme="minorHAnsi"/>
                <w:sz w:val="20"/>
                <w:szCs w:val="20"/>
                <w:lang w:eastAsia="en-GB"/>
              </w:rPr>
              <w:t>etrieval</w:t>
            </w:r>
          </w:p>
        </w:tc>
        <w:tc>
          <w:tcPr>
            <w:tcW w:w="1508" w:type="dxa"/>
            <w:shd w:val="clear" w:color="auto" w:fill="auto"/>
            <w:noWrap/>
            <w:vAlign w:val="bottom"/>
            <w:hideMark/>
          </w:tcPr>
          <w:p w14:paraId="55C56E18" w14:textId="77777777" w:rsidR="008964C2" w:rsidRPr="003A044E" w:rsidRDefault="008964C2" w:rsidP="002275ED">
            <w:pPr>
              <w:spacing w:after="0" w:line="240" w:lineRule="auto"/>
              <w:jc w:val="right"/>
              <w:rPr>
                <w:rFonts w:eastAsia="Times New Roman" w:cstheme="minorHAnsi"/>
                <w:sz w:val="20"/>
                <w:szCs w:val="20"/>
                <w:lang w:eastAsia="en-GB"/>
              </w:rPr>
            </w:pPr>
            <w:r w:rsidRPr="003A044E">
              <w:rPr>
                <w:rFonts w:eastAsia="Times New Roman" w:cstheme="minorHAnsi"/>
                <w:sz w:val="20"/>
                <w:szCs w:val="20"/>
                <w:lang w:eastAsia="en-GB"/>
              </w:rPr>
              <w:t>3</w:t>
            </w:r>
          </w:p>
        </w:tc>
        <w:tc>
          <w:tcPr>
            <w:tcW w:w="1800" w:type="dxa"/>
            <w:shd w:val="clear" w:color="auto" w:fill="auto"/>
            <w:noWrap/>
          </w:tcPr>
          <w:p w14:paraId="121D7F1D" w14:textId="77777777" w:rsidR="008964C2" w:rsidRPr="003A044E" w:rsidRDefault="008964C2" w:rsidP="002275ED">
            <w:pPr>
              <w:spacing w:after="0" w:line="240" w:lineRule="auto"/>
              <w:jc w:val="right"/>
              <w:rPr>
                <w:rFonts w:eastAsia="Times New Roman" w:cstheme="minorHAnsi"/>
                <w:sz w:val="20"/>
                <w:szCs w:val="20"/>
                <w:lang w:eastAsia="en-GB"/>
              </w:rPr>
            </w:pPr>
            <w:r w:rsidRPr="003A044E">
              <w:rPr>
                <w:rFonts w:cstheme="minorHAnsi"/>
                <w:sz w:val="20"/>
                <w:szCs w:val="20"/>
              </w:rPr>
              <w:t>0.02</w:t>
            </w:r>
          </w:p>
        </w:tc>
      </w:tr>
      <w:tr w:rsidR="008964C2" w:rsidRPr="003A044E" w14:paraId="3BCD703B" w14:textId="77777777" w:rsidTr="002275ED">
        <w:trPr>
          <w:trHeight w:val="255"/>
          <w:jc w:val="center"/>
        </w:trPr>
        <w:tc>
          <w:tcPr>
            <w:tcW w:w="4532" w:type="dxa"/>
            <w:shd w:val="clear" w:color="auto" w:fill="auto"/>
            <w:noWrap/>
            <w:vAlign w:val="bottom"/>
            <w:hideMark/>
          </w:tcPr>
          <w:p w14:paraId="3B98B93E" w14:textId="77777777" w:rsidR="008964C2" w:rsidRPr="004B3FB3" w:rsidRDefault="008964C2" w:rsidP="002275ED">
            <w:pPr>
              <w:spacing w:after="0" w:line="240" w:lineRule="auto"/>
              <w:rPr>
                <w:rFonts w:eastAsia="Times New Roman" w:cstheme="minorHAnsi"/>
                <w:sz w:val="20"/>
                <w:szCs w:val="20"/>
                <w:lang w:eastAsia="en-GB"/>
              </w:rPr>
            </w:pPr>
            <w:r w:rsidRPr="004B3FB3">
              <w:rPr>
                <w:rFonts w:eastAsia="Times New Roman" w:cstheme="minorHAnsi"/>
                <w:sz w:val="20"/>
                <w:szCs w:val="20"/>
                <w:lang w:eastAsia="en-GB"/>
              </w:rPr>
              <w:t>No ODR restrictions but family refuse eye donation</w:t>
            </w:r>
          </w:p>
        </w:tc>
        <w:tc>
          <w:tcPr>
            <w:tcW w:w="1508" w:type="dxa"/>
            <w:shd w:val="clear" w:color="auto" w:fill="auto"/>
            <w:noWrap/>
            <w:vAlign w:val="bottom"/>
            <w:hideMark/>
          </w:tcPr>
          <w:p w14:paraId="6D074B6C" w14:textId="77777777" w:rsidR="008964C2" w:rsidRPr="003A044E" w:rsidRDefault="008964C2" w:rsidP="002275ED">
            <w:pPr>
              <w:spacing w:after="0" w:line="240" w:lineRule="auto"/>
              <w:jc w:val="right"/>
              <w:rPr>
                <w:rFonts w:eastAsia="Times New Roman" w:cstheme="minorHAnsi"/>
                <w:sz w:val="20"/>
                <w:szCs w:val="20"/>
                <w:lang w:eastAsia="en-GB"/>
              </w:rPr>
            </w:pPr>
            <w:r w:rsidRPr="003A044E">
              <w:rPr>
                <w:rFonts w:eastAsia="Times New Roman" w:cstheme="minorHAnsi"/>
                <w:sz w:val="20"/>
                <w:szCs w:val="20"/>
                <w:lang w:eastAsia="en-GB"/>
              </w:rPr>
              <w:t>2</w:t>
            </w:r>
          </w:p>
        </w:tc>
        <w:tc>
          <w:tcPr>
            <w:tcW w:w="1800" w:type="dxa"/>
            <w:shd w:val="clear" w:color="auto" w:fill="auto"/>
            <w:noWrap/>
          </w:tcPr>
          <w:p w14:paraId="4BE56E83" w14:textId="77777777" w:rsidR="008964C2" w:rsidRPr="003A044E" w:rsidRDefault="008964C2" w:rsidP="002275ED">
            <w:pPr>
              <w:spacing w:after="0" w:line="240" w:lineRule="auto"/>
              <w:jc w:val="right"/>
              <w:rPr>
                <w:rFonts w:eastAsia="Times New Roman" w:cstheme="minorHAnsi"/>
                <w:sz w:val="20"/>
                <w:szCs w:val="20"/>
                <w:lang w:eastAsia="en-GB"/>
              </w:rPr>
            </w:pPr>
            <w:r w:rsidRPr="003A044E">
              <w:rPr>
                <w:rFonts w:cstheme="minorHAnsi"/>
                <w:sz w:val="20"/>
                <w:szCs w:val="20"/>
              </w:rPr>
              <w:t>0.02</w:t>
            </w:r>
          </w:p>
        </w:tc>
      </w:tr>
      <w:tr w:rsidR="008964C2" w:rsidRPr="003A044E" w14:paraId="6663B599" w14:textId="77777777" w:rsidTr="002275ED">
        <w:trPr>
          <w:trHeight w:val="255"/>
          <w:jc w:val="center"/>
        </w:trPr>
        <w:tc>
          <w:tcPr>
            <w:tcW w:w="4532" w:type="dxa"/>
            <w:shd w:val="clear" w:color="auto" w:fill="auto"/>
            <w:noWrap/>
            <w:vAlign w:val="bottom"/>
          </w:tcPr>
          <w:p w14:paraId="53575CB3" w14:textId="3FEF7C15" w:rsidR="008964C2" w:rsidRPr="004B3FB3" w:rsidRDefault="008964C2" w:rsidP="002275ED">
            <w:pPr>
              <w:spacing w:after="0" w:line="240" w:lineRule="auto"/>
              <w:rPr>
                <w:rFonts w:eastAsia="Times New Roman" w:cstheme="minorHAnsi"/>
                <w:sz w:val="20"/>
                <w:szCs w:val="20"/>
                <w:lang w:eastAsia="en-GB"/>
              </w:rPr>
            </w:pPr>
            <w:r w:rsidRPr="004B3FB3">
              <w:rPr>
                <w:rFonts w:eastAsia="Times New Roman" w:cstheme="minorHAnsi"/>
                <w:sz w:val="20"/>
                <w:szCs w:val="20"/>
                <w:lang w:eastAsia="en-GB"/>
              </w:rPr>
              <w:t xml:space="preserve">Family </w:t>
            </w:r>
            <w:r w:rsidR="00AE601E" w:rsidRPr="004B3FB3">
              <w:rPr>
                <w:rFonts w:eastAsia="Times New Roman" w:cstheme="minorHAnsi"/>
                <w:sz w:val="20"/>
                <w:szCs w:val="20"/>
                <w:lang w:eastAsia="en-GB"/>
              </w:rPr>
              <w:t>reasons</w:t>
            </w:r>
            <w:r w:rsidRPr="004B3FB3">
              <w:rPr>
                <w:rFonts w:eastAsia="Times New Roman" w:cstheme="minorHAnsi"/>
                <w:sz w:val="20"/>
                <w:szCs w:val="20"/>
                <w:lang w:eastAsia="en-GB"/>
              </w:rPr>
              <w:t xml:space="preserve"> </w:t>
            </w:r>
            <w:r w:rsidR="00E22A32">
              <w:rPr>
                <w:rFonts w:eastAsia="Times New Roman" w:cstheme="minorHAnsi"/>
                <w:sz w:val="20"/>
                <w:szCs w:val="20"/>
                <w:lang w:eastAsia="en-GB"/>
              </w:rPr>
              <w:t>d</w:t>
            </w:r>
            <w:r w:rsidRPr="004B3FB3">
              <w:rPr>
                <w:rFonts w:eastAsia="Times New Roman" w:cstheme="minorHAnsi"/>
                <w:sz w:val="20"/>
                <w:szCs w:val="20"/>
                <w:lang w:eastAsia="en-GB"/>
              </w:rPr>
              <w:t xml:space="preserve">ue to </w:t>
            </w:r>
            <w:r w:rsidR="00E22A32">
              <w:rPr>
                <w:rFonts w:eastAsia="Times New Roman" w:cstheme="minorHAnsi"/>
                <w:sz w:val="20"/>
                <w:szCs w:val="20"/>
                <w:lang w:eastAsia="en-GB"/>
              </w:rPr>
              <w:t>r</w:t>
            </w:r>
            <w:r w:rsidRPr="004B3FB3">
              <w:rPr>
                <w:rFonts w:eastAsia="Times New Roman" w:cstheme="minorHAnsi"/>
                <w:sz w:val="20"/>
                <w:szCs w:val="20"/>
                <w:lang w:eastAsia="en-GB"/>
              </w:rPr>
              <w:t xml:space="preserve">eligious </w:t>
            </w:r>
            <w:r w:rsidR="00E22A32">
              <w:rPr>
                <w:rFonts w:eastAsia="Times New Roman" w:cstheme="minorHAnsi"/>
                <w:sz w:val="20"/>
                <w:szCs w:val="20"/>
                <w:lang w:eastAsia="en-GB"/>
              </w:rPr>
              <w:t>r</w:t>
            </w:r>
            <w:r w:rsidRPr="004B3FB3">
              <w:rPr>
                <w:rFonts w:eastAsia="Times New Roman" w:cstheme="minorHAnsi"/>
                <w:sz w:val="20"/>
                <w:szCs w:val="20"/>
                <w:lang w:eastAsia="en-GB"/>
              </w:rPr>
              <w:t>easons</w:t>
            </w:r>
          </w:p>
        </w:tc>
        <w:tc>
          <w:tcPr>
            <w:tcW w:w="1508" w:type="dxa"/>
            <w:shd w:val="clear" w:color="auto" w:fill="auto"/>
            <w:noWrap/>
            <w:vAlign w:val="bottom"/>
          </w:tcPr>
          <w:p w14:paraId="598C33FD" w14:textId="77777777" w:rsidR="008964C2" w:rsidRPr="003A044E" w:rsidRDefault="008964C2" w:rsidP="002275ED">
            <w:pPr>
              <w:spacing w:after="0" w:line="240" w:lineRule="auto"/>
              <w:jc w:val="right"/>
              <w:rPr>
                <w:rFonts w:eastAsia="Times New Roman" w:cstheme="minorHAnsi"/>
                <w:sz w:val="20"/>
                <w:szCs w:val="20"/>
                <w:lang w:eastAsia="en-GB"/>
              </w:rPr>
            </w:pPr>
            <w:r w:rsidRPr="003A044E">
              <w:rPr>
                <w:rFonts w:eastAsia="Times New Roman" w:cstheme="minorHAnsi"/>
                <w:sz w:val="20"/>
                <w:szCs w:val="20"/>
                <w:lang w:eastAsia="en-GB"/>
              </w:rPr>
              <w:t>2</w:t>
            </w:r>
          </w:p>
        </w:tc>
        <w:tc>
          <w:tcPr>
            <w:tcW w:w="1800" w:type="dxa"/>
            <w:shd w:val="clear" w:color="auto" w:fill="auto"/>
            <w:noWrap/>
          </w:tcPr>
          <w:p w14:paraId="72B35F80" w14:textId="77777777" w:rsidR="008964C2" w:rsidRPr="003A044E" w:rsidRDefault="008964C2" w:rsidP="002275ED">
            <w:pPr>
              <w:spacing w:after="0" w:line="240" w:lineRule="auto"/>
              <w:jc w:val="right"/>
              <w:rPr>
                <w:rFonts w:cstheme="minorHAnsi"/>
                <w:sz w:val="20"/>
                <w:szCs w:val="20"/>
              </w:rPr>
            </w:pPr>
            <w:r w:rsidRPr="003A044E">
              <w:rPr>
                <w:rFonts w:cstheme="minorHAnsi"/>
                <w:sz w:val="20"/>
                <w:szCs w:val="20"/>
              </w:rPr>
              <w:t>0.02</w:t>
            </w:r>
          </w:p>
        </w:tc>
      </w:tr>
      <w:tr w:rsidR="008964C2" w:rsidRPr="003A044E" w14:paraId="20AFDE0B" w14:textId="77777777" w:rsidTr="002275ED">
        <w:trPr>
          <w:trHeight w:val="255"/>
          <w:jc w:val="center"/>
        </w:trPr>
        <w:tc>
          <w:tcPr>
            <w:tcW w:w="4532" w:type="dxa"/>
            <w:shd w:val="clear" w:color="auto" w:fill="auto"/>
            <w:noWrap/>
            <w:vAlign w:val="bottom"/>
            <w:hideMark/>
          </w:tcPr>
          <w:p w14:paraId="1A3A916A" w14:textId="77777777" w:rsidR="008964C2" w:rsidRPr="004B3FB3" w:rsidRDefault="008964C2" w:rsidP="002275ED">
            <w:pPr>
              <w:spacing w:after="0" w:line="240" w:lineRule="auto"/>
              <w:rPr>
                <w:rFonts w:eastAsia="Times New Roman" w:cstheme="minorHAnsi"/>
                <w:sz w:val="20"/>
                <w:szCs w:val="20"/>
                <w:lang w:eastAsia="en-GB"/>
              </w:rPr>
            </w:pPr>
            <w:r w:rsidRPr="004B3FB3">
              <w:rPr>
                <w:rFonts w:eastAsia="Times New Roman" w:cstheme="minorHAnsi"/>
                <w:sz w:val="20"/>
                <w:szCs w:val="20"/>
                <w:lang w:eastAsia="en-GB"/>
              </w:rPr>
              <w:t>Tendons only</w:t>
            </w:r>
          </w:p>
        </w:tc>
        <w:tc>
          <w:tcPr>
            <w:tcW w:w="1508" w:type="dxa"/>
            <w:shd w:val="clear" w:color="auto" w:fill="auto"/>
            <w:noWrap/>
            <w:vAlign w:val="bottom"/>
            <w:hideMark/>
          </w:tcPr>
          <w:p w14:paraId="53E95963" w14:textId="77777777" w:rsidR="008964C2" w:rsidRPr="003A044E" w:rsidRDefault="008964C2" w:rsidP="002275ED">
            <w:pPr>
              <w:spacing w:after="0" w:line="240" w:lineRule="auto"/>
              <w:jc w:val="right"/>
              <w:rPr>
                <w:rFonts w:eastAsia="Times New Roman" w:cstheme="minorHAnsi"/>
                <w:sz w:val="20"/>
                <w:szCs w:val="20"/>
                <w:lang w:eastAsia="en-GB"/>
              </w:rPr>
            </w:pPr>
            <w:r w:rsidRPr="003A044E">
              <w:rPr>
                <w:rFonts w:eastAsia="Times New Roman" w:cstheme="minorHAnsi"/>
                <w:sz w:val="20"/>
                <w:szCs w:val="20"/>
                <w:lang w:eastAsia="en-GB"/>
              </w:rPr>
              <w:t>1</w:t>
            </w:r>
          </w:p>
        </w:tc>
        <w:tc>
          <w:tcPr>
            <w:tcW w:w="1800" w:type="dxa"/>
            <w:shd w:val="clear" w:color="auto" w:fill="auto"/>
            <w:noWrap/>
          </w:tcPr>
          <w:p w14:paraId="3A17088D" w14:textId="77777777" w:rsidR="008964C2" w:rsidRPr="003A044E" w:rsidRDefault="008964C2" w:rsidP="002275ED">
            <w:pPr>
              <w:spacing w:after="0" w:line="240" w:lineRule="auto"/>
              <w:jc w:val="right"/>
              <w:rPr>
                <w:rFonts w:eastAsia="Times New Roman" w:cstheme="minorHAnsi"/>
                <w:sz w:val="20"/>
                <w:szCs w:val="20"/>
                <w:lang w:eastAsia="en-GB"/>
              </w:rPr>
            </w:pPr>
            <w:r w:rsidRPr="003A044E">
              <w:rPr>
                <w:rFonts w:cstheme="minorHAnsi"/>
                <w:sz w:val="20"/>
                <w:szCs w:val="20"/>
              </w:rPr>
              <w:t>0.01</w:t>
            </w:r>
          </w:p>
        </w:tc>
      </w:tr>
      <w:tr w:rsidR="008964C2" w:rsidRPr="003A044E" w14:paraId="422FC10A" w14:textId="77777777" w:rsidTr="002275ED">
        <w:trPr>
          <w:trHeight w:val="255"/>
          <w:jc w:val="center"/>
        </w:trPr>
        <w:tc>
          <w:tcPr>
            <w:tcW w:w="4532" w:type="dxa"/>
            <w:shd w:val="clear" w:color="auto" w:fill="auto"/>
            <w:noWrap/>
            <w:vAlign w:val="bottom"/>
            <w:hideMark/>
          </w:tcPr>
          <w:p w14:paraId="15E61727" w14:textId="54A42985" w:rsidR="008964C2" w:rsidRPr="004B3FB3" w:rsidRDefault="008964C2" w:rsidP="002275ED">
            <w:pPr>
              <w:spacing w:after="0" w:line="240" w:lineRule="auto"/>
              <w:rPr>
                <w:rFonts w:eastAsia="Times New Roman" w:cstheme="minorHAnsi"/>
                <w:sz w:val="20"/>
                <w:szCs w:val="20"/>
                <w:lang w:eastAsia="en-GB"/>
              </w:rPr>
            </w:pPr>
            <w:r w:rsidRPr="004B3FB3">
              <w:rPr>
                <w:rFonts w:eastAsia="Times New Roman" w:cstheme="minorHAnsi"/>
                <w:sz w:val="20"/>
                <w:szCs w:val="20"/>
                <w:lang w:eastAsia="en-GB"/>
              </w:rPr>
              <w:t xml:space="preserve">Family </w:t>
            </w:r>
            <w:r w:rsidR="00E22A32">
              <w:rPr>
                <w:rFonts w:eastAsia="Times New Roman" w:cstheme="minorHAnsi"/>
                <w:sz w:val="20"/>
                <w:szCs w:val="20"/>
                <w:lang w:eastAsia="en-GB"/>
              </w:rPr>
              <w:t>w</w:t>
            </w:r>
            <w:r w:rsidRPr="004B3FB3">
              <w:rPr>
                <w:rFonts w:eastAsia="Times New Roman" w:cstheme="minorHAnsi"/>
                <w:sz w:val="20"/>
                <w:szCs w:val="20"/>
                <w:lang w:eastAsia="en-GB"/>
              </w:rPr>
              <w:t xml:space="preserve">ish to </w:t>
            </w:r>
            <w:r w:rsidR="00E22A32">
              <w:rPr>
                <w:rFonts w:eastAsia="Times New Roman" w:cstheme="minorHAnsi"/>
                <w:sz w:val="20"/>
                <w:szCs w:val="20"/>
                <w:lang w:eastAsia="en-GB"/>
              </w:rPr>
              <w:t>d</w:t>
            </w:r>
            <w:r w:rsidRPr="004B3FB3">
              <w:rPr>
                <w:rFonts w:eastAsia="Times New Roman" w:cstheme="minorHAnsi"/>
                <w:sz w:val="20"/>
                <w:szCs w:val="20"/>
                <w:lang w:eastAsia="en-GB"/>
              </w:rPr>
              <w:t xml:space="preserve">onate to </w:t>
            </w:r>
            <w:r w:rsidR="00E22A32">
              <w:rPr>
                <w:rFonts w:eastAsia="Times New Roman" w:cstheme="minorHAnsi"/>
                <w:sz w:val="20"/>
                <w:szCs w:val="20"/>
                <w:lang w:eastAsia="en-GB"/>
              </w:rPr>
              <w:t>s</w:t>
            </w:r>
            <w:r w:rsidRPr="004B3FB3">
              <w:rPr>
                <w:rFonts w:eastAsia="Times New Roman" w:cstheme="minorHAnsi"/>
                <w:sz w:val="20"/>
                <w:szCs w:val="20"/>
                <w:lang w:eastAsia="en-GB"/>
              </w:rPr>
              <w:t xml:space="preserve">cientific </w:t>
            </w:r>
            <w:r w:rsidR="00E22A32">
              <w:rPr>
                <w:rFonts w:eastAsia="Times New Roman" w:cstheme="minorHAnsi"/>
                <w:sz w:val="20"/>
                <w:szCs w:val="20"/>
                <w:lang w:eastAsia="en-GB"/>
              </w:rPr>
              <w:t>r</w:t>
            </w:r>
            <w:r w:rsidRPr="004B3FB3">
              <w:rPr>
                <w:rFonts w:eastAsia="Times New Roman" w:cstheme="minorHAnsi"/>
                <w:sz w:val="20"/>
                <w:szCs w:val="20"/>
                <w:lang w:eastAsia="en-GB"/>
              </w:rPr>
              <w:t>esearch</w:t>
            </w:r>
          </w:p>
        </w:tc>
        <w:tc>
          <w:tcPr>
            <w:tcW w:w="1508" w:type="dxa"/>
            <w:shd w:val="clear" w:color="auto" w:fill="auto"/>
            <w:noWrap/>
            <w:vAlign w:val="bottom"/>
            <w:hideMark/>
          </w:tcPr>
          <w:p w14:paraId="3712EDC3" w14:textId="77777777" w:rsidR="008964C2" w:rsidRPr="003A044E" w:rsidRDefault="008964C2" w:rsidP="002275ED">
            <w:pPr>
              <w:spacing w:after="0" w:line="240" w:lineRule="auto"/>
              <w:jc w:val="right"/>
              <w:rPr>
                <w:rFonts w:eastAsia="Times New Roman" w:cstheme="minorHAnsi"/>
                <w:sz w:val="20"/>
                <w:szCs w:val="20"/>
                <w:lang w:eastAsia="en-GB"/>
              </w:rPr>
            </w:pPr>
            <w:r w:rsidRPr="003A044E">
              <w:rPr>
                <w:rFonts w:eastAsia="Times New Roman" w:cstheme="minorHAnsi"/>
                <w:sz w:val="20"/>
                <w:szCs w:val="20"/>
                <w:lang w:eastAsia="en-GB"/>
              </w:rPr>
              <w:t>1</w:t>
            </w:r>
          </w:p>
        </w:tc>
        <w:tc>
          <w:tcPr>
            <w:tcW w:w="1800" w:type="dxa"/>
            <w:shd w:val="clear" w:color="auto" w:fill="auto"/>
            <w:noWrap/>
          </w:tcPr>
          <w:p w14:paraId="6C382D53" w14:textId="77777777" w:rsidR="008964C2" w:rsidRPr="003A044E" w:rsidRDefault="008964C2" w:rsidP="002275ED">
            <w:pPr>
              <w:spacing w:after="0" w:line="240" w:lineRule="auto"/>
              <w:jc w:val="right"/>
              <w:rPr>
                <w:rFonts w:eastAsia="Times New Roman" w:cstheme="minorHAnsi"/>
                <w:sz w:val="20"/>
                <w:szCs w:val="20"/>
                <w:lang w:eastAsia="en-GB"/>
              </w:rPr>
            </w:pPr>
            <w:r w:rsidRPr="003A044E">
              <w:rPr>
                <w:rFonts w:cstheme="minorHAnsi"/>
                <w:sz w:val="20"/>
                <w:szCs w:val="20"/>
              </w:rPr>
              <w:t>0.01</w:t>
            </w:r>
          </w:p>
        </w:tc>
      </w:tr>
      <w:tr w:rsidR="008964C2" w:rsidRPr="003A044E" w14:paraId="647DED08" w14:textId="77777777" w:rsidTr="002275ED">
        <w:trPr>
          <w:trHeight w:val="255"/>
          <w:jc w:val="center"/>
        </w:trPr>
        <w:tc>
          <w:tcPr>
            <w:tcW w:w="4532" w:type="dxa"/>
            <w:shd w:val="clear" w:color="auto" w:fill="auto"/>
            <w:noWrap/>
            <w:vAlign w:val="bottom"/>
          </w:tcPr>
          <w:p w14:paraId="3D0D6816" w14:textId="0BBF7C29" w:rsidR="008964C2" w:rsidRPr="004B3FB3" w:rsidRDefault="008964C2" w:rsidP="002275ED">
            <w:pPr>
              <w:spacing w:after="0" w:line="240" w:lineRule="auto"/>
              <w:rPr>
                <w:rFonts w:eastAsia="Times New Roman" w:cstheme="minorHAnsi"/>
                <w:sz w:val="20"/>
                <w:szCs w:val="20"/>
                <w:lang w:eastAsia="en-GB"/>
              </w:rPr>
            </w:pPr>
            <w:r w:rsidRPr="004B3FB3">
              <w:rPr>
                <w:rFonts w:eastAsia="Times New Roman" w:cstheme="minorHAnsi"/>
                <w:sz w:val="20"/>
                <w:szCs w:val="20"/>
                <w:lang w:eastAsia="en-GB"/>
              </w:rPr>
              <w:t xml:space="preserve">Family </w:t>
            </w:r>
            <w:r w:rsidR="00E22A32">
              <w:rPr>
                <w:rFonts w:eastAsia="Times New Roman" w:cstheme="minorHAnsi"/>
                <w:sz w:val="20"/>
                <w:szCs w:val="20"/>
                <w:lang w:eastAsia="en-GB"/>
              </w:rPr>
              <w:t>b</w:t>
            </w:r>
            <w:r w:rsidRPr="004B3FB3">
              <w:rPr>
                <w:rFonts w:eastAsia="Times New Roman" w:cstheme="minorHAnsi"/>
                <w:sz w:val="20"/>
                <w:szCs w:val="20"/>
                <w:lang w:eastAsia="en-GB"/>
              </w:rPr>
              <w:t xml:space="preserve">elieved </w:t>
            </w:r>
            <w:r w:rsidR="00E22A32">
              <w:rPr>
                <w:rFonts w:eastAsia="Times New Roman" w:cstheme="minorHAnsi"/>
                <w:sz w:val="20"/>
                <w:szCs w:val="20"/>
                <w:lang w:eastAsia="en-GB"/>
              </w:rPr>
              <w:t>p</w:t>
            </w:r>
            <w:r w:rsidRPr="004B3FB3">
              <w:rPr>
                <w:rFonts w:eastAsia="Times New Roman" w:cstheme="minorHAnsi"/>
                <w:sz w:val="20"/>
                <w:szCs w:val="20"/>
                <w:lang w:eastAsia="en-GB"/>
              </w:rPr>
              <w:t xml:space="preserve">atient </w:t>
            </w:r>
            <w:r w:rsidR="00E22A32">
              <w:rPr>
                <w:rFonts w:eastAsia="Times New Roman" w:cstheme="minorHAnsi"/>
                <w:sz w:val="20"/>
                <w:szCs w:val="20"/>
                <w:lang w:eastAsia="en-GB"/>
              </w:rPr>
              <w:t>i</w:t>
            </w:r>
            <w:r w:rsidRPr="004B3FB3">
              <w:rPr>
                <w:rFonts w:eastAsia="Times New Roman" w:cstheme="minorHAnsi"/>
                <w:sz w:val="20"/>
                <w:szCs w:val="20"/>
                <w:lang w:eastAsia="en-GB"/>
              </w:rPr>
              <w:t xml:space="preserve">neligible </w:t>
            </w:r>
            <w:r w:rsidR="00E22A32">
              <w:rPr>
                <w:rFonts w:eastAsia="Times New Roman" w:cstheme="minorHAnsi"/>
                <w:sz w:val="20"/>
                <w:szCs w:val="20"/>
                <w:lang w:eastAsia="en-GB"/>
              </w:rPr>
              <w:t>d</w:t>
            </w:r>
            <w:r w:rsidRPr="004B3FB3">
              <w:rPr>
                <w:rFonts w:eastAsia="Times New Roman" w:cstheme="minorHAnsi"/>
                <w:sz w:val="20"/>
                <w:szCs w:val="20"/>
                <w:lang w:eastAsia="en-GB"/>
              </w:rPr>
              <w:t xml:space="preserve">ue to </w:t>
            </w:r>
            <w:r w:rsidR="00E22A32">
              <w:rPr>
                <w:rFonts w:eastAsia="Times New Roman" w:cstheme="minorHAnsi"/>
                <w:sz w:val="20"/>
                <w:szCs w:val="20"/>
                <w:lang w:eastAsia="en-GB"/>
              </w:rPr>
              <w:t>m</w:t>
            </w:r>
            <w:r w:rsidRPr="004B3FB3">
              <w:rPr>
                <w:rFonts w:eastAsia="Times New Roman" w:cstheme="minorHAnsi"/>
                <w:sz w:val="20"/>
                <w:szCs w:val="20"/>
                <w:lang w:eastAsia="en-GB"/>
              </w:rPr>
              <w:t xml:space="preserve">edical </w:t>
            </w:r>
            <w:r w:rsidR="00E22A32">
              <w:rPr>
                <w:rFonts w:eastAsia="Times New Roman" w:cstheme="minorHAnsi"/>
                <w:sz w:val="20"/>
                <w:szCs w:val="20"/>
                <w:lang w:eastAsia="en-GB"/>
              </w:rPr>
              <w:t>c</w:t>
            </w:r>
            <w:r w:rsidRPr="004B3FB3">
              <w:rPr>
                <w:rFonts w:eastAsia="Times New Roman" w:cstheme="minorHAnsi"/>
                <w:sz w:val="20"/>
                <w:szCs w:val="20"/>
                <w:lang w:eastAsia="en-GB"/>
              </w:rPr>
              <w:t>ontraindication</w:t>
            </w:r>
          </w:p>
        </w:tc>
        <w:tc>
          <w:tcPr>
            <w:tcW w:w="1508" w:type="dxa"/>
            <w:shd w:val="clear" w:color="auto" w:fill="auto"/>
            <w:noWrap/>
            <w:vAlign w:val="bottom"/>
          </w:tcPr>
          <w:p w14:paraId="465EEA76" w14:textId="77777777" w:rsidR="008964C2" w:rsidRPr="003A044E" w:rsidRDefault="008964C2" w:rsidP="002275ED">
            <w:pPr>
              <w:spacing w:after="0" w:line="240" w:lineRule="auto"/>
              <w:jc w:val="right"/>
              <w:rPr>
                <w:rFonts w:eastAsia="Times New Roman" w:cstheme="minorHAnsi"/>
                <w:sz w:val="20"/>
                <w:szCs w:val="20"/>
                <w:lang w:eastAsia="en-GB"/>
              </w:rPr>
            </w:pPr>
            <w:r w:rsidRPr="003A044E">
              <w:rPr>
                <w:rFonts w:eastAsia="Times New Roman" w:cstheme="minorHAnsi"/>
                <w:sz w:val="20"/>
                <w:szCs w:val="20"/>
                <w:lang w:eastAsia="en-GB"/>
              </w:rPr>
              <w:t>1</w:t>
            </w:r>
          </w:p>
        </w:tc>
        <w:tc>
          <w:tcPr>
            <w:tcW w:w="1800" w:type="dxa"/>
            <w:shd w:val="clear" w:color="auto" w:fill="auto"/>
            <w:noWrap/>
          </w:tcPr>
          <w:p w14:paraId="42557BDF" w14:textId="77777777" w:rsidR="008964C2" w:rsidRPr="003A044E" w:rsidRDefault="008964C2" w:rsidP="002275ED">
            <w:pPr>
              <w:spacing w:after="0" w:line="240" w:lineRule="auto"/>
              <w:jc w:val="right"/>
              <w:rPr>
                <w:rFonts w:cstheme="minorHAnsi"/>
                <w:sz w:val="20"/>
                <w:szCs w:val="20"/>
              </w:rPr>
            </w:pPr>
            <w:r w:rsidRPr="003A044E">
              <w:rPr>
                <w:rFonts w:cstheme="minorHAnsi"/>
                <w:sz w:val="20"/>
                <w:szCs w:val="20"/>
              </w:rPr>
              <w:t>0.01</w:t>
            </w:r>
          </w:p>
        </w:tc>
      </w:tr>
      <w:tr w:rsidR="008964C2" w:rsidRPr="003A044E" w14:paraId="7A22AA7A" w14:textId="77777777" w:rsidTr="002275ED">
        <w:trPr>
          <w:trHeight w:val="255"/>
          <w:jc w:val="center"/>
        </w:trPr>
        <w:tc>
          <w:tcPr>
            <w:tcW w:w="4532" w:type="dxa"/>
            <w:shd w:val="clear" w:color="auto" w:fill="auto"/>
            <w:noWrap/>
            <w:vAlign w:val="bottom"/>
          </w:tcPr>
          <w:p w14:paraId="4DFB2FA3" w14:textId="4CD7EFBD" w:rsidR="008964C2" w:rsidRPr="004B3FB3" w:rsidRDefault="008964C2" w:rsidP="002275ED">
            <w:pPr>
              <w:spacing w:after="0" w:line="240" w:lineRule="auto"/>
              <w:rPr>
                <w:rFonts w:eastAsia="Times New Roman" w:cstheme="minorHAnsi"/>
                <w:sz w:val="20"/>
                <w:szCs w:val="20"/>
                <w:lang w:eastAsia="en-GB"/>
              </w:rPr>
            </w:pPr>
            <w:r w:rsidRPr="004B3FB3">
              <w:rPr>
                <w:rFonts w:eastAsia="Times New Roman" w:cstheme="minorHAnsi"/>
                <w:sz w:val="20"/>
                <w:szCs w:val="20"/>
                <w:lang w:eastAsia="en-GB"/>
              </w:rPr>
              <w:t xml:space="preserve">Family </w:t>
            </w:r>
            <w:r w:rsidR="00E22A32">
              <w:rPr>
                <w:rFonts w:eastAsia="Times New Roman" w:cstheme="minorHAnsi"/>
                <w:sz w:val="20"/>
                <w:szCs w:val="20"/>
                <w:lang w:eastAsia="en-GB"/>
              </w:rPr>
              <w:t>m</w:t>
            </w:r>
            <w:r w:rsidRPr="004B3FB3">
              <w:rPr>
                <w:rFonts w:eastAsia="Times New Roman" w:cstheme="minorHAnsi"/>
                <w:sz w:val="20"/>
                <w:szCs w:val="20"/>
                <w:lang w:eastAsia="en-GB"/>
              </w:rPr>
              <w:t xml:space="preserve">ember </w:t>
            </w:r>
            <w:r w:rsidR="00E22A32">
              <w:rPr>
                <w:rFonts w:eastAsia="Times New Roman" w:cstheme="minorHAnsi"/>
                <w:sz w:val="20"/>
                <w:szCs w:val="20"/>
                <w:lang w:eastAsia="en-GB"/>
              </w:rPr>
              <w:t>w</w:t>
            </w:r>
            <w:r w:rsidRPr="004B3FB3">
              <w:rPr>
                <w:rFonts w:eastAsia="Times New Roman" w:cstheme="minorHAnsi"/>
                <w:sz w:val="20"/>
                <w:szCs w:val="20"/>
                <w:lang w:eastAsia="en-GB"/>
              </w:rPr>
              <w:t xml:space="preserve">orried </w:t>
            </w:r>
            <w:r w:rsidR="00E22A32">
              <w:rPr>
                <w:rFonts w:eastAsia="Times New Roman" w:cstheme="minorHAnsi"/>
                <w:sz w:val="20"/>
                <w:szCs w:val="20"/>
                <w:lang w:eastAsia="en-GB"/>
              </w:rPr>
              <w:t>t</w:t>
            </w:r>
            <w:r w:rsidRPr="004B3FB3">
              <w:rPr>
                <w:rFonts w:eastAsia="Times New Roman" w:cstheme="minorHAnsi"/>
                <w:sz w:val="20"/>
                <w:szCs w:val="20"/>
                <w:lang w:eastAsia="en-GB"/>
              </w:rPr>
              <w:t xml:space="preserve">hat </w:t>
            </w:r>
            <w:r w:rsidR="00E22A32">
              <w:rPr>
                <w:rFonts w:eastAsia="Times New Roman" w:cstheme="minorHAnsi"/>
                <w:sz w:val="20"/>
                <w:szCs w:val="20"/>
                <w:lang w:eastAsia="en-GB"/>
              </w:rPr>
              <w:t>t</w:t>
            </w:r>
            <w:r w:rsidRPr="004B3FB3">
              <w:rPr>
                <w:rFonts w:eastAsia="Times New Roman" w:cstheme="minorHAnsi"/>
                <w:sz w:val="20"/>
                <w:szCs w:val="20"/>
                <w:lang w:eastAsia="en-GB"/>
              </w:rPr>
              <w:t xml:space="preserve">hey </w:t>
            </w:r>
            <w:r w:rsidR="00E22A32">
              <w:rPr>
                <w:rFonts w:eastAsia="Times New Roman" w:cstheme="minorHAnsi"/>
                <w:sz w:val="20"/>
                <w:szCs w:val="20"/>
                <w:lang w:eastAsia="en-GB"/>
              </w:rPr>
              <w:t>m</w:t>
            </w:r>
            <w:r w:rsidRPr="004B3FB3">
              <w:rPr>
                <w:rFonts w:eastAsia="Times New Roman" w:cstheme="minorHAnsi"/>
                <w:sz w:val="20"/>
                <w:szCs w:val="20"/>
                <w:lang w:eastAsia="en-GB"/>
              </w:rPr>
              <w:t xml:space="preserve">ay </w:t>
            </w:r>
            <w:r w:rsidR="00E22A32">
              <w:rPr>
                <w:rFonts w:eastAsia="Times New Roman" w:cstheme="minorHAnsi"/>
                <w:sz w:val="20"/>
                <w:szCs w:val="20"/>
                <w:lang w:eastAsia="en-GB"/>
              </w:rPr>
              <w:t>i</w:t>
            </w:r>
            <w:r w:rsidRPr="004B3FB3">
              <w:rPr>
                <w:rFonts w:eastAsia="Times New Roman" w:cstheme="minorHAnsi"/>
                <w:sz w:val="20"/>
                <w:szCs w:val="20"/>
                <w:lang w:eastAsia="en-GB"/>
              </w:rPr>
              <w:t xml:space="preserve">nadvertently </w:t>
            </w:r>
            <w:r w:rsidR="00E22A32">
              <w:rPr>
                <w:rFonts w:eastAsia="Times New Roman" w:cstheme="minorHAnsi"/>
                <w:sz w:val="20"/>
                <w:szCs w:val="20"/>
                <w:lang w:eastAsia="en-GB"/>
              </w:rPr>
              <w:t>w</w:t>
            </w:r>
            <w:r w:rsidRPr="004B3FB3">
              <w:rPr>
                <w:rFonts w:eastAsia="Times New Roman" w:cstheme="minorHAnsi"/>
                <w:sz w:val="20"/>
                <w:szCs w:val="20"/>
                <w:lang w:eastAsia="en-GB"/>
              </w:rPr>
              <w:t xml:space="preserve">ork </w:t>
            </w:r>
            <w:r w:rsidR="00E22A32">
              <w:rPr>
                <w:rFonts w:eastAsia="Times New Roman" w:cstheme="minorHAnsi"/>
                <w:sz w:val="20"/>
                <w:szCs w:val="20"/>
                <w:lang w:eastAsia="en-GB"/>
              </w:rPr>
              <w:t>w</w:t>
            </w:r>
            <w:r w:rsidRPr="004B3FB3">
              <w:rPr>
                <w:rFonts w:eastAsia="Times New Roman" w:cstheme="minorHAnsi"/>
                <w:sz w:val="20"/>
                <w:szCs w:val="20"/>
                <w:lang w:eastAsia="en-GB"/>
              </w:rPr>
              <w:t xml:space="preserve">ith </w:t>
            </w:r>
            <w:r w:rsidR="00E22A32">
              <w:rPr>
                <w:rFonts w:eastAsia="Times New Roman" w:cstheme="minorHAnsi"/>
                <w:sz w:val="20"/>
                <w:szCs w:val="20"/>
                <w:lang w:eastAsia="en-GB"/>
              </w:rPr>
              <w:t>ti</w:t>
            </w:r>
            <w:r w:rsidRPr="004B3FB3">
              <w:rPr>
                <w:rFonts w:eastAsia="Times New Roman" w:cstheme="minorHAnsi"/>
                <w:sz w:val="20"/>
                <w:szCs w:val="20"/>
                <w:lang w:eastAsia="en-GB"/>
              </w:rPr>
              <w:t xml:space="preserve">ssues in </w:t>
            </w:r>
            <w:r w:rsidR="00E22A32">
              <w:rPr>
                <w:rFonts w:eastAsia="Times New Roman" w:cstheme="minorHAnsi"/>
                <w:sz w:val="20"/>
                <w:szCs w:val="20"/>
                <w:lang w:eastAsia="en-GB"/>
              </w:rPr>
              <w:t>p</w:t>
            </w:r>
            <w:r w:rsidRPr="004B3FB3">
              <w:rPr>
                <w:rFonts w:eastAsia="Times New Roman" w:cstheme="minorHAnsi"/>
                <w:sz w:val="20"/>
                <w:szCs w:val="20"/>
                <w:lang w:eastAsia="en-GB"/>
              </w:rPr>
              <w:t xml:space="preserve">rofessional </w:t>
            </w:r>
            <w:r w:rsidR="00E22A32">
              <w:rPr>
                <w:rFonts w:eastAsia="Times New Roman" w:cstheme="minorHAnsi"/>
                <w:sz w:val="20"/>
                <w:szCs w:val="20"/>
                <w:lang w:eastAsia="en-GB"/>
              </w:rPr>
              <w:t>r</w:t>
            </w:r>
            <w:r w:rsidRPr="004B3FB3">
              <w:rPr>
                <w:rFonts w:eastAsia="Times New Roman" w:cstheme="minorHAnsi"/>
                <w:sz w:val="20"/>
                <w:szCs w:val="20"/>
                <w:lang w:eastAsia="en-GB"/>
              </w:rPr>
              <w:t xml:space="preserve">ole in </w:t>
            </w:r>
            <w:r w:rsidR="00E22A32">
              <w:rPr>
                <w:rFonts w:eastAsia="Times New Roman" w:cstheme="minorHAnsi"/>
                <w:sz w:val="20"/>
                <w:szCs w:val="20"/>
                <w:lang w:eastAsia="en-GB"/>
              </w:rPr>
              <w:t>d</w:t>
            </w:r>
            <w:r w:rsidRPr="004B3FB3">
              <w:rPr>
                <w:rFonts w:eastAsia="Times New Roman" w:cstheme="minorHAnsi"/>
                <w:sz w:val="20"/>
                <w:szCs w:val="20"/>
                <w:lang w:eastAsia="en-GB"/>
              </w:rPr>
              <w:t xml:space="preserve">onated but not </w:t>
            </w:r>
            <w:r w:rsidR="00E22A32">
              <w:rPr>
                <w:rFonts w:eastAsia="Times New Roman" w:cstheme="minorHAnsi"/>
                <w:sz w:val="20"/>
                <w:szCs w:val="20"/>
                <w:lang w:eastAsia="en-GB"/>
              </w:rPr>
              <w:t>t</w:t>
            </w:r>
            <w:r w:rsidRPr="004B3FB3">
              <w:rPr>
                <w:rFonts w:eastAsia="Times New Roman" w:cstheme="minorHAnsi"/>
                <w:sz w:val="20"/>
                <w:szCs w:val="20"/>
                <w:lang w:eastAsia="en-GB"/>
              </w:rPr>
              <w:t>ransplanted</w:t>
            </w:r>
          </w:p>
        </w:tc>
        <w:tc>
          <w:tcPr>
            <w:tcW w:w="1508" w:type="dxa"/>
            <w:shd w:val="clear" w:color="auto" w:fill="auto"/>
            <w:noWrap/>
            <w:vAlign w:val="bottom"/>
          </w:tcPr>
          <w:p w14:paraId="385F50FD" w14:textId="77777777" w:rsidR="008964C2" w:rsidRPr="003A044E" w:rsidRDefault="008964C2" w:rsidP="002275ED">
            <w:pPr>
              <w:spacing w:after="0" w:line="240" w:lineRule="auto"/>
              <w:jc w:val="right"/>
              <w:rPr>
                <w:rFonts w:eastAsia="Times New Roman" w:cstheme="minorHAnsi"/>
                <w:sz w:val="20"/>
                <w:szCs w:val="20"/>
                <w:lang w:eastAsia="en-GB"/>
              </w:rPr>
            </w:pPr>
            <w:r w:rsidRPr="003A044E">
              <w:rPr>
                <w:rFonts w:eastAsia="Times New Roman" w:cstheme="minorHAnsi"/>
                <w:sz w:val="20"/>
                <w:szCs w:val="20"/>
                <w:lang w:eastAsia="en-GB"/>
              </w:rPr>
              <w:t>1</w:t>
            </w:r>
          </w:p>
        </w:tc>
        <w:tc>
          <w:tcPr>
            <w:tcW w:w="1800" w:type="dxa"/>
            <w:shd w:val="clear" w:color="auto" w:fill="auto"/>
            <w:noWrap/>
          </w:tcPr>
          <w:p w14:paraId="3BB2CC68" w14:textId="77777777" w:rsidR="008964C2" w:rsidRPr="003A044E" w:rsidRDefault="008964C2" w:rsidP="002275ED">
            <w:pPr>
              <w:spacing w:after="0" w:line="240" w:lineRule="auto"/>
              <w:jc w:val="right"/>
              <w:rPr>
                <w:rFonts w:cstheme="minorHAnsi"/>
                <w:sz w:val="20"/>
                <w:szCs w:val="20"/>
              </w:rPr>
            </w:pPr>
          </w:p>
          <w:p w14:paraId="55588B18" w14:textId="77777777" w:rsidR="008964C2" w:rsidRPr="003A044E" w:rsidRDefault="008964C2" w:rsidP="002275ED">
            <w:pPr>
              <w:spacing w:after="0" w:line="240" w:lineRule="auto"/>
              <w:jc w:val="right"/>
              <w:rPr>
                <w:rFonts w:cstheme="minorHAnsi"/>
                <w:sz w:val="20"/>
                <w:szCs w:val="20"/>
              </w:rPr>
            </w:pPr>
          </w:p>
          <w:p w14:paraId="40DD0557" w14:textId="77777777" w:rsidR="008964C2" w:rsidRPr="003A044E" w:rsidRDefault="008964C2" w:rsidP="002275ED">
            <w:pPr>
              <w:spacing w:after="0" w:line="240" w:lineRule="auto"/>
              <w:jc w:val="right"/>
              <w:rPr>
                <w:rFonts w:cstheme="minorHAnsi"/>
                <w:sz w:val="20"/>
                <w:szCs w:val="20"/>
              </w:rPr>
            </w:pPr>
            <w:r w:rsidRPr="003A044E">
              <w:rPr>
                <w:rFonts w:cstheme="minorHAnsi"/>
                <w:sz w:val="20"/>
                <w:szCs w:val="20"/>
              </w:rPr>
              <w:t>0.01</w:t>
            </w:r>
          </w:p>
        </w:tc>
      </w:tr>
    </w:tbl>
    <w:p w14:paraId="3083BB7D" w14:textId="77777777" w:rsidR="001919FA" w:rsidRDefault="001919FA" w:rsidP="008964C2">
      <w:pPr>
        <w:jc w:val="center"/>
        <w:rPr>
          <w:rFonts w:cstheme="minorHAnsi"/>
          <w:i/>
          <w:iCs/>
          <w:sz w:val="18"/>
          <w:szCs w:val="18"/>
        </w:rPr>
      </w:pPr>
    </w:p>
    <w:p w14:paraId="1EF2FC4A" w14:textId="72473330" w:rsidR="008964C2" w:rsidRPr="001919FA" w:rsidRDefault="008964C2" w:rsidP="008964C2">
      <w:pPr>
        <w:jc w:val="center"/>
        <w:rPr>
          <w:rFonts w:cstheme="minorHAnsi"/>
          <w:i/>
          <w:iCs/>
          <w:sz w:val="18"/>
          <w:szCs w:val="18"/>
        </w:rPr>
      </w:pPr>
      <w:r w:rsidRPr="001919FA">
        <w:rPr>
          <w:rFonts w:cstheme="minorHAnsi"/>
          <w:i/>
          <w:iCs/>
          <w:sz w:val="18"/>
          <w:szCs w:val="18"/>
        </w:rPr>
        <w:t>*Note: cases do not equal 126 as some can belong to more than one category</w:t>
      </w:r>
      <w:r w:rsidR="003D2FE4" w:rsidRPr="001919FA">
        <w:rPr>
          <w:rFonts w:cstheme="minorHAnsi"/>
          <w:i/>
          <w:iCs/>
          <w:sz w:val="18"/>
          <w:szCs w:val="18"/>
        </w:rPr>
        <w:t xml:space="preserve"> (e.g. a comment could relate to both ‘</w:t>
      </w:r>
      <w:r w:rsidR="003D2FE4" w:rsidRPr="001919FA">
        <w:rPr>
          <w:rFonts w:eastAsia="Times New Roman" w:cstheme="minorHAnsi"/>
          <w:i/>
          <w:iCs/>
          <w:sz w:val="18"/>
          <w:szCs w:val="18"/>
          <w:lang w:eastAsia="en-GB"/>
        </w:rPr>
        <w:t>Consent for Solid organ donation but not eyes’ and ‘No ODR restrictions but family refuse eye donation’)</w:t>
      </w:r>
    </w:p>
    <w:p w14:paraId="01A71E1D" w14:textId="1A012407" w:rsidR="00A4116F" w:rsidRPr="001919FA" w:rsidRDefault="00AF70D2" w:rsidP="00A4116F">
      <w:pPr>
        <w:pStyle w:val="Heading3"/>
        <w:spacing w:line="360" w:lineRule="auto"/>
        <w:rPr>
          <w:rFonts w:ascii="Calibri" w:hAnsi="Calibri" w:cs="Calibri"/>
          <w:b/>
          <w:color w:val="auto"/>
          <w:sz w:val="22"/>
          <w:szCs w:val="22"/>
        </w:rPr>
      </w:pPr>
      <w:r w:rsidRPr="001919FA">
        <w:rPr>
          <w:rFonts w:ascii="Calibri" w:hAnsi="Calibri" w:cs="Calibri"/>
          <w:b/>
          <w:color w:val="auto"/>
          <w:sz w:val="22"/>
          <w:szCs w:val="22"/>
        </w:rPr>
        <w:t xml:space="preserve">Findings </w:t>
      </w:r>
      <w:r w:rsidR="00711E2D">
        <w:rPr>
          <w:rFonts w:ascii="Calibri" w:hAnsi="Calibri" w:cs="Calibri"/>
          <w:b/>
          <w:color w:val="auto"/>
          <w:sz w:val="22"/>
          <w:szCs w:val="22"/>
        </w:rPr>
        <w:t>from analysis of</w:t>
      </w:r>
      <w:r w:rsidRPr="001919FA">
        <w:rPr>
          <w:rFonts w:ascii="Calibri" w:hAnsi="Calibri" w:cs="Calibri"/>
          <w:b/>
          <w:color w:val="auto"/>
          <w:sz w:val="22"/>
          <w:szCs w:val="22"/>
        </w:rPr>
        <w:t xml:space="preserve"> </w:t>
      </w:r>
      <w:r w:rsidR="00B95528" w:rsidRPr="001919FA">
        <w:rPr>
          <w:rFonts w:ascii="Calibri" w:hAnsi="Calibri" w:cs="Calibri"/>
          <w:b/>
          <w:color w:val="auto"/>
          <w:sz w:val="22"/>
          <w:szCs w:val="22"/>
        </w:rPr>
        <w:t>free-text</w:t>
      </w:r>
      <w:r w:rsidRPr="001919FA">
        <w:rPr>
          <w:rFonts w:ascii="Calibri" w:hAnsi="Calibri" w:cs="Calibri"/>
          <w:b/>
          <w:color w:val="auto"/>
          <w:sz w:val="22"/>
          <w:szCs w:val="22"/>
        </w:rPr>
        <w:t xml:space="preserve"> comments</w:t>
      </w:r>
    </w:p>
    <w:p w14:paraId="2E4EF7DB" w14:textId="38CFD0F3" w:rsidR="00364F5D" w:rsidRPr="00E22A32" w:rsidRDefault="00A4116F" w:rsidP="00A4116F">
      <w:pPr>
        <w:pStyle w:val="Heading3"/>
        <w:spacing w:line="360" w:lineRule="auto"/>
        <w:rPr>
          <w:rFonts w:ascii="Calibri" w:eastAsia="Times New Roman" w:hAnsi="Calibri" w:cs="Calibri"/>
          <w:bCs/>
          <w:color w:val="auto"/>
          <w:sz w:val="22"/>
          <w:szCs w:val="22"/>
          <w:lang w:eastAsia="en-GB"/>
        </w:rPr>
      </w:pPr>
      <w:r w:rsidRPr="00E22A32">
        <w:rPr>
          <w:rFonts w:ascii="Calibri" w:eastAsia="Times New Roman" w:hAnsi="Calibri" w:cs="Calibri"/>
          <w:bCs/>
          <w:color w:val="auto"/>
          <w:sz w:val="22"/>
          <w:szCs w:val="22"/>
          <w:lang w:eastAsia="en-GB"/>
        </w:rPr>
        <w:t>Cases</w:t>
      </w:r>
      <w:r w:rsidR="00E22A32">
        <w:rPr>
          <w:rFonts w:ascii="Calibri" w:eastAsia="Times New Roman" w:hAnsi="Calibri" w:cs="Calibri"/>
          <w:bCs/>
          <w:color w:val="auto"/>
          <w:sz w:val="22"/>
          <w:szCs w:val="22"/>
          <w:lang w:eastAsia="en-GB"/>
        </w:rPr>
        <w:t xml:space="preserve"> are reported as a percentage of the 126 free text comments available relating to family refusal </w:t>
      </w:r>
      <w:r w:rsidRPr="00E22A32">
        <w:rPr>
          <w:rFonts w:ascii="Calibri" w:eastAsia="Times New Roman" w:hAnsi="Calibri" w:cs="Calibri"/>
          <w:bCs/>
          <w:color w:val="auto"/>
          <w:sz w:val="22"/>
          <w:szCs w:val="22"/>
          <w:lang w:eastAsia="en-GB"/>
        </w:rPr>
        <w:t>(% of n=126</w:t>
      </w:r>
      <w:r w:rsidR="00E22A32">
        <w:rPr>
          <w:rFonts w:ascii="Calibri" w:eastAsia="Times New Roman" w:hAnsi="Calibri" w:cs="Calibri"/>
          <w:bCs/>
          <w:color w:val="auto"/>
          <w:sz w:val="22"/>
          <w:szCs w:val="22"/>
          <w:lang w:eastAsia="en-GB"/>
        </w:rPr>
        <w:t>).</w:t>
      </w:r>
    </w:p>
    <w:p w14:paraId="1E746D7D" w14:textId="7225C6F7" w:rsidR="008964C2" w:rsidRPr="00E22A32" w:rsidRDefault="003F16C8" w:rsidP="00A4116F">
      <w:pPr>
        <w:pStyle w:val="Heading3"/>
        <w:spacing w:line="360" w:lineRule="auto"/>
        <w:rPr>
          <w:rFonts w:ascii="Calibri" w:hAnsi="Calibri" w:cs="Calibri"/>
          <w:i/>
          <w:color w:val="auto"/>
          <w:sz w:val="22"/>
          <w:szCs w:val="22"/>
        </w:rPr>
      </w:pPr>
      <w:r w:rsidRPr="00E22A32">
        <w:rPr>
          <w:rFonts w:ascii="Calibri" w:hAnsi="Calibri" w:cs="Calibri"/>
          <w:i/>
          <w:color w:val="auto"/>
          <w:sz w:val="22"/>
          <w:szCs w:val="22"/>
        </w:rPr>
        <w:t>Discomfort</w:t>
      </w:r>
      <w:r w:rsidR="00F049AE" w:rsidRPr="00E22A32">
        <w:rPr>
          <w:rFonts w:ascii="Calibri" w:hAnsi="Calibri" w:cs="Calibri"/>
          <w:i/>
          <w:color w:val="auto"/>
          <w:sz w:val="22"/>
          <w:szCs w:val="22"/>
        </w:rPr>
        <w:t xml:space="preserve"> reactions</w:t>
      </w:r>
    </w:p>
    <w:p w14:paraId="662139AD" w14:textId="611F8A18" w:rsidR="00612AE0" w:rsidRPr="001919FA" w:rsidRDefault="007A1ADF" w:rsidP="00895025">
      <w:pPr>
        <w:spacing w:line="360" w:lineRule="auto"/>
        <w:jc w:val="both"/>
        <w:rPr>
          <w:rFonts w:ascii="Calibri" w:eastAsia="Times New Roman" w:hAnsi="Calibri" w:cs="Calibri"/>
          <w:color w:val="000000"/>
          <w:lang w:eastAsia="en-GB"/>
        </w:rPr>
      </w:pPr>
      <w:r w:rsidRPr="001919FA">
        <w:rPr>
          <w:rFonts w:ascii="Calibri" w:hAnsi="Calibri" w:cs="Calibri"/>
        </w:rPr>
        <w:t>For 22 cases (</w:t>
      </w:r>
      <w:r w:rsidR="00335532" w:rsidRPr="001919FA">
        <w:rPr>
          <w:rFonts w:ascii="Calibri" w:hAnsi="Calibri" w:cs="Calibri"/>
        </w:rPr>
        <w:t>1</w:t>
      </w:r>
      <w:r w:rsidR="008B20FB">
        <w:rPr>
          <w:rFonts w:ascii="Calibri" w:hAnsi="Calibri" w:cs="Calibri"/>
        </w:rPr>
        <w:t>7</w:t>
      </w:r>
      <w:r w:rsidRPr="001919FA">
        <w:rPr>
          <w:rFonts w:ascii="Calibri" w:hAnsi="Calibri" w:cs="Calibri"/>
        </w:rPr>
        <w:t>%)</w:t>
      </w:r>
      <w:r w:rsidR="00EF6587" w:rsidRPr="001919FA">
        <w:rPr>
          <w:rFonts w:ascii="Calibri" w:hAnsi="Calibri" w:cs="Calibri"/>
        </w:rPr>
        <w:t xml:space="preserve"> </w:t>
      </w:r>
      <w:r w:rsidR="00EC5CC7" w:rsidRPr="001919FA">
        <w:rPr>
          <w:rFonts w:ascii="Calibri" w:hAnsi="Calibri" w:cs="Calibri"/>
        </w:rPr>
        <w:t xml:space="preserve">free-text responses </w:t>
      </w:r>
      <w:r w:rsidR="00AF70D2" w:rsidRPr="001919FA">
        <w:rPr>
          <w:rFonts w:ascii="Calibri" w:hAnsi="Calibri" w:cs="Calibri"/>
        </w:rPr>
        <w:t xml:space="preserve">recorded by SNODs </w:t>
      </w:r>
      <w:r w:rsidR="00EC5CC7" w:rsidRPr="001919FA">
        <w:rPr>
          <w:rFonts w:ascii="Calibri" w:hAnsi="Calibri" w:cs="Calibri"/>
        </w:rPr>
        <w:t>indicated family discomfort with eye donation</w:t>
      </w:r>
      <w:r w:rsidR="005258D9" w:rsidRPr="001919FA">
        <w:rPr>
          <w:rFonts w:ascii="Calibri" w:hAnsi="Calibri" w:cs="Calibri"/>
        </w:rPr>
        <w:t>.</w:t>
      </w:r>
      <w:r w:rsidR="00612AE0" w:rsidRPr="001919FA">
        <w:rPr>
          <w:rFonts w:ascii="Calibri" w:hAnsi="Calibri" w:cs="Calibri"/>
        </w:rPr>
        <w:t xml:space="preserve"> In addition to general expressions of discomfort with eye</w:t>
      </w:r>
      <w:r w:rsidR="001232D4" w:rsidRPr="001919FA">
        <w:rPr>
          <w:rFonts w:ascii="Calibri" w:hAnsi="Calibri" w:cs="Calibri"/>
        </w:rPr>
        <w:t xml:space="preserve"> donation </w:t>
      </w:r>
      <w:r w:rsidR="001232D4" w:rsidRPr="001919FA">
        <w:rPr>
          <w:rFonts w:ascii="Calibri" w:eastAsia="Times New Roman" w:hAnsi="Calibri" w:cs="Calibri"/>
          <w:color w:val="000000"/>
          <w:lang w:eastAsia="en-GB"/>
        </w:rPr>
        <w:t>comments</w:t>
      </w:r>
      <w:r w:rsidR="00612AE0" w:rsidRPr="001919FA">
        <w:rPr>
          <w:rFonts w:ascii="Calibri" w:eastAsia="Times New Roman" w:hAnsi="Calibri" w:cs="Calibri"/>
          <w:color w:val="000000"/>
          <w:lang w:eastAsia="en-GB"/>
        </w:rPr>
        <w:t xml:space="preserve"> </w:t>
      </w:r>
      <w:r w:rsidR="005258D9" w:rsidRPr="001919FA">
        <w:rPr>
          <w:rFonts w:ascii="Calibri" w:eastAsia="Times New Roman" w:hAnsi="Calibri" w:cs="Calibri"/>
          <w:color w:val="000000"/>
          <w:lang w:eastAsia="en-GB"/>
        </w:rPr>
        <w:t xml:space="preserve">also </w:t>
      </w:r>
      <w:r w:rsidR="001232D4" w:rsidRPr="001919FA">
        <w:rPr>
          <w:rFonts w:ascii="Calibri" w:eastAsia="Times New Roman" w:hAnsi="Calibri" w:cs="Calibri"/>
          <w:color w:val="000000"/>
          <w:lang w:eastAsia="en-GB"/>
        </w:rPr>
        <w:t>referred to</w:t>
      </w:r>
      <w:r w:rsidR="00612AE0" w:rsidRPr="001919FA">
        <w:rPr>
          <w:rFonts w:ascii="Calibri" w:eastAsia="Times New Roman" w:hAnsi="Calibri" w:cs="Calibri"/>
          <w:color w:val="000000"/>
          <w:lang w:eastAsia="en-GB"/>
        </w:rPr>
        <w:t xml:space="preserve"> </w:t>
      </w:r>
      <w:r w:rsidR="005258D9" w:rsidRPr="001919FA">
        <w:rPr>
          <w:rFonts w:ascii="Calibri" w:eastAsia="Times New Roman" w:hAnsi="Calibri" w:cs="Calibri"/>
          <w:color w:val="000000"/>
          <w:lang w:eastAsia="en-GB"/>
        </w:rPr>
        <w:t xml:space="preserve">personal </w:t>
      </w:r>
      <w:r w:rsidR="00612AE0" w:rsidRPr="001919FA">
        <w:rPr>
          <w:rFonts w:ascii="Calibri" w:eastAsia="Times New Roman" w:hAnsi="Calibri" w:cs="Calibri"/>
          <w:color w:val="000000"/>
          <w:lang w:eastAsia="en-GB"/>
        </w:rPr>
        <w:t xml:space="preserve">attachment to </w:t>
      </w:r>
      <w:r w:rsidR="001232D4" w:rsidRPr="001919FA">
        <w:rPr>
          <w:rFonts w:ascii="Calibri" w:eastAsia="Times New Roman" w:hAnsi="Calibri" w:cs="Calibri"/>
          <w:color w:val="000000"/>
          <w:lang w:eastAsia="en-GB"/>
        </w:rPr>
        <w:t xml:space="preserve">the </w:t>
      </w:r>
      <w:r w:rsidR="00612AE0" w:rsidRPr="001919FA">
        <w:rPr>
          <w:rFonts w:ascii="Calibri" w:eastAsia="Times New Roman" w:hAnsi="Calibri" w:cs="Calibri"/>
          <w:color w:val="000000"/>
          <w:lang w:eastAsia="en-GB"/>
        </w:rPr>
        <w:t xml:space="preserve">eyes </w:t>
      </w:r>
      <w:r w:rsidR="001232D4" w:rsidRPr="001919FA">
        <w:rPr>
          <w:rFonts w:ascii="Calibri" w:eastAsia="Times New Roman" w:hAnsi="Calibri" w:cs="Calibri"/>
          <w:color w:val="000000"/>
          <w:lang w:eastAsia="en-GB"/>
        </w:rPr>
        <w:t>of the deceased</w:t>
      </w:r>
      <w:r w:rsidR="009C53C2" w:rsidRPr="001919FA">
        <w:rPr>
          <w:rFonts w:ascii="Calibri" w:eastAsia="Times New Roman" w:hAnsi="Calibri" w:cs="Calibri"/>
          <w:color w:val="000000"/>
          <w:lang w:eastAsia="en-GB"/>
        </w:rPr>
        <w:t>,</w:t>
      </w:r>
      <w:r w:rsidR="001232D4" w:rsidRPr="001919FA">
        <w:rPr>
          <w:rFonts w:ascii="Calibri" w:eastAsia="Times New Roman" w:hAnsi="Calibri" w:cs="Calibri"/>
          <w:color w:val="000000"/>
          <w:lang w:eastAsia="en-GB"/>
        </w:rPr>
        <w:t xml:space="preserve"> which influenced family decision making</w:t>
      </w:r>
      <w:r w:rsidR="009F0084">
        <w:rPr>
          <w:rFonts w:ascii="Calibri" w:eastAsia="Times New Roman" w:hAnsi="Calibri" w:cs="Calibri"/>
          <w:color w:val="000000"/>
          <w:lang w:eastAsia="en-GB"/>
        </w:rPr>
        <w:t xml:space="preserve"> </w:t>
      </w:r>
      <w:r w:rsidR="00E861A1" w:rsidRPr="001919FA">
        <w:rPr>
          <w:rFonts w:ascii="Calibri" w:eastAsia="Times New Roman" w:hAnsi="Calibri" w:cs="Calibri"/>
          <w:color w:val="000000"/>
          <w:lang w:eastAsia="en-GB"/>
        </w:rPr>
        <w:t xml:space="preserve">(examples </w:t>
      </w:r>
      <w:r w:rsidR="00132799" w:rsidRPr="001919FA">
        <w:rPr>
          <w:rFonts w:ascii="Calibri" w:eastAsia="Times New Roman" w:hAnsi="Calibri" w:cs="Calibri"/>
          <w:color w:val="000000"/>
          <w:lang w:eastAsia="en-GB"/>
        </w:rPr>
        <w:t>Text</w:t>
      </w:r>
      <w:r w:rsidR="00895025" w:rsidRPr="001919FA">
        <w:rPr>
          <w:rFonts w:ascii="Calibri" w:eastAsia="Times New Roman" w:hAnsi="Calibri" w:cs="Calibri"/>
          <w:color w:val="000000"/>
          <w:lang w:eastAsia="en-GB"/>
        </w:rPr>
        <w:t>b</w:t>
      </w:r>
      <w:r w:rsidR="00132799" w:rsidRPr="001919FA">
        <w:rPr>
          <w:rFonts w:ascii="Calibri" w:eastAsia="Times New Roman" w:hAnsi="Calibri" w:cs="Calibri"/>
          <w:color w:val="000000"/>
          <w:lang w:eastAsia="en-GB"/>
        </w:rPr>
        <w:t xml:space="preserve">ox </w:t>
      </w:r>
      <w:r w:rsidR="005817B0">
        <w:rPr>
          <w:rFonts w:ascii="Calibri" w:eastAsia="Times New Roman" w:hAnsi="Calibri" w:cs="Calibri"/>
          <w:color w:val="000000"/>
          <w:lang w:eastAsia="en-GB"/>
        </w:rPr>
        <w:t>1</w:t>
      </w:r>
      <w:r w:rsidR="00132799" w:rsidRPr="001919FA">
        <w:rPr>
          <w:rFonts w:ascii="Calibri" w:eastAsia="Times New Roman" w:hAnsi="Calibri" w:cs="Calibri"/>
          <w:color w:val="000000"/>
          <w:lang w:eastAsia="en-GB"/>
        </w:rPr>
        <w:t>)</w:t>
      </w:r>
      <w:r w:rsidR="007D7E92" w:rsidRPr="001919FA">
        <w:rPr>
          <w:rFonts w:ascii="Calibri" w:eastAsia="Times New Roman" w:hAnsi="Calibri" w:cs="Calibri"/>
          <w:color w:val="000000"/>
          <w:lang w:eastAsia="en-GB"/>
        </w:rPr>
        <w:t>.</w:t>
      </w:r>
    </w:p>
    <w:p w14:paraId="0B7098A0" w14:textId="6208FF7B" w:rsidR="007D7E92" w:rsidRPr="007D7E92" w:rsidRDefault="007D7E92" w:rsidP="00AF70D2">
      <w:pPr>
        <w:jc w:val="both"/>
        <w:rPr>
          <w:rFonts w:ascii="Calibri" w:eastAsia="Times New Roman" w:hAnsi="Calibri" w:cs="Calibri"/>
          <w:i/>
          <w:color w:val="000000"/>
          <w:sz w:val="20"/>
          <w:szCs w:val="20"/>
          <w:lang w:eastAsia="en-GB"/>
        </w:rPr>
      </w:pPr>
      <w:r w:rsidRPr="00132799">
        <w:rPr>
          <w:rFonts w:ascii="Calibri" w:eastAsia="Times New Roman" w:hAnsi="Calibri" w:cs="Calibri"/>
          <w:noProof/>
          <w:color w:val="000000"/>
          <w:lang w:eastAsia="en-GB"/>
        </w:rPr>
        <mc:AlternateContent>
          <mc:Choice Requires="wps">
            <w:drawing>
              <wp:anchor distT="45720" distB="45720" distL="114300" distR="114300" simplePos="0" relativeHeight="251659264" behindDoc="0" locked="0" layoutInCell="1" allowOverlap="1" wp14:anchorId="609D409E" wp14:editId="2A2839AD">
                <wp:simplePos x="0" y="0"/>
                <wp:positionH relativeFrom="margin">
                  <wp:align>right</wp:align>
                </wp:positionH>
                <wp:positionV relativeFrom="paragraph">
                  <wp:posOffset>261004</wp:posOffset>
                </wp:positionV>
                <wp:extent cx="6622415" cy="1948815"/>
                <wp:effectExtent l="0" t="0" r="2603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2415" cy="1949381"/>
                        </a:xfrm>
                        <a:prstGeom prst="rect">
                          <a:avLst/>
                        </a:prstGeom>
                        <a:solidFill>
                          <a:srgbClr val="FFFFFF"/>
                        </a:solidFill>
                        <a:ln w="9525">
                          <a:solidFill>
                            <a:srgbClr val="000000"/>
                          </a:solidFill>
                          <a:miter lim="800000"/>
                          <a:headEnd/>
                          <a:tailEnd/>
                        </a:ln>
                      </wps:spPr>
                      <wps:txbx>
                        <w:txbxContent>
                          <w:p w14:paraId="276F976D" w14:textId="7A570C27" w:rsidR="008B5518" w:rsidRDefault="008B5518" w:rsidP="00132799">
                            <w:pPr>
                              <w:jc w:val="both"/>
                              <w:rPr>
                                <w:rFonts w:ascii="Calibri" w:eastAsia="Times New Roman" w:hAnsi="Calibri" w:cs="Calibri"/>
                                <w:i/>
                                <w:iCs/>
                                <w:color w:val="000000"/>
                                <w:sz w:val="20"/>
                                <w:szCs w:val="20"/>
                                <w:lang w:eastAsia="en-GB"/>
                              </w:rPr>
                            </w:pPr>
                            <w:r>
                              <w:rPr>
                                <w:rFonts w:ascii="Calibri" w:eastAsia="Times New Roman" w:hAnsi="Calibri" w:cs="Calibri"/>
                                <w:i/>
                                <w:iCs/>
                                <w:color w:val="000000"/>
                                <w:sz w:val="20"/>
                                <w:szCs w:val="20"/>
                                <w:lang w:eastAsia="en-GB"/>
                              </w:rPr>
                              <w:t>[B]</w:t>
                            </w:r>
                            <w:r w:rsidRPr="00650AA7">
                              <w:rPr>
                                <w:rFonts w:ascii="Calibri" w:eastAsia="Times New Roman" w:hAnsi="Calibri" w:cs="Calibri"/>
                                <w:i/>
                                <w:iCs/>
                                <w:color w:val="000000"/>
                                <w:sz w:val="20"/>
                                <w:szCs w:val="20"/>
                                <w:lang w:eastAsia="en-GB"/>
                              </w:rPr>
                              <w:t>rothers who had had discussion and all felt "funny" about eyes.</w:t>
                            </w:r>
                          </w:p>
                          <w:p w14:paraId="580A43F6" w14:textId="0EFF265C" w:rsidR="008B5518" w:rsidRDefault="008B5518" w:rsidP="00132799">
                            <w:pPr>
                              <w:jc w:val="both"/>
                              <w:rPr>
                                <w:rFonts w:ascii="Calibri" w:eastAsia="Times New Roman" w:hAnsi="Calibri" w:cs="Calibri"/>
                                <w:i/>
                                <w:iCs/>
                                <w:color w:val="000000"/>
                                <w:sz w:val="20"/>
                                <w:szCs w:val="20"/>
                                <w:lang w:eastAsia="en-GB"/>
                              </w:rPr>
                            </w:pPr>
                            <w:r w:rsidRPr="00650AA7">
                              <w:rPr>
                                <w:rFonts w:ascii="Calibri" w:eastAsia="Times New Roman" w:hAnsi="Calibri" w:cs="Calibri"/>
                                <w:i/>
                                <w:iCs/>
                                <w:color w:val="000000"/>
                                <w:sz w:val="20"/>
                                <w:szCs w:val="20"/>
                                <w:lang w:eastAsia="en-GB"/>
                              </w:rPr>
                              <w:t>Family did not like the idea of eye donation.</w:t>
                            </w:r>
                          </w:p>
                          <w:p w14:paraId="6D9C29AC" w14:textId="52C695D9" w:rsidR="008B5518" w:rsidRPr="003A044E" w:rsidRDefault="008B5518" w:rsidP="00132799">
                            <w:pPr>
                              <w:jc w:val="both"/>
                              <w:rPr>
                                <w:rFonts w:ascii="Calibri" w:eastAsia="Times New Roman" w:hAnsi="Calibri" w:cs="Calibri"/>
                                <w:i/>
                                <w:iCs/>
                                <w:color w:val="000000"/>
                                <w:sz w:val="20"/>
                                <w:szCs w:val="20"/>
                                <w:lang w:eastAsia="en-GB"/>
                              </w:rPr>
                            </w:pPr>
                            <w:r w:rsidRPr="003A044E">
                              <w:rPr>
                                <w:rFonts w:ascii="Calibri" w:eastAsia="Times New Roman" w:hAnsi="Calibri" w:cs="Calibri"/>
                                <w:i/>
                                <w:iCs/>
                                <w:color w:val="000000"/>
                                <w:sz w:val="20"/>
                                <w:szCs w:val="20"/>
                                <w:lang w:eastAsia="en-GB"/>
                              </w:rPr>
                              <w:t>Family reported they didn’t like the idea of someone else seeing through their loved ones eyes'…</w:t>
                            </w:r>
                          </w:p>
                          <w:p w14:paraId="1AF79BE1" w14:textId="77777777" w:rsidR="008B5518" w:rsidRPr="003A044E" w:rsidRDefault="008B5518" w:rsidP="00132799">
                            <w:pPr>
                              <w:jc w:val="both"/>
                              <w:rPr>
                                <w:rFonts w:ascii="Calibri" w:eastAsia="Times New Roman" w:hAnsi="Calibri" w:cs="Calibri"/>
                                <w:i/>
                                <w:iCs/>
                                <w:color w:val="000000"/>
                                <w:sz w:val="20"/>
                                <w:szCs w:val="20"/>
                                <w:lang w:eastAsia="en-GB"/>
                              </w:rPr>
                            </w:pPr>
                            <w:r w:rsidRPr="003A044E">
                              <w:rPr>
                                <w:rFonts w:ascii="Calibri" w:eastAsia="Times New Roman" w:hAnsi="Calibri" w:cs="Calibri"/>
                                <w:i/>
                                <w:iCs/>
                                <w:color w:val="000000"/>
                                <w:sz w:val="20"/>
                                <w:szCs w:val="20"/>
                                <w:lang w:eastAsia="en-GB"/>
                              </w:rPr>
                              <w:t>‘Family did not want eyes removing as they felt they were part of her’</w:t>
                            </w:r>
                          </w:p>
                          <w:p w14:paraId="2823CBE6" w14:textId="77777777" w:rsidR="008B5518" w:rsidRPr="003A044E" w:rsidRDefault="008B5518" w:rsidP="00132799">
                            <w:pPr>
                              <w:jc w:val="both"/>
                              <w:rPr>
                                <w:rFonts w:ascii="Calibri" w:eastAsia="Times New Roman" w:hAnsi="Calibri" w:cs="Calibri"/>
                                <w:i/>
                                <w:iCs/>
                                <w:color w:val="000000"/>
                                <w:sz w:val="20"/>
                                <w:szCs w:val="20"/>
                                <w:lang w:eastAsia="en-GB"/>
                              </w:rPr>
                            </w:pPr>
                            <w:r w:rsidRPr="003A044E">
                              <w:rPr>
                                <w:rFonts w:ascii="Calibri" w:eastAsia="Times New Roman" w:hAnsi="Calibri" w:cs="Calibri"/>
                                <w:i/>
                                <w:iCs/>
                                <w:color w:val="000000"/>
                                <w:sz w:val="20"/>
                                <w:szCs w:val="20"/>
                                <w:lang w:eastAsia="en-GB"/>
                              </w:rPr>
                              <w:t>Family were very much against eye donation as they said they were "windows to the soul"</w:t>
                            </w:r>
                          </w:p>
                          <w:p w14:paraId="00520323" w14:textId="0076E0B2" w:rsidR="008B5518" w:rsidRPr="003A044E" w:rsidRDefault="008B5518" w:rsidP="00132799">
                            <w:pPr>
                              <w:jc w:val="both"/>
                              <w:rPr>
                                <w:rFonts w:ascii="Calibri" w:eastAsia="Times New Roman" w:hAnsi="Calibri" w:cs="Calibri"/>
                                <w:i/>
                                <w:iCs/>
                                <w:color w:val="000000"/>
                                <w:sz w:val="20"/>
                                <w:szCs w:val="20"/>
                                <w:lang w:eastAsia="en-GB"/>
                              </w:rPr>
                            </w:pPr>
                            <w:r w:rsidRPr="003A044E">
                              <w:rPr>
                                <w:rFonts w:ascii="Calibri" w:eastAsia="Times New Roman" w:hAnsi="Calibri" w:cs="Calibri"/>
                                <w:i/>
                                <w:iCs/>
                                <w:color w:val="000000"/>
                                <w:sz w:val="20"/>
                                <w:szCs w:val="20"/>
                                <w:lang w:eastAsia="en-GB"/>
                              </w:rPr>
                              <w:t>… eyes refused as wife couldn't bear the thought of him without them.</w:t>
                            </w:r>
                          </w:p>
                          <w:p w14:paraId="654EFB41" w14:textId="77777777" w:rsidR="008B5518" w:rsidRPr="003A044E" w:rsidRDefault="008B5518" w:rsidP="00132799">
                            <w:pPr>
                              <w:jc w:val="both"/>
                              <w:rPr>
                                <w:rFonts w:ascii="Calibri" w:eastAsia="Times New Roman" w:hAnsi="Calibri" w:cs="Calibri"/>
                                <w:i/>
                                <w:iCs/>
                                <w:color w:val="000000"/>
                                <w:sz w:val="20"/>
                                <w:szCs w:val="20"/>
                                <w:lang w:eastAsia="en-GB"/>
                              </w:rPr>
                            </w:pPr>
                            <w:r w:rsidRPr="003A044E">
                              <w:rPr>
                                <w:rFonts w:ascii="Calibri" w:eastAsia="Times New Roman" w:hAnsi="Calibri" w:cs="Calibri"/>
                                <w:i/>
                                <w:iCs/>
                                <w:color w:val="000000"/>
                                <w:sz w:val="20"/>
                                <w:szCs w:val="20"/>
                                <w:lang w:eastAsia="en-GB"/>
                              </w:rPr>
                              <w:t>Partner believed the eyes were the window to the soul</w:t>
                            </w:r>
                          </w:p>
                          <w:p w14:paraId="5EEC5446" w14:textId="115C855F" w:rsidR="008B5518" w:rsidRDefault="008B55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9D409E" id="_x0000_t202" coordsize="21600,21600" o:spt="202" path="m,l,21600r21600,l21600,xe">
                <v:stroke joinstyle="miter"/>
                <v:path gradientshapeok="t" o:connecttype="rect"/>
              </v:shapetype>
              <v:shape id="Text Box 2" o:spid="_x0000_s1026" type="#_x0000_t202" style="position:absolute;left:0;text-align:left;margin-left:470.25pt;margin-top:20.55pt;width:521.45pt;height:153.4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">
                <v:textbox>
                  <w:txbxContent>
                    <w:p w14:paraId="276F976D" w14:textId="7A570C27" w:rsidR="008B5518" w:rsidRDefault="008B5518" w:rsidP="00132799">
                      <w:pPr>
                        <w:jc w:val="both"/>
                        <w:rPr>
                          <w:rFonts w:ascii="Calibri" w:eastAsia="Times New Roman" w:hAnsi="Calibri" w:cs="Calibri"/>
                          <w:i/>
                          <w:iCs/>
                          <w:color w:val="000000"/>
                          <w:sz w:val="20"/>
                          <w:szCs w:val="20"/>
                          <w:lang w:eastAsia="en-GB"/>
                        </w:rPr>
                      </w:pPr>
                      <w:r>
                        <w:rPr>
                          <w:rFonts w:ascii="Calibri" w:eastAsia="Times New Roman" w:hAnsi="Calibri" w:cs="Calibri"/>
                          <w:i/>
                          <w:iCs/>
                          <w:color w:val="000000"/>
                          <w:sz w:val="20"/>
                          <w:szCs w:val="20"/>
                          <w:lang w:eastAsia="en-GB"/>
                        </w:rPr>
                        <w:t>[B]</w:t>
                      </w:r>
                      <w:r w:rsidRPr="00650AA7">
                        <w:rPr>
                          <w:rFonts w:ascii="Calibri" w:eastAsia="Times New Roman" w:hAnsi="Calibri" w:cs="Calibri"/>
                          <w:i/>
                          <w:iCs/>
                          <w:color w:val="000000"/>
                          <w:sz w:val="20"/>
                          <w:szCs w:val="20"/>
                          <w:lang w:eastAsia="en-GB"/>
                        </w:rPr>
                        <w:t>rothers who had had discussion and all felt "funny" about eyes.</w:t>
                      </w:r>
                    </w:p>
                    <w:p w14:paraId="580A43F6" w14:textId="0EFF265C" w:rsidR="008B5518" w:rsidRDefault="008B5518" w:rsidP="00132799">
                      <w:pPr>
                        <w:jc w:val="both"/>
                        <w:rPr>
                          <w:rFonts w:ascii="Calibri" w:eastAsia="Times New Roman" w:hAnsi="Calibri" w:cs="Calibri"/>
                          <w:i/>
                          <w:iCs/>
                          <w:color w:val="000000"/>
                          <w:sz w:val="20"/>
                          <w:szCs w:val="20"/>
                          <w:lang w:eastAsia="en-GB"/>
                        </w:rPr>
                      </w:pPr>
                      <w:r w:rsidRPr="00650AA7">
                        <w:rPr>
                          <w:rFonts w:ascii="Calibri" w:eastAsia="Times New Roman" w:hAnsi="Calibri" w:cs="Calibri"/>
                          <w:i/>
                          <w:iCs/>
                          <w:color w:val="000000"/>
                          <w:sz w:val="20"/>
                          <w:szCs w:val="20"/>
                          <w:lang w:eastAsia="en-GB"/>
                        </w:rPr>
                        <w:t>Family did not like the idea of eye donation.</w:t>
                      </w:r>
                    </w:p>
                    <w:p w14:paraId="6D9C29AC" w14:textId="52C695D9" w:rsidR="008B5518" w:rsidRPr="003A044E" w:rsidRDefault="008B5518" w:rsidP="00132799">
                      <w:pPr>
                        <w:jc w:val="both"/>
                        <w:rPr>
                          <w:rFonts w:ascii="Calibri" w:eastAsia="Times New Roman" w:hAnsi="Calibri" w:cs="Calibri"/>
                          <w:i/>
                          <w:iCs/>
                          <w:color w:val="000000"/>
                          <w:sz w:val="20"/>
                          <w:szCs w:val="20"/>
                          <w:lang w:eastAsia="en-GB"/>
                        </w:rPr>
                      </w:pPr>
                      <w:r w:rsidRPr="003A044E">
                        <w:rPr>
                          <w:rFonts w:ascii="Calibri" w:eastAsia="Times New Roman" w:hAnsi="Calibri" w:cs="Calibri"/>
                          <w:i/>
                          <w:iCs/>
                          <w:color w:val="000000"/>
                          <w:sz w:val="20"/>
                          <w:szCs w:val="20"/>
                          <w:lang w:eastAsia="en-GB"/>
                        </w:rPr>
                        <w:t>Family reported they didn’t like the idea of someone else seeing through their loved ones eyes'…</w:t>
                      </w:r>
                    </w:p>
                    <w:p w14:paraId="1AF79BE1" w14:textId="77777777" w:rsidR="008B5518" w:rsidRPr="003A044E" w:rsidRDefault="008B5518" w:rsidP="00132799">
                      <w:pPr>
                        <w:jc w:val="both"/>
                        <w:rPr>
                          <w:rFonts w:ascii="Calibri" w:eastAsia="Times New Roman" w:hAnsi="Calibri" w:cs="Calibri"/>
                          <w:i/>
                          <w:iCs/>
                          <w:color w:val="000000"/>
                          <w:sz w:val="20"/>
                          <w:szCs w:val="20"/>
                          <w:lang w:eastAsia="en-GB"/>
                        </w:rPr>
                      </w:pPr>
                      <w:r w:rsidRPr="003A044E">
                        <w:rPr>
                          <w:rFonts w:ascii="Calibri" w:eastAsia="Times New Roman" w:hAnsi="Calibri" w:cs="Calibri"/>
                          <w:i/>
                          <w:iCs/>
                          <w:color w:val="000000"/>
                          <w:sz w:val="20"/>
                          <w:szCs w:val="20"/>
                          <w:lang w:eastAsia="en-GB"/>
                        </w:rPr>
                        <w:t>‘Family did not want eyes removing as they felt they were part of her’</w:t>
                      </w:r>
                    </w:p>
                    <w:p w14:paraId="2823CBE6" w14:textId="77777777" w:rsidR="008B5518" w:rsidRPr="003A044E" w:rsidRDefault="008B5518" w:rsidP="00132799">
                      <w:pPr>
                        <w:jc w:val="both"/>
                        <w:rPr>
                          <w:rFonts w:ascii="Calibri" w:eastAsia="Times New Roman" w:hAnsi="Calibri" w:cs="Calibri"/>
                          <w:i/>
                          <w:iCs/>
                          <w:color w:val="000000"/>
                          <w:sz w:val="20"/>
                          <w:szCs w:val="20"/>
                          <w:lang w:eastAsia="en-GB"/>
                        </w:rPr>
                      </w:pPr>
                      <w:r w:rsidRPr="003A044E">
                        <w:rPr>
                          <w:rFonts w:ascii="Calibri" w:eastAsia="Times New Roman" w:hAnsi="Calibri" w:cs="Calibri"/>
                          <w:i/>
                          <w:iCs/>
                          <w:color w:val="000000"/>
                          <w:sz w:val="20"/>
                          <w:szCs w:val="20"/>
                          <w:lang w:eastAsia="en-GB"/>
                        </w:rPr>
                        <w:t>Family were very much against eye donation as they said they were "windows to the soul"</w:t>
                      </w:r>
                    </w:p>
                    <w:p w14:paraId="00520323" w14:textId="0076E0B2" w:rsidR="008B5518" w:rsidRPr="003A044E" w:rsidRDefault="008B5518" w:rsidP="00132799">
                      <w:pPr>
                        <w:jc w:val="both"/>
                        <w:rPr>
                          <w:rFonts w:ascii="Calibri" w:eastAsia="Times New Roman" w:hAnsi="Calibri" w:cs="Calibri"/>
                          <w:i/>
                          <w:iCs/>
                          <w:color w:val="000000"/>
                          <w:sz w:val="20"/>
                          <w:szCs w:val="20"/>
                          <w:lang w:eastAsia="en-GB"/>
                        </w:rPr>
                      </w:pPr>
                      <w:r w:rsidRPr="003A044E">
                        <w:rPr>
                          <w:rFonts w:ascii="Calibri" w:eastAsia="Times New Roman" w:hAnsi="Calibri" w:cs="Calibri"/>
                          <w:i/>
                          <w:iCs/>
                          <w:color w:val="000000"/>
                          <w:sz w:val="20"/>
                          <w:szCs w:val="20"/>
                          <w:lang w:eastAsia="en-GB"/>
                        </w:rPr>
                        <w:t>… eyes refused as wife couldn't bear the thought of him without them.</w:t>
                      </w:r>
                    </w:p>
                    <w:p w14:paraId="654EFB41" w14:textId="77777777" w:rsidR="008B5518" w:rsidRPr="003A044E" w:rsidRDefault="008B5518" w:rsidP="00132799">
                      <w:pPr>
                        <w:jc w:val="both"/>
                        <w:rPr>
                          <w:rFonts w:ascii="Calibri" w:eastAsia="Times New Roman" w:hAnsi="Calibri" w:cs="Calibri"/>
                          <w:i/>
                          <w:iCs/>
                          <w:color w:val="000000"/>
                          <w:sz w:val="20"/>
                          <w:szCs w:val="20"/>
                          <w:lang w:eastAsia="en-GB"/>
                        </w:rPr>
                      </w:pPr>
                      <w:r w:rsidRPr="003A044E">
                        <w:rPr>
                          <w:rFonts w:ascii="Calibri" w:eastAsia="Times New Roman" w:hAnsi="Calibri" w:cs="Calibri"/>
                          <w:i/>
                          <w:iCs/>
                          <w:color w:val="000000"/>
                          <w:sz w:val="20"/>
                          <w:szCs w:val="20"/>
                          <w:lang w:eastAsia="en-GB"/>
                        </w:rPr>
                        <w:t>Partner believed the eyes were the window to the soul</w:t>
                      </w:r>
                    </w:p>
                    <w:p w14:paraId="5EEC5446" w14:textId="115C855F" w:rsidR="008B5518" w:rsidRDefault="008B5518"/>
                  </w:txbxContent>
                </v:textbox>
                <w10:wrap type="square" anchorx="margin"/>
              </v:shape>
            </w:pict>
          </mc:Fallback>
        </mc:AlternateContent>
      </w:r>
      <w:r w:rsidRPr="007D7E92">
        <w:rPr>
          <w:rFonts w:ascii="Calibri" w:eastAsia="Times New Roman" w:hAnsi="Calibri" w:cs="Calibri"/>
          <w:i/>
          <w:color w:val="000000"/>
          <w:sz w:val="20"/>
          <w:szCs w:val="20"/>
          <w:lang w:eastAsia="en-GB"/>
        </w:rPr>
        <w:t>Text</w:t>
      </w:r>
      <w:r w:rsidR="00895025">
        <w:rPr>
          <w:rFonts w:ascii="Calibri" w:eastAsia="Times New Roman" w:hAnsi="Calibri" w:cs="Calibri"/>
          <w:i/>
          <w:color w:val="000000"/>
          <w:sz w:val="20"/>
          <w:szCs w:val="20"/>
          <w:lang w:eastAsia="en-GB"/>
        </w:rPr>
        <w:t>b</w:t>
      </w:r>
      <w:r w:rsidRPr="007D7E92">
        <w:rPr>
          <w:rFonts w:ascii="Calibri" w:eastAsia="Times New Roman" w:hAnsi="Calibri" w:cs="Calibri"/>
          <w:i/>
          <w:color w:val="000000"/>
          <w:sz w:val="20"/>
          <w:szCs w:val="20"/>
          <w:lang w:eastAsia="en-GB"/>
        </w:rPr>
        <w:t xml:space="preserve">ox </w:t>
      </w:r>
      <w:r w:rsidR="005817B0">
        <w:rPr>
          <w:rFonts w:ascii="Calibri" w:eastAsia="Times New Roman" w:hAnsi="Calibri" w:cs="Calibri"/>
          <w:i/>
          <w:color w:val="000000"/>
          <w:sz w:val="20"/>
          <w:szCs w:val="20"/>
          <w:lang w:eastAsia="en-GB"/>
        </w:rPr>
        <w:t>1</w:t>
      </w:r>
      <w:r w:rsidRPr="007D7E92">
        <w:rPr>
          <w:rFonts w:ascii="Calibri" w:eastAsia="Times New Roman" w:hAnsi="Calibri" w:cs="Calibri"/>
          <w:i/>
          <w:color w:val="000000"/>
          <w:sz w:val="20"/>
          <w:szCs w:val="20"/>
          <w:lang w:eastAsia="en-GB"/>
        </w:rPr>
        <w:t>. Recorded family comments</w:t>
      </w:r>
      <w:r w:rsidR="005420E7">
        <w:rPr>
          <w:rFonts w:ascii="Calibri" w:eastAsia="Times New Roman" w:hAnsi="Calibri" w:cs="Calibri"/>
          <w:i/>
          <w:color w:val="000000"/>
          <w:sz w:val="20"/>
          <w:szCs w:val="20"/>
          <w:lang w:eastAsia="en-GB"/>
        </w:rPr>
        <w:t xml:space="preserve"> relating to discomfort reactions to eye tissue donation.</w:t>
      </w:r>
      <w:r w:rsidRPr="007D7E92">
        <w:rPr>
          <w:rFonts w:ascii="Calibri" w:eastAsia="Times New Roman" w:hAnsi="Calibri" w:cs="Calibri"/>
          <w:i/>
          <w:color w:val="000000"/>
          <w:sz w:val="20"/>
          <w:szCs w:val="20"/>
          <w:lang w:eastAsia="en-GB"/>
        </w:rPr>
        <w:t xml:space="preserve"> </w:t>
      </w:r>
    </w:p>
    <w:p w14:paraId="42B1426A" w14:textId="1A2BDB99" w:rsidR="00F049AE" w:rsidRPr="00493744" w:rsidRDefault="00F049AE" w:rsidP="00895025">
      <w:pPr>
        <w:pStyle w:val="Heading3"/>
        <w:spacing w:line="360" w:lineRule="auto"/>
        <w:rPr>
          <w:rFonts w:ascii="Calibri" w:hAnsi="Calibri" w:cs="Calibri"/>
          <w:i/>
          <w:color w:val="auto"/>
          <w:sz w:val="22"/>
          <w:szCs w:val="22"/>
        </w:rPr>
      </w:pPr>
      <w:r w:rsidRPr="00493744">
        <w:rPr>
          <w:rFonts w:ascii="Calibri" w:hAnsi="Calibri" w:cs="Calibri"/>
          <w:i/>
          <w:color w:val="auto"/>
          <w:sz w:val="22"/>
          <w:szCs w:val="22"/>
        </w:rPr>
        <w:t xml:space="preserve">Disfigurement </w:t>
      </w:r>
      <w:r w:rsidR="005A4642" w:rsidRPr="00493744">
        <w:rPr>
          <w:rFonts w:ascii="Calibri" w:hAnsi="Calibri" w:cs="Calibri"/>
          <w:i/>
          <w:color w:val="auto"/>
          <w:sz w:val="22"/>
          <w:szCs w:val="22"/>
        </w:rPr>
        <w:t>concerns</w:t>
      </w:r>
    </w:p>
    <w:p w14:paraId="5BDD023E" w14:textId="0BDF0C41" w:rsidR="00A1078F" w:rsidRPr="00E22A32" w:rsidRDefault="00F049AE" w:rsidP="00A1078F">
      <w:pPr>
        <w:pStyle w:val="Heading3"/>
        <w:spacing w:line="360" w:lineRule="auto"/>
        <w:rPr>
          <w:rFonts w:ascii="Calibri" w:hAnsi="Calibri" w:cs="Calibri"/>
          <w:color w:val="auto"/>
          <w:sz w:val="22"/>
          <w:szCs w:val="22"/>
        </w:rPr>
      </w:pPr>
      <w:r w:rsidRPr="00E22A32">
        <w:rPr>
          <w:rFonts w:ascii="Calibri" w:hAnsi="Calibri" w:cs="Calibri"/>
          <w:color w:val="auto"/>
          <w:sz w:val="22"/>
          <w:szCs w:val="22"/>
        </w:rPr>
        <w:t>Linked to</w:t>
      </w:r>
      <w:r w:rsidR="003B0324" w:rsidRPr="00E22A32">
        <w:rPr>
          <w:rFonts w:ascii="Calibri" w:hAnsi="Calibri" w:cs="Calibri"/>
          <w:color w:val="auto"/>
          <w:sz w:val="22"/>
          <w:szCs w:val="22"/>
        </w:rPr>
        <w:t xml:space="preserve"> discomfort reactions, concerns about disfiguring the body of the deceased was raised by </w:t>
      </w:r>
      <w:r w:rsidR="00997124" w:rsidRPr="00E22A32">
        <w:rPr>
          <w:rFonts w:ascii="Calibri" w:hAnsi="Calibri" w:cs="Calibri"/>
          <w:color w:val="auto"/>
          <w:sz w:val="22"/>
          <w:szCs w:val="22"/>
        </w:rPr>
        <w:t xml:space="preserve">seven </w:t>
      </w:r>
      <w:r w:rsidRPr="00E22A32">
        <w:rPr>
          <w:rFonts w:ascii="Calibri" w:hAnsi="Calibri" w:cs="Calibri"/>
          <w:color w:val="auto"/>
          <w:sz w:val="22"/>
          <w:szCs w:val="22"/>
        </w:rPr>
        <w:t xml:space="preserve">family members </w:t>
      </w:r>
      <w:r w:rsidR="003B0324" w:rsidRPr="00E22A32">
        <w:rPr>
          <w:rFonts w:ascii="Calibri" w:hAnsi="Calibri" w:cs="Calibri"/>
          <w:color w:val="auto"/>
          <w:sz w:val="22"/>
          <w:szCs w:val="22"/>
        </w:rPr>
        <w:t>(6%) with SNOD</w:t>
      </w:r>
      <w:r w:rsidR="00631B75">
        <w:rPr>
          <w:rFonts w:ascii="Calibri" w:hAnsi="Calibri" w:cs="Calibri"/>
          <w:color w:val="auto"/>
          <w:sz w:val="22"/>
          <w:szCs w:val="22"/>
        </w:rPr>
        <w:t>s</w:t>
      </w:r>
      <w:r w:rsidR="003B0324" w:rsidRPr="00E22A32">
        <w:rPr>
          <w:rFonts w:ascii="Calibri" w:hAnsi="Calibri" w:cs="Calibri"/>
          <w:color w:val="auto"/>
          <w:sz w:val="22"/>
          <w:szCs w:val="22"/>
        </w:rPr>
        <w:t xml:space="preserve"> recording that family members </w:t>
      </w:r>
      <w:r w:rsidRPr="00E22A32">
        <w:rPr>
          <w:rFonts w:ascii="Calibri" w:hAnsi="Calibri" w:cs="Calibri"/>
          <w:color w:val="auto"/>
          <w:sz w:val="22"/>
          <w:szCs w:val="22"/>
        </w:rPr>
        <w:t>only want</w:t>
      </w:r>
      <w:r w:rsidR="003B0324" w:rsidRPr="00E22A32">
        <w:rPr>
          <w:rFonts w:ascii="Calibri" w:hAnsi="Calibri" w:cs="Calibri"/>
          <w:color w:val="auto"/>
          <w:sz w:val="22"/>
          <w:szCs w:val="22"/>
        </w:rPr>
        <w:t>ed</w:t>
      </w:r>
      <w:r w:rsidRPr="00E22A32">
        <w:rPr>
          <w:rFonts w:ascii="Calibri" w:hAnsi="Calibri" w:cs="Calibri"/>
          <w:color w:val="auto"/>
          <w:sz w:val="22"/>
          <w:szCs w:val="22"/>
        </w:rPr>
        <w:t xml:space="preserve"> solid organs to be retrieved</w:t>
      </w:r>
      <w:r w:rsidR="003B0324" w:rsidRPr="00E22A32">
        <w:rPr>
          <w:rFonts w:ascii="Calibri" w:hAnsi="Calibri" w:cs="Calibri"/>
          <w:color w:val="auto"/>
          <w:sz w:val="22"/>
          <w:szCs w:val="22"/>
        </w:rPr>
        <w:t>. It is no</w:t>
      </w:r>
      <w:r w:rsidR="00E22A32">
        <w:rPr>
          <w:rFonts w:ascii="Calibri" w:hAnsi="Calibri" w:cs="Calibri"/>
          <w:color w:val="auto"/>
          <w:sz w:val="22"/>
          <w:szCs w:val="22"/>
        </w:rPr>
        <w:t>t</w:t>
      </w:r>
      <w:r w:rsidR="001919FA" w:rsidRPr="00E22A32">
        <w:rPr>
          <w:rFonts w:ascii="Calibri" w:hAnsi="Calibri" w:cs="Calibri"/>
          <w:color w:val="auto"/>
          <w:sz w:val="22"/>
          <w:szCs w:val="22"/>
        </w:rPr>
        <w:t xml:space="preserve">able </w:t>
      </w:r>
      <w:r w:rsidR="003B0324" w:rsidRPr="00E22A32">
        <w:rPr>
          <w:rFonts w:ascii="Calibri" w:hAnsi="Calibri" w:cs="Calibri"/>
          <w:color w:val="auto"/>
          <w:sz w:val="22"/>
          <w:szCs w:val="22"/>
        </w:rPr>
        <w:t>that comments includ</w:t>
      </w:r>
      <w:r w:rsidR="009C53C2" w:rsidRPr="00E22A32">
        <w:rPr>
          <w:rFonts w:ascii="Calibri" w:hAnsi="Calibri" w:cs="Calibri"/>
          <w:color w:val="auto"/>
          <w:sz w:val="22"/>
          <w:szCs w:val="22"/>
        </w:rPr>
        <w:t>e words and phrases such as</w:t>
      </w:r>
      <w:r w:rsidR="003B0324" w:rsidRPr="00E22A32">
        <w:rPr>
          <w:rFonts w:ascii="Calibri" w:hAnsi="Calibri" w:cs="Calibri"/>
          <w:color w:val="auto"/>
          <w:sz w:val="22"/>
          <w:szCs w:val="22"/>
        </w:rPr>
        <w:t xml:space="preserve"> </w:t>
      </w:r>
      <w:r w:rsidR="00AB4CF6" w:rsidRPr="00E22A32">
        <w:rPr>
          <w:rFonts w:ascii="Calibri" w:hAnsi="Calibri" w:cs="Calibri"/>
          <w:i/>
          <w:color w:val="auto"/>
          <w:sz w:val="22"/>
          <w:szCs w:val="22"/>
        </w:rPr>
        <w:t>‘nothing visible</w:t>
      </w:r>
      <w:r w:rsidR="001D02F3" w:rsidRPr="00E22A32">
        <w:rPr>
          <w:rFonts w:ascii="Calibri" w:hAnsi="Calibri" w:cs="Calibri"/>
          <w:i/>
          <w:color w:val="auto"/>
          <w:sz w:val="22"/>
          <w:szCs w:val="22"/>
        </w:rPr>
        <w:t>, ‘external’</w:t>
      </w:r>
      <w:r w:rsidR="00631B75">
        <w:rPr>
          <w:rFonts w:ascii="Calibri" w:hAnsi="Calibri" w:cs="Calibri"/>
          <w:i/>
          <w:color w:val="auto"/>
          <w:sz w:val="22"/>
          <w:szCs w:val="22"/>
        </w:rPr>
        <w:t>, and</w:t>
      </w:r>
      <w:r w:rsidR="00A354B8">
        <w:rPr>
          <w:rFonts w:ascii="Calibri" w:hAnsi="Calibri" w:cs="Calibri"/>
          <w:i/>
          <w:color w:val="auto"/>
          <w:sz w:val="22"/>
          <w:szCs w:val="22"/>
        </w:rPr>
        <w:t xml:space="preserve"> </w:t>
      </w:r>
      <w:r w:rsidR="001D02F3" w:rsidRPr="00E22A32">
        <w:rPr>
          <w:rFonts w:ascii="Calibri" w:hAnsi="Calibri" w:cs="Calibri"/>
          <w:i/>
          <w:color w:val="auto"/>
          <w:sz w:val="22"/>
          <w:szCs w:val="22"/>
        </w:rPr>
        <w:t>‘outside</w:t>
      </w:r>
      <w:r w:rsidR="003F16C8" w:rsidRPr="00E22A32">
        <w:rPr>
          <w:rFonts w:ascii="Calibri" w:hAnsi="Calibri" w:cs="Calibri"/>
          <w:i/>
          <w:color w:val="auto"/>
          <w:sz w:val="22"/>
          <w:szCs w:val="22"/>
        </w:rPr>
        <w:t>’</w:t>
      </w:r>
      <w:r w:rsidR="009F0AD3" w:rsidRPr="00E22A32">
        <w:rPr>
          <w:rFonts w:ascii="Calibri" w:hAnsi="Calibri" w:cs="Calibri"/>
          <w:color w:val="auto"/>
          <w:sz w:val="22"/>
          <w:szCs w:val="22"/>
        </w:rPr>
        <w:t xml:space="preserve"> underlining that family member</w:t>
      </w:r>
      <w:r w:rsidR="009C53C2" w:rsidRPr="00E22A32">
        <w:rPr>
          <w:rFonts w:ascii="Calibri" w:hAnsi="Calibri" w:cs="Calibri"/>
          <w:color w:val="auto"/>
          <w:sz w:val="22"/>
          <w:szCs w:val="22"/>
        </w:rPr>
        <w:t>s</w:t>
      </w:r>
      <w:r w:rsidR="009F0AD3" w:rsidRPr="00E22A32">
        <w:rPr>
          <w:rFonts w:ascii="Calibri" w:hAnsi="Calibri" w:cs="Calibri"/>
          <w:color w:val="auto"/>
          <w:sz w:val="22"/>
          <w:szCs w:val="22"/>
        </w:rPr>
        <w:t xml:space="preserve"> are concerned about how the body will look </w:t>
      </w:r>
      <w:r w:rsidR="006A59A3" w:rsidRPr="00E22A32">
        <w:rPr>
          <w:rFonts w:ascii="Calibri" w:hAnsi="Calibri" w:cs="Calibri"/>
          <w:color w:val="auto"/>
          <w:sz w:val="22"/>
          <w:szCs w:val="22"/>
        </w:rPr>
        <w:t xml:space="preserve">post donation </w:t>
      </w:r>
      <w:r w:rsidRPr="00E22A32">
        <w:rPr>
          <w:rFonts w:ascii="Calibri" w:hAnsi="Calibri" w:cs="Calibri"/>
          <w:color w:val="auto"/>
          <w:sz w:val="22"/>
          <w:szCs w:val="22"/>
        </w:rPr>
        <w:t xml:space="preserve">(Textbox </w:t>
      </w:r>
      <w:r w:rsidR="005817B0">
        <w:rPr>
          <w:rFonts w:ascii="Calibri" w:hAnsi="Calibri" w:cs="Calibri"/>
          <w:color w:val="auto"/>
          <w:sz w:val="22"/>
          <w:szCs w:val="22"/>
        </w:rPr>
        <w:t>2</w:t>
      </w:r>
      <w:r w:rsidRPr="00E22A32">
        <w:rPr>
          <w:rFonts w:ascii="Calibri" w:hAnsi="Calibri" w:cs="Calibri"/>
          <w:color w:val="auto"/>
          <w:sz w:val="22"/>
          <w:szCs w:val="22"/>
        </w:rPr>
        <w:t>)</w:t>
      </w:r>
      <w:r w:rsidR="00895025" w:rsidRPr="00E22A32">
        <w:rPr>
          <w:rFonts w:ascii="Calibri" w:hAnsi="Calibri" w:cs="Calibri"/>
          <w:color w:val="auto"/>
          <w:sz w:val="22"/>
          <w:szCs w:val="22"/>
        </w:rPr>
        <w:t>.</w:t>
      </w:r>
      <w:r w:rsidRPr="00E22A32">
        <w:rPr>
          <w:rFonts w:ascii="Calibri" w:hAnsi="Calibri" w:cs="Calibri"/>
          <w:color w:val="auto"/>
          <w:sz w:val="22"/>
          <w:szCs w:val="22"/>
        </w:rPr>
        <w:t xml:space="preserve"> </w:t>
      </w:r>
      <w:r w:rsidR="00AB4CF6" w:rsidRPr="00E22A32">
        <w:rPr>
          <w:rFonts w:ascii="Calibri" w:hAnsi="Calibri" w:cs="Calibri"/>
          <w:color w:val="auto"/>
          <w:sz w:val="22"/>
          <w:szCs w:val="22"/>
        </w:rPr>
        <w:t xml:space="preserve"> </w:t>
      </w:r>
    </w:p>
    <w:p w14:paraId="60D21F73" w14:textId="06E5DE7A" w:rsidR="007D7E92" w:rsidRDefault="007D7E92" w:rsidP="00F049AE">
      <w:r w:rsidRPr="00B959F2">
        <w:rPr>
          <w:i/>
          <w:noProof/>
          <w:sz w:val="20"/>
          <w:szCs w:val="20"/>
        </w:rPr>
        <mc:AlternateContent>
          <mc:Choice Requires="wps">
            <w:drawing>
              <wp:anchor distT="45720" distB="45720" distL="114300" distR="114300" simplePos="0" relativeHeight="251663360" behindDoc="0" locked="0" layoutInCell="1" allowOverlap="1" wp14:anchorId="663DA2DC" wp14:editId="29FFCD39">
                <wp:simplePos x="0" y="0"/>
                <wp:positionH relativeFrom="column">
                  <wp:posOffset>26241</wp:posOffset>
                </wp:positionH>
                <wp:positionV relativeFrom="paragraph">
                  <wp:posOffset>269020</wp:posOffset>
                </wp:positionV>
                <wp:extent cx="5591810" cy="1918335"/>
                <wp:effectExtent l="0" t="0" r="27940" b="247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810" cy="1918335"/>
                        </a:xfrm>
                        <a:prstGeom prst="rect">
                          <a:avLst/>
                        </a:prstGeom>
                        <a:solidFill>
                          <a:srgbClr val="FFFFFF"/>
                        </a:solidFill>
                        <a:ln w="9525">
                          <a:solidFill>
                            <a:srgbClr val="000000"/>
                          </a:solidFill>
                          <a:miter lim="800000"/>
                          <a:headEnd/>
                          <a:tailEnd/>
                        </a:ln>
                      </wps:spPr>
                      <wps:txbx>
                        <w:txbxContent>
                          <w:p w14:paraId="127AB9AF" w14:textId="56055CF2" w:rsidR="008B5518" w:rsidRPr="003A044E" w:rsidRDefault="008B5518" w:rsidP="00874D19">
                            <w:pPr>
                              <w:jc w:val="both"/>
                              <w:rPr>
                                <w:rFonts w:cstheme="minorHAnsi"/>
                                <w:i/>
                                <w:iCs/>
                                <w:sz w:val="20"/>
                                <w:szCs w:val="20"/>
                              </w:rPr>
                            </w:pPr>
                            <w:r w:rsidRPr="003A044E">
                              <w:rPr>
                                <w:rFonts w:cstheme="minorHAnsi"/>
                                <w:i/>
                                <w:iCs/>
                                <w:sz w:val="20"/>
                                <w:szCs w:val="20"/>
                              </w:rPr>
                              <w:t>This is how we saw him</w:t>
                            </w:r>
                          </w:p>
                          <w:p w14:paraId="0932281F" w14:textId="77777777" w:rsidR="008B5518" w:rsidRPr="003A044E" w:rsidRDefault="008B5518" w:rsidP="00874D19">
                            <w:pPr>
                              <w:jc w:val="both"/>
                              <w:rPr>
                                <w:i/>
                                <w:iCs/>
                                <w:sz w:val="20"/>
                                <w:szCs w:val="20"/>
                              </w:rPr>
                            </w:pPr>
                            <w:r w:rsidRPr="003A044E">
                              <w:rPr>
                                <w:rFonts w:cstheme="minorHAnsi"/>
                                <w:i/>
                                <w:iCs/>
                                <w:sz w:val="20"/>
                                <w:szCs w:val="20"/>
                              </w:rPr>
                              <w:t>Family did not like the thought of external surgery to</w:t>
                            </w:r>
                            <w:r w:rsidRPr="003A044E">
                              <w:rPr>
                                <w:i/>
                                <w:iCs/>
                                <w:sz w:val="20"/>
                                <w:szCs w:val="20"/>
                              </w:rPr>
                              <w:t xml:space="preserve"> the body other than through the initial operation site.</w:t>
                            </w:r>
                          </w:p>
                          <w:p w14:paraId="6439F3EB" w14:textId="77777777" w:rsidR="008B5518" w:rsidRPr="003A044E" w:rsidRDefault="008B5518" w:rsidP="00874D19">
                            <w:pPr>
                              <w:jc w:val="both"/>
                              <w:rPr>
                                <w:i/>
                                <w:iCs/>
                                <w:sz w:val="20"/>
                                <w:szCs w:val="20"/>
                              </w:rPr>
                            </w:pPr>
                            <w:r w:rsidRPr="003A044E">
                              <w:rPr>
                                <w:i/>
                                <w:iCs/>
                                <w:sz w:val="20"/>
                                <w:szCs w:val="20"/>
                              </w:rPr>
                              <w:t>Family did not want anything "external" donated</w:t>
                            </w:r>
                          </w:p>
                          <w:p w14:paraId="1E4F633A" w14:textId="7C4EDA7A" w:rsidR="008B5518" w:rsidRPr="003A044E" w:rsidRDefault="008B5518" w:rsidP="00874D19">
                            <w:pPr>
                              <w:jc w:val="both"/>
                              <w:rPr>
                                <w:i/>
                                <w:iCs/>
                                <w:sz w:val="20"/>
                                <w:szCs w:val="20"/>
                              </w:rPr>
                            </w:pPr>
                            <w:r w:rsidRPr="003A044E">
                              <w:rPr>
                                <w:i/>
                                <w:iCs/>
                                <w:sz w:val="20"/>
                                <w:szCs w:val="20"/>
                              </w:rPr>
                              <w:t xml:space="preserve">Family did not want eye donation as not wanting anything visible </w:t>
                            </w:r>
                          </w:p>
                          <w:p w14:paraId="669E6E47" w14:textId="77777777" w:rsidR="008B5518" w:rsidRPr="003A044E" w:rsidRDefault="008B5518" w:rsidP="00874D19">
                            <w:pPr>
                              <w:jc w:val="both"/>
                              <w:rPr>
                                <w:i/>
                                <w:iCs/>
                                <w:sz w:val="20"/>
                                <w:szCs w:val="20"/>
                              </w:rPr>
                            </w:pPr>
                            <w:r w:rsidRPr="003A044E">
                              <w:rPr>
                                <w:i/>
                                <w:iCs/>
                                <w:sz w:val="20"/>
                                <w:szCs w:val="20"/>
                              </w:rPr>
                              <w:t>Family not wanting the face touching</w:t>
                            </w:r>
                          </w:p>
                          <w:p w14:paraId="313DA4DD" w14:textId="6D5C176A" w:rsidR="008B5518" w:rsidRPr="003A044E" w:rsidRDefault="008B5518" w:rsidP="00A8478E">
                            <w:pPr>
                              <w:jc w:val="both"/>
                              <w:rPr>
                                <w:sz w:val="20"/>
                                <w:szCs w:val="20"/>
                              </w:rPr>
                            </w:pPr>
                            <w:r w:rsidRPr="003A044E">
                              <w:rPr>
                                <w:i/>
                                <w:iCs/>
                                <w:sz w:val="20"/>
                                <w:szCs w:val="20"/>
                              </w:rPr>
                              <w:t>Only wanted internal organs donated, nothing from the "outside"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3DA2DC" id="_x0000_s1027" type="#_x0000_t202" style="position:absolute;margin-left:2.05pt;margin-top:21.2pt;width:440.3pt;height:151.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">
                <v:textbox>
                  <w:txbxContent>
                    <w:p w14:paraId="127AB9AF" w14:textId="56055CF2" w:rsidR="008B5518" w:rsidRPr="003A044E" w:rsidRDefault="008B5518" w:rsidP="00874D19">
                      <w:pPr>
                        <w:jc w:val="both"/>
                        <w:rPr>
                          <w:rFonts w:cstheme="minorHAnsi"/>
                          <w:i/>
                          <w:iCs/>
                          <w:sz w:val="20"/>
                          <w:szCs w:val="20"/>
                        </w:rPr>
                      </w:pPr>
                      <w:r w:rsidRPr="003A044E">
                        <w:rPr>
                          <w:rFonts w:cstheme="minorHAnsi"/>
                          <w:i/>
                          <w:iCs/>
                          <w:sz w:val="20"/>
                          <w:szCs w:val="20"/>
                        </w:rPr>
                        <w:t>This is how we saw him</w:t>
                      </w:r>
                    </w:p>
                    <w:p w14:paraId="0932281F" w14:textId="77777777" w:rsidR="008B5518" w:rsidRPr="003A044E" w:rsidRDefault="008B5518" w:rsidP="00874D19">
                      <w:pPr>
                        <w:jc w:val="both"/>
                        <w:rPr>
                          <w:i/>
                          <w:iCs/>
                          <w:sz w:val="20"/>
                          <w:szCs w:val="20"/>
                        </w:rPr>
                      </w:pPr>
                      <w:r w:rsidRPr="003A044E">
                        <w:rPr>
                          <w:rFonts w:cstheme="minorHAnsi"/>
                          <w:i/>
                          <w:iCs/>
                          <w:sz w:val="20"/>
                          <w:szCs w:val="20"/>
                        </w:rPr>
                        <w:t>Family did not like the thought of external surgery to</w:t>
                      </w:r>
                      <w:r w:rsidRPr="003A044E">
                        <w:rPr>
                          <w:i/>
                          <w:iCs/>
                          <w:sz w:val="20"/>
                          <w:szCs w:val="20"/>
                        </w:rPr>
                        <w:t xml:space="preserve"> the body other than through the initial operation site.</w:t>
                      </w:r>
                    </w:p>
                    <w:p w14:paraId="6439F3EB" w14:textId="77777777" w:rsidR="008B5518" w:rsidRPr="003A044E" w:rsidRDefault="008B5518" w:rsidP="00874D19">
                      <w:pPr>
                        <w:jc w:val="both"/>
                        <w:rPr>
                          <w:i/>
                          <w:iCs/>
                          <w:sz w:val="20"/>
                          <w:szCs w:val="20"/>
                        </w:rPr>
                      </w:pPr>
                      <w:r w:rsidRPr="003A044E">
                        <w:rPr>
                          <w:i/>
                          <w:iCs/>
                          <w:sz w:val="20"/>
                          <w:szCs w:val="20"/>
                        </w:rPr>
                        <w:t>Family did not want anything "external" donated</w:t>
                      </w:r>
                    </w:p>
                    <w:p w14:paraId="1E4F633A" w14:textId="7C4EDA7A" w:rsidR="008B5518" w:rsidRPr="003A044E" w:rsidRDefault="008B5518" w:rsidP="00874D19">
                      <w:pPr>
                        <w:jc w:val="both"/>
                        <w:rPr>
                          <w:i/>
                          <w:iCs/>
                          <w:sz w:val="20"/>
                          <w:szCs w:val="20"/>
                        </w:rPr>
                      </w:pPr>
                      <w:r w:rsidRPr="003A044E">
                        <w:rPr>
                          <w:i/>
                          <w:iCs/>
                          <w:sz w:val="20"/>
                          <w:szCs w:val="20"/>
                        </w:rPr>
                        <w:t xml:space="preserve">Family did not want eye donation as not wanting anything visible </w:t>
                      </w:r>
                    </w:p>
                    <w:p w14:paraId="669E6E47" w14:textId="77777777" w:rsidR="008B5518" w:rsidRPr="003A044E" w:rsidRDefault="008B5518" w:rsidP="00874D19">
                      <w:pPr>
                        <w:jc w:val="both"/>
                        <w:rPr>
                          <w:i/>
                          <w:iCs/>
                          <w:sz w:val="20"/>
                          <w:szCs w:val="20"/>
                        </w:rPr>
                      </w:pPr>
                      <w:r w:rsidRPr="003A044E">
                        <w:rPr>
                          <w:i/>
                          <w:iCs/>
                          <w:sz w:val="20"/>
                          <w:szCs w:val="20"/>
                        </w:rPr>
                        <w:t>Family not wanting the face touching</w:t>
                      </w:r>
                    </w:p>
                    <w:p w14:paraId="313DA4DD" w14:textId="6D5C176A" w:rsidR="008B5518" w:rsidRPr="003A044E" w:rsidRDefault="008B5518" w:rsidP="00A8478E">
                      <w:pPr>
                        <w:jc w:val="both"/>
                        <w:rPr>
                          <w:sz w:val="20"/>
                          <w:szCs w:val="20"/>
                        </w:rPr>
                      </w:pPr>
                      <w:r w:rsidRPr="003A044E">
                        <w:rPr>
                          <w:i/>
                          <w:iCs/>
                          <w:sz w:val="20"/>
                          <w:szCs w:val="20"/>
                        </w:rPr>
                        <w:t>Only wanted internal organs donated, nothing from the "outside"</w:t>
                      </w:r>
                    </w:p>
                  </w:txbxContent>
                </v:textbox>
                <w10:wrap type="square"/>
              </v:shape>
            </w:pict>
          </mc:Fallback>
        </mc:AlternateContent>
      </w:r>
      <w:r w:rsidRPr="009C53C2">
        <w:rPr>
          <w:i/>
          <w:sz w:val="20"/>
          <w:szCs w:val="20"/>
        </w:rPr>
        <w:t>Tex</w:t>
      </w:r>
      <w:r w:rsidR="00895025" w:rsidRPr="009C53C2">
        <w:rPr>
          <w:i/>
          <w:sz w:val="20"/>
          <w:szCs w:val="20"/>
        </w:rPr>
        <w:t>t</w:t>
      </w:r>
      <w:r w:rsidRPr="009C53C2">
        <w:rPr>
          <w:i/>
          <w:sz w:val="20"/>
          <w:szCs w:val="20"/>
        </w:rPr>
        <w:t xml:space="preserve">box </w:t>
      </w:r>
      <w:r w:rsidR="005817B0">
        <w:rPr>
          <w:i/>
          <w:sz w:val="20"/>
          <w:szCs w:val="20"/>
        </w:rPr>
        <w:t>2</w:t>
      </w:r>
      <w:r w:rsidRPr="009C53C2">
        <w:rPr>
          <w:i/>
          <w:sz w:val="20"/>
          <w:szCs w:val="20"/>
        </w:rPr>
        <w:t>.</w:t>
      </w:r>
      <w:r w:rsidRPr="001F6AC0">
        <w:rPr>
          <w:i/>
          <w:sz w:val="20"/>
          <w:szCs w:val="20"/>
        </w:rPr>
        <w:t xml:space="preserve"> </w:t>
      </w:r>
      <w:r w:rsidR="009C53C2" w:rsidRPr="009C53C2">
        <w:rPr>
          <w:i/>
          <w:sz w:val="20"/>
          <w:szCs w:val="20"/>
        </w:rPr>
        <w:t>Re</w:t>
      </w:r>
      <w:r w:rsidR="009C53C2">
        <w:rPr>
          <w:i/>
          <w:sz w:val="20"/>
          <w:szCs w:val="20"/>
        </w:rPr>
        <w:t>corded</w:t>
      </w:r>
      <w:r w:rsidR="009C53C2" w:rsidRPr="009C53C2">
        <w:rPr>
          <w:i/>
          <w:sz w:val="20"/>
          <w:szCs w:val="20"/>
        </w:rPr>
        <w:t xml:space="preserve"> family comments relating to </w:t>
      </w:r>
      <w:r w:rsidR="009C53C2" w:rsidRPr="001F6AC0">
        <w:rPr>
          <w:i/>
          <w:sz w:val="20"/>
          <w:szCs w:val="20"/>
        </w:rPr>
        <w:t>disfigurement concerns</w:t>
      </w:r>
      <w:r w:rsidR="009C53C2" w:rsidRPr="00B959F2">
        <w:rPr>
          <w:iCs/>
        </w:rPr>
        <w:t>.</w:t>
      </w:r>
    </w:p>
    <w:p w14:paraId="42BDE3B8" w14:textId="45F4D0B7" w:rsidR="00874D19" w:rsidRDefault="00874D19" w:rsidP="00F049AE"/>
    <w:p w14:paraId="6C812E45" w14:textId="32D90C72" w:rsidR="00874D19" w:rsidRDefault="00874D19" w:rsidP="00F049AE"/>
    <w:p w14:paraId="4BBF4329" w14:textId="03805C42" w:rsidR="00874D19" w:rsidRDefault="00874D19" w:rsidP="00F049AE"/>
    <w:p w14:paraId="6E5FF3B7" w14:textId="7215A5F8" w:rsidR="00874D19" w:rsidRDefault="00874D19" w:rsidP="00F049AE"/>
    <w:p w14:paraId="438D09EA" w14:textId="14C2225D" w:rsidR="00874D19" w:rsidRDefault="00874D19" w:rsidP="00F049AE"/>
    <w:p w14:paraId="76AD00C8" w14:textId="77777777" w:rsidR="00874D19" w:rsidRPr="00F049AE" w:rsidRDefault="00874D19" w:rsidP="00F049AE"/>
    <w:p w14:paraId="00740AEA" w14:textId="77777777" w:rsidR="007D7E92" w:rsidRDefault="007D7E92" w:rsidP="00AB4CF6">
      <w:pPr>
        <w:jc w:val="both"/>
        <w:rPr>
          <w:rFonts w:ascii="Calibri Light" w:hAnsi="Calibri Light" w:cs="Calibri Light"/>
        </w:rPr>
      </w:pPr>
    </w:p>
    <w:p w14:paraId="4A1DE956" w14:textId="1C2B0E6C" w:rsidR="005A4642" w:rsidRPr="00493744" w:rsidRDefault="005A4642" w:rsidP="005A4642">
      <w:pPr>
        <w:keepNext/>
        <w:keepLines/>
        <w:spacing w:before="40" w:after="0" w:line="360" w:lineRule="auto"/>
        <w:outlineLvl w:val="2"/>
        <w:rPr>
          <w:rFonts w:ascii="Calibri" w:eastAsiaTheme="majorEastAsia" w:hAnsi="Calibri" w:cs="Calibri"/>
          <w:i/>
        </w:rPr>
      </w:pPr>
      <w:r w:rsidRPr="00493744">
        <w:rPr>
          <w:rFonts w:ascii="Calibri" w:eastAsiaTheme="majorEastAsia" w:hAnsi="Calibri" w:cs="Calibri"/>
          <w:i/>
        </w:rPr>
        <w:t xml:space="preserve">Solid organ only – not eye tissue! </w:t>
      </w:r>
    </w:p>
    <w:p w14:paraId="788D581D" w14:textId="0F982D16" w:rsidR="005A4642" w:rsidRPr="00E22A32" w:rsidRDefault="00C36E7A" w:rsidP="005A4642">
      <w:pPr>
        <w:spacing w:line="360" w:lineRule="auto"/>
        <w:jc w:val="both"/>
        <w:rPr>
          <w:rFonts w:ascii="Calibri" w:hAnsi="Calibri" w:cs="Calibri"/>
        </w:rPr>
      </w:pPr>
      <w:r w:rsidRPr="00E22A32">
        <w:rPr>
          <w:rFonts w:ascii="Calibri" w:hAnsi="Calibri" w:cs="Calibri"/>
        </w:rPr>
        <w:t>As well as concerns about disfigurement and the report</w:t>
      </w:r>
      <w:r w:rsidR="009C53C2" w:rsidRPr="00E22A32">
        <w:rPr>
          <w:rFonts w:ascii="Calibri" w:hAnsi="Calibri" w:cs="Calibri"/>
        </w:rPr>
        <w:t>ed wish</w:t>
      </w:r>
      <w:r w:rsidRPr="00E22A32">
        <w:rPr>
          <w:rFonts w:ascii="Calibri" w:hAnsi="Calibri" w:cs="Calibri"/>
        </w:rPr>
        <w:t xml:space="preserve"> that ‘</w:t>
      </w:r>
      <w:r w:rsidRPr="00E22A32">
        <w:rPr>
          <w:rFonts w:ascii="Calibri" w:hAnsi="Calibri" w:cs="Calibri"/>
          <w:i/>
        </w:rPr>
        <w:t>nothing visible be removed’</w:t>
      </w:r>
      <w:r w:rsidRPr="00E22A32">
        <w:rPr>
          <w:rFonts w:ascii="Calibri" w:hAnsi="Calibri" w:cs="Calibri"/>
        </w:rPr>
        <w:t xml:space="preserve"> in a further 1</w:t>
      </w:r>
      <w:r w:rsidR="005A4642" w:rsidRPr="00E22A32">
        <w:rPr>
          <w:rFonts w:ascii="Calibri" w:hAnsi="Calibri" w:cs="Calibri"/>
        </w:rPr>
        <w:t xml:space="preserve">0 cases (8%), </w:t>
      </w:r>
      <w:r w:rsidR="009C53C2" w:rsidRPr="00E22A32">
        <w:rPr>
          <w:rFonts w:ascii="Calibri" w:hAnsi="Calibri" w:cs="Calibri"/>
        </w:rPr>
        <w:t xml:space="preserve">family </w:t>
      </w:r>
      <w:r w:rsidR="005A4642" w:rsidRPr="00E22A32">
        <w:rPr>
          <w:rFonts w:ascii="Calibri" w:hAnsi="Calibri" w:cs="Calibri"/>
        </w:rPr>
        <w:t>consent was recorded</w:t>
      </w:r>
      <w:r w:rsidR="009C53C2" w:rsidRPr="00E22A32">
        <w:rPr>
          <w:rFonts w:ascii="Calibri" w:hAnsi="Calibri" w:cs="Calibri"/>
        </w:rPr>
        <w:t xml:space="preserve"> as being given</w:t>
      </w:r>
      <w:r w:rsidR="005A4642" w:rsidRPr="00E22A32">
        <w:rPr>
          <w:rFonts w:ascii="Calibri" w:hAnsi="Calibri" w:cs="Calibri"/>
        </w:rPr>
        <w:t xml:space="preserve"> for solid </w:t>
      </w:r>
      <w:r w:rsidR="00E7202B" w:rsidRPr="00E22A32">
        <w:rPr>
          <w:rFonts w:ascii="Calibri" w:hAnsi="Calibri" w:cs="Calibri"/>
        </w:rPr>
        <w:t>organs but</w:t>
      </w:r>
      <w:r w:rsidR="009C53C2" w:rsidRPr="00E22A32">
        <w:rPr>
          <w:rFonts w:ascii="Calibri" w:hAnsi="Calibri" w:cs="Calibri"/>
        </w:rPr>
        <w:t xml:space="preserve"> declined for eye</w:t>
      </w:r>
      <w:r w:rsidR="001F6AC0" w:rsidRPr="00E22A32">
        <w:rPr>
          <w:rFonts w:ascii="Calibri" w:hAnsi="Calibri" w:cs="Calibri"/>
        </w:rPr>
        <w:t>s</w:t>
      </w:r>
      <w:r w:rsidR="005A4642" w:rsidRPr="00E22A32">
        <w:rPr>
          <w:rFonts w:ascii="Calibri" w:hAnsi="Calibri" w:cs="Calibri"/>
        </w:rPr>
        <w:t xml:space="preserve">. In </w:t>
      </w:r>
      <w:r w:rsidR="00A37EEC" w:rsidRPr="00E22A32">
        <w:rPr>
          <w:rFonts w:ascii="Calibri" w:hAnsi="Calibri" w:cs="Calibri"/>
        </w:rPr>
        <w:t>T</w:t>
      </w:r>
      <w:r w:rsidR="005A4642" w:rsidRPr="00E22A32">
        <w:rPr>
          <w:rFonts w:ascii="Calibri" w:hAnsi="Calibri" w:cs="Calibri"/>
        </w:rPr>
        <w:t xml:space="preserve">extbox </w:t>
      </w:r>
      <w:r w:rsidR="005817B0">
        <w:rPr>
          <w:rFonts w:ascii="Calibri" w:hAnsi="Calibri" w:cs="Calibri"/>
        </w:rPr>
        <w:t>3</w:t>
      </w:r>
      <w:r w:rsidR="009C53C2" w:rsidRPr="00E22A32">
        <w:rPr>
          <w:rFonts w:ascii="Calibri" w:hAnsi="Calibri" w:cs="Calibri"/>
        </w:rPr>
        <w:t>,</w:t>
      </w:r>
      <w:r w:rsidR="005A4642" w:rsidRPr="00E22A32">
        <w:rPr>
          <w:rFonts w:ascii="Calibri" w:hAnsi="Calibri" w:cs="Calibri"/>
        </w:rPr>
        <w:t xml:space="preserve"> we see examples of differing </w:t>
      </w:r>
      <w:r w:rsidR="009C53C2" w:rsidRPr="00E22A32">
        <w:rPr>
          <w:rFonts w:ascii="Calibri" w:hAnsi="Calibri" w:cs="Calibri"/>
        </w:rPr>
        <w:t>decisions recorded for</w:t>
      </w:r>
      <w:r w:rsidR="005A4642" w:rsidRPr="00E22A32">
        <w:rPr>
          <w:rFonts w:ascii="Calibri" w:hAnsi="Calibri" w:cs="Calibri"/>
        </w:rPr>
        <w:t xml:space="preserve"> </w:t>
      </w:r>
      <w:r w:rsidR="001F6AC0" w:rsidRPr="00E22A32">
        <w:rPr>
          <w:rFonts w:ascii="Calibri" w:hAnsi="Calibri" w:cs="Calibri"/>
        </w:rPr>
        <w:t xml:space="preserve">tissues (eyes are also referred to as tissues) </w:t>
      </w:r>
      <w:r w:rsidR="005A4642" w:rsidRPr="00E22A32">
        <w:rPr>
          <w:rFonts w:ascii="Calibri" w:hAnsi="Calibri" w:cs="Calibri"/>
        </w:rPr>
        <w:t>and solid organs</w:t>
      </w:r>
      <w:r w:rsidR="009C53C2" w:rsidRPr="00E22A32">
        <w:rPr>
          <w:rFonts w:ascii="Calibri" w:hAnsi="Calibri" w:cs="Calibri"/>
        </w:rPr>
        <w:t>. Some</w:t>
      </w:r>
      <w:r w:rsidR="002F09F7" w:rsidRPr="00E22A32">
        <w:rPr>
          <w:rFonts w:ascii="Calibri" w:hAnsi="Calibri" w:cs="Calibri"/>
        </w:rPr>
        <w:t xml:space="preserve"> comments</w:t>
      </w:r>
      <w:r w:rsidR="009C53C2" w:rsidRPr="00E22A32">
        <w:rPr>
          <w:rFonts w:ascii="Calibri" w:hAnsi="Calibri" w:cs="Calibri"/>
        </w:rPr>
        <w:t xml:space="preserve"> </w:t>
      </w:r>
      <w:r w:rsidR="002F09F7" w:rsidRPr="00E22A32">
        <w:rPr>
          <w:rFonts w:ascii="Calibri" w:hAnsi="Calibri" w:cs="Calibri"/>
        </w:rPr>
        <w:t>record SNOD-perceived strength of feeling as a factor restricting further discussion</w:t>
      </w:r>
      <w:r w:rsidR="001F6AC0" w:rsidRPr="00E22A32">
        <w:rPr>
          <w:rFonts w:ascii="Calibri" w:hAnsi="Calibri" w:cs="Calibri"/>
        </w:rPr>
        <w:t xml:space="preserve"> about eye donation</w:t>
      </w:r>
      <w:r w:rsidR="002F09F7" w:rsidRPr="00E22A32">
        <w:rPr>
          <w:rFonts w:ascii="Calibri" w:hAnsi="Calibri" w:cs="Calibri"/>
        </w:rPr>
        <w:t xml:space="preserve">. </w:t>
      </w:r>
      <w:r w:rsidR="007B6DC2" w:rsidRPr="00E22A32">
        <w:rPr>
          <w:rFonts w:ascii="Calibri" w:hAnsi="Calibri" w:cs="Calibri"/>
        </w:rPr>
        <w:t>Of note here is that we do not have evidence indicating on what basis the assessment about ‘appropriateness</w:t>
      </w:r>
      <w:r w:rsidR="00631B75">
        <w:rPr>
          <w:rFonts w:ascii="Calibri" w:hAnsi="Calibri" w:cs="Calibri"/>
        </w:rPr>
        <w:t>’</w:t>
      </w:r>
      <w:r w:rsidR="007B6DC2" w:rsidRPr="00E22A32">
        <w:rPr>
          <w:rFonts w:ascii="Calibri" w:hAnsi="Calibri" w:cs="Calibri"/>
        </w:rPr>
        <w:t xml:space="preserve"> is based</w:t>
      </w:r>
      <w:r w:rsidR="00631B75">
        <w:rPr>
          <w:rFonts w:ascii="Calibri" w:hAnsi="Calibri" w:cs="Calibri"/>
        </w:rPr>
        <w:t xml:space="preserve"> (</w:t>
      </w:r>
      <w:r w:rsidR="00211E33">
        <w:rPr>
          <w:rFonts w:ascii="Calibri" w:hAnsi="Calibri" w:cs="Calibri"/>
        </w:rPr>
        <w:t xml:space="preserve">e.g. </w:t>
      </w:r>
      <w:r w:rsidR="007B6DC2" w:rsidRPr="00E22A32">
        <w:rPr>
          <w:rFonts w:ascii="Calibri" w:hAnsi="Calibri" w:cs="Calibri"/>
        </w:rPr>
        <w:t>“</w:t>
      </w:r>
      <w:r w:rsidR="007B6DC2" w:rsidRPr="00E22A32">
        <w:rPr>
          <w:rFonts w:ascii="Calibri" w:hAnsi="Calibri" w:cs="Calibri"/>
          <w:i/>
          <w:iCs/>
        </w:rPr>
        <w:t>Parents did not wish to donate anything other than liver and kidneys not appropriate to ask as risking loss of donation”</w:t>
      </w:r>
      <w:r w:rsidR="00631B75">
        <w:rPr>
          <w:rFonts w:ascii="Calibri" w:hAnsi="Calibri" w:cs="Calibri"/>
        </w:rPr>
        <w:t>)</w:t>
      </w:r>
      <w:r w:rsidR="00B45F3C" w:rsidRPr="00E22A32">
        <w:rPr>
          <w:rFonts w:ascii="Calibri" w:hAnsi="Calibri" w:cs="Calibri"/>
        </w:rPr>
        <w:t xml:space="preserve"> or how much time was taken in this approach for donation. Higher consent/authorisation rates are reported when parents perceive that they have</w:t>
      </w:r>
      <w:r w:rsidR="00B45F3C" w:rsidRPr="00E22A32">
        <w:rPr>
          <w:rFonts w:ascii="Calibri" w:hAnsi="Calibri" w:cs="Calibri"/>
          <w:spacing w:val="-18"/>
        </w:rPr>
        <w:t xml:space="preserve"> </w:t>
      </w:r>
      <w:r w:rsidR="00B45F3C" w:rsidRPr="00E22A32">
        <w:rPr>
          <w:rFonts w:ascii="Calibri" w:hAnsi="Calibri" w:cs="Calibri"/>
        </w:rPr>
        <w:t>had</w:t>
      </w:r>
      <w:r w:rsidR="00B45F3C" w:rsidRPr="00E22A32">
        <w:rPr>
          <w:rFonts w:ascii="Calibri" w:hAnsi="Calibri" w:cs="Calibri"/>
          <w:w w:val="99"/>
        </w:rPr>
        <w:t xml:space="preserve"> </w:t>
      </w:r>
      <w:r w:rsidR="00B45F3C" w:rsidRPr="00E22A32">
        <w:rPr>
          <w:rFonts w:ascii="Calibri" w:hAnsi="Calibri" w:cs="Calibri"/>
        </w:rPr>
        <w:t>adequate time to discuss donation within the family and with the healthcare team</w:t>
      </w:r>
      <w:r w:rsidR="002B0FA9" w:rsidRPr="00E22A32">
        <w:rPr>
          <w:rFonts w:ascii="Calibri" w:hAnsi="Calibri" w:cs="Calibri"/>
        </w:rPr>
        <w:t xml:space="preserve"> </w:t>
      </w:r>
      <w:r w:rsidR="002B0FA9" w:rsidRPr="00E22A32">
        <w:rPr>
          <w:rFonts w:ascii="Calibri" w:hAnsi="Calibri" w:cs="Calibri"/>
        </w:rPr>
        <w:fldChar w:fldCharType="begin" w:fldLock="1"/>
      </w:r>
      <w:r w:rsidR="004F199F">
        <w:rPr>
          <w:rFonts w:ascii="Calibri" w:hAnsi="Calibri" w:cs="Calibri"/>
        </w:rPr>
        <w:instrText>ADDIN CSL_CITATION {"citationItems":[{"id":"ITEM-1","itemData":{"DOI":"10.1016/S0041-1345(97)00110-3","ISSN":"00411345","author":[{"dropping-particle":"","family":"Weiss","given":"A.H.","non-dropping-particle":"","parse-names":false,"suffix":""},{"dropping-particle":"","family":"Fortinsky","given":"R.H.","non-dropping-particle":"","parse-names":false,"suffix":""},{"dropping-particle":"","family":"Laughlin","given":"J.","non-dropping-particle":"","parse-names":false,"suffix":""},{"dropping-particle":"","family":"Lo","given":"B.","non-dropping-particle":"","parse-names":false,"suffix":""},{"dropping-particle":"","family":"Adler","given":"N.E.","non-dropping-particle":"","parse-names":false,"suffix":""},{"dropping-particle":"","family":"Mudge","given":"C.","non-dropping-particle":"","parse-names":false,"suffix":""},{"dropping-particle":"","family":"Dimand","given":"R.J.","non-dropping-particle":"","parse-names":false,"suffix":""}],"container-title":"Transplantation Proceedings","id":"ITEM-1","issue":"3","issued":{"date-parts":[["1997","5"]]},"page":"1896-1901","title":"Parental consent for pediatric cadaveric organ donation","type":"article-journal","volume":"29"},"uris":["http://www.mendeley.com/documents/?uuid=d291e3be-3e06-461c-a58c-c4805153cff2"]},{"id":"ITEM-2","itemData":{"DOI":"10.1097/PCC.0b013e3181668605","ISSN":"15297535","PMID":"18477931","abstract":"OBJECTIVE: To identify factors that influence parents' decisions when asked to donate a deceased child's organs. DESIGN: Cross-sectional design with data collection via structured telephone interviews. SETTING: One organ procurement organization in the Southeastern United States. PARTICIPANTS: Seventy-four parents (49 donors, 25 nondonors) of donor-eligible deceased children who were previously approached by coordinators from one organ procurement organization in the southeastern United States. INTERVENTIONS: None. MEASUREMENTS AND MAIN RESULTS: Multivariate analyses showed that organ donation was more likely when the parent was a registered organ donor (odds ratio [OR] = 1.4, confidence interval [CI] = 1.1, 2.7), the parent had favorable organ donation beliefs (OR = 5.5, CI = 2.7, 12.3), the parent was exposed to organ donation information before the child's death (OR = 2.6, CI = 1.7, 10.3), a member of the child's healthcare team first mentioned organ donation (OR = 1.4, CI = 1.2, 3.7), the requestor was perceived as sensitive to the family's needs (OR = 0.4, CI = 0.2, 0.7), the family had sufficient time to discuss donation (OR = 5.2, CI = 1.4, 11.6), and family members were in agreement about donation (OR = 2.8, CI = 1.3, 5.2). CONCLUSIONS: This study identifies several modifiable variables that influence the donation decision-making process for parents. Strategies to facilitate targeted organ donation education and higher consent rates are discussed. ©2008The Society of Critical Care Medicine and the World Federation of Pediatric Intensive and Critical Care Societies.","author":[{"dropping-particle":"","family":"Rodrigue","given":"James R.","non-dropping-particle":"","parse-names":false,"suffix":""},{"dropping-particle":"","family":"Cornell","given":"Danielle L.","non-dropping-particle":"","parse-names":false,"suffix":""},{"dropping-particle":"","family":"Howard","given":"Richard J.","non-dropping-particle":"","parse-names":false,"suffix":""}],"container-title":"Pediatric Critical Care Medicine","id":"ITEM-2","issue":"2","issued":{"date-parts":[["2008","3"]]},"page":"180-185","title":"Pediatric organ donation: What factors most influence parents' donation decisions?","type":"article-journal","volume":"9"},"uris":["http://www.mendeley.com/documents/?uuid=6d0f541c-b1ef-41f3-942e-24dfbc61e195"]}],"mendeley":{"formattedCitation":"[15,16]","plainTextFormattedCitation":"[15,16]","previouslyFormattedCitation":"[15,16]"},"properties":{"noteIndex":0},"schema":"https://github.com/citation-style-language/schema/raw/master/csl-citation.json"}</w:instrText>
      </w:r>
      <w:r w:rsidR="002B0FA9" w:rsidRPr="00E22A32">
        <w:rPr>
          <w:rFonts w:ascii="Calibri" w:hAnsi="Calibri" w:cs="Calibri"/>
        </w:rPr>
        <w:fldChar w:fldCharType="separate"/>
      </w:r>
      <w:r w:rsidR="004F199F" w:rsidRPr="004F199F">
        <w:rPr>
          <w:rFonts w:ascii="Calibri" w:hAnsi="Calibri" w:cs="Calibri"/>
          <w:noProof/>
        </w:rPr>
        <w:t>[15,16]</w:t>
      </w:r>
      <w:r w:rsidR="002B0FA9" w:rsidRPr="00E22A32">
        <w:rPr>
          <w:rFonts w:ascii="Calibri" w:hAnsi="Calibri" w:cs="Calibri"/>
        </w:rPr>
        <w:fldChar w:fldCharType="end"/>
      </w:r>
      <w:r w:rsidR="00D375DC" w:rsidRPr="00E22A32">
        <w:rPr>
          <w:rFonts w:ascii="Calibri" w:hAnsi="Calibri" w:cs="Calibri"/>
        </w:rPr>
        <w:t xml:space="preserve">. </w:t>
      </w:r>
      <w:r w:rsidR="002F09F7" w:rsidRPr="00E22A32">
        <w:rPr>
          <w:rFonts w:ascii="Calibri" w:hAnsi="Calibri" w:cs="Calibri"/>
        </w:rPr>
        <w:t xml:space="preserve">In one case, we see a </w:t>
      </w:r>
      <w:r w:rsidR="001F6AC0" w:rsidRPr="00E22A32">
        <w:rPr>
          <w:rFonts w:ascii="Calibri" w:hAnsi="Calibri" w:cs="Calibri"/>
        </w:rPr>
        <w:t xml:space="preserve">priority </w:t>
      </w:r>
      <w:r w:rsidR="002F09F7" w:rsidRPr="00E22A32">
        <w:rPr>
          <w:rFonts w:ascii="Calibri" w:hAnsi="Calibri" w:cs="Calibri"/>
        </w:rPr>
        <w:t xml:space="preserve">invoked </w:t>
      </w:r>
      <w:r w:rsidR="00211E33">
        <w:rPr>
          <w:rFonts w:ascii="Calibri" w:hAnsi="Calibri" w:cs="Calibri"/>
        </w:rPr>
        <w:t>as the r</w:t>
      </w:r>
      <w:r w:rsidR="002F09F7" w:rsidRPr="00E22A32">
        <w:rPr>
          <w:rFonts w:ascii="Calibri" w:hAnsi="Calibri" w:cs="Calibri"/>
        </w:rPr>
        <w:t>eason</w:t>
      </w:r>
      <w:r w:rsidR="00211E33">
        <w:rPr>
          <w:rFonts w:ascii="Calibri" w:hAnsi="Calibri" w:cs="Calibri"/>
        </w:rPr>
        <w:t xml:space="preserve"> </w:t>
      </w:r>
      <w:r w:rsidR="002F09F7" w:rsidRPr="00E22A32">
        <w:rPr>
          <w:rFonts w:ascii="Calibri" w:hAnsi="Calibri" w:cs="Calibri"/>
        </w:rPr>
        <w:t>for decline</w:t>
      </w:r>
      <w:r w:rsidR="001F6AC0" w:rsidRPr="00E22A32">
        <w:rPr>
          <w:rFonts w:ascii="Calibri" w:hAnsi="Calibri" w:cs="Calibri"/>
        </w:rPr>
        <w:t xml:space="preserve">, </w:t>
      </w:r>
      <w:r w:rsidR="002F09F7" w:rsidRPr="00E22A32">
        <w:rPr>
          <w:rFonts w:ascii="Calibri" w:hAnsi="Calibri" w:cs="Calibri"/>
        </w:rPr>
        <w:t>‘</w:t>
      </w:r>
      <w:r w:rsidR="002F09F7" w:rsidRPr="00E22A32">
        <w:rPr>
          <w:rFonts w:ascii="Calibri" w:hAnsi="Calibri" w:cs="Calibri"/>
          <w:i/>
        </w:rPr>
        <w:t>life saving organs only’</w:t>
      </w:r>
      <w:r w:rsidR="002F09F7" w:rsidRPr="00E22A32">
        <w:rPr>
          <w:rFonts w:ascii="Calibri" w:hAnsi="Calibri" w:cs="Calibri"/>
        </w:rPr>
        <w:t xml:space="preserve"> </w:t>
      </w:r>
      <w:r w:rsidR="001F6AC0" w:rsidRPr="00E22A32">
        <w:rPr>
          <w:rFonts w:ascii="Calibri" w:hAnsi="Calibri" w:cs="Calibri"/>
        </w:rPr>
        <w:t xml:space="preserve">suggesting </w:t>
      </w:r>
      <w:r w:rsidR="002F09F7" w:rsidRPr="00E22A32">
        <w:rPr>
          <w:rFonts w:ascii="Calibri" w:hAnsi="Calibri" w:cs="Calibri"/>
        </w:rPr>
        <w:t>that</w:t>
      </w:r>
      <w:r w:rsidR="004A4105">
        <w:rPr>
          <w:rFonts w:ascii="Calibri" w:hAnsi="Calibri" w:cs="Calibri"/>
        </w:rPr>
        <w:t xml:space="preserve"> a </w:t>
      </w:r>
      <w:r w:rsidR="004A4105" w:rsidRPr="004A4105">
        <w:rPr>
          <w:rFonts w:ascii="Calibri" w:hAnsi="Calibri" w:cs="Calibri"/>
          <w:i/>
        </w:rPr>
        <w:t>value</w:t>
      </w:r>
      <w:r w:rsidR="004A4105">
        <w:rPr>
          <w:rFonts w:ascii="Calibri" w:hAnsi="Calibri" w:cs="Calibri"/>
        </w:rPr>
        <w:t xml:space="preserve"> was being associated with </w:t>
      </w:r>
      <w:r w:rsidR="002F09F7" w:rsidRPr="00E22A32">
        <w:rPr>
          <w:rFonts w:ascii="Calibri" w:hAnsi="Calibri" w:cs="Calibri"/>
        </w:rPr>
        <w:t>different organ or tissue</w:t>
      </w:r>
      <w:r w:rsidR="001F6AC0" w:rsidRPr="00E22A32">
        <w:rPr>
          <w:rFonts w:ascii="Calibri" w:hAnsi="Calibri" w:cs="Calibri"/>
        </w:rPr>
        <w:t>s</w:t>
      </w:r>
      <w:r w:rsidR="004A4105">
        <w:rPr>
          <w:rFonts w:ascii="Calibri" w:hAnsi="Calibri" w:cs="Calibri"/>
        </w:rPr>
        <w:t xml:space="preserve">. </w:t>
      </w:r>
      <w:r w:rsidR="00D92BEA" w:rsidRPr="00E22A32">
        <w:rPr>
          <w:rFonts w:ascii="Calibri" w:hAnsi="Calibri" w:cs="Calibri"/>
        </w:rPr>
        <w:t xml:space="preserve"> </w:t>
      </w:r>
    </w:p>
    <w:p w14:paraId="617A4280" w14:textId="5C065997" w:rsidR="005A4642" w:rsidRPr="005A4642" w:rsidRDefault="005A4642" w:rsidP="005A4642">
      <w:pPr>
        <w:jc w:val="both"/>
        <w:rPr>
          <w:i/>
          <w:sz w:val="20"/>
          <w:szCs w:val="20"/>
        </w:rPr>
      </w:pPr>
      <w:r w:rsidRPr="005A4642">
        <w:rPr>
          <w:i/>
          <w:sz w:val="20"/>
          <w:szCs w:val="20"/>
        </w:rPr>
        <w:t xml:space="preserve">Textbox </w:t>
      </w:r>
      <w:r w:rsidR="005817B0">
        <w:rPr>
          <w:i/>
          <w:sz w:val="20"/>
          <w:szCs w:val="20"/>
        </w:rPr>
        <w:t>3</w:t>
      </w:r>
      <w:r w:rsidRPr="005A4642">
        <w:rPr>
          <w:i/>
          <w:sz w:val="20"/>
          <w:szCs w:val="20"/>
        </w:rPr>
        <w:t xml:space="preserve">. Recorded family comments </w:t>
      </w:r>
      <w:r w:rsidR="005420E7">
        <w:rPr>
          <w:i/>
          <w:sz w:val="20"/>
          <w:szCs w:val="20"/>
        </w:rPr>
        <w:t>relating to re</w:t>
      </w:r>
      <w:r w:rsidR="00AE601E">
        <w:rPr>
          <w:i/>
          <w:sz w:val="20"/>
          <w:szCs w:val="20"/>
        </w:rPr>
        <w:t>asons</w:t>
      </w:r>
      <w:r w:rsidR="005420E7">
        <w:rPr>
          <w:i/>
          <w:sz w:val="20"/>
          <w:szCs w:val="20"/>
        </w:rPr>
        <w:t xml:space="preserve"> </w:t>
      </w:r>
      <w:r w:rsidR="00AE601E">
        <w:rPr>
          <w:i/>
          <w:sz w:val="20"/>
          <w:szCs w:val="20"/>
        </w:rPr>
        <w:t>for</w:t>
      </w:r>
      <w:r w:rsidR="005420E7">
        <w:rPr>
          <w:i/>
          <w:sz w:val="20"/>
          <w:szCs w:val="20"/>
        </w:rPr>
        <w:t xml:space="preserve"> eye tissue accompanying consent for solid organs.</w:t>
      </w:r>
    </w:p>
    <w:p w14:paraId="2A560CFB" w14:textId="6D7B23D9" w:rsidR="005A4642" w:rsidRPr="005A4642" w:rsidRDefault="002B0FA9" w:rsidP="005A4642">
      <w:pPr>
        <w:jc w:val="both"/>
      </w:pPr>
      <w:r w:rsidRPr="005A4642">
        <w:rPr>
          <w:noProof/>
        </w:rPr>
        <mc:AlternateContent>
          <mc:Choice Requires="wps">
            <w:drawing>
              <wp:anchor distT="45720" distB="45720" distL="114300" distR="114300" simplePos="0" relativeHeight="251667456" behindDoc="0" locked="0" layoutInCell="1" allowOverlap="1" wp14:anchorId="423CC2EA" wp14:editId="1D51D378">
                <wp:simplePos x="0" y="0"/>
                <wp:positionH relativeFrom="column">
                  <wp:posOffset>55245</wp:posOffset>
                </wp:positionH>
                <wp:positionV relativeFrom="paragraph">
                  <wp:posOffset>73660</wp:posOffset>
                </wp:positionV>
                <wp:extent cx="5697220" cy="3034030"/>
                <wp:effectExtent l="0" t="0" r="19050"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220" cy="3034030"/>
                        </a:xfrm>
                        <a:prstGeom prst="rect">
                          <a:avLst/>
                        </a:prstGeom>
                        <a:solidFill>
                          <a:srgbClr val="FFFFFF"/>
                        </a:solidFill>
                        <a:ln w="9525">
                          <a:solidFill>
                            <a:srgbClr val="000000"/>
                          </a:solidFill>
                          <a:miter lim="800000"/>
                          <a:headEnd/>
                          <a:tailEnd/>
                        </a:ln>
                      </wps:spPr>
                      <wps:txbx>
                        <w:txbxContent>
                          <w:p w14:paraId="16824803" w14:textId="77777777" w:rsidR="008B5518" w:rsidRPr="003A044E" w:rsidRDefault="008B5518" w:rsidP="005A4642">
                            <w:pPr>
                              <w:jc w:val="both"/>
                              <w:rPr>
                                <w:i/>
                                <w:iCs/>
                                <w:sz w:val="20"/>
                                <w:szCs w:val="20"/>
                              </w:rPr>
                            </w:pPr>
                            <w:r w:rsidRPr="003A044E">
                              <w:rPr>
                                <w:i/>
                                <w:iCs/>
                                <w:sz w:val="20"/>
                                <w:szCs w:val="20"/>
                              </w:rPr>
                              <w:t>[Family] did not want any tissue donation organs are enough.</w:t>
                            </w:r>
                          </w:p>
                          <w:p w14:paraId="1F116832" w14:textId="77777777" w:rsidR="008B5518" w:rsidRPr="003A044E" w:rsidRDefault="008B5518" w:rsidP="005A4642">
                            <w:pPr>
                              <w:jc w:val="both"/>
                              <w:rPr>
                                <w:i/>
                                <w:iCs/>
                                <w:sz w:val="20"/>
                                <w:szCs w:val="20"/>
                              </w:rPr>
                            </w:pPr>
                            <w:r w:rsidRPr="003A044E">
                              <w:rPr>
                                <w:i/>
                                <w:iCs/>
                                <w:sz w:val="20"/>
                                <w:szCs w:val="20"/>
                              </w:rPr>
                              <w:t>Family did not want any tissue donation only solid organs</w:t>
                            </w:r>
                          </w:p>
                          <w:p w14:paraId="79D6F61D" w14:textId="77777777" w:rsidR="008B5518" w:rsidRPr="003A044E" w:rsidRDefault="008B5518" w:rsidP="005A4642">
                            <w:pPr>
                              <w:jc w:val="both"/>
                              <w:rPr>
                                <w:i/>
                                <w:iCs/>
                                <w:sz w:val="20"/>
                                <w:szCs w:val="20"/>
                              </w:rPr>
                            </w:pPr>
                            <w:r w:rsidRPr="003A044E">
                              <w:rPr>
                                <w:i/>
                                <w:iCs/>
                                <w:sz w:val="20"/>
                                <w:szCs w:val="20"/>
                              </w:rPr>
                              <w:t>Family only wanted kidneys donated, no other reason given.</w:t>
                            </w:r>
                          </w:p>
                          <w:p w14:paraId="46ACC054" w14:textId="6EA84191" w:rsidR="008B5518" w:rsidRPr="003A044E" w:rsidRDefault="008B5518" w:rsidP="005A4642">
                            <w:pPr>
                              <w:jc w:val="both"/>
                              <w:rPr>
                                <w:i/>
                                <w:iCs/>
                                <w:sz w:val="20"/>
                                <w:szCs w:val="20"/>
                              </w:rPr>
                            </w:pPr>
                            <w:r w:rsidRPr="003A044E">
                              <w:rPr>
                                <w:i/>
                                <w:iCs/>
                                <w:sz w:val="20"/>
                                <w:szCs w:val="20"/>
                              </w:rPr>
                              <w:t>Family very uncomfor</w:t>
                            </w:r>
                            <w:r>
                              <w:rPr>
                                <w:i/>
                                <w:iCs/>
                                <w:sz w:val="20"/>
                                <w:szCs w:val="20"/>
                              </w:rPr>
                              <w:t>table</w:t>
                            </w:r>
                            <w:r w:rsidRPr="003A044E">
                              <w:rPr>
                                <w:i/>
                                <w:iCs/>
                                <w:sz w:val="20"/>
                                <w:szCs w:val="20"/>
                              </w:rPr>
                              <w:t xml:space="preserve"> with tissue donation and only wanted organs as they cannot be seen</w:t>
                            </w:r>
                          </w:p>
                          <w:p w14:paraId="6C5B31DA" w14:textId="77777777" w:rsidR="008B5518" w:rsidRPr="003A044E" w:rsidRDefault="008B5518" w:rsidP="005A4642">
                            <w:pPr>
                              <w:jc w:val="both"/>
                              <w:rPr>
                                <w:i/>
                                <w:iCs/>
                                <w:sz w:val="20"/>
                                <w:szCs w:val="20"/>
                              </w:rPr>
                            </w:pPr>
                            <w:r w:rsidRPr="003A044E">
                              <w:rPr>
                                <w:i/>
                                <w:iCs/>
                                <w:sz w:val="20"/>
                                <w:szCs w:val="20"/>
                              </w:rPr>
                              <w:t xml:space="preserve">Kidneys only would not discuss anything else </w:t>
                            </w:r>
                          </w:p>
                          <w:p w14:paraId="01946226" w14:textId="77777777" w:rsidR="008B5518" w:rsidRPr="003A044E" w:rsidRDefault="008B5518" w:rsidP="005A4642">
                            <w:pPr>
                              <w:jc w:val="both"/>
                              <w:rPr>
                                <w:i/>
                                <w:iCs/>
                                <w:sz w:val="20"/>
                                <w:szCs w:val="20"/>
                              </w:rPr>
                            </w:pPr>
                            <w:r w:rsidRPr="003A044E">
                              <w:rPr>
                                <w:i/>
                                <w:iCs/>
                                <w:sz w:val="20"/>
                                <w:szCs w:val="20"/>
                              </w:rPr>
                              <w:t>Life-saving organs only</w:t>
                            </w:r>
                          </w:p>
                          <w:p w14:paraId="3485F94A" w14:textId="77777777" w:rsidR="008B5518" w:rsidRPr="003A044E" w:rsidRDefault="008B5518" w:rsidP="005A4642">
                            <w:pPr>
                              <w:jc w:val="both"/>
                              <w:rPr>
                                <w:i/>
                                <w:iCs/>
                                <w:sz w:val="20"/>
                                <w:szCs w:val="20"/>
                              </w:rPr>
                            </w:pPr>
                            <w:r w:rsidRPr="003A044E">
                              <w:rPr>
                                <w:i/>
                                <w:iCs/>
                                <w:sz w:val="20"/>
                                <w:szCs w:val="20"/>
                              </w:rPr>
                              <w:t>On ODR no restrictions, partner consented to kidney only, nothing else.</w:t>
                            </w:r>
                          </w:p>
                          <w:p w14:paraId="12B9492E" w14:textId="77777777" w:rsidR="008B5518" w:rsidRPr="003A044E" w:rsidRDefault="008B5518" w:rsidP="005A4642">
                            <w:pPr>
                              <w:jc w:val="both"/>
                              <w:rPr>
                                <w:i/>
                                <w:iCs/>
                                <w:sz w:val="20"/>
                                <w:szCs w:val="20"/>
                              </w:rPr>
                            </w:pPr>
                            <w:r w:rsidRPr="003A044E">
                              <w:rPr>
                                <w:i/>
                                <w:iCs/>
                                <w:sz w:val="20"/>
                                <w:szCs w:val="20"/>
                              </w:rPr>
                              <w:t>Parents did not wish to donate anything other than liver and kidneys not appropriate to ask as risking loss of donation</w:t>
                            </w:r>
                          </w:p>
                          <w:p w14:paraId="693918A7" w14:textId="77777777" w:rsidR="008B5518" w:rsidRPr="003A044E" w:rsidRDefault="008B5518" w:rsidP="005A4642">
                            <w:pPr>
                              <w:jc w:val="both"/>
                              <w:rPr>
                                <w:i/>
                                <w:iCs/>
                                <w:sz w:val="20"/>
                                <w:szCs w:val="20"/>
                              </w:rPr>
                            </w:pPr>
                            <w:r w:rsidRPr="003A044E">
                              <w:rPr>
                                <w:i/>
                                <w:iCs/>
                                <w:sz w:val="20"/>
                                <w:szCs w:val="20"/>
                              </w:rPr>
                              <w:t>Wife wanted solid organs only</w:t>
                            </w:r>
                          </w:p>
                          <w:p w14:paraId="4E73A3EF" w14:textId="77777777" w:rsidR="008B5518" w:rsidRPr="003A044E" w:rsidRDefault="008B5518" w:rsidP="005A4642">
                            <w:pPr>
                              <w:jc w:val="both"/>
                              <w:rPr>
                                <w:i/>
                                <w:iCs/>
                                <w:sz w:val="20"/>
                                <w:szCs w:val="20"/>
                              </w:rPr>
                            </w:pPr>
                            <w:r w:rsidRPr="003A044E">
                              <w:rPr>
                                <w:i/>
                                <w:iCs/>
                                <w:sz w:val="20"/>
                                <w:szCs w:val="20"/>
                              </w:rPr>
                              <w:t xml:space="preserve">Son certain he did not want to donate eyes, or any tissue. Was a very strong no to tissue and did not elaborate too much despite open questioning.  </w:t>
                            </w:r>
                          </w:p>
                          <w:p w14:paraId="4564E124" w14:textId="77777777" w:rsidR="008B5518" w:rsidRDefault="008B5518" w:rsidP="005A46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3CC2EA" id="_x0000_s1028" type="#_x0000_t202" style="position:absolute;left:0;text-align:left;margin-left:4.35pt;margin-top:5.8pt;width:448.6pt;height:238.9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">
                <v:textbox>
                  <w:txbxContent>
                    <w:p w14:paraId="16824803" w14:textId="77777777" w:rsidR="008B5518" w:rsidRPr="003A044E" w:rsidRDefault="008B5518" w:rsidP="005A4642">
                      <w:pPr>
                        <w:jc w:val="both"/>
                        <w:rPr>
                          <w:i/>
                          <w:iCs/>
                          <w:sz w:val="20"/>
                          <w:szCs w:val="20"/>
                        </w:rPr>
                      </w:pPr>
                      <w:r w:rsidRPr="003A044E">
                        <w:rPr>
                          <w:i/>
                          <w:iCs/>
                          <w:sz w:val="20"/>
                          <w:szCs w:val="20"/>
                        </w:rPr>
                        <w:t>[Family] did not want any tissue donation organs are enough.</w:t>
                      </w:r>
                    </w:p>
                    <w:p w14:paraId="1F116832" w14:textId="77777777" w:rsidR="008B5518" w:rsidRPr="003A044E" w:rsidRDefault="008B5518" w:rsidP="005A4642">
                      <w:pPr>
                        <w:jc w:val="both"/>
                        <w:rPr>
                          <w:i/>
                          <w:iCs/>
                          <w:sz w:val="20"/>
                          <w:szCs w:val="20"/>
                        </w:rPr>
                      </w:pPr>
                      <w:r w:rsidRPr="003A044E">
                        <w:rPr>
                          <w:i/>
                          <w:iCs/>
                          <w:sz w:val="20"/>
                          <w:szCs w:val="20"/>
                        </w:rPr>
                        <w:t>Family did not want any tissue donation only solid organs</w:t>
                      </w:r>
                    </w:p>
                    <w:p w14:paraId="79D6F61D" w14:textId="77777777" w:rsidR="008B5518" w:rsidRPr="003A044E" w:rsidRDefault="008B5518" w:rsidP="005A4642">
                      <w:pPr>
                        <w:jc w:val="both"/>
                        <w:rPr>
                          <w:i/>
                          <w:iCs/>
                          <w:sz w:val="20"/>
                          <w:szCs w:val="20"/>
                        </w:rPr>
                      </w:pPr>
                      <w:r w:rsidRPr="003A044E">
                        <w:rPr>
                          <w:i/>
                          <w:iCs/>
                          <w:sz w:val="20"/>
                          <w:szCs w:val="20"/>
                        </w:rPr>
                        <w:t>Family only wanted kidneys donated, no other reason given.</w:t>
                      </w:r>
                    </w:p>
                    <w:p w14:paraId="46ACC054" w14:textId="6EA84191" w:rsidR="008B5518" w:rsidRPr="003A044E" w:rsidRDefault="008B5518" w:rsidP="005A4642">
                      <w:pPr>
                        <w:jc w:val="both"/>
                        <w:rPr>
                          <w:i/>
                          <w:iCs/>
                          <w:sz w:val="20"/>
                          <w:szCs w:val="20"/>
                        </w:rPr>
                      </w:pPr>
                      <w:r w:rsidRPr="003A044E">
                        <w:rPr>
                          <w:i/>
                          <w:iCs/>
                          <w:sz w:val="20"/>
                          <w:szCs w:val="20"/>
                        </w:rPr>
                        <w:t>Family very uncomfor</w:t>
                      </w:r>
                      <w:r>
                        <w:rPr>
                          <w:i/>
                          <w:iCs/>
                          <w:sz w:val="20"/>
                          <w:szCs w:val="20"/>
                        </w:rPr>
                        <w:t>table</w:t>
                      </w:r>
                      <w:r w:rsidRPr="003A044E">
                        <w:rPr>
                          <w:i/>
                          <w:iCs/>
                          <w:sz w:val="20"/>
                          <w:szCs w:val="20"/>
                        </w:rPr>
                        <w:t xml:space="preserve"> with tissue donation and only wanted organs as they cannot be seen</w:t>
                      </w:r>
                    </w:p>
                    <w:p w14:paraId="6C5B31DA" w14:textId="77777777" w:rsidR="008B5518" w:rsidRPr="003A044E" w:rsidRDefault="008B5518" w:rsidP="005A4642">
                      <w:pPr>
                        <w:jc w:val="both"/>
                        <w:rPr>
                          <w:i/>
                          <w:iCs/>
                          <w:sz w:val="20"/>
                          <w:szCs w:val="20"/>
                        </w:rPr>
                      </w:pPr>
                      <w:r w:rsidRPr="003A044E">
                        <w:rPr>
                          <w:i/>
                          <w:iCs/>
                          <w:sz w:val="20"/>
                          <w:szCs w:val="20"/>
                        </w:rPr>
                        <w:t xml:space="preserve">Kidneys only would not discuss anything else </w:t>
                      </w:r>
                    </w:p>
                    <w:p w14:paraId="01946226" w14:textId="77777777" w:rsidR="008B5518" w:rsidRPr="003A044E" w:rsidRDefault="008B5518" w:rsidP="005A4642">
                      <w:pPr>
                        <w:jc w:val="both"/>
                        <w:rPr>
                          <w:i/>
                          <w:iCs/>
                          <w:sz w:val="20"/>
                          <w:szCs w:val="20"/>
                        </w:rPr>
                      </w:pPr>
                      <w:r w:rsidRPr="003A044E">
                        <w:rPr>
                          <w:i/>
                          <w:iCs/>
                          <w:sz w:val="20"/>
                          <w:szCs w:val="20"/>
                        </w:rPr>
                        <w:t>Life-saving organs only</w:t>
                      </w:r>
                    </w:p>
                    <w:p w14:paraId="3485F94A" w14:textId="77777777" w:rsidR="008B5518" w:rsidRPr="003A044E" w:rsidRDefault="008B5518" w:rsidP="005A4642">
                      <w:pPr>
                        <w:jc w:val="both"/>
                        <w:rPr>
                          <w:i/>
                          <w:iCs/>
                          <w:sz w:val="20"/>
                          <w:szCs w:val="20"/>
                        </w:rPr>
                      </w:pPr>
                      <w:r w:rsidRPr="003A044E">
                        <w:rPr>
                          <w:i/>
                          <w:iCs/>
                          <w:sz w:val="20"/>
                          <w:szCs w:val="20"/>
                        </w:rPr>
                        <w:t>On ODR no restrictions, partner consented to kidney only, nothing else.</w:t>
                      </w:r>
                    </w:p>
                    <w:p w14:paraId="12B9492E" w14:textId="77777777" w:rsidR="008B5518" w:rsidRPr="003A044E" w:rsidRDefault="008B5518" w:rsidP="005A4642">
                      <w:pPr>
                        <w:jc w:val="both"/>
                        <w:rPr>
                          <w:i/>
                          <w:iCs/>
                          <w:sz w:val="20"/>
                          <w:szCs w:val="20"/>
                        </w:rPr>
                      </w:pPr>
                      <w:r w:rsidRPr="003A044E">
                        <w:rPr>
                          <w:i/>
                          <w:iCs/>
                          <w:sz w:val="20"/>
                          <w:szCs w:val="20"/>
                        </w:rPr>
                        <w:t>Parents did not wish to donate anything other than liver and kidneys not appropriate to ask as risking loss of donation</w:t>
                      </w:r>
                    </w:p>
                    <w:p w14:paraId="693918A7" w14:textId="77777777" w:rsidR="008B5518" w:rsidRPr="003A044E" w:rsidRDefault="008B5518" w:rsidP="005A4642">
                      <w:pPr>
                        <w:jc w:val="both"/>
                        <w:rPr>
                          <w:i/>
                          <w:iCs/>
                          <w:sz w:val="20"/>
                          <w:szCs w:val="20"/>
                        </w:rPr>
                      </w:pPr>
                      <w:r w:rsidRPr="003A044E">
                        <w:rPr>
                          <w:i/>
                          <w:iCs/>
                          <w:sz w:val="20"/>
                          <w:szCs w:val="20"/>
                        </w:rPr>
                        <w:t>Wife wanted solid organs only</w:t>
                      </w:r>
                    </w:p>
                    <w:p w14:paraId="4E73A3EF" w14:textId="77777777" w:rsidR="008B5518" w:rsidRPr="003A044E" w:rsidRDefault="008B5518" w:rsidP="005A4642">
                      <w:pPr>
                        <w:jc w:val="both"/>
                        <w:rPr>
                          <w:i/>
                          <w:iCs/>
                          <w:sz w:val="20"/>
                          <w:szCs w:val="20"/>
                        </w:rPr>
                      </w:pPr>
                      <w:r w:rsidRPr="003A044E">
                        <w:rPr>
                          <w:i/>
                          <w:iCs/>
                          <w:sz w:val="20"/>
                          <w:szCs w:val="20"/>
                        </w:rPr>
                        <w:t xml:space="preserve">Son certain he did not want to donate eyes, or any tissue. Was a very strong no to tissue and did not elaborate too much despite open questioning.  </w:t>
                      </w:r>
                    </w:p>
                    <w:p w14:paraId="4564E124" w14:textId="77777777" w:rsidR="008B5518" w:rsidRDefault="008B5518" w:rsidP="005A4642"/>
                  </w:txbxContent>
                </v:textbox>
                <w10:wrap type="square"/>
              </v:shape>
            </w:pict>
          </mc:Fallback>
        </mc:AlternateContent>
      </w:r>
    </w:p>
    <w:p w14:paraId="48C87538" w14:textId="77777777" w:rsidR="00895025" w:rsidRDefault="00895025" w:rsidP="00AB4CF6">
      <w:pPr>
        <w:jc w:val="both"/>
        <w:rPr>
          <w:rFonts w:ascii="Calibri Light" w:hAnsi="Calibri Light" w:cs="Calibri Light"/>
        </w:rPr>
      </w:pPr>
    </w:p>
    <w:p w14:paraId="060993AB" w14:textId="77777777" w:rsidR="00895025" w:rsidRDefault="00895025" w:rsidP="00AB4CF6">
      <w:pPr>
        <w:jc w:val="both"/>
        <w:rPr>
          <w:rFonts w:ascii="Calibri Light" w:hAnsi="Calibri Light" w:cs="Calibri Light"/>
        </w:rPr>
      </w:pPr>
    </w:p>
    <w:p w14:paraId="21BB704B" w14:textId="77777777" w:rsidR="00895025" w:rsidRDefault="00895025" w:rsidP="00AB4CF6">
      <w:pPr>
        <w:jc w:val="both"/>
        <w:rPr>
          <w:rFonts w:ascii="Calibri Light" w:hAnsi="Calibri Light" w:cs="Calibri Light"/>
        </w:rPr>
      </w:pPr>
    </w:p>
    <w:p w14:paraId="72C237EC" w14:textId="77777777" w:rsidR="00895025" w:rsidRDefault="00895025" w:rsidP="00AB4CF6">
      <w:pPr>
        <w:jc w:val="both"/>
        <w:rPr>
          <w:rFonts w:ascii="Calibri Light" w:hAnsi="Calibri Light" w:cs="Calibri Light"/>
        </w:rPr>
      </w:pPr>
    </w:p>
    <w:p w14:paraId="18CE061E" w14:textId="77777777" w:rsidR="00C36E7A" w:rsidRDefault="00C36E7A" w:rsidP="00AB4CF6">
      <w:pPr>
        <w:jc w:val="both"/>
        <w:rPr>
          <w:rFonts w:ascii="Calibri Light" w:hAnsi="Calibri Light" w:cs="Calibri Light"/>
        </w:rPr>
      </w:pPr>
    </w:p>
    <w:p w14:paraId="0D92220F" w14:textId="77777777" w:rsidR="00C36E7A" w:rsidRDefault="00C36E7A" w:rsidP="00AB4CF6">
      <w:pPr>
        <w:jc w:val="both"/>
        <w:rPr>
          <w:rFonts w:ascii="Calibri Light" w:hAnsi="Calibri Light" w:cs="Calibri Light"/>
        </w:rPr>
      </w:pPr>
    </w:p>
    <w:p w14:paraId="0E3BEA79" w14:textId="77777777" w:rsidR="00C36E7A" w:rsidRDefault="00C36E7A" w:rsidP="00AB4CF6">
      <w:pPr>
        <w:jc w:val="both"/>
        <w:rPr>
          <w:rFonts w:ascii="Calibri Light" w:hAnsi="Calibri Light" w:cs="Calibri Light"/>
        </w:rPr>
      </w:pPr>
    </w:p>
    <w:p w14:paraId="0AA40D81" w14:textId="77777777" w:rsidR="00C36E7A" w:rsidRDefault="00C36E7A" w:rsidP="00AB4CF6">
      <w:pPr>
        <w:jc w:val="both"/>
        <w:rPr>
          <w:rFonts w:ascii="Calibri Light" w:hAnsi="Calibri Light" w:cs="Calibri Light"/>
        </w:rPr>
      </w:pPr>
    </w:p>
    <w:p w14:paraId="63484D48" w14:textId="77777777" w:rsidR="00C36E7A" w:rsidRDefault="00C36E7A" w:rsidP="00AB4CF6">
      <w:pPr>
        <w:jc w:val="both"/>
        <w:rPr>
          <w:rFonts w:ascii="Calibri Light" w:hAnsi="Calibri Light" w:cs="Calibri Light"/>
        </w:rPr>
      </w:pPr>
    </w:p>
    <w:p w14:paraId="41869B89" w14:textId="0607489C" w:rsidR="00C36E7A" w:rsidRDefault="00C36E7A" w:rsidP="00AB4CF6">
      <w:pPr>
        <w:jc w:val="both"/>
        <w:rPr>
          <w:rFonts w:ascii="Calibri Light" w:hAnsi="Calibri Light" w:cs="Calibri Light"/>
        </w:rPr>
      </w:pPr>
    </w:p>
    <w:p w14:paraId="60792CDC" w14:textId="77777777" w:rsidR="003B5BDC" w:rsidRDefault="003B5BDC" w:rsidP="00AB4CF6">
      <w:pPr>
        <w:jc w:val="both"/>
        <w:rPr>
          <w:rFonts w:ascii="Calibri Light" w:hAnsi="Calibri Light" w:cs="Calibri Light"/>
        </w:rPr>
      </w:pPr>
    </w:p>
    <w:p w14:paraId="5011A622" w14:textId="36CA00D1" w:rsidR="00A8478E" w:rsidRPr="00493744" w:rsidRDefault="00A8478E" w:rsidP="00E22A32">
      <w:pPr>
        <w:pStyle w:val="Heading3"/>
        <w:spacing w:line="360" w:lineRule="auto"/>
        <w:rPr>
          <w:rFonts w:asciiTheme="minorHAnsi" w:hAnsiTheme="minorHAnsi" w:cstheme="minorHAnsi"/>
          <w:i/>
          <w:color w:val="auto"/>
          <w:sz w:val="22"/>
          <w:szCs w:val="22"/>
        </w:rPr>
      </w:pPr>
      <w:r w:rsidRPr="00493744">
        <w:rPr>
          <w:rFonts w:asciiTheme="minorHAnsi" w:hAnsiTheme="minorHAnsi" w:cstheme="minorHAnsi"/>
          <w:i/>
          <w:color w:val="auto"/>
          <w:sz w:val="22"/>
          <w:szCs w:val="22"/>
        </w:rPr>
        <w:t>Change in decision-making</w:t>
      </w:r>
    </w:p>
    <w:p w14:paraId="34DDA25D" w14:textId="3D876F34" w:rsidR="00C31A67" w:rsidRPr="00E22A32" w:rsidRDefault="00AB4CF6" w:rsidP="00E22A32">
      <w:pPr>
        <w:spacing w:line="360" w:lineRule="auto"/>
        <w:jc w:val="both"/>
        <w:rPr>
          <w:rFonts w:cstheme="minorHAnsi"/>
        </w:rPr>
      </w:pPr>
      <w:r w:rsidRPr="00E22A32">
        <w:rPr>
          <w:rFonts w:cstheme="minorHAnsi"/>
        </w:rPr>
        <w:t>Six cases (</w:t>
      </w:r>
      <w:r w:rsidR="008964C2" w:rsidRPr="00E22A32">
        <w:rPr>
          <w:rFonts w:cstheme="minorHAnsi"/>
        </w:rPr>
        <w:t>5</w:t>
      </w:r>
      <w:r w:rsidRPr="00E22A32">
        <w:rPr>
          <w:rFonts w:cstheme="minorHAnsi"/>
        </w:rPr>
        <w:t>%) described initial consent for eye donation being provided by families which was later withdrawn</w:t>
      </w:r>
      <w:r w:rsidR="00A8478E" w:rsidRPr="00E22A32">
        <w:rPr>
          <w:rFonts w:cstheme="minorHAnsi"/>
        </w:rPr>
        <w:t xml:space="preserve"> (</w:t>
      </w:r>
      <w:r w:rsidR="002F09F7" w:rsidRPr="00E22A32">
        <w:rPr>
          <w:rFonts w:cstheme="minorHAnsi"/>
        </w:rPr>
        <w:t xml:space="preserve">see </w:t>
      </w:r>
      <w:r w:rsidR="00A8478E" w:rsidRPr="00E22A32">
        <w:rPr>
          <w:rFonts w:cstheme="minorHAnsi"/>
        </w:rPr>
        <w:t xml:space="preserve">Textbox </w:t>
      </w:r>
      <w:r w:rsidR="005817B0">
        <w:rPr>
          <w:rFonts w:cstheme="minorHAnsi"/>
        </w:rPr>
        <w:t>4</w:t>
      </w:r>
      <w:r w:rsidR="00A8478E" w:rsidRPr="00E22A32">
        <w:rPr>
          <w:rFonts w:cstheme="minorHAnsi"/>
        </w:rPr>
        <w:t>)</w:t>
      </w:r>
      <w:r w:rsidR="002F09F7" w:rsidRPr="00E22A32">
        <w:rPr>
          <w:rFonts w:cstheme="minorHAnsi"/>
        </w:rPr>
        <w:t>.</w:t>
      </w:r>
      <w:r w:rsidR="00A8478E" w:rsidRPr="00E22A32">
        <w:rPr>
          <w:rFonts w:cstheme="minorHAnsi"/>
        </w:rPr>
        <w:t xml:space="preserve"> Comments suggest the potential influence of post</w:t>
      </w:r>
      <w:r w:rsidR="00631B75">
        <w:rPr>
          <w:rFonts w:cstheme="minorHAnsi"/>
        </w:rPr>
        <w:t>-</w:t>
      </w:r>
      <w:r w:rsidR="00A8478E" w:rsidRPr="00E22A32">
        <w:rPr>
          <w:rFonts w:cstheme="minorHAnsi"/>
        </w:rPr>
        <w:t xml:space="preserve">decision </w:t>
      </w:r>
      <w:r w:rsidR="00C36E7A" w:rsidRPr="00E22A32">
        <w:rPr>
          <w:rFonts w:cstheme="minorHAnsi"/>
        </w:rPr>
        <w:t>dissonance</w:t>
      </w:r>
      <w:r w:rsidR="001F6AC0" w:rsidRPr="00E22A32">
        <w:rPr>
          <w:rFonts w:cstheme="minorHAnsi"/>
        </w:rPr>
        <w:t xml:space="preserve"> (see </w:t>
      </w:r>
      <w:r w:rsidR="00631B75" w:rsidRPr="00381F38">
        <w:rPr>
          <w:rFonts w:cstheme="minorHAnsi"/>
          <w:i/>
          <w:iCs/>
        </w:rPr>
        <w:t>D</w:t>
      </w:r>
      <w:r w:rsidR="001F6AC0" w:rsidRPr="00381F38">
        <w:rPr>
          <w:rFonts w:cstheme="minorHAnsi"/>
          <w:i/>
          <w:iCs/>
        </w:rPr>
        <w:t>iscussi</w:t>
      </w:r>
      <w:r w:rsidR="00631B75" w:rsidRPr="00381F38">
        <w:rPr>
          <w:rFonts w:cstheme="minorHAnsi"/>
          <w:i/>
          <w:iCs/>
        </w:rPr>
        <w:t>on</w:t>
      </w:r>
      <w:r w:rsidR="001F6AC0" w:rsidRPr="00E22A32">
        <w:rPr>
          <w:rFonts w:cstheme="minorHAnsi"/>
        </w:rPr>
        <w:t xml:space="preserve"> section) </w:t>
      </w:r>
      <w:r w:rsidR="002B0FA9" w:rsidRPr="00E22A32">
        <w:rPr>
          <w:rFonts w:cstheme="minorHAnsi"/>
        </w:rPr>
        <w:fldChar w:fldCharType="begin" w:fldLock="1"/>
      </w:r>
      <w:r w:rsidR="004F199F">
        <w:rPr>
          <w:rFonts w:cstheme="minorHAnsi"/>
        </w:rPr>
        <w:instrText>ADDIN CSL_CITATION {"citationItems":[{"id":"ITEM-1","itemData":{"DOI":"10.1016/j.socscimed.2008.03.039","ISSN":"02779536","abstract":"Brain death, whether it be brain stem death in the UK, or whole-brain death in the USA, is a prerequisite for heart-beating organ donation. Understanding how brain death is perceived by family members approached about organ donation, its significance to them, and if it is accepted by them, are, therefore, important issues to explore as biomedicine expands the range of end of life technologies that blur the demarcation between life and death. To explore the concept of brain stem death and its meaning to family members the following research questions were posed: (i) what does the diagnosis of death based on brain stem testing mean to bereaved family members who have been approached and asked to consider a donation from a deceased relative, and (ii) how do family members understand the concept of brain stem death? To address these research questions, a secondary analysis of 28 interviews sorted from two primary datasets was carried out. The primary datasets contained longitudinal and cross-sectional interviews carried out in the UK with family members who had been approached about organ donation and agreed to donate their relatives' organs. Data analysis was guided by constructionist grounded theory method and resulted in the theory of Paradoxical Death. In this process, family members and health professionals engage in a series of practical and psychological activities aimed at rationalising real or potential emotional and cognitive conflict resulting from a brain-based diagnosis of death, whilst faced with the physical image of a functioning body. Rationalising emotional and cognitive conflict is how family members and health professionals appeared to process this paradoxical death, a death that is contrary to conventional opinion. © 2008 Elsevier Ltd. All rights reserved.","author":[{"dropping-particle":"","family":"Long","given":"Tracy","non-dropping-particle":"","parse-names":false,"suffix":""},{"dropping-particle":"","family":"Sque","given":"Magi","non-dropping-particle":"","parse-names":false,"suffix":""},{"dropping-particle":"","family":"Addington-Hall","given":"Julia","non-dropping-particle":"","parse-names":false,"suffix":""}],"container-title":"Social Science and Medicine","id":"ITEM-1","issue":"2","issued":{"date-parts":[["2008"]]},"page":"253-261","title":"Conflict rationalisation: How family members cope with a diagnosis of brain stem death","type":"article-journal","volume":"67"},"uris":["http://www.mendeley.com/documents/?uuid=5d9aeb53-4429-4bcd-a489-00551e4d17f7"]}],"mendeley":{"formattedCitation":"[17]","plainTextFormattedCitation":"[17]","previouslyFormattedCitation":"[17]"},"properties":{"noteIndex":0},"schema":"https://github.com/citation-style-language/schema/raw/master/csl-citation.json"}</w:instrText>
      </w:r>
      <w:r w:rsidR="002B0FA9" w:rsidRPr="00E22A32">
        <w:rPr>
          <w:rFonts w:cstheme="minorHAnsi"/>
        </w:rPr>
        <w:fldChar w:fldCharType="separate"/>
      </w:r>
      <w:r w:rsidR="004F199F" w:rsidRPr="004F199F">
        <w:rPr>
          <w:rFonts w:cstheme="minorHAnsi"/>
          <w:noProof/>
        </w:rPr>
        <w:t>[17]</w:t>
      </w:r>
      <w:r w:rsidR="002B0FA9" w:rsidRPr="00E22A32">
        <w:rPr>
          <w:rFonts w:cstheme="minorHAnsi"/>
        </w:rPr>
        <w:fldChar w:fldCharType="end"/>
      </w:r>
      <w:r w:rsidR="00A8478E" w:rsidRPr="00E22A32">
        <w:rPr>
          <w:rFonts w:cstheme="minorHAnsi"/>
        </w:rPr>
        <w:t xml:space="preserve"> </w:t>
      </w:r>
      <w:r w:rsidR="004D04BC" w:rsidRPr="00E22A32">
        <w:rPr>
          <w:rFonts w:cstheme="minorHAnsi"/>
        </w:rPr>
        <w:t>and</w:t>
      </w:r>
      <w:r w:rsidR="002A09ED" w:rsidRPr="00E22A32">
        <w:rPr>
          <w:rFonts w:cstheme="minorHAnsi"/>
        </w:rPr>
        <w:t xml:space="preserve"> the impact of </w:t>
      </w:r>
      <w:r w:rsidR="004D04BC" w:rsidRPr="00E22A32">
        <w:rPr>
          <w:rFonts w:cstheme="minorHAnsi"/>
        </w:rPr>
        <w:t xml:space="preserve">wider family views </w:t>
      </w:r>
      <w:r w:rsidR="00A8478E" w:rsidRPr="00E22A32">
        <w:rPr>
          <w:rFonts w:cstheme="minorHAnsi"/>
        </w:rPr>
        <w:t xml:space="preserve">stimulating a reversal of the decision to agree to eye donation. </w:t>
      </w:r>
    </w:p>
    <w:p w14:paraId="0B9750BF" w14:textId="0FC1E7B3" w:rsidR="007D7E92" w:rsidRPr="007D7E92" w:rsidRDefault="007D7E92" w:rsidP="00AB4CF6">
      <w:pPr>
        <w:jc w:val="both"/>
        <w:rPr>
          <w:rFonts w:ascii="Calibri Light" w:hAnsi="Calibri Light" w:cs="Calibri Light"/>
          <w:i/>
          <w:sz w:val="20"/>
          <w:szCs w:val="20"/>
        </w:rPr>
      </w:pPr>
      <w:r w:rsidRPr="007D7E92">
        <w:rPr>
          <w:rFonts w:asciiTheme="majorHAnsi" w:hAnsiTheme="majorHAnsi" w:cstheme="majorHAnsi"/>
          <w:i/>
          <w:iCs/>
          <w:noProof/>
          <w:sz w:val="20"/>
          <w:szCs w:val="20"/>
        </w:rPr>
        <mc:AlternateContent>
          <mc:Choice Requires="wps">
            <w:drawing>
              <wp:anchor distT="45720" distB="45720" distL="114300" distR="114300" simplePos="0" relativeHeight="251665408" behindDoc="0" locked="0" layoutInCell="1" allowOverlap="1" wp14:anchorId="427778AA" wp14:editId="46A2BE3D">
                <wp:simplePos x="0" y="0"/>
                <wp:positionH relativeFrom="column">
                  <wp:posOffset>12700</wp:posOffset>
                </wp:positionH>
                <wp:positionV relativeFrom="paragraph">
                  <wp:posOffset>250825</wp:posOffset>
                </wp:positionV>
                <wp:extent cx="5638800" cy="1786255"/>
                <wp:effectExtent l="0" t="0" r="19050" b="2349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786255"/>
                        </a:xfrm>
                        <a:prstGeom prst="rect">
                          <a:avLst/>
                        </a:prstGeom>
                        <a:solidFill>
                          <a:srgbClr val="FFFFFF"/>
                        </a:solidFill>
                        <a:ln w="9525">
                          <a:solidFill>
                            <a:srgbClr val="000000"/>
                          </a:solidFill>
                          <a:miter lim="800000"/>
                          <a:headEnd/>
                          <a:tailEnd/>
                        </a:ln>
                      </wps:spPr>
                      <wps:txbx>
                        <w:txbxContent>
                          <w:p w14:paraId="1C26A74A" w14:textId="57B72535" w:rsidR="008B5518" w:rsidRPr="003A044E" w:rsidRDefault="008B5518" w:rsidP="00BF1092">
                            <w:pPr>
                              <w:jc w:val="both"/>
                              <w:rPr>
                                <w:i/>
                                <w:iCs/>
                                <w:sz w:val="20"/>
                                <w:szCs w:val="20"/>
                              </w:rPr>
                            </w:pPr>
                            <w:r>
                              <w:rPr>
                                <w:i/>
                                <w:iCs/>
                                <w:sz w:val="20"/>
                                <w:szCs w:val="20"/>
                              </w:rPr>
                              <w:t>[</w:t>
                            </w:r>
                            <w:r w:rsidRPr="003A044E">
                              <w:rPr>
                                <w:i/>
                                <w:iCs/>
                                <w:sz w:val="20"/>
                                <w:szCs w:val="20"/>
                              </w:rPr>
                              <w:t xml:space="preserve">Father] changed his mind after consent provided. </w:t>
                            </w:r>
                          </w:p>
                          <w:p w14:paraId="11EC815A" w14:textId="77777777" w:rsidR="008B5518" w:rsidRPr="003A044E" w:rsidRDefault="008B5518" w:rsidP="00BF1092">
                            <w:pPr>
                              <w:jc w:val="both"/>
                              <w:rPr>
                                <w:i/>
                                <w:iCs/>
                                <w:sz w:val="20"/>
                                <w:szCs w:val="20"/>
                              </w:rPr>
                            </w:pPr>
                            <w:r w:rsidRPr="003A044E">
                              <w:rPr>
                                <w:i/>
                                <w:iCs/>
                                <w:sz w:val="20"/>
                                <w:szCs w:val="20"/>
                              </w:rPr>
                              <w:t>Even though partner consented initially, family wanted patient embalmed and wanted body home ASAP.</w:t>
                            </w:r>
                          </w:p>
                          <w:p w14:paraId="392B0767" w14:textId="37D0F48C" w:rsidR="008B5518" w:rsidRPr="003A044E" w:rsidRDefault="008B5518" w:rsidP="00BF1092">
                            <w:pPr>
                              <w:jc w:val="both"/>
                              <w:rPr>
                                <w:i/>
                                <w:iCs/>
                                <w:sz w:val="20"/>
                                <w:szCs w:val="20"/>
                              </w:rPr>
                            </w:pPr>
                            <w:r w:rsidRPr="003A044E">
                              <w:rPr>
                                <w:i/>
                                <w:iCs/>
                                <w:sz w:val="20"/>
                                <w:szCs w:val="20"/>
                              </w:rPr>
                              <w:t>Family withdrew consent as needed quick release.</w:t>
                            </w:r>
                          </w:p>
                          <w:p w14:paraId="42C7CC9D" w14:textId="77777777" w:rsidR="008B5518" w:rsidRPr="003A044E" w:rsidRDefault="008B5518" w:rsidP="00BF1092">
                            <w:pPr>
                              <w:jc w:val="both"/>
                              <w:rPr>
                                <w:i/>
                                <w:iCs/>
                                <w:sz w:val="20"/>
                                <w:szCs w:val="20"/>
                              </w:rPr>
                            </w:pPr>
                            <w:r w:rsidRPr="003A044E">
                              <w:rPr>
                                <w:i/>
                                <w:iCs/>
                                <w:sz w:val="20"/>
                                <w:szCs w:val="20"/>
                              </w:rPr>
                              <w:t>Family withdrew eye consent, reason not specified.</w:t>
                            </w:r>
                          </w:p>
                          <w:p w14:paraId="0E20D150" w14:textId="5ACA0E54" w:rsidR="008B5518" w:rsidRPr="003A044E" w:rsidRDefault="008B5518" w:rsidP="00BF1092">
                            <w:pPr>
                              <w:jc w:val="both"/>
                              <w:rPr>
                                <w:i/>
                                <w:iCs/>
                                <w:sz w:val="20"/>
                                <w:szCs w:val="20"/>
                              </w:rPr>
                            </w:pPr>
                            <w:r w:rsidRPr="003A044E">
                              <w:rPr>
                                <w:i/>
                                <w:iCs/>
                                <w:sz w:val="20"/>
                                <w:szCs w:val="20"/>
                              </w:rPr>
                              <w:t xml:space="preserve">Initial consent provided for eyes and skin but then changed their mind, no reason given. </w:t>
                            </w:r>
                          </w:p>
                          <w:p w14:paraId="039EBDDA" w14:textId="68D6A911" w:rsidR="008B5518" w:rsidRPr="003A044E" w:rsidRDefault="008B5518" w:rsidP="00BF1092">
                            <w:pPr>
                              <w:jc w:val="both"/>
                              <w:rPr>
                                <w:i/>
                                <w:iCs/>
                                <w:sz w:val="20"/>
                                <w:szCs w:val="20"/>
                              </w:rPr>
                            </w:pPr>
                            <w:r w:rsidRPr="003A044E">
                              <w:rPr>
                                <w:i/>
                                <w:iCs/>
                                <w:sz w:val="20"/>
                                <w:szCs w:val="20"/>
                              </w:rPr>
                              <w:t>Parents consented for all tissues but withdrew consent whilst visiting him in Chapel of rest saying he had 'given enough' and they did not want him to be touched anymore</w:t>
                            </w:r>
                          </w:p>
                          <w:p w14:paraId="34C88295" w14:textId="1E5945BA" w:rsidR="008B5518" w:rsidRDefault="008B55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7778AA" id="_x0000_s1029" type="#_x0000_t202" style="position:absolute;left:0;text-align:left;margin-left:1pt;margin-top:19.75pt;width:444pt;height:140.6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">
                <v:textbox>
                  <w:txbxContent>
                    <w:p w14:paraId="1C26A74A" w14:textId="57B72535" w:rsidR="008B5518" w:rsidRPr="003A044E" w:rsidRDefault="008B5518" w:rsidP="00BF1092">
                      <w:pPr>
                        <w:jc w:val="both"/>
                        <w:rPr>
                          <w:i/>
                          <w:iCs/>
                          <w:sz w:val="20"/>
                          <w:szCs w:val="20"/>
                        </w:rPr>
                      </w:pPr>
                      <w:r>
                        <w:rPr>
                          <w:i/>
                          <w:iCs/>
                          <w:sz w:val="20"/>
                          <w:szCs w:val="20"/>
                        </w:rPr>
                        <w:t>[</w:t>
                      </w:r>
                      <w:r w:rsidRPr="003A044E">
                        <w:rPr>
                          <w:i/>
                          <w:iCs/>
                          <w:sz w:val="20"/>
                          <w:szCs w:val="20"/>
                        </w:rPr>
                        <w:t xml:space="preserve">Father] changed his mind after consent provided. </w:t>
                      </w:r>
                    </w:p>
                    <w:p w14:paraId="11EC815A" w14:textId="77777777" w:rsidR="008B5518" w:rsidRPr="003A044E" w:rsidRDefault="008B5518" w:rsidP="00BF1092">
                      <w:pPr>
                        <w:jc w:val="both"/>
                        <w:rPr>
                          <w:i/>
                          <w:iCs/>
                          <w:sz w:val="20"/>
                          <w:szCs w:val="20"/>
                        </w:rPr>
                      </w:pPr>
                      <w:r w:rsidRPr="003A044E">
                        <w:rPr>
                          <w:i/>
                          <w:iCs/>
                          <w:sz w:val="20"/>
                          <w:szCs w:val="20"/>
                        </w:rPr>
                        <w:t>Even though partner consented initially, family wanted patient embalmed and wanted body home ASAP.</w:t>
                      </w:r>
                    </w:p>
                    <w:p w14:paraId="392B0767" w14:textId="37D0F48C" w:rsidR="008B5518" w:rsidRPr="003A044E" w:rsidRDefault="008B5518" w:rsidP="00BF1092">
                      <w:pPr>
                        <w:jc w:val="both"/>
                        <w:rPr>
                          <w:i/>
                          <w:iCs/>
                          <w:sz w:val="20"/>
                          <w:szCs w:val="20"/>
                        </w:rPr>
                      </w:pPr>
                      <w:r w:rsidRPr="003A044E">
                        <w:rPr>
                          <w:i/>
                          <w:iCs/>
                          <w:sz w:val="20"/>
                          <w:szCs w:val="20"/>
                        </w:rPr>
                        <w:t>Family withdrew consent as needed quick release.</w:t>
                      </w:r>
                    </w:p>
                    <w:p w14:paraId="42C7CC9D" w14:textId="77777777" w:rsidR="008B5518" w:rsidRPr="003A044E" w:rsidRDefault="008B5518" w:rsidP="00BF1092">
                      <w:pPr>
                        <w:jc w:val="both"/>
                        <w:rPr>
                          <w:i/>
                          <w:iCs/>
                          <w:sz w:val="20"/>
                          <w:szCs w:val="20"/>
                        </w:rPr>
                      </w:pPr>
                      <w:r w:rsidRPr="003A044E">
                        <w:rPr>
                          <w:i/>
                          <w:iCs/>
                          <w:sz w:val="20"/>
                          <w:szCs w:val="20"/>
                        </w:rPr>
                        <w:t>Family withdrew eye consent, reason not specified.</w:t>
                      </w:r>
                    </w:p>
                    <w:p w14:paraId="0E20D150" w14:textId="5ACA0E54" w:rsidR="008B5518" w:rsidRPr="003A044E" w:rsidRDefault="008B5518" w:rsidP="00BF1092">
                      <w:pPr>
                        <w:jc w:val="both"/>
                        <w:rPr>
                          <w:i/>
                          <w:iCs/>
                          <w:sz w:val="20"/>
                          <w:szCs w:val="20"/>
                        </w:rPr>
                      </w:pPr>
                      <w:r w:rsidRPr="003A044E">
                        <w:rPr>
                          <w:i/>
                          <w:iCs/>
                          <w:sz w:val="20"/>
                          <w:szCs w:val="20"/>
                        </w:rPr>
                        <w:t xml:space="preserve">Initial consent provided for eyes and skin but then changed their mind, no reason given. </w:t>
                      </w:r>
                    </w:p>
                    <w:p w14:paraId="039EBDDA" w14:textId="68D6A911" w:rsidR="008B5518" w:rsidRPr="003A044E" w:rsidRDefault="008B5518" w:rsidP="00BF1092">
                      <w:pPr>
                        <w:jc w:val="both"/>
                        <w:rPr>
                          <w:i/>
                          <w:iCs/>
                          <w:sz w:val="20"/>
                          <w:szCs w:val="20"/>
                        </w:rPr>
                      </w:pPr>
                      <w:r w:rsidRPr="003A044E">
                        <w:rPr>
                          <w:i/>
                          <w:iCs/>
                          <w:sz w:val="20"/>
                          <w:szCs w:val="20"/>
                        </w:rPr>
                        <w:t>Parents consented for all tissues but withdrew consent whilst visiting him in Chapel of rest saying he had 'given enough' and they did not want him to be touched anymore</w:t>
                      </w:r>
                    </w:p>
                    <w:p w14:paraId="34C88295" w14:textId="1E5945BA" w:rsidR="008B5518" w:rsidRDefault="008B5518"/>
                  </w:txbxContent>
                </v:textbox>
                <w10:wrap type="square"/>
              </v:shape>
            </w:pict>
          </mc:Fallback>
        </mc:AlternateContent>
      </w:r>
      <w:r w:rsidRPr="007D7E92">
        <w:rPr>
          <w:rFonts w:asciiTheme="majorHAnsi" w:hAnsiTheme="majorHAnsi" w:cstheme="majorHAnsi"/>
          <w:i/>
          <w:sz w:val="20"/>
          <w:szCs w:val="20"/>
        </w:rPr>
        <w:t>T</w:t>
      </w:r>
      <w:r w:rsidRPr="007D7E92">
        <w:rPr>
          <w:rFonts w:ascii="Calibri Light" w:hAnsi="Calibri Light" w:cs="Calibri Light"/>
          <w:i/>
          <w:sz w:val="20"/>
          <w:szCs w:val="20"/>
        </w:rPr>
        <w:t xml:space="preserve">extbox </w:t>
      </w:r>
      <w:r w:rsidR="005817B0">
        <w:rPr>
          <w:rFonts w:ascii="Calibri Light" w:hAnsi="Calibri Light" w:cs="Calibri Light"/>
          <w:i/>
          <w:sz w:val="20"/>
          <w:szCs w:val="20"/>
        </w:rPr>
        <w:t>4</w:t>
      </w:r>
      <w:r w:rsidRPr="007D7E92">
        <w:rPr>
          <w:rFonts w:ascii="Calibri Light" w:hAnsi="Calibri Light" w:cs="Calibri Light"/>
          <w:i/>
          <w:sz w:val="20"/>
          <w:szCs w:val="20"/>
        </w:rPr>
        <w:t>. Re</w:t>
      </w:r>
      <w:r w:rsidR="005420E7">
        <w:rPr>
          <w:rFonts w:ascii="Calibri Light" w:hAnsi="Calibri Light" w:cs="Calibri Light"/>
          <w:i/>
          <w:sz w:val="20"/>
          <w:szCs w:val="20"/>
        </w:rPr>
        <w:t>corded</w:t>
      </w:r>
      <w:r w:rsidRPr="007D7E92">
        <w:rPr>
          <w:rFonts w:ascii="Calibri Light" w:hAnsi="Calibri Light" w:cs="Calibri Light"/>
          <w:i/>
          <w:sz w:val="20"/>
          <w:szCs w:val="20"/>
        </w:rPr>
        <w:t xml:space="preserve"> family comments </w:t>
      </w:r>
      <w:r w:rsidR="00364561">
        <w:rPr>
          <w:rFonts w:ascii="Calibri Light" w:hAnsi="Calibri Light" w:cs="Calibri Light"/>
          <w:i/>
          <w:sz w:val="20"/>
          <w:szCs w:val="20"/>
        </w:rPr>
        <w:t>relating to a change in decision to donate eyes.</w:t>
      </w:r>
    </w:p>
    <w:p w14:paraId="41BF4EBE" w14:textId="3F003C88" w:rsidR="00A8478E" w:rsidRDefault="00A8478E" w:rsidP="008964C2">
      <w:pPr>
        <w:ind w:left="720"/>
        <w:jc w:val="both"/>
        <w:rPr>
          <w:i/>
          <w:iCs/>
        </w:rPr>
      </w:pPr>
    </w:p>
    <w:p w14:paraId="78B39AAA" w14:textId="72EC7643" w:rsidR="00D92616" w:rsidRDefault="00D92616" w:rsidP="00895025">
      <w:pPr>
        <w:spacing w:line="360" w:lineRule="auto"/>
        <w:jc w:val="both"/>
      </w:pPr>
    </w:p>
    <w:p w14:paraId="54650F01" w14:textId="563F5EA2" w:rsidR="00427820" w:rsidRDefault="00427820" w:rsidP="00895025">
      <w:pPr>
        <w:spacing w:line="360" w:lineRule="auto"/>
        <w:jc w:val="both"/>
      </w:pPr>
    </w:p>
    <w:p w14:paraId="581E554D" w14:textId="4A02AA83" w:rsidR="00E4557A" w:rsidRDefault="00E4557A" w:rsidP="00895025">
      <w:pPr>
        <w:spacing w:line="360" w:lineRule="auto"/>
        <w:jc w:val="both"/>
      </w:pPr>
    </w:p>
    <w:p w14:paraId="6354496A" w14:textId="732E059A" w:rsidR="00E7202B" w:rsidRDefault="00E7202B" w:rsidP="00895025">
      <w:pPr>
        <w:spacing w:line="360" w:lineRule="auto"/>
        <w:jc w:val="both"/>
      </w:pPr>
    </w:p>
    <w:p w14:paraId="4799CB13" w14:textId="54B82354" w:rsidR="00E7202B" w:rsidRDefault="00E7202B" w:rsidP="00895025">
      <w:pPr>
        <w:spacing w:line="360" w:lineRule="auto"/>
        <w:jc w:val="both"/>
      </w:pPr>
    </w:p>
    <w:p w14:paraId="705E73C3" w14:textId="229B6C02" w:rsidR="007355C9" w:rsidRPr="00493744" w:rsidRDefault="007355C9" w:rsidP="007355C9">
      <w:pPr>
        <w:keepNext/>
        <w:keepLines/>
        <w:spacing w:before="240" w:after="0" w:line="360" w:lineRule="auto"/>
        <w:outlineLvl w:val="0"/>
        <w:rPr>
          <w:rFonts w:asciiTheme="majorHAnsi" w:eastAsiaTheme="majorEastAsia" w:hAnsiTheme="majorHAnsi" w:cstheme="majorHAnsi"/>
          <w:b/>
        </w:rPr>
      </w:pPr>
      <w:r w:rsidRPr="00493744">
        <w:rPr>
          <w:rFonts w:asciiTheme="majorHAnsi" w:eastAsiaTheme="majorEastAsia" w:hAnsiTheme="majorHAnsi" w:cstheme="majorHAnsi"/>
          <w:b/>
        </w:rPr>
        <w:t>Discussion</w:t>
      </w:r>
    </w:p>
    <w:p w14:paraId="728BF2C7" w14:textId="1CE26E49" w:rsidR="007355C9" w:rsidRPr="00E22A32" w:rsidRDefault="007355C9" w:rsidP="007355C9">
      <w:pPr>
        <w:spacing w:line="360" w:lineRule="auto"/>
        <w:jc w:val="both"/>
        <w:rPr>
          <w:rFonts w:ascii="Calibri" w:hAnsi="Calibri" w:cs="Calibri"/>
        </w:rPr>
      </w:pPr>
      <w:r w:rsidRPr="00E22A32">
        <w:rPr>
          <w:rFonts w:ascii="Calibri" w:hAnsi="Calibri" w:cs="Calibri"/>
        </w:rPr>
        <w:t>The data presented in this study indicate that the main reason for non-procurement of eye tissue from</w:t>
      </w:r>
      <w:r w:rsidR="00A768CA">
        <w:rPr>
          <w:rFonts w:ascii="Calibri" w:hAnsi="Calibri" w:cs="Calibri"/>
        </w:rPr>
        <w:t xml:space="preserve"> potential</w:t>
      </w:r>
      <w:r w:rsidRPr="00E22A32">
        <w:rPr>
          <w:rFonts w:ascii="Calibri" w:hAnsi="Calibri" w:cs="Calibri"/>
        </w:rPr>
        <w:t xml:space="preserve"> solid organ donors in the UK is the decline of this option by bereaved family members. One thousand, three hundred and thirty-nine approaches for eye donation resulted in family decline, despite this being a valid donation option over the time period of data collection. Therefore, potentially, over 2,000 eyes did not become available for use in transplant operations and research into eye diseases resulting in loss of sight due to family decline. </w:t>
      </w:r>
    </w:p>
    <w:p w14:paraId="7DEDAEB4" w14:textId="11B1A734" w:rsidR="007355C9" w:rsidRPr="00E22A32" w:rsidRDefault="007355C9" w:rsidP="007355C9">
      <w:pPr>
        <w:spacing w:line="360" w:lineRule="auto"/>
        <w:jc w:val="both"/>
        <w:rPr>
          <w:rFonts w:ascii="Calibri" w:hAnsi="Calibri" w:cs="Calibri"/>
        </w:rPr>
      </w:pPr>
      <w:r w:rsidRPr="00E22A32">
        <w:rPr>
          <w:rFonts w:ascii="Calibri" w:hAnsi="Calibri" w:cs="Calibri"/>
        </w:rPr>
        <w:t xml:space="preserve">This picture of potential donor eyes not becoming available in the context of solid organ donation is reflected in the global literature, with authors in the USA reporting that of 10,000 potential solid organ donors where a consent rate of 47% for organ donation was achieved, only 24% eye donation consent rate was achieved </w:t>
      </w:r>
      <w:r w:rsidR="00711E2D">
        <w:rPr>
          <w:rFonts w:ascii="Calibri" w:hAnsi="Calibri" w:cs="Calibri"/>
        </w:rPr>
        <w:fldChar w:fldCharType="begin" w:fldLock="1"/>
      </w:r>
      <w:r w:rsidR="004F199F">
        <w:rPr>
          <w:rFonts w:ascii="Calibri" w:hAnsi="Calibri" w:cs="Calibri"/>
        </w:rPr>
        <w:instrText>ADDIN CSL_CITATION {"citationItems":[{"id":"ITEM-1","itemData":{"DOI":"10.1034/j.1399-0012.2001.150107.x","ISSN":"09020063","PMID":"11168314","abstract":"Objective: To identify those factors that enhance or inhibit organ donation in order to provide data to help policy makers, hospital administrators and transplantation professionals make informed choices about how to modify the donor system and to structure 'best practice' interventions. Summary of background data: Legislative efforts to increase donation rates have not been successful. An emphasis on process is needed to help explain this. Methods: The study was conducted using a stratified random sample of 23 hospitals in the Pittsburgh and Minneapolis/St Paul standard statistical metropolitan areas. Each week, the medical charts of all in-patient and emergency room patient deaths at each hospital were reviewed using a standardized review protocol to determine eligibility for organ, tissue, and cornea donation. A total of 10681 patient charts were reviewed over a 4-yr period. Eight hundred and twenty-eight cases out of 1723 eligible cases were selected for inclusion in the study. Data were collected on 827 of these cases. All health care providers (HCPs) who spoke with the family after the patient's death or discussed donation with the family were interviewed. Results: Of the 10681 patient charts reviewed, 16.5% were eligible to donate either organs, tissues, or corneas, and 87.0% of donor-eligible patients' families were approached and asked to donate. Consent rates were 23.5% for corneas, 34.5% for tissues, and 46.5% for organ donation. Multiple logistic regression demonstrated that the best and strongest predictor of donation decisions was the family's initial response to the donation request, as reported by the HCP. Three initial response groups are examined and compared. Those families who expressed an initially favorable reaction were most likely to agree to donation. Furthermore, discussion patterns differed by initial reaction group, with families who expressed initial indecision about donation sharing more characteristics with families who were not favorable than those who were favorable. More detailed information was provided to the favorable families, as compared to the other two groups, concerning the effect of donation on funeral arrangements and costs. Families who were favorable were also more likely to meet with an organ procurement organization representative than were other families. The strongest predictor of a family's unfavorable response to a donation request was the belief that the patient would have been against donation. A num…","author":[{"dropping-particle":"","family":"Siminoff","given":"Laura A.","non-dropping-particle":"","parse-names":false,"suffix":""},{"dropping-particle":"","family":"Arnold","given":"Robert M.","non-dropping-particle":"","parse-names":false,"suffix":""},{"dropping-particle":"","family":"Hewlett","given":"Joan","non-dropping-particle":"","parse-names":false,"suffix":""}],"container-title":"Clinical Transplantation","id":"ITEM-1","issue":"1","issued":{"date-parts":[["2001"]]},"page":"39-47","title":"The process of organ donation and its effect on consent","type":"article-journal","volume":"15"},"uris":["http://www.mendeley.com/documents/?uuid=ff2820c5-fda7-4926-b783-44426d7ab9a0"]}],"mendeley":{"formattedCitation":"[18]","plainTextFormattedCitation":"[18]","previouslyFormattedCitation":"[18]"},"properties":{"noteIndex":0},"schema":"https://github.com/citation-style-language/schema/raw/master/csl-citation.json"}</w:instrText>
      </w:r>
      <w:r w:rsidR="00711E2D">
        <w:rPr>
          <w:rFonts w:ascii="Calibri" w:hAnsi="Calibri" w:cs="Calibri"/>
        </w:rPr>
        <w:fldChar w:fldCharType="separate"/>
      </w:r>
      <w:r w:rsidR="004F199F" w:rsidRPr="004F199F">
        <w:rPr>
          <w:rFonts w:ascii="Calibri" w:hAnsi="Calibri" w:cs="Calibri"/>
          <w:noProof/>
        </w:rPr>
        <w:t>[18]</w:t>
      </w:r>
      <w:r w:rsidR="00711E2D">
        <w:rPr>
          <w:rFonts w:ascii="Calibri" w:hAnsi="Calibri" w:cs="Calibri"/>
        </w:rPr>
        <w:fldChar w:fldCharType="end"/>
      </w:r>
      <w:r w:rsidR="00A768CA">
        <w:rPr>
          <w:rFonts w:ascii="Calibri" w:hAnsi="Calibri" w:cs="Calibri"/>
        </w:rPr>
        <w:t>.</w:t>
      </w:r>
      <w:r w:rsidRPr="00E22A32">
        <w:rPr>
          <w:rFonts w:ascii="Calibri" w:hAnsi="Calibri" w:cs="Calibri"/>
        </w:rPr>
        <w:t xml:space="preserve"> </w:t>
      </w:r>
      <w:r w:rsidR="00A768CA">
        <w:rPr>
          <w:rFonts w:ascii="Calibri" w:hAnsi="Calibri" w:cs="Calibri"/>
        </w:rPr>
        <w:t>R</w:t>
      </w:r>
      <w:r w:rsidRPr="00E22A32">
        <w:rPr>
          <w:rFonts w:ascii="Calibri" w:hAnsi="Calibri" w:cs="Calibri"/>
        </w:rPr>
        <w:t xml:space="preserve">eporting data from a survey carried out with 371 individuals renewing their driving licence in Sydney Australia, </w:t>
      </w:r>
      <w:r w:rsidR="00A768CA">
        <w:rPr>
          <w:rFonts w:ascii="Calibri" w:hAnsi="Calibri" w:cs="Calibri"/>
        </w:rPr>
        <w:t xml:space="preserve">authors </w:t>
      </w:r>
      <w:r w:rsidRPr="00E22A32">
        <w:rPr>
          <w:rFonts w:ascii="Calibri" w:hAnsi="Calibri" w:cs="Calibri"/>
        </w:rPr>
        <w:t>indicated that of 369 participants who responded to questions related to willingness to donate corneas</w:t>
      </w:r>
      <w:r w:rsidR="00A768CA">
        <w:rPr>
          <w:rFonts w:ascii="Calibri" w:hAnsi="Calibri" w:cs="Calibri"/>
        </w:rPr>
        <w:t>,</w:t>
      </w:r>
      <w:r w:rsidRPr="00E22A32">
        <w:rPr>
          <w:rFonts w:ascii="Calibri" w:hAnsi="Calibri" w:cs="Calibri"/>
        </w:rPr>
        <w:t xml:space="preserve"> 153 (41%) indicated that they would not</w:t>
      </w:r>
      <w:r w:rsidR="00A354B8">
        <w:rPr>
          <w:rFonts w:ascii="Calibri" w:hAnsi="Calibri" w:cs="Calibri"/>
        </w:rPr>
        <w:t xml:space="preserve"> </w:t>
      </w:r>
      <w:r w:rsidR="00A354B8">
        <w:rPr>
          <w:rFonts w:ascii="Calibri" w:hAnsi="Calibri" w:cs="Calibri"/>
        </w:rPr>
        <w:fldChar w:fldCharType="begin" w:fldLock="1"/>
      </w:r>
      <w:r w:rsidR="004F199F">
        <w:rPr>
          <w:rFonts w:ascii="Calibri" w:hAnsi="Calibri" w:cs="Calibri"/>
        </w:rPr>
        <w:instrText>ADDIN CSL_CITATION {"citationItems":[{"id":"ITEM-1","itemData":{"DOI":"10.1111/j.1600-6143.2009.02986.x","ISSN":"16006143","abstract":"Although willingness, attitudes and beliefs surrounding solid-organ donation have been extensively investigated, much less is known about corneal donation. Despite evidence that a substantial number of families who agree to multiorgan donation also specifically refuse corneal donation, it is unclear why this occurs and what can be done to increase rates of corneal donation. We conducted a survey of 371 Australian adults regarding their views on corneal donation. Although willingness to donate corneas generally reflected a person's willingness to donate all of one's organs, unwillingness to donate corneas appeared to be due to other factors. Specifically, decisions not to donate appear to be driven by a range of concerns surrounding disfigurement. The survey also provides eye banks with reassurance about the acceptability of whole globe procurement, and recognition that research into blindness is a highly valued part of corneal donation. Finally, the survey identifies that many individuals see benefit in having their family engaged in the decision-making process, suggesting that decisions about donation are more complex than a simple appeal to the autonomy of the deceased. © 2010 The American Society of Transplantation and the American Society of Transplant Surgeons.","author":[{"dropping-particle":"","family":"Lawlor","given":"M.","non-dropping-particle":"","parse-names":false,"suffix":""},{"dropping-particle":"","family":"Kerridge","given":"I.","non-dropping-particle":"","parse-names":false,"suffix":""},{"dropping-particle":"","family":"Ankeny","given":"R.","non-dropping-particle":"","parse-names":false,"suffix":""},{"dropping-particle":"","family":"Dobbins","given":"T. A.","non-dropping-particle":"","parse-names":false,"suffix":""},{"dropping-particle":"","family":"Billson","given":"F.","non-dropping-particle":"","parse-names":false,"suffix":""}],"container-title":"American Journal of Transplantation","id":"ITEM-1","issue":"3","issued":{"date-parts":[["2010"]]},"page":"657-663","title":"Specific unwillingness to donate eyes: The impact of disfigurement, knowledge and procurement on corneal donation","type":"article","volume":"10"},"uris":["http://www.mendeley.com/documents/?uuid=0ae17e44-50af-438c-9339-e1ce27515f34"]}],"mendeley":{"formattedCitation":"[19]","plainTextFormattedCitation":"[19]","previouslyFormattedCitation":"[19]"},"properties":{"noteIndex":0},"schema":"https://github.com/citation-style-language/schema/raw/master/csl-citation.json"}</w:instrText>
      </w:r>
      <w:r w:rsidR="00A354B8">
        <w:rPr>
          <w:rFonts w:ascii="Calibri" w:hAnsi="Calibri" w:cs="Calibri"/>
        </w:rPr>
        <w:fldChar w:fldCharType="separate"/>
      </w:r>
      <w:r w:rsidR="004F199F" w:rsidRPr="004F199F">
        <w:rPr>
          <w:rFonts w:ascii="Calibri" w:hAnsi="Calibri" w:cs="Calibri"/>
          <w:noProof/>
        </w:rPr>
        <w:t>[19]</w:t>
      </w:r>
      <w:r w:rsidR="00A354B8">
        <w:rPr>
          <w:rFonts w:ascii="Calibri" w:hAnsi="Calibri" w:cs="Calibri"/>
        </w:rPr>
        <w:fldChar w:fldCharType="end"/>
      </w:r>
      <w:r w:rsidRPr="00E22A32">
        <w:rPr>
          <w:rFonts w:ascii="Calibri" w:hAnsi="Calibri" w:cs="Calibri"/>
        </w:rPr>
        <w:t>. This reluctance for eye donation is not just reflected in Western contexts (e.g. Europe, North America, Australasia)</w:t>
      </w:r>
      <w:r w:rsidR="008B20FB">
        <w:rPr>
          <w:rFonts w:ascii="Calibri" w:hAnsi="Calibri" w:cs="Calibri"/>
        </w:rPr>
        <w:t>: for example,</w:t>
      </w:r>
      <w:r w:rsidRPr="00E22A32">
        <w:rPr>
          <w:rFonts w:ascii="Calibri" w:hAnsi="Calibri" w:cs="Calibri"/>
        </w:rPr>
        <w:t xml:space="preserve"> Acharya et al. (2019) surveyed 407 bereaved </w:t>
      </w:r>
      <w:proofErr w:type="spellStart"/>
      <w:r w:rsidRPr="00E22A32">
        <w:rPr>
          <w:rFonts w:ascii="Calibri" w:hAnsi="Calibri" w:cs="Calibri"/>
        </w:rPr>
        <w:t>NoK</w:t>
      </w:r>
      <w:proofErr w:type="spellEnd"/>
      <w:r w:rsidRPr="00E22A32">
        <w:rPr>
          <w:rFonts w:ascii="Calibri" w:hAnsi="Calibri" w:cs="Calibri"/>
        </w:rPr>
        <w:t xml:space="preserve"> of potential eye donors in De</w:t>
      </w:r>
      <w:r w:rsidR="008D2779">
        <w:rPr>
          <w:rFonts w:ascii="Calibri" w:hAnsi="Calibri" w:cs="Calibri"/>
        </w:rPr>
        <w:t>lhi</w:t>
      </w:r>
      <w:r w:rsidRPr="00E22A32">
        <w:rPr>
          <w:rFonts w:ascii="Calibri" w:hAnsi="Calibri" w:cs="Calibri"/>
        </w:rPr>
        <w:t xml:space="preserve"> (India), reporting that the majority 239 (59%) of </w:t>
      </w:r>
      <w:proofErr w:type="spellStart"/>
      <w:r w:rsidRPr="00E22A32">
        <w:rPr>
          <w:rFonts w:ascii="Calibri" w:hAnsi="Calibri" w:cs="Calibri"/>
        </w:rPr>
        <w:t>NoK</w:t>
      </w:r>
      <w:proofErr w:type="spellEnd"/>
      <w:r w:rsidRPr="00E22A32">
        <w:rPr>
          <w:rFonts w:ascii="Calibri" w:hAnsi="Calibri" w:cs="Calibri"/>
        </w:rPr>
        <w:t xml:space="preserve"> would decline eye donation</w:t>
      </w:r>
      <w:r w:rsidR="008B20FB">
        <w:rPr>
          <w:rFonts w:ascii="Calibri" w:hAnsi="Calibri" w:cs="Calibri"/>
        </w:rPr>
        <w:t xml:space="preserve"> </w:t>
      </w:r>
      <w:r w:rsidR="008B20FB">
        <w:rPr>
          <w:rFonts w:ascii="Calibri" w:hAnsi="Calibri" w:cs="Calibri"/>
        </w:rPr>
        <w:fldChar w:fldCharType="begin" w:fldLock="1"/>
      </w:r>
      <w:r w:rsidR="004F199F">
        <w:rPr>
          <w:rFonts w:ascii="Calibri" w:hAnsi="Calibri" w:cs="Calibri"/>
        </w:rPr>
        <w:instrText>ADDIN CSL_CITATION {"citationItems":[{"id":"ITEM-1","itemData":{"DOI":"10.4103/ijo.IJO_2151_18","ISSN":"0301-4738","author":[{"dropping-particle":"","family":"Acharya","given":"Manisha","non-dropping-particle":"","parse-names":false,"suffix":""},{"dropping-particle":"","family":"Farooqui","given":"JavedHussain","non-dropping-particle":"","parse-names":false,"suffix":""},{"dropping-particle":"","family":"Dave","given":"Abhishek","non-dropping-particle":"","parse-names":false,"suffix":""},{"dropping-particle":"","family":"Chaku","given":"Deepali","non-dropping-particle":"","parse-names":false,"suffix":""},{"dropping-particle":"","family":"Ganguly","given":"KK","non-dropping-particle":"","parse-names":false,"suffix":""},{"dropping-particle":"","family":"Das","given":"Animesh","non-dropping-particle":"","parse-names":false,"suffix":""},{"dropping-particle":"","family":"Mathur","given":"Umang","non-dropping-particle":"","parse-names":false,"suffix":""}],"container-title":"Indian Journal of Ophthalmology","id":"ITEM-1","issue":"10","issued":{"date-parts":[["2019"]]},"page":"1570","title":"Eye donation in north India: Trends, awareness, influences and barriers","type":"article-journal","volume":"67"},"uris":["http://www.mendeley.com/documents/?uuid=02490f54-e2b2-4359-9938-cff342fc0ed1"]}],"mendeley":{"formattedCitation":"[20]","plainTextFormattedCitation":"[20]","previouslyFormattedCitation":"[20]"},"properties":{"noteIndex":0},"schema":"https://github.com/citation-style-language/schema/raw/master/csl-citation.json"}</w:instrText>
      </w:r>
      <w:r w:rsidR="008B20FB">
        <w:rPr>
          <w:rFonts w:ascii="Calibri" w:hAnsi="Calibri" w:cs="Calibri"/>
        </w:rPr>
        <w:fldChar w:fldCharType="separate"/>
      </w:r>
      <w:r w:rsidR="004F199F" w:rsidRPr="004F199F">
        <w:rPr>
          <w:rFonts w:ascii="Calibri" w:hAnsi="Calibri" w:cs="Calibri"/>
          <w:noProof/>
        </w:rPr>
        <w:t>[20]</w:t>
      </w:r>
      <w:r w:rsidR="008B20FB">
        <w:rPr>
          <w:rFonts w:ascii="Calibri" w:hAnsi="Calibri" w:cs="Calibri"/>
        </w:rPr>
        <w:fldChar w:fldCharType="end"/>
      </w:r>
      <w:r w:rsidRPr="00E22A32">
        <w:rPr>
          <w:rFonts w:ascii="Calibri" w:hAnsi="Calibri" w:cs="Calibri"/>
        </w:rPr>
        <w:t>. Commentary from all three papers highlight concerns regarding disfigurement, discomfort with the thought of eye removal, and spiritual/atheistic links to the eyes.</w:t>
      </w:r>
    </w:p>
    <w:p w14:paraId="22543DAE" w14:textId="6768404B" w:rsidR="007355C9" w:rsidRPr="00E22A32" w:rsidRDefault="007355C9" w:rsidP="007355C9">
      <w:pPr>
        <w:spacing w:line="360" w:lineRule="auto"/>
        <w:jc w:val="both"/>
        <w:rPr>
          <w:rFonts w:ascii="Calibri" w:hAnsi="Calibri" w:cs="Calibri"/>
        </w:rPr>
      </w:pPr>
      <w:r w:rsidRPr="00E22A32">
        <w:rPr>
          <w:rFonts w:ascii="Calibri" w:hAnsi="Calibri" w:cs="Calibri"/>
        </w:rPr>
        <w:t xml:space="preserve">The comments illustrated in textboxes </w:t>
      </w:r>
      <w:r w:rsidR="00C02041">
        <w:rPr>
          <w:rFonts w:ascii="Calibri" w:hAnsi="Calibri" w:cs="Calibri"/>
        </w:rPr>
        <w:t>1</w:t>
      </w:r>
      <w:r w:rsidRPr="00E22A32">
        <w:rPr>
          <w:rFonts w:ascii="Calibri" w:hAnsi="Calibri" w:cs="Calibri"/>
        </w:rPr>
        <w:t xml:space="preserve">-4 support the findings from international literature, that personal attitudes to and beliefs about the propriety of eye donation are influential in shaping negative orientations toward this option and thus to decline of donation when it is raised with </w:t>
      </w:r>
      <w:proofErr w:type="spellStart"/>
      <w:r w:rsidRPr="00E22A32">
        <w:rPr>
          <w:rFonts w:ascii="Calibri" w:hAnsi="Calibri" w:cs="Calibri"/>
        </w:rPr>
        <w:t>NoK</w:t>
      </w:r>
      <w:proofErr w:type="spellEnd"/>
      <w:r w:rsidRPr="00E22A32">
        <w:rPr>
          <w:rFonts w:ascii="Calibri" w:hAnsi="Calibri" w:cs="Calibri"/>
        </w:rPr>
        <w:t xml:space="preserve">. </w:t>
      </w:r>
    </w:p>
    <w:p w14:paraId="14CF13A8" w14:textId="77777777" w:rsidR="007355C9" w:rsidRPr="00493744" w:rsidRDefault="007355C9" w:rsidP="007355C9">
      <w:pPr>
        <w:spacing w:line="360" w:lineRule="auto"/>
        <w:jc w:val="both"/>
        <w:rPr>
          <w:rFonts w:asciiTheme="majorHAnsi" w:hAnsiTheme="majorHAnsi" w:cstheme="majorHAnsi"/>
          <w:i/>
          <w:iCs/>
        </w:rPr>
      </w:pPr>
      <w:r w:rsidRPr="00493744">
        <w:rPr>
          <w:rFonts w:asciiTheme="majorHAnsi" w:hAnsiTheme="majorHAnsi" w:cstheme="majorHAnsi"/>
          <w:i/>
          <w:iCs/>
        </w:rPr>
        <w:t xml:space="preserve">How can we understand these reactions? </w:t>
      </w:r>
    </w:p>
    <w:p w14:paraId="6731C688" w14:textId="25776540" w:rsidR="007355C9" w:rsidRPr="007355C9" w:rsidRDefault="007355C9" w:rsidP="007355C9">
      <w:pPr>
        <w:spacing w:line="360" w:lineRule="auto"/>
        <w:jc w:val="both"/>
      </w:pPr>
      <w:r w:rsidRPr="007355C9">
        <w:t>Concerns with, and negative reactions to the option of eye donation, as well as the critical shortage of eye tissue for use in transplant operations and research, are persistent and pervasive in the UK and across many other parts of the world</w:t>
      </w:r>
      <w:r w:rsidR="008B20FB">
        <w:t>.</w:t>
      </w:r>
      <w:r>
        <w:t xml:space="preserve"> </w:t>
      </w:r>
      <w:r w:rsidR="008B20FB">
        <w:t>T</w:t>
      </w:r>
      <w:r>
        <w:t>herefore</w:t>
      </w:r>
      <w:r w:rsidR="008B20FB">
        <w:t>,</w:t>
      </w:r>
      <w:r>
        <w:t xml:space="preserve"> we will</w:t>
      </w:r>
      <w:r w:rsidRPr="007355C9">
        <w:t xml:space="preserve"> now discuss these factors </w:t>
      </w:r>
      <w:proofErr w:type="gramStart"/>
      <w:r w:rsidRPr="007355C9">
        <w:t>in light of</w:t>
      </w:r>
      <w:proofErr w:type="gramEnd"/>
      <w:r w:rsidRPr="007355C9">
        <w:t xml:space="preserve"> theoretical work aimed at illuminating </w:t>
      </w:r>
      <w:r w:rsidR="00213A00">
        <w:t xml:space="preserve">factors underpinning </w:t>
      </w:r>
      <w:r w:rsidRPr="007355C9">
        <w:t xml:space="preserve">these outcomes. The discussion will look at theories developed from social cognitive psychology, which outline general concepts influencing behaviour, and more </w:t>
      </w:r>
      <w:r w:rsidR="008B20FB">
        <w:t>specific</w:t>
      </w:r>
      <w:r w:rsidRPr="007355C9">
        <w:t xml:space="preserve"> theories/models focussed on psychological concepts that propose explanations for the reactions reported both in th</w:t>
      </w:r>
      <w:r w:rsidR="00DB73FA">
        <w:t>ese</w:t>
      </w:r>
      <w:r w:rsidRPr="007355C9">
        <w:t xml:space="preserve"> data and the wider global literature. Whilst an exhaustive review of relevant theory is not possible in this paper, we focus on application of key findings and thinking to the national recorded data </w:t>
      </w:r>
      <w:r w:rsidR="00DB73FA">
        <w:t xml:space="preserve">analysed here </w:t>
      </w:r>
      <w:r w:rsidRPr="007355C9">
        <w:t xml:space="preserve">with the aim of: I) making recommendations to guide communication with patients, carers or other </w:t>
      </w:r>
      <w:proofErr w:type="spellStart"/>
      <w:r w:rsidRPr="007355C9">
        <w:t>NoK</w:t>
      </w:r>
      <w:proofErr w:type="spellEnd"/>
      <w:r w:rsidRPr="007355C9">
        <w:t xml:space="preserve"> when making an approach regarding the option of eye donation; II) stimulating thinking on communications strategy (e.g. future publicity and campaigns) by organisations responsible for securing a reliable and sufficient supply of eye tissue.   </w:t>
      </w:r>
    </w:p>
    <w:p w14:paraId="72528E08" w14:textId="77777777" w:rsidR="007355C9" w:rsidRPr="007355C9" w:rsidRDefault="007355C9" w:rsidP="007355C9">
      <w:pPr>
        <w:spacing w:line="360" w:lineRule="auto"/>
        <w:jc w:val="both"/>
        <w:rPr>
          <w:rFonts w:asciiTheme="majorHAnsi" w:hAnsiTheme="majorHAnsi" w:cstheme="majorHAnsi"/>
          <w:i/>
          <w:iCs/>
        </w:rPr>
      </w:pPr>
      <w:r w:rsidRPr="007355C9">
        <w:rPr>
          <w:rFonts w:asciiTheme="majorHAnsi" w:hAnsiTheme="majorHAnsi" w:cstheme="majorHAnsi"/>
          <w:i/>
          <w:iCs/>
        </w:rPr>
        <w:t>Social Cognitive models</w:t>
      </w:r>
    </w:p>
    <w:p w14:paraId="641FBA92" w14:textId="233B410C" w:rsidR="007355C9" w:rsidRPr="00493744" w:rsidRDefault="007355C9" w:rsidP="007355C9">
      <w:pPr>
        <w:spacing w:line="360" w:lineRule="auto"/>
        <w:jc w:val="both"/>
        <w:rPr>
          <w:rFonts w:ascii="Calibri" w:hAnsi="Calibri" w:cs="Calibri"/>
        </w:rPr>
      </w:pPr>
      <w:r w:rsidRPr="00493744">
        <w:rPr>
          <w:rFonts w:ascii="Calibri" w:hAnsi="Calibri" w:cs="Calibri"/>
        </w:rPr>
        <w:t xml:space="preserve">Most early studies exploring factors </w:t>
      </w:r>
      <w:r w:rsidR="008B20FB">
        <w:rPr>
          <w:rFonts w:ascii="Calibri" w:hAnsi="Calibri" w:cs="Calibri"/>
        </w:rPr>
        <w:t>influencing</w:t>
      </w:r>
      <w:r w:rsidRPr="00493744">
        <w:rPr>
          <w:rFonts w:ascii="Calibri" w:hAnsi="Calibri" w:cs="Calibri"/>
        </w:rPr>
        <w:t xml:space="preserve"> individual donation decision making applied concepts laid out in social-cognitive models such as the Theory of Reasoned Action (TRA)</w:t>
      </w:r>
      <w:r w:rsidR="004A774A" w:rsidRPr="00493744">
        <w:rPr>
          <w:rFonts w:ascii="Calibri" w:hAnsi="Calibri" w:cs="Calibri"/>
        </w:rPr>
        <w:t xml:space="preserve"> </w:t>
      </w:r>
      <w:r w:rsidR="004A774A" w:rsidRPr="00493744">
        <w:rPr>
          <w:rFonts w:ascii="Calibri" w:hAnsi="Calibri" w:cs="Calibri"/>
        </w:rPr>
        <w:fldChar w:fldCharType="begin" w:fldLock="1"/>
      </w:r>
      <w:r w:rsidR="004F199F">
        <w:rPr>
          <w:rFonts w:ascii="Calibri" w:hAnsi="Calibri" w:cs="Calibri"/>
        </w:rPr>
        <w:instrText>ADDIN CSL_CITATION {"citationItems":[{"id":"ITEM-1","itemData":{"ISBN":"9780201020892","author":[{"dropping-particle":"","family":"Fishbein","given":"M","non-dropping-particle":"","parse-names":false,"suffix":""},{"dropping-particle":"","family":"Ajzen","given":"I","non-dropping-particle":"","parse-names":false,"suffix":""}],"collection-title":"Addison-Wesley series in social psychology","id":"ITEM-1","issued":{"date-parts":[["1975"]]},"publisher":"Addison-Wesley Publishing Company","title":"Belief, Attitude, Intention, and Behavior: An Introduction to Theory and Research","type":"book"},"uris":["http://www.mendeley.com/documents/?uuid=84bfcf64-48a3-4dcf-b3cb-13f100dc91c0"]}],"mendeley":{"formattedCitation":"[21]","plainTextFormattedCitation":"[21]","previouslyFormattedCitation":"[21]"},"properties":{"noteIndex":0},"schema":"https://github.com/citation-style-language/schema/raw/master/csl-citation.json"}</w:instrText>
      </w:r>
      <w:r w:rsidR="004A774A" w:rsidRPr="00493744">
        <w:rPr>
          <w:rFonts w:ascii="Calibri" w:hAnsi="Calibri" w:cs="Calibri"/>
        </w:rPr>
        <w:fldChar w:fldCharType="separate"/>
      </w:r>
      <w:r w:rsidR="004F199F" w:rsidRPr="004F199F">
        <w:rPr>
          <w:rFonts w:ascii="Calibri" w:hAnsi="Calibri" w:cs="Calibri"/>
          <w:noProof/>
        </w:rPr>
        <w:t>[21]</w:t>
      </w:r>
      <w:r w:rsidR="004A774A" w:rsidRPr="00493744">
        <w:rPr>
          <w:rFonts w:ascii="Calibri" w:hAnsi="Calibri" w:cs="Calibri"/>
        </w:rPr>
        <w:fldChar w:fldCharType="end"/>
      </w:r>
      <w:r w:rsidRPr="00493744">
        <w:rPr>
          <w:rFonts w:ascii="Calibri" w:hAnsi="Calibri" w:cs="Calibri"/>
        </w:rPr>
        <w:t xml:space="preserve">  and the Theory of Planned Behaviour (TPB) </w:t>
      </w:r>
      <w:r w:rsidR="00C037C7" w:rsidRPr="00493744">
        <w:rPr>
          <w:rFonts w:ascii="Calibri" w:hAnsi="Calibri" w:cs="Calibri"/>
        </w:rPr>
        <w:fldChar w:fldCharType="begin" w:fldLock="1"/>
      </w:r>
      <w:r w:rsidR="004F199F">
        <w:rPr>
          <w:rFonts w:ascii="Calibri" w:hAnsi="Calibri" w:cs="Calibri"/>
        </w:rPr>
        <w:instrText>ADDIN CSL_CITATION {"citationItems":[{"id":"ITEM-1","itemData":{"abstract":"Research dealing with various aspects of* the theory of planned behavior (Ajzen, 1985, 1987) is reviewed, and some unresolved issues are discussed. In broad terms, the theory is found to be well supported by empirical evidence. Intentions to perform behaviors of different kinds can be predicted with high accuracy from attitudes toward the behavior, subjective norms, and perceived behavioral control; and these intentions, together with perceptions of behavioral control, account for considerable variance in actual behavior. Attitudes, subjective norms, and perceived behavioral control are shown to be related to appropriate sets of salient behavioral, normative, and control beliefs about the behavior, but the exact nature of these relations is still uncertain. Expectancyó value formulations are found to be only partly successful in dealing with these relations. Optimal rescaling of expectancy and value measures is offered as a means of dealing with measurement limitations. Finally, inclusion of past behavior in the prediction equation is shown to provide a means of testing the theory*s sufficiency, another issue that remains unresolved. The limited available evidence concerning this question shows that the theory is predicting behavior quite well in comparison to the ceiling imposed by behavioral reliability.","author":[{"dropping-particle":"","family":"Ajzen","given":"Icek","non-dropping-particle":"","parse-names":false,"suffix":""}],"container-title":"ORGANIZATIONAL BEHAVIOR AND HUMAN DECISION PROCESSES","id":"ITEM-1","issued":{"date-parts":[["1991"]]},"page":"179-211","title":"The Theory of Planned Behavior","type":"article-journal","volume":"50"},"uris":["http://www.mendeley.com/documents/?uuid=3962d86f-f14a-4a87-a299-c1680b252e78"]},{"id":"ITEM-2","itemData":{"DOI":"10.1007/978-3-642-69746-3_2","ISBN":"978-3-642-69746-3","abstract":"There appears to be general agreement among social psychologists that most human behavior is goal-directed (e. g., Heider, 1958 ; Lewin, 1951). Being neither capricious nor frivolous, human social behavior can best be described as following along lines of more or less well-formulated plans. Before attending a concert, for example, a person may extend an invitation to a date, purchase tickets, change into proper attire, call a cab, collect the date, and proceed to the concert hall. Most, if not all, of these activities will have been designed in advance; their execution occurs as the plan unfolds. To be sure, a certain sequence of actions can become so habitual or routine that it is performed almost automatically, as in the case of driving from home to work or playing the piano. Highly developed skills of this kind typically no longer require conscious formulation of a behavioral plan. Nevertheless, at least in general outline, we are normally well aware of the actions required to attain a certain goal. Consider such a relatively routine behavior as typing a letter. When setting this activity as a goal, we anticipate the need to locate a typewriter, insert a sheet of paper, adjust the margins, formulate words and sentences, strike the appropriate keys, and so forth. Some parts of the plan are more routine, and require less conscious thought than others, but without an explicit or implicit plan to guide the required sequence of acts, no letter would get typed.","author":[{"dropping-particle":"","family":"Ajzen","given":"Icek","non-dropping-particle":"","parse-names":false,"suffix":""}],"editor":[{"dropping-particle":"","family":"Kuhl","given":"Julius","non-dropping-particle":"","parse-names":false,"suffix":""},{"dropping-particle":"","family":"Beckmann","given":"Jürgen","non-dropping-particle":"","parse-names":false,"suffix":""}],"id":"ITEM-2","issued":{"date-parts":[["1985"]]},"page":"11-39","publisher":"Springer Berlin Heidelberg","publisher-place":"Berlin, Heidelberg","title":"From Intentions to Actions: A Theory of Planned Behavior BT  - Action Control: From Cognition to Behavior","type":"chapter"},"uris":["http://www.mendeley.com/documents/?uuid=2a144bc2-7e9b-4470-b40f-82e71b1b68de"]}],"mendeley":{"formattedCitation":"[22,23]","plainTextFormattedCitation":"[22,23]","previouslyFormattedCitation":"[22,23]"},"properties":{"noteIndex":0},"schema":"https://github.com/citation-style-language/schema/raw/master/csl-citation.json"}</w:instrText>
      </w:r>
      <w:r w:rsidR="00C037C7" w:rsidRPr="00493744">
        <w:rPr>
          <w:rFonts w:ascii="Calibri" w:hAnsi="Calibri" w:cs="Calibri"/>
        </w:rPr>
        <w:fldChar w:fldCharType="separate"/>
      </w:r>
      <w:r w:rsidR="004F199F" w:rsidRPr="004F199F">
        <w:rPr>
          <w:rFonts w:ascii="Calibri" w:hAnsi="Calibri" w:cs="Calibri"/>
          <w:noProof/>
        </w:rPr>
        <w:t>[22,23]</w:t>
      </w:r>
      <w:r w:rsidR="00C037C7" w:rsidRPr="00493744">
        <w:rPr>
          <w:rFonts w:ascii="Calibri" w:hAnsi="Calibri" w:cs="Calibri"/>
        </w:rPr>
        <w:fldChar w:fldCharType="end"/>
      </w:r>
      <w:r w:rsidRPr="00493744">
        <w:rPr>
          <w:rFonts w:ascii="Calibri" w:hAnsi="Calibri" w:cs="Calibri"/>
        </w:rPr>
        <w:t xml:space="preserve">.  Horton and Horton (1991) developed one of the earliest models proposing that the action of signing or requesting an organ donor card and willingness to donate own, or a deceased loved one’s organs after death was a product of: </w:t>
      </w:r>
      <w:r w:rsidRPr="00493744">
        <w:rPr>
          <w:rFonts w:ascii="Calibri" w:hAnsi="Calibri" w:cs="Calibri"/>
          <w:i/>
        </w:rPr>
        <w:t xml:space="preserve">values, knowledge, attitudes (toward donation), willingness </w:t>
      </w:r>
      <w:r w:rsidRPr="00381F38">
        <w:rPr>
          <w:rFonts w:ascii="Calibri" w:hAnsi="Calibri" w:cs="Calibri"/>
          <w:iCs/>
        </w:rPr>
        <w:t xml:space="preserve">and </w:t>
      </w:r>
      <w:r w:rsidRPr="00493744">
        <w:rPr>
          <w:rFonts w:ascii="Calibri" w:hAnsi="Calibri" w:cs="Calibri"/>
          <w:i/>
        </w:rPr>
        <w:t>action</w:t>
      </w:r>
      <w:r w:rsidR="00C037C7" w:rsidRPr="00493744">
        <w:rPr>
          <w:rFonts w:ascii="Calibri" w:hAnsi="Calibri" w:cs="Calibri"/>
          <w:i/>
        </w:rPr>
        <w:t xml:space="preserve"> </w:t>
      </w:r>
      <w:r w:rsidR="00C037C7" w:rsidRPr="00493744">
        <w:rPr>
          <w:rFonts w:ascii="Calibri" w:hAnsi="Calibri" w:cs="Calibri"/>
          <w:i/>
        </w:rPr>
        <w:fldChar w:fldCharType="begin" w:fldLock="1"/>
      </w:r>
      <w:r w:rsidR="004F199F">
        <w:rPr>
          <w:rFonts w:ascii="Calibri" w:hAnsi="Calibri" w:cs="Calibri"/>
          <w:i/>
        </w:rPr>
        <w:instrText>ADDIN CSL_CITATION {"citationItems":[{"id":"ITEM-1","itemData":{"DOI":"10.1016/0277-9536(91)90009-2","ISSN":"02779536","author":[{"dropping-particle":"","family":"Horton","given":"Raymond L.","non-dropping-particle":"","parse-names":false,"suffix":""},{"dropping-particle":"","family":"Horton","given":"Patricia J.","non-dropping-particle":"","parse-names":false,"suffix":""}],"container-title":"Social Science &amp; Medicine","id":"ITEM-1","issue":"9","issued":{"date-parts":[["1991","1"]]},"page":"1037-1051","title":"A model of willingness to become a potential organ donor","type":"article-journal","volume":"33"},"uris":["http://www.mendeley.com/documents/?uuid=f4174dff-a915-48ee-bbbf-518f33ebbfbd"]}],"mendeley":{"formattedCitation":"[24]","plainTextFormattedCitation":"[24]","previouslyFormattedCitation":"[24]"},"properties":{"noteIndex":0},"schema":"https://github.com/citation-style-language/schema/raw/master/csl-citation.json"}</w:instrText>
      </w:r>
      <w:r w:rsidR="00C037C7" w:rsidRPr="00493744">
        <w:rPr>
          <w:rFonts w:ascii="Calibri" w:hAnsi="Calibri" w:cs="Calibri"/>
          <w:i/>
        </w:rPr>
        <w:fldChar w:fldCharType="separate"/>
      </w:r>
      <w:r w:rsidR="004F199F" w:rsidRPr="004F199F">
        <w:rPr>
          <w:rFonts w:ascii="Calibri" w:hAnsi="Calibri" w:cs="Calibri"/>
          <w:noProof/>
        </w:rPr>
        <w:t>[24]</w:t>
      </w:r>
      <w:r w:rsidR="00C037C7" w:rsidRPr="00493744">
        <w:rPr>
          <w:rFonts w:ascii="Calibri" w:hAnsi="Calibri" w:cs="Calibri"/>
          <w:i/>
        </w:rPr>
        <w:fldChar w:fldCharType="end"/>
      </w:r>
      <w:r w:rsidRPr="00493744">
        <w:rPr>
          <w:rFonts w:ascii="Calibri" w:hAnsi="Calibri" w:cs="Calibri"/>
        </w:rPr>
        <w:t>. Their path analysis and causal modelling study included two cohorts of participants</w:t>
      </w:r>
      <w:r w:rsidR="003351AB">
        <w:rPr>
          <w:rFonts w:ascii="Calibri" w:hAnsi="Calibri" w:cs="Calibri"/>
        </w:rPr>
        <w:t xml:space="preserve">: </w:t>
      </w:r>
      <w:r w:rsidRPr="00493744">
        <w:rPr>
          <w:rFonts w:ascii="Calibri" w:hAnsi="Calibri" w:cs="Calibri"/>
        </w:rPr>
        <w:t>University students (N= 295), and members of the public (N = 465). Whilst establishing that the tested concepts were related to donation decision making, it was also clear from results that there was no linear causal relationship between knowledge, values, attitudes, willingness, and action related to donation behaviours</w:t>
      </w:r>
      <w:r w:rsidR="00C037C7" w:rsidRPr="00493744">
        <w:rPr>
          <w:rFonts w:ascii="Calibri" w:hAnsi="Calibri" w:cs="Calibri"/>
        </w:rPr>
        <w:t xml:space="preserve"> </w:t>
      </w:r>
      <w:r w:rsidR="00C037C7" w:rsidRPr="00493744">
        <w:rPr>
          <w:rFonts w:ascii="Calibri" w:hAnsi="Calibri" w:cs="Calibri"/>
        </w:rPr>
        <w:fldChar w:fldCharType="begin" w:fldLock="1"/>
      </w:r>
      <w:r w:rsidR="004F199F">
        <w:rPr>
          <w:rFonts w:ascii="Calibri" w:hAnsi="Calibri" w:cs="Calibri"/>
        </w:rPr>
        <w:instrText>ADDIN CSL_CITATION {"citationItems":[{"id":"ITEM-1","itemData":{"DOI":"10.1016/0277-9536(91)90009-2","ISSN":"02779536","author":[{"dropping-particle":"","family":"Horton","given":"Raymond L.","non-dropping-particle":"","parse-names":false,"suffix":""},{"dropping-particle":"","family":"Horton","given":"Patricia J.","non-dropping-particle":"","parse-names":false,"suffix":""}],"container-title":"Social Science &amp; Medicine","id":"ITEM-1","issue":"9","issued":{"date-parts":[["1991","1"]]},"page":"1037-1051","title":"A model of willingness to become a potential organ donor","type":"article-journal","volume":"33"},"uris":["http://www.mendeley.com/documents/?uuid=f4174dff-a915-48ee-bbbf-518f33ebbfbd"]}],"mendeley":{"formattedCitation":"[24]","plainTextFormattedCitation":"[24]","previouslyFormattedCitation":"[24]"},"properties":{"noteIndex":0},"schema":"https://github.com/citation-style-language/schema/raw/master/csl-citation.json"}</w:instrText>
      </w:r>
      <w:r w:rsidR="00C037C7" w:rsidRPr="00493744">
        <w:rPr>
          <w:rFonts w:ascii="Calibri" w:hAnsi="Calibri" w:cs="Calibri"/>
        </w:rPr>
        <w:fldChar w:fldCharType="separate"/>
      </w:r>
      <w:r w:rsidR="004F199F" w:rsidRPr="004F199F">
        <w:rPr>
          <w:rFonts w:ascii="Calibri" w:hAnsi="Calibri" w:cs="Calibri"/>
          <w:noProof/>
        </w:rPr>
        <w:t>[24]</w:t>
      </w:r>
      <w:r w:rsidR="00C037C7" w:rsidRPr="00493744">
        <w:rPr>
          <w:rFonts w:ascii="Calibri" w:hAnsi="Calibri" w:cs="Calibri"/>
        </w:rPr>
        <w:fldChar w:fldCharType="end"/>
      </w:r>
      <w:r w:rsidRPr="00493744">
        <w:rPr>
          <w:rFonts w:ascii="Calibri" w:hAnsi="Calibri" w:cs="Calibri"/>
        </w:rPr>
        <w:t>.  Further modelling by Radecki and Jaccard (1999) identifying barriers to sharing donation intentions with legal next of kin supported the general finding that behavioural intention (or willingness) does not predict action</w:t>
      </w:r>
      <w:r w:rsidR="00C037C7" w:rsidRPr="00493744">
        <w:rPr>
          <w:rFonts w:ascii="Calibri" w:hAnsi="Calibri" w:cs="Calibri"/>
        </w:rPr>
        <w:t xml:space="preserve"> </w:t>
      </w:r>
      <w:r w:rsidR="00C037C7" w:rsidRPr="00493744">
        <w:rPr>
          <w:rFonts w:ascii="Calibri" w:hAnsi="Calibri" w:cs="Calibri"/>
        </w:rPr>
        <w:fldChar w:fldCharType="begin" w:fldLock="1"/>
      </w:r>
      <w:r w:rsidR="004F199F">
        <w:rPr>
          <w:rFonts w:ascii="Calibri" w:hAnsi="Calibri" w:cs="Calibri"/>
        </w:rPr>
        <w:instrText>ADDIN CSL_CITATION {"citationItems":[{"id":"ITEM-1","itemData":{"DOI":"10.1111/j.1559-1816.1999.tb00154.x","ISSN":"0021-9029","author":[{"dropping-particle":"","family":"Radecki","given":"Carmen M.","non-dropping-particle":"","parse-names":false,"suffix":""},{"dropping-particle":"","family":"Jaccard","given":"James","non-dropping-particle":"","parse-names":false,"suffix":""}],"container-title":"Journal of Applied Social Psychology","id":"ITEM-1","issue":"9","issued":{"date-parts":[["1999","9"]]},"page":"1833-1853","title":"Signing an Organ Donation Letter: The Prediction of Behavior From Behavioral Intentions1","type":"article-journal","volume":"29"},"uris":["http://www.mendeley.com/documents/?uuid=cedb6fdc-7579-4139-acb7-751fa3308716"]}],"mendeley":{"formattedCitation":"[25]","plainTextFormattedCitation":"[25]","previouslyFormattedCitation":"[25]"},"properties":{"noteIndex":0},"schema":"https://github.com/citation-style-language/schema/raw/master/csl-citation.json"}</w:instrText>
      </w:r>
      <w:r w:rsidR="00C037C7" w:rsidRPr="00493744">
        <w:rPr>
          <w:rFonts w:ascii="Calibri" w:hAnsi="Calibri" w:cs="Calibri"/>
        </w:rPr>
        <w:fldChar w:fldCharType="separate"/>
      </w:r>
      <w:r w:rsidR="004F199F" w:rsidRPr="004F199F">
        <w:rPr>
          <w:rFonts w:ascii="Calibri" w:hAnsi="Calibri" w:cs="Calibri"/>
          <w:noProof/>
        </w:rPr>
        <w:t>[25]</w:t>
      </w:r>
      <w:r w:rsidR="00C037C7" w:rsidRPr="00493744">
        <w:rPr>
          <w:rFonts w:ascii="Calibri" w:hAnsi="Calibri" w:cs="Calibri"/>
        </w:rPr>
        <w:fldChar w:fldCharType="end"/>
      </w:r>
      <w:r w:rsidRPr="00493744">
        <w:rPr>
          <w:rFonts w:ascii="Calibri" w:hAnsi="Calibri" w:cs="Calibri"/>
        </w:rPr>
        <w:t>.</w:t>
      </w:r>
    </w:p>
    <w:p w14:paraId="30456202" w14:textId="1D5D3E1F" w:rsidR="007355C9" w:rsidRPr="00493744" w:rsidRDefault="007355C9" w:rsidP="007355C9">
      <w:pPr>
        <w:spacing w:line="360" w:lineRule="auto"/>
        <w:jc w:val="both"/>
        <w:rPr>
          <w:rFonts w:ascii="Calibri" w:hAnsi="Calibri" w:cs="Calibri"/>
        </w:rPr>
      </w:pPr>
      <w:r w:rsidRPr="00493744">
        <w:rPr>
          <w:rFonts w:ascii="Calibri" w:hAnsi="Calibri" w:cs="Calibri"/>
        </w:rPr>
        <w:t xml:space="preserve">This brief review reminds us that while prior attitudes toward a behaviour are influential, that they do not ‘ensure’ action will follow intention. Models such as TRA </w:t>
      </w:r>
      <w:r w:rsidR="00C037C7" w:rsidRPr="00493744">
        <w:rPr>
          <w:rFonts w:ascii="Calibri" w:hAnsi="Calibri" w:cs="Calibri"/>
        </w:rPr>
        <w:fldChar w:fldCharType="begin" w:fldLock="1"/>
      </w:r>
      <w:r w:rsidR="004F199F">
        <w:rPr>
          <w:rFonts w:ascii="Calibri" w:hAnsi="Calibri" w:cs="Calibri"/>
        </w:rPr>
        <w:instrText>ADDIN CSL_CITATION {"citationItems":[{"id":"ITEM-1","itemData":{"ISBN":"9780201020892","author":[{"dropping-particle":"","family":"Fishbein","given":"M","non-dropping-particle":"","parse-names":false,"suffix":""},{"dropping-particle":"","family":"Ajzen","given":"I","non-dropping-particle":"","parse-names":false,"suffix":""}],"collection-title":"Addison-Wesley series in social psychology","id":"ITEM-1","issued":{"date-parts":[["1975"]]},"publisher":"Addison-Wesley Publishing Company","title":"Belief, Attitude, Intention, and Behavior: An Introduction to Theory and Research","type":"book"},"uris":["http://www.mendeley.com/documents/?uuid=84bfcf64-48a3-4dcf-b3cb-13f100dc91c0"]}],"mendeley":{"formattedCitation":"[21]","plainTextFormattedCitation":"[21]","previouslyFormattedCitation":"[21]"},"properties":{"noteIndex":0},"schema":"https://github.com/citation-style-language/schema/raw/master/csl-citation.json"}</w:instrText>
      </w:r>
      <w:r w:rsidR="00C037C7" w:rsidRPr="00493744">
        <w:rPr>
          <w:rFonts w:ascii="Calibri" w:hAnsi="Calibri" w:cs="Calibri"/>
        </w:rPr>
        <w:fldChar w:fldCharType="separate"/>
      </w:r>
      <w:r w:rsidR="004F199F" w:rsidRPr="004F199F">
        <w:rPr>
          <w:rFonts w:ascii="Calibri" w:hAnsi="Calibri" w:cs="Calibri"/>
          <w:noProof/>
        </w:rPr>
        <w:t>[21]</w:t>
      </w:r>
      <w:r w:rsidR="00C037C7" w:rsidRPr="00493744">
        <w:rPr>
          <w:rFonts w:ascii="Calibri" w:hAnsi="Calibri" w:cs="Calibri"/>
        </w:rPr>
        <w:fldChar w:fldCharType="end"/>
      </w:r>
      <w:r w:rsidRPr="00493744">
        <w:rPr>
          <w:rFonts w:ascii="Calibri" w:hAnsi="Calibri" w:cs="Calibri"/>
        </w:rPr>
        <w:t xml:space="preserve"> and TPB </w:t>
      </w:r>
      <w:r w:rsidR="00C037C7" w:rsidRPr="00493744">
        <w:rPr>
          <w:rFonts w:ascii="Calibri" w:hAnsi="Calibri" w:cs="Calibri"/>
        </w:rPr>
        <w:fldChar w:fldCharType="begin" w:fldLock="1"/>
      </w:r>
      <w:r w:rsidR="004F199F">
        <w:rPr>
          <w:rFonts w:ascii="Calibri" w:hAnsi="Calibri" w:cs="Calibri"/>
        </w:rPr>
        <w:instrText>ADDIN CSL_CITATION {"citationItems":[{"id":"ITEM-1","itemData":{"abstract":"Research dealing with various aspects of* the theory of planned behavior (Ajzen, 1985, 1987) is reviewed, and some unresolved issues are discussed. In broad terms, the theory is found to be well supported by empirical evidence. Intentions to perform behaviors of different kinds can be predicted with high accuracy from attitudes toward the behavior, subjective norms, and perceived behavioral control; and these intentions, together with perceptions of behavioral control, account for considerable variance in actual behavior. Attitudes, subjective norms, and perceived behavioral control are shown to be related to appropriate sets of salient behavioral, normative, and control beliefs about the behavior, but the exact nature of these relations is still uncertain. Expectancyó value formulations are found to be only partly successful in dealing with these relations. Optimal rescaling of expectancy and value measures is offered as a means of dealing with measurement limitations. Finally, inclusion of past behavior in the prediction equation is shown to provide a means of testing the theory*s sufficiency, another issue that remains unresolved. The limited available evidence concerning this question shows that the theory is predicting behavior quite well in comparison to the ceiling imposed by behavioral reliability.","author":[{"dropping-particle":"","family":"Ajzen","given":"Icek","non-dropping-particle":"","parse-names":false,"suffix":""}],"container-title":"ORGANIZATIONAL BEHAVIOR AND HUMAN DECISION PROCESSES","id":"ITEM-1","issued":{"date-parts":[["1991"]]},"page":"179-211","title":"The Theory of Planned Behavior","type":"article-journal","volume":"50"},"uris":["http://www.mendeley.com/documents/?uuid=3962d86f-f14a-4a87-a299-c1680b252e78"]},{"id":"ITEM-2","itemData":{"DOI":"10.1007/978-3-642-69746-3_2","ISBN":"978-3-642-69746-3","abstract":"There appears to be general agreement among social psychologists that most human behavior is goal-directed (e. g., Heider, 1958 ; Lewin, 1951). Being neither capricious nor frivolous, human social behavior can best be described as following along lines of more or less well-formulated plans. Before attending a concert, for example, a person may extend an invitation to a date, purchase tickets, change into proper attire, call a cab, collect the date, and proceed to the concert hall. Most, if not all, of these activities will have been designed in advance; their execution occurs as the plan unfolds. To be sure, a certain sequence of actions can become so habitual or routine that it is performed almost automatically, as in the case of driving from home to work or playing the piano. Highly developed skills of this kind typically no longer require conscious formulation of a behavioral plan. Nevertheless, at least in general outline, we are normally well aware of the actions required to attain a certain goal. Consider such a relatively routine behavior as typing a letter. When setting this activity as a goal, we anticipate the need to locate a typewriter, insert a sheet of paper, adjust the margins, formulate words and sentences, strike the appropriate keys, and so forth. Some parts of the plan are more routine, and require less conscious thought than others, but without an explicit or implicit plan to guide the required sequence of acts, no letter would get typed.","author":[{"dropping-particle":"","family":"Ajzen","given":"Icek","non-dropping-particle":"","parse-names":false,"suffix":""}],"editor":[{"dropping-particle":"","family":"Kuhl","given":"Julius","non-dropping-particle":"","parse-names":false,"suffix":""},{"dropping-particle":"","family":"Beckmann","given":"Jürgen","non-dropping-particle":"","parse-names":false,"suffix":""}],"id":"ITEM-2","issued":{"date-parts":[["1985"]]},"page":"11-39","publisher":"Springer Berlin Heidelberg","publisher-place":"Berlin, Heidelberg","title":"From Intentions to Actions: A Theory of Planned Behavior BT  - Action Control: From Cognition to Behavior","type":"chapter"},"uris":["http://www.mendeley.com/documents/?uuid=2a144bc2-7e9b-4470-b40f-82e71b1b68de"]}],"mendeley":{"formattedCitation":"[22,23]","plainTextFormattedCitation":"[22,23]","previouslyFormattedCitation":"[22,23]"},"properties":{"noteIndex":0},"schema":"https://github.com/citation-style-language/schema/raw/master/csl-citation.json"}</w:instrText>
      </w:r>
      <w:r w:rsidR="00C037C7" w:rsidRPr="00493744">
        <w:rPr>
          <w:rFonts w:ascii="Calibri" w:hAnsi="Calibri" w:cs="Calibri"/>
        </w:rPr>
        <w:fldChar w:fldCharType="separate"/>
      </w:r>
      <w:r w:rsidR="004F199F" w:rsidRPr="004F199F">
        <w:rPr>
          <w:rFonts w:ascii="Calibri" w:hAnsi="Calibri" w:cs="Calibri"/>
          <w:noProof/>
        </w:rPr>
        <w:t>[22,23]</w:t>
      </w:r>
      <w:r w:rsidR="00C037C7" w:rsidRPr="00493744">
        <w:rPr>
          <w:rFonts w:ascii="Calibri" w:hAnsi="Calibri" w:cs="Calibri"/>
        </w:rPr>
        <w:fldChar w:fldCharType="end"/>
      </w:r>
      <w:r w:rsidR="003351AB">
        <w:rPr>
          <w:rFonts w:ascii="Calibri" w:hAnsi="Calibri" w:cs="Calibri"/>
        </w:rPr>
        <w:t xml:space="preserve"> </w:t>
      </w:r>
      <w:r w:rsidRPr="00493744">
        <w:rPr>
          <w:rFonts w:ascii="Calibri" w:hAnsi="Calibri" w:cs="Calibri"/>
        </w:rPr>
        <w:t>are fundamentally models that presume a process of rational decision making that is not evidenced in studies where donating and non-donating family decision makers have been included and interviewed.</w:t>
      </w:r>
    </w:p>
    <w:p w14:paraId="70CDC0F0" w14:textId="47CBF578" w:rsidR="007355C9" w:rsidRPr="00493744" w:rsidRDefault="00DB73FA" w:rsidP="007355C9">
      <w:pPr>
        <w:spacing w:line="360" w:lineRule="auto"/>
        <w:jc w:val="both"/>
        <w:rPr>
          <w:rFonts w:ascii="Calibri" w:hAnsi="Calibri" w:cs="Calibri"/>
        </w:rPr>
      </w:pPr>
      <w:r>
        <w:rPr>
          <w:rFonts w:ascii="Calibri" w:hAnsi="Calibri" w:cs="Calibri"/>
        </w:rPr>
        <w:t>For example. r</w:t>
      </w:r>
      <w:r w:rsidR="007355C9" w:rsidRPr="00493744">
        <w:rPr>
          <w:rFonts w:ascii="Calibri" w:hAnsi="Calibri" w:cs="Calibri"/>
        </w:rPr>
        <w:t xml:space="preserve">esearch by </w:t>
      </w:r>
      <w:proofErr w:type="spellStart"/>
      <w:r w:rsidR="007355C9" w:rsidRPr="00493744">
        <w:rPr>
          <w:rFonts w:ascii="Calibri" w:hAnsi="Calibri" w:cs="Calibri"/>
        </w:rPr>
        <w:t>Kopfman</w:t>
      </w:r>
      <w:proofErr w:type="spellEnd"/>
      <w:r w:rsidR="007355C9" w:rsidRPr="00493744">
        <w:rPr>
          <w:rFonts w:ascii="Calibri" w:hAnsi="Calibri" w:cs="Calibri"/>
        </w:rPr>
        <w:t xml:space="preserve"> and Smith (1996) aimed at informing donation campaigns introduced new thinking </w:t>
      </w:r>
      <w:r>
        <w:rPr>
          <w:rFonts w:ascii="Calibri" w:hAnsi="Calibri" w:cs="Calibri"/>
        </w:rPr>
        <w:t>by</w:t>
      </w:r>
      <w:r w:rsidR="007355C9" w:rsidRPr="00493744">
        <w:rPr>
          <w:rFonts w:ascii="Calibri" w:hAnsi="Calibri" w:cs="Calibri"/>
        </w:rPr>
        <w:t xml:space="preserve"> looking</w:t>
      </w:r>
      <w:r>
        <w:rPr>
          <w:rFonts w:ascii="Calibri" w:hAnsi="Calibri" w:cs="Calibri"/>
        </w:rPr>
        <w:t xml:space="preserve"> both</w:t>
      </w:r>
      <w:r w:rsidR="007355C9" w:rsidRPr="00493744">
        <w:rPr>
          <w:rFonts w:ascii="Calibri" w:hAnsi="Calibri" w:cs="Calibri"/>
        </w:rPr>
        <w:t xml:space="preserve"> at concepts such as ‘knowledge, attitudes and intention to donate’ and identifying that those who measured low in intent to donate were more likely to ‘have inaccurate knowledge about donation and gain lower scores on a measure for altruism’</w:t>
      </w:r>
      <w:r>
        <w:rPr>
          <w:rFonts w:ascii="Calibri" w:hAnsi="Calibri" w:cs="Calibri"/>
        </w:rPr>
        <w:t xml:space="preserve"> – and</w:t>
      </w:r>
      <w:r w:rsidR="007355C9" w:rsidRPr="00493744">
        <w:rPr>
          <w:rFonts w:ascii="Calibri" w:hAnsi="Calibri" w:cs="Calibri"/>
        </w:rPr>
        <w:t xml:space="preserve"> also </w:t>
      </w:r>
      <w:r w:rsidRPr="00493744">
        <w:rPr>
          <w:rFonts w:ascii="Calibri" w:hAnsi="Calibri" w:cs="Calibri"/>
        </w:rPr>
        <w:t>highlight</w:t>
      </w:r>
      <w:r>
        <w:rPr>
          <w:rFonts w:ascii="Calibri" w:hAnsi="Calibri" w:cs="Calibri"/>
        </w:rPr>
        <w:t>ing</w:t>
      </w:r>
      <w:r w:rsidRPr="00493744">
        <w:rPr>
          <w:rFonts w:ascii="Calibri" w:hAnsi="Calibri" w:cs="Calibri"/>
        </w:rPr>
        <w:t xml:space="preserve"> </w:t>
      </w:r>
      <w:r w:rsidR="007355C9" w:rsidRPr="00493744">
        <w:rPr>
          <w:rFonts w:ascii="Calibri" w:hAnsi="Calibri" w:cs="Calibri"/>
        </w:rPr>
        <w:t>that</w:t>
      </w:r>
      <w:r w:rsidR="007355C9" w:rsidRPr="00493744">
        <w:rPr>
          <w:rFonts w:ascii="Calibri" w:hAnsi="Calibri" w:cs="Calibri"/>
          <w:i/>
        </w:rPr>
        <w:t xml:space="preserve"> ‘those low in intention felt that signing a donor card would be frightening’</w:t>
      </w:r>
      <w:r w:rsidR="00C037C7" w:rsidRPr="00493744">
        <w:rPr>
          <w:rFonts w:ascii="Calibri" w:hAnsi="Calibri" w:cs="Calibri"/>
          <w:i/>
        </w:rPr>
        <w:t xml:space="preserve"> </w:t>
      </w:r>
      <w:r w:rsidR="00C037C7" w:rsidRPr="00493744">
        <w:rPr>
          <w:rFonts w:ascii="Calibri" w:hAnsi="Calibri" w:cs="Calibri"/>
          <w:i/>
        </w:rPr>
        <w:fldChar w:fldCharType="begin" w:fldLock="1"/>
      </w:r>
      <w:r w:rsidR="004F199F">
        <w:rPr>
          <w:rFonts w:ascii="Calibri" w:hAnsi="Calibri" w:cs="Calibri"/>
          <w:i/>
        </w:rPr>
        <w:instrText>ADDIN CSL_CITATION {"citationItems":[{"id":"ITEM-1","itemData":{"DOI":"10.1080/00909889609365438","ISSN":"0090-9882","author":[{"dropping-particle":"","family":"Kopfman","given":"Jenifer E.","non-dropping-particle":"","parse-names":false,"suffix":""},{"dropping-particle":"","family":"Smith","given":"Sandi W.","non-dropping-particle":"","parse-names":false,"suffix":""}],"container-title":"Journal of Applied Communication Research","id":"ITEM-1","issue":"1","issued":{"date-parts":[["1996","2","21"]]},"page":"33-49","title":"Understanding the audiences of a health communication campaign: A discriminant analysis of potential organ donors based on intent to donate","type":"article-journal","volume":"24"},"uris":["http://www.mendeley.com/documents/?uuid=855cb2f0-198d-4a4e-9f89-4d3efb3cd32b"]}],"mendeley":{"formattedCitation":"[26]","plainTextFormattedCitation":"[26]","previouslyFormattedCitation":"[26]"},"properties":{"noteIndex":0},"schema":"https://github.com/citation-style-language/schema/raw/master/csl-citation.json"}</w:instrText>
      </w:r>
      <w:r w:rsidR="00C037C7" w:rsidRPr="00493744">
        <w:rPr>
          <w:rFonts w:ascii="Calibri" w:hAnsi="Calibri" w:cs="Calibri"/>
          <w:i/>
        </w:rPr>
        <w:fldChar w:fldCharType="separate"/>
      </w:r>
      <w:r w:rsidR="004F199F" w:rsidRPr="004F199F">
        <w:rPr>
          <w:rFonts w:ascii="Calibri" w:hAnsi="Calibri" w:cs="Calibri"/>
          <w:noProof/>
        </w:rPr>
        <w:t>[26]</w:t>
      </w:r>
      <w:r w:rsidR="00C037C7" w:rsidRPr="00493744">
        <w:rPr>
          <w:rFonts w:ascii="Calibri" w:hAnsi="Calibri" w:cs="Calibri"/>
          <w:i/>
        </w:rPr>
        <w:fldChar w:fldCharType="end"/>
      </w:r>
      <w:r w:rsidR="007355C9" w:rsidRPr="00493744">
        <w:rPr>
          <w:rFonts w:ascii="Calibri" w:hAnsi="Calibri" w:cs="Calibri"/>
        </w:rPr>
        <w:t xml:space="preserve">. We see here one of the first instances of what have been referred to as </w:t>
      </w:r>
      <w:r w:rsidR="007355C9" w:rsidRPr="00493744">
        <w:rPr>
          <w:rFonts w:ascii="Calibri" w:hAnsi="Calibri" w:cs="Calibri"/>
          <w:i/>
        </w:rPr>
        <w:t>non-rational</w:t>
      </w:r>
      <w:r w:rsidR="007355C9" w:rsidRPr="00493744">
        <w:rPr>
          <w:rFonts w:ascii="Calibri" w:hAnsi="Calibri" w:cs="Calibri"/>
        </w:rPr>
        <w:t xml:space="preserve"> </w:t>
      </w:r>
      <w:r w:rsidR="00C037C7" w:rsidRPr="00493744">
        <w:rPr>
          <w:rFonts w:ascii="Calibri" w:hAnsi="Calibri" w:cs="Calibri"/>
        </w:rPr>
        <w:fldChar w:fldCharType="begin" w:fldLock="1"/>
      </w:r>
      <w:r w:rsidR="004F199F">
        <w:rPr>
          <w:rFonts w:ascii="Calibri" w:hAnsi="Calibri" w:cs="Calibri"/>
        </w:rPr>
        <w:instrText>ADDIN CSL_CITATION {"citationItems":[{"id":"ITEM-1","itemData":{"DOI":"10.1080/00909889609365438","ISSN":"0090-9882","author":[{"dropping-particle":"","family":"Kopfman","given":"Jenifer E.","non-dropping-particle":"","parse-names":false,"suffix":""},{"dropping-particle":"","family":"Smith","given":"Sandi W.","non-dropping-particle":"","parse-names":false,"suffix":""}],"container-title":"Journal of Applied Communication Research","id":"ITEM-1","issue":"1","issued":{"date-parts":[["1996","2","21"]]},"page":"33-49","title":"Understanding the audiences of a health communication campaign: A discriminant analysis of potential organ donors based on intent to donate","type":"article-journal","volume":"24"},"uris":["http://www.mendeley.com/documents/?uuid=855cb2f0-198d-4a4e-9f89-4d3efb3cd32b"]}],"mendeley":{"formattedCitation":"[26]","plainTextFormattedCitation":"[26]","previouslyFormattedCitation":"[26]"},"properties":{"noteIndex":0},"schema":"https://github.com/citation-style-language/schema/raw/master/csl-citation.json"}</w:instrText>
      </w:r>
      <w:r w:rsidR="00C037C7" w:rsidRPr="00493744">
        <w:rPr>
          <w:rFonts w:ascii="Calibri" w:hAnsi="Calibri" w:cs="Calibri"/>
        </w:rPr>
        <w:fldChar w:fldCharType="separate"/>
      </w:r>
      <w:r w:rsidR="004F199F" w:rsidRPr="004F199F">
        <w:rPr>
          <w:rFonts w:ascii="Calibri" w:hAnsi="Calibri" w:cs="Calibri"/>
          <w:noProof/>
        </w:rPr>
        <w:t>[26]</w:t>
      </w:r>
      <w:r w:rsidR="00C037C7" w:rsidRPr="00493744">
        <w:rPr>
          <w:rFonts w:ascii="Calibri" w:hAnsi="Calibri" w:cs="Calibri"/>
        </w:rPr>
        <w:fldChar w:fldCharType="end"/>
      </w:r>
      <w:r w:rsidR="007355C9" w:rsidRPr="00493744">
        <w:rPr>
          <w:rFonts w:ascii="Calibri" w:hAnsi="Calibri" w:cs="Calibri"/>
        </w:rPr>
        <w:t xml:space="preserve"> or later </w:t>
      </w:r>
      <w:r w:rsidR="007355C9" w:rsidRPr="003351AB">
        <w:rPr>
          <w:rFonts w:ascii="Calibri" w:hAnsi="Calibri" w:cs="Calibri"/>
          <w:i/>
          <w:iCs/>
        </w:rPr>
        <w:t>non-cognitive</w:t>
      </w:r>
      <w:r w:rsidR="007355C9" w:rsidRPr="00493744">
        <w:rPr>
          <w:rFonts w:ascii="Calibri" w:hAnsi="Calibri" w:cs="Calibri"/>
        </w:rPr>
        <w:t xml:space="preserve"> factors</w:t>
      </w:r>
      <w:r w:rsidR="00C037C7" w:rsidRPr="00493744">
        <w:rPr>
          <w:rFonts w:ascii="Calibri" w:hAnsi="Calibri" w:cs="Calibri"/>
        </w:rPr>
        <w:t xml:space="preserve"> </w:t>
      </w:r>
      <w:r w:rsidR="00C037C7" w:rsidRPr="00493744">
        <w:rPr>
          <w:rFonts w:ascii="Calibri" w:hAnsi="Calibri" w:cs="Calibri"/>
        </w:rPr>
        <w:fldChar w:fldCharType="begin" w:fldLock="1"/>
      </w:r>
      <w:r w:rsidR="004F199F">
        <w:rPr>
          <w:rFonts w:ascii="Calibri" w:hAnsi="Calibri" w:cs="Calibri"/>
        </w:rPr>
        <w:instrText>ADDIN CSL_CITATION {"citationItems":[{"id":"ITEM-1","itemData":{"DOI":"10.1080/00909880216580","ISSN":"0090-9882","author":[{"dropping-particle":"","family":"Morgan","given":"Susan","non-dropping-particle":"","parse-names":false,"suffix":""},{"dropping-particle":"","family":"Miller","given":"Jenny","non-dropping-particle":"","parse-names":false,"suffix":""}],"container-title":"Journal of Applied Communication Research","id":"ITEM-1","issue":"2","issued":{"date-parts":[["2002","1"]]},"page":"163-178","title":"Communicating about gifts of life: the effect of knowledge, attitudes, and altruism on behavior and behavioral intentions regarding organ donation","type":"article-journal","volume":"30"},"uris":["http://www.mendeley.com/documents/?uuid=1537d3ce-fa03-477e-90b6-6e571ca29cbd"]},{"id":"ITEM-2","itemData":{"DOI":"10.1016/j.jnma.2016.05.007","ISSN":"00279684","author":[{"dropping-particle":"","family":"Quick","given":"Brian L.","non-dropping-particle":"","parse-names":false,"suffix":""},{"dropping-particle":"","family":"LaVoie","given":"Nichole R.","non-dropping-particle":"","parse-names":false,"suffix":""},{"dropping-particle":"","family":"Reynolds-Tylus","given":"Tobias","non-dropping-particle":"","parse-names":false,"suffix":""},{"dropping-particle":"","family":"Bosch","given":"Dave","non-dropping-particle":"","parse-names":false,"suffix":""},{"dropping-particle":"","family":"Morgan","given":"Susan E.","non-dropping-particle":"","parse-names":false,"suffix":""}],"container-title":"Journal of the National Medical Association","id":"ITEM-2","issue":"3","issued":{"date-parts":[["2016"]]},"page":"140-146","title":"Does Donor Status, Race, and Biological Sex Predict Organ Donor Registration Barriers?","type":"article-journal","volume":"108"},"uris":["http://www.mendeley.com/documents/?uuid=e6eb6585-cb3a-496d-9325-ad099329ab5a"]}],"mendeley":{"formattedCitation":"[27,28]","plainTextFormattedCitation":"[27,28]","previouslyFormattedCitation":"[27,28]"},"properties":{"noteIndex":0},"schema":"https://github.com/citation-style-language/schema/raw/master/csl-citation.json"}</w:instrText>
      </w:r>
      <w:r w:rsidR="00C037C7" w:rsidRPr="00493744">
        <w:rPr>
          <w:rFonts w:ascii="Calibri" w:hAnsi="Calibri" w:cs="Calibri"/>
        </w:rPr>
        <w:fldChar w:fldCharType="separate"/>
      </w:r>
      <w:r w:rsidR="004F199F" w:rsidRPr="004F199F">
        <w:rPr>
          <w:rFonts w:ascii="Calibri" w:hAnsi="Calibri" w:cs="Calibri"/>
          <w:noProof/>
        </w:rPr>
        <w:t>[27,28]</w:t>
      </w:r>
      <w:r w:rsidR="00C037C7" w:rsidRPr="00493744">
        <w:rPr>
          <w:rFonts w:ascii="Calibri" w:hAnsi="Calibri" w:cs="Calibri"/>
        </w:rPr>
        <w:fldChar w:fldCharType="end"/>
      </w:r>
      <w:r w:rsidR="007355C9" w:rsidRPr="00493744">
        <w:rPr>
          <w:rFonts w:ascii="Calibri" w:hAnsi="Calibri" w:cs="Calibri"/>
        </w:rPr>
        <w:t xml:space="preserve"> (anxiety/fear) being reported. Further work by authors carrying out qualitative research increasingly identified deeply held beliefs and feelings that were reported as influencing the decision to donate organs of self and others, or register an intent to become an organ donor on death, including: anxiety, mistrust, superstition-based fear and views about what should or should not be done to a body post death</w:t>
      </w:r>
      <w:r w:rsidR="00C037C7" w:rsidRPr="00493744">
        <w:rPr>
          <w:rFonts w:ascii="Calibri" w:hAnsi="Calibri" w:cs="Calibri"/>
        </w:rPr>
        <w:t xml:space="preserve"> </w:t>
      </w:r>
      <w:r w:rsidR="00C037C7" w:rsidRPr="00493744">
        <w:rPr>
          <w:rFonts w:ascii="Calibri" w:hAnsi="Calibri" w:cs="Calibri"/>
        </w:rPr>
        <w:fldChar w:fldCharType="begin" w:fldLock="1"/>
      </w:r>
      <w:r w:rsidR="004F199F">
        <w:rPr>
          <w:rFonts w:ascii="Calibri" w:hAnsi="Calibri" w:cs="Calibri"/>
        </w:rPr>
        <w:instrText>ADDIN CSL_CITATION {"citationItems":[{"id":"ITEM-1","itemData":{"DOI":"10.1001/jama.1994.03510280046031","ISSN":"15383598","abstract":"To evaluate people's reactions to procedures involving the dead body by comparing their attitudes toward autopsy, organ donation, and dissection. —Survey, using a questionnaire with 24 items that address reactions toward autopsy, organ donation, and donation of the whole body, including religious and sociodemographic issues. —An age-stratified, random sample of 1950 individuals in Sweden, 18 to 75 years old. The response rate was 65%. —Eighty-four percent reported acceptance of an autopsy for themselves and 80% for a close relative. Sixty-two percent were willing to donate their own organs and 39% to donate the organs of a family member; 15% accepted donation of their whole body for dissection. Practically all who accepted dissection also were willing to donate their organs and to be autopsied; practically all who were willing to donate their organs also accepted autopsy. About 65% to 70% felt some discomfort at the thought of autopsy and organ donation. Women seemed more sensitive toward operations on the dead body than men. —The rank order of medical procedures after death, based on the proportion of individuals positive toward the procedures, can be used to form a scale with autopsy and dissection at each end point and organ donation in the middle. This scale has the characteristics of a Guttman scale and can be looked on as a comfort-discomfort continuum regarding procedures involving the dead body. © 1994, American Medical Association. All rights reserved.","author":[{"dropping-particle":"","family":"Sanner","given":"Margareta","non-dropping-particle":"","parse-names":false,"suffix":""}],"container-title":"JAMA: The Journal of the American Medical Association","id":"ITEM-1","issue":"4","issued":{"date-parts":[["1994"]]},"page":"284-288","title":"A Comparison of Public Attitudes Toward Autopsy, Organ Donation, and Anatomic Dissection: A Swedish Survey","type":"article-journal","volume":"271"},"uris":["http://www.mendeley.com/documents/?uuid=a527a492-9f01-4399-8e26-7c00719c9461"]},{"id":"ITEM-2","itemData":{"DOI":"10.1016/0277-9536(94)90229-1","ISSN":"02779536","author":[{"dropping-particle":"","family":"Sanner","given":"Margareta","non-dropping-particle":"","parse-names":false,"suffix":""}],"container-title":"Social Science &amp; Medicine","id":"ITEM-2","issue":"8","issued":{"date-parts":[["1994","4"]]},"page":"1141-1152","title":"Attitudes toward organ donation and transplantation","type":"article-journal","volume":"38"},"uris":["http://www.mendeley.com/documents/?uuid=337df23c-c8e6-4e3e-b0f9-35ac20961366"]},{"id":"ITEM-3","itemData":{"DOI":"10.1034/j.1399-0012.2001.150107.x","ISSN":"09020063","PMID":"11168314","abstract":"Objective: To identify those factors that enhance or inhibit organ donation in order to provide data to help policy makers, hospital administrators and transplantation professionals make informed choices about how to modify the donor system and to structure 'best practice' interventions. Summary of background data: Legislative efforts to increase donation rates have not been successful. An emphasis on process is needed to help explain this. Methods: The study was conducted using a stratified random sample of 23 hospitals in the Pittsburgh and Minneapolis/St Paul standard statistical metropolitan areas. Each week, the medical charts of all in-patient and emergency room patient deaths at each hospital were reviewed using a standardized review protocol to determine eligibility for organ, tissue, and cornea donation. A total of 10681 patient charts were reviewed over a 4-yr period. Eight hundred and twenty-eight cases out of 1723 eligible cases were selected for inclusion in the study. Data were collected on 827 of these cases. All health care providers (HCPs) who spoke with the family after the patient's death or discussed donation with the family were interviewed. Results: Of the 10681 patient charts reviewed, 16.5% were eligible to donate either organs, tissues, or corneas, and 87.0% of donor-eligible patients' families were approached and asked to donate. Consent rates were 23.5% for corneas, 34.5% for tissues, and 46.5% for organ donation. Multiple logistic regression demonstrated that the best and strongest predictor of donation decisions was the family's initial response to the donation request, as reported by the HCP. Three initial response groups are examined and compared. Those families who expressed an initially favorable reaction were most likely to agree to donation. Furthermore, discussion patterns differed by initial reaction group, with families who expressed initial indecision about donation sharing more characteristics with families who were not favorable than those who were favorable. More detailed information was provided to the favorable families, as compared to the other two groups, concerning the effect of donation on funeral arrangements and costs. Families who were favorable were also more likely to meet with an organ procurement organization representative than were other families. The strongest predictor of a family's unfavorable response to a donation request was the belief that the patient would have been against donation. A num…","author":[{"dropping-particle":"","family":"Siminoff","given":"Laura A.","non-dropping-particle":"","parse-names":false,"suffix":""},{"dropping-particle":"","family":"Arnold","given":"Robert M.","non-dropping-particle":"","parse-names":false,"suffix":""},{"dropping-particle":"","family":"Hewlett","given":"Joan","non-dropping-particle":"","parse-names":false,"suffix":""}],"container-title":"Clinical Transplantation","id":"ITEM-3","issue":"1","issued":{"date-parts":[["2001"]]},"page":"39-47","title":"The process of organ donation and its effect on consent","type":"article-journal","volume":"15"},"uris":["http://www.mendeley.com/documents/?uuid=ff2820c5-fda7-4926-b783-44426d7ab9a0"]},{"id":"ITEM-4","itemData":{"DOI":"10.1080/00909880216580","ISSN":"0090-9882","author":[{"dropping-particle":"","family":"Morgan","given":"Susan","non-dropping-particle":"","parse-names":false,"suffix":""},{"dropping-particle":"","family":"Miller","given":"Jenny","non-dropping-particle":"","parse-names":false,"suffix":""}],"container-title":"Journal of Applied Communication Research","id":"ITEM-4","issue":"2","issued":{"date-parts":[["2002","1"]]},"page":"163-178","title":"Communicating about gifts of life: the effect of knowledge, attitudes, and altruism on behavior and behavioral intentions regarding organ donation","type":"article-journal","volume":"30"},"uris":["http://www.mendeley.com/documents/?uuid=1537d3ce-fa03-477e-90b6-6e571ca29cbd"]},{"id":"ITEM-5","itemData":{"DOI":"10.1177/1359105308090936","ISSN":"1359-1053","author":[{"dropping-particle":"","family":"Morgan","given":"Susan E.","non-dropping-particle":"","parse-names":false,"suffix":""},{"dropping-particle":"","family":"Stephenson","given":"Michael T.","non-dropping-particle":"","parse-names":false,"suffix":""},{"dropping-particle":"","family":"Harrison","given":"Tyler R.","non-dropping-particle":"","parse-names":false,"suffix":""},{"dropping-particle":"","family":"Afifi","given":"Walid A.","non-dropping-particle":"","parse-names":false,"suffix":""},{"dropping-particle":"","family":"Long","given":"Shawn D.","non-dropping-particle":"","parse-names":false,"suffix":""}],"container-title":"Journal of Health Psychology","id":"ITEM-5","issue":"5","issued":{"date-parts":[["2008","7"]]},"page":"644-658","title":"Facts versus `Feelings'","type":"article-journal","volume":"13"},"uris":["http://www.mendeley.com/documents/?uuid=fec8dc19-9b76-4285-8364-2d37a0032b82"]},{"id":"ITEM-6","itemData":{"abstract":"A three-year study to investigate the experiences of bereaved adults with whom organ and tissue donation was discussed&lt;br/&gt;Aims of the Study\nTo identify the impact of initial care offered to relatives in terms of decision-making about donation and subsequent grief. &lt;br/&gt;To identify ways of enabling relatives to make choices about organ and tissue donation that are right for them. &lt;br/&gt;To assess the need for bereavement support and the effectiveness of any support received. &lt;br/&gt;\nMethod\nFace-to-face interviews and two, self-completed, psychometric measures, the Grief Experience Inventory [1] and the Beck Depression Inventory [2], were used to elicit the bereavement experiences of 46 family members who chose to donate their deceased relative?s organs and three who declined donation. Participants who chose to donate were interviewed on three occasions at 3-5, 13-15 and 18-26 months post bereavement. Single interviews were carried out with participants who declined donation. Researcher?s field notes aided reflexivity, provided context and explanatory rigour to judgements and decision-making, providing a credible audit-trail of the investigation.&lt;br/&gt;The impact of initial care offered to relatives in terms of decision-making about donation and subsequent grief (i.e. care in hospital)&lt;br/&gt;Sudden death and the discussion around organ donation make specific demands of the next-of-kin at a time when they are emotionally and cognitively ill equipped to respond. External demands such as receiving complex information, responding to requests from healthcare professionals (HPs), the needs of other family members and the tasks of daily living are competing with internal demands such as, the unreality of the situation, the physical pain of loss, thinking about the deceased, the need to fulfil the wishes of the deceased and the need to make decisions about organ donation. Findings from interviews with families at 3-5 (timepoint 1) (TP1), 13-15 (TP2) and 18-26 (TP3) months post-bereavement have amply illustrated their needs in relation to the content and manner in which information could best be communicated. This appeared to have consequences for subsequent grief as interviews at TP2 and TP3 highlighted the number of questions resulting from a lack of information and/or understanding of brainstem death testing and how these tests related to the death of their loved one. &lt;br/&gt;Initial information given to families in relation to the critical injury sustained by their love…","author":[{"dropping-particle":"","family":"Sque","given":"M","non-dropping-particle":"","parse-names":false,"suffix":""},{"dropping-particle":"","family":"Long","given":"T","non-dropping-particle":"","parse-names":false,"suffix":""},{"dropping-particle":"","family":"Payne","given":"S","non-dropping-particle":"","parse-names":false,"suffix":""}],"id":"ITEM-6","issued":{"date-parts":[["2003","2"]]},"publisher":"University of Southampton","title":"Organ and tissue donation: exploring the needs of families. Final report of a three-year study commissioned by the British Organ Donor Society, funded by the National Lottery Community Fund","type":"report"},"uris":["http://www.mendeley.com/documents/?uuid=13353d98-1584-4d59-abe8-8ad08dcbf607"]},{"id":"ITEM-7","itemData":{"DOI":"10.1016/j.transproceed.2004.11.038","ISSN":"00411345","abstract":"Aim. To clarify the decision-making and bereavement needs of family members who had organ donation discussed with them; to provide a rationale for further preparation of professionals involved in this sensitive work. Methods. This work used a 3-year longitudinal design. A sample of 49 family members who had donation discussed with them, were recruited. At 3 to 5, 13 to 15, and 18 to 26 months postbereavement, face-to-face interviews and two, self-completed; psychometric measures, the Beck Depression Inventory II and the Grief Experience Inventory, were used with participants who chose to donate. Single interviews were carried out with participants who declined donation. Data were analyzed using a comparative, thematic approach and multivariate statistics, focusing on detection of important similarities and differences between cases. Findings. Four main categories were identified that illustrated the issues that influenced families' ability to agree or decline donation and their perception of the decision-making process. The categories were concerns about knowledge of the deceased's donation wish, views held by the extended family about donation, giving meaning to the death and events that occurred in the hospital that were perceived as positive or negative. The role of children in the decision-making about organ donation was highlighted. In conclusion, hospital care affected participants' donation decision-making and appeared to impact on subsequent grief. To facilitate decision-making and bereavement that is uncomplicated by questions about brain injury and subsequent death, families needed time to understand the information given, care in the way and context that information was shared and attention to their emotional needs. © 2005 by Elsevier Inc. All rights reserved.","author":[{"dropping-particle":"","family":"Sque","given":"M.","non-dropping-particle":"","parse-names":false,"suffix":""},{"dropping-particle":"","family":"Long","given":"T.","non-dropping-particle":"","parse-names":false,"suffix":""},{"dropping-particle":"","family":"Payne","given":"S.","non-dropping-particle":"","parse-names":false,"suffix":""}],"container-title":"Transplantation Proceedings","id":"ITEM-7","issue":"2","issued":{"date-parts":[["2005"]]},"page":"543-546","title":"Organ donation: Key factors influencing families' decision-making","type":"article-journal","volume":"37"},"uris":["http://www.mendeley.com/documents/?uuid=8722308f-6357-4c4f-b7d5-bef208825b22"]},{"id":"ITEM-8","itemData":{"DOI":"10.1016/j.socscimed.2008.03.039","ISSN":"02779536","abstract":"Brain death, whether it be brain stem death in the UK, or whole-brain death in the USA, is a prerequisite for heart-beating organ donation. Understanding how brain death is perceived by family members approached about organ donation, its significance to them, and if it is accepted by them, are, therefore, important issues to explore as biomedicine expands the range of end of life technologies that blur the demarcation between life and death. To explore the concept of brain stem death and its meaning to family members the following research questions were posed: (i) what does the diagnosis of death based on brain stem testing mean to bereaved family members who have been approached and asked to consider a donation from a deceased relative, and (ii) how do family members understand the concept of brain stem death? To address these research questions, a secondary analysis of 28 interviews sorted from two primary datasets was carried out. The primary datasets contained longitudinal and cross-sectional interviews carried out in the UK with family members who had been approached about organ donation and agreed to donate their relatives' organs. Data analysis was guided by constructionist grounded theory method and resulted in the theory of Paradoxical Death. In this process, family members and health professionals engage in a series of practical and psychological activities aimed at rationalising real or potential emotional and cognitive conflict resulting from a brain-based diagnosis of death, whilst faced with the physical image of a functioning body. Rationalising emotional and cognitive conflict is how family members and health professionals appeared to process this paradoxical death, a death that is contrary to conventional opinion. © 2008 Elsevier Ltd. All rights reserved.","author":[{"dropping-particle":"","family":"Long","given":"Tracy","non-dropping-particle":"","parse-names":false,"suffix":""},{"dropping-particle":"","family":"Sque","given":"Magi","non-dropping-particle":"","parse-names":false,"suffix":""},{"dropping-particle":"","family":"Addington-Hall","given":"Julia","non-dropping-particle":"","parse-names":false,"suffix":""}],"container-title":"Social Science and Medicine","id":"ITEM-8","issue":"2","issued":{"date-parts":[["2008"]]},"page":"253-261","title":"Conflict rationalisation: How family members cope with a diagnosis of brain stem death","type":"article-journal","volume":"67"},"uris":["http://www.mendeley.com/documents/?uuid=5d9aeb53-4429-4bcd-a489-00551e4d17f7"]},{"id":"ITEM-9","itemData":{"DOI":"10.1097/TP.0b013e318235c817","ISSN":"00411337","abstract":"At the time that a patient is diagnosed as brain dead, a substantial proportion of families who give consent to heart and kidney donation specifically refuse eye donation. This in part may relate to the failure of those involved in transplantation medicine and public education to fully appreciate the different meanings attached to the body of a recently deceased person. Medicine and science have long understood the body as a \"machine.\" This view has fitted with medical notions of transplantation, with donors being a source of biologic \"goods.\" However, even a cursory glance at the rituals surrounding death makes it apparent that there is more to a dead body than simply its biologic parts; in death, bodies continue as the physical substrate of relationships. Of all the organs, it is the eyes that are identified as the site of sentience, and there is a long tradition of visual primacy and visual symbolism in virtually all aspects of culture. It therefore seems likely that of all the body parts, it is the eyes that are most central to social relationships. A request to donate the eyes therefore is unlikely to be heard simply in medical terms as a request to donate a \"superfluous\" body part for the benefit of another. That the eyes are not simply biologic provides one explanation for both the lower rates of corneal donation, compared with that of other organs, and the lack of adequate corneal donation to meet demand. Copyright © 2011 by Lippincott Williams &amp; Wilkins.","author":[{"dropping-particle":"","family":"Lawlor","given":"Mitchell","non-dropping-particle":"","parse-names":false,"suffix":""},{"dropping-particle":"","family":"Kerridge","given":"Ian","non-dropping-particle":"","parse-names":false,"suffix":""}],"container-title":"Transplantation","id":"ITEM-9","issue":"11","issued":{"date-parts":[["2011"]]},"page":"1188-1190","title":"Anything but the eyes: Culture, identity, and the selective refusal of corneal donation","type":"article","volume":"92"},"uris":["http://www.mendeley.com/documents/?uuid=956653d2-9aa4-4c9c-a45a-2db83e44e6f0"]},{"id":"ITEM-10","itemData":{"DOI":"10.1007/s11673-013-9497-9","ISSN":"18724353","abstract":"Corneal transplantation is the most common form of organ transplantation performed globally. However, of all organs, eyes have the highest rate of refusal of donation. This study explored the reasons why individuals decide whether or not to donate corneas. Twenty-one individuals were interviewed who had made a donation decision (13 refused corneal donation and eight consented). Analysis was performed using Grounded Theory. Refusal of corneal donation was related to concerns about disfigurement and the role of eyes in memory and communication. The request for donation therefore raised concerns about a potential adverse change in the ongoing relationship with the deceased, even in death. For those who refused donation, these concerns overshadowed awareness of need or benefit of transplantation. Adjusting the donation message to be more congruent with the real, lived experience of corneal donation may to some extent \"prepare\" individuals when the donation question is raised. © 2013 Springer Science+Business Media Dordrecht.","author":[{"dropping-particle":"","family":"Lawlor","given":"Mitchell","non-dropping-particle":"","parse-names":false,"suffix":""},{"dropping-particle":"","family":"Kerridge","given":"Ian","non-dropping-particle":"","parse-names":false,"suffix":""}],"container-title":"Journal of Bioethical Inquiry","id":"ITEM-10","issue":"1","issued":{"date-parts":[["2014"]]},"page":"57-64","title":"Understanding Selective Refusal of Eye Donation: Identity, Beauty, and Interpersonal Relationships","type":"article-journal","volume":"11"},"uris":["http://www.mendeley.com/documents/?uuid=de7f06b6-d60b-4000-8982-3d5c1b125cfe"]}],"mendeley":{"formattedCitation":"[12–14,17,18,27,29–32]","plainTextFormattedCitation":"[12–14,17,18,27,29–32]","previouslyFormattedCitation":"[12–14,17,18,27,29–32]"},"properties":{"noteIndex":0},"schema":"https://github.com/citation-style-language/schema/raw/master/csl-citation.json"}</w:instrText>
      </w:r>
      <w:r w:rsidR="00C037C7" w:rsidRPr="00493744">
        <w:rPr>
          <w:rFonts w:ascii="Calibri" w:hAnsi="Calibri" w:cs="Calibri"/>
        </w:rPr>
        <w:fldChar w:fldCharType="separate"/>
      </w:r>
      <w:r w:rsidR="004F199F" w:rsidRPr="004F199F">
        <w:rPr>
          <w:rFonts w:ascii="Calibri" w:hAnsi="Calibri" w:cs="Calibri"/>
          <w:noProof/>
        </w:rPr>
        <w:t>[12–14,17,18,27,29–32]</w:t>
      </w:r>
      <w:r w:rsidR="00C037C7" w:rsidRPr="00493744">
        <w:rPr>
          <w:rFonts w:ascii="Calibri" w:hAnsi="Calibri" w:cs="Calibri"/>
        </w:rPr>
        <w:fldChar w:fldCharType="end"/>
      </w:r>
      <w:r w:rsidR="007355C9" w:rsidRPr="00493744">
        <w:rPr>
          <w:rFonts w:ascii="Calibri" w:hAnsi="Calibri" w:cs="Calibri"/>
        </w:rPr>
        <w:t>.</w:t>
      </w:r>
    </w:p>
    <w:p w14:paraId="206FABB4" w14:textId="77777777" w:rsidR="007355C9" w:rsidRPr="00493744" w:rsidRDefault="007355C9" w:rsidP="007355C9">
      <w:pPr>
        <w:spacing w:line="360" w:lineRule="auto"/>
        <w:jc w:val="both"/>
        <w:rPr>
          <w:rFonts w:asciiTheme="majorHAnsi" w:hAnsiTheme="majorHAnsi" w:cstheme="majorHAnsi"/>
          <w:i/>
          <w:iCs/>
        </w:rPr>
      </w:pPr>
      <w:proofErr w:type="spellStart"/>
      <w:r w:rsidRPr="00493744">
        <w:rPr>
          <w:rFonts w:asciiTheme="majorHAnsi" w:hAnsiTheme="majorHAnsi" w:cstheme="majorHAnsi"/>
          <w:i/>
          <w:iCs/>
        </w:rPr>
        <w:t>Sanner’s</w:t>
      </w:r>
      <w:proofErr w:type="spellEnd"/>
      <w:r w:rsidRPr="00493744">
        <w:rPr>
          <w:rFonts w:asciiTheme="majorHAnsi" w:hAnsiTheme="majorHAnsi" w:cstheme="majorHAnsi"/>
          <w:i/>
          <w:iCs/>
        </w:rPr>
        <w:t xml:space="preserve"> Discomfort Reactions </w:t>
      </w:r>
    </w:p>
    <w:p w14:paraId="771ADD3F" w14:textId="2D9B46F0" w:rsidR="007355C9" w:rsidRPr="00493744" w:rsidRDefault="007355C9" w:rsidP="007355C9">
      <w:pPr>
        <w:spacing w:line="360" w:lineRule="auto"/>
        <w:jc w:val="both"/>
        <w:rPr>
          <w:rFonts w:ascii="Calibri" w:hAnsi="Calibri" w:cs="Calibri"/>
        </w:rPr>
      </w:pPr>
      <w:r w:rsidRPr="00493744">
        <w:rPr>
          <w:rFonts w:ascii="Calibri" w:hAnsi="Calibri" w:cs="Calibri"/>
        </w:rPr>
        <w:t xml:space="preserve">We gain some important insights if we revisit </w:t>
      </w:r>
      <w:proofErr w:type="spellStart"/>
      <w:r w:rsidRPr="00493744">
        <w:rPr>
          <w:rFonts w:ascii="Calibri" w:hAnsi="Calibri" w:cs="Calibri"/>
        </w:rPr>
        <w:t>Sanner’s</w:t>
      </w:r>
      <w:proofErr w:type="spellEnd"/>
      <w:r w:rsidRPr="00493744">
        <w:rPr>
          <w:rFonts w:ascii="Calibri" w:hAnsi="Calibri" w:cs="Calibri"/>
        </w:rPr>
        <w:t xml:space="preserve"> work exploring public views of post-death procedures on the body</w:t>
      </w:r>
      <w:r w:rsidR="00C037C7" w:rsidRPr="00493744">
        <w:rPr>
          <w:rFonts w:ascii="Calibri" w:hAnsi="Calibri" w:cs="Calibri"/>
        </w:rPr>
        <w:t xml:space="preserve"> </w:t>
      </w:r>
      <w:r w:rsidR="00C037C7" w:rsidRPr="00493744">
        <w:rPr>
          <w:rFonts w:ascii="Calibri" w:hAnsi="Calibri" w:cs="Calibri"/>
        </w:rPr>
        <w:fldChar w:fldCharType="begin" w:fldLock="1"/>
      </w:r>
      <w:r w:rsidR="00A354B8">
        <w:rPr>
          <w:rFonts w:ascii="Calibri" w:hAnsi="Calibri" w:cs="Calibri"/>
        </w:rPr>
        <w:instrText>ADDIN CSL_CITATION {"citationItems":[{"id":"ITEM-1","itemData":{"DOI":"10.1001/jama.1994.03510280046031","ISSN":"15383598","abstract":"To evaluate people's reactions to procedures involving the dead body by comparing their attitudes toward autopsy, organ donation, and dissection. —Survey, using a questionnaire with 24 items that address reactions toward autopsy, organ donation, and donation of the whole body, including religious and sociodemographic issues. —An age-stratified, random sample of 1950 individuals in Sweden, 18 to 75 years old. The response rate was 65%. —Eighty-four percent reported acceptance of an autopsy for themselves and 80% for a close relative. Sixty-two percent were willing to donate their own organs and 39% to donate the organs of a family member; 15% accepted donation of their whole body for dissection. Practically all who accepted dissection also were willing to donate their organs and to be autopsied; practically all who were willing to donate their organs also accepted autopsy. About 65% to 70% felt some discomfort at the thought of autopsy and organ donation. Women seemed more sensitive toward operations on the dead body than men. —The rank order of medical procedures after death, based on the proportion of individuals positive toward the procedures, can be used to form a scale with autopsy and dissection at each end point and organ donation in the middle. This scale has the characteristics of a Guttman scale and can be looked on as a comfort-discomfort continuum regarding procedures involving the dead body. © 1994, American Medical Association. All rights reserved.","author":[{"dropping-particle":"","family":"Sanner","given":"Margareta","non-dropping-particle":"","parse-names":false,"suffix":""}],"container-title":"JAMA: The Journal of the American Medical Association","id":"ITEM-1","issue":"4","issued":{"date-parts":[["1994"]]},"page":"284-288","title":"A Comparison of Public Attitudes Toward Autopsy, Organ Donation, and Anatomic Dissection: A Swedish Survey","type":"article-journal","volume":"271"},"uris":["http://www.mendeley.com/documents/?uuid=a527a492-9f01-4399-8e26-7c00719c9461"]},{"id":"ITEM-2","itemData":{"DOI":"10.1016/0277-9536(94)90229-1","ISSN":"02779536","author":[{"dropping-particle":"","family":"Sanner","given":"Margareta","non-dropping-particle":"","parse-names":false,"suffix":""}],"container-title":"Social Science &amp; Medicine","id":"ITEM-2","issue":"8","issued":{"date-parts":[["1994","4"]]},"page":"1141-1152","title":"Attitudes toward organ donation and transplantation","type":"article-journal","volume":"38"},"uris":["http://www.mendeley.com/documents/?uuid=337df23c-c8e6-4e3e-b0f9-35ac20961366"]}],"mendeley":{"formattedCitation":"[12,13]","plainTextFormattedCitation":"[12,13]","previouslyFormattedCitation":"[12,13]"},"properties":{"noteIndex":0},"schema":"https://github.com/citation-style-language/schema/raw/master/csl-citation.json"}</w:instrText>
      </w:r>
      <w:r w:rsidR="00C037C7" w:rsidRPr="00493744">
        <w:rPr>
          <w:rFonts w:ascii="Calibri" w:hAnsi="Calibri" w:cs="Calibri"/>
        </w:rPr>
        <w:fldChar w:fldCharType="separate"/>
      </w:r>
      <w:r w:rsidR="004B3E3F" w:rsidRPr="004B3E3F">
        <w:rPr>
          <w:rFonts w:ascii="Calibri" w:hAnsi="Calibri" w:cs="Calibri"/>
          <w:noProof/>
        </w:rPr>
        <w:t>[12,13]</w:t>
      </w:r>
      <w:r w:rsidR="00C037C7" w:rsidRPr="00493744">
        <w:rPr>
          <w:rFonts w:ascii="Calibri" w:hAnsi="Calibri" w:cs="Calibri"/>
        </w:rPr>
        <w:fldChar w:fldCharType="end"/>
      </w:r>
      <w:r w:rsidRPr="00493744">
        <w:rPr>
          <w:rFonts w:ascii="Calibri" w:hAnsi="Calibri" w:cs="Calibri"/>
        </w:rPr>
        <w:t xml:space="preserve">. Although this work was carried out in the 1990’s with 400 members of the public aged from 18–75 years, </w:t>
      </w:r>
      <w:proofErr w:type="spellStart"/>
      <w:r w:rsidR="00DB73FA">
        <w:rPr>
          <w:rFonts w:ascii="Calibri" w:hAnsi="Calibri" w:cs="Calibri"/>
        </w:rPr>
        <w:t>Sanner</w:t>
      </w:r>
      <w:proofErr w:type="spellEnd"/>
      <w:r w:rsidR="00DB73FA" w:rsidRPr="00493744">
        <w:rPr>
          <w:rFonts w:ascii="Calibri" w:hAnsi="Calibri" w:cs="Calibri"/>
        </w:rPr>
        <w:t xml:space="preserve"> </w:t>
      </w:r>
      <w:r w:rsidRPr="00493744">
        <w:rPr>
          <w:rFonts w:ascii="Calibri" w:hAnsi="Calibri" w:cs="Calibri"/>
        </w:rPr>
        <w:t>identified particular ‘discomfort reactions’ in relation to post</w:t>
      </w:r>
      <w:r w:rsidR="003351AB">
        <w:rPr>
          <w:rFonts w:ascii="Calibri" w:hAnsi="Calibri" w:cs="Calibri"/>
        </w:rPr>
        <w:t>-</w:t>
      </w:r>
      <w:r w:rsidRPr="00493744">
        <w:rPr>
          <w:rFonts w:ascii="Calibri" w:hAnsi="Calibri" w:cs="Calibri"/>
        </w:rPr>
        <w:t>death procedures that are both relevant and of value in moving forward our understanding of reactions to requests for eye donation. Interviews with three subgroups selected from the original 400 who represented negative, positive</w:t>
      </w:r>
      <w:r w:rsidR="00DB73FA">
        <w:rPr>
          <w:rFonts w:ascii="Calibri" w:hAnsi="Calibri" w:cs="Calibri"/>
        </w:rPr>
        <w:t>,</w:t>
      </w:r>
      <w:r w:rsidRPr="00493744">
        <w:rPr>
          <w:rFonts w:ascii="Calibri" w:hAnsi="Calibri" w:cs="Calibri"/>
        </w:rPr>
        <w:t xml:space="preserve"> and undecided views regarding donating their own organs identified that people with “intense discomfort reactions tended to ignore or suppress positive motives </w:t>
      </w:r>
      <w:r w:rsidRPr="00493744">
        <w:rPr>
          <w:rFonts w:ascii="Calibri" w:hAnsi="Calibri" w:cs="Calibri"/>
          <w:i/>
        </w:rPr>
        <w:t>(e.g. attitudes, intentions)</w:t>
      </w:r>
      <w:r w:rsidRPr="00493744">
        <w:rPr>
          <w:rFonts w:ascii="Calibri" w:hAnsi="Calibri" w:cs="Calibri"/>
        </w:rPr>
        <w:t xml:space="preserve"> toward donating organs”</w:t>
      </w:r>
      <w:r w:rsidR="00C037C7" w:rsidRPr="00493744">
        <w:rPr>
          <w:rFonts w:ascii="Calibri" w:hAnsi="Calibri" w:cs="Calibri"/>
        </w:rPr>
        <w:t xml:space="preserve"> </w:t>
      </w:r>
      <w:r w:rsidR="00C037C7" w:rsidRPr="00493744">
        <w:rPr>
          <w:rFonts w:ascii="Calibri" w:hAnsi="Calibri" w:cs="Calibri"/>
        </w:rPr>
        <w:fldChar w:fldCharType="begin" w:fldLock="1"/>
      </w:r>
      <w:r w:rsidR="00A354B8">
        <w:rPr>
          <w:rFonts w:ascii="Calibri" w:hAnsi="Calibri" w:cs="Calibri"/>
        </w:rPr>
        <w:instrText>ADDIN CSL_CITATION {"citationItems":[{"id":"ITEM-1","itemData":{"DOI":"10.1001/jama.1994.03510280046031","ISSN":"15383598","abstract":"To evaluate people's reactions to procedures involving the dead body by comparing their attitudes toward autopsy, organ donation, and dissection. —Survey, using a questionnaire with 24 items that address reactions toward autopsy, organ donation, and donation of the whole body, including religious and sociodemographic issues. —An age-stratified, random sample of 1950 individuals in Sweden, 18 to 75 years old. The response rate was 65%. —Eighty-four percent reported acceptance of an autopsy for themselves and 80% for a close relative. Sixty-two percent were willing to donate their own organs and 39% to donate the organs of a family member; 15% accepted donation of their whole body for dissection. Practically all who accepted dissection also were willing to donate their organs and to be autopsied; practically all who were willing to donate their organs also accepted autopsy. About 65% to 70% felt some discomfort at the thought of autopsy and organ donation. Women seemed more sensitive toward operations on the dead body than men. —The rank order of medical procedures after death, based on the proportion of individuals positive toward the procedures, can be used to form a scale with autopsy and dissection at each end point and organ donation in the middle. This scale has the characteristics of a Guttman scale and can be looked on as a comfort-discomfort continuum regarding procedures involving the dead body. © 1994, American Medical Association. All rights reserved.","author":[{"dropping-particle":"","family":"Sanner","given":"Margareta","non-dropping-particle":"","parse-names":false,"suffix":""}],"container-title":"JAMA: The Journal of the American Medical Association","id":"ITEM-1","issue":"4","issued":{"date-parts":[["1994"]]},"page":"284-288","title":"A Comparison of Public Attitudes Toward Autopsy, Organ Donation, and Anatomic Dissection: A Swedish Survey","type":"article-journal","volume":"271"},"uris":["http://www.mendeley.com/documents/?uuid=a527a492-9f01-4399-8e26-7c00719c9461"]}],"mendeley":{"formattedCitation":"[12]","plainTextFormattedCitation":"[12]","previouslyFormattedCitation":"[12]"},"properties":{"noteIndex":0},"schema":"https://github.com/citation-style-language/schema/raw/master/csl-citation.json"}</w:instrText>
      </w:r>
      <w:r w:rsidR="00C037C7" w:rsidRPr="00493744">
        <w:rPr>
          <w:rFonts w:ascii="Calibri" w:hAnsi="Calibri" w:cs="Calibri"/>
        </w:rPr>
        <w:fldChar w:fldCharType="separate"/>
      </w:r>
      <w:r w:rsidR="004B3E3F" w:rsidRPr="004B3E3F">
        <w:rPr>
          <w:rFonts w:ascii="Calibri" w:hAnsi="Calibri" w:cs="Calibri"/>
          <w:noProof/>
        </w:rPr>
        <w:t>[12]</w:t>
      </w:r>
      <w:r w:rsidR="00C037C7" w:rsidRPr="00493744">
        <w:rPr>
          <w:rFonts w:ascii="Calibri" w:hAnsi="Calibri" w:cs="Calibri"/>
        </w:rPr>
        <w:fldChar w:fldCharType="end"/>
      </w:r>
      <w:r w:rsidRPr="00493744">
        <w:rPr>
          <w:rFonts w:ascii="Calibri" w:hAnsi="Calibri" w:cs="Calibri"/>
        </w:rPr>
        <w:t xml:space="preserve">.  </w:t>
      </w:r>
    </w:p>
    <w:p w14:paraId="5CA6B751" w14:textId="103C54D2" w:rsidR="007355C9" w:rsidRDefault="007355C9" w:rsidP="007355C9">
      <w:pPr>
        <w:spacing w:line="360" w:lineRule="auto"/>
        <w:jc w:val="both"/>
        <w:rPr>
          <w:rFonts w:ascii="Calibri" w:hAnsi="Calibri" w:cs="Calibri"/>
        </w:rPr>
      </w:pPr>
      <w:proofErr w:type="spellStart"/>
      <w:r w:rsidRPr="00493744">
        <w:rPr>
          <w:rFonts w:ascii="Calibri" w:hAnsi="Calibri" w:cs="Calibri"/>
        </w:rPr>
        <w:t>Sanner</w:t>
      </w:r>
      <w:proofErr w:type="spellEnd"/>
      <w:r w:rsidRPr="00493744">
        <w:rPr>
          <w:rFonts w:ascii="Calibri" w:hAnsi="Calibri" w:cs="Calibri"/>
        </w:rPr>
        <w:t xml:space="preserve"> identified 600 statements that referred to what may or may not be done to the body after death, and after content analysis of these statements she constructed 20 ‘motive’ categories. These categories were analysed to ‘discern psychologically meaningful reaction patterns’ by applying a frame of reference based on psychodynamic defence theory</w:t>
      </w:r>
      <w:r w:rsidR="00DB73FA">
        <w:rPr>
          <w:rFonts w:ascii="Calibri" w:hAnsi="Calibri" w:cs="Calibri"/>
        </w:rPr>
        <w:t>,</w:t>
      </w:r>
      <w:r w:rsidRPr="00493744">
        <w:rPr>
          <w:rFonts w:ascii="Calibri" w:hAnsi="Calibri" w:cs="Calibri"/>
        </w:rPr>
        <w:t xml:space="preserve"> and resulted in six central motive complexes</w:t>
      </w:r>
      <w:r w:rsidR="004A774A" w:rsidRPr="00493744">
        <w:rPr>
          <w:rFonts w:ascii="Calibri" w:hAnsi="Calibri" w:cs="Calibri"/>
        </w:rPr>
        <w:t xml:space="preserve"> </w:t>
      </w:r>
      <w:r w:rsidR="004A774A" w:rsidRPr="00493744">
        <w:rPr>
          <w:rFonts w:ascii="Calibri" w:hAnsi="Calibri" w:cs="Calibri"/>
        </w:rPr>
        <w:fldChar w:fldCharType="begin" w:fldLock="1"/>
      </w:r>
      <w:r w:rsidR="00A354B8">
        <w:rPr>
          <w:rFonts w:ascii="Calibri" w:hAnsi="Calibri" w:cs="Calibri"/>
        </w:rPr>
        <w:instrText>ADDIN CSL_CITATION {"citationItems":[{"id":"ITEM-1","itemData":{"DOI":"10.1016/0277-9536(94)90229-1","ISSN":"02779536","author":[{"dropping-particle":"","family":"Sanner","given":"Margareta","non-dropping-particle":"","parse-names":false,"suffix":""}],"container-title":"Social Science &amp; Medicine","id":"ITEM-1","issue":"8","issued":{"date-parts":[["1994","4"]]},"page":"1141-1152","title":"Attitudes toward organ donation and transplantation","type":"article-journal","volume":"38"},"uris":["http://www.mendeley.com/documents/?uuid=337df23c-c8e6-4e3e-b0f9-35ac20961366"]}],"mendeley":{"formattedCitation":"[13]","plainTextFormattedCitation":"[13]","previouslyFormattedCitation":"[13]"},"properties":{"noteIndex":0},"schema":"https://github.com/citation-style-language/schema/raw/master/csl-citation.json"}</w:instrText>
      </w:r>
      <w:r w:rsidR="004A774A" w:rsidRPr="00493744">
        <w:rPr>
          <w:rFonts w:ascii="Calibri" w:hAnsi="Calibri" w:cs="Calibri"/>
        </w:rPr>
        <w:fldChar w:fldCharType="separate"/>
      </w:r>
      <w:r w:rsidR="004B3E3F" w:rsidRPr="004B3E3F">
        <w:rPr>
          <w:rFonts w:ascii="Calibri" w:hAnsi="Calibri" w:cs="Calibri"/>
          <w:noProof/>
        </w:rPr>
        <w:t>[13]</w:t>
      </w:r>
      <w:r w:rsidR="004A774A" w:rsidRPr="00493744">
        <w:rPr>
          <w:rFonts w:ascii="Calibri" w:hAnsi="Calibri" w:cs="Calibri"/>
        </w:rPr>
        <w:fldChar w:fldCharType="end"/>
      </w:r>
      <w:r w:rsidRPr="00493744">
        <w:rPr>
          <w:rFonts w:ascii="Calibri" w:hAnsi="Calibri" w:cs="Calibri"/>
        </w:rPr>
        <w:t xml:space="preserve"> (</w:t>
      </w:r>
      <w:r w:rsidR="001919FA" w:rsidRPr="00493744">
        <w:rPr>
          <w:rFonts w:ascii="Calibri" w:hAnsi="Calibri" w:cs="Calibri"/>
        </w:rPr>
        <w:t xml:space="preserve">Table </w:t>
      </w:r>
      <w:r w:rsidRPr="00493744">
        <w:rPr>
          <w:rFonts w:ascii="Calibri" w:hAnsi="Calibri" w:cs="Calibri"/>
        </w:rPr>
        <w:t xml:space="preserve"> 4).   </w:t>
      </w:r>
    </w:p>
    <w:p w14:paraId="77C90646" w14:textId="5D9118FA" w:rsidR="004A774A" w:rsidRPr="00493744" w:rsidRDefault="001919FA" w:rsidP="004A774A">
      <w:pPr>
        <w:pStyle w:val="Caption"/>
        <w:keepNext/>
        <w:rPr>
          <w:b/>
          <w:color w:val="auto"/>
          <w:sz w:val="20"/>
          <w:szCs w:val="20"/>
        </w:rPr>
      </w:pPr>
      <w:r w:rsidRPr="00493744">
        <w:rPr>
          <w:b/>
          <w:color w:val="auto"/>
          <w:sz w:val="20"/>
          <w:szCs w:val="20"/>
        </w:rPr>
        <w:t>Table</w:t>
      </w:r>
      <w:r w:rsidR="004A774A" w:rsidRPr="00493744">
        <w:rPr>
          <w:b/>
          <w:color w:val="auto"/>
          <w:sz w:val="20"/>
          <w:szCs w:val="20"/>
        </w:rPr>
        <w:t xml:space="preserve"> </w:t>
      </w:r>
      <w:r w:rsidR="004A774A" w:rsidRPr="00493744">
        <w:rPr>
          <w:b/>
          <w:color w:val="auto"/>
          <w:sz w:val="20"/>
          <w:szCs w:val="20"/>
        </w:rPr>
        <w:fldChar w:fldCharType="begin"/>
      </w:r>
      <w:r w:rsidR="004A774A" w:rsidRPr="00493744">
        <w:rPr>
          <w:b/>
          <w:color w:val="auto"/>
          <w:sz w:val="20"/>
          <w:szCs w:val="20"/>
        </w:rPr>
        <w:instrText xml:space="preserve"> SEQ Table \* ARABIC </w:instrText>
      </w:r>
      <w:r w:rsidR="004A774A" w:rsidRPr="00493744">
        <w:rPr>
          <w:b/>
          <w:color w:val="auto"/>
          <w:sz w:val="20"/>
          <w:szCs w:val="20"/>
        </w:rPr>
        <w:fldChar w:fldCharType="separate"/>
      </w:r>
      <w:r w:rsidR="004A774A" w:rsidRPr="00493744">
        <w:rPr>
          <w:b/>
          <w:noProof/>
          <w:color w:val="auto"/>
          <w:sz w:val="20"/>
          <w:szCs w:val="20"/>
        </w:rPr>
        <w:t>4</w:t>
      </w:r>
      <w:r w:rsidR="004A774A" w:rsidRPr="00493744">
        <w:rPr>
          <w:b/>
          <w:color w:val="auto"/>
          <w:sz w:val="20"/>
          <w:szCs w:val="20"/>
        </w:rPr>
        <w:fldChar w:fldCharType="end"/>
      </w:r>
      <w:r w:rsidR="004A774A" w:rsidRPr="00493744">
        <w:rPr>
          <w:b/>
          <w:color w:val="auto"/>
          <w:sz w:val="20"/>
          <w:szCs w:val="20"/>
        </w:rPr>
        <w:t xml:space="preserve"> – Motive complexes and categories relating to discomfort reactions to post-death procedures (</w:t>
      </w:r>
      <w:proofErr w:type="spellStart"/>
      <w:r w:rsidR="004A774A" w:rsidRPr="00493744">
        <w:rPr>
          <w:b/>
          <w:color w:val="auto"/>
          <w:sz w:val="20"/>
          <w:szCs w:val="20"/>
        </w:rPr>
        <w:t>Sanner</w:t>
      </w:r>
      <w:proofErr w:type="spellEnd"/>
      <w:r w:rsidR="004A774A" w:rsidRPr="00493744">
        <w:rPr>
          <w:b/>
          <w:color w:val="auto"/>
          <w:sz w:val="20"/>
          <w:szCs w:val="20"/>
        </w:rPr>
        <w:t>, 1994)</w:t>
      </w:r>
    </w:p>
    <w:tbl>
      <w:tblPr>
        <w:tblStyle w:val="TableGrid"/>
        <w:tblW w:w="0" w:type="auto"/>
        <w:tblLook w:val="04A0" w:firstRow="1" w:lastRow="0" w:firstColumn="1" w:lastColumn="0" w:noHBand="0" w:noVBand="1"/>
      </w:tblPr>
      <w:tblGrid>
        <w:gridCol w:w="2830"/>
        <w:gridCol w:w="7626"/>
      </w:tblGrid>
      <w:tr w:rsidR="00D92616" w:rsidRPr="003E4333" w14:paraId="6433CD57" w14:textId="77777777" w:rsidTr="00D92616">
        <w:tc>
          <w:tcPr>
            <w:tcW w:w="2830" w:type="dxa"/>
          </w:tcPr>
          <w:p w14:paraId="1D41588E" w14:textId="77777777" w:rsidR="00D92616" w:rsidRPr="003E4333" w:rsidRDefault="00D92616" w:rsidP="00D92616">
            <w:pPr>
              <w:rPr>
                <w:sz w:val="20"/>
                <w:szCs w:val="20"/>
              </w:rPr>
            </w:pPr>
            <w:r w:rsidRPr="003E4333">
              <w:rPr>
                <w:sz w:val="20"/>
                <w:szCs w:val="20"/>
              </w:rPr>
              <w:t xml:space="preserve">Motive complexes </w:t>
            </w:r>
          </w:p>
        </w:tc>
        <w:tc>
          <w:tcPr>
            <w:tcW w:w="7626" w:type="dxa"/>
          </w:tcPr>
          <w:p w14:paraId="6EEF0F88" w14:textId="37815007" w:rsidR="00D92616" w:rsidRPr="003E4333" w:rsidRDefault="00D92616" w:rsidP="00D92616">
            <w:pPr>
              <w:jc w:val="both"/>
              <w:rPr>
                <w:sz w:val="20"/>
                <w:szCs w:val="20"/>
              </w:rPr>
            </w:pPr>
            <w:proofErr w:type="spellStart"/>
            <w:r w:rsidRPr="003E4333">
              <w:rPr>
                <w:sz w:val="20"/>
                <w:szCs w:val="20"/>
              </w:rPr>
              <w:t>Sanner’s</w:t>
            </w:r>
            <w:proofErr w:type="spellEnd"/>
            <w:r w:rsidRPr="003E4333">
              <w:rPr>
                <w:sz w:val="20"/>
                <w:szCs w:val="20"/>
              </w:rPr>
              <w:t xml:space="preserve"> motive categories (for details see </w:t>
            </w:r>
            <w:proofErr w:type="spellStart"/>
            <w:r w:rsidRPr="003E4333">
              <w:rPr>
                <w:sz w:val="20"/>
                <w:szCs w:val="20"/>
              </w:rPr>
              <w:t>Sanner</w:t>
            </w:r>
            <w:proofErr w:type="spellEnd"/>
            <w:r w:rsidRPr="003E4333">
              <w:rPr>
                <w:sz w:val="20"/>
                <w:szCs w:val="20"/>
              </w:rPr>
              <w:t>, 1994)</w:t>
            </w:r>
            <w:r w:rsidR="003305F8">
              <w:rPr>
                <w:sz w:val="20"/>
                <w:szCs w:val="20"/>
              </w:rPr>
              <w:t xml:space="preserve"> </w:t>
            </w:r>
            <w:r w:rsidR="003F2F0A">
              <w:rPr>
                <w:sz w:val="20"/>
                <w:szCs w:val="20"/>
              </w:rPr>
              <w:fldChar w:fldCharType="begin" w:fldLock="1"/>
            </w:r>
            <w:r w:rsidR="00A354B8">
              <w:rPr>
                <w:sz w:val="20"/>
                <w:szCs w:val="20"/>
              </w:rPr>
              <w:instrText>ADDIN CSL_CITATION {"citationItems":[{"id":"ITEM-1","itemData":{"DOI":"10.1016/0277-9536(94)90229-1","ISSN":"02779536","author":[{"dropping-particle":"","family":"Sanner","given":"Margareta","non-dropping-particle":"","parse-names":false,"suffix":""}],"container-title":"Social Science &amp; Medicine","id":"ITEM-1","issue":"8","issued":{"date-parts":[["1994","4"]]},"page":"1141-1152","title":"Attitudes toward organ donation and transplantation","type":"article-journal","volume":"38"},"uris":["http://www.mendeley.com/documents/?uuid=337df23c-c8e6-4e3e-b0f9-35ac20961366"]}],"mendeley":{"formattedCitation":"[13]","plainTextFormattedCitation":"[13]","previouslyFormattedCitation":"[13]"},"properties":{"noteIndex":0},"schema":"https://github.com/citation-style-language/schema/raw/master/csl-citation.json"}</w:instrText>
            </w:r>
            <w:r w:rsidR="003F2F0A">
              <w:rPr>
                <w:sz w:val="20"/>
                <w:szCs w:val="20"/>
              </w:rPr>
              <w:fldChar w:fldCharType="separate"/>
            </w:r>
            <w:r w:rsidR="004B3E3F" w:rsidRPr="004B3E3F">
              <w:rPr>
                <w:noProof/>
                <w:sz w:val="20"/>
                <w:szCs w:val="20"/>
              </w:rPr>
              <w:t>[13]</w:t>
            </w:r>
            <w:r w:rsidR="003F2F0A">
              <w:rPr>
                <w:sz w:val="20"/>
                <w:szCs w:val="20"/>
              </w:rPr>
              <w:fldChar w:fldCharType="end"/>
            </w:r>
          </w:p>
        </w:tc>
      </w:tr>
      <w:tr w:rsidR="00D92616" w:rsidRPr="003E4333" w14:paraId="02B4FF90" w14:textId="77777777" w:rsidTr="00D92616">
        <w:trPr>
          <w:trHeight w:val="2464"/>
        </w:trPr>
        <w:tc>
          <w:tcPr>
            <w:tcW w:w="2830" w:type="dxa"/>
          </w:tcPr>
          <w:p w14:paraId="3259630A" w14:textId="77777777" w:rsidR="00D92616" w:rsidRPr="003E4333" w:rsidRDefault="00D92616" w:rsidP="00D92616">
            <w:pPr>
              <w:rPr>
                <w:sz w:val="20"/>
                <w:szCs w:val="20"/>
              </w:rPr>
            </w:pPr>
            <w:r w:rsidRPr="003E4333">
              <w:rPr>
                <w:sz w:val="20"/>
                <w:szCs w:val="20"/>
              </w:rPr>
              <w:t xml:space="preserve">The illusion of lingering life </w:t>
            </w:r>
          </w:p>
        </w:tc>
        <w:tc>
          <w:tcPr>
            <w:tcW w:w="7626" w:type="dxa"/>
          </w:tcPr>
          <w:p w14:paraId="2A3947B5" w14:textId="77777777" w:rsidR="00D92616" w:rsidRPr="00DA5DF6" w:rsidRDefault="00D92616" w:rsidP="00D92616">
            <w:pPr>
              <w:rPr>
                <w:sz w:val="20"/>
                <w:szCs w:val="20"/>
              </w:rPr>
            </w:pPr>
            <w:r w:rsidRPr="00DA5DF6">
              <w:rPr>
                <w:sz w:val="20"/>
                <w:szCs w:val="20"/>
              </w:rPr>
              <w:t xml:space="preserve">1.  </w:t>
            </w:r>
            <w:r w:rsidRPr="00213A00">
              <w:rPr>
                <w:sz w:val="20"/>
                <w:szCs w:val="20"/>
              </w:rPr>
              <w:t>Uneasiness at the thought of cutting the dead body</w:t>
            </w:r>
          </w:p>
          <w:p w14:paraId="7280B2C2" w14:textId="77777777" w:rsidR="00D92616" w:rsidRPr="00DA5DF6" w:rsidRDefault="00D92616" w:rsidP="00D92616">
            <w:pPr>
              <w:rPr>
                <w:sz w:val="20"/>
                <w:szCs w:val="20"/>
              </w:rPr>
            </w:pPr>
            <w:r w:rsidRPr="00DA5DF6">
              <w:rPr>
                <w:sz w:val="20"/>
                <w:szCs w:val="20"/>
              </w:rPr>
              <w:t xml:space="preserve">2.  </w:t>
            </w:r>
            <w:r w:rsidRPr="00213A00">
              <w:rPr>
                <w:sz w:val="20"/>
                <w:szCs w:val="20"/>
              </w:rPr>
              <w:t>Anxiety about not keeping the dead body intact</w:t>
            </w:r>
          </w:p>
          <w:p w14:paraId="4E56ABAB" w14:textId="77777777" w:rsidR="00D92616" w:rsidRPr="00DA5DF6" w:rsidRDefault="00D92616" w:rsidP="00D92616">
            <w:pPr>
              <w:rPr>
                <w:sz w:val="20"/>
                <w:szCs w:val="20"/>
              </w:rPr>
            </w:pPr>
            <w:r w:rsidRPr="00DA5DF6">
              <w:rPr>
                <w:sz w:val="20"/>
                <w:szCs w:val="20"/>
              </w:rPr>
              <w:t xml:space="preserve">3.  </w:t>
            </w:r>
            <w:r w:rsidRPr="00213A00">
              <w:rPr>
                <w:sz w:val="20"/>
                <w:szCs w:val="20"/>
              </w:rPr>
              <w:t>Discomfort with donation of certain organs</w:t>
            </w:r>
          </w:p>
          <w:p w14:paraId="6E04AE3D" w14:textId="77777777" w:rsidR="00D92616" w:rsidRPr="00DA5DF6" w:rsidRDefault="00D92616" w:rsidP="00D92616">
            <w:pPr>
              <w:rPr>
                <w:sz w:val="20"/>
                <w:szCs w:val="20"/>
              </w:rPr>
            </w:pPr>
            <w:r w:rsidRPr="00DA5DF6">
              <w:rPr>
                <w:sz w:val="20"/>
                <w:szCs w:val="20"/>
              </w:rPr>
              <w:t>4. Difficulty with cutting children</w:t>
            </w:r>
          </w:p>
          <w:p w14:paraId="449D424F" w14:textId="77777777" w:rsidR="00D92616" w:rsidRPr="00DA5DF6" w:rsidRDefault="00D92616" w:rsidP="00D92616">
            <w:pPr>
              <w:rPr>
                <w:sz w:val="20"/>
                <w:szCs w:val="20"/>
              </w:rPr>
            </w:pPr>
            <w:r w:rsidRPr="00DA5DF6">
              <w:rPr>
                <w:sz w:val="20"/>
                <w:szCs w:val="20"/>
              </w:rPr>
              <w:t xml:space="preserve">5.  </w:t>
            </w:r>
            <w:r w:rsidRPr="00213A00">
              <w:rPr>
                <w:sz w:val="20"/>
                <w:szCs w:val="20"/>
              </w:rPr>
              <w:t>Fear of destruction (of the body)</w:t>
            </w:r>
          </w:p>
          <w:p w14:paraId="6005BD1E" w14:textId="77777777" w:rsidR="00D92616" w:rsidRPr="00DA5DF6" w:rsidRDefault="00D92616" w:rsidP="00D92616">
            <w:pPr>
              <w:rPr>
                <w:sz w:val="20"/>
                <w:szCs w:val="20"/>
              </w:rPr>
            </w:pPr>
            <w:r w:rsidRPr="00DA5DF6">
              <w:rPr>
                <w:sz w:val="20"/>
                <w:szCs w:val="20"/>
              </w:rPr>
              <w:t xml:space="preserve">6.  </w:t>
            </w:r>
            <w:r w:rsidRPr="00213A00">
              <w:rPr>
                <w:sz w:val="20"/>
                <w:szCs w:val="20"/>
              </w:rPr>
              <w:t>Uneasiness with exposure (via autopsy or dissection)</w:t>
            </w:r>
          </w:p>
          <w:p w14:paraId="573521BB" w14:textId="77777777" w:rsidR="00D92616" w:rsidRPr="00DA5DF6" w:rsidRDefault="00D92616" w:rsidP="00D92616">
            <w:pPr>
              <w:rPr>
                <w:sz w:val="20"/>
                <w:szCs w:val="20"/>
              </w:rPr>
            </w:pPr>
            <w:r w:rsidRPr="00DA5DF6">
              <w:rPr>
                <w:sz w:val="20"/>
                <w:szCs w:val="20"/>
              </w:rPr>
              <w:t xml:space="preserve">7.  </w:t>
            </w:r>
            <w:r w:rsidRPr="00213A00">
              <w:rPr>
                <w:sz w:val="20"/>
                <w:szCs w:val="20"/>
              </w:rPr>
              <w:t>Fear of disrespect for the dead person</w:t>
            </w:r>
          </w:p>
          <w:p w14:paraId="2C5BEA1D" w14:textId="77777777" w:rsidR="00D92616" w:rsidRPr="003E4333" w:rsidRDefault="00D92616" w:rsidP="00D92616">
            <w:pPr>
              <w:rPr>
                <w:sz w:val="20"/>
                <w:szCs w:val="20"/>
              </w:rPr>
            </w:pPr>
            <w:r w:rsidRPr="00DA5DF6">
              <w:rPr>
                <w:sz w:val="20"/>
                <w:szCs w:val="20"/>
              </w:rPr>
              <w:t xml:space="preserve">9.  </w:t>
            </w:r>
            <w:r w:rsidRPr="00213A00">
              <w:rPr>
                <w:sz w:val="20"/>
                <w:szCs w:val="20"/>
              </w:rPr>
              <w:t>Discomfort with changes in appearance</w:t>
            </w:r>
          </w:p>
          <w:p w14:paraId="5D311294" w14:textId="77777777" w:rsidR="00D92616" w:rsidRPr="003E4333" w:rsidRDefault="00D92616" w:rsidP="00D92616">
            <w:pPr>
              <w:rPr>
                <w:sz w:val="20"/>
                <w:szCs w:val="20"/>
              </w:rPr>
            </w:pPr>
            <w:r w:rsidRPr="003E4333">
              <w:rPr>
                <w:sz w:val="20"/>
                <w:szCs w:val="20"/>
              </w:rPr>
              <w:t>11.  Apprehension about the funeral</w:t>
            </w:r>
          </w:p>
          <w:p w14:paraId="3EA2B2E0" w14:textId="77777777" w:rsidR="00D92616" w:rsidRPr="003E4333" w:rsidRDefault="00D92616" w:rsidP="00D92616">
            <w:pPr>
              <w:rPr>
                <w:sz w:val="20"/>
                <w:szCs w:val="20"/>
              </w:rPr>
            </w:pPr>
            <w:r w:rsidRPr="003E4333">
              <w:rPr>
                <w:sz w:val="20"/>
                <w:szCs w:val="20"/>
              </w:rPr>
              <w:t>13.  Discomfort at giving useless organs</w:t>
            </w:r>
          </w:p>
        </w:tc>
      </w:tr>
      <w:tr w:rsidR="00D92616" w:rsidRPr="003E4333" w14:paraId="0F1B97B4" w14:textId="77777777" w:rsidTr="00D92616">
        <w:tc>
          <w:tcPr>
            <w:tcW w:w="2830" w:type="dxa"/>
          </w:tcPr>
          <w:p w14:paraId="74BCF606" w14:textId="77777777" w:rsidR="00D92616" w:rsidRPr="003E4333" w:rsidRDefault="00D92616" w:rsidP="00D92616">
            <w:pPr>
              <w:rPr>
                <w:sz w:val="20"/>
                <w:szCs w:val="20"/>
              </w:rPr>
            </w:pPr>
            <w:r w:rsidRPr="003E4333">
              <w:rPr>
                <w:sz w:val="20"/>
                <w:szCs w:val="20"/>
              </w:rPr>
              <w:t xml:space="preserve">Protection of the value of the individual </w:t>
            </w:r>
          </w:p>
        </w:tc>
        <w:tc>
          <w:tcPr>
            <w:tcW w:w="7626" w:type="dxa"/>
          </w:tcPr>
          <w:p w14:paraId="103745A9" w14:textId="77777777" w:rsidR="00D92616" w:rsidRPr="003E4333" w:rsidRDefault="00D92616" w:rsidP="00D92616">
            <w:pPr>
              <w:rPr>
                <w:sz w:val="20"/>
                <w:szCs w:val="20"/>
              </w:rPr>
            </w:pPr>
            <w:r w:rsidRPr="003E4333">
              <w:rPr>
                <w:sz w:val="20"/>
                <w:szCs w:val="20"/>
              </w:rPr>
              <w:t>5.  Fear of destruction</w:t>
            </w:r>
          </w:p>
          <w:p w14:paraId="33782A27" w14:textId="77777777" w:rsidR="00D92616" w:rsidRPr="003E4333" w:rsidRDefault="00D92616" w:rsidP="00D92616">
            <w:pPr>
              <w:rPr>
                <w:sz w:val="20"/>
                <w:szCs w:val="20"/>
              </w:rPr>
            </w:pPr>
            <w:r w:rsidRPr="003E4333">
              <w:rPr>
                <w:sz w:val="20"/>
                <w:szCs w:val="20"/>
              </w:rPr>
              <w:t>7.  Fear of disrespect for the dead person</w:t>
            </w:r>
          </w:p>
          <w:p w14:paraId="23F5F821" w14:textId="77777777" w:rsidR="00D92616" w:rsidRPr="003E4333" w:rsidRDefault="00D92616" w:rsidP="00D92616">
            <w:pPr>
              <w:rPr>
                <w:sz w:val="20"/>
                <w:szCs w:val="20"/>
              </w:rPr>
            </w:pPr>
            <w:r w:rsidRPr="003E4333">
              <w:rPr>
                <w:sz w:val="20"/>
                <w:szCs w:val="20"/>
              </w:rPr>
              <w:t>9.  Discomfort with changes in appearance</w:t>
            </w:r>
          </w:p>
          <w:p w14:paraId="2E3CDB49" w14:textId="77777777" w:rsidR="00D92616" w:rsidRPr="003E4333" w:rsidRDefault="00D92616" w:rsidP="00D92616">
            <w:pPr>
              <w:rPr>
                <w:sz w:val="20"/>
                <w:szCs w:val="20"/>
              </w:rPr>
            </w:pPr>
            <w:r w:rsidRPr="003E4333">
              <w:rPr>
                <w:sz w:val="20"/>
                <w:szCs w:val="20"/>
              </w:rPr>
              <w:t>10.  Apprehension about the funeral</w:t>
            </w:r>
          </w:p>
          <w:p w14:paraId="6FB55C6E" w14:textId="77777777" w:rsidR="00D92616" w:rsidRPr="003E4333" w:rsidRDefault="00D92616" w:rsidP="00D92616">
            <w:pPr>
              <w:rPr>
                <w:sz w:val="20"/>
                <w:szCs w:val="20"/>
              </w:rPr>
            </w:pPr>
            <w:r w:rsidRPr="003E4333">
              <w:rPr>
                <w:sz w:val="20"/>
                <w:szCs w:val="20"/>
              </w:rPr>
              <w:t>13.  Discomfort of giving useless organs</w:t>
            </w:r>
          </w:p>
          <w:p w14:paraId="1BA7CACB" w14:textId="77777777" w:rsidR="00D92616" w:rsidRPr="003E4333" w:rsidRDefault="00D92616" w:rsidP="00D92616">
            <w:pPr>
              <w:rPr>
                <w:sz w:val="20"/>
                <w:szCs w:val="20"/>
              </w:rPr>
            </w:pPr>
            <w:r w:rsidRPr="003E4333">
              <w:rPr>
                <w:sz w:val="20"/>
                <w:szCs w:val="20"/>
              </w:rPr>
              <w:t>15.  Distrust of the doctors</w:t>
            </w:r>
          </w:p>
        </w:tc>
      </w:tr>
      <w:tr w:rsidR="00D92616" w:rsidRPr="003E4333" w14:paraId="324CDAB5" w14:textId="77777777" w:rsidTr="00D92616">
        <w:tc>
          <w:tcPr>
            <w:tcW w:w="2830" w:type="dxa"/>
          </w:tcPr>
          <w:p w14:paraId="30979295" w14:textId="77777777" w:rsidR="00D92616" w:rsidRPr="003E4333" w:rsidRDefault="00D92616" w:rsidP="00D92616">
            <w:pPr>
              <w:rPr>
                <w:sz w:val="20"/>
                <w:szCs w:val="20"/>
              </w:rPr>
            </w:pPr>
            <w:r w:rsidRPr="003E4333">
              <w:rPr>
                <w:sz w:val="20"/>
                <w:szCs w:val="20"/>
              </w:rPr>
              <w:t>Distress, anxiety and alienation</w:t>
            </w:r>
          </w:p>
        </w:tc>
        <w:tc>
          <w:tcPr>
            <w:tcW w:w="7626" w:type="dxa"/>
          </w:tcPr>
          <w:p w14:paraId="41DF2ED4" w14:textId="77777777" w:rsidR="00D92616" w:rsidRPr="003E4333" w:rsidRDefault="00D92616" w:rsidP="00D92616">
            <w:pPr>
              <w:rPr>
                <w:sz w:val="20"/>
                <w:szCs w:val="20"/>
              </w:rPr>
            </w:pPr>
            <w:r w:rsidRPr="003E4333">
              <w:rPr>
                <w:sz w:val="20"/>
                <w:szCs w:val="20"/>
              </w:rPr>
              <w:t>14.  Problems with the concept of death</w:t>
            </w:r>
          </w:p>
          <w:p w14:paraId="2A14468C" w14:textId="77777777" w:rsidR="00D92616" w:rsidRPr="003E4333" w:rsidRDefault="00D92616" w:rsidP="00D92616">
            <w:pPr>
              <w:rPr>
                <w:sz w:val="20"/>
                <w:szCs w:val="20"/>
              </w:rPr>
            </w:pPr>
            <w:r w:rsidRPr="003E4333">
              <w:rPr>
                <w:sz w:val="20"/>
                <w:szCs w:val="20"/>
              </w:rPr>
              <w:t>15.  Distrust of the doctors</w:t>
            </w:r>
          </w:p>
          <w:p w14:paraId="66E31FEE" w14:textId="77777777" w:rsidR="00D92616" w:rsidRPr="003E4333" w:rsidRDefault="00D92616" w:rsidP="00D92616">
            <w:pPr>
              <w:rPr>
                <w:sz w:val="20"/>
                <w:szCs w:val="20"/>
              </w:rPr>
            </w:pPr>
            <w:r w:rsidRPr="003E4333">
              <w:rPr>
                <w:sz w:val="20"/>
                <w:szCs w:val="20"/>
              </w:rPr>
              <w:t>16.  Anxiety about biomedical and social development</w:t>
            </w:r>
          </w:p>
        </w:tc>
      </w:tr>
      <w:tr w:rsidR="00D92616" w:rsidRPr="003E4333" w14:paraId="120CE422" w14:textId="77777777" w:rsidTr="00D92616">
        <w:tc>
          <w:tcPr>
            <w:tcW w:w="2830" w:type="dxa"/>
          </w:tcPr>
          <w:p w14:paraId="496F2526" w14:textId="77777777" w:rsidR="00D92616" w:rsidRPr="003E4333" w:rsidRDefault="00D92616" w:rsidP="00D92616">
            <w:pPr>
              <w:rPr>
                <w:sz w:val="20"/>
                <w:szCs w:val="20"/>
              </w:rPr>
            </w:pPr>
            <w:r w:rsidRPr="003E4333">
              <w:rPr>
                <w:sz w:val="20"/>
                <w:szCs w:val="20"/>
              </w:rPr>
              <w:t>Respecting the limits set by nature/God</w:t>
            </w:r>
          </w:p>
        </w:tc>
        <w:tc>
          <w:tcPr>
            <w:tcW w:w="7626" w:type="dxa"/>
          </w:tcPr>
          <w:p w14:paraId="47F10303" w14:textId="77777777" w:rsidR="00D92616" w:rsidRPr="003E4333" w:rsidRDefault="00D92616" w:rsidP="00D92616">
            <w:pPr>
              <w:rPr>
                <w:sz w:val="20"/>
                <w:szCs w:val="20"/>
              </w:rPr>
            </w:pPr>
            <w:r w:rsidRPr="003E4333">
              <w:rPr>
                <w:sz w:val="20"/>
                <w:szCs w:val="20"/>
              </w:rPr>
              <w:t>12.  Dislike of having one’s organ surviving in another body or having another organ living on in one’s own body</w:t>
            </w:r>
          </w:p>
          <w:p w14:paraId="040D6CA0" w14:textId="77777777" w:rsidR="00D92616" w:rsidRPr="003E4333" w:rsidRDefault="00D92616" w:rsidP="00D92616">
            <w:pPr>
              <w:rPr>
                <w:sz w:val="20"/>
                <w:szCs w:val="20"/>
              </w:rPr>
            </w:pPr>
            <w:r w:rsidRPr="003E4333">
              <w:rPr>
                <w:sz w:val="20"/>
                <w:szCs w:val="20"/>
              </w:rPr>
              <w:t>17.  Anxiety about offending God/nature</w:t>
            </w:r>
          </w:p>
        </w:tc>
      </w:tr>
      <w:tr w:rsidR="00D92616" w:rsidRPr="003E4333" w14:paraId="1B3E917E" w14:textId="77777777" w:rsidTr="00D92616">
        <w:tc>
          <w:tcPr>
            <w:tcW w:w="2830" w:type="dxa"/>
          </w:tcPr>
          <w:p w14:paraId="1398B410" w14:textId="77777777" w:rsidR="00D92616" w:rsidRPr="003E4333" w:rsidRDefault="00D92616" w:rsidP="00D92616">
            <w:pPr>
              <w:rPr>
                <w:sz w:val="20"/>
                <w:szCs w:val="20"/>
              </w:rPr>
            </w:pPr>
            <w:r w:rsidRPr="003E4333">
              <w:rPr>
                <w:sz w:val="20"/>
                <w:szCs w:val="20"/>
              </w:rPr>
              <w:t>Altruism</w:t>
            </w:r>
          </w:p>
        </w:tc>
        <w:tc>
          <w:tcPr>
            <w:tcW w:w="7626" w:type="dxa"/>
          </w:tcPr>
          <w:p w14:paraId="644076C5" w14:textId="77777777" w:rsidR="00D92616" w:rsidRPr="003E4333" w:rsidRDefault="00D92616" w:rsidP="00D92616">
            <w:pPr>
              <w:rPr>
                <w:sz w:val="20"/>
                <w:szCs w:val="20"/>
              </w:rPr>
            </w:pPr>
            <w:r w:rsidRPr="003E4333">
              <w:rPr>
                <w:sz w:val="20"/>
                <w:szCs w:val="20"/>
              </w:rPr>
              <w:t>18.  Helpfulness and solidarity</w:t>
            </w:r>
          </w:p>
          <w:p w14:paraId="18193CCF" w14:textId="77777777" w:rsidR="00D92616" w:rsidRPr="003E4333" w:rsidRDefault="00D92616" w:rsidP="00D92616">
            <w:pPr>
              <w:rPr>
                <w:sz w:val="20"/>
                <w:szCs w:val="20"/>
              </w:rPr>
            </w:pPr>
            <w:r w:rsidRPr="003E4333">
              <w:rPr>
                <w:sz w:val="20"/>
                <w:szCs w:val="20"/>
              </w:rPr>
              <w:t>19.  Contribution to medical research</w:t>
            </w:r>
          </w:p>
        </w:tc>
      </w:tr>
      <w:tr w:rsidR="00D92616" w:rsidRPr="003E4333" w14:paraId="609D8DA7" w14:textId="77777777" w:rsidTr="00D92616">
        <w:tc>
          <w:tcPr>
            <w:tcW w:w="2830" w:type="dxa"/>
          </w:tcPr>
          <w:p w14:paraId="4A603C68" w14:textId="77777777" w:rsidR="00D92616" w:rsidRPr="003E4333" w:rsidRDefault="00D92616" w:rsidP="00D92616">
            <w:pPr>
              <w:rPr>
                <w:sz w:val="20"/>
                <w:szCs w:val="20"/>
              </w:rPr>
            </w:pPr>
            <w:r w:rsidRPr="003E4333">
              <w:rPr>
                <w:sz w:val="20"/>
                <w:szCs w:val="20"/>
              </w:rPr>
              <w:t>Rationality</w:t>
            </w:r>
          </w:p>
        </w:tc>
        <w:tc>
          <w:tcPr>
            <w:tcW w:w="7626" w:type="dxa"/>
          </w:tcPr>
          <w:p w14:paraId="68FA2D02" w14:textId="77777777" w:rsidR="00D92616" w:rsidRPr="003E4333" w:rsidRDefault="00D92616" w:rsidP="00D92616">
            <w:pPr>
              <w:rPr>
                <w:sz w:val="20"/>
                <w:szCs w:val="20"/>
              </w:rPr>
            </w:pPr>
            <w:r w:rsidRPr="003E4333">
              <w:rPr>
                <w:sz w:val="20"/>
                <w:szCs w:val="20"/>
              </w:rPr>
              <w:t>20.  Organs from the deceased can be used in the treatment of the living</w:t>
            </w:r>
          </w:p>
        </w:tc>
      </w:tr>
    </w:tbl>
    <w:p w14:paraId="2D7C3902" w14:textId="77777777" w:rsidR="0080602F" w:rsidRDefault="0080602F" w:rsidP="0080602F">
      <w:pPr>
        <w:rPr>
          <w:sz w:val="20"/>
          <w:szCs w:val="20"/>
        </w:rPr>
      </w:pPr>
    </w:p>
    <w:p w14:paraId="7690862A" w14:textId="64A6104A" w:rsidR="00D92616" w:rsidRPr="00AD279E" w:rsidRDefault="00D92616" w:rsidP="00125273">
      <w:pPr>
        <w:spacing w:line="360" w:lineRule="auto"/>
        <w:rPr>
          <w:i/>
        </w:rPr>
      </w:pPr>
      <w:r w:rsidRPr="00AD279E">
        <w:t xml:space="preserve">Not only can we see these discomfort reactions articulated in the </w:t>
      </w:r>
      <w:r w:rsidR="00B95528">
        <w:t>free-text</w:t>
      </w:r>
      <w:r w:rsidRPr="00AD279E">
        <w:t xml:space="preserve"> comments recorded during data collection by SNODs</w:t>
      </w:r>
      <w:r w:rsidR="00DB73FA">
        <w:t xml:space="preserve"> in our own findings</w:t>
      </w:r>
      <w:r w:rsidR="00FF405C" w:rsidRPr="00AD279E">
        <w:t xml:space="preserve"> </w:t>
      </w:r>
      <w:r w:rsidR="00125273" w:rsidRPr="00AD279E">
        <w:t>(</w:t>
      </w:r>
      <w:r w:rsidR="00C75FEC">
        <w:t>T</w:t>
      </w:r>
      <w:r w:rsidR="00125273" w:rsidRPr="00AD279E">
        <w:t xml:space="preserve">extboxes </w:t>
      </w:r>
      <w:r w:rsidR="00C02041">
        <w:t>1</w:t>
      </w:r>
      <w:r w:rsidR="00125273" w:rsidRPr="003A4E14">
        <w:t xml:space="preserve"> – 4), </w:t>
      </w:r>
      <w:r w:rsidR="00DB73FA">
        <w:t xml:space="preserve">we can also see that </w:t>
      </w:r>
      <w:r w:rsidR="00755F9B" w:rsidRPr="003A4E14">
        <w:t>non-rational r</w:t>
      </w:r>
      <w:r w:rsidR="00FF405C" w:rsidRPr="003A4E14">
        <w:t>eactions have been evidenced</w:t>
      </w:r>
      <w:r w:rsidR="00684E21" w:rsidRPr="003A4E14">
        <w:t xml:space="preserve"> by other authors and include:</w:t>
      </w:r>
      <w:r w:rsidR="001116A1" w:rsidRPr="003A4E14">
        <w:t xml:space="preserve"> </w:t>
      </w:r>
      <w:r w:rsidR="00E844AE" w:rsidRPr="003A4E14">
        <w:rPr>
          <w:i/>
        </w:rPr>
        <w:t>fear that doctors would hasten the death of declared donors in order to procure transplan</w:t>
      </w:r>
      <w:r w:rsidR="008D2779">
        <w:rPr>
          <w:i/>
        </w:rPr>
        <w:t>t</w:t>
      </w:r>
      <w:r w:rsidR="001919FA">
        <w:rPr>
          <w:i/>
        </w:rPr>
        <w:t xml:space="preserve">able </w:t>
      </w:r>
      <w:r w:rsidR="00E844AE" w:rsidRPr="003A4E14">
        <w:rPr>
          <w:i/>
        </w:rPr>
        <w:t>organs</w:t>
      </w:r>
      <w:r w:rsidR="003F2F0A">
        <w:rPr>
          <w:i/>
        </w:rPr>
        <w:t xml:space="preserve"> </w:t>
      </w:r>
      <w:r w:rsidR="003F2F0A">
        <w:fldChar w:fldCharType="begin" w:fldLock="1"/>
      </w:r>
      <w:r w:rsidR="004F199F">
        <w:instrText>ADDIN CSL_CITATION {"citationItems":[{"id":"ITEM-1","itemData":{"DOI":"10.1034/j.1399-0012.2001.150107.x","ISSN":"09020063","PMID":"11168314","abstract":"Objective: To identify those factors that enhance or inhibit organ donation in order to provide data to help policy makers, hospital administrators and transplantation professionals make informed choices about how to modify the donor system and to structure 'best practice' interventions. Summary of background data: Legislative efforts to increase donation rates have not been successful. An emphasis on process is needed to help explain this. Methods: The study was conducted using a stratified random sample of 23 hospitals in the Pittsburgh and Minneapolis/St Paul standard statistical metropolitan areas. Each week, the medical charts of all in-patient and emergency room patient deaths at each hospital were reviewed using a standardized review protocol to determine eligibility for organ, tissue, and cornea donation. A total of 10681 patient charts were reviewed over a 4-yr period. Eight hundred and twenty-eight cases out of 1723 eligible cases were selected for inclusion in the study. Data were collected on 827 of these cases. All health care providers (HCPs) who spoke with the family after the patient's death or discussed donation with the family were interviewed. Results: Of the 10681 patient charts reviewed, 16.5% were eligible to donate either organs, tissues, or corneas, and 87.0% of donor-eligible patients' families were approached and asked to donate. Consent rates were 23.5% for corneas, 34.5% for tissues, and 46.5% for organ donation. Multiple logistic regression demonstrated that the best and strongest predictor of donation decisions was the family's initial response to the donation request, as reported by the HCP. Three initial response groups are examined and compared. Those families who expressed an initially favorable reaction were most likely to agree to donation. Furthermore, discussion patterns differed by initial reaction group, with families who expressed initial indecision about donation sharing more characteristics with families who were not favorable than those who were favorable. More detailed information was provided to the favorable families, as compared to the other two groups, concerning the effect of donation on funeral arrangements and costs. Families who were favorable were also more likely to meet with an organ procurement organization representative than were other families. The strongest predictor of a family's unfavorable response to a donation request was the belief that the patient would have been against donation. A num…","author":[{"dropping-particle":"","family":"Siminoff","given":"Laura A.","non-dropping-particle":"","parse-names":false,"suffix":""},{"dropping-particle":"","family":"Arnold","given":"Robert M.","non-dropping-particle":"","parse-names":false,"suffix":""},{"dropping-particle":"","family":"Hewlett","given":"Joan","non-dropping-particle":"","parse-names":false,"suffix":""}],"container-title":"Clinical Transplantation","id":"ITEM-1","issue":"1","issued":{"date-parts":[["2001"]]},"page":"39-47","title":"The process of organ donation and its effect on consent","type":"article-journal","volume":"15"},"uris":["http://www.mendeley.com/documents/?uuid=ff2820c5-fda7-4926-b783-44426d7ab9a0"]}],"mendeley":{"formattedCitation":"[18]","plainTextFormattedCitation":"[18]","previouslyFormattedCitation":"[18]"},"properties":{"noteIndex":0},"schema":"https://github.com/citation-style-language/schema/raw/master/csl-citation.json"}</w:instrText>
      </w:r>
      <w:r w:rsidR="003F2F0A">
        <w:fldChar w:fldCharType="separate"/>
      </w:r>
      <w:r w:rsidR="004F199F" w:rsidRPr="004F199F">
        <w:rPr>
          <w:noProof/>
        </w:rPr>
        <w:t>[18]</w:t>
      </w:r>
      <w:r w:rsidR="003F2F0A">
        <w:fldChar w:fldCharType="end"/>
      </w:r>
      <w:r w:rsidR="00684E21" w:rsidRPr="003A4E14">
        <w:t>,</w:t>
      </w:r>
      <w:r w:rsidR="003A4E14">
        <w:t xml:space="preserve"> </w:t>
      </w:r>
      <w:r w:rsidR="003A4E14" w:rsidRPr="003A4E14">
        <w:rPr>
          <w:i/>
        </w:rPr>
        <w:t xml:space="preserve">belief that donation would negatively impact rebirth or reincarnation (deceased would be </w:t>
      </w:r>
      <w:r w:rsidR="003351AB">
        <w:rPr>
          <w:i/>
        </w:rPr>
        <w:t>re</w:t>
      </w:r>
      <w:r w:rsidR="003A4E14" w:rsidRPr="003A4E14">
        <w:rPr>
          <w:i/>
        </w:rPr>
        <w:t>born blind</w:t>
      </w:r>
      <w:r w:rsidR="003351AB">
        <w:rPr>
          <w:i/>
        </w:rPr>
        <w:t>)</w:t>
      </w:r>
      <w:r w:rsidR="003A4E14">
        <w:t xml:space="preserve"> </w:t>
      </w:r>
      <w:r w:rsidR="003F2F0A">
        <w:fldChar w:fldCharType="begin" w:fldLock="1"/>
      </w:r>
      <w:r w:rsidR="005740D8">
        <w:instrText>ADDIN CSL_CITATION {"citationItems":[{"id":"ITEM-1","itemData":{"DOI":"10.1097/01.ico.0000121706.58571.f6","ISSN":"02773740","abstract":"Purpose: To evaluate the responses to requests for eye donation from relatives of postmortem cases in a tertiary care hospital in India. Methods: In a prospective study, the cases brought for postmortem to the Forensic Medicine Department were screened as potential donors by our team. The next of kin of potential donors were approached and counseled in a systematic manner following a standard interview pattern. Responses were noted in a predesigned performa. The religion, level of literacy, socioeconomic status, relationship with the deceased, prior knowledge of eye donation, willingness for eye donation, and reasons for not donating eyes of the deceased were recorded. Results: One hundred fifty-nine potential donors were identified from a total of 721 postmortem cases. There were 119 (74.8%) men and 40 (25.2%) women. None of the deceased had previously pledged their eyes for eye donation. Eighty-eight (55.4%) next of kin were already aware of the concept of eye donation, but 71 (44.7%) families had not heard of it before. Willingness for eye donation was seen in 66 (41.5%), whereas 93 (58.5%) families refused eye donation. Of those already aware of eye donation, 39 (44.3%) gave consent for donation. Prior knowledge of eye donation had no influence on willingness for eye donation (P = 0.424). Similarly, literacy (P = 0.338) and socioeconomic status as estimated by a composite socioeconomic scale based on literacy and family income did not have any influence on willingness for eye donation (P = 0.338). Major reasons for not donating eyes included refusal to discuss the issue and dissuasion by distant relatives, legal problems, and religious beliefs. Conclusions: In our experience, literacy, socioeconomic status, and prior knowledge of eye donation of next kin had no correlation with donor corneal tissue procurement. Active counseling by a motivated team can be effective even in families with no prior knowledge and low socioeconomic status.","author":[{"dropping-particle":"","family":"Tandon","given":"Radhika","non-dropping-particle":"","parse-names":false,"suffix":""},{"dropping-particle":"","family":"Verma","given":"Kamna","non-dropping-particle":"","parse-names":false,"suffix":""},{"dropping-particle":"","family":"Vanathi","given":"M.","non-dropping-particle":"","parse-names":false,"suffix":""},{"dropping-particle":"","family":"Pandey","given":"R. M.","non-dropping-particle":"","parse-names":false,"suffix":""},{"dropping-particle":"","family":"Vajpayee","given":"Rasik B.","non-dropping-particle":"","parse-names":false,"suffix":""}],"container-title":"Cornea","id":"ITEM-1","issue":"6","issued":{"date-parts":[["2004"]]},"page":"597-601","title":"Factors affecting eye donation from postmortem cases in a tertiary care hospital","type":"article-journal","volume":"23"},"uris":["http://www.mendeley.com/documents/?uuid=b30e1aa8-fa2c-42ea-a378-8530a7c7106b"]}],"mendeley":{"formattedCitation":"[33]","plainTextFormattedCitation":"[33]","previouslyFormattedCitation":"[33]"},"properties":{"noteIndex":0},"schema":"https://github.com/citation-style-language/schema/raw/master/csl-citation.json"}</w:instrText>
      </w:r>
      <w:r w:rsidR="003F2F0A">
        <w:fldChar w:fldCharType="separate"/>
      </w:r>
      <w:r w:rsidR="00916FE7" w:rsidRPr="00916FE7">
        <w:rPr>
          <w:noProof/>
        </w:rPr>
        <w:t>[33]</w:t>
      </w:r>
      <w:r w:rsidR="003F2F0A">
        <w:fldChar w:fldCharType="end"/>
      </w:r>
      <w:r w:rsidR="00B953AD" w:rsidRPr="003A4E14">
        <w:t xml:space="preserve">, </w:t>
      </w:r>
      <w:r w:rsidR="00DB73FA">
        <w:t>and</w:t>
      </w:r>
      <w:r w:rsidR="00DB73FA" w:rsidRPr="003A4E14">
        <w:t xml:space="preserve"> </w:t>
      </w:r>
      <w:r w:rsidR="00B953AD" w:rsidRPr="003A4E14">
        <w:t xml:space="preserve">later work </w:t>
      </w:r>
      <w:r w:rsidR="003A4E14">
        <w:t xml:space="preserve">identifying </w:t>
      </w:r>
      <w:r w:rsidR="00B953AD" w:rsidRPr="003A4E14">
        <w:t xml:space="preserve">the impact of </w:t>
      </w:r>
      <w:r w:rsidR="00B953AD" w:rsidRPr="003A4E14">
        <w:rPr>
          <w:i/>
        </w:rPr>
        <w:t>emotional beliefs including the ‘ick’ factor</w:t>
      </w:r>
      <w:r w:rsidR="00B20388" w:rsidRPr="003A4E14">
        <w:rPr>
          <w:i/>
        </w:rPr>
        <w:t xml:space="preserve"> </w:t>
      </w:r>
      <w:r w:rsidR="00B20388" w:rsidRPr="003A4E14">
        <w:t>and</w:t>
      </w:r>
      <w:r w:rsidR="00125273" w:rsidRPr="003A4E14">
        <w:t xml:space="preserve"> the role</w:t>
      </w:r>
      <w:r w:rsidR="00125273" w:rsidRPr="003A4E14">
        <w:rPr>
          <w:i/>
        </w:rPr>
        <w:t xml:space="preserve"> of</w:t>
      </w:r>
      <w:r w:rsidR="00B20388" w:rsidRPr="003A4E14">
        <w:rPr>
          <w:i/>
        </w:rPr>
        <w:t xml:space="preserve"> ‘Body Integrity’</w:t>
      </w:r>
      <w:r w:rsidR="00B953AD" w:rsidRPr="003A4E14">
        <w:t xml:space="preserve"> </w:t>
      </w:r>
      <w:r w:rsidR="003F2F0A">
        <w:fldChar w:fldCharType="begin" w:fldLock="1"/>
      </w:r>
      <w:r w:rsidR="004F199F">
        <w:instrText>ADDIN CSL_CITATION {"citationItems":[{"id":"ITEM-1","itemData":{"DOI":"10.1177/1359105308090936","ISSN":"1359-1053","author":[{"dropping-particle":"","family":"Morgan","given":"Susan E.","non-dropping-particle":"","parse-names":false,"suffix":""},{"dropping-particle":"","family":"Stephenson","given":"Michael T.","non-dropping-particle":"","parse-names":false,"suffix":""},{"dropping-particle":"","family":"Harrison","given":"Tyler R.","non-dropping-particle":"","parse-names":false,"suffix":""},{"dropping-particle":"","family":"Afifi","given":"Walid A.","non-dropping-particle":"","parse-names":false,"suffix":""},{"dropping-particle":"","family":"Long","given":"Shawn D.","non-dropping-particle":"","parse-names":false,"suffix":""}],"container-title":"Journal of Health Psychology","id":"ITEM-1","issue":"5","issued":{"date-parts":[["2008","7"]]},"page":"644-658","title":"Facts versus `Feelings'","type":"article-journal","volume":"13"},"uris":["http://www.mendeley.com/documents/?uuid=fec8dc19-9b76-4285-8364-2d37a0032b82"]}],"mendeley":{"formattedCitation":"[29]","plainTextFormattedCitation":"[29]","previouslyFormattedCitation":"[29]"},"properties":{"noteIndex":0},"schema":"https://github.com/citation-style-language/schema/raw/master/csl-citation.json"}</w:instrText>
      </w:r>
      <w:r w:rsidR="003F2F0A">
        <w:fldChar w:fldCharType="separate"/>
      </w:r>
      <w:r w:rsidR="004F199F" w:rsidRPr="004F199F">
        <w:rPr>
          <w:noProof/>
        </w:rPr>
        <w:t>[29]</w:t>
      </w:r>
      <w:r w:rsidR="003F2F0A">
        <w:fldChar w:fldCharType="end"/>
      </w:r>
      <w:r w:rsidR="003F2F0A">
        <w:t xml:space="preserve"> </w:t>
      </w:r>
      <w:r w:rsidR="00B953AD" w:rsidRPr="003351AB">
        <w:t>(for a detailed view of all variables test</w:t>
      </w:r>
      <w:r w:rsidR="00823D3E" w:rsidRPr="003351AB">
        <w:t>ed</w:t>
      </w:r>
      <w:r w:rsidR="00B953AD" w:rsidRPr="003351AB">
        <w:t xml:space="preserve"> in development of the Organ Donor Model (ODM) see Morgan et al</w:t>
      </w:r>
      <w:r w:rsidR="000559EC" w:rsidRPr="003351AB">
        <w:t xml:space="preserve">. </w:t>
      </w:r>
      <w:r w:rsidR="000559EC" w:rsidRPr="003351AB">
        <w:fldChar w:fldCharType="begin" w:fldLock="1"/>
      </w:r>
      <w:r w:rsidR="004F199F">
        <w:instrText>ADDIN CSL_CITATION {"citationItems":[{"id":"ITEM-1","itemData":{"DOI":"10.1080/00909880216580","ISSN":"0090-9882","author":[{"dropping-particle":"","family":"Morgan","given":"Susan","non-dropping-particle":"","parse-names":false,"suffix":""},{"dropping-particle":"","family":"Miller","given":"Jenny","non-dropping-particle":"","parse-names":false,"suffix":""}],"container-title":"Journal of Applied Communication Research","id":"ITEM-1","issue":"2","issued":{"date-parts":[["2002","1"]]},"page":"163-178","title":"Communicating about gifts of life: the effect of knowledge, attitudes, and altruism on behavior and behavioral intentions regarding organ donation","type":"article-journal","volume":"30"},"uris":["http://www.mendeley.com/documents/?uuid=1537d3ce-fa03-477e-90b6-6e571ca29cbd"]},{"id":"ITEM-2","itemData":{"DOI":"10.1080/03637750216540","ISSN":"0363-7751","author":[{"dropping-particle":"","family":"Morgan","given":"Susan","non-dropping-particle":"","parse-names":false,"suffix":""},{"dropping-particle":"","family":"Miller","given":"Jenny","non-dropping-particle":"","parse-names":false,"suffix":""},{"dropping-particle":"","family":"Arasaratnam","given":"Lily","non-dropping-particle":"","parse-names":false,"suffix":""}],"container-title":"Communication Monographs","id":"ITEM-2","issue":"3","issued":{"date-parts":[["2002","9","21"]]},"page":"253-273","title":"Signing cards, saving lives: an evaluation of the worksite organ donation promotion project","type":"article-journal","volume":"69"},"uris":["http://www.mendeley.com/documents/?uuid=a993b22c-52fe-4fe9-aec7-5e0ec54b8e39"]},{"id":"ITEM-3","itemData":{"DOI":"10.1177/1359105308090936","ISSN":"1359-1053","author":[{"dropping-particle":"","family":"Morgan","given":"Susan E.","non-dropping-particle":"","parse-names":false,"suffix":""},{"dropping-particle":"","family":"Stephenson","given":"Michael T.","non-dropping-particle":"","parse-names":false,"suffix":""},{"dropping-particle":"","family":"Harrison","given":"Tyler R.","non-dropping-particle":"","parse-names":false,"suffix":""},{"dropping-particle":"","family":"Afifi","given":"Walid A.","non-dropping-particle":"","parse-names":false,"suffix":""},{"dropping-particle":"","family":"Long","given":"Shawn D.","non-dropping-particle":"","parse-names":false,"suffix":""}],"container-title":"Journal of Health Psychology","id":"ITEM-3","issue":"5","issued":{"date-parts":[["2008","7"]]},"page":"644-658","title":"Facts versus `Feelings'","type":"article-journal","volume":"13"},"uris":["http://www.mendeley.com/documents/?uuid=fec8dc19-9b76-4285-8364-2d37a0032b82"]}],"mendeley":{"formattedCitation":"[27,29,34]","plainTextFormattedCitation":"[27,29,34]","previouslyFormattedCitation":"[27,29,34]"},"properties":{"noteIndex":0},"schema":"https://github.com/citation-style-language/schema/raw/master/csl-citation.json"}</w:instrText>
      </w:r>
      <w:r w:rsidR="000559EC" w:rsidRPr="003351AB">
        <w:fldChar w:fldCharType="separate"/>
      </w:r>
      <w:r w:rsidR="004F199F" w:rsidRPr="004F199F">
        <w:rPr>
          <w:noProof/>
        </w:rPr>
        <w:t>[27,29,34]</w:t>
      </w:r>
      <w:r w:rsidR="000559EC" w:rsidRPr="003351AB">
        <w:fldChar w:fldCharType="end"/>
      </w:r>
      <w:r w:rsidR="003351AB">
        <w:t>)</w:t>
      </w:r>
      <w:r w:rsidR="00C8758A" w:rsidRPr="003A4E14">
        <w:t xml:space="preserve">. </w:t>
      </w:r>
      <w:r w:rsidR="00B953AD" w:rsidRPr="003A4E14">
        <w:t xml:space="preserve"> </w:t>
      </w:r>
      <w:r w:rsidR="003351AB">
        <w:t>T</w:t>
      </w:r>
      <w:r w:rsidR="00D76662" w:rsidRPr="003A4E14">
        <w:t>he ‘ick’ factor</w:t>
      </w:r>
      <w:r w:rsidR="007F55E6" w:rsidRPr="003A4E14">
        <w:t xml:space="preserve"> and concerns about body integrity are </w:t>
      </w:r>
      <w:r w:rsidR="003351AB">
        <w:t xml:space="preserve">of </w:t>
      </w:r>
      <w:proofErr w:type="gramStart"/>
      <w:r w:rsidR="00DB73FA">
        <w:t>particular relevance</w:t>
      </w:r>
      <w:proofErr w:type="gramEnd"/>
      <w:r w:rsidR="003351AB">
        <w:t xml:space="preserve"> </w:t>
      </w:r>
      <w:r w:rsidR="00D76662" w:rsidRPr="003A4E14">
        <w:t>to eye donation</w:t>
      </w:r>
      <w:r w:rsidR="00125273" w:rsidRPr="003A4E14">
        <w:t xml:space="preserve"> and will therefore be discussed in more detail.</w:t>
      </w:r>
      <w:r w:rsidR="00125273" w:rsidRPr="00AD279E">
        <w:t xml:space="preserve"> </w:t>
      </w:r>
    </w:p>
    <w:p w14:paraId="4C11AAB8" w14:textId="10C424E0" w:rsidR="00805FB1" w:rsidRPr="00C75FEC" w:rsidRDefault="00805FB1" w:rsidP="00805FB1">
      <w:pPr>
        <w:jc w:val="both"/>
        <w:rPr>
          <w:rFonts w:ascii="Calibri Light" w:hAnsi="Calibri Light"/>
          <w:i/>
          <w:iCs/>
        </w:rPr>
      </w:pPr>
      <w:r w:rsidRPr="00C75FEC">
        <w:rPr>
          <w:rFonts w:ascii="Calibri Light" w:hAnsi="Calibri Light"/>
          <w:i/>
          <w:iCs/>
        </w:rPr>
        <w:t>The Ick factor</w:t>
      </w:r>
      <w:r w:rsidR="003F2974" w:rsidRPr="00C75FEC">
        <w:rPr>
          <w:rFonts w:ascii="Calibri Light" w:hAnsi="Calibri Light"/>
          <w:i/>
          <w:iCs/>
        </w:rPr>
        <w:t xml:space="preserve"> and Bodily Integrity</w:t>
      </w:r>
    </w:p>
    <w:p w14:paraId="6263323A" w14:textId="33A8FF58" w:rsidR="00567A0C" w:rsidRDefault="00A60120" w:rsidP="00567A0C">
      <w:pPr>
        <w:spacing w:line="360" w:lineRule="auto"/>
        <w:jc w:val="both"/>
        <w:rPr>
          <w:b/>
        </w:rPr>
      </w:pPr>
      <w:r>
        <w:t>According to Morgan et al (2008)</w:t>
      </w:r>
      <w:r w:rsidR="000559EC">
        <w:t xml:space="preserve"> </w:t>
      </w:r>
      <w:r w:rsidR="000559EC">
        <w:fldChar w:fldCharType="begin" w:fldLock="1"/>
      </w:r>
      <w:r w:rsidR="004F199F">
        <w:instrText>ADDIN CSL_CITATION {"citationItems":[{"id":"ITEM-1","itemData":{"DOI":"10.1177/1359105308090936","ISSN":"1359-1053","author":[{"dropping-particle":"","family":"Morgan","given":"Susan E.","non-dropping-particle":"","parse-names":false,"suffix":""},{"dropping-particle":"","family":"Stephenson","given":"Michael T.","non-dropping-particle":"","parse-names":false,"suffix":""},{"dropping-particle":"","family":"Harrison","given":"Tyler R.","non-dropping-particle":"","parse-names":false,"suffix":""},{"dropping-particle":"","family":"Afifi","given":"Walid A.","non-dropping-particle":"","parse-names":false,"suffix":""},{"dropping-particle":"","family":"Long","given":"Shawn D.","non-dropping-particle":"","parse-names":false,"suffix":""}],"container-title":"Journal of Health Psychology","id":"ITEM-1","issue":"5","issued":{"date-parts":[["2008","7"]]},"page":"644-658","title":"Facts versus `Feelings'","type":"article-journal","volume":"13"},"uris":["http://www.mendeley.com/documents/?uuid=fec8dc19-9b76-4285-8364-2d37a0032b82"]}],"mendeley":{"formattedCitation":"[29]","plainTextFormattedCitation":"[29]","previouslyFormattedCitation":"[29]"},"properties":{"noteIndex":0},"schema":"https://github.com/citation-style-language/schema/raw/master/csl-citation.json"}</w:instrText>
      </w:r>
      <w:r w:rsidR="000559EC">
        <w:fldChar w:fldCharType="separate"/>
      </w:r>
      <w:r w:rsidR="004F199F" w:rsidRPr="004F199F">
        <w:rPr>
          <w:noProof/>
        </w:rPr>
        <w:t>[29]</w:t>
      </w:r>
      <w:r w:rsidR="000559EC">
        <w:fldChar w:fldCharType="end"/>
      </w:r>
      <w:r w:rsidR="00054FF4">
        <w:t xml:space="preserve"> </w:t>
      </w:r>
      <w:r w:rsidR="00805FB1" w:rsidRPr="00C13252">
        <w:rPr>
          <w:i/>
        </w:rPr>
        <w:t>Ick factors</w:t>
      </w:r>
      <w:r w:rsidR="00805FB1">
        <w:t xml:space="preserve"> are those related to a basic disgust response to the idea of </w:t>
      </w:r>
      <w:r w:rsidR="00E07C45">
        <w:t>eye donation</w:t>
      </w:r>
      <w:r w:rsidR="00130CDE">
        <w:t>,</w:t>
      </w:r>
      <w:r w:rsidR="00E07C45">
        <w:t xml:space="preserve"> </w:t>
      </w:r>
      <w:r w:rsidR="00F57519">
        <w:t xml:space="preserve">as it involves </w:t>
      </w:r>
      <w:r w:rsidR="0068131A">
        <w:t xml:space="preserve">what may be perceived by family members </w:t>
      </w:r>
      <w:r w:rsidR="00567A0C">
        <w:t>as</w:t>
      </w:r>
      <w:r w:rsidR="0068131A">
        <w:t xml:space="preserve"> interventions that </w:t>
      </w:r>
      <w:r w:rsidR="00567A0C">
        <w:t xml:space="preserve">are </w:t>
      </w:r>
      <w:r w:rsidR="00BE7B2A">
        <w:t>disfiguring and even disrespectful</w:t>
      </w:r>
      <w:r w:rsidR="004054EC">
        <w:t xml:space="preserve">. </w:t>
      </w:r>
      <w:r w:rsidR="00567A0C">
        <w:t xml:space="preserve">Fear of body disfigurement is proposed as triggering defensive emotions that according to </w:t>
      </w:r>
      <w:proofErr w:type="spellStart"/>
      <w:r w:rsidR="00567A0C">
        <w:t>Pa</w:t>
      </w:r>
      <w:r w:rsidR="004054EC">
        <w:t>risi</w:t>
      </w:r>
      <w:proofErr w:type="spellEnd"/>
      <w:r w:rsidR="004054EC">
        <w:t xml:space="preserve"> and Katz, </w:t>
      </w:r>
      <w:r w:rsidR="00567A0C">
        <w:t>“</w:t>
      </w:r>
      <w:r w:rsidR="004054EC" w:rsidRPr="00C75FEC">
        <w:rPr>
          <w:i/>
        </w:rPr>
        <w:t>seem to be deeply rooted in the unconscious and to have relatively little cognitive content”</w:t>
      </w:r>
      <w:r w:rsidR="004054EC">
        <w:t xml:space="preserve"> (1986: 576)</w:t>
      </w:r>
      <w:r w:rsidR="003351AB">
        <w:t xml:space="preserve"> </w:t>
      </w:r>
      <w:r w:rsidR="00DA5DF6">
        <w:fldChar w:fldCharType="begin" w:fldLock="1"/>
      </w:r>
      <w:r w:rsidR="005740D8">
        <w:instrText>ADDIN CSL_CITATION {"citationItems":[{"id":"ITEM-1","itemData":{"DOI":"10.1037//0278-6133.5.6.565","ISSN":"0278-6133","author":[{"dropping-particle":"","family":"Parisi","given":"Nina","non-dropping-particle":"","parse-names":false,"suffix":""},{"dropping-particle":"","family":"Katz","given":"Irwin","non-dropping-particle":"","parse-names":false,"suffix":""}],"container-title":"Health Psychology","id":"ITEM-1","issue":"6","issued":{"date-parts":[["1986"]]},"page":"565-580","title":"Attitudes toward posthumous organ donation and commitment to donate.","type":"article-journal","volume":"5"},"uris":["http://www.mendeley.com/documents/?uuid=40f2aeaf-726c-4227-beaa-6940b8aa7caf"]}],"mendeley":{"formattedCitation":"[35]","plainTextFormattedCitation":"[35]","previouslyFormattedCitation":"[35]"},"properties":{"noteIndex":0},"schema":"https://github.com/citation-style-language/schema/raw/master/csl-citation.json"}</w:instrText>
      </w:r>
      <w:r w:rsidR="00DA5DF6">
        <w:fldChar w:fldCharType="separate"/>
      </w:r>
      <w:r w:rsidR="00916FE7" w:rsidRPr="00916FE7">
        <w:rPr>
          <w:noProof/>
        </w:rPr>
        <w:t>[35]</w:t>
      </w:r>
      <w:r w:rsidR="00DA5DF6">
        <w:fldChar w:fldCharType="end"/>
      </w:r>
      <w:r w:rsidR="00567A0C">
        <w:t>. These defensive emotions are influenced by sociocultural and psychological factors developed early in childhood, strongly influenced by one's particular culture and ethnicity, and which are reported by Sh</w:t>
      </w:r>
      <w:r w:rsidR="00DA5DF6">
        <w:t>e</w:t>
      </w:r>
      <w:r w:rsidR="00567A0C">
        <w:t>rman and Sh</w:t>
      </w:r>
      <w:r w:rsidR="00DA5DF6">
        <w:t>e</w:t>
      </w:r>
      <w:r w:rsidR="00567A0C">
        <w:t>rman (2001)</w:t>
      </w:r>
      <w:r w:rsidR="00130CDE">
        <w:t xml:space="preserve"> </w:t>
      </w:r>
      <w:r w:rsidR="00567A0C">
        <w:t>to be resistant to modification</w:t>
      </w:r>
      <w:r w:rsidR="00DA5DF6">
        <w:t xml:space="preserve"> </w:t>
      </w:r>
      <w:r w:rsidR="00DA5DF6">
        <w:fldChar w:fldCharType="begin" w:fldLock="1"/>
      </w:r>
      <w:r w:rsidR="005740D8">
        <w:instrText>ADDIN CSL_CITATION {"citationItems":[{"id":"ITEM-1","itemData":{"DOI":"10.2466/pr0.2001.89.1.11","ISSN":"0033-2941","abstract":"241 African-American college students (94 men and 147 women, mean age = 20.3 ± 3.4 yr.) completed the 1994 Disgust Scale of Haidt, McCauley, and Rozin and a modified form of Parisi-Rizzo's 1987 Attitudes Toward Organ Donation Scale (negative subscale only) as well as a behavioral measure of intention to donate organs after death. Analyses indicated that the higher the disgust sensitivity, the more negative the attitude toward organ donation and the less likely the student was to indicate intent to donate organs. It was further shown that negative attitudes toward organ donation mediated the relationship between disgust sensitivity and the behavioral intention measure. Results highlight the complexity of the issues surrounding organ donation within an African-American population and provide additional empirical evidence for the development of a theoretical model to explain the organ donation phenomenon.","author":[{"dropping-particle":"","family":"Sherman","given":"Nancy C","non-dropping-particle":"","parse-names":false,"suffix":""},{"dropping-particle":"","family":"Smith","given":"Robert J","non-dropping-particle":"","parse-names":false,"suffix":""},{"dropping-particle":"","family":"Sherman","given":"Martin F","non-dropping-particle":"","parse-names":false,"suffix":""},{"dropping-particle":"","family":"Rickert-Wilbur","given":"Patti","non-dropping-particle":"","parse-names":false,"suffix":""}],"container-title":"Psychological Reports","id":"ITEM-1","issue":"1","issued":{"date-parts":[["2001","8","1"]]},"note":"doi: 10.2466/pr0.2001.89.1.11","page":"11-23","publisher":"SAGE Publications Inc","title":"Disgust Sensitivity and Attitudes toward Organ Donation among African-American College Students","type":"article-journal","volume":"89"},"uris":["http://www.mendeley.com/documents/?uuid=c4cd669b-87ce-414f-ae70-d557d0fc2535"]}],"mendeley":{"formattedCitation":"[36]","plainTextFormattedCitation":"[36]","previouslyFormattedCitation":"[36]"},"properties":{"noteIndex":0},"schema":"https://github.com/citation-style-language/schema/raw/master/csl-citation.json"}</w:instrText>
      </w:r>
      <w:r w:rsidR="00DA5DF6">
        <w:fldChar w:fldCharType="separate"/>
      </w:r>
      <w:r w:rsidR="00916FE7" w:rsidRPr="00916FE7">
        <w:rPr>
          <w:noProof/>
        </w:rPr>
        <w:t>[36]</w:t>
      </w:r>
      <w:r w:rsidR="00DA5DF6">
        <w:fldChar w:fldCharType="end"/>
      </w:r>
      <w:r w:rsidR="00567A0C">
        <w:t>.</w:t>
      </w:r>
      <w:r w:rsidR="0007008C">
        <w:t xml:space="preserve"> Furthermore, d</w:t>
      </w:r>
      <w:r w:rsidR="00567A0C">
        <w:t>efensive emotion</w:t>
      </w:r>
      <w:r w:rsidR="0007008C">
        <w:t xml:space="preserve">s and reactions are reported </w:t>
      </w:r>
      <w:r w:rsidR="0007008C" w:rsidRPr="003F2974">
        <w:t>to</w:t>
      </w:r>
      <w:r w:rsidR="0007008C" w:rsidRPr="0007008C">
        <w:t xml:space="preserve"> </w:t>
      </w:r>
      <w:r w:rsidR="0007008C">
        <w:t xml:space="preserve">underpin </w:t>
      </w:r>
      <w:r w:rsidR="0007008C" w:rsidRPr="003F2974">
        <w:t xml:space="preserve">donation-negative attitudes </w:t>
      </w:r>
      <w:r w:rsidR="0007008C">
        <w:t xml:space="preserve">and </w:t>
      </w:r>
      <w:r w:rsidR="0007008C" w:rsidRPr="003F2974">
        <w:t>carry more weight in the decision</w:t>
      </w:r>
      <w:r w:rsidR="0007008C">
        <w:t xml:space="preserve">-making </w:t>
      </w:r>
      <w:r w:rsidR="0007008C" w:rsidRPr="003F2974">
        <w:t xml:space="preserve">process than donation-favourable </w:t>
      </w:r>
      <w:r w:rsidR="004A5114" w:rsidRPr="003F2974">
        <w:t>ones</w:t>
      </w:r>
      <w:r w:rsidR="00B37C89">
        <w:t xml:space="preserve">. </w:t>
      </w:r>
      <w:r w:rsidR="004A5114">
        <w:t xml:space="preserve"> </w:t>
      </w:r>
      <w:r w:rsidR="00E07C45">
        <w:t xml:space="preserve">These findings potentially provide </w:t>
      </w:r>
      <w:r w:rsidR="00567A0C">
        <w:t>insight into why persuasive attempts that focus on rational messages fail or are less successful than expected by organisations that oversee donation and transplantation services.</w:t>
      </w:r>
      <w:r w:rsidR="00567A0C" w:rsidRPr="00567A0C">
        <w:t xml:space="preserve"> </w:t>
      </w:r>
    </w:p>
    <w:p w14:paraId="1B719CEA" w14:textId="51CBE297" w:rsidR="00B70191" w:rsidRDefault="003F2974" w:rsidP="00B70191">
      <w:pPr>
        <w:spacing w:line="360" w:lineRule="auto"/>
        <w:jc w:val="both"/>
      </w:pPr>
      <w:r w:rsidRPr="003F2974">
        <w:t xml:space="preserve">A final comment here is the reference in </w:t>
      </w:r>
      <w:r w:rsidR="00C75FEC">
        <w:t>T</w:t>
      </w:r>
      <w:r>
        <w:t xml:space="preserve">extbox </w:t>
      </w:r>
      <w:r w:rsidR="00C02041">
        <w:t>1</w:t>
      </w:r>
      <w:r>
        <w:t xml:space="preserve"> to ‘</w:t>
      </w:r>
      <w:r w:rsidRPr="00C75FEC">
        <w:rPr>
          <w:i/>
        </w:rPr>
        <w:t>eyes being the windows to the soul’</w:t>
      </w:r>
      <w:r w:rsidR="00BD1C98" w:rsidRPr="005E0B34">
        <w:rPr>
          <w:rStyle w:val="FootnoteReference"/>
        </w:rPr>
        <w:footnoteReference w:id="1"/>
      </w:r>
      <w:r w:rsidR="00BD1C98">
        <w:rPr>
          <w:i/>
        </w:rPr>
        <w:t xml:space="preserve">. </w:t>
      </w:r>
      <w:r>
        <w:t xml:space="preserve">This </w:t>
      </w:r>
      <w:r w:rsidR="0076310A">
        <w:t xml:space="preserve">perception </w:t>
      </w:r>
      <w:r>
        <w:t>has been reported in a number of studies</w:t>
      </w:r>
      <w:r w:rsidR="00970DDB">
        <w:t xml:space="preserve"> </w:t>
      </w:r>
      <w:r>
        <w:t xml:space="preserve">exploring eye donation and links to both the </w:t>
      </w:r>
      <w:r w:rsidR="00A60120" w:rsidRPr="00404A51">
        <w:t>belief in the need to maintain the integrity of the body after death</w:t>
      </w:r>
      <w:r w:rsidR="009C1D67">
        <w:t xml:space="preserve"> </w:t>
      </w:r>
      <w:r w:rsidR="009C1D67">
        <w:fldChar w:fldCharType="begin" w:fldLock="1"/>
      </w:r>
      <w:r w:rsidR="004F199F">
        <w:instrText>ADDIN CSL_CITATION {"citationItems":[{"id":"ITEM-1","itemData":{"DOI":"10.2190/5NB6-DJDW-B68G-6T56","ISSN":"0030-2228","author":[{"dropping-particle":"","family":"Hessing","given":"Dick J.","non-dropping-particle":"","parse-names":false,"suffix":""},{"dropping-particle":"","family":"Elffers","given":"Henk","non-dropping-particle":"","parse-names":false,"suffix":""}],"container-title":"OMEGA - Journal of Death and Dying","id":"ITEM-1","issue":"2","issued":{"date-parts":[["1987","10"]]},"page":"115-126","title":"Attitude toward Death, Fear of Being Declared Dead Too Soon, and Donation of Organs after Death","type":"article-journal","volume":"17"},"uris":["http://www.mendeley.com/documents/?uuid=91809a00-f04b-4080-8bbb-b8c923794df4"]}],"mendeley":{"formattedCitation":"[37]","plainTextFormattedCitation":"[37]","previouslyFormattedCitation":"[37]"},"properties":{"noteIndex":0},"schema":"https://github.com/citation-style-language/schema/raw/master/csl-citation.json"}</w:instrText>
      </w:r>
      <w:r w:rsidR="009C1D67">
        <w:fldChar w:fldCharType="separate"/>
      </w:r>
      <w:r w:rsidR="004F199F" w:rsidRPr="004F199F">
        <w:rPr>
          <w:noProof/>
        </w:rPr>
        <w:t>[37]</w:t>
      </w:r>
      <w:r w:rsidR="009C1D67">
        <w:fldChar w:fldCharType="end"/>
      </w:r>
      <w:r w:rsidR="00BD1C98">
        <w:t xml:space="preserve"> </w:t>
      </w:r>
      <w:r>
        <w:t>and a concern about the deceased not being able to see in the afterlife</w:t>
      </w:r>
      <w:r w:rsidR="00213E3E">
        <w:t xml:space="preserve"> </w:t>
      </w:r>
      <w:r w:rsidR="00213E3E">
        <w:fldChar w:fldCharType="begin" w:fldLock="1"/>
      </w:r>
      <w:r w:rsidR="004F199F">
        <w:instrText>ADDIN CSL_CITATION {"citationItems":[{"id":"ITEM-1","itemData":{"DOI":"10.2190/5NB6-DJDW-B68G-6T56","ISSN":"0030-2228","author":[{"dropping-particle":"","family":"Hessing","given":"Dick J.","non-dropping-particle":"","parse-names":false,"suffix":""},{"dropping-particle":"","family":"Elffers","given":"Henk","non-dropping-particle":"","parse-names":false,"suffix":""}],"container-title":"OMEGA - Journal of Death and Dying","id":"ITEM-1","issue":"2","issued":{"date-parts":[["1987","10"]]},"page":"115-126","title":"Attitude toward Death, Fear of Being Declared Dead Too Soon, and Donation of Organs after Death","type":"article-journal","volume":"17"},"uris":["http://www.mendeley.com/documents/?uuid=91809a00-f04b-4080-8bbb-b8c923794df4"]},{"id":"ITEM-2","itemData":{"DOI":"10.12968/ijpn.2002.8.1.10231","ISSN":"1357-6321","author":[{"dropping-particle":"","family":"Wells","given":"Joanne","non-dropping-particle":"","parse-names":false,"suffix":""},{"dropping-particle":"","family":"Sque","given":"Magi","non-dropping-particle":"","parse-names":false,"suffix":""}],"container-title":"International Journal of Palliative Nursing","id":"ITEM-2","issue":"1","issued":{"date-parts":[["2002","1"]]},"page":"22-27","title":"‘Living choice’: the commitment to tissue donation in palliative care","type":"article-journal","volume":"8"},"uris":["http://www.mendeley.com/documents/?uuid=f926ac63-a9ba-4d91-b2b3-a74f3be9d77b"]},{"id":"ITEM-3","itemData":{"DOI":"10.1007/s11673-013-9497-9","ISSN":"18724353","abstract":"Corneal transplantation is the most common form of organ transplantation performed globally. However, of all organs, eyes have the highest rate of refusal of donation. This study explored the reasons why individuals decide whether or not to donate corneas. Twenty-one individuals were interviewed who had made a donation decision (13 refused corneal donation and eight consented). Analysis was performed using Grounded Theory. Refusal of corneal donation was related to concerns about disfigurement and the role of eyes in memory and communication. The request for donation therefore raised concerns about a potential adverse change in the ongoing relationship with the deceased, even in death. For those who refused donation, these concerns overshadowed awareness of need or benefit of transplantation. Adjusting the donation message to be more congruent with the real, lived experience of corneal donation may to some extent \"prepare\" individuals when the donation question is raised. © 2013 Springer Science+Business Media Dordrecht.","author":[{"dropping-particle":"","family":"Lawlor","given":"Mitchell","non-dropping-particle":"","parse-names":false,"suffix":""},{"dropping-particle":"","family":"Kerridge","given":"Ian","non-dropping-particle":"","parse-names":false,"suffix":""}],"container-title":"Journal of Bioethical Inquiry","id":"ITEM-3","issue":"1","issued":{"date-parts":[["2014"]]},"page":"57-64","title":"Understanding Selective Refusal of Eye Donation: Identity, Beauty, and Interpersonal Relationships","type":"article-journal","volume":"11"},"uris":["http://www.mendeley.com/documents/?uuid=de7f06b6-d60b-4000-8982-3d5c1b125cfe"]}],"mendeley":{"formattedCitation":"[14,37,38]","plainTextFormattedCitation":"[14,37,38]","previouslyFormattedCitation":"[14,37,38]"},"properties":{"noteIndex":0},"schema":"https://github.com/citation-style-language/schema/raw/master/csl-citation.json"}</w:instrText>
      </w:r>
      <w:r w:rsidR="00213E3E">
        <w:fldChar w:fldCharType="separate"/>
      </w:r>
      <w:r w:rsidR="004F199F" w:rsidRPr="004F199F">
        <w:rPr>
          <w:noProof/>
        </w:rPr>
        <w:t>[14,37,38]</w:t>
      </w:r>
      <w:r w:rsidR="00213E3E">
        <w:fldChar w:fldCharType="end"/>
      </w:r>
      <w:r>
        <w:t xml:space="preserve">. </w:t>
      </w:r>
      <w:r w:rsidR="009218B4">
        <w:t xml:space="preserve"> For some </w:t>
      </w:r>
      <w:r w:rsidR="005C2593" w:rsidRPr="004F12D9">
        <w:rPr>
          <w:i/>
        </w:rPr>
        <w:t>“</w:t>
      </w:r>
      <w:r w:rsidR="009218B4" w:rsidRPr="004F12D9">
        <w:rPr>
          <w:i/>
        </w:rPr>
        <w:t>eyes</w:t>
      </w:r>
      <w:r w:rsidR="005C2593" w:rsidRPr="004F12D9">
        <w:rPr>
          <w:i/>
        </w:rPr>
        <w:t>, more than any other body part, personify an individual“</w:t>
      </w:r>
      <w:r w:rsidR="004F199F">
        <w:rPr>
          <w:noProof/>
        </w:rPr>
        <w:t xml:space="preserve"> </w:t>
      </w:r>
      <w:r w:rsidR="004F199F">
        <w:rPr>
          <w:noProof/>
        </w:rPr>
        <w:fldChar w:fldCharType="begin" w:fldLock="1"/>
      </w:r>
      <w:r w:rsidR="004F199F">
        <w:rPr>
          <w:noProof/>
        </w:rPr>
        <w:instrText>ADDIN CSL_CITATION {"citationItems":[{"id":"ITEM-1","itemData":{"DOI":"10.1016/j.socscimed.2008.03.039","ISSN":"02779536","abstract":"Brain death, whether it be brain stem death in the UK, or whole-brain death in the USA, is a prerequisite for heart-beating organ donation. Understanding how brain death is perceived by family members approached about organ donation, its significance to them, and if it is accepted by them, are, therefore, important issues to explore as biomedicine expands the range of end of life technologies that blur the demarcation between life and death. To explore the concept of brain stem death and its meaning to family members the following research questions were posed: (i) what does the diagnosis of death based on brain stem testing mean to bereaved family members who have been approached and asked to consider a donation from a deceased relative, and (ii) how do family members understand the concept of brain stem death? To address these research questions, a secondary analysis of 28 interviews sorted from two primary datasets was carried out. The primary datasets contained longitudinal and cross-sectional interviews carried out in the UK with family members who had been approached about organ donation and agreed to donate their relatives' organs. Data analysis was guided by constructionist grounded theory method and resulted in the theory of Paradoxical Death. In this process, family members and health professionals engage in a series of practical and psychological activities aimed at rationalising real or potential emotional and cognitive conflict resulting from a brain-based diagnosis of death, whilst faced with the physical image of a functioning body. Rationalising emotional and cognitive conflict is how family members and health professionals appeared to process this paradoxical death, a death that is contrary to conventional opinion. © 2008 Elsevier Ltd. All rights reserved.","author":[{"dropping-particle":"","family":"Long","given":"Tracy","non-dropping-particle":"","parse-names":false,"suffix":""},{"dropping-particle":"","family":"Sque","given":"Magi","non-dropping-particle":"","parse-names":false,"suffix":""},{"dropping-particle":"","family":"Addington-Hall","given":"Julia","non-dropping-particle":"","parse-names":false,"suffix":""}],"container-title":"Social Science and Medicine","id":"ITEM-1","issue":"2","issued":{"date-parts":[["2008"]]},"page":"253-261","title":"Conflict rationalisation: How family members cope with a diagnosis of brain stem death","type":"article-journal","volume":"67"},"uris":["http://www.mendeley.com/documents/?uuid=5d9aeb53-4429-4bcd-a489-00551e4d17f7"]}],"mendeley":{"formattedCitation":"[17]","manualFormatting":"[17, p.1190]","plainTextFormattedCitation":"[17]","previouslyFormattedCitation":"[17]"},"properties":{"noteIndex":0},"schema":"https://github.com/citation-style-language/schema/raw/master/csl-citation.json"}</w:instrText>
      </w:r>
      <w:r w:rsidR="004F199F">
        <w:rPr>
          <w:noProof/>
        </w:rPr>
        <w:fldChar w:fldCharType="separate"/>
      </w:r>
      <w:r w:rsidR="004F199F" w:rsidRPr="004F199F">
        <w:rPr>
          <w:noProof/>
        </w:rPr>
        <w:t>[17</w:t>
      </w:r>
      <w:r w:rsidR="004F199F">
        <w:rPr>
          <w:noProof/>
        </w:rPr>
        <w:t>, p.1190</w:t>
      </w:r>
      <w:r w:rsidR="004F199F" w:rsidRPr="004F199F">
        <w:rPr>
          <w:noProof/>
        </w:rPr>
        <w:t>]</w:t>
      </w:r>
      <w:r w:rsidR="004F199F">
        <w:rPr>
          <w:noProof/>
        </w:rPr>
        <w:fldChar w:fldCharType="end"/>
      </w:r>
      <w:r w:rsidR="004F199F">
        <w:rPr>
          <w:noProof/>
        </w:rPr>
        <w:t xml:space="preserve"> </w:t>
      </w:r>
      <w:r w:rsidR="005C2593">
        <w:t>and therefore have greater potential to stimulate ‘</w:t>
      </w:r>
      <w:r w:rsidR="00B931AA">
        <w:t>dissonance</w:t>
      </w:r>
      <w:r w:rsidR="002D2AFF">
        <w:t>’</w:t>
      </w:r>
      <w:r w:rsidR="00B931AA">
        <w:t xml:space="preserve"> </w:t>
      </w:r>
      <w:r w:rsidR="005C2593">
        <w:t>for individuals approached to consider the option of eye donation.</w:t>
      </w:r>
      <w:r w:rsidR="00B70191">
        <w:t xml:space="preserve"> </w:t>
      </w:r>
      <w:bookmarkStart w:id="9" w:name="_Hlk48766261"/>
    </w:p>
    <w:bookmarkEnd w:id="9"/>
    <w:p w14:paraId="21E70F87" w14:textId="4EFD2D2C" w:rsidR="0076310A" w:rsidRPr="00C75FEC" w:rsidRDefault="0076310A" w:rsidP="004F12D9">
      <w:pPr>
        <w:spacing w:line="360" w:lineRule="auto"/>
        <w:jc w:val="both"/>
        <w:rPr>
          <w:rFonts w:ascii="Calibri Light" w:hAnsi="Calibri Light" w:cs="Calibri Light"/>
          <w:i/>
          <w:iCs/>
        </w:rPr>
      </w:pPr>
      <w:r w:rsidRPr="00C75FEC">
        <w:rPr>
          <w:rFonts w:ascii="Calibri Light" w:hAnsi="Calibri Light" w:cs="Calibri Light"/>
          <w:i/>
          <w:iCs/>
        </w:rPr>
        <w:t>Cognitive dissonance and the context of death</w:t>
      </w:r>
    </w:p>
    <w:p w14:paraId="64CE598C" w14:textId="6ECFF5A8" w:rsidR="00502481" w:rsidRDefault="0076310A" w:rsidP="004F12D9">
      <w:pPr>
        <w:spacing w:line="360" w:lineRule="auto"/>
        <w:jc w:val="both"/>
      </w:pPr>
      <w:r w:rsidRPr="00C5572D">
        <w:t>Cognitive dissonance is described as an emotional state set up when two simultaneously held cognitions are inconsistent or when there is a conflict between beliefs and overt behaviour</w:t>
      </w:r>
      <w:r w:rsidR="009D36C5">
        <w:t xml:space="preserve"> </w:t>
      </w:r>
      <w:r w:rsidR="009D36C5">
        <w:fldChar w:fldCharType="begin" w:fldLock="1"/>
      </w:r>
      <w:r w:rsidR="0084649D">
        <w:instrText>ADDIN CSL_CITATION {"citationItems":[{"id":"ITEM-1","itemData":{"DOI":"10.2307/1422298","ISSN":"00029556","abstract":"This authoritative and wide-ranging reference work has been thoroughly revised to include the latest definitions used in psychology, psychiatry, and related fields. It now features 17,000 entries along with sections that explore the latest developments in neuroscience and social psychology. A first rate reference book, The Penguin Dictionary of Psychology will continue to prove invaluable to students, professionals, and the interested general reader  \"By far the best reference work of its kind.\" (Paul Edwards, emeritus professor of philosophy, City University of New York)","author":[{"dropping-particle":"","family":"M.","given":"D. W.","non-dropping-particle":"","parse-names":false,"suffix":""},{"dropping-particle":"","family":"Reber","given":"Arthur S.","non-dropping-particle":"","parse-names":false,"suffix":""}],"container-title":"The American Journal of Psychology","id":"ITEM-1","issue":"4","issued":{"date-parts":[["1986"]]},"number-of-pages":"568","title":"The Penguin Dictionary of Psychology","type":"book","volume":"99"},"uris":["http://www.mendeley.com/documents/?uuid=98132a3c-bb5c-492b-8237-be3c8566aa5a"]}],"mendeley":{"formattedCitation":"[39]","plainTextFormattedCitation":"[39]","previouslyFormattedCitation":"[39]"},"properties":{"noteIndex":0},"schema":"https://github.com/citation-style-language/schema/raw/master/csl-citation.json"}</w:instrText>
      </w:r>
      <w:r w:rsidR="009D36C5">
        <w:fldChar w:fldCharType="separate"/>
      </w:r>
      <w:r w:rsidR="0084649D" w:rsidRPr="0084649D">
        <w:rPr>
          <w:noProof/>
        </w:rPr>
        <w:t>[39]</w:t>
      </w:r>
      <w:r w:rsidR="009D36C5">
        <w:fldChar w:fldCharType="end"/>
      </w:r>
      <w:r>
        <w:t xml:space="preserve">. </w:t>
      </w:r>
      <w:r w:rsidR="004717AC">
        <w:t>Therefore, relating this to eye donation, dissonance arises when family members approached to consider eye donation are</w:t>
      </w:r>
      <w:r w:rsidR="00C75FEC">
        <w:t xml:space="preserve"> aware (for example by media campaigns such as </w:t>
      </w:r>
      <w:r w:rsidR="009D36C5">
        <w:t>‘G</w:t>
      </w:r>
      <w:r w:rsidR="004717AC">
        <w:t>ive the gift of sight</w:t>
      </w:r>
      <w:r w:rsidR="009D36C5">
        <w:t>’</w:t>
      </w:r>
      <w:r w:rsidR="003351AB">
        <w:t>)</w:t>
      </w:r>
      <w:r w:rsidR="009D36C5">
        <w:t xml:space="preserve"> </w:t>
      </w:r>
      <w:r w:rsidR="009D36C5">
        <w:fldChar w:fldCharType="begin" w:fldLock="1"/>
      </w:r>
      <w:r w:rsidR="0084649D">
        <w:instrText>ADDIN CSL_CITATION {"citationItems":[{"id":"ITEM-1","itemData":{"URL":"https://www.giftofsight.org.uk/","accessed":{"date-parts":[["2020","7","7"]]},"author":[{"dropping-particle":"","family":"Gift of Sight","given":"","non-dropping-particle":"","parse-names":false,"suffix":""}],"id":"ITEM-1","issued":{"date-parts":[["2020"]]},"title":"Gift of Sight","type":"webpage"},"uris":["http://www.mendeley.com/documents/?uuid=49f8037b-5c9b-4b1a-9bfb-324d0031ce44"]}],"mendeley":{"formattedCitation":"[40]","plainTextFormattedCitation":"[40]","previouslyFormattedCitation":"[40]"},"properties":{"noteIndex":0},"schema":"https://github.com/citation-style-language/schema/raw/master/csl-citation.json"}</w:instrText>
      </w:r>
      <w:r w:rsidR="009D36C5">
        <w:fldChar w:fldCharType="separate"/>
      </w:r>
      <w:r w:rsidR="0084649D" w:rsidRPr="0084649D">
        <w:rPr>
          <w:noProof/>
        </w:rPr>
        <w:t>[40]</w:t>
      </w:r>
      <w:r w:rsidR="009D36C5">
        <w:fldChar w:fldCharType="end"/>
      </w:r>
      <w:r w:rsidR="009D36C5">
        <w:t xml:space="preserve"> </w:t>
      </w:r>
      <w:r w:rsidR="00C75FEC">
        <w:t>or are made aware (</w:t>
      </w:r>
      <w:r w:rsidR="003351AB">
        <w:t xml:space="preserve">e.g. </w:t>
      </w:r>
      <w:r w:rsidR="00C75FEC">
        <w:t>by SNODS,</w:t>
      </w:r>
      <w:r w:rsidR="003351AB">
        <w:t xml:space="preserve"> or</w:t>
      </w:r>
      <w:r w:rsidR="00C75FEC">
        <w:t xml:space="preserve"> other family members) that eye donation can reverse blindness </w:t>
      </w:r>
      <w:r w:rsidR="00872DEE">
        <w:t xml:space="preserve">and have to rationalise </w:t>
      </w:r>
      <w:r w:rsidR="00502481">
        <w:t>their aversion/disgust/discomfort of eye</w:t>
      </w:r>
      <w:r w:rsidR="002D2AFF">
        <w:t xml:space="preserve"> removal </w:t>
      </w:r>
      <w:r w:rsidR="00502481">
        <w:t xml:space="preserve">which they perceive as </w:t>
      </w:r>
      <w:r w:rsidR="004717AC">
        <w:t>an integral part of the person they love (</w:t>
      </w:r>
      <w:r w:rsidR="003351AB">
        <w:t xml:space="preserve">as indicated in </w:t>
      </w:r>
      <w:r w:rsidR="006801CF">
        <w:t>T</w:t>
      </w:r>
      <w:r w:rsidR="004717AC">
        <w:t xml:space="preserve">extbox </w:t>
      </w:r>
      <w:r w:rsidR="00C02041">
        <w:t>1</w:t>
      </w:r>
      <w:r w:rsidR="004717AC">
        <w:t>)</w:t>
      </w:r>
      <w:r w:rsidR="00502481">
        <w:t>. Lawl</w:t>
      </w:r>
      <w:r w:rsidR="00F15096">
        <w:t>o</w:t>
      </w:r>
      <w:r w:rsidR="00502481">
        <w:t>r and Kerridge (2014)</w:t>
      </w:r>
      <w:r w:rsidR="00130CDE">
        <w:t xml:space="preserve"> </w:t>
      </w:r>
      <w:r w:rsidR="00502481">
        <w:t xml:space="preserve">go so far as to suggest that despite participants in their study </w:t>
      </w:r>
      <w:r w:rsidR="00502481" w:rsidRPr="00502481">
        <w:rPr>
          <w:i/>
        </w:rPr>
        <w:t>“recognising the potential good that could come from corneal donation, many still maintained that removing the eyes would potentially have a significant adverse effect on their ongoing relationship with the deceased”</w:t>
      </w:r>
      <w:r w:rsidR="004F199F">
        <w:fldChar w:fldCharType="begin" w:fldLock="1"/>
      </w:r>
      <w:r w:rsidR="004F199F">
        <w:instrText>ADDIN CSL_CITATION {"citationItems":[{"id":"ITEM-1","itemData":{"DOI":"10.1007/s11673-013-9497-9","ISSN":"18724353","abstract":"Corneal transplantation is the most common form of organ transplantation performed globally. However, of all organs, eyes have the highest rate of refusal of donation. This study explored the reasons why individuals decide whether or not to donate corneas. Twenty-one individuals were interviewed who had made a donation decision (13 refused corneal donation and eight consented). Analysis was performed using Grounded Theory. Refusal of corneal donation was related to concerns about disfigurement and the role of eyes in memory and communication. The request for donation therefore raised concerns about a potential adverse change in the ongoing relationship with the deceased, even in death. For those who refused donation, these concerns overshadowed awareness of need or benefit of transplantation. Adjusting the donation message to be more congruent with the real, lived experience of corneal donation may to some extent \"prepare\" individuals when the donation question is raised. © 2013 Springer Science+Business Media Dordrecht.","author":[{"dropping-particle":"","family":"Lawlor","given":"Mitchell","non-dropping-particle":"","parse-names":false,"suffix":""},{"dropping-particle":"","family":"Kerridge","given":"Ian","non-dropping-particle":"","parse-names":false,"suffix":""}],"container-title":"Journal of Bioethical Inquiry","id":"ITEM-1","issue":"1","issued":{"date-parts":[["2014"]]},"page":"57-64","title":"Understanding Selective Refusal of Eye Donation: Identity, Beauty, and Interpersonal Relationships","type":"article-journal","volume":"11"},"uris":["http://www.mendeley.com/documents/?uuid=de7f06b6-d60b-4000-8982-3d5c1b125cfe"]}],"mendeley":{"formattedCitation":"[14]","manualFormatting":"[14, p.62]","plainTextFormattedCitation":"[14]","previouslyFormattedCitation":"[14]"},"properties":{"noteIndex":0},"schema":"https://github.com/citation-style-language/schema/raw/master/csl-citation.json"}</w:instrText>
      </w:r>
      <w:r w:rsidR="004F199F">
        <w:fldChar w:fldCharType="separate"/>
      </w:r>
      <w:r w:rsidR="004F199F" w:rsidRPr="004F199F">
        <w:rPr>
          <w:noProof/>
        </w:rPr>
        <w:t>[14</w:t>
      </w:r>
      <w:r w:rsidR="004F199F">
        <w:rPr>
          <w:noProof/>
        </w:rPr>
        <w:t>, p.62</w:t>
      </w:r>
      <w:r w:rsidR="004F199F" w:rsidRPr="004F199F">
        <w:rPr>
          <w:noProof/>
        </w:rPr>
        <w:t>]</w:t>
      </w:r>
      <w:r w:rsidR="004F199F">
        <w:fldChar w:fldCharType="end"/>
      </w:r>
      <w:r w:rsidR="00502481">
        <w:t>.</w:t>
      </w:r>
    </w:p>
    <w:p w14:paraId="47041F57" w14:textId="4AC35998" w:rsidR="003F2974" w:rsidRDefault="00502481" w:rsidP="004F12D9">
      <w:pPr>
        <w:spacing w:line="360" w:lineRule="auto"/>
        <w:jc w:val="both"/>
      </w:pPr>
      <w:r>
        <w:t>We propose that non</w:t>
      </w:r>
      <w:r w:rsidR="003351AB">
        <w:t>-</w:t>
      </w:r>
      <w:r>
        <w:t xml:space="preserve">cognitive factors </w:t>
      </w:r>
      <w:proofErr w:type="gramStart"/>
      <w:r>
        <w:t>including:</w:t>
      </w:r>
      <w:proofErr w:type="gramEnd"/>
      <w:r>
        <w:t xml:space="preserve"> discomfort reactions, disfigurement concerns, the ick factor and the importance of body integrity are key areas of emotional and psychological conflict for family members approached to consider eye </w:t>
      </w:r>
      <w:r w:rsidR="009C415C">
        <w:t>donation</w:t>
      </w:r>
      <w:r w:rsidR="000123DF">
        <w:t xml:space="preserve">. </w:t>
      </w:r>
      <w:r w:rsidR="009C415C">
        <w:t xml:space="preserve">In their secondary analysis of primary data from donating and non-donating family members in the UK, Long </w:t>
      </w:r>
      <w:r w:rsidR="004717AC">
        <w:t>et al (2008)</w:t>
      </w:r>
      <w:r w:rsidR="001354F1">
        <w:t xml:space="preserve"> </w:t>
      </w:r>
      <w:r w:rsidR="009C415C">
        <w:t xml:space="preserve">proposed </w:t>
      </w:r>
      <w:r w:rsidR="00970DDB">
        <w:t xml:space="preserve">that </w:t>
      </w:r>
      <w:r w:rsidR="007D0764">
        <w:t>family members</w:t>
      </w:r>
      <w:r w:rsidR="00970DDB">
        <w:t xml:space="preserve"> </w:t>
      </w:r>
      <w:r w:rsidR="007D0764">
        <w:t xml:space="preserve">engage in a series of practical and psychological activities aimed at rationalising real or potential emotional and cognitive conflict when faced with the option of donation post death of a </w:t>
      </w:r>
      <w:r w:rsidR="0068147C">
        <w:t>family member</w:t>
      </w:r>
      <w:r w:rsidR="00F15096">
        <w:t xml:space="preserve"> </w:t>
      </w:r>
      <w:r w:rsidR="00F15096">
        <w:fldChar w:fldCharType="begin" w:fldLock="1"/>
      </w:r>
      <w:r w:rsidR="004F199F">
        <w:instrText>ADDIN CSL_CITATION {"citationItems":[{"id":"ITEM-1","itemData":{"DOI":"10.1016/j.socscimed.2008.03.039","ISSN":"02779536","abstract":"Brain death, whether it be brain stem death in the UK, or whole-brain death in the USA, is a prerequisite for heart-beating organ donation. Understanding how brain death is perceived by family members approached about organ donation, its significance to them, and if it is accepted by them, are, therefore, important issues to explore as biomedicine expands the range of end of life technologies that blur the demarcation between life and death. To explore the concept of brain stem death and its meaning to family members the following research questions were posed: (i) what does the diagnosis of death based on brain stem testing mean to bereaved family members who have been approached and asked to consider a donation from a deceased relative, and (ii) how do family members understand the concept of brain stem death? To address these research questions, a secondary analysis of 28 interviews sorted from two primary datasets was carried out. The primary datasets contained longitudinal and cross-sectional interviews carried out in the UK with family members who had been approached about organ donation and agreed to donate their relatives' organs. Data analysis was guided by constructionist grounded theory method and resulted in the theory of Paradoxical Death. In this process, family members and health professionals engage in a series of practical and psychological activities aimed at rationalising real or potential emotional and cognitive conflict resulting from a brain-based diagnosis of death, whilst faced with the physical image of a functioning body. Rationalising emotional and cognitive conflict is how family members and health professionals appeared to process this paradoxical death, a death that is contrary to conventional opinion. © 2008 Elsevier Ltd. All rights reserved.","author":[{"dropping-particle":"","family":"Long","given":"Tracy","non-dropping-particle":"","parse-names":false,"suffix":""},{"dropping-particle":"","family":"Sque","given":"Magi","non-dropping-particle":"","parse-names":false,"suffix":""},{"dropping-particle":"","family":"Addington-Hall","given":"Julia","non-dropping-particle":"","parse-names":false,"suffix":""}],"container-title":"Social Science and Medicine","id":"ITEM-1","issue":"2","issued":{"date-parts":[["2008"]]},"page":"253-261","title":"Conflict rationalisation: How family members cope with a diagnosis of brain stem death","type":"article-journal","volume":"67"},"uris":["http://www.mendeley.com/documents/?uuid=5d9aeb53-4429-4bcd-a489-00551e4d17f7"]}],"mendeley":{"formattedCitation":"[17]","plainTextFormattedCitation":"[17]","previouslyFormattedCitation":"[17]"},"properties":{"noteIndex":0},"schema":"https://github.com/citation-style-language/schema/raw/master/csl-citation.json"}</w:instrText>
      </w:r>
      <w:r w:rsidR="00F15096">
        <w:fldChar w:fldCharType="separate"/>
      </w:r>
      <w:r w:rsidR="004F199F" w:rsidRPr="004F199F">
        <w:rPr>
          <w:noProof/>
        </w:rPr>
        <w:t>[17]</w:t>
      </w:r>
      <w:r w:rsidR="00F15096">
        <w:fldChar w:fldCharType="end"/>
      </w:r>
      <w:r w:rsidR="007D0764">
        <w:t>. If family members are not able to rationalise</w:t>
      </w:r>
      <w:r w:rsidR="00970DDB">
        <w:t xml:space="preserve"> </w:t>
      </w:r>
      <w:r w:rsidR="00970DDB" w:rsidRPr="00970DDB">
        <w:rPr>
          <w:i/>
        </w:rPr>
        <w:t>conflict</w:t>
      </w:r>
      <w:r w:rsidR="002D2AFF">
        <w:rPr>
          <w:i/>
        </w:rPr>
        <w:t xml:space="preserve"> (e.g.</w:t>
      </w:r>
      <w:r w:rsidR="007D0764" w:rsidRPr="00970DDB">
        <w:rPr>
          <w:i/>
        </w:rPr>
        <w:t xml:space="preserve"> sacrifice of an intact body to a perceived disfiguring operation even if it is for the benefit of others</w:t>
      </w:r>
      <w:r w:rsidR="007D0764">
        <w:t>)</w:t>
      </w:r>
      <w:r w:rsidR="00970DDB">
        <w:t xml:space="preserve"> </w:t>
      </w:r>
      <w:proofErr w:type="spellStart"/>
      <w:r w:rsidR="007D0764">
        <w:t>NoK</w:t>
      </w:r>
      <w:proofErr w:type="spellEnd"/>
      <w:r w:rsidR="007D0764">
        <w:t xml:space="preserve"> will decline donation</w:t>
      </w:r>
      <w:r w:rsidR="00970DDB">
        <w:t xml:space="preserve">.  </w:t>
      </w:r>
    </w:p>
    <w:p w14:paraId="4E0D4D68" w14:textId="2FCE7C3D" w:rsidR="00493744" w:rsidRDefault="001318DC" w:rsidP="00E91BD8">
      <w:pPr>
        <w:spacing w:line="360" w:lineRule="auto"/>
        <w:jc w:val="both"/>
      </w:pPr>
      <w:r>
        <w:t xml:space="preserve">A key context missing from social cognitive models </w:t>
      </w:r>
      <w:proofErr w:type="gramStart"/>
      <w:r>
        <w:t>and also</w:t>
      </w:r>
      <w:proofErr w:type="gramEnd"/>
      <w:r>
        <w:t xml:space="preserve"> much qualitative research into barriers to donation is the context of death. Apart from living donation, solid organ donation cannot proceed until someone has died</w:t>
      </w:r>
      <w:r w:rsidR="00E91BD8">
        <w:t>, i</w:t>
      </w:r>
      <w:r>
        <w:t>n the case of solid organ</w:t>
      </w:r>
      <w:r w:rsidR="00E91BD8">
        <w:t xml:space="preserve"> a </w:t>
      </w:r>
      <w:r w:rsidR="006801CF">
        <w:t>death</w:t>
      </w:r>
      <w:r w:rsidR="00E91BD8">
        <w:t xml:space="preserve"> that is </w:t>
      </w:r>
      <w:r>
        <w:t>sudden</w:t>
      </w:r>
      <w:r w:rsidR="006801CF">
        <w:t xml:space="preserve"> and </w:t>
      </w:r>
      <w:r>
        <w:t>unexpected</w:t>
      </w:r>
      <w:r w:rsidR="00970DDB">
        <w:t xml:space="preserve">. </w:t>
      </w:r>
      <w:r>
        <w:t xml:space="preserve">Death </w:t>
      </w:r>
      <w:r w:rsidRPr="003851BB">
        <w:t>not only robs the next-of-kin of a significant relationship, but also robs them of many of their usual coping mechanisms, imposing a sequence of events that</w:t>
      </w:r>
      <w:r>
        <w:t xml:space="preserve"> </w:t>
      </w:r>
      <w:proofErr w:type="spellStart"/>
      <w:r>
        <w:t>Sque</w:t>
      </w:r>
      <w:proofErr w:type="spellEnd"/>
      <w:r>
        <w:t xml:space="preserve"> et al (2003) </w:t>
      </w:r>
      <w:r w:rsidR="001C736E">
        <w:t>describe as leaving</w:t>
      </w:r>
      <w:r>
        <w:t xml:space="preserve"> family members </w:t>
      </w:r>
      <w:r w:rsidRPr="003851BB">
        <w:t>feeling dispossessed of physical and psychological equilibrium</w:t>
      </w:r>
      <w:r w:rsidR="00F15096">
        <w:t xml:space="preserve"> </w:t>
      </w:r>
      <w:r w:rsidR="00F15096">
        <w:fldChar w:fldCharType="begin" w:fldLock="1"/>
      </w:r>
      <w:r w:rsidR="004F199F">
        <w:instrText>ADDIN CSL_CITATION {"citationItems":[{"id":"ITEM-1","itemData":{"abstract":"A three-year study to investigate the experiences of bereaved adults with whom organ and tissue donation was discussed&lt;br/&gt;Aims of the Study\nTo identify the impact of initial care offered to relatives in terms of decision-making about donation and subsequent grief. &lt;br/&gt;To identify ways of enabling relatives to make choices about organ and tissue donation that are right for them. &lt;br/&gt;To assess the need for bereavement support and the effectiveness of any support received. &lt;br/&gt;\nMethod\nFace-to-face interviews and two, self-completed, psychometric measures, the Grief Experience Inventory [1] and the Beck Depression Inventory [2], were used to elicit the bereavement experiences of 46 family members who chose to donate their deceased relative?s organs and three who declined donation. Participants who chose to donate were interviewed on three occasions at 3-5, 13-15 and 18-26 months post bereavement. Single interviews were carried out with participants who declined donation. Researcher?s field notes aided reflexivity, provided context and explanatory rigour to judgements and decision-making, providing a credible audit-trail of the investigation.&lt;br/&gt;The impact of initial care offered to relatives in terms of decision-making about donation and subsequent grief (i.e. care in hospital)&lt;br/&gt;Sudden death and the discussion around organ donation make specific demands of the next-of-kin at a time when they are emotionally and cognitively ill equipped to respond. External demands such as receiving complex information, responding to requests from healthcare professionals (HPs), the needs of other family members and the tasks of daily living are competing with internal demands such as, the unreality of the situation, the physical pain of loss, thinking about the deceased, the need to fulfil the wishes of the deceased and the need to make decisions about organ donation. Findings from interviews with families at 3-5 (timepoint 1) (TP1), 13-15 (TP2) and 18-26 (TP3) months post-bereavement have amply illustrated their needs in relation to the content and manner in which information could best be communicated. This appeared to have consequences for subsequent grief as interviews at TP2 and TP3 highlighted the number of questions resulting from a lack of information and/or understanding of brainstem death testing and how these tests related to the death of their loved one. &lt;br/&gt;Initial information given to families in relation to the critical injury sustained by their love…","author":[{"dropping-particle":"","family":"Sque","given":"M","non-dropping-particle":"","parse-names":false,"suffix":""},{"dropping-particle":"","family":"Long","given":"T","non-dropping-particle":"","parse-names":false,"suffix":""},{"dropping-particle":"","family":"Payne","given":"S","non-dropping-particle":"","parse-names":false,"suffix":""}],"id":"ITEM-1","issued":{"date-parts":[["2003","2"]]},"publisher":"University of Southampton","title":"Organ and tissue donation: exploring the needs of families. Final report of a three-year study commissioned by the British Organ Donor Society, funded by the National Lottery Community Fund","type":"report"},"uris":["http://www.mendeley.com/documents/?uuid=13353d98-1584-4d59-abe8-8ad08dcbf607"]}],"mendeley":{"formattedCitation":"[30]","plainTextFormattedCitation":"[30]","previouslyFormattedCitation":"[30]"},"properties":{"noteIndex":0},"schema":"https://github.com/citation-style-language/schema/raw/master/csl-citation.json"}</w:instrText>
      </w:r>
      <w:r w:rsidR="00F15096">
        <w:fldChar w:fldCharType="separate"/>
      </w:r>
      <w:r w:rsidR="004F199F" w:rsidRPr="004F199F">
        <w:rPr>
          <w:noProof/>
        </w:rPr>
        <w:t>[30]</w:t>
      </w:r>
      <w:r w:rsidR="00F15096">
        <w:fldChar w:fldCharType="end"/>
      </w:r>
      <w:r w:rsidRPr="003851BB">
        <w:t xml:space="preserve">. </w:t>
      </w:r>
    </w:p>
    <w:p w14:paraId="4D00539E" w14:textId="22B7F0E6" w:rsidR="00E91BD8" w:rsidRDefault="001318DC" w:rsidP="00E91BD8">
      <w:pPr>
        <w:spacing w:line="360" w:lineRule="auto"/>
        <w:jc w:val="both"/>
      </w:pPr>
      <w:r>
        <w:t xml:space="preserve">Furthermore, from a sociological perspective, </w:t>
      </w:r>
      <w:proofErr w:type="spellStart"/>
      <w:r w:rsidR="00D60255" w:rsidRPr="005E018A">
        <w:rPr>
          <w:rFonts w:ascii="Calibri" w:hAnsi="Calibri" w:cs="Calibri"/>
        </w:rPr>
        <w:t>Kellehe</w:t>
      </w:r>
      <w:r w:rsidR="00EF4F7F">
        <w:rPr>
          <w:rFonts w:ascii="Calibri" w:hAnsi="Calibri" w:cs="Calibri"/>
        </w:rPr>
        <w:t>a</w:t>
      </w:r>
      <w:r w:rsidR="00D60255" w:rsidRPr="005E018A">
        <w:rPr>
          <w:rFonts w:ascii="Calibri" w:hAnsi="Calibri" w:cs="Calibri"/>
        </w:rPr>
        <w:t>r</w:t>
      </w:r>
      <w:proofErr w:type="spellEnd"/>
      <w:r w:rsidR="00100BF5">
        <w:rPr>
          <w:rFonts w:ascii="Calibri" w:hAnsi="Calibri" w:cs="Calibri"/>
        </w:rPr>
        <w:t xml:space="preserve"> (2008) remarks that an understanding of </w:t>
      </w:r>
      <w:r w:rsidR="00213A00" w:rsidRPr="00213A00">
        <w:rPr>
          <w:rFonts w:ascii="Calibri" w:hAnsi="Calibri" w:cs="Calibri"/>
          <w:i/>
        </w:rPr>
        <w:t>“</w:t>
      </w:r>
      <w:r w:rsidR="001C736E">
        <w:rPr>
          <w:rFonts w:ascii="Calibri" w:hAnsi="Calibri" w:cs="Calibri"/>
          <w:i/>
        </w:rPr>
        <w:t>’</w:t>
      </w:r>
      <w:r w:rsidR="00D60255" w:rsidRPr="00213A00">
        <w:rPr>
          <w:rFonts w:ascii="Calibri" w:hAnsi="Calibri" w:cs="Calibri"/>
          <w:i/>
        </w:rPr>
        <w:t xml:space="preserve">dying as a social relationship’ </w:t>
      </w:r>
      <w:r w:rsidR="001C736E">
        <w:rPr>
          <w:rFonts w:ascii="Calibri" w:hAnsi="Calibri" w:cs="Calibri"/>
          <w:i/>
        </w:rPr>
        <w:t>[is]</w:t>
      </w:r>
      <w:r w:rsidR="00D60255" w:rsidRPr="00213A00">
        <w:rPr>
          <w:rFonts w:ascii="Calibri" w:hAnsi="Calibri" w:cs="Calibri"/>
          <w:i/>
        </w:rPr>
        <w:t xml:space="preserve"> vital to understanding the levels of disagreement with organ donation</w:t>
      </w:r>
      <w:r w:rsidR="00100BF5" w:rsidRPr="00213A00">
        <w:rPr>
          <w:rFonts w:ascii="Calibri" w:hAnsi="Calibri" w:cs="Calibri"/>
          <w:i/>
        </w:rPr>
        <w:t xml:space="preserve"> due to the </w:t>
      </w:r>
      <w:r w:rsidR="00213A00" w:rsidRPr="00213A00">
        <w:rPr>
          <w:rFonts w:ascii="Calibri" w:hAnsi="Calibri" w:cs="Calibri"/>
          <w:i/>
        </w:rPr>
        <w:t>s</w:t>
      </w:r>
      <w:r w:rsidR="00D60255" w:rsidRPr="00213A00">
        <w:rPr>
          <w:i/>
        </w:rPr>
        <w:t>ocial basis of attachment, meaning-making</w:t>
      </w:r>
      <w:r w:rsidRPr="00213A00">
        <w:rPr>
          <w:i/>
        </w:rPr>
        <w:t xml:space="preserve"> and identity</w:t>
      </w:r>
      <w:r w:rsidR="00100BF5" w:rsidRPr="00100BF5">
        <w:t>”</w:t>
      </w:r>
      <w:r w:rsidR="006F2258">
        <w:fldChar w:fldCharType="begin" w:fldLock="1"/>
      </w:r>
      <w:r w:rsidR="004F199F">
        <w:instrText>ADDIN CSL_CITATION {"citationItems":[{"id":"ITEM-1","itemData":{"DOI":"10.1016/j.socscimed.2007.12.023","ISSN":"02779536","author":[{"dropping-particle":"","family":"Kellehear","given":"Allan","non-dropping-particle":"","parse-names":false,"suffix":""}],"container-title":"Social Science &amp; Medicine","id":"ITEM-1","issue":"7","issued":{"date-parts":[["2008","4"]]},"page":"1533-1544","title":"Dying as a social relationship: A sociological review of debates on the determination of death","type":"article-journal","volume":"66"},"uris":["http://www.mendeley.com/documents/?uuid=9b5cc778-65eb-4d94-82c0-a240fb0defc5"]}],"mendeley":{"formattedCitation":"[41]","manualFormatting":"[41, p.1541]","plainTextFormattedCitation":"[41]","previouslyFormattedCitation":"[41]"},"properties":{"noteIndex":0},"schema":"https://github.com/citation-style-language/schema/raw/master/csl-citation.json"}</w:instrText>
      </w:r>
      <w:r w:rsidR="006F2258">
        <w:fldChar w:fldCharType="separate"/>
      </w:r>
      <w:r w:rsidR="0084649D" w:rsidRPr="0084649D">
        <w:rPr>
          <w:noProof/>
        </w:rPr>
        <w:t>[41</w:t>
      </w:r>
      <w:r w:rsidR="004F199F">
        <w:rPr>
          <w:noProof/>
        </w:rPr>
        <w:t>, p.1541</w:t>
      </w:r>
      <w:r w:rsidR="0084649D" w:rsidRPr="0084649D">
        <w:rPr>
          <w:noProof/>
        </w:rPr>
        <w:t>]</w:t>
      </w:r>
      <w:r w:rsidR="006F2258">
        <w:fldChar w:fldCharType="end"/>
      </w:r>
      <w:r w:rsidR="00100BF5">
        <w:rPr>
          <w:i/>
        </w:rPr>
        <w:t xml:space="preserve">. </w:t>
      </w:r>
      <w:r w:rsidR="001C736E">
        <w:rPr>
          <w:iCs/>
        </w:rPr>
        <w:t>Responses indicating a</w:t>
      </w:r>
      <w:r w:rsidR="00C406BD">
        <w:t>ttachment to the deceased</w:t>
      </w:r>
      <w:r w:rsidR="00A37EEC">
        <w:t xml:space="preserve"> (</w:t>
      </w:r>
      <w:r w:rsidR="001C736E">
        <w:t xml:space="preserve">e.g. </w:t>
      </w:r>
      <w:r w:rsidR="00A37EEC">
        <w:t>‘</w:t>
      </w:r>
      <w:r w:rsidR="00A37EEC" w:rsidRPr="00A37EEC">
        <w:rPr>
          <w:i/>
        </w:rPr>
        <w:t>family reported they didn’t like the idea of someone else seeing through their loved ones eyes</w:t>
      </w:r>
      <w:r w:rsidR="00A37EEC">
        <w:rPr>
          <w:i/>
        </w:rPr>
        <w:t xml:space="preserve">, Textbox </w:t>
      </w:r>
      <w:r w:rsidR="00C02041">
        <w:rPr>
          <w:i/>
        </w:rPr>
        <w:t>1</w:t>
      </w:r>
      <w:r w:rsidR="00A37EEC">
        <w:rPr>
          <w:i/>
        </w:rPr>
        <w:t xml:space="preserve">), </w:t>
      </w:r>
      <w:r w:rsidR="001C736E">
        <w:t>as well as</w:t>
      </w:r>
      <w:r w:rsidR="00C406BD">
        <w:t xml:space="preserve"> the need for an intact body</w:t>
      </w:r>
      <w:r w:rsidR="00A37EEC">
        <w:t xml:space="preserve"> (</w:t>
      </w:r>
      <w:r w:rsidR="001C736E">
        <w:t xml:space="preserve">e.g. </w:t>
      </w:r>
      <w:r w:rsidR="00C406BD">
        <w:t>‘</w:t>
      </w:r>
      <w:r w:rsidR="00C406BD">
        <w:rPr>
          <w:i/>
        </w:rPr>
        <w:t>o</w:t>
      </w:r>
      <w:r w:rsidR="00C406BD" w:rsidRPr="00C406BD">
        <w:rPr>
          <w:i/>
        </w:rPr>
        <w:t>nly wanted internal organs donated, nothing from the outside</w:t>
      </w:r>
      <w:r w:rsidR="00C406BD">
        <w:rPr>
          <w:i/>
        </w:rPr>
        <w:t>’</w:t>
      </w:r>
      <w:r w:rsidR="00A37EEC">
        <w:rPr>
          <w:i/>
        </w:rPr>
        <w:t xml:space="preserve">, Textbox </w:t>
      </w:r>
      <w:r w:rsidR="00C02041">
        <w:rPr>
          <w:i/>
        </w:rPr>
        <w:t>2</w:t>
      </w:r>
      <w:r w:rsidR="00A37EEC">
        <w:rPr>
          <w:i/>
        </w:rPr>
        <w:t xml:space="preserve">) </w:t>
      </w:r>
      <w:r w:rsidR="00A37EEC">
        <w:t>are evidenced in th</w:t>
      </w:r>
      <w:r w:rsidR="00F566B3">
        <w:t>e</w:t>
      </w:r>
      <w:r w:rsidR="00A37EEC">
        <w:t xml:space="preserve"> national data set</w:t>
      </w:r>
      <w:r w:rsidR="00F566B3">
        <w:t xml:space="preserve"> analysed in this paper</w:t>
      </w:r>
      <w:r w:rsidR="00C406BD">
        <w:t xml:space="preserve">, alongside the importance of the </w:t>
      </w:r>
      <w:r w:rsidR="00A37EEC">
        <w:t>identity</w:t>
      </w:r>
      <w:r w:rsidR="00C406BD">
        <w:t xml:space="preserve"> of the deceased </w:t>
      </w:r>
      <w:r w:rsidR="00A37EEC" w:rsidRPr="00A37EEC">
        <w:rPr>
          <w:i/>
        </w:rPr>
        <w:t>(</w:t>
      </w:r>
      <w:r w:rsidR="001C736E">
        <w:rPr>
          <w:iCs/>
        </w:rPr>
        <w:t xml:space="preserve">e.g. </w:t>
      </w:r>
      <w:r w:rsidR="00A37EEC" w:rsidRPr="00A37EEC">
        <w:rPr>
          <w:i/>
        </w:rPr>
        <w:t xml:space="preserve">‘eyes refused as wife couldn't bear the thought of him without them’, Textbox </w:t>
      </w:r>
      <w:r w:rsidR="00C02041">
        <w:rPr>
          <w:i/>
        </w:rPr>
        <w:t>1</w:t>
      </w:r>
      <w:r w:rsidR="00A37EEC">
        <w:t xml:space="preserve">). </w:t>
      </w:r>
      <w:r w:rsidRPr="003851BB">
        <w:t xml:space="preserve">It is </w:t>
      </w:r>
      <w:r w:rsidR="00C94E7F">
        <w:t xml:space="preserve">in this </w:t>
      </w:r>
      <w:r w:rsidR="00493744">
        <w:t xml:space="preserve">emotional landscape </w:t>
      </w:r>
      <w:r w:rsidR="00C94E7F">
        <w:t>t</w:t>
      </w:r>
      <w:r w:rsidRPr="003851BB">
        <w:t xml:space="preserve">hat the topic of </w:t>
      </w:r>
      <w:r w:rsidR="00C94E7F">
        <w:t>eye</w:t>
      </w:r>
      <w:r w:rsidRPr="003851BB">
        <w:t xml:space="preserve"> donation is raised</w:t>
      </w:r>
      <w:r w:rsidR="00493744">
        <w:t xml:space="preserve">, a context that </w:t>
      </w:r>
      <w:r w:rsidR="00C94E7F">
        <w:t>appears unique to eye donation</w:t>
      </w:r>
      <w:r w:rsidR="00493744">
        <w:t xml:space="preserve">. It is </w:t>
      </w:r>
      <w:r w:rsidR="00C94E7F">
        <w:t>therefor</w:t>
      </w:r>
      <w:r w:rsidR="00493744">
        <w:t xml:space="preserve">e essential </w:t>
      </w:r>
      <w:r w:rsidR="00C94E7F">
        <w:t xml:space="preserve">that those making the approach to request eye donation </w:t>
      </w:r>
      <w:r w:rsidR="00D60255" w:rsidRPr="003851BB">
        <w:t xml:space="preserve">understand the </w:t>
      </w:r>
      <w:r w:rsidR="00C94E7F">
        <w:t xml:space="preserve">non-rational, </w:t>
      </w:r>
      <w:r w:rsidR="00D60255" w:rsidRPr="003851BB">
        <w:t>emotional</w:t>
      </w:r>
      <w:r w:rsidR="001C736E">
        <w:t>,</w:t>
      </w:r>
      <w:r w:rsidR="00C94E7F">
        <w:t xml:space="preserve"> and soci</w:t>
      </w:r>
      <w:r w:rsidR="001C736E">
        <w:t>ological</w:t>
      </w:r>
      <w:r w:rsidR="00C94E7F">
        <w:t xml:space="preserve"> factors underpinning </w:t>
      </w:r>
      <w:proofErr w:type="spellStart"/>
      <w:r w:rsidR="00C94E7F">
        <w:t>NoK</w:t>
      </w:r>
      <w:proofErr w:type="spellEnd"/>
      <w:r w:rsidR="00C94E7F">
        <w:t xml:space="preserve"> decision-making if an increase in the donation of eyes is to be achieved. </w:t>
      </w:r>
    </w:p>
    <w:p w14:paraId="505D9F06" w14:textId="4F47F90B" w:rsidR="00E91BD8" w:rsidRDefault="00E91BD8" w:rsidP="00E91BD8">
      <w:pPr>
        <w:spacing w:line="360" w:lineRule="auto"/>
        <w:jc w:val="both"/>
      </w:pPr>
      <w:r>
        <w:t>Whilst messages to support positive attitudes toward donation are now embedded in social and other media</w:t>
      </w:r>
      <w:r w:rsidR="009E4F75">
        <w:t xml:space="preserve"> campaigns in the UK</w:t>
      </w:r>
      <w:r>
        <w:t xml:space="preserve"> (</w:t>
      </w:r>
      <w:r w:rsidR="009E4F75">
        <w:t xml:space="preserve">e.g. Giving the ‘Gift of </w:t>
      </w:r>
      <w:r w:rsidR="0031244E">
        <w:t xml:space="preserve">Sight’ </w:t>
      </w:r>
      <w:r w:rsidR="0031244E">
        <w:fldChar w:fldCharType="begin" w:fldLock="1"/>
      </w:r>
      <w:r w:rsidR="0084649D">
        <w:instrText>ADDIN CSL_CITATION {"citationItems":[{"id":"ITEM-1","itemData":{"URL":"https://www.blood.co.uk/news-and-campaigns/the-donor-magazine-autumn-2017/giving-the-gift-of-sight/","accessed":{"date-parts":[["2021","1","12"]]},"author":[{"dropping-particle":"","family":"NHSBT","given":"","non-dropping-particle":"","parse-names":false,"suffix":""}],"id":"ITEM-1","issued":{"date-parts":[["2020"]]},"title":"Giving the gift of sight","type":"webpage"},"uris":["http://www.mendeley.com/documents/?uuid=11cdb591-6ef0-4b04-ad91-4bb1ddc3d0fe"]}],"mendeley":{"formattedCitation":"[42]","plainTextFormattedCitation":"[42]","previouslyFormattedCitation":"[42]"},"properties":{"noteIndex":0},"schema":"https://github.com/citation-style-language/schema/raw/master/csl-citation.json"}</w:instrText>
      </w:r>
      <w:r w:rsidR="0031244E">
        <w:fldChar w:fldCharType="separate"/>
      </w:r>
      <w:r w:rsidR="0084649D" w:rsidRPr="0084649D">
        <w:rPr>
          <w:noProof/>
        </w:rPr>
        <w:t>[42]</w:t>
      </w:r>
      <w:r w:rsidR="0031244E">
        <w:fldChar w:fldCharType="end"/>
      </w:r>
      <w:r>
        <w:t>, ‘Yes</w:t>
      </w:r>
      <w:r w:rsidR="009E4F75">
        <w:t xml:space="preserve"> I Donate’ etc.</w:t>
      </w:r>
      <w:r w:rsidR="0031244E">
        <w:t xml:space="preserve"> </w:t>
      </w:r>
      <w:r w:rsidR="0031244E">
        <w:fldChar w:fldCharType="begin" w:fldLock="1"/>
      </w:r>
      <w:r w:rsidR="0084649D">
        <w:instrText>ADDIN CSL_CITATION {"citationItems":[{"id":"ITEM-1","itemData":{"URL":"https://www.nhsbt.nhs.uk/how-you-can-help/get-involved/download-digital-materials/organ-donation-graphics/","accessed":{"date-parts":[["2021","1","12"]]},"author":[{"dropping-particle":"","family":"NHSBT","given":"","non-dropping-particle":"","parse-names":false,"suffix":""}],"id":"ITEM-1","issued":{"date-parts":[["2020"]]},"title":"Organ donation graphics - Download and share our graphics to promote organ donation","type":"webpage"},"uris":["http://www.mendeley.com/documents/?uuid=7c806b51-cde9-4e06-9616-360789495ee6"]}],"mendeley":{"formattedCitation":"[43]","plainTextFormattedCitation":"[43]","previouslyFormattedCitation":"[43]"},"properties":{"noteIndex":0},"schema":"https://github.com/citation-style-language/schema/raw/master/csl-citation.json"}</w:instrText>
      </w:r>
      <w:r w:rsidR="0031244E">
        <w:fldChar w:fldCharType="separate"/>
      </w:r>
      <w:r w:rsidR="0084649D" w:rsidRPr="0084649D">
        <w:rPr>
          <w:noProof/>
        </w:rPr>
        <w:t>[43]</w:t>
      </w:r>
      <w:r w:rsidR="0031244E">
        <w:fldChar w:fldCharType="end"/>
      </w:r>
      <w:r w:rsidR="001C736E">
        <w:t>)</w:t>
      </w:r>
      <w:r>
        <w:t>,</w:t>
      </w:r>
      <w:r w:rsidRPr="0007345F">
        <w:t xml:space="preserve"> messages employed to reduce negative attitudes have not taken sufficient account of the psychological</w:t>
      </w:r>
      <w:r>
        <w:t>, emotional and sociological</w:t>
      </w:r>
      <w:r w:rsidRPr="0007345F">
        <w:t xml:space="preserve"> </w:t>
      </w:r>
      <w:r>
        <w:t xml:space="preserve">factors that are specifically relevant to the donation of eye tissue. As stated </w:t>
      </w:r>
      <w:r w:rsidR="001C736E">
        <w:t xml:space="preserve">in the introduction, </w:t>
      </w:r>
      <w:r>
        <w:t xml:space="preserve">eyes are the least donated organ and this, we argue, is because the thought of removing the eyes may stimulate </w:t>
      </w:r>
      <w:r w:rsidRPr="00343022">
        <w:t>intense discomfort reactions</w:t>
      </w:r>
      <w:r>
        <w:t xml:space="preserve">, such as disgust, concerns of visible disfigurement and dissonance that </w:t>
      </w:r>
      <w:r w:rsidRPr="00343022">
        <w:t xml:space="preserve">suppress positive motives (e.g. attitudes) toward donating </w:t>
      </w:r>
      <w:r>
        <w:t>eyes</w:t>
      </w:r>
      <w:r w:rsidRPr="00272785">
        <w:t xml:space="preserve">. </w:t>
      </w:r>
    </w:p>
    <w:p w14:paraId="2F5CE3BE" w14:textId="778C5DA1" w:rsidR="00A87725" w:rsidRPr="00214FA3" w:rsidRDefault="00A87725" w:rsidP="00A87725">
      <w:pPr>
        <w:spacing w:line="360" w:lineRule="auto"/>
        <w:jc w:val="both"/>
        <w:rPr>
          <w:b/>
        </w:rPr>
      </w:pPr>
      <w:r w:rsidRPr="00214FA3">
        <w:rPr>
          <w:b/>
        </w:rPr>
        <w:t>Limitations</w:t>
      </w:r>
    </w:p>
    <w:p w14:paraId="2D7DE4EE" w14:textId="6536B0D0" w:rsidR="00457CC1" w:rsidRDefault="00A87725" w:rsidP="00A87725">
      <w:pPr>
        <w:spacing w:line="360" w:lineRule="auto"/>
        <w:jc w:val="both"/>
      </w:pPr>
      <w:r>
        <w:t>Data were generated by SNODs who recorded reasons shared with them by family members, and therefore the data reflect</w:t>
      </w:r>
      <w:r w:rsidR="0070157F">
        <w:t xml:space="preserve"> proxy comments. </w:t>
      </w:r>
      <w:r>
        <w:t xml:space="preserve"> </w:t>
      </w:r>
      <w:r w:rsidR="00930664">
        <w:t>F</w:t>
      </w:r>
      <w:r>
        <w:t xml:space="preserve">eedback received by the working group indicates that </w:t>
      </w:r>
      <w:r w:rsidRPr="004741D4">
        <w:rPr>
          <w:color w:val="000000" w:themeColor="text1"/>
        </w:rPr>
        <w:t>SNODs were likely not to probe family responses, just recording ‘</w:t>
      </w:r>
      <w:r w:rsidRPr="004741D4">
        <w:rPr>
          <w:i/>
          <w:color w:val="000000" w:themeColor="text1"/>
        </w:rPr>
        <w:t>family refused’</w:t>
      </w:r>
      <w:r w:rsidRPr="004741D4">
        <w:rPr>
          <w:color w:val="000000" w:themeColor="text1"/>
        </w:rPr>
        <w:t>, ‘</w:t>
      </w:r>
      <w:r w:rsidRPr="004741D4">
        <w:rPr>
          <w:i/>
          <w:color w:val="000000" w:themeColor="text1"/>
        </w:rPr>
        <w:t xml:space="preserve">No additional information’ </w:t>
      </w:r>
      <w:r w:rsidRPr="004D49A5">
        <w:rPr>
          <w:color w:val="000000" w:themeColor="text1"/>
        </w:rPr>
        <w:t xml:space="preserve">if in their view the discussion may lead to </w:t>
      </w:r>
      <w:r w:rsidR="0070157F">
        <w:rPr>
          <w:color w:val="000000" w:themeColor="text1"/>
        </w:rPr>
        <w:t xml:space="preserve">the family declining organ donation. </w:t>
      </w:r>
      <w:r w:rsidRPr="004D49A5">
        <w:rPr>
          <w:color w:val="000000" w:themeColor="text1"/>
        </w:rPr>
        <w:t xml:space="preserve"> </w:t>
      </w:r>
      <w:r>
        <w:t>The detail provided in the comments is constrained by the response format (i.e. a hand-written box) limiting the amount of information that SNODs could insert leading to wide variation in length of entries ranging between 1-187 words (median=6, IQR=7).</w:t>
      </w:r>
      <w:r w:rsidR="00DD7D24">
        <w:t xml:space="preserve"> </w:t>
      </w:r>
      <w:r w:rsidR="006514D1">
        <w:t>Thus,</w:t>
      </w:r>
      <w:r w:rsidR="00DD7D24">
        <w:t xml:space="preserve"> both the frequency and content (i.e. type and level of detail) of recorded comments were variable.</w:t>
      </w:r>
      <w:r w:rsidR="00C76782">
        <w:t xml:space="preserve"> </w:t>
      </w:r>
    </w:p>
    <w:p w14:paraId="47753126" w14:textId="7E2A0DAD" w:rsidR="009C65D4" w:rsidRDefault="00930664" w:rsidP="00A87725">
      <w:pPr>
        <w:spacing w:line="360" w:lineRule="auto"/>
        <w:jc w:val="both"/>
      </w:pPr>
      <w:r>
        <w:t xml:space="preserve">We did not have access to the demographic data of potential donors included in primary </w:t>
      </w:r>
      <w:r w:rsidR="00570063">
        <w:t>data collection under the data sharing agreement</w:t>
      </w:r>
      <w:r w:rsidR="00187083">
        <w:t>,</w:t>
      </w:r>
      <w:r w:rsidR="00570063">
        <w:t xml:space="preserve"> and therefore have not been able to include any </w:t>
      </w:r>
      <w:r w:rsidR="00187083">
        <w:t xml:space="preserve">related </w:t>
      </w:r>
      <w:r w:rsidR="00570063">
        <w:t>commentary</w:t>
      </w:r>
      <w:r w:rsidR="00187083">
        <w:t>.</w:t>
      </w:r>
      <w:r w:rsidR="00E52607">
        <w:t xml:space="preserve"> </w:t>
      </w:r>
      <w:r w:rsidR="006514D1">
        <w:t>We are</w:t>
      </w:r>
      <w:r w:rsidR="00187083">
        <w:t xml:space="preserve"> also</w:t>
      </w:r>
      <w:r w:rsidR="006514D1">
        <w:t xml:space="preserve"> unable to provide any commentary regarding the impact of legislative changes that took place in Wales</w:t>
      </w:r>
      <w:r w:rsidR="00187083">
        <w:t xml:space="preserve"> (as of 1</w:t>
      </w:r>
      <w:r w:rsidR="00187083" w:rsidRPr="00263CC4">
        <w:rPr>
          <w:vertAlign w:val="superscript"/>
        </w:rPr>
        <w:t>st</w:t>
      </w:r>
      <w:r w:rsidR="00187083">
        <w:t xml:space="preserve"> December 2015)</w:t>
      </w:r>
      <w:r w:rsidR="004F199F">
        <w:t xml:space="preserve"> </w:t>
      </w:r>
      <w:r w:rsidR="004F199F">
        <w:fldChar w:fldCharType="begin" w:fldLock="1"/>
      </w:r>
      <w:r w:rsidR="00573DFB">
        <w:instrText>ADDIN CSL_CITATION {"citationItems":[{"id":"ITEM-1","itemData":{"URL":"https://www.organdonation.nhs.uk/uk-laws/organ-donation-law-in-wales/","accessed":{"date-parts":[["2021","1","12"]]},"author":[{"dropping-particle":"","family":"NHSBT","given":"","non-dropping-particle":"","parse-names":false,"suffix":""}],"container-title":"2020","id":"ITEM-1","issued":{"date-parts":[["0"]]},"title":"Organ donation law in Wales","type":"webpage"},"uris":["http://www.mendeley.com/documents/?uuid=0498c164-2297-4759-a2b3-d47e4f05a556"]}],"mendeley":{"formattedCitation":"[44]","plainTextFormattedCitation":"[44]","previouslyFormattedCitation":"[44]"},"properties":{"noteIndex":0},"schema":"https://github.com/citation-style-language/schema/raw/master/csl-citation.json"}</w:instrText>
      </w:r>
      <w:r w:rsidR="004F199F">
        <w:fldChar w:fldCharType="separate"/>
      </w:r>
      <w:r w:rsidR="004F199F" w:rsidRPr="004F199F">
        <w:rPr>
          <w:noProof/>
        </w:rPr>
        <w:t>[44]</w:t>
      </w:r>
      <w:r w:rsidR="004F199F">
        <w:fldChar w:fldCharType="end"/>
      </w:r>
      <w:r w:rsidR="006514D1">
        <w:t xml:space="preserve"> during primary data collection</w:t>
      </w:r>
      <w:r w:rsidR="008C0D67">
        <w:t xml:space="preserve"> for the service development initiative</w:t>
      </w:r>
      <w:r w:rsidR="00187083">
        <w:t>,</w:t>
      </w:r>
      <w:r w:rsidR="008C0D67">
        <w:t xml:space="preserve"> as</w:t>
      </w:r>
      <w:r w:rsidR="00742F38">
        <w:t xml:space="preserve"> practice respon</w:t>
      </w:r>
      <w:r w:rsidR="00187083">
        <w:t>ses</w:t>
      </w:r>
      <w:r w:rsidR="00742F38">
        <w:t xml:space="preserve"> to </w:t>
      </w:r>
      <w:r w:rsidR="00194697">
        <w:t xml:space="preserve">these </w:t>
      </w:r>
      <w:r w:rsidR="00742F38">
        <w:t>change</w:t>
      </w:r>
      <w:r w:rsidR="00194697">
        <w:t>s</w:t>
      </w:r>
      <w:r w:rsidR="00742F38">
        <w:t xml:space="preserve"> w</w:t>
      </w:r>
      <w:r w:rsidR="00187083">
        <w:t>ere</w:t>
      </w:r>
      <w:r w:rsidR="00742F38">
        <w:t xml:space="preserve"> still being developed and implemented. </w:t>
      </w:r>
      <w:r w:rsidR="008C0D67">
        <w:t xml:space="preserve">  </w:t>
      </w:r>
      <w:r w:rsidR="006514D1">
        <w:t xml:space="preserve"> </w:t>
      </w:r>
      <w:r w:rsidR="009C65D4">
        <w:t xml:space="preserve"> </w:t>
      </w:r>
    </w:p>
    <w:p w14:paraId="37A765CC" w14:textId="73840094" w:rsidR="00B33A94" w:rsidRPr="00214FA3" w:rsidRDefault="00B33A94" w:rsidP="00214FA3">
      <w:pPr>
        <w:pStyle w:val="Heading1"/>
        <w:spacing w:line="360" w:lineRule="auto"/>
        <w:rPr>
          <w:rFonts w:asciiTheme="minorHAnsi" w:hAnsiTheme="minorHAnsi" w:cstheme="minorHAnsi"/>
          <w:b/>
          <w:color w:val="auto"/>
          <w:sz w:val="22"/>
          <w:szCs w:val="22"/>
        </w:rPr>
      </w:pPr>
      <w:r w:rsidRPr="00214FA3">
        <w:rPr>
          <w:rFonts w:asciiTheme="minorHAnsi" w:hAnsiTheme="minorHAnsi" w:cstheme="minorHAnsi"/>
          <w:b/>
          <w:color w:val="auto"/>
          <w:sz w:val="22"/>
          <w:szCs w:val="22"/>
        </w:rPr>
        <w:t xml:space="preserve">Conclusion and recommendations: </w:t>
      </w:r>
    </w:p>
    <w:p w14:paraId="6817BAE8" w14:textId="69D31A7E" w:rsidR="00E05C99" w:rsidRPr="007355C9" w:rsidRDefault="00B33A94" w:rsidP="00214FA3">
      <w:pPr>
        <w:spacing w:line="360" w:lineRule="auto"/>
        <w:jc w:val="both"/>
      </w:pPr>
      <w:bookmarkStart w:id="10" w:name="_Hlk48825261"/>
      <w:r>
        <w:t xml:space="preserve">In view of the reported </w:t>
      </w:r>
      <w:r>
        <w:rPr>
          <w:rFonts w:cstheme="minorHAnsi"/>
        </w:rPr>
        <w:t>53% of the world’s population not having access to the benefits of sight saving and sight restoring transplantation surgery</w:t>
      </w:r>
      <w:r w:rsidR="009E4F75">
        <w:rPr>
          <w:rFonts w:cstheme="minorHAnsi"/>
        </w:rPr>
        <w:t xml:space="preserve"> </w:t>
      </w:r>
      <w:r w:rsidR="009E4F75">
        <w:rPr>
          <w:rFonts w:cstheme="minorHAnsi"/>
        </w:rPr>
        <w:fldChar w:fldCharType="begin" w:fldLock="1"/>
      </w:r>
      <w:r w:rsidR="009E4F75">
        <w:rPr>
          <w:rFonts w:cstheme="minorHAnsi"/>
        </w:rPr>
        <w:instrText>ADDIN CSL_CITATION {"citationItems":[{"id":"ITEM-1","itemData":{"DOI":"10.1136/bjophthalmol-2011-300539","ISSN":"00071161","PMID":"22133988","abstract":"Aim: From the most recent data the magnitude of visual impairment and its causes in 2010 have been estimated, globally and by WHO region. The definitions of visual impairment are the current definitions of presenting vision in the International Classification of Diseases version 10. Methods: A systematic review was conducted of published and unpublished surveys from 2000 to the present. For countries without data on visual impairment, estimates were based on newly developed imputation methods that took into account country economic status as proxy. Results: Surveys from 39 countries satisfied the inclusion criteria for this study. Globally, the number of people of all ages visually impaired is estimated to be 285 million, of whom 39 million are blind, with uncertainties of 10-20%. People 50 years and older represent 65% and 82% of visually impaired and blind, respectively. The major causes of visual impairment are uncorrected refractive errors (43%) followed by cataract (33%); the first cause of blindness is cataract (51%). Conclusion: This study indicates that visual impairment in 2010 is a major health issue that is unequally distributed among the WHO regions; the preventable causes are as high as 80% of the total global burden.","author":[{"dropping-particle":"","family":"Pascolini","given":"Donatella","non-dropping-particle":"","parse-names":false,"suffix":""},{"dropping-particle":"","family":"Mariotti","given":"Silvio Paolo","non-dropping-particle":"","parse-names":false,"suffix":""}],"container-title":"British Journal of Ophthalmology","id":"ITEM-1","issue":"5","issued":{"date-parts":[["2012"]]},"page":"614-618","title":"Global estimates of visual impairment: 2010","type":"article-journal","volume":"96"},"uris":["http://www.mendeley.com/documents/?uuid=b5d73d57-b587-4bf0-9116-87191b3b4b9f"]}],"mendeley":{"formattedCitation":"[1]","plainTextFormattedCitation":"[1]","previouslyFormattedCitation":"[1]"},"properties":{"noteIndex":0},"schema":"https://github.com/citation-style-language/schema/raw/master/csl-citation.json"}</w:instrText>
      </w:r>
      <w:r w:rsidR="009E4F75">
        <w:rPr>
          <w:rFonts w:cstheme="minorHAnsi"/>
        </w:rPr>
        <w:fldChar w:fldCharType="separate"/>
      </w:r>
      <w:r w:rsidR="009E4F75" w:rsidRPr="009E4F75">
        <w:rPr>
          <w:rFonts w:cstheme="minorHAnsi"/>
          <w:noProof/>
        </w:rPr>
        <w:t>[1]</w:t>
      </w:r>
      <w:r w:rsidR="009E4F75">
        <w:rPr>
          <w:rFonts w:cstheme="minorHAnsi"/>
        </w:rPr>
        <w:fldChar w:fldCharType="end"/>
      </w:r>
      <w:r>
        <w:rPr>
          <w:rFonts w:cstheme="minorHAnsi"/>
        </w:rPr>
        <w:t xml:space="preserve"> and</w:t>
      </w:r>
      <w:r>
        <w:t xml:space="preserve"> </w:t>
      </w:r>
      <w:r w:rsidRPr="00153CB5">
        <w:rPr>
          <w:rFonts w:cstheme="minorHAnsi"/>
        </w:rPr>
        <w:t>over two million people in the UK living with sight loss</w:t>
      </w:r>
      <w:r w:rsidR="009E4F75">
        <w:rPr>
          <w:rFonts w:cstheme="minorHAnsi"/>
        </w:rPr>
        <w:t xml:space="preserve"> </w:t>
      </w:r>
      <w:r w:rsidR="009E4F75">
        <w:rPr>
          <w:rFonts w:cstheme="minorHAnsi"/>
        </w:rPr>
        <w:fldChar w:fldCharType="begin" w:fldLock="1"/>
      </w:r>
      <w:r w:rsidR="009E4F75">
        <w:rPr>
          <w:rFonts w:cstheme="minorHAnsi"/>
        </w:rPr>
        <w:instrText>ADDIN CSL_CITATION {"citationItems":[{"id":"ITEM-1","itemData":{"abstract":"This report draws together the latest evidence on eye health. Definitions of sight loss fall into three broad categories: • clinical (used by professionals such as optometrists and ophthalmologists) • administrative (used by health and social care bodies) • self-reported (used by people to describe their own sight loss) We have used data from all of these sources in this report. Information is presented at UK level throughout this report. In some instances data from individual countries is given because it has not been possible to derive UKlevel data. The report specifies where this is the case. The table in Appendix B draws data from each chapter into a dashboard of indicators. with descriptions, sources of evidence and, where possible, trends. Further detail about the sources of evidence is given in each section of the report.","author":[{"dropping-particle":"","family":"RNIB &amp; Specsavers","given":"","non-dropping-particle":"","parse-names":false,"suffix":""}],"container-title":"The State of the Nation","id":"ITEM-1","issued":{"date-parts":[["2016"]]},"page":"27","title":"The State of the Nation Eye Health 2016","type":"article-journal"},"uris":["http://www.mendeley.com/documents/?uuid=b6c9da8f-114e-4023-b784-e02237332b6a"]}],"mendeley":{"formattedCitation":"[2]","plainTextFormattedCitation":"[2]","previouslyFormattedCitation":"[2]"},"properties":{"noteIndex":0},"schema":"https://github.com/citation-style-language/schema/raw/master/csl-citation.json"}</w:instrText>
      </w:r>
      <w:r w:rsidR="009E4F75">
        <w:rPr>
          <w:rFonts w:cstheme="minorHAnsi"/>
        </w:rPr>
        <w:fldChar w:fldCharType="separate"/>
      </w:r>
      <w:r w:rsidR="009E4F75" w:rsidRPr="009E4F75">
        <w:rPr>
          <w:rFonts w:cstheme="minorHAnsi"/>
          <w:noProof/>
        </w:rPr>
        <w:t>[2]</w:t>
      </w:r>
      <w:r w:rsidR="009E4F75">
        <w:rPr>
          <w:rFonts w:cstheme="minorHAnsi"/>
        </w:rPr>
        <w:fldChar w:fldCharType="end"/>
      </w:r>
      <w:r>
        <w:rPr>
          <w:rFonts w:cstheme="minorHAnsi"/>
        </w:rPr>
        <w:t xml:space="preserve"> t</w:t>
      </w:r>
      <w:r>
        <w:t xml:space="preserve">his paper presents important data </w:t>
      </w:r>
      <w:r w:rsidR="004B1168">
        <w:t xml:space="preserve">that </w:t>
      </w:r>
      <w:r w:rsidR="00E05C99">
        <w:t>could</w:t>
      </w:r>
      <w:r w:rsidR="004B1168">
        <w:t xml:space="preserve"> help organisations and HCPs involved in approaching bereaved family member for eye donation </w:t>
      </w:r>
      <w:r w:rsidR="00E05C99">
        <w:t xml:space="preserve">re-design modes of approach and the structure of consent conversations.  In view of the data reported that </w:t>
      </w:r>
      <w:r w:rsidR="00E05C99" w:rsidRPr="007355C9">
        <w:t>potentially, over 2,000 eyes did not become available for use in transplant operations and research</w:t>
      </w:r>
      <w:r w:rsidR="00214FA3">
        <w:t xml:space="preserve"> due to family members declining this donation option, further research is needed focussed on the construction, delivery and content of the donation conversation. </w:t>
      </w:r>
      <w:r w:rsidR="00A87725">
        <w:t>We therefore propose the following recommendations for future service and communication strategy development.</w:t>
      </w:r>
    </w:p>
    <w:bookmarkEnd w:id="10"/>
    <w:p w14:paraId="5B8F4C3F" w14:textId="68403681" w:rsidR="00D60255" w:rsidRDefault="00A87725" w:rsidP="00214FA3">
      <w:pPr>
        <w:pStyle w:val="ListParagraph"/>
        <w:numPr>
          <w:ilvl w:val="0"/>
          <w:numId w:val="6"/>
        </w:numPr>
        <w:spacing w:line="360" w:lineRule="auto"/>
        <w:jc w:val="both"/>
      </w:pPr>
      <w:r w:rsidRPr="0005209B">
        <w:rPr>
          <w:i/>
          <w:iCs/>
          <w:u w:val="single"/>
        </w:rPr>
        <w:t>Communicate propriety of the donation operation</w:t>
      </w:r>
      <w:r w:rsidRPr="0005209B">
        <w:rPr>
          <w:u w:val="single"/>
        </w:rPr>
        <w:t xml:space="preserve"> </w:t>
      </w:r>
      <w:r>
        <w:t xml:space="preserve">- </w:t>
      </w:r>
      <w:r w:rsidR="00272785" w:rsidRPr="00272785">
        <w:t>The ‘sacrifice’ of an unscathed body could be an important barrier to actualising donation even in populations where there is a high level of awareness of the benefits of transplantation</w:t>
      </w:r>
      <w:r w:rsidR="00EF4F7F">
        <w:t xml:space="preserve"> </w:t>
      </w:r>
      <w:r w:rsidR="00EF4F7F">
        <w:fldChar w:fldCharType="begin" w:fldLock="1"/>
      </w:r>
      <w:r w:rsidR="00573DFB">
        <w:instrText>ADDIN CSL_CITATION {"citationItems":[{"id":"ITEM-1","itemData":{"DOI":"10.1017/CBO9780511973536.005","ISBN":"9780511973536","abstract":"Bereaved families are the critical link in actualising donation from potential organ donors as they are normally asked to facilitate, or make a decision about donation, on behalf of their deceased relative. Whilst the merging of legislation and transplant ideology promotes organ donation as a social good, most countries sustain high refusal rates by bereaved relatives, influenced in part by the circumstances of loss and bereavement, which are emotionally provocative and culturally challenging. So how do families conceptualise organ donation? What does the evidence suggest impacts families' experiences that might be helpful in eliciting positive decisions about donation but also decisions that remain right for family members? Drawing upon contemporary studies, this chapter discusses the social context of the death of the organ donor: how bereavement in this circumstance may be understood; families' concerns about the perceived death of an organ donor and what might be done to the body as a result of the donation operation; their beliefs, fantasies and feelings when viewing the body after the organs have been removed; the importance they place on restructuring the donor's life in the post-death relationship with recipients; and their distress if they were denied the knowledge that the organ had achieved a wholeness and purpose in another body. The authors suggest that the social processes integral to the donation event remain poorly understood by the public and that the function of public education should be to enhance awareness of organ donation to the extent that when an approach about organ donation is made in a hospital, the idea is neither new nor intimidating to the bereaved family; it simply reminds them of the potential impact of their decision on the lives of waiting recipients, their families and communities.","author":[{"dropping-particle":"","family":"Sque","given":"Magi","non-dropping-particle":"","parse-names":false,"suffix":""},{"dropping-particle":"","family":"Long-Sutehall","given":"Tracy","non-dropping-particle":"","parse-names":false,"suffix":""}],"container-title":"Organ Shortage: Ethics, Law and Pragmatism","id":"ITEM-1","issued":{"date-parts":[["2011"]]},"page":"67-86","title":"Bereavement, decision-making and the family in organ donation","type":"chapter"},"uris":["http://www.mendeley.com/documents/?uuid=300a1c1b-eddc-4332-8dd7-608781a7b78a"]}],"mendeley":{"formattedCitation":"[45]","plainTextFormattedCitation":"[45]","previouslyFormattedCitation":"[45]"},"properties":{"noteIndex":0},"schema":"https://github.com/citation-style-language/schema/raw/master/csl-citation.json"}</w:instrText>
      </w:r>
      <w:r w:rsidR="00EF4F7F">
        <w:fldChar w:fldCharType="separate"/>
      </w:r>
      <w:r w:rsidR="004F199F" w:rsidRPr="004F199F">
        <w:rPr>
          <w:noProof/>
        </w:rPr>
        <w:t>[45]</w:t>
      </w:r>
      <w:r w:rsidR="00EF4F7F">
        <w:fldChar w:fldCharType="end"/>
      </w:r>
      <w:r w:rsidR="00272785" w:rsidRPr="00272785">
        <w:t>. The propriety of the donation operation needs to be stressed in public education and in discussions with the bereaved family approached about organ donation</w:t>
      </w:r>
      <w:r w:rsidR="00272785">
        <w:t xml:space="preserve"> as </w:t>
      </w:r>
      <w:r w:rsidR="00272785" w:rsidRPr="00272785">
        <w:t>discovering what worries people about organ donation is the first step towards crafting more effective organ donation campaigns</w:t>
      </w:r>
      <w:r w:rsidR="00EF4F7F">
        <w:t xml:space="preserve"> </w:t>
      </w:r>
      <w:r w:rsidR="00EF4F7F">
        <w:fldChar w:fldCharType="begin" w:fldLock="1"/>
      </w:r>
      <w:r w:rsidR="005740D8">
        <w:instrText>ADDIN CSL_CITATION {"citationItems":[{"id":"ITEM-1","itemData":{"DOI":"10.1080/03637750216540","ISSN":"0363-7751","author":[{"dropping-particle":"","family":"Morgan","given":"Susan","non-dropping-particle":"","parse-names":false,"suffix":""},{"dropping-particle":"","family":"Miller","given":"Jenny","non-dropping-particle":"","parse-names":false,"suffix":""},{"dropping-particle":"","family":"Arasaratnam","given":"Lily","non-dropping-particle":"","parse-names":false,"suffix":""}],"container-title":"Communication Monographs","id":"ITEM-1","issue":"3","issued":{"date-parts":[["2002","9","21"]]},"page":"253-273","title":"Signing cards, saving lives: an evaluation of the worksite organ donation promotion project","type":"article-journal","volume":"69"},"uris":["http://www.mendeley.com/documents/?uuid=a993b22c-52fe-4fe9-aec7-5e0ec54b8e39"]}],"mendeley":{"formattedCitation":"[34]","plainTextFormattedCitation":"[34]","previouslyFormattedCitation":"[34]"},"properties":{"noteIndex":0},"schema":"https://github.com/citation-style-language/schema/raw/master/csl-citation.json"}</w:instrText>
      </w:r>
      <w:r w:rsidR="00EF4F7F">
        <w:fldChar w:fldCharType="separate"/>
      </w:r>
      <w:r w:rsidR="00916FE7" w:rsidRPr="00916FE7">
        <w:rPr>
          <w:noProof/>
        </w:rPr>
        <w:t>[34]</w:t>
      </w:r>
      <w:r w:rsidR="00EF4F7F">
        <w:fldChar w:fldCharType="end"/>
      </w:r>
      <w:r w:rsidR="00272785" w:rsidRPr="00272785">
        <w:t>.</w:t>
      </w:r>
      <w:r w:rsidR="00272785">
        <w:t xml:space="preserve"> </w:t>
      </w:r>
    </w:p>
    <w:p w14:paraId="4A0B3B77" w14:textId="6BC60B6D" w:rsidR="002258A0" w:rsidRDefault="00A87725" w:rsidP="000F69C7">
      <w:pPr>
        <w:pStyle w:val="ListParagraph"/>
        <w:numPr>
          <w:ilvl w:val="0"/>
          <w:numId w:val="6"/>
        </w:numPr>
        <w:spacing w:line="360" w:lineRule="auto"/>
        <w:jc w:val="both"/>
      </w:pPr>
      <w:r w:rsidRPr="0005209B">
        <w:rPr>
          <w:i/>
          <w:iCs/>
          <w:u w:val="single"/>
        </w:rPr>
        <w:t>Explore the potential of a disc-only corneal retrieval procedure to increase acceptance of donation</w:t>
      </w:r>
      <w:r w:rsidR="0005209B">
        <w:rPr>
          <w:i/>
          <w:iCs/>
        </w:rPr>
        <w:t xml:space="preserve"> </w:t>
      </w:r>
      <w:r>
        <w:rPr>
          <w:i/>
          <w:iCs/>
        </w:rPr>
        <w:t xml:space="preserve">- </w:t>
      </w:r>
      <w:r w:rsidR="000F69C7">
        <w:t xml:space="preserve">Enucleation (removal) of the </w:t>
      </w:r>
      <w:r w:rsidR="002258A0">
        <w:t xml:space="preserve">entire eye (as usual in the UK) </w:t>
      </w:r>
      <w:r w:rsidR="002258A0" w:rsidRPr="000F69C7">
        <w:rPr>
          <w:rFonts w:ascii="Calibri" w:hAnsi="Calibri" w:cs="Calibri"/>
          <w:noProof/>
        </w:rPr>
        <w:t>has been reported as being a potential barrier to donation of eye tissue by relatives in view</w:t>
      </w:r>
      <w:r w:rsidR="000F69C7" w:rsidRPr="000F69C7">
        <w:rPr>
          <w:rFonts w:ascii="Calibri" w:hAnsi="Calibri" w:cs="Calibri"/>
          <w:noProof/>
        </w:rPr>
        <w:t xml:space="preserve"> of disfigurement concerns</w:t>
      </w:r>
      <w:r w:rsidR="000F69C7">
        <w:rPr>
          <w:rFonts w:ascii="Calibri" w:hAnsi="Calibri" w:cs="Calibri"/>
          <w:noProof/>
        </w:rPr>
        <w:t xml:space="preserve">. Removal </w:t>
      </w:r>
      <w:r w:rsidR="000F69C7" w:rsidRPr="000F69C7">
        <w:rPr>
          <w:rFonts w:ascii="Calibri" w:hAnsi="Calibri" w:cs="Calibri"/>
          <w:noProof/>
        </w:rPr>
        <w:t xml:space="preserve">of the </w:t>
      </w:r>
      <w:bookmarkStart w:id="11" w:name="_Hlk48838625"/>
      <w:r w:rsidR="000F69C7" w:rsidRPr="000F69C7">
        <w:rPr>
          <w:rFonts w:ascii="Calibri" w:hAnsi="Calibri" w:cs="Calibri"/>
          <w:noProof/>
        </w:rPr>
        <w:t xml:space="preserve">corneoscleral disc </w:t>
      </w:r>
      <w:bookmarkEnd w:id="11"/>
      <w:r w:rsidR="000F69C7" w:rsidRPr="000F69C7">
        <w:rPr>
          <w:rFonts w:ascii="Calibri" w:hAnsi="Calibri" w:cs="Calibri"/>
          <w:noProof/>
        </w:rPr>
        <w:t xml:space="preserve">only </w:t>
      </w:r>
      <w:r w:rsidR="000F69C7">
        <w:rPr>
          <w:rFonts w:ascii="Calibri" w:hAnsi="Calibri" w:cs="Calibri"/>
          <w:noProof/>
        </w:rPr>
        <w:t xml:space="preserve">has been aligned with </w:t>
      </w:r>
      <w:r w:rsidR="000F69C7" w:rsidRPr="000F69C7">
        <w:rPr>
          <w:rFonts w:ascii="Calibri" w:hAnsi="Calibri" w:cs="Calibri"/>
          <w:noProof/>
        </w:rPr>
        <w:t>higher consent rates</w:t>
      </w:r>
      <w:r w:rsidR="009E4F75">
        <w:rPr>
          <w:rFonts w:ascii="Calibri" w:hAnsi="Calibri" w:cs="Calibri"/>
          <w:noProof/>
        </w:rPr>
        <w:t xml:space="preserve"> </w:t>
      </w:r>
      <w:r w:rsidR="009E4F75">
        <w:rPr>
          <w:rFonts w:ascii="Calibri" w:hAnsi="Calibri" w:cs="Calibri"/>
          <w:noProof/>
        </w:rPr>
        <w:fldChar w:fldCharType="begin" w:fldLock="1"/>
      </w:r>
      <w:r w:rsidR="00573DFB">
        <w:rPr>
          <w:rFonts w:ascii="Calibri" w:hAnsi="Calibri" w:cs="Calibri"/>
          <w:noProof/>
        </w:rPr>
        <w:instrText>ADDIN CSL_CITATION {"citationItems":[{"id":"ITEM-1","itemData":{"DOI":"10.1007/s003470050203","ISSN":"0941293X","PMID":"9465709","abstract":"Background: Donor corneas are normally obtained by whole globe enucleation - a procedure often refused by the bereaved. To increase the acceptance of cornea donation, we have exclusively obtained donor corneas by in situ excision since the end of 1994. There have been reports of increased endothelial damage and higher contamination rates. We report our experience in 1995 and 1996. Methods: The in situ excision was performed by staff trained in microsurgical techniques. Only donor corneas with negative end-storage cultures after at least 10 days and an endothelial cell count of more than 2500 cells/mm2 were used for transplantation. Results: In all, 705 corneoscleral buttons were excised from 1/95 to 12/96. The bereaved consented in 34% in 1996. A total of 30.5 % of the corneas were ineligible for transplantation which corresponds to the discard figures from all cornea banks with culture methods. We did not observe any primary transplant failure nor endophthalmitis after 444 perforating keratoplasties. Conclusion: In situ corneal excision is safe, and helps to reduce the shortage in donor corneas. © Springer-Verlag 1997.","author":[{"dropping-particle":"","family":"Hudde","given":"Tobias","non-dropping-particle":"","parse-names":false,"suffix":""},{"dropping-particle":"","family":"Reinhard","given":"Thomas","non-dropping-particle":"","parse-names":false,"suffix":""},{"dropping-particle":"","family":"Möller","given":"Michael","non-dropping-particle":"","parse-names":false,"suffix":""},{"dropping-particle":"","family":"Schelle","given":"Claudia","non-dropping-particle":"","parse-names":false,"suffix":""},{"dropping-particle":"","family":"Speisberg","given":"Helga","non-dropping-particle":"","parse-names":false,"suffix":""},{"dropping-particle":"","family":"Cepin","given":"Andreas","non-dropping-particle":"","parse-names":false,"suffix":""},{"dropping-particle":"","family":"Sundmacher","given":"Rainer","non-dropping-particle":"","parse-names":false,"suffix":""}],"container-title":"Ophthalmologe","id":"ITEM-1","issue":"11","issued":{"date-parts":[["1997"]]},"page":"780-784","title":"Korneosklerale transplantatentnahme an der leiche: Erfahrungen der Lions-Hornhautbank Nordrhein-Westfalen in den jahren 1995 und 1996","type":"article-journal","volume":"94"},"uris":["http://www.mendeley.com/documents/?uuid=752c6a9a-903f-4256-8e86-4f637d274e77"]}],"mendeley":{"formattedCitation":"[46]","plainTextFormattedCitation":"[46]","previouslyFormattedCitation":"[46]"},"properties":{"noteIndex":0},"schema":"https://github.com/citation-style-language/schema/raw/master/csl-citation.json"}</w:instrText>
      </w:r>
      <w:r w:rsidR="009E4F75">
        <w:rPr>
          <w:rFonts w:ascii="Calibri" w:hAnsi="Calibri" w:cs="Calibri"/>
          <w:noProof/>
        </w:rPr>
        <w:fldChar w:fldCharType="separate"/>
      </w:r>
      <w:r w:rsidR="004F199F" w:rsidRPr="004F199F">
        <w:rPr>
          <w:rFonts w:ascii="Calibri" w:hAnsi="Calibri" w:cs="Calibri"/>
          <w:noProof/>
        </w:rPr>
        <w:t>[46]</w:t>
      </w:r>
      <w:r w:rsidR="009E4F75">
        <w:rPr>
          <w:rFonts w:ascii="Calibri" w:hAnsi="Calibri" w:cs="Calibri"/>
          <w:noProof/>
        </w:rPr>
        <w:fldChar w:fldCharType="end"/>
      </w:r>
      <w:r>
        <w:rPr>
          <w:rFonts w:ascii="Calibri" w:hAnsi="Calibri" w:cs="Calibri"/>
          <w:noProof/>
        </w:rPr>
        <w:t>,</w:t>
      </w:r>
      <w:r w:rsidR="000F69C7" w:rsidRPr="00A90BC2">
        <w:rPr>
          <w:rFonts w:ascii="Calibri" w:hAnsi="Calibri" w:cs="Calibri"/>
          <w:noProof/>
          <w:color w:val="FF0000"/>
        </w:rPr>
        <w:t xml:space="preserve"> </w:t>
      </w:r>
      <w:r w:rsidR="000F69C7">
        <w:rPr>
          <w:rFonts w:ascii="Calibri" w:hAnsi="Calibri" w:cs="Calibri"/>
          <w:noProof/>
        </w:rPr>
        <w:t xml:space="preserve">however currently robust data </w:t>
      </w:r>
      <w:r w:rsidR="00A4118F">
        <w:rPr>
          <w:rFonts w:ascii="Calibri" w:hAnsi="Calibri" w:cs="Calibri"/>
          <w:noProof/>
        </w:rPr>
        <w:t>about whether this would be a more acceptb</w:t>
      </w:r>
      <w:r>
        <w:rPr>
          <w:rFonts w:ascii="Calibri" w:hAnsi="Calibri" w:cs="Calibri"/>
          <w:noProof/>
        </w:rPr>
        <w:t>l</w:t>
      </w:r>
      <w:r w:rsidR="00A4118F">
        <w:rPr>
          <w:rFonts w:ascii="Calibri" w:hAnsi="Calibri" w:cs="Calibri"/>
          <w:noProof/>
        </w:rPr>
        <w:t xml:space="preserve">e intevention with decisin makers </w:t>
      </w:r>
      <w:r w:rsidR="000F69C7">
        <w:rPr>
          <w:rFonts w:ascii="Calibri" w:hAnsi="Calibri" w:cs="Calibri"/>
          <w:noProof/>
        </w:rPr>
        <w:t>is missing</w:t>
      </w:r>
      <w:r w:rsidR="00A4118F">
        <w:rPr>
          <w:rFonts w:ascii="Calibri" w:hAnsi="Calibri" w:cs="Calibri"/>
          <w:noProof/>
        </w:rPr>
        <w:t xml:space="preserve">. </w:t>
      </w:r>
      <w:r w:rsidR="00A90BC2">
        <w:rPr>
          <w:rFonts w:ascii="Calibri" w:hAnsi="Calibri" w:cs="Calibri"/>
          <w:noProof/>
        </w:rPr>
        <w:t xml:space="preserve">Reseach comparing consent rates </w:t>
      </w:r>
      <w:r w:rsidR="00A4118F">
        <w:rPr>
          <w:rFonts w:ascii="Calibri" w:hAnsi="Calibri" w:cs="Calibri"/>
          <w:noProof/>
        </w:rPr>
        <w:t>for these two op</w:t>
      </w:r>
      <w:r>
        <w:rPr>
          <w:rFonts w:ascii="Calibri" w:hAnsi="Calibri" w:cs="Calibri"/>
          <w:noProof/>
        </w:rPr>
        <w:t>tions</w:t>
      </w:r>
      <w:r w:rsidR="00A4118F">
        <w:rPr>
          <w:rFonts w:ascii="Calibri" w:hAnsi="Calibri" w:cs="Calibri"/>
          <w:noProof/>
        </w:rPr>
        <w:t xml:space="preserve"> </w:t>
      </w:r>
      <w:r w:rsidR="000F69C7">
        <w:rPr>
          <w:rFonts w:ascii="Calibri" w:hAnsi="Calibri" w:cs="Calibri"/>
          <w:noProof/>
        </w:rPr>
        <w:t xml:space="preserve">would be a valuable addition to the knowledge base on which to base furture service planning. </w:t>
      </w:r>
    </w:p>
    <w:p w14:paraId="0A0FA355" w14:textId="0AEA4A79" w:rsidR="00D2371B" w:rsidRDefault="0005209B" w:rsidP="00214FA3">
      <w:pPr>
        <w:pStyle w:val="ListParagraph"/>
        <w:numPr>
          <w:ilvl w:val="0"/>
          <w:numId w:val="6"/>
        </w:numPr>
        <w:spacing w:line="360" w:lineRule="auto"/>
        <w:jc w:val="both"/>
      </w:pPr>
      <w:r w:rsidRPr="0005209B">
        <w:rPr>
          <w:i/>
          <w:iCs/>
          <w:u w:val="single"/>
        </w:rPr>
        <w:t>Improve public education regarding the donation process</w:t>
      </w:r>
      <w:r>
        <w:rPr>
          <w:i/>
          <w:iCs/>
        </w:rPr>
        <w:t xml:space="preserve"> - </w:t>
      </w:r>
      <w:r>
        <w:t>Public awareness</w:t>
      </w:r>
      <w:r w:rsidR="00D2371B">
        <w:t xml:space="preserve"> campaigns</w:t>
      </w:r>
      <w:r>
        <w:t xml:space="preserve">, as well as </w:t>
      </w:r>
      <w:r w:rsidR="00D2371B">
        <w:t>consent conversation</w:t>
      </w:r>
      <w:r>
        <w:t>s with families currently focus on</w:t>
      </w:r>
      <w:r w:rsidR="00D2371B">
        <w:t xml:space="preserve"> the benefits of transplantation. </w:t>
      </w:r>
      <w:r>
        <w:t>In contrast, l</w:t>
      </w:r>
      <w:r w:rsidR="00D2371B">
        <w:t xml:space="preserve">ittle public education has centred on the donation process itself which could prepare individuals for this potential life event. According to </w:t>
      </w:r>
      <w:r w:rsidR="00D375DC">
        <w:t>Siminoff</w:t>
      </w:r>
      <w:r w:rsidR="00D2371B">
        <w:t xml:space="preserve"> of et al. (2001)</w:t>
      </w:r>
      <w:r w:rsidR="00EF4F7F">
        <w:t xml:space="preserve"> </w:t>
      </w:r>
      <w:r w:rsidR="00D2371B" w:rsidRPr="00D375DC">
        <w:rPr>
          <w:i/>
        </w:rPr>
        <w:t>“Since it is not reasonable to expect that family decision-makers can or even should relinquish strongly held beliefs about organ donation when experiencing the severe stress of a loved one’s death, prior education is the best mechanism we may have to inform the public and prepare families for an organ donation request</w:t>
      </w:r>
      <w:r w:rsidR="00D2371B">
        <w:t>”</w:t>
      </w:r>
      <w:r w:rsidR="00573DFB">
        <w:fldChar w:fldCharType="begin" w:fldLock="1"/>
      </w:r>
      <w:r w:rsidR="00573DFB">
        <w:instrText>ADDIN CSL_CITATION {"citationItems":[{"id":"ITEM-1","itemData":{"DOI":"10.1034/j.1399-0012.2001.150107.x","ISSN":"09020063","PMID":"11168314","abstract":"Objective: To identify those factors that enhance or inhibit organ donation in order to provide data to help policy makers, hospital administrators and transplantation professionals make informed choices about how to modify the donor system and to structure 'best practice' interventions. Summary of background data: Legislative efforts to increase donation rates have not been successful. An emphasis on process is needed to help explain this. Methods: The study was conducted using a stratified random sample of 23 hospitals in the Pittsburgh and Minneapolis/St Paul standard statistical metropolitan areas. Each week, the medical charts of all in-patient and emergency room patient deaths at each hospital were reviewed using a standardized review protocol to determine eligibility for organ, tissue, and cornea donation. A total of 10681 patient charts were reviewed over a 4-yr period. Eight hundred and twenty-eight cases out of 1723 eligible cases were selected for inclusion in the study. Data were collected on 827 of these cases. All health care providers (HCPs) who spoke with the family after the patient's death or discussed donation with the family were interviewed. Results: Of the 10681 patient charts reviewed, 16.5% were eligible to donate either organs, tissues, or corneas, and 87.0% of donor-eligible patients' families were approached and asked to donate. Consent rates were 23.5% for corneas, 34.5% for tissues, and 46.5% for organ donation. Multiple logistic regression demonstrated that the best and strongest predictor of donation decisions was the family's initial response to the donation request, as reported by the HCP. Three initial response groups are examined and compared. Those families who expressed an initially favorable reaction were most likely to agree to donation. Furthermore, discussion patterns differed by initial reaction group, with families who expressed initial indecision about donation sharing more characteristics with families who were not favorable than those who were favorable. More detailed information was provided to the favorable families, as compared to the other two groups, concerning the effect of donation on funeral arrangements and costs. Families who were favorable were also more likely to meet with an organ procurement organization representative than were other families. The strongest predictor of a family's unfavorable response to a donation request was the belief that the patient would have been against donation. A num…","author":[{"dropping-particle":"","family":"Siminoff","given":"Laura A.","non-dropping-particle":"","parse-names":false,"suffix":""},{"dropping-particle":"","family":"Arnold","given":"Robert M.","non-dropping-particle":"","parse-names":false,"suffix":""},{"dropping-particle":"","family":"Hewlett","given":"Joan","non-dropping-particle":"","parse-names":false,"suffix":""}],"container-title":"Clinical Transplantation","id":"ITEM-1","issue":"1","issued":{"date-parts":[["2001"]]},"page":"39-47","title":"The process of organ donation and its effect on consent","type":"article-journal","volume":"15"},"uris":["http://www.mendeley.com/documents/?uuid=ff2820c5-fda7-4926-b783-44426d7ab9a0"]}],"mendeley":{"formattedCitation":"[18]","manualFormatting":"[18, p.76]","plainTextFormattedCitation":"[18]","previouslyFormattedCitation":"[18]"},"properties":{"noteIndex":0},"schema":"https://github.com/citation-style-language/schema/raw/master/csl-citation.json"}</w:instrText>
      </w:r>
      <w:r w:rsidR="00573DFB">
        <w:fldChar w:fldCharType="separate"/>
      </w:r>
      <w:r w:rsidR="00573DFB" w:rsidRPr="00573DFB">
        <w:rPr>
          <w:noProof/>
        </w:rPr>
        <w:t>[18</w:t>
      </w:r>
      <w:r w:rsidR="00573DFB">
        <w:rPr>
          <w:noProof/>
        </w:rPr>
        <w:t>, p.76</w:t>
      </w:r>
      <w:r w:rsidR="00573DFB" w:rsidRPr="00573DFB">
        <w:rPr>
          <w:noProof/>
        </w:rPr>
        <w:t>]</w:t>
      </w:r>
      <w:r w:rsidR="00573DFB">
        <w:fldChar w:fldCharType="end"/>
      </w:r>
      <w:r w:rsidR="00B978C1">
        <w:t xml:space="preserve">. </w:t>
      </w:r>
    </w:p>
    <w:p w14:paraId="4D6E35AB" w14:textId="33DC29D6" w:rsidR="004B1168" w:rsidRPr="00214FA3" w:rsidRDefault="0005209B" w:rsidP="00214FA3">
      <w:pPr>
        <w:pStyle w:val="ListParagraph"/>
        <w:numPr>
          <w:ilvl w:val="0"/>
          <w:numId w:val="6"/>
        </w:numPr>
        <w:spacing w:line="360" w:lineRule="auto"/>
        <w:jc w:val="both"/>
      </w:pPr>
      <w:r w:rsidRPr="0005209B">
        <w:rPr>
          <w:i/>
          <w:iCs/>
          <w:u w:val="single"/>
        </w:rPr>
        <w:t xml:space="preserve">Explore </w:t>
      </w:r>
      <w:r>
        <w:rPr>
          <w:i/>
          <w:iCs/>
          <w:u w:val="single"/>
        </w:rPr>
        <w:t>how</w:t>
      </w:r>
      <w:r w:rsidRPr="0005209B">
        <w:rPr>
          <w:i/>
          <w:iCs/>
          <w:u w:val="single"/>
        </w:rPr>
        <w:t xml:space="preserve"> the request process </w:t>
      </w:r>
      <w:r>
        <w:rPr>
          <w:i/>
          <w:iCs/>
          <w:u w:val="single"/>
        </w:rPr>
        <w:t>affects</w:t>
      </w:r>
      <w:r w:rsidRPr="0005209B">
        <w:rPr>
          <w:i/>
          <w:iCs/>
          <w:u w:val="single"/>
        </w:rPr>
        <w:t xml:space="preserve"> acceptance of donation</w:t>
      </w:r>
      <w:r>
        <w:rPr>
          <w:i/>
          <w:iCs/>
        </w:rPr>
        <w:t xml:space="preserve"> - </w:t>
      </w:r>
      <w:r w:rsidR="00B978C1">
        <w:t>There remains significant room for improvement in the request process</w:t>
      </w:r>
      <w:r>
        <w:t>,</w:t>
      </w:r>
      <w:r w:rsidR="00B978C1">
        <w:t xml:space="preserve"> as to date this pivotal aspect of the donation process has received little attention</w:t>
      </w:r>
      <w:r w:rsidR="00B978C1" w:rsidRPr="00214FA3">
        <w:t xml:space="preserve">. </w:t>
      </w:r>
      <w:r w:rsidR="004B1168" w:rsidRPr="00214FA3">
        <w:t xml:space="preserve"> </w:t>
      </w:r>
      <w:r w:rsidR="00214FA3" w:rsidRPr="00214FA3">
        <w:t xml:space="preserve">Of note, </w:t>
      </w:r>
      <w:r w:rsidR="004B1168" w:rsidRPr="00214FA3">
        <w:t>there has been no research looking into the impact of the hierarch</w:t>
      </w:r>
      <w:r w:rsidR="00174BA4" w:rsidRPr="00214FA3">
        <w:t>y</w:t>
      </w:r>
      <w:r w:rsidR="004B1168" w:rsidRPr="00214FA3">
        <w:t xml:space="preserve"> of organs outlined in the consent conversation. </w:t>
      </w:r>
      <w:r w:rsidR="00214FA3" w:rsidRPr="00214FA3">
        <w:t xml:space="preserve">For example, if </w:t>
      </w:r>
      <w:r w:rsidR="004B1168" w:rsidRPr="00214FA3">
        <w:t>a patient is sui</w:t>
      </w:r>
      <w:r w:rsidR="00214FA3" w:rsidRPr="00214FA3">
        <w:t>t</w:t>
      </w:r>
      <w:r w:rsidR="001919FA" w:rsidRPr="00214FA3">
        <w:t>able</w:t>
      </w:r>
      <w:r w:rsidR="004B1168" w:rsidRPr="00214FA3">
        <w:t xml:space="preserve"> to donate all organs and tissues, the first organ mentioned is usually kidneys, followed by other abdominal organs and tissues, thoracic organs and tissues, then tissues </w:t>
      </w:r>
      <w:r w:rsidR="009602ED">
        <w:t>(within</w:t>
      </w:r>
      <w:r w:rsidR="004B1168" w:rsidRPr="00214FA3">
        <w:t xml:space="preserve"> which eyes are listed</w:t>
      </w:r>
      <w:r w:rsidR="009602ED">
        <w:t>)</w:t>
      </w:r>
      <w:r w:rsidR="004B1168" w:rsidRPr="00214FA3">
        <w:t xml:space="preserve">. </w:t>
      </w:r>
      <w:r w:rsidR="00174BA4" w:rsidRPr="00214FA3">
        <w:t xml:space="preserve"> </w:t>
      </w:r>
      <w:r>
        <w:t>It has been proposed that the order</w:t>
      </w:r>
      <w:r w:rsidR="00174BA4" w:rsidRPr="00214FA3">
        <w:t xml:space="preserve"> in which organs are requested </w:t>
      </w:r>
      <w:r>
        <w:t>may affect</w:t>
      </w:r>
      <w:r w:rsidR="00174BA4" w:rsidRPr="00214FA3">
        <w:t xml:space="preserve"> donation rates for eyes due to what has been referred to as ‘list shock’</w:t>
      </w:r>
      <w:r>
        <w:t xml:space="preserve"> -</w:t>
      </w:r>
      <w:r w:rsidR="006F2D36">
        <w:t xml:space="preserve"> </w:t>
      </w:r>
      <w:r w:rsidR="004D49A5">
        <w:t xml:space="preserve">the idea that family members </w:t>
      </w:r>
      <w:r>
        <w:t>may be</w:t>
      </w:r>
      <w:r w:rsidR="004D49A5">
        <w:t xml:space="preserve"> overwhelmed by the ‘list’ of organ and tissue that can be donated</w:t>
      </w:r>
      <w:r w:rsidR="006F2D36">
        <w:t xml:space="preserve"> (t</w:t>
      </w:r>
      <w:r w:rsidR="004D49A5">
        <w:t xml:space="preserve">his term was first coined by Margaret </w:t>
      </w:r>
      <w:proofErr w:type="spellStart"/>
      <w:r w:rsidR="004D49A5">
        <w:t>Verble</w:t>
      </w:r>
      <w:proofErr w:type="spellEnd"/>
      <w:r w:rsidR="004D49A5">
        <w:t xml:space="preserve"> and Judy Worth (personal communication</w:t>
      </w:r>
      <w:r w:rsidR="006F2D36">
        <w:t>, 21.08.2020</w:t>
      </w:r>
      <w:r w:rsidR="00194697">
        <w:t>)</w:t>
      </w:r>
      <w:r w:rsidR="006F2D36">
        <w:t>).</w:t>
      </w:r>
    </w:p>
    <w:p w14:paraId="564385F9" w14:textId="4ACF8020" w:rsidR="00130942" w:rsidRDefault="0005209B" w:rsidP="00214FA3">
      <w:pPr>
        <w:pStyle w:val="ListParagraph"/>
        <w:numPr>
          <w:ilvl w:val="0"/>
          <w:numId w:val="6"/>
        </w:numPr>
        <w:spacing w:line="360" w:lineRule="auto"/>
        <w:jc w:val="both"/>
      </w:pPr>
      <w:bookmarkStart w:id="12" w:name="_Hlk61352622"/>
      <w:r w:rsidRPr="0005209B">
        <w:rPr>
          <w:u w:val="single"/>
        </w:rPr>
        <w:t>Explore processes for assessment of familia</w:t>
      </w:r>
      <w:r w:rsidR="003D7FDF">
        <w:rPr>
          <w:u w:val="single"/>
        </w:rPr>
        <w:t>l</w:t>
      </w:r>
      <w:r w:rsidRPr="0005209B">
        <w:rPr>
          <w:u w:val="single"/>
        </w:rPr>
        <w:t xml:space="preserve"> responses to information provided during the consent conversation</w:t>
      </w:r>
      <w:r>
        <w:t xml:space="preserve"> – future research should</w:t>
      </w:r>
      <w:r w:rsidR="00130942">
        <w:t xml:space="preserve"> </w:t>
      </w:r>
      <w:r>
        <w:t xml:space="preserve">explore processes for </w:t>
      </w:r>
      <w:r w:rsidR="00130942">
        <w:t>assess</w:t>
      </w:r>
      <w:r>
        <w:t>ing</w:t>
      </w:r>
      <w:r w:rsidR="00130942">
        <w:t xml:space="preserve"> </w:t>
      </w:r>
      <w:r>
        <w:t>familial</w:t>
      </w:r>
      <w:r w:rsidR="00130942">
        <w:t xml:space="preserve"> responses to information shared in consent conversation,</w:t>
      </w:r>
      <w:r w:rsidR="003D7FDF">
        <w:t xml:space="preserve"> and</w:t>
      </w:r>
      <w:r w:rsidR="00130942">
        <w:t xml:space="preserve"> how </w:t>
      </w:r>
      <w:r>
        <w:t xml:space="preserve">HCPs conducting conversations may </w:t>
      </w:r>
      <w:r w:rsidR="003D7FDF">
        <w:t xml:space="preserve">appropriately and sensitively </w:t>
      </w:r>
      <w:r>
        <w:t>explore</w:t>
      </w:r>
      <w:r w:rsidR="00130942">
        <w:t xml:space="preserve"> areas that provoke a reaction (instead of avoiding </w:t>
      </w:r>
      <w:r w:rsidR="003D7FDF">
        <w:t>them</w:t>
      </w:r>
      <w:r w:rsidR="00130942">
        <w:t>)</w:t>
      </w:r>
      <w:r w:rsidR="003D7FDF">
        <w:t xml:space="preserve">. Investigations of the latter type </w:t>
      </w:r>
      <w:r w:rsidR="00194697">
        <w:t xml:space="preserve">are </w:t>
      </w:r>
      <w:r w:rsidR="003D7FDF">
        <w:t xml:space="preserve">of particular need in light of evidence indicating that many </w:t>
      </w:r>
      <w:r w:rsidR="00130942">
        <w:t xml:space="preserve">HCP’s are poor </w:t>
      </w:r>
      <w:r w:rsidR="003D7FDF">
        <w:rPr>
          <w:i/>
          <w:iCs/>
        </w:rPr>
        <w:t xml:space="preserve">prima facie </w:t>
      </w:r>
      <w:r w:rsidR="00130942">
        <w:t xml:space="preserve">judges of </w:t>
      </w:r>
      <w:r w:rsidR="003D7FDF">
        <w:t>who may or may not be willing to donate</w:t>
      </w:r>
      <w:r w:rsidR="00573DFB">
        <w:t xml:space="preserve"> </w:t>
      </w:r>
      <w:r w:rsidR="00573DFB">
        <w:fldChar w:fldCharType="begin" w:fldLock="1"/>
      </w:r>
      <w:r w:rsidR="00573DFB">
        <w:instrText>ADDIN CSL_CITATION {"citationItems":[{"id":"ITEM-1","itemData":{"DOI":"10.1034/j.1399-0012.2001.150107.x","ISSN":"09020063","PMID":"11168314","abstract":"Objective: To identify those factors that enhance or inhibit organ donation in order to provide data to help policy makers, hospital administrators and transplantation professionals make informed choices about how to modify the donor system and to structure 'best practice' interventions. Summary of background data: Legislative efforts to increase donation rates have not been successful. An emphasis on process is needed to help explain this. Methods: The study was conducted using a stratified random sample of 23 hospitals in the Pittsburgh and Minneapolis/St Paul standard statistical metropolitan areas. Each week, the medical charts of all in-patient and emergency room patient deaths at each hospital were reviewed using a standardized review protocol to determine eligibility for organ, tissue, and cornea donation. A total of 10681 patient charts were reviewed over a 4-yr period. Eight hundred and twenty-eight cases out of 1723 eligible cases were selected for inclusion in the study. Data were collected on 827 of these cases. All health care providers (HCPs) who spoke with the family after the patient's death or discussed donation with the family were interviewed. Results: Of the 10681 patient charts reviewed, 16.5% were eligible to donate either organs, tissues, or corneas, and 87.0% of donor-eligible patients' families were approached and asked to donate. Consent rates were 23.5% for corneas, 34.5% for tissues, and 46.5% for organ donation. Multiple logistic regression demonstrated that the best and strongest predictor of donation decisions was the family's initial response to the donation request, as reported by the HCP. Three initial response groups are examined and compared. Those families who expressed an initially favorable reaction were most likely to agree to donation. Furthermore, discussion patterns differed by initial reaction group, with families who expressed initial indecision about donation sharing more characteristics with families who were not favorable than those who were favorable. More detailed information was provided to the favorable families, as compared to the other two groups, concerning the effect of donation on funeral arrangements and costs. Families who were favorable were also more likely to meet with an organ procurement organization representative than were other families. The strongest predictor of a family's unfavorable response to a donation request was the belief that the patient would have been against donation. A num…","author":[{"dropping-particle":"","family":"Siminoff","given":"Laura A.","non-dropping-particle":"","parse-names":false,"suffix":""},{"dropping-particle":"","family":"Arnold","given":"Robert M.","non-dropping-particle":"","parse-names":false,"suffix":""},{"dropping-particle":"","family":"Hewlett","given":"Joan","non-dropping-particle":"","parse-names":false,"suffix":""}],"container-title":"Clinical Transplantation","id":"ITEM-1","issue":"1","issued":{"date-parts":[["2001"]]},"page":"39-47","title":"The process of organ donation and its effect on consent","type":"article-journal","volume":"15"},"uris":["http://www.mendeley.com/documents/?uuid=ff2820c5-fda7-4926-b783-44426d7ab9a0"]}],"mendeley":{"formattedCitation":"[18]","plainTextFormattedCitation":"[18]","previouslyFormattedCitation":"[18]"},"properties":{"noteIndex":0},"schema":"https://github.com/citation-style-language/schema/raw/master/csl-citation.json"}</w:instrText>
      </w:r>
      <w:r w:rsidR="00573DFB">
        <w:fldChar w:fldCharType="separate"/>
      </w:r>
      <w:r w:rsidR="00573DFB" w:rsidRPr="00573DFB">
        <w:rPr>
          <w:noProof/>
        </w:rPr>
        <w:t>[18]</w:t>
      </w:r>
      <w:r w:rsidR="00573DFB">
        <w:fldChar w:fldCharType="end"/>
      </w:r>
      <w:r w:rsidR="003D7FDF">
        <w:t xml:space="preserve"> </w:t>
      </w:r>
      <w:r w:rsidR="00174BA4">
        <w:t>.</w:t>
      </w:r>
    </w:p>
    <w:bookmarkEnd w:id="12"/>
    <w:p w14:paraId="25AA61E5" w14:textId="156322B2" w:rsidR="00E03DDD" w:rsidRDefault="005C45B9" w:rsidP="00E03DDD">
      <w:pPr>
        <w:pStyle w:val="ListParagraph"/>
        <w:numPr>
          <w:ilvl w:val="0"/>
          <w:numId w:val="6"/>
        </w:numPr>
        <w:spacing w:line="360" w:lineRule="auto"/>
        <w:jc w:val="both"/>
      </w:pPr>
      <w:r w:rsidRPr="008C41E4">
        <w:rPr>
          <w:u w:val="single"/>
        </w:rPr>
        <w:t>Future research topics</w:t>
      </w:r>
      <w:r>
        <w:t xml:space="preserve"> - t</w:t>
      </w:r>
      <w:r w:rsidR="009C65D4">
        <w:t>opics for further research include: investigation of potential demographic and/or regional differences in reasons for decline of eye tissue; the impact of legislation changes (i.e. from ‘opt-in’ to ‘opt-out’ (deemed consent) on eye donation in each of the UK nations; and construction, delivery and content of donation consent conversations</w:t>
      </w:r>
      <w:r w:rsidR="00E03DDD">
        <w:t xml:space="preserve"> (</w:t>
      </w:r>
      <w:r w:rsidR="00EB3E9A">
        <w:t>e.g</w:t>
      </w:r>
      <w:r w:rsidR="00E03DDD">
        <w:t xml:space="preserve">. exploring if and how systematic aspects of conversations related to seeking agreement to organ/tissue/eye donation </w:t>
      </w:r>
      <w:r w:rsidR="00EB3E9A">
        <w:t>may be related to</w:t>
      </w:r>
      <w:r w:rsidR="00E03DDD">
        <w:t xml:space="preserve"> outcomes</w:t>
      </w:r>
      <w:r w:rsidR="00EB3E9A">
        <w:t xml:space="preserve"> (i.e. acceptance or refusal</w:t>
      </w:r>
      <w:r w:rsidR="00E03DDD">
        <w:t>)</w:t>
      </w:r>
      <w:r w:rsidR="009C2213">
        <w:t xml:space="preserve"> </w:t>
      </w:r>
      <w:r w:rsidR="009C2213">
        <w:fldChar w:fldCharType="begin" w:fldLock="1"/>
      </w:r>
      <w:r w:rsidR="00573DFB">
        <w:instrText>ADDIN CSL_CITATION {"citationItems":[{"id":"ITEM-1","itemData":{"DOI":"10.1111/j.1467-9566.2009.01189.x","ISSN":"01419889","PMID":"19843268","abstract":"Altruistic actions such as the donation of public goods have long been the subject of social scientific debate. While scholars have recognised the importance of analysing the solicitation of donated goods such as human organs and tissues, to date none has examined actual interaction for this fateful event as it unfolds in real time. In this paper, we use data from 186 audio-recorded telephone interactions between donation centre personnel and family members of the recently deceased along with in-depth interviews and observations conducted in the call centre, to examine this particular donation solicitation interaction. Using conversation analysis, we demonstrate the step-by-step sequencing of the interaction that begins with the ringing phone generated by the call centre personnel which eventually leads to the formulation of the reason for the call, the tacit donation solicitation. Our close analysis of the sequential organisation of this interaction shows how solicitation is done cautiously, incrementally, and tacitly rather than overtly, reflecting its status as a dispreferred action. This analysis suggests that configurations in the wording of solicitations may operate interactionally but inadvertently to discourage the act of donation that call centre personnel are attempting to elicit. © 2009 Foundation for the Sociology of Health and Illness/Blackwell Publishing Ltd.","author":[{"dropping-particle":"","family":"Elizabeth Weathersbee","given":"T.","non-dropping-particle":"","parse-names":false,"suffix":""},{"dropping-particle":"","family":"Maynard","given":"Douglas W.","non-dropping-particle":"","parse-names":false,"suffix":""}],"container-title":"Sociology of Health and Illness","id":"ITEM-1","issue":"6","issued":{"date-parts":[["2009"]]},"page":"803-816","title":"Dialling for donations: Practices and actions in the telephone solicitation of human tissues","type":"article-journal","volume":"31"},"uris":["http://www.mendeley.com/documents/?uuid=3921c041-5597-4909-89bf-8f2f25001bf7"]}],"mendeley":{"formattedCitation":"[47]","plainTextFormattedCitation":"[47]","previouslyFormattedCitation":"[47]"},"properties":{"noteIndex":0},"schema":"https://github.com/citation-style-language/schema/raw/master/csl-citation.json"}</w:instrText>
      </w:r>
      <w:r w:rsidR="009C2213">
        <w:fldChar w:fldCharType="separate"/>
      </w:r>
      <w:r w:rsidR="004F199F" w:rsidRPr="004F199F">
        <w:rPr>
          <w:noProof/>
        </w:rPr>
        <w:t>[47]</w:t>
      </w:r>
      <w:r w:rsidR="009C2213">
        <w:fldChar w:fldCharType="end"/>
      </w:r>
      <w:r w:rsidR="00E03DDD">
        <w:t>.</w:t>
      </w:r>
    </w:p>
    <w:p w14:paraId="4BE67ACC" w14:textId="77777777" w:rsidR="008C41E4" w:rsidRDefault="008C41E4" w:rsidP="00263CC4">
      <w:pPr>
        <w:spacing w:line="360" w:lineRule="auto"/>
        <w:jc w:val="both"/>
      </w:pPr>
    </w:p>
    <w:p w14:paraId="5E9FC0C9" w14:textId="259D85DA" w:rsidR="008C41E4" w:rsidRDefault="008C41E4" w:rsidP="008C41E4">
      <w:pPr>
        <w:pStyle w:val="ListParagraph"/>
        <w:spacing w:line="360" w:lineRule="auto"/>
        <w:jc w:val="both"/>
      </w:pPr>
    </w:p>
    <w:p w14:paraId="4A4B22AB" w14:textId="369023D5" w:rsidR="00110051" w:rsidRDefault="009602ED" w:rsidP="00110051">
      <w:pPr>
        <w:jc w:val="both"/>
        <w:rPr>
          <w:b/>
          <w:bCs/>
        </w:rPr>
      </w:pPr>
      <w:bookmarkStart w:id="13" w:name="_Hlk51937981"/>
      <w:r>
        <w:rPr>
          <w:b/>
          <w:bCs/>
        </w:rPr>
        <w:t>Acknowledgement</w:t>
      </w:r>
    </w:p>
    <w:p w14:paraId="2CA0E2ED" w14:textId="332E69ED" w:rsidR="00BB1F1C" w:rsidRPr="009602ED" w:rsidRDefault="009602ED" w:rsidP="00110051">
      <w:pPr>
        <w:jc w:val="both"/>
        <w:rPr>
          <w:rFonts w:cstheme="minorHAnsi"/>
          <w:color w:val="000000"/>
        </w:rPr>
      </w:pPr>
      <w:r w:rsidRPr="009602ED">
        <w:rPr>
          <w:rFonts w:cstheme="minorHAnsi"/>
        </w:rPr>
        <w:t xml:space="preserve">The authors would like to thank colleagues at the division of </w:t>
      </w:r>
      <w:r w:rsidRPr="009602ED">
        <w:rPr>
          <w:rFonts w:cstheme="minorHAnsi"/>
          <w:color w:val="000000"/>
        </w:rPr>
        <w:t>Statistics and Clinical Studies (NHSBT) for their help and support.</w:t>
      </w:r>
    </w:p>
    <w:p w14:paraId="30453F15" w14:textId="212CAF3B" w:rsidR="00110051" w:rsidRPr="00110051" w:rsidRDefault="00110051" w:rsidP="00110051">
      <w:pPr>
        <w:jc w:val="both"/>
        <w:rPr>
          <w:b/>
          <w:bCs/>
        </w:rPr>
      </w:pPr>
      <w:r w:rsidRPr="00110051">
        <w:rPr>
          <w:b/>
          <w:bCs/>
        </w:rPr>
        <w:t>Funding statement</w:t>
      </w:r>
    </w:p>
    <w:p w14:paraId="1369F08A" w14:textId="167274E9" w:rsidR="00110051" w:rsidRDefault="00110051" w:rsidP="00214FA3">
      <w:pPr>
        <w:spacing w:line="360" w:lineRule="auto"/>
        <w:jc w:val="both"/>
      </w:pPr>
      <w:r>
        <w:t>Article Processing Charges for this work are supported by NHS Blood and Transplant Tissue and Eye Services</w:t>
      </w:r>
      <w:r w:rsidR="00EE5657">
        <w:t xml:space="preserve"> (</w:t>
      </w:r>
      <w:r w:rsidR="00EE5657" w:rsidRPr="00EE5657">
        <w:t>Award/Grant number is not applicable</w:t>
      </w:r>
      <w:r w:rsidR="00EE5657">
        <w:t>)</w:t>
      </w:r>
    </w:p>
    <w:bookmarkEnd w:id="13"/>
    <w:p w14:paraId="34458F3B" w14:textId="3CC48345" w:rsidR="00213A00" w:rsidRPr="00110051" w:rsidRDefault="00110051" w:rsidP="00214FA3">
      <w:pPr>
        <w:spacing w:line="360" w:lineRule="auto"/>
        <w:jc w:val="both"/>
        <w:rPr>
          <w:b/>
          <w:bCs/>
        </w:rPr>
      </w:pPr>
      <w:r w:rsidRPr="00110051">
        <w:rPr>
          <w:b/>
          <w:bCs/>
        </w:rPr>
        <w:t>Competing interests</w:t>
      </w:r>
    </w:p>
    <w:p w14:paraId="59ECB94B" w14:textId="2C5D4033" w:rsidR="00110051" w:rsidRDefault="00095DB6" w:rsidP="00214FA3">
      <w:pPr>
        <w:spacing w:line="360" w:lineRule="auto"/>
        <w:jc w:val="both"/>
      </w:pPr>
      <w:bookmarkStart w:id="14" w:name="_Hlk51938190"/>
      <w:r>
        <w:t>EW and HG are employed by NHS Blood and Transplant.</w:t>
      </w:r>
    </w:p>
    <w:p w14:paraId="1074ADCF" w14:textId="781D3C58" w:rsidR="00095DB6" w:rsidRDefault="00095DB6" w:rsidP="00214FA3">
      <w:pPr>
        <w:spacing w:line="360" w:lineRule="auto"/>
        <w:jc w:val="both"/>
      </w:pPr>
      <w:r w:rsidRPr="00095DB6">
        <w:t xml:space="preserve">EW </w:t>
      </w:r>
      <w:r w:rsidR="00393795">
        <w:t xml:space="preserve">was Chair of the </w:t>
      </w:r>
      <w:r w:rsidRPr="00095DB6">
        <w:t>Eye Donation from Solid Organ Donors – EPSOD, 2014-201</w:t>
      </w:r>
      <w:r w:rsidR="00D4593F">
        <w:t>7</w:t>
      </w:r>
      <w:r w:rsidRPr="00095DB6">
        <w:t xml:space="preserve"> working party within NHS Blood and Transplant.</w:t>
      </w:r>
    </w:p>
    <w:p w14:paraId="17A9A0C6" w14:textId="5FC528F1" w:rsidR="00D4593F" w:rsidRDefault="00D4593F" w:rsidP="00214FA3">
      <w:pPr>
        <w:spacing w:line="360" w:lineRule="auto"/>
        <w:jc w:val="both"/>
      </w:pPr>
      <w:r>
        <w:t xml:space="preserve">TLS was an invited member of the </w:t>
      </w:r>
      <w:r w:rsidRPr="00D4593F">
        <w:t>Eye Donation from Solid Organ Donors – EPSOD, 2014-2017 working party within NHS Blood and Transplant.</w:t>
      </w:r>
    </w:p>
    <w:bookmarkEnd w:id="14"/>
    <w:p w14:paraId="1A47127E" w14:textId="348D7DCB" w:rsidR="00095DB6" w:rsidRPr="00095DB6" w:rsidRDefault="00095DB6" w:rsidP="00214FA3">
      <w:pPr>
        <w:spacing w:line="360" w:lineRule="auto"/>
        <w:jc w:val="both"/>
        <w:rPr>
          <w:b/>
          <w:bCs/>
        </w:rPr>
      </w:pPr>
      <w:r w:rsidRPr="00095DB6">
        <w:rPr>
          <w:b/>
          <w:bCs/>
        </w:rPr>
        <w:t>Author Contributions</w:t>
      </w:r>
    </w:p>
    <w:p w14:paraId="77565510" w14:textId="204B77DC" w:rsidR="00D4593F" w:rsidRDefault="00393795" w:rsidP="00214FA3">
      <w:pPr>
        <w:spacing w:line="360" w:lineRule="auto"/>
        <w:jc w:val="both"/>
      </w:pPr>
      <w:r>
        <w:t xml:space="preserve">EW </w:t>
      </w:r>
      <w:r w:rsidR="00D4593F">
        <w:t>and HG facilitated access to primary data and reviewed early drafts of this paper.</w:t>
      </w:r>
    </w:p>
    <w:p w14:paraId="7B5A1FBD" w14:textId="4C260D25" w:rsidR="00AE3284" w:rsidRDefault="00D4593F" w:rsidP="00214FA3">
      <w:pPr>
        <w:spacing w:line="360" w:lineRule="auto"/>
        <w:jc w:val="both"/>
      </w:pPr>
      <w:r>
        <w:t xml:space="preserve">TLS </w:t>
      </w:r>
      <w:r w:rsidR="00450FF7">
        <w:t xml:space="preserve">developed the idea of a secondary analysis and proposed undertaking this under the auspices of the Service Level Agreement that exists between NHSBT- TS and </w:t>
      </w:r>
      <w:proofErr w:type="spellStart"/>
      <w:r w:rsidR="00450FF7">
        <w:t>UoS</w:t>
      </w:r>
      <w:proofErr w:type="spellEnd"/>
      <w:r w:rsidR="00450FF7">
        <w:t xml:space="preserve">. </w:t>
      </w:r>
      <w:r w:rsidR="00AE3284">
        <w:t xml:space="preserve">TLS provided specialist input into the analysis of free text comments, discussion, recommendations, and edited developing drafts.  </w:t>
      </w:r>
    </w:p>
    <w:p w14:paraId="3464A8F9" w14:textId="169C33B0" w:rsidR="00095DB6" w:rsidRDefault="00095DB6" w:rsidP="00214FA3">
      <w:pPr>
        <w:spacing w:line="360" w:lineRule="auto"/>
        <w:jc w:val="both"/>
      </w:pPr>
      <w:r>
        <w:t>MJB sourced secondary data from NHSBT and conducted secondary data analysis (descriptive statistics and qualitative content analysis), with input from BMS and TLS</w:t>
      </w:r>
      <w:r w:rsidR="009602ED">
        <w:t>, and was responsible for primary authorship</w:t>
      </w:r>
      <w:r>
        <w:t xml:space="preserve">. </w:t>
      </w:r>
      <w:r w:rsidR="00AE3284">
        <w:t>All co-authors contributed substantially to the development of the paper and resulting recommendations.</w:t>
      </w:r>
    </w:p>
    <w:p w14:paraId="321FF9BF" w14:textId="2AEA4A01" w:rsidR="00095DB6" w:rsidRPr="009602ED" w:rsidRDefault="009602ED" w:rsidP="00214FA3">
      <w:pPr>
        <w:spacing w:line="360" w:lineRule="auto"/>
        <w:jc w:val="both"/>
        <w:rPr>
          <w:b/>
          <w:bCs/>
        </w:rPr>
      </w:pPr>
      <w:r w:rsidRPr="009602ED">
        <w:rPr>
          <w:b/>
          <w:bCs/>
        </w:rPr>
        <w:t>Data sharing statement</w:t>
      </w:r>
    </w:p>
    <w:p w14:paraId="7925C281" w14:textId="67E8C4E5" w:rsidR="009602ED" w:rsidRDefault="009602ED" w:rsidP="009602ED">
      <w:pPr>
        <w:jc w:val="both"/>
      </w:pPr>
      <w:r w:rsidRPr="003A704A">
        <w:t>No additional unpublished data are available from this study.</w:t>
      </w:r>
    </w:p>
    <w:p w14:paraId="67D66AA4" w14:textId="27C61389" w:rsidR="00115262" w:rsidRDefault="00115262" w:rsidP="009602ED">
      <w:pPr>
        <w:jc w:val="both"/>
      </w:pPr>
    </w:p>
    <w:p w14:paraId="41073C3F" w14:textId="4D9F221D" w:rsidR="00213A00" w:rsidRDefault="00213A00" w:rsidP="00213A00">
      <w:pPr>
        <w:spacing w:line="360" w:lineRule="auto"/>
        <w:jc w:val="both"/>
      </w:pPr>
    </w:p>
    <w:p w14:paraId="6CEC9B95" w14:textId="4C19964B" w:rsidR="00213A00" w:rsidRDefault="00213A00" w:rsidP="00213A00">
      <w:pPr>
        <w:spacing w:line="360" w:lineRule="auto"/>
        <w:jc w:val="both"/>
      </w:pPr>
    </w:p>
    <w:p w14:paraId="0CA79C22" w14:textId="151D7283" w:rsidR="00213A00" w:rsidRDefault="00213A00" w:rsidP="00213A00">
      <w:pPr>
        <w:spacing w:line="360" w:lineRule="auto"/>
        <w:jc w:val="both"/>
      </w:pPr>
    </w:p>
    <w:p w14:paraId="25BEBADF" w14:textId="61F254CE" w:rsidR="00213A00" w:rsidRDefault="00213A00" w:rsidP="00213A00">
      <w:pPr>
        <w:spacing w:line="360" w:lineRule="auto"/>
        <w:jc w:val="both"/>
      </w:pPr>
    </w:p>
    <w:p w14:paraId="28AC5E65" w14:textId="77AE1052" w:rsidR="00267582" w:rsidRDefault="00267582" w:rsidP="00213A00">
      <w:pPr>
        <w:spacing w:line="360" w:lineRule="auto"/>
        <w:jc w:val="both"/>
      </w:pPr>
    </w:p>
    <w:p w14:paraId="6BB50C80" w14:textId="1BAD8E4D" w:rsidR="00267582" w:rsidRDefault="00267582" w:rsidP="00213A00">
      <w:pPr>
        <w:spacing w:line="360" w:lineRule="auto"/>
        <w:jc w:val="both"/>
      </w:pPr>
    </w:p>
    <w:p w14:paraId="6C38E6ED" w14:textId="5E0012D3" w:rsidR="00267582" w:rsidRDefault="00267582" w:rsidP="00213A00">
      <w:pPr>
        <w:spacing w:line="360" w:lineRule="auto"/>
        <w:jc w:val="both"/>
      </w:pPr>
    </w:p>
    <w:p w14:paraId="43DF04E4" w14:textId="77777777" w:rsidR="00267582" w:rsidRDefault="00267582" w:rsidP="00213A00">
      <w:pPr>
        <w:spacing w:line="360" w:lineRule="auto"/>
        <w:jc w:val="both"/>
      </w:pPr>
    </w:p>
    <w:p w14:paraId="555AD3BB" w14:textId="57F63EC9" w:rsidR="00754322" w:rsidRDefault="00754322" w:rsidP="00613F59">
      <w:pPr>
        <w:pStyle w:val="Heading1"/>
      </w:pPr>
      <w:r w:rsidRPr="00754322">
        <w:t>References</w:t>
      </w:r>
    </w:p>
    <w:p w14:paraId="4D140FDB" w14:textId="4CA90D69" w:rsidR="00573DFB" w:rsidRPr="00573DFB" w:rsidRDefault="00754322" w:rsidP="00573DFB">
      <w:pPr>
        <w:widowControl w:val="0"/>
        <w:autoSpaceDE w:val="0"/>
        <w:autoSpaceDN w:val="0"/>
        <w:adjustRightInd w:val="0"/>
        <w:spacing w:line="240" w:lineRule="auto"/>
        <w:ind w:left="640" w:hanging="640"/>
        <w:rPr>
          <w:rFonts w:ascii="Calibri" w:hAnsi="Calibri" w:cs="Calibri"/>
          <w:noProof/>
          <w:szCs w:val="24"/>
        </w:rPr>
      </w:pPr>
      <w:r w:rsidRPr="00754322">
        <w:rPr>
          <w:b/>
        </w:rPr>
        <w:t xml:space="preserve"> </w:t>
      </w:r>
      <w:r w:rsidR="00B85B84" w:rsidRPr="00E63C00">
        <w:rPr>
          <w:b/>
        </w:rPr>
        <w:fldChar w:fldCharType="begin" w:fldLock="1"/>
      </w:r>
      <w:r w:rsidR="00B85B84" w:rsidRPr="00E63C00">
        <w:rPr>
          <w:b/>
        </w:rPr>
        <w:instrText xml:space="preserve">ADDIN Mendeley Bibliography CSL_BIBLIOGRAPHY </w:instrText>
      </w:r>
      <w:r w:rsidR="00B85B84" w:rsidRPr="00E63C00">
        <w:rPr>
          <w:b/>
        </w:rPr>
        <w:fldChar w:fldCharType="separate"/>
      </w:r>
      <w:r w:rsidR="00573DFB" w:rsidRPr="00573DFB">
        <w:rPr>
          <w:rFonts w:ascii="Calibri" w:hAnsi="Calibri" w:cs="Calibri"/>
          <w:noProof/>
          <w:szCs w:val="24"/>
        </w:rPr>
        <w:t xml:space="preserve">1 </w:t>
      </w:r>
      <w:r w:rsidR="00573DFB" w:rsidRPr="00573DFB">
        <w:rPr>
          <w:rFonts w:ascii="Calibri" w:hAnsi="Calibri" w:cs="Calibri"/>
          <w:noProof/>
          <w:szCs w:val="24"/>
        </w:rPr>
        <w:tab/>
        <w:t xml:space="preserve">Pascolini D, Mariotti SP. Global estimates of visual impairment: 2010. </w:t>
      </w:r>
      <w:r w:rsidR="00573DFB" w:rsidRPr="00573DFB">
        <w:rPr>
          <w:rFonts w:ascii="Calibri" w:hAnsi="Calibri" w:cs="Calibri"/>
          <w:i/>
          <w:iCs/>
          <w:noProof/>
          <w:szCs w:val="24"/>
        </w:rPr>
        <w:t>Br J Ophthalmol</w:t>
      </w:r>
      <w:r w:rsidR="00573DFB" w:rsidRPr="00573DFB">
        <w:rPr>
          <w:rFonts w:ascii="Calibri" w:hAnsi="Calibri" w:cs="Calibri"/>
          <w:noProof/>
          <w:szCs w:val="24"/>
        </w:rPr>
        <w:t xml:space="preserve"> 2012;</w:t>
      </w:r>
      <w:r w:rsidR="00573DFB" w:rsidRPr="00573DFB">
        <w:rPr>
          <w:rFonts w:ascii="Calibri" w:hAnsi="Calibri" w:cs="Calibri"/>
          <w:b/>
          <w:bCs/>
          <w:noProof/>
          <w:szCs w:val="24"/>
        </w:rPr>
        <w:t>96</w:t>
      </w:r>
      <w:r w:rsidR="00573DFB" w:rsidRPr="00573DFB">
        <w:rPr>
          <w:rFonts w:ascii="Calibri" w:hAnsi="Calibri" w:cs="Calibri"/>
          <w:noProof/>
          <w:szCs w:val="24"/>
        </w:rPr>
        <w:t>:614–8. doi:10.1136/bjophthalmol-2011-300539</w:t>
      </w:r>
    </w:p>
    <w:p w14:paraId="15B118A2" w14:textId="77777777" w:rsidR="00573DFB" w:rsidRPr="00573DFB" w:rsidRDefault="00573DFB" w:rsidP="00573DFB">
      <w:pPr>
        <w:widowControl w:val="0"/>
        <w:autoSpaceDE w:val="0"/>
        <w:autoSpaceDN w:val="0"/>
        <w:adjustRightInd w:val="0"/>
        <w:spacing w:line="240" w:lineRule="auto"/>
        <w:ind w:left="640" w:hanging="640"/>
        <w:rPr>
          <w:rFonts w:ascii="Calibri" w:hAnsi="Calibri" w:cs="Calibri"/>
          <w:noProof/>
          <w:szCs w:val="24"/>
        </w:rPr>
      </w:pPr>
      <w:r w:rsidRPr="00573DFB">
        <w:rPr>
          <w:rFonts w:ascii="Calibri" w:hAnsi="Calibri" w:cs="Calibri"/>
          <w:noProof/>
          <w:szCs w:val="24"/>
        </w:rPr>
        <w:t xml:space="preserve">2 </w:t>
      </w:r>
      <w:r w:rsidRPr="00573DFB">
        <w:rPr>
          <w:rFonts w:ascii="Calibri" w:hAnsi="Calibri" w:cs="Calibri"/>
          <w:noProof/>
          <w:szCs w:val="24"/>
        </w:rPr>
        <w:tab/>
        <w:t xml:space="preserve">RNIB &amp; Specsavers. The State of the Nation Eye Health 2016. </w:t>
      </w:r>
      <w:r w:rsidRPr="00573DFB">
        <w:rPr>
          <w:rFonts w:ascii="Calibri" w:hAnsi="Calibri" w:cs="Calibri"/>
          <w:i/>
          <w:iCs/>
          <w:noProof/>
          <w:szCs w:val="24"/>
        </w:rPr>
        <w:t>The State of the Nation</w:t>
      </w:r>
      <w:r w:rsidRPr="00573DFB">
        <w:rPr>
          <w:rFonts w:ascii="Calibri" w:hAnsi="Calibri" w:cs="Calibri"/>
          <w:noProof/>
          <w:szCs w:val="24"/>
        </w:rPr>
        <w:t xml:space="preserve"> 2016;:27.</w:t>
      </w:r>
    </w:p>
    <w:p w14:paraId="460AAAAF" w14:textId="77777777" w:rsidR="00573DFB" w:rsidRPr="00573DFB" w:rsidRDefault="00573DFB" w:rsidP="00573DFB">
      <w:pPr>
        <w:widowControl w:val="0"/>
        <w:autoSpaceDE w:val="0"/>
        <w:autoSpaceDN w:val="0"/>
        <w:adjustRightInd w:val="0"/>
        <w:spacing w:line="240" w:lineRule="auto"/>
        <w:ind w:left="640" w:hanging="640"/>
        <w:rPr>
          <w:rFonts w:ascii="Calibri" w:hAnsi="Calibri" w:cs="Calibri"/>
          <w:noProof/>
          <w:szCs w:val="24"/>
        </w:rPr>
      </w:pPr>
      <w:r w:rsidRPr="00573DFB">
        <w:rPr>
          <w:rFonts w:ascii="Calibri" w:hAnsi="Calibri" w:cs="Calibri"/>
          <w:noProof/>
          <w:szCs w:val="24"/>
        </w:rPr>
        <w:t xml:space="preserve">3 </w:t>
      </w:r>
      <w:r w:rsidRPr="00573DFB">
        <w:rPr>
          <w:rFonts w:ascii="Calibri" w:hAnsi="Calibri" w:cs="Calibri"/>
          <w:noProof/>
          <w:szCs w:val="24"/>
        </w:rPr>
        <w:tab/>
        <w:t xml:space="preserve">Gaum L, Reynolds I, Jones MNA, </w:t>
      </w:r>
      <w:r w:rsidRPr="00573DFB">
        <w:rPr>
          <w:rFonts w:ascii="Calibri" w:hAnsi="Calibri" w:cs="Calibri"/>
          <w:i/>
          <w:iCs/>
          <w:noProof/>
          <w:szCs w:val="24"/>
        </w:rPr>
        <w:t>et al.</w:t>
      </w:r>
      <w:r w:rsidRPr="00573DFB">
        <w:rPr>
          <w:rFonts w:ascii="Calibri" w:hAnsi="Calibri" w:cs="Calibri"/>
          <w:noProof/>
          <w:szCs w:val="24"/>
        </w:rPr>
        <w:t xml:space="preserve"> Tissue and corneal donation and transplantation in the UK. </w:t>
      </w:r>
      <w:r w:rsidRPr="00573DFB">
        <w:rPr>
          <w:rFonts w:ascii="Calibri" w:hAnsi="Calibri" w:cs="Calibri"/>
          <w:i/>
          <w:iCs/>
          <w:noProof/>
          <w:szCs w:val="24"/>
        </w:rPr>
        <w:t>Br J Anaesth</w:t>
      </w:r>
      <w:r w:rsidRPr="00573DFB">
        <w:rPr>
          <w:rFonts w:ascii="Calibri" w:hAnsi="Calibri" w:cs="Calibri"/>
          <w:noProof/>
          <w:szCs w:val="24"/>
        </w:rPr>
        <w:t xml:space="preserve"> 2012;</w:t>
      </w:r>
      <w:r w:rsidRPr="00573DFB">
        <w:rPr>
          <w:rFonts w:ascii="Calibri" w:hAnsi="Calibri" w:cs="Calibri"/>
          <w:b/>
          <w:bCs/>
          <w:noProof/>
          <w:szCs w:val="24"/>
        </w:rPr>
        <w:t>108</w:t>
      </w:r>
      <w:r w:rsidRPr="00573DFB">
        <w:rPr>
          <w:rFonts w:ascii="Calibri" w:hAnsi="Calibri" w:cs="Calibri"/>
          <w:noProof/>
          <w:szCs w:val="24"/>
        </w:rPr>
        <w:t>:i43–7. doi:10.1093/bja/aer398</w:t>
      </w:r>
    </w:p>
    <w:p w14:paraId="2242DF61" w14:textId="77777777" w:rsidR="00573DFB" w:rsidRPr="00573DFB" w:rsidRDefault="00573DFB" w:rsidP="00573DFB">
      <w:pPr>
        <w:widowControl w:val="0"/>
        <w:autoSpaceDE w:val="0"/>
        <w:autoSpaceDN w:val="0"/>
        <w:adjustRightInd w:val="0"/>
        <w:spacing w:line="240" w:lineRule="auto"/>
        <w:ind w:left="640" w:hanging="640"/>
        <w:rPr>
          <w:rFonts w:ascii="Calibri" w:hAnsi="Calibri" w:cs="Calibri"/>
          <w:noProof/>
          <w:szCs w:val="24"/>
        </w:rPr>
      </w:pPr>
      <w:r w:rsidRPr="00573DFB">
        <w:rPr>
          <w:rFonts w:ascii="Calibri" w:hAnsi="Calibri" w:cs="Calibri"/>
          <w:noProof/>
          <w:szCs w:val="24"/>
        </w:rPr>
        <w:t xml:space="preserve">4 </w:t>
      </w:r>
      <w:r w:rsidRPr="00573DFB">
        <w:rPr>
          <w:rFonts w:ascii="Calibri" w:hAnsi="Calibri" w:cs="Calibri"/>
          <w:noProof/>
          <w:szCs w:val="24"/>
        </w:rPr>
        <w:tab/>
        <w:t>NHS-BT Organ and Tissue Advisory Group (OTAG). Tissue and Eye Procurement from Solid Organ Donors (TEPSOD) Activity Report. 2016. http://odt.nhs.uk/pdf/advisory_group_papers/OTAG/Tissue_&amp;_Eye_Procurement_from_Solid_Organ_Donation.pdf</w:t>
      </w:r>
    </w:p>
    <w:p w14:paraId="7A8063FA" w14:textId="77777777" w:rsidR="00573DFB" w:rsidRPr="00573DFB" w:rsidRDefault="00573DFB" w:rsidP="00573DFB">
      <w:pPr>
        <w:widowControl w:val="0"/>
        <w:autoSpaceDE w:val="0"/>
        <w:autoSpaceDN w:val="0"/>
        <w:adjustRightInd w:val="0"/>
        <w:spacing w:line="240" w:lineRule="auto"/>
        <w:ind w:left="640" w:hanging="640"/>
        <w:rPr>
          <w:rFonts w:ascii="Calibri" w:hAnsi="Calibri" w:cs="Calibri"/>
          <w:noProof/>
          <w:szCs w:val="24"/>
        </w:rPr>
      </w:pPr>
      <w:r w:rsidRPr="00573DFB">
        <w:rPr>
          <w:rFonts w:ascii="Calibri" w:hAnsi="Calibri" w:cs="Calibri"/>
          <w:noProof/>
          <w:szCs w:val="24"/>
        </w:rPr>
        <w:t xml:space="preserve">5 </w:t>
      </w:r>
      <w:r w:rsidRPr="00573DFB">
        <w:rPr>
          <w:rFonts w:ascii="Calibri" w:hAnsi="Calibri" w:cs="Calibri"/>
          <w:noProof/>
          <w:szCs w:val="24"/>
        </w:rPr>
        <w:tab/>
        <w:t>NHS-BT. Organ Donation and Transplantation - Activity report 2016/2017. 2017. https://nhsbtdbe.blob.core.windows.net/umbraco-assets-corp/4657/activity_report_2016_17.pdf</w:t>
      </w:r>
    </w:p>
    <w:p w14:paraId="2A88628F" w14:textId="77777777" w:rsidR="00573DFB" w:rsidRPr="00573DFB" w:rsidRDefault="00573DFB" w:rsidP="00573DFB">
      <w:pPr>
        <w:widowControl w:val="0"/>
        <w:autoSpaceDE w:val="0"/>
        <w:autoSpaceDN w:val="0"/>
        <w:adjustRightInd w:val="0"/>
        <w:spacing w:line="240" w:lineRule="auto"/>
        <w:ind w:left="640" w:hanging="640"/>
        <w:rPr>
          <w:rFonts w:ascii="Calibri" w:hAnsi="Calibri" w:cs="Calibri"/>
          <w:noProof/>
          <w:szCs w:val="24"/>
        </w:rPr>
      </w:pPr>
      <w:r w:rsidRPr="00573DFB">
        <w:rPr>
          <w:rFonts w:ascii="Calibri" w:hAnsi="Calibri" w:cs="Calibri"/>
          <w:noProof/>
          <w:szCs w:val="24"/>
        </w:rPr>
        <w:t xml:space="preserve">6 </w:t>
      </w:r>
      <w:r w:rsidRPr="00573DFB">
        <w:rPr>
          <w:rFonts w:ascii="Calibri" w:hAnsi="Calibri" w:cs="Calibri"/>
          <w:noProof/>
          <w:szCs w:val="24"/>
        </w:rPr>
        <w:tab/>
        <w:t xml:space="preserve">NHS-BT. NHS Blood and Transplant - Eye and Tissue Strategy. Liverpool, UK: 2016. </w:t>
      </w:r>
    </w:p>
    <w:p w14:paraId="4D39E1CA" w14:textId="77777777" w:rsidR="00573DFB" w:rsidRPr="00573DFB" w:rsidRDefault="00573DFB" w:rsidP="00573DFB">
      <w:pPr>
        <w:widowControl w:val="0"/>
        <w:autoSpaceDE w:val="0"/>
        <w:autoSpaceDN w:val="0"/>
        <w:adjustRightInd w:val="0"/>
        <w:spacing w:line="240" w:lineRule="auto"/>
        <w:ind w:left="640" w:hanging="640"/>
        <w:rPr>
          <w:rFonts w:ascii="Calibri" w:hAnsi="Calibri" w:cs="Calibri"/>
          <w:noProof/>
          <w:szCs w:val="24"/>
        </w:rPr>
      </w:pPr>
      <w:r w:rsidRPr="00573DFB">
        <w:rPr>
          <w:rFonts w:ascii="Calibri" w:hAnsi="Calibri" w:cs="Calibri"/>
          <w:noProof/>
          <w:szCs w:val="24"/>
        </w:rPr>
        <w:t xml:space="preserve">7 </w:t>
      </w:r>
      <w:r w:rsidRPr="00573DFB">
        <w:rPr>
          <w:rFonts w:ascii="Calibri" w:hAnsi="Calibri" w:cs="Calibri"/>
          <w:noProof/>
          <w:szCs w:val="24"/>
        </w:rPr>
        <w:tab/>
        <w:t>Royal College of Ophthalmologists. Standards for the retrieval of human ocular tissue used in transplantation, research and training. London, UK: 2013. https://www.rcophth.ac.uk/publications/current-clinical-guidelines/</w:t>
      </w:r>
    </w:p>
    <w:p w14:paraId="4097D40E" w14:textId="77777777" w:rsidR="00573DFB" w:rsidRPr="00573DFB" w:rsidRDefault="00573DFB" w:rsidP="00573DFB">
      <w:pPr>
        <w:widowControl w:val="0"/>
        <w:autoSpaceDE w:val="0"/>
        <w:autoSpaceDN w:val="0"/>
        <w:adjustRightInd w:val="0"/>
        <w:spacing w:line="240" w:lineRule="auto"/>
        <w:ind w:left="640" w:hanging="640"/>
        <w:rPr>
          <w:rFonts w:ascii="Calibri" w:hAnsi="Calibri" w:cs="Calibri"/>
          <w:noProof/>
          <w:szCs w:val="24"/>
        </w:rPr>
      </w:pPr>
      <w:r w:rsidRPr="00573DFB">
        <w:rPr>
          <w:rFonts w:ascii="Calibri" w:hAnsi="Calibri" w:cs="Calibri"/>
          <w:noProof/>
          <w:szCs w:val="24"/>
        </w:rPr>
        <w:t xml:space="preserve">8 </w:t>
      </w:r>
      <w:r w:rsidRPr="00573DFB">
        <w:rPr>
          <w:rFonts w:ascii="Calibri" w:hAnsi="Calibri" w:cs="Calibri"/>
          <w:noProof/>
          <w:szCs w:val="24"/>
        </w:rPr>
        <w:tab/>
        <w:t>NHSBT. Organ Donation and Transplantation Activity Report 2019/20. Liverpool, UK: 2020. doi:10.1016/B978-0-12-373932-2.00158-7</w:t>
      </w:r>
    </w:p>
    <w:p w14:paraId="1BAEF67A" w14:textId="77777777" w:rsidR="00573DFB" w:rsidRPr="00573DFB" w:rsidRDefault="00573DFB" w:rsidP="00573DFB">
      <w:pPr>
        <w:widowControl w:val="0"/>
        <w:autoSpaceDE w:val="0"/>
        <w:autoSpaceDN w:val="0"/>
        <w:adjustRightInd w:val="0"/>
        <w:spacing w:line="240" w:lineRule="auto"/>
        <w:ind w:left="640" w:hanging="640"/>
        <w:rPr>
          <w:rFonts w:ascii="Calibri" w:hAnsi="Calibri" w:cs="Calibri"/>
          <w:noProof/>
          <w:szCs w:val="24"/>
        </w:rPr>
      </w:pPr>
      <w:r w:rsidRPr="00573DFB">
        <w:rPr>
          <w:rFonts w:ascii="Calibri" w:hAnsi="Calibri" w:cs="Calibri"/>
          <w:noProof/>
          <w:szCs w:val="24"/>
        </w:rPr>
        <w:t xml:space="preserve">9 </w:t>
      </w:r>
      <w:r w:rsidRPr="00573DFB">
        <w:rPr>
          <w:rFonts w:ascii="Calibri" w:hAnsi="Calibri" w:cs="Calibri"/>
          <w:noProof/>
          <w:szCs w:val="24"/>
        </w:rPr>
        <w:tab/>
        <w:t xml:space="preserve">Long-Sutehall T, Sque M, Addington-Hall J. Secondary analysis of qualitative data: a valuable method for exploring sensitive issues with an elusive population? </w:t>
      </w:r>
      <w:r w:rsidRPr="00573DFB">
        <w:rPr>
          <w:rFonts w:ascii="Calibri" w:hAnsi="Calibri" w:cs="Calibri"/>
          <w:i/>
          <w:iCs/>
          <w:noProof/>
          <w:szCs w:val="24"/>
        </w:rPr>
        <w:t>J Res Nurs</w:t>
      </w:r>
      <w:r w:rsidRPr="00573DFB">
        <w:rPr>
          <w:rFonts w:ascii="Calibri" w:hAnsi="Calibri" w:cs="Calibri"/>
          <w:noProof/>
          <w:szCs w:val="24"/>
        </w:rPr>
        <w:t xml:space="preserve"> 2011;</w:t>
      </w:r>
      <w:r w:rsidRPr="00573DFB">
        <w:rPr>
          <w:rFonts w:ascii="Calibri" w:hAnsi="Calibri" w:cs="Calibri"/>
          <w:b/>
          <w:bCs/>
          <w:noProof/>
          <w:szCs w:val="24"/>
        </w:rPr>
        <w:t>16</w:t>
      </w:r>
      <w:r w:rsidRPr="00573DFB">
        <w:rPr>
          <w:rFonts w:ascii="Calibri" w:hAnsi="Calibri" w:cs="Calibri"/>
          <w:noProof/>
          <w:szCs w:val="24"/>
        </w:rPr>
        <w:t>:335–44. doi:10.1177/1744987110381553</w:t>
      </w:r>
    </w:p>
    <w:p w14:paraId="2232748C" w14:textId="77777777" w:rsidR="00573DFB" w:rsidRPr="00573DFB" w:rsidRDefault="00573DFB" w:rsidP="00573DFB">
      <w:pPr>
        <w:widowControl w:val="0"/>
        <w:autoSpaceDE w:val="0"/>
        <w:autoSpaceDN w:val="0"/>
        <w:adjustRightInd w:val="0"/>
        <w:spacing w:line="240" w:lineRule="auto"/>
        <w:ind w:left="640" w:hanging="640"/>
        <w:rPr>
          <w:rFonts w:ascii="Calibri" w:hAnsi="Calibri" w:cs="Calibri"/>
          <w:noProof/>
          <w:szCs w:val="24"/>
        </w:rPr>
      </w:pPr>
      <w:r w:rsidRPr="00573DFB">
        <w:rPr>
          <w:rFonts w:ascii="Calibri" w:hAnsi="Calibri" w:cs="Calibri"/>
          <w:noProof/>
          <w:szCs w:val="24"/>
        </w:rPr>
        <w:t xml:space="preserve">10 </w:t>
      </w:r>
      <w:r w:rsidRPr="00573DFB">
        <w:rPr>
          <w:rFonts w:ascii="Calibri" w:hAnsi="Calibri" w:cs="Calibri"/>
          <w:noProof/>
          <w:szCs w:val="24"/>
        </w:rPr>
        <w:tab/>
        <w:t xml:space="preserve">Schreier M. Qualitative Content Analysis. In: </w:t>
      </w:r>
      <w:r w:rsidRPr="00573DFB">
        <w:rPr>
          <w:rFonts w:ascii="Calibri" w:hAnsi="Calibri" w:cs="Calibri"/>
          <w:i/>
          <w:iCs/>
          <w:noProof/>
          <w:szCs w:val="24"/>
        </w:rPr>
        <w:t>The SAGE Handbook of Qualitative Data Analysis</w:t>
      </w:r>
      <w:r w:rsidRPr="00573DFB">
        <w:rPr>
          <w:rFonts w:ascii="Calibri" w:hAnsi="Calibri" w:cs="Calibri"/>
          <w:noProof/>
          <w:szCs w:val="24"/>
        </w:rPr>
        <w:t>. 1 Oliver’s Yard, 55 City Road, London EC1Y 1SP United Kingdom: : SAGE Publications Ltd 170–83. doi:10.4135/9781446282243.n12</w:t>
      </w:r>
    </w:p>
    <w:p w14:paraId="04ADEA9E" w14:textId="77777777" w:rsidR="00573DFB" w:rsidRPr="00573DFB" w:rsidRDefault="00573DFB" w:rsidP="00573DFB">
      <w:pPr>
        <w:widowControl w:val="0"/>
        <w:autoSpaceDE w:val="0"/>
        <w:autoSpaceDN w:val="0"/>
        <w:adjustRightInd w:val="0"/>
        <w:spacing w:line="240" w:lineRule="auto"/>
        <w:ind w:left="640" w:hanging="640"/>
        <w:rPr>
          <w:rFonts w:ascii="Calibri" w:hAnsi="Calibri" w:cs="Calibri"/>
          <w:noProof/>
          <w:szCs w:val="24"/>
        </w:rPr>
      </w:pPr>
      <w:r w:rsidRPr="00573DFB">
        <w:rPr>
          <w:rFonts w:ascii="Calibri" w:hAnsi="Calibri" w:cs="Calibri"/>
          <w:noProof/>
          <w:szCs w:val="24"/>
        </w:rPr>
        <w:t xml:space="preserve">11 </w:t>
      </w:r>
      <w:r w:rsidRPr="00573DFB">
        <w:rPr>
          <w:rFonts w:ascii="Calibri" w:hAnsi="Calibri" w:cs="Calibri"/>
          <w:noProof/>
          <w:szCs w:val="24"/>
        </w:rPr>
        <w:tab/>
        <w:t>QSR International Ltd. NVivo qualitative data analysis software. 2018.https://www.qsrinternational.com/nvivo-qualitative-data-analysis-software/home (accessed 23 Apr 2020).</w:t>
      </w:r>
    </w:p>
    <w:p w14:paraId="1F0E5504" w14:textId="77777777" w:rsidR="00573DFB" w:rsidRPr="00573DFB" w:rsidRDefault="00573DFB" w:rsidP="00573DFB">
      <w:pPr>
        <w:widowControl w:val="0"/>
        <w:autoSpaceDE w:val="0"/>
        <w:autoSpaceDN w:val="0"/>
        <w:adjustRightInd w:val="0"/>
        <w:spacing w:line="240" w:lineRule="auto"/>
        <w:ind w:left="640" w:hanging="640"/>
        <w:rPr>
          <w:rFonts w:ascii="Calibri" w:hAnsi="Calibri" w:cs="Calibri"/>
          <w:noProof/>
          <w:szCs w:val="24"/>
        </w:rPr>
      </w:pPr>
      <w:r w:rsidRPr="00573DFB">
        <w:rPr>
          <w:rFonts w:ascii="Calibri" w:hAnsi="Calibri" w:cs="Calibri"/>
          <w:noProof/>
          <w:szCs w:val="24"/>
        </w:rPr>
        <w:t xml:space="preserve">12 </w:t>
      </w:r>
      <w:r w:rsidRPr="00573DFB">
        <w:rPr>
          <w:rFonts w:ascii="Calibri" w:hAnsi="Calibri" w:cs="Calibri"/>
          <w:noProof/>
          <w:szCs w:val="24"/>
        </w:rPr>
        <w:tab/>
        <w:t xml:space="preserve">Sanner M. A Comparison of Public Attitudes Toward Autopsy, Organ Donation, and Anatomic Dissection: A Swedish Survey. </w:t>
      </w:r>
      <w:r w:rsidRPr="00573DFB">
        <w:rPr>
          <w:rFonts w:ascii="Calibri" w:hAnsi="Calibri" w:cs="Calibri"/>
          <w:i/>
          <w:iCs/>
          <w:noProof/>
          <w:szCs w:val="24"/>
        </w:rPr>
        <w:t>JAMA J Am Med Assoc</w:t>
      </w:r>
      <w:r w:rsidRPr="00573DFB">
        <w:rPr>
          <w:rFonts w:ascii="Calibri" w:hAnsi="Calibri" w:cs="Calibri"/>
          <w:noProof/>
          <w:szCs w:val="24"/>
        </w:rPr>
        <w:t xml:space="preserve"> 1994;</w:t>
      </w:r>
      <w:r w:rsidRPr="00573DFB">
        <w:rPr>
          <w:rFonts w:ascii="Calibri" w:hAnsi="Calibri" w:cs="Calibri"/>
          <w:b/>
          <w:bCs/>
          <w:noProof/>
          <w:szCs w:val="24"/>
        </w:rPr>
        <w:t>271</w:t>
      </w:r>
      <w:r w:rsidRPr="00573DFB">
        <w:rPr>
          <w:rFonts w:ascii="Calibri" w:hAnsi="Calibri" w:cs="Calibri"/>
          <w:noProof/>
          <w:szCs w:val="24"/>
        </w:rPr>
        <w:t>:284–8. doi:10.1001/jama.1994.03510280046031</w:t>
      </w:r>
    </w:p>
    <w:p w14:paraId="03E034FA" w14:textId="77777777" w:rsidR="00573DFB" w:rsidRPr="00573DFB" w:rsidRDefault="00573DFB" w:rsidP="00573DFB">
      <w:pPr>
        <w:widowControl w:val="0"/>
        <w:autoSpaceDE w:val="0"/>
        <w:autoSpaceDN w:val="0"/>
        <w:adjustRightInd w:val="0"/>
        <w:spacing w:line="240" w:lineRule="auto"/>
        <w:ind w:left="640" w:hanging="640"/>
        <w:rPr>
          <w:rFonts w:ascii="Calibri" w:hAnsi="Calibri" w:cs="Calibri"/>
          <w:noProof/>
          <w:szCs w:val="24"/>
        </w:rPr>
      </w:pPr>
      <w:r w:rsidRPr="00573DFB">
        <w:rPr>
          <w:rFonts w:ascii="Calibri" w:hAnsi="Calibri" w:cs="Calibri"/>
          <w:noProof/>
          <w:szCs w:val="24"/>
        </w:rPr>
        <w:t xml:space="preserve">13 </w:t>
      </w:r>
      <w:r w:rsidRPr="00573DFB">
        <w:rPr>
          <w:rFonts w:ascii="Calibri" w:hAnsi="Calibri" w:cs="Calibri"/>
          <w:noProof/>
          <w:szCs w:val="24"/>
        </w:rPr>
        <w:tab/>
        <w:t xml:space="preserve">Sanner M. Attitudes toward organ donation and transplantation. </w:t>
      </w:r>
      <w:r w:rsidRPr="00573DFB">
        <w:rPr>
          <w:rFonts w:ascii="Calibri" w:hAnsi="Calibri" w:cs="Calibri"/>
          <w:i/>
          <w:iCs/>
          <w:noProof/>
          <w:szCs w:val="24"/>
        </w:rPr>
        <w:t>Soc Sci Med</w:t>
      </w:r>
      <w:r w:rsidRPr="00573DFB">
        <w:rPr>
          <w:rFonts w:ascii="Calibri" w:hAnsi="Calibri" w:cs="Calibri"/>
          <w:noProof/>
          <w:szCs w:val="24"/>
        </w:rPr>
        <w:t xml:space="preserve"> 1994;</w:t>
      </w:r>
      <w:r w:rsidRPr="00573DFB">
        <w:rPr>
          <w:rFonts w:ascii="Calibri" w:hAnsi="Calibri" w:cs="Calibri"/>
          <w:b/>
          <w:bCs/>
          <w:noProof/>
          <w:szCs w:val="24"/>
        </w:rPr>
        <w:t>38</w:t>
      </w:r>
      <w:r w:rsidRPr="00573DFB">
        <w:rPr>
          <w:rFonts w:ascii="Calibri" w:hAnsi="Calibri" w:cs="Calibri"/>
          <w:noProof/>
          <w:szCs w:val="24"/>
        </w:rPr>
        <w:t>:1141–52. doi:10.1016/0277-9536(94)90229-1</w:t>
      </w:r>
    </w:p>
    <w:p w14:paraId="4B5D08FA" w14:textId="77777777" w:rsidR="00573DFB" w:rsidRPr="00573DFB" w:rsidRDefault="00573DFB" w:rsidP="00573DFB">
      <w:pPr>
        <w:widowControl w:val="0"/>
        <w:autoSpaceDE w:val="0"/>
        <w:autoSpaceDN w:val="0"/>
        <w:adjustRightInd w:val="0"/>
        <w:spacing w:line="240" w:lineRule="auto"/>
        <w:ind w:left="640" w:hanging="640"/>
        <w:rPr>
          <w:rFonts w:ascii="Calibri" w:hAnsi="Calibri" w:cs="Calibri"/>
          <w:noProof/>
          <w:szCs w:val="24"/>
        </w:rPr>
      </w:pPr>
      <w:r w:rsidRPr="00573DFB">
        <w:rPr>
          <w:rFonts w:ascii="Calibri" w:hAnsi="Calibri" w:cs="Calibri"/>
          <w:noProof/>
          <w:szCs w:val="24"/>
        </w:rPr>
        <w:t xml:space="preserve">14 </w:t>
      </w:r>
      <w:r w:rsidRPr="00573DFB">
        <w:rPr>
          <w:rFonts w:ascii="Calibri" w:hAnsi="Calibri" w:cs="Calibri"/>
          <w:noProof/>
          <w:szCs w:val="24"/>
        </w:rPr>
        <w:tab/>
        <w:t xml:space="preserve">Lawlor M, Kerridge I. Understanding Selective Refusal of Eye Donation: Identity, Beauty, and Interpersonal Relationships. </w:t>
      </w:r>
      <w:r w:rsidRPr="00573DFB">
        <w:rPr>
          <w:rFonts w:ascii="Calibri" w:hAnsi="Calibri" w:cs="Calibri"/>
          <w:i/>
          <w:iCs/>
          <w:noProof/>
          <w:szCs w:val="24"/>
        </w:rPr>
        <w:t>J Bioeth Inq</w:t>
      </w:r>
      <w:r w:rsidRPr="00573DFB">
        <w:rPr>
          <w:rFonts w:ascii="Calibri" w:hAnsi="Calibri" w:cs="Calibri"/>
          <w:noProof/>
          <w:szCs w:val="24"/>
        </w:rPr>
        <w:t xml:space="preserve"> 2014;</w:t>
      </w:r>
      <w:r w:rsidRPr="00573DFB">
        <w:rPr>
          <w:rFonts w:ascii="Calibri" w:hAnsi="Calibri" w:cs="Calibri"/>
          <w:b/>
          <w:bCs/>
          <w:noProof/>
          <w:szCs w:val="24"/>
        </w:rPr>
        <w:t>11</w:t>
      </w:r>
      <w:r w:rsidRPr="00573DFB">
        <w:rPr>
          <w:rFonts w:ascii="Calibri" w:hAnsi="Calibri" w:cs="Calibri"/>
          <w:noProof/>
          <w:szCs w:val="24"/>
        </w:rPr>
        <w:t>:57–64. doi:10.1007/s11673-013-9497-9</w:t>
      </w:r>
    </w:p>
    <w:p w14:paraId="4B2E3477" w14:textId="77777777" w:rsidR="00573DFB" w:rsidRPr="00573DFB" w:rsidRDefault="00573DFB" w:rsidP="00573DFB">
      <w:pPr>
        <w:widowControl w:val="0"/>
        <w:autoSpaceDE w:val="0"/>
        <w:autoSpaceDN w:val="0"/>
        <w:adjustRightInd w:val="0"/>
        <w:spacing w:line="240" w:lineRule="auto"/>
        <w:ind w:left="640" w:hanging="640"/>
        <w:rPr>
          <w:rFonts w:ascii="Calibri" w:hAnsi="Calibri" w:cs="Calibri"/>
          <w:noProof/>
          <w:szCs w:val="24"/>
        </w:rPr>
      </w:pPr>
      <w:r w:rsidRPr="00573DFB">
        <w:rPr>
          <w:rFonts w:ascii="Calibri" w:hAnsi="Calibri" w:cs="Calibri"/>
          <w:noProof/>
          <w:szCs w:val="24"/>
        </w:rPr>
        <w:t xml:space="preserve">15 </w:t>
      </w:r>
      <w:r w:rsidRPr="00573DFB">
        <w:rPr>
          <w:rFonts w:ascii="Calibri" w:hAnsi="Calibri" w:cs="Calibri"/>
          <w:noProof/>
          <w:szCs w:val="24"/>
        </w:rPr>
        <w:tab/>
        <w:t xml:space="preserve">Weiss AH, Fortinsky RH, Laughlin J, </w:t>
      </w:r>
      <w:r w:rsidRPr="00573DFB">
        <w:rPr>
          <w:rFonts w:ascii="Calibri" w:hAnsi="Calibri" w:cs="Calibri"/>
          <w:i/>
          <w:iCs/>
          <w:noProof/>
          <w:szCs w:val="24"/>
        </w:rPr>
        <w:t>et al.</w:t>
      </w:r>
      <w:r w:rsidRPr="00573DFB">
        <w:rPr>
          <w:rFonts w:ascii="Calibri" w:hAnsi="Calibri" w:cs="Calibri"/>
          <w:noProof/>
          <w:szCs w:val="24"/>
        </w:rPr>
        <w:t xml:space="preserve"> Parental consent for pediatric cadaveric organ donation. </w:t>
      </w:r>
      <w:r w:rsidRPr="00573DFB">
        <w:rPr>
          <w:rFonts w:ascii="Calibri" w:hAnsi="Calibri" w:cs="Calibri"/>
          <w:i/>
          <w:iCs/>
          <w:noProof/>
          <w:szCs w:val="24"/>
        </w:rPr>
        <w:t>Transplant Proc</w:t>
      </w:r>
      <w:r w:rsidRPr="00573DFB">
        <w:rPr>
          <w:rFonts w:ascii="Calibri" w:hAnsi="Calibri" w:cs="Calibri"/>
          <w:noProof/>
          <w:szCs w:val="24"/>
        </w:rPr>
        <w:t xml:space="preserve"> 1997;</w:t>
      </w:r>
      <w:r w:rsidRPr="00573DFB">
        <w:rPr>
          <w:rFonts w:ascii="Calibri" w:hAnsi="Calibri" w:cs="Calibri"/>
          <w:b/>
          <w:bCs/>
          <w:noProof/>
          <w:szCs w:val="24"/>
        </w:rPr>
        <w:t>29</w:t>
      </w:r>
      <w:r w:rsidRPr="00573DFB">
        <w:rPr>
          <w:rFonts w:ascii="Calibri" w:hAnsi="Calibri" w:cs="Calibri"/>
          <w:noProof/>
          <w:szCs w:val="24"/>
        </w:rPr>
        <w:t>:1896–901. doi:10.1016/S0041-1345(97)00110-3</w:t>
      </w:r>
    </w:p>
    <w:p w14:paraId="469F844F" w14:textId="77777777" w:rsidR="00573DFB" w:rsidRPr="00573DFB" w:rsidRDefault="00573DFB" w:rsidP="00573DFB">
      <w:pPr>
        <w:widowControl w:val="0"/>
        <w:autoSpaceDE w:val="0"/>
        <w:autoSpaceDN w:val="0"/>
        <w:adjustRightInd w:val="0"/>
        <w:spacing w:line="240" w:lineRule="auto"/>
        <w:ind w:left="640" w:hanging="640"/>
        <w:rPr>
          <w:rFonts w:ascii="Calibri" w:hAnsi="Calibri" w:cs="Calibri"/>
          <w:noProof/>
          <w:szCs w:val="24"/>
        </w:rPr>
      </w:pPr>
      <w:r w:rsidRPr="00573DFB">
        <w:rPr>
          <w:rFonts w:ascii="Calibri" w:hAnsi="Calibri" w:cs="Calibri"/>
          <w:noProof/>
          <w:szCs w:val="24"/>
        </w:rPr>
        <w:t xml:space="preserve">16 </w:t>
      </w:r>
      <w:r w:rsidRPr="00573DFB">
        <w:rPr>
          <w:rFonts w:ascii="Calibri" w:hAnsi="Calibri" w:cs="Calibri"/>
          <w:noProof/>
          <w:szCs w:val="24"/>
        </w:rPr>
        <w:tab/>
        <w:t xml:space="preserve">Rodrigue JR, Cornell DL, Howard RJ. Pediatric organ donation: What factors most influence parents’ donation decisions? </w:t>
      </w:r>
      <w:r w:rsidRPr="00573DFB">
        <w:rPr>
          <w:rFonts w:ascii="Calibri" w:hAnsi="Calibri" w:cs="Calibri"/>
          <w:i/>
          <w:iCs/>
          <w:noProof/>
          <w:szCs w:val="24"/>
        </w:rPr>
        <w:t>Pediatr Crit Care Med</w:t>
      </w:r>
      <w:r w:rsidRPr="00573DFB">
        <w:rPr>
          <w:rFonts w:ascii="Calibri" w:hAnsi="Calibri" w:cs="Calibri"/>
          <w:noProof/>
          <w:szCs w:val="24"/>
        </w:rPr>
        <w:t xml:space="preserve"> 2008;</w:t>
      </w:r>
      <w:r w:rsidRPr="00573DFB">
        <w:rPr>
          <w:rFonts w:ascii="Calibri" w:hAnsi="Calibri" w:cs="Calibri"/>
          <w:b/>
          <w:bCs/>
          <w:noProof/>
          <w:szCs w:val="24"/>
        </w:rPr>
        <w:t>9</w:t>
      </w:r>
      <w:r w:rsidRPr="00573DFB">
        <w:rPr>
          <w:rFonts w:ascii="Calibri" w:hAnsi="Calibri" w:cs="Calibri"/>
          <w:noProof/>
          <w:szCs w:val="24"/>
        </w:rPr>
        <w:t>:180–5. doi:10.1097/PCC.0b013e3181668605</w:t>
      </w:r>
    </w:p>
    <w:p w14:paraId="70A3A4AF" w14:textId="77777777" w:rsidR="00573DFB" w:rsidRPr="00573DFB" w:rsidRDefault="00573DFB" w:rsidP="00573DFB">
      <w:pPr>
        <w:widowControl w:val="0"/>
        <w:autoSpaceDE w:val="0"/>
        <w:autoSpaceDN w:val="0"/>
        <w:adjustRightInd w:val="0"/>
        <w:spacing w:line="240" w:lineRule="auto"/>
        <w:ind w:left="640" w:hanging="640"/>
        <w:rPr>
          <w:rFonts w:ascii="Calibri" w:hAnsi="Calibri" w:cs="Calibri"/>
          <w:noProof/>
          <w:szCs w:val="24"/>
        </w:rPr>
      </w:pPr>
      <w:r w:rsidRPr="00573DFB">
        <w:rPr>
          <w:rFonts w:ascii="Calibri" w:hAnsi="Calibri" w:cs="Calibri"/>
          <w:noProof/>
          <w:szCs w:val="24"/>
        </w:rPr>
        <w:t xml:space="preserve">17 </w:t>
      </w:r>
      <w:r w:rsidRPr="00573DFB">
        <w:rPr>
          <w:rFonts w:ascii="Calibri" w:hAnsi="Calibri" w:cs="Calibri"/>
          <w:noProof/>
          <w:szCs w:val="24"/>
        </w:rPr>
        <w:tab/>
        <w:t xml:space="preserve">Long T, Sque M, Addington-Hall J. Conflict rationalisation: How family members cope with a diagnosis of brain stem death. </w:t>
      </w:r>
      <w:r w:rsidRPr="00573DFB">
        <w:rPr>
          <w:rFonts w:ascii="Calibri" w:hAnsi="Calibri" w:cs="Calibri"/>
          <w:i/>
          <w:iCs/>
          <w:noProof/>
          <w:szCs w:val="24"/>
        </w:rPr>
        <w:t>Soc Sci Med</w:t>
      </w:r>
      <w:r w:rsidRPr="00573DFB">
        <w:rPr>
          <w:rFonts w:ascii="Calibri" w:hAnsi="Calibri" w:cs="Calibri"/>
          <w:noProof/>
          <w:szCs w:val="24"/>
        </w:rPr>
        <w:t xml:space="preserve"> 2008;</w:t>
      </w:r>
      <w:r w:rsidRPr="00573DFB">
        <w:rPr>
          <w:rFonts w:ascii="Calibri" w:hAnsi="Calibri" w:cs="Calibri"/>
          <w:b/>
          <w:bCs/>
          <w:noProof/>
          <w:szCs w:val="24"/>
        </w:rPr>
        <w:t>67</w:t>
      </w:r>
      <w:r w:rsidRPr="00573DFB">
        <w:rPr>
          <w:rFonts w:ascii="Calibri" w:hAnsi="Calibri" w:cs="Calibri"/>
          <w:noProof/>
          <w:szCs w:val="24"/>
        </w:rPr>
        <w:t>:253–61. doi:10.1016/j.socscimed.2008.03.039</w:t>
      </w:r>
    </w:p>
    <w:p w14:paraId="50F1D38C" w14:textId="77777777" w:rsidR="00573DFB" w:rsidRPr="00573DFB" w:rsidRDefault="00573DFB" w:rsidP="00573DFB">
      <w:pPr>
        <w:widowControl w:val="0"/>
        <w:autoSpaceDE w:val="0"/>
        <w:autoSpaceDN w:val="0"/>
        <w:adjustRightInd w:val="0"/>
        <w:spacing w:line="240" w:lineRule="auto"/>
        <w:ind w:left="640" w:hanging="640"/>
        <w:rPr>
          <w:rFonts w:ascii="Calibri" w:hAnsi="Calibri" w:cs="Calibri"/>
          <w:noProof/>
          <w:szCs w:val="24"/>
        </w:rPr>
      </w:pPr>
      <w:r w:rsidRPr="00573DFB">
        <w:rPr>
          <w:rFonts w:ascii="Calibri" w:hAnsi="Calibri" w:cs="Calibri"/>
          <w:noProof/>
          <w:szCs w:val="24"/>
        </w:rPr>
        <w:t xml:space="preserve">18 </w:t>
      </w:r>
      <w:r w:rsidRPr="00573DFB">
        <w:rPr>
          <w:rFonts w:ascii="Calibri" w:hAnsi="Calibri" w:cs="Calibri"/>
          <w:noProof/>
          <w:szCs w:val="24"/>
        </w:rPr>
        <w:tab/>
        <w:t xml:space="preserve">Siminoff LA, Arnold RM, Hewlett J. The process of organ donation and its effect on consent. </w:t>
      </w:r>
      <w:r w:rsidRPr="00573DFB">
        <w:rPr>
          <w:rFonts w:ascii="Calibri" w:hAnsi="Calibri" w:cs="Calibri"/>
          <w:i/>
          <w:iCs/>
          <w:noProof/>
          <w:szCs w:val="24"/>
        </w:rPr>
        <w:t>Clin Transplant</w:t>
      </w:r>
      <w:r w:rsidRPr="00573DFB">
        <w:rPr>
          <w:rFonts w:ascii="Calibri" w:hAnsi="Calibri" w:cs="Calibri"/>
          <w:noProof/>
          <w:szCs w:val="24"/>
        </w:rPr>
        <w:t xml:space="preserve"> 2001;</w:t>
      </w:r>
      <w:r w:rsidRPr="00573DFB">
        <w:rPr>
          <w:rFonts w:ascii="Calibri" w:hAnsi="Calibri" w:cs="Calibri"/>
          <w:b/>
          <w:bCs/>
          <w:noProof/>
          <w:szCs w:val="24"/>
        </w:rPr>
        <w:t>15</w:t>
      </w:r>
      <w:r w:rsidRPr="00573DFB">
        <w:rPr>
          <w:rFonts w:ascii="Calibri" w:hAnsi="Calibri" w:cs="Calibri"/>
          <w:noProof/>
          <w:szCs w:val="24"/>
        </w:rPr>
        <w:t>:39–47. doi:10.1034/j.1399-0012.2001.150107.x</w:t>
      </w:r>
    </w:p>
    <w:p w14:paraId="684D7301" w14:textId="77777777" w:rsidR="00573DFB" w:rsidRPr="00573DFB" w:rsidRDefault="00573DFB" w:rsidP="00573DFB">
      <w:pPr>
        <w:widowControl w:val="0"/>
        <w:autoSpaceDE w:val="0"/>
        <w:autoSpaceDN w:val="0"/>
        <w:adjustRightInd w:val="0"/>
        <w:spacing w:line="240" w:lineRule="auto"/>
        <w:ind w:left="640" w:hanging="640"/>
        <w:rPr>
          <w:rFonts w:ascii="Calibri" w:hAnsi="Calibri" w:cs="Calibri"/>
          <w:noProof/>
          <w:szCs w:val="24"/>
        </w:rPr>
      </w:pPr>
      <w:r w:rsidRPr="00573DFB">
        <w:rPr>
          <w:rFonts w:ascii="Calibri" w:hAnsi="Calibri" w:cs="Calibri"/>
          <w:noProof/>
          <w:szCs w:val="24"/>
        </w:rPr>
        <w:t xml:space="preserve">19 </w:t>
      </w:r>
      <w:r w:rsidRPr="00573DFB">
        <w:rPr>
          <w:rFonts w:ascii="Calibri" w:hAnsi="Calibri" w:cs="Calibri"/>
          <w:noProof/>
          <w:szCs w:val="24"/>
        </w:rPr>
        <w:tab/>
        <w:t xml:space="preserve">Lawlor M, Kerridge I, Ankeny R, </w:t>
      </w:r>
      <w:r w:rsidRPr="00573DFB">
        <w:rPr>
          <w:rFonts w:ascii="Calibri" w:hAnsi="Calibri" w:cs="Calibri"/>
          <w:i/>
          <w:iCs/>
          <w:noProof/>
          <w:szCs w:val="24"/>
        </w:rPr>
        <w:t>et al.</w:t>
      </w:r>
      <w:r w:rsidRPr="00573DFB">
        <w:rPr>
          <w:rFonts w:ascii="Calibri" w:hAnsi="Calibri" w:cs="Calibri"/>
          <w:noProof/>
          <w:szCs w:val="24"/>
        </w:rPr>
        <w:t xml:space="preserve"> Specific unwillingness to donate eyes: The impact of disfigurement, knowledge and procurement on corneal donation. Am. J. Transplant. 2010;</w:t>
      </w:r>
      <w:r w:rsidRPr="00573DFB">
        <w:rPr>
          <w:rFonts w:ascii="Calibri" w:hAnsi="Calibri" w:cs="Calibri"/>
          <w:b/>
          <w:bCs/>
          <w:noProof/>
          <w:szCs w:val="24"/>
        </w:rPr>
        <w:t>10</w:t>
      </w:r>
      <w:r w:rsidRPr="00573DFB">
        <w:rPr>
          <w:rFonts w:ascii="Calibri" w:hAnsi="Calibri" w:cs="Calibri"/>
          <w:noProof/>
          <w:szCs w:val="24"/>
        </w:rPr>
        <w:t>:657–63. doi:10.1111/j.1600-6143.2009.02986.x</w:t>
      </w:r>
    </w:p>
    <w:p w14:paraId="7E41E2B3" w14:textId="77777777" w:rsidR="00573DFB" w:rsidRPr="00573DFB" w:rsidRDefault="00573DFB" w:rsidP="00573DFB">
      <w:pPr>
        <w:widowControl w:val="0"/>
        <w:autoSpaceDE w:val="0"/>
        <w:autoSpaceDN w:val="0"/>
        <w:adjustRightInd w:val="0"/>
        <w:spacing w:line="240" w:lineRule="auto"/>
        <w:ind w:left="640" w:hanging="640"/>
        <w:rPr>
          <w:rFonts w:ascii="Calibri" w:hAnsi="Calibri" w:cs="Calibri"/>
          <w:noProof/>
          <w:szCs w:val="24"/>
        </w:rPr>
      </w:pPr>
      <w:r w:rsidRPr="00573DFB">
        <w:rPr>
          <w:rFonts w:ascii="Calibri" w:hAnsi="Calibri" w:cs="Calibri"/>
          <w:noProof/>
          <w:szCs w:val="24"/>
        </w:rPr>
        <w:t xml:space="preserve">20 </w:t>
      </w:r>
      <w:r w:rsidRPr="00573DFB">
        <w:rPr>
          <w:rFonts w:ascii="Calibri" w:hAnsi="Calibri" w:cs="Calibri"/>
          <w:noProof/>
          <w:szCs w:val="24"/>
        </w:rPr>
        <w:tab/>
        <w:t xml:space="preserve">Acharya M, Farooqui J, Dave A, </w:t>
      </w:r>
      <w:r w:rsidRPr="00573DFB">
        <w:rPr>
          <w:rFonts w:ascii="Calibri" w:hAnsi="Calibri" w:cs="Calibri"/>
          <w:i/>
          <w:iCs/>
          <w:noProof/>
          <w:szCs w:val="24"/>
        </w:rPr>
        <w:t>et al.</w:t>
      </w:r>
      <w:r w:rsidRPr="00573DFB">
        <w:rPr>
          <w:rFonts w:ascii="Calibri" w:hAnsi="Calibri" w:cs="Calibri"/>
          <w:noProof/>
          <w:szCs w:val="24"/>
        </w:rPr>
        <w:t xml:space="preserve"> Eye donation in north India: Trends, awareness, influences and barriers. </w:t>
      </w:r>
      <w:r w:rsidRPr="00573DFB">
        <w:rPr>
          <w:rFonts w:ascii="Calibri" w:hAnsi="Calibri" w:cs="Calibri"/>
          <w:i/>
          <w:iCs/>
          <w:noProof/>
          <w:szCs w:val="24"/>
        </w:rPr>
        <w:t>Indian J Ophthalmol</w:t>
      </w:r>
      <w:r w:rsidRPr="00573DFB">
        <w:rPr>
          <w:rFonts w:ascii="Calibri" w:hAnsi="Calibri" w:cs="Calibri"/>
          <w:noProof/>
          <w:szCs w:val="24"/>
        </w:rPr>
        <w:t xml:space="preserve"> 2019;</w:t>
      </w:r>
      <w:r w:rsidRPr="00573DFB">
        <w:rPr>
          <w:rFonts w:ascii="Calibri" w:hAnsi="Calibri" w:cs="Calibri"/>
          <w:b/>
          <w:bCs/>
          <w:noProof/>
          <w:szCs w:val="24"/>
        </w:rPr>
        <w:t>67</w:t>
      </w:r>
      <w:r w:rsidRPr="00573DFB">
        <w:rPr>
          <w:rFonts w:ascii="Calibri" w:hAnsi="Calibri" w:cs="Calibri"/>
          <w:noProof/>
          <w:szCs w:val="24"/>
        </w:rPr>
        <w:t>:1570. doi:10.4103/ijo.IJO_2151_18</w:t>
      </w:r>
    </w:p>
    <w:p w14:paraId="40A2D81A" w14:textId="77777777" w:rsidR="00573DFB" w:rsidRPr="00573DFB" w:rsidRDefault="00573DFB" w:rsidP="00573DFB">
      <w:pPr>
        <w:widowControl w:val="0"/>
        <w:autoSpaceDE w:val="0"/>
        <w:autoSpaceDN w:val="0"/>
        <w:adjustRightInd w:val="0"/>
        <w:spacing w:line="240" w:lineRule="auto"/>
        <w:ind w:left="640" w:hanging="640"/>
        <w:rPr>
          <w:rFonts w:ascii="Calibri" w:hAnsi="Calibri" w:cs="Calibri"/>
          <w:noProof/>
          <w:szCs w:val="24"/>
        </w:rPr>
      </w:pPr>
      <w:r w:rsidRPr="00573DFB">
        <w:rPr>
          <w:rFonts w:ascii="Calibri" w:hAnsi="Calibri" w:cs="Calibri"/>
          <w:noProof/>
          <w:szCs w:val="24"/>
        </w:rPr>
        <w:t xml:space="preserve">21 </w:t>
      </w:r>
      <w:r w:rsidRPr="00573DFB">
        <w:rPr>
          <w:rFonts w:ascii="Calibri" w:hAnsi="Calibri" w:cs="Calibri"/>
          <w:noProof/>
          <w:szCs w:val="24"/>
        </w:rPr>
        <w:tab/>
        <w:t xml:space="preserve">Fishbein M, Ajzen I. </w:t>
      </w:r>
      <w:r w:rsidRPr="00573DFB">
        <w:rPr>
          <w:rFonts w:ascii="Calibri" w:hAnsi="Calibri" w:cs="Calibri"/>
          <w:i/>
          <w:iCs/>
          <w:noProof/>
          <w:szCs w:val="24"/>
        </w:rPr>
        <w:t>Belief, Attitude, Intention, and Behavior: An Introduction to Theory and Research</w:t>
      </w:r>
      <w:r w:rsidRPr="00573DFB">
        <w:rPr>
          <w:rFonts w:ascii="Calibri" w:hAnsi="Calibri" w:cs="Calibri"/>
          <w:noProof/>
          <w:szCs w:val="24"/>
        </w:rPr>
        <w:t>. Addison-Wesley Publishing Company 1975. https://books.google.co.uk/books?id=8o0QAQAAIAAJ</w:t>
      </w:r>
    </w:p>
    <w:p w14:paraId="424926A7" w14:textId="77777777" w:rsidR="00573DFB" w:rsidRPr="00573DFB" w:rsidRDefault="00573DFB" w:rsidP="00573DFB">
      <w:pPr>
        <w:widowControl w:val="0"/>
        <w:autoSpaceDE w:val="0"/>
        <w:autoSpaceDN w:val="0"/>
        <w:adjustRightInd w:val="0"/>
        <w:spacing w:line="240" w:lineRule="auto"/>
        <w:ind w:left="640" w:hanging="640"/>
        <w:rPr>
          <w:rFonts w:ascii="Calibri" w:hAnsi="Calibri" w:cs="Calibri"/>
          <w:noProof/>
          <w:szCs w:val="24"/>
        </w:rPr>
      </w:pPr>
      <w:r w:rsidRPr="00573DFB">
        <w:rPr>
          <w:rFonts w:ascii="Calibri" w:hAnsi="Calibri" w:cs="Calibri"/>
          <w:noProof/>
          <w:szCs w:val="24"/>
        </w:rPr>
        <w:t xml:space="preserve">22 </w:t>
      </w:r>
      <w:r w:rsidRPr="00573DFB">
        <w:rPr>
          <w:rFonts w:ascii="Calibri" w:hAnsi="Calibri" w:cs="Calibri"/>
          <w:noProof/>
          <w:szCs w:val="24"/>
        </w:rPr>
        <w:tab/>
        <w:t xml:space="preserve">Ajzen I. The Theory of Planned Behavior. </w:t>
      </w:r>
      <w:r w:rsidRPr="00573DFB">
        <w:rPr>
          <w:rFonts w:ascii="Calibri" w:hAnsi="Calibri" w:cs="Calibri"/>
          <w:i/>
          <w:iCs/>
          <w:noProof/>
          <w:szCs w:val="24"/>
        </w:rPr>
        <w:t>Organ Behav Hum Decis Process</w:t>
      </w:r>
      <w:r w:rsidRPr="00573DFB">
        <w:rPr>
          <w:rFonts w:ascii="Calibri" w:hAnsi="Calibri" w:cs="Calibri"/>
          <w:noProof/>
          <w:szCs w:val="24"/>
        </w:rPr>
        <w:t xml:space="preserve"> 1991;</w:t>
      </w:r>
      <w:r w:rsidRPr="00573DFB">
        <w:rPr>
          <w:rFonts w:ascii="Calibri" w:hAnsi="Calibri" w:cs="Calibri"/>
          <w:b/>
          <w:bCs/>
          <w:noProof/>
          <w:szCs w:val="24"/>
        </w:rPr>
        <w:t>50</w:t>
      </w:r>
      <w:r w:rsidRPr="00573DFB">
        <w:rPr>
          <w:rFonts w:ascii="Calibri" w:hAnsi="Calibri" w:cs="Calibri"/>
          <w:noProof/>
          <w:szCs w:val="24"/>
        </w:rPr>
        <w:t>:179–211.https://www.dphu.org/uploads/attachements/books/books_4931_0.pdf</w:t>
      </w:r>
    </w:p>
    <w:p w14:paraId="0B5C99E8" w14:textId="77777777" w:rsidR="00573DFB" w:rsidRPr="00573DFB" w:rsidRDefault="00573DFB" w:rsidP="00573DFB">
      <w:pPr>
        <w:widowControl w:val="0"/>
        <w:autoSpaceDE w:val="0"/>
        <w:autoSpaceDN w:val="0"/>
        <w:adjustRightInd w:val="0"/>
        <w:spacing w:line="240" w:lineRule="auto"/>
        <w:ind w:left="640" w:hanging="640"/>
        <w:rPr>
          <w:rFonts w:ascii="Calibri" w:hAnsi="Calibri" w:cs="Calibri"/>
          <w:noProof/>
          <w:szCs w:val="24"/>
        </w:rPr>
      </w:pPr>
      <w:r w:rsidRPr="00573DFB">
        <w:rPr>
          <w:rFonts w:ascii="Calibri" w:hAnsi="Calibri" w:cs="Calibri"/>
          <w:noProof/>
          <w:szCs w:val="24"/>
        </w:rPr>
        <w:t xml:space="preserve">23 </w:t>
      </w:r>
      <w:r w:rsidRPr="00573DFB">
        <w:rPr>
          <w:rFonts w:ascii="Calibri" w:hAnsi="Calibri" w:cs="Calibri"/>
          <w:noProof/>
          <w:szCs w:val="24"/>
        </w:rPr>
        <w:tab/>
        <w:t>Ajzen I. From Intentions to Actions: A Theory of Planned Behavior BT  - Action Control: From Cognition to Behavior. In: Kuhl J, Beckmann J, eds. . Berlin, Heidelberg: : Springer Berlin Heidelberg 1985. 11–39. doi:10.1007/978-3-642-69746-3_2</w:t>
      </w:r>
    </w:p>
    <w:p w14:paraId="7A890676" w14:textId="77777777" w:rsidR="00573DFB" w:rsidRPr="00573DFB" w:rsidRDefault="00573DFB" w:rsidP="00573DFB">
      <w:pPr>
        <w:widowControl w:val="0"/>
        <w:autoSpaceDE w:val="0"/>
        <w:autoSpaceDN w:val="0"/>
        <w:adjustRightInd w:val="0"/>
        <w:spacing w:line="240" w:lineRule="auto"/>
        <w:ind w:left="640" w:hanging="640"/>
        <w:rPr>
          <w:rFonts w:ascii="Calibri" w:hAnsi="Calibri" w:cs="Calibri"/>
          <w:noProof/>
          <w:szCs w:val="24"/>
        </w:rPr>
      </w:pPr>
      <w:r w:rsidRPr="00573DFB">
        <w:rPr>
          <w:rFonts w:ascii="Calibri" w:hAnsi="Calibri" w:cs="Calibri"/>
          <w:noProof/>
          <w:szCs w:val="24"/>
        </w:rPr>
        <w:t xml:space="preserve">24 </w:t>
      </w:r>
      <w:r w:rsidRPr="00573DFB">
        <w:rPr>
          <w:rFonts w:ascii="Calibri" w:hAnsi="Calibri" w:cs="Calibri"/>
          <w:noProof/>
          <w:szCs w:val="24"/>
        </w:rPr>
        <w:tab/>
        <w:t xml:space="preserve">Horton RL, Horton PJ. A model of willingness to become a potential organ donor. </w:t>
      </w:r>
      <w:r w:rsidRPr="00573DFB">
        <w:rPr>
          <w:rFonts w:ascii="Calibri" w:hAnsi="Calibri" w:cs="Calibri"/>
          <w:i/>
          <w:iCs/>
          <w:noProof/>
          <w:szCs w:val="24"/>
        </w:rPr>
        <w:t>Soc Sci Med</w:t>
      </w:r>
      <w:r w:rsidRPr="00573DFB">
        <w:rPr>
          <w:rFonts w:ascii="Calibri" w:hAnsi="Calibri" w:cs="Calibri"/>
          <w:noProof/>
          <w:szCs w:val="24"/>
        </w:rPr>
        <w:t xml:space="preserve"> 1991;</w:t>
      </w:r>
      <w:r w:rsidRPr="00573DFB">
        <w:rPr>
          <w:rFonts w:ascii="Calibri" w:hAnsi="Calibri" w:cs="Calibri"/>
          <w:b/>
          <w:bCs/>
          <w:noProof/>
          <w:szCs w:val="24"/>
        </w:rPr>
        <w:t>33</w:t>
      </w:r>
      <w:r w:rsidRPr="00573DFB">
        <w:rPr>
          <w:rFonts w:ascii="Calibri" w:hAnsi="Calibri" w:cs="Calibri"/>
          <w:noProof/>
          <w:szCs w:val="24"/>
        </w:rPr>
        <w:t>:1037–51. doi:10.1016/0277-9536(91)90009-2</w:t>
      </w:r>
    </w:p>
    <w:p w14:paraId="75C9CB02" w14:textId="77777777" w:rsidR="00573DFB" w:rsidRPr="00573DFB" w:rsidRDefault="00573DFB" w:rsidP="00573DFB">
      <w:pPr>
        <w:widowControl w:val="0"/>
        <w:autoSpaceDE w:val="0"/>
        <w:autoSpaceDN w:val="0"/>
        <w:adjustRightInd w:val="0"/>
        <w:spacing w:line="240" w:lineRule="auto"/>
        <w:ind w:left="640" w:hanging="640"/>
        <w:rPr>
          <w:rFonts w:ascii="Calibri" w:hAnsi="Calibri" w:cs="Calibri"/>
          <w:noProof/>
          <w:szCs w:val="24"/>
        </w:rPr>
      </w:pPr>
      <w:r w:rsidRPr="00573DFB">
        <w:rPr>
          <w:rFonts w:ascii="Calibri" w:hAnsi="Calibri" w:cs="Calibri"/>
          <w:noProof/>
          <w:szCs w:val="24"/>
        </w:rPr>
        <w:t xml:space="preserve">25 </w:t>
      </w:r>
      <w:r w:rsidRPr="00573DFB">
        <w:rPr>
          <w:rFonts w:ascii="Calibri" w:hAnsi="Calibri" w:cs="Calibri"/>
          <w:noProof/>
          <w:szCs w:val="24"/>
        </w:rPr>
        <w:tab/>
        <w:t xml:space="preserve">Radecki CM, Jaccard J. Signing an Organ Donation Letter: The Prediction of Behavior From Behavioral Intentions1. </w:t>
      </w:r>
      <w:r w:rsidRPr="00573DFB">
        <w:rPr>
          <w:rFonts w:ascii="Calibri" w:hAnsi="Calibri" w:cs="Calibri"/>
          <w:i/>
          <w:iCs/>
          <w:noProof/>
          <w:szCs w:val="24"/>
        </w:rPr>
        <w:t>J Appl Soc Psychol</w:t>
      </w:r>
      <w:r w:rsidRPr="00573DFB">
        <w:rPr>
          <w:rFonts w:ascii="Calibri" w:hAnsi="Calibri" w:cs="Calibri"/>
          <w:noProof/>
          <w:szCs w:val="24"/>
        </w:rPr>
        <w:t xml:space="preserve"> 1999;</w:t>
      </w:r>
      <w:r w:rsidRPr="00573DFB">
        <w:rPr>
          <w:rFonts w:ascii="Calibri" w:hAnsi="Calibri" w:cs="Calibri"/>
          <w:b/>
          <w:bCs/>
          <w:noProof/>
          <w:szCs w:val="24"/>
        </w:rPr>
        <w:t>29</w:t>
      </w:r>
      <w:r w:rsidRPr="00573DFB">
        <w:rPr>
          <w:rFonts w:ascii="Calibri" w:hAnsi="Calibri" w:cs="Calibri"/>
          <w:noProof/>
          <w:szCs w:val="24"/>
        </w:rPr>
        <w:t>:1833–53. doi:10.1111/j.1559-1816.1999.tb00154.x</w:t>
      </w:r>
    </w:p>
    <w:p w14:paraId="597E0C87" w14:textId="77777777" w:rsidR="00573DFB" w:rsidRPr="00573DFB" w:rsidRDefault="00573DFB" w:rsidP="00573DFB">
      <w:pPr>
        <w:widowControl w:val="0"/>
        <w:autoSpaceDE w:val="0"/>
        <w:autoSpaceDN w:val="0"/>
        <w:adjustRightInd w:val="0"/>
        <w:spacing w:line="240" w:lineRule="auto"/>
        <w:ind w:left="640" w:hanging="640"/>
        <w:rPr>
          <w:rFonts w:ascii="Calibri" w:hAnsi="Calibri" w:cs="Calibri"/>
          <w:noProof/>
          <w:szCs w:val="24"/>
        </w:rPr>
      </w:pPr>
      <w:r w:rsidRPr="00573DFB">
        <w:rPr>
          <w:rFonts w:ascii="Calibri" w:hAnsi="Calibri" w:cs="Calibri"/>
          <w:noProof/>
          <w:szCs w:val="24"/>
        </w:rPr>
        <w:t xml:space="preserve">26 </w:t>
      </w:r>
      <w:r w:rsidRPr="00573DFB">
        <w:rPr>
          <w:rFonts w:ascii="Calibri" w:hAnsi="Calibri" w:cs="Calibri"/>
          <w:noProof/>
          <w:szCs w:val="24"/>
        </w:rPr>
        <w:tab/>
        <w:t xml:space="preserve">Kopfman JE, Smith SW. Understanding the audiences of a health communication campaign: A discriminant analysis of potential organ donors based on intent to donate. </w:t>
      </w:r>
      <w:r w:rsidRPr="00573DFB">
        <w:rPr>
          <w:rFonts w:ascii="Calibri" w:hAnsi="Calibri" w:cs="Calibri"/>
          <w:i/>
          <w:iCs/>
          <w:noProof/>
          <w:szCs w:val="24"/>
        </w:rPr>
        <w:t>J Appl Commun Res</w:t>
      </w:r>
      <w:r w:rsidRPr="00573DFB">
        <w:rPr>
          <w:rFonts w:ascii="Calibri" w:hAnsi="Calibri" w:cs="Calibri"/>
          <w:noProof/>
          <w:szCs w:val="24"/>
        </w:rPr>
        <w:t xml:space="preserve"> 1996;</w:t>
      </w:r>
      <w:r w:rsidRPr="00573DFB">
        <w:rPr>
          <w:rFonts w:ascii="Calibri" w:hAnsi="Calibri" w:cs="Calibri"/>
          <w:b/>
          <w:bCs/>
          <w:noProof/>
          <w:szCs w:val="24"/>
        </w:rPr>
        <w:t>24</w:t>
      </w:r>
      <w:r w:rsidRPr="00573DFB">
        <w:rPr>
          <w:rFonts w:ascii="Calibri" w:hAnsi="Calibri" w:cs="Calibri"/>
          <w:noProof/>
          <w:szCs w:val="24"/>
        </w:rPr>
        <w:t>:33–49. doi:10.1080/00909889609365438</w:t>
      </w:r>
    </w:p>
    <w:p w14:paraId="53B37A2C" w14:textId="77777777" w:rsidR="00573DFB" w:rsidRPr="00573DFB" w:rsidRDefault="00573DFB" w:rsidP="00573DFB">
      <w:pPr>
        <w:widowControl w:val="0"/>
        <w:autoSpaceDE w:val="0"/>
        <w:autoSpaceDN w:val="0"/>
        <w:adjustRightInd w:val="0"/>
        <w:spacing w:line="240" w:lineRule="auto"/>
        <w:ind w:left="640" w:hanging="640"/>
        <w:rPr>
          <w:rFonts w:ascii="Calibri" w:hAnsi="Calibri" w:cs="Calibri"/>
          <w:noProof/>
          <w:szCs w:val="24"/>
        </w:rPr>
      </w:pPr>
      <w:r w:rsidRPr="00573DFB">
        <w:rPr>
          <w:rFonts w:ascii="Calibri" w:hAnsi="Calibri" w:cs="Calibri"/>
          <w:noProof/>
          <w:szCs w:val="24"/>
        </w:rPr>
        <w:t xml:space="preserve">27 </w:t>
      </w:r>
      <w:r w:rsidRPr="00573DFB">
        <w:rPr>
          <w:rFonts w:ascii="Calibri" w:hAnsi="Calibri" w:cs="Calibri"/>
          <w:noProof/>
          <w:szCs w:val="24"/>
        </w:rPr>
        <w:tab/>
        <w:t xml:space="preserve">Morgan S, Miller J. Communicating about gifts of life: the effect of knowledge, attitudes, and altruism on behavior and behavioral intentions regarding organ donation. </w:t>
      </w:r>
      <w:r w:rsidRPr="00573DFB">
        <w:rPr>
          <w:rFonts w:ascii="Calibri" w:hAnsi="Calibri" w:cs="Calibri"/>
          <w:i/>
          <w:iCs/>
          <w:noProof/>
          <w:szCs w:val="24"/>
        </w:rPr>
        <w:t>J Appl Commun Res</w:t>
      </w:r>
      <w:r w:rsidRPr="00573DFB">
        <w:rPr>
          <w:rFonts w:ascii="Calibri" w:hAnsi="Calibri" w:cs="Calibri"/>
          <w:noProof/>
          <w:szCs w:val="24"/>
        </w:rPr>
        <w:t xml:space="preserve"> 2002;</w:t>
      </w:r>
      <w:r w:rsidRPr="00573DFB">
        <w:rPr>
          <w:rFonts w:ascii="Calibri" w:hAnsi="Calibri" w:cs="Calibri"/>
          <w:b/>
          <w:bCs/>
          <w:noProof/>
          <w:szCs w:val="24"/>
        </w:rPr>
        <w:t>30</w:t>
      </w:r>
      <w:r w:rsidRPr="00573DFB">
        <w:rPr>
          <w:rFonts w:ascii="Calibri" w:hAnsi="Calibri" w:cs="Calibri"/>
          <w:noProof/>
          <w:szCs w:val="24"/>
        </w:rPr>
        <w:t>:163–78. doi:10.1080/00909880216580</w:t>
      </w:r>
    </w:p>
    <w:p w14:paraId="2762CFBD" w14:textId="77777777" w:rsidR="00573DFB" w:rsidRPr="00573DFB" w:rsidRDefault="00573DFB" w:rsidP="00573DFB">
      <w:pPr>
        <w:widowControl w:val="0"/>
        <w:autoSpaceDE w:val="0"/>
        <w:autoSpaceDN w:val="0"/>
        <w:adjustRightInd w:val="0"/>
        <w:spacing w:line="240" w:lineRule="auto"/>
        <w:ind w:left="640" w:hanging="640"/>
        <w:rPr>
          <w:rFonts w:ascii="Calibri" w:hAnsi="Calibri" w:cs="Calibri"/>
          <w:noProof/>
          <w:szCs w:val="24"/>
        </w:rPr>
      </w:pPr>
      <w:r w:rsidRPr="00573DFB">
        <w:rPr>
          <w:rFonts w:ascii="Calibri" w:hAnsi="Calibri" w:cs="Calibri"/>
          <w:noProof/>
          <w:szCs w:val="24"/>
        </w:rPr>
        <w:t xml:space="preserve">28 </w:t>
      </w:r>
      <w:r w:rsidRPr="00573DFB">
        <w:rPr>
          <w:rFonts w:ascii="Calibri" w:hAnsi="Calibri" w:cs="Calibri"/>
          <w:noProof/>
          <w:szCs w:val="24"/>
        </w:rPr>
        <w:tab/>
        <w:t xml:space="preserve">Quick BL, LaVoie NR, Reynolds-Tylus T, </w:t>
      </w:r>
      <w:r w:rsidRPr="00573DFB">
        <w:rPr>
          <w:rFonts w:ascii="Calibri" w:hAnsi="Calibri" w:cs="Calibri"/>
          <w:i/>
          <w:iCs/>
          <w:noProof/>
          <w:szCs w:val="24"/>
        </w:rPr>
        <w:t>et al.</w:t>
      </w:r>
      <w:r w:rsidRPr="00573DFB">
        <w:rPr>
          <w:rFonts w:ascii="Calibri" w:hAnsi="Calibri" w:cs="Calibri"/>
          <w:noProof/>
          <w:szCs w:val="24"/>
        </w:rPr>
        <w:t xml:space="preserve"> Does Donor Status, Race, and Biological Sex Predict Organ Donor Registration Barriers? </w:t>
      </w:r>
      <w:r w:rsidRPr="00573DFB">
        <w:rPr>
          <w:rFonts w:ascii="Calibri" w:hAnsi="Calibri" w:cs="Calibri"/>
          <w:i/>
          <w:iCs/>
          <w:noProof/>
          <w:szCs w:val="24"/>
        </w:rPr>
        <w:t>J Natl Med Assoc</w:t>
      </w:r>
      <w:r w:rsidRPr="00573DFB">
        <w:rPr>
          <w:rFonts w:ascii="Calibri" w:hAnsi="Calibri" w:cs="Calibri"/>
          <w:noProof/>
          <w:szCs w:val="24"/>
        </w:rPr>
        <w:t xml:space="preserve"> 2016;</w:t>
      </w:r>
      <w:r w:rsidRPr="00573DFB">
        <w:rPr>
          <w:rFonts w:ascii="Calibri" w:hAnsi="Calibri" w:cs="Calibri"/>
          <w:b/>
          <w:bCs/>
          <w:noProof/>
          <w:szCs w:val="24"/>
        </w:rPr>
        <w:t>108</w:t>
      </w:r>
      <w:r w:rsidRPr="00573DFB">
        <w:rPr>
          <w:rFonts w:ascii="Calibri" w:hAnsi="Calibri" w:cs="Calibri"/>
          <w:noProof/>
          <w:szCs w:val="24"/>
        </w:rPr>
        <w:t>:140–6. doi:10.1016/j.jnma.2016.05.007</w:t>
      </w:r>
    </w:p>
    <w:p w14:paraId="14C852C4" w14:textId="77777777" w:rsidR="00573DFB" w:rsidRPr="00573DFB" w:rsidRDefault="00573DFB" w:rsidP="00573DFB">
      <w:pPr>
        <w:widowControl w:val="0"/>
        <w:autoSpaceDE w:val="0"/>
        <w:autoSpaceDN w:val="0"/>
        <w:adjustRightInd w:val="0"/>
        <w:spacing w:line="240" w:lineRule="auto"/>
        <w:ind w:left="640" w:hanging="640"/>
        <w:rPr>
          <w:rFonts w:ascii="Calibri" w:hAnsi="Calibri" w:cs="Calibri"/>
          <w:noProof/>
          <w:szCs w:val="24"/>
        </w:rPr>
      </w:pPr>
      <w:r w:rsidRPr="00573DFB">
        <w:rPr>
          <w:rFonts w:ascii="Calibri" w:hAnsi="Calibri" w:cs="Calibri"/>
          <w:noProof/>
          <w:szCs w:val="24"/>
        </w:rPr>
        <w:t xml:space="preserve">29 </w:t>
      </w:r>
      <w:r w:rsidRPr="00573DFB">
        <w:rPr>
          <w:rFonts w:ascii="Calibri" w:hAnsi="Calibri" w:cs="Calibri"/>
          <w:noProof/>
          <w:szCs w:val="24"/>
        </w:rPr>
        <w:tab/>
        <w:t xml:space="preserve">Morgan SE, Stephenson MT, Harrison TR, </w:t>
      </w:r>
      <w:r w:rsidRPr="00573DFB">
        <w:rPr>
          <w:rFonts w:ascii="Calibri" w:hAnsi="Calibri" w:cs="Calibri"/>
          <w:i/>
          <w:iCs/>
          <w:noProof/>
          <w:szCs w:val="24"/>
        </w:rPr>
        <w:t>et al.</w:t>
      </w:r>
      <w:r w:rsidRPr="00573DFB">
        <w:rPr>
          <w:rFonts w:ascii="Calibri" w:hAnsi="Calibri" w:cs="Calibri"/>
          <w:noProof/>
          <w:szCs w:val="24"/>
        </w:rPr>
        <w:t xml:space="preserve"> Facts versus `Feelings’. </w:t>
      </w:r>
      <w:r w:rsidRPr="00573DFB">
        <w:rPr>
          <w:rFonts w:ascii="Calibri" w:hAnsi="Calibri" w:cs="Calibri"/>
          <w:i/>
          <w:iCs/>
          <w:noProof/>
          <w:szCs w:val="24"/>
        </w:rPr>
        <w:t>J Health Psychol</w:t>
      </w:r>
      <w:r w:rsidRPr="00573DFB">
        <w:rPr>
          <w:rFonts w:ascii="Calibri" w:hAnsi="Calibri" w:cs="Calibri"/>
          <w:noProof/>
          <w:szCs w:val="24"/>
        </w:rPr>
        <w:t xml:space="preserve"> 2008;</w:t>
      </w:r>
      <w:r w:rsidRPr="00573DFB">
        <w:rPr>
          <w:rFonts w:ascii="Calibri" w:hAnsi="Calibri" w:cs="Calibri"/>
          <w:b/>
          <w:bCs/>
          <w:noProof/>
          <w:szCs w:val="24"/>
        </w:rPr>
        <w:t>13</w:t>
      </w:r>
      <w:r w:rsidRPr="00573DFB">
        <w:rPr>
          <w:rFonts w:ascii="Calibri" w:hAnsi="Calibri" w:cs="Calibri"/>
          <w:noProof/>
          <w:szCs w:val="24"/>
        </w:rPr>
        <w:t>:644–58. doi:10.1177/1359105308090936</w:t>
      </w:r>
    </w:p>
    <w:p w14:paraId="641BD928" w14:textId="77777777" w:rsidR="00573DFB" w:rsidRPr="00573DFB" w:rsidRDefault="00573DFB" w:rsidP="00573DFB">
      <w:pPr>
        <w:widowControl w:val="0"/>
        <w:autoSpaceDE w:val="0"/>
        <w:autoSpaceDN w:val="0"/>
        <w:adjustRightInd w:val="0"/>
        <w:spacing w:line="240" w:lineRule="auto"/>
        <w:ind w:left="640" w:hanging="640"/>
        <w:rPr>
          <w:rFonts w:ascii="Calibri" w:hAnsi="Calibri" w:cs="Calibri"/>
          <w:noProof/>
          <w:szCs w:val="24"/>
        </w:rPr>
      </w:pPr>
      <w:r w:rsidRPr="00573DFB">
        <w:rPr>
          <w:rFonts w:ascii="Calibri" w:hAnsi="Calibri" w:cs="Calibri"/>
          <w:noProof/>
          <w:szCs w:val="24"/>
        </w:rPr>
        <w:t xml:space="preserve">30 </w:t>
      </w:r>
      <w:r w:rsidRPr="00573DFB">
        <w:rPr>
          <w:rFonts w:ascii="Calibri" w:hAnsi="Calibri" w:cs="Calibri"/>
          <w:noProof/>
          <w:szCs w:val="24"/>
        </w:rPr>
        <w:tab/>
        <w:t>Sque M, Long T, Payne S. Organ and tissue donation: exploring the needs of families. Final report of a three-year study commissioned by the British Organ Donor Society, funded by the National Lottery Community Fund. University of Southampton 2003. http://users.argonet.co.uk/body/Report.html</w:t>
      </w:r>
    </w:p>
    <w:p w14:paraId="1B66B6F7" w14:textId="77777777" w:rsidR="00573DFB" w:rsidRPr="00573DFB" w:rsidRDefault="00573DFB" w:rsidP="00573DFB">
      <w:pPr>
        <w:widowControl w:val="0"/>
        <w:autoSpaceDE w:val="0"/>
        <w:autoSpaceDN w:val="0"/>
        <w:adjustRightInd w:val="0"/>
        <w:spacing w:line="240" w:lineRule="auto"/>
        <w:ind w:left="640" w:hanging="640"/>
        <w:rPr>
          <w:rFonts w:ascii="Calibri" w:hAnsi="Calibri" w:cs="Calibri"/>
          <w:noProof/>
          <w:szCs w:val="24"/>
        </w:rPr>
      </w:pPr>
      <w:r w:rsidRPr="00573DFB">
        <w:rPr>
          <w:rFonts w:ascii="Calibri" w:hAnsi="Calibri" w:cs="Calibri"/>
          <w:noProof/>
          <w:szCs w:val="24"/>
        </w:rPr>
        <w:t xml:space="preserve">31 </w:t>
      </w:r>
      <w:r w:rsidRPr="00573DFB">
        <w:rPr>
          <w:rFonts w:ascii="Calibri" w:hAnsi="Calibri" w:cs="Calibri"/>
          <w:noProof/>
          <w:szCs w:val="24"/>
        </w:rPr>
        <w:tab/>
        <w:t xml:space="preserve">Sque M, Long T, Payne S. Organ donation: Key factors influencing families’ decision-making. </w:t>
      </w:r>
      <w:r w:rsidRPr="00573DFB">
        <w:rPr>
          <w:rFonts w:ascii="Calibri" w:hAnsi="Calibri" w:cs="Calibri"/>
          <w:i/>
          <w:iCs/>
          <w:noProof/>
          <w:szCs w:val="24"/>
        </w:rPr>
        <w:t>Transplant Proc</w:t>
      </w:r>
      <w:r w:rsidRPr="00573DFB">
        <w:rPr>
          <w:rFonts w:ascii="Calibri" w:hAnsi="Calibri" w:cs="Calibri"/>
          <w:noProof/>
          <w:szCs w:val="24"/>
        </w:rPr>
        <w:t xml:space="preserve"> 2005;</w:t>
      </w:r>
      <w:r w:rsidRPr="00573DFB">
        <w:rPr>
          <w:rFonts w:ascii="Calibri" w:hAnsi="Calibri" w:cs="Calibri"/>
          <w:b/>
          <w:bCs/>
          <w:noProof/>
          <w:szCs w:val="24"/>
        </w:rPr>
        <w:t>37</w:t>
      </w:r>
      <w:r w:rsidRPr="00573DFB">
        <w:rPr>
          <w:rFonts w:ascii="Calibri" w:hAnsi="Calibri" w:cs="Calibri"/>
          <w:noProof/>
          <w:szCs w:val="24"/>
        </w:rPr>
        <w:t>:543–6. doi:10.1016/j.transproceed.2004.11.038</w:t>
      </w:r>
    </w:p>
    <w:p w14:paraId="4E85D6A1" w14:textId="77777777" w:rsidR="00573DFB" w:rsidRPr="00573DFB" w:rsidRDefault="00573DFB" w:rsidP="00573DFB">
      <w:pPr>
        <w:widowControl w:val="0"/>
        <w:autoSpaceDE w:val="0"/>
        <w:autoSpaceDN w:val="0"/>
        <w:adjustRightInd w:val="0"/>
        <w:spacing w:line="240" w:lineRule="auto"/>
        <w:ind w:left="640" w:hanging="640"/>
        <w:rPr>
          <w:rFonts w:ascii="Calibri" w:hAnsi="Calibri" w:cs="Calibri"/>
          <w:noProof/>
          <w:szCs w:val="24"/>
        </w:rPr>
      </w:pPr>
      <w:r w:rsidRPr="00573DFB">
        <w:rPr>
          <w:rFonts w:ascii="Calibri" w:hAnsi="Calibri" w:cs="Calibri"/>
          <w:noProof/>
          <w:szCs w:val="24"/>
        </w:rPr>
        <w:t xml:space="preserve">32 </w:t>
      </w:r>
      <w:r w:rsidRPr="00573DFB">
        <w:rPr>
          <w:rFonts w:ascii="Calibri" w:hAnsi="Calibri" w:cs="Calibri"/>
          <w:noProof/>
          <w:szCs w:val="24"/>
        </w:rPr>
        <w:tab/>
        <w:t>Lawlor M, Kerridge I. Anything but the eyes: Culture, identity, and the selective refusal of corneal donation. Transplantation. 2011;</w:t>
      </w:r>
      <w:r w:rsidRPr="00573DFB">
        <w:rPr>
          <w:rFonts w:ascii="Calibri" w:hAnsi="Calibri" w:cs="Calibri"/>
          <w:b/>
          <w:bCs/>
          <w:noProof/>
          <w:szCs w:val="24"/>
        </w:rPr>
        <w:t>92</w:t>
      </w:r>
      <w:r w:rsidRPr="00573DFB">
        <w:rPr>
          <w:rFonts w:ascii="Calibri" w:hAnsi="Calibri" w:cs="Calibri"/>
          <w:noProof/>
          <w:szCs w:val="24"/>
        </w:rPr>
        <w:t>:1188–90. doi:10.1097/TP.0b013e318235c817</w:t>
      </w:r>
    </w:p>
    <w:p w14:paraId="7F87C177" w14:textId="77777777" w:rsidR="00573DFB" w:rsidRPr="00573DFB" w:rsidRDefault="00573DFB" w:rsidP="00573DFB">
      <w:pPr>
        <w:widowControl w:val="0"/>
        <w:autoSpaceDE w:val="0"/>
        <w:autoSpaceDN w:val="0"/>
        <w:adjustRightInd w:val="0"/>
        <w:spacing w:line="240" w:lineRule="auto"/>
        <w:ind w:left="640" w:hanging="640"/>
        <w:rPr>
          <w:rFonts w:ascii="Calibri" w:hAnsi="Calibri" w:cs="Calibri"/>
          <w:noProof/>
          <w:szCs w:val="24"/>
        </w:rPr>
      </w:pPr>
      <w:r w:rsidRPr="00573DFB">
        <w:rPr>
          <w:rFonts w:ascii="Calibri" w:hAnsi="Calibri" w:cs="Calibri"/>
          <w:noProof/>
          <w:szCs w:val="24"/>
        </w:rPr>
        <w:t xml:space="preserve">33 </w:t>
      </w:r>
      <w:r w:rsidRPr="00573DFB">
        <w:rPr>
          <w:rFonts w:ascii="Calibri" w:hAnsi="Calibri" w:cs="Calibri"/>
          <w:noProof/>
          <w:szCs w:val="24"/>
        </w:rPr>
        <w:tab/>
        <w:t xml:space="preserve">Tandon R, Verma K, Vanathi M, </w:t>
      </w:r>
      <w:r w:rsidRPr="00573DFB">
        <w:rPr>
          <w:rFonts w:ascii="Calibri" w:hAnsi="Calibri" w:cs="Calibri"/>
          <w:i/>
          <w:iCs/>
          <w:noProof/>
          <w:szCs w:val="24"/>
        </w:rPr>
        <w:t>et al.</w:t>
      </w:r>
      <w:r w:rsidRPr="00573DFB">
        <w:rPr>
          <w:rFonts w:ascii="Calibri" w:hAnsi="Calibri" w:cs="Calibri"/>
          <w:noProof/>
          <w:szCs w:val="24"/>
        </w:rPr>
        <w:t xml:space="preserve"> Factors affecting eye donation from postmortem cases in a tertiary care hospital. </w:t>
      </w:r>
      <w:r w:rsidRPr="00573DFB">
        <w:rPr>
          <w:rFonts w:ascii="Calibri" w:hAnsi="Calibri" w:cs="Calibri"/>
          <w:i/>
          <w:iCs/>
          <w:noProof/>
          <w:szCs w:val="24"/>
        </w:rPr>
        <w:t>Cornea</w:t>
      </w:r>
      <w:r w:rsidRPr="00573DFB">
        <w:rPr>
          <w:rFonts w:ascii="Calibri" w:hAnsi="Calibri" w:cs="Calibri"/>
          <w:noProof/>
          <w:szCs w:val="24"/>
        </w:rPr>
        <w:t xml:space="preserve"> 2004;</w:t>
      </w:r>
      <w:r w:rsidRPr="00573DFB">
        <w:rPr>
          <w:rFonts w:ascii="Calibri" w:hAnsi="Calibri" w:cs="Calibri"/>
          <w:b/>
          <w:bCs/>
          <w:noProof/>
          <w:szCs w:val="24"/>
        </w:rPr>
        <w:t>23</w:t>
      </w:r>
      <w:r w:rsidRPr="00573DFB">
        <w:rPr>
          <w:rFonts w:ascii="Calibri" w:hAnsi="Calibri" w:cs="Calibri"/>
          <w:noProof/>
          <w:szCs w:val="24"/>
        </w:rPr>
        <w:t>:597–601. doi:10.1097/01.ico.0000121706.58571.f6</w:t>
      </w:r>
    </w:p>
    <w:p w14:paraId="1615F06A" w14:textId="77777777" w:rsidR="00573DFB" w:rsidRPr="00573DFB" w:rsidRDefault="00573DFB" w:rsidP="00573DFB">
      <w:pPr>
        <w:widowControl w:val="0"/>
        <w:autoSpaceDE w:val="0"/>
        <w:autoSpaceDN w:val="0"/>
        <w:adjustRightInd w:val="0"/>
        <w:spacing w:line="240" w:lineRule="auto"/>
        <w:ind w:left="640" w:hanging="640"/>
        <w:rPr>
          <w:rFonts w:ascii="Calibri" w:hAnsi="Calibri" w:cs="Calibri"/>
          <w:noProof/>
          <w:szCs w:val="24"/>
        </w:rPr>
      </w:pPr>
      <w:r w:rsidRPr="00573DFB">
        <w:rPr>
          <w:rFonts w:ascii="Calibri" w:hAnsi="Calibri" w:cs="Calibri"/>
          <w:noProof/>
          <w:szCs w:val="24"/>
        </w:rPr>
        <w:t xml:space="preserve">34 </w:t>
      </w:r>
      <w:r w:rsidRPr="00573DFB">
        <w:rPr>
          <w:rFonts w:ascii="Calibri" w:hAnsi="Calibri" w:cs="Calibri"/>
          <w:noProof/>
          <w:szCs w:val="24"/>
        </w:rPr>
        <w:tab/>
        <w:t xml:space="preserve">Morgan S, Miller J, Arasaratnam L. Signing cards, saving lives: an evaluation of the worksite organ donation promotion project. </w:t>
      </w:r>
      <w:r w:rsidRPr="00573DFB">
        <w:rPr>
          <w:rFonts w:ascii="Calibri" w:hAnsi="Calibri" w:cs="Calibri"/>
          <w:i/>
          <w:iCs/>
          <w:noProof/>
          <w:szCs w:val="24"/>
        </w:rPr>
        <w:t>Commun Monogr</w:t>
      </w:r>
      <w:r w:rsidRPr="00573DFB">
        <w:rPr>
          <w:rFonts w:ascii="Calibri" w:hAnsi="Calibri" w:cs="Calibri"/>
          <w:noProof/>
          <w:szCs w:val="24"/>
        </w:rPr>
        <w:t xml:space="preserve"> 2002;</w:t>
      </w:r>
      <w:r w:rsidRPr="00573DFB">
        <w:rPr>
          <w:rFonts w:ascii="Calibri" w:hAnsi="Calibri" w:cs="Calibri"/>
          <w:b/>
          <w:bCs/>
          <w:noProof/>
          <w:szCs w:val="24"/>
        </w:rPr>
        <w:t>69</w:t>
      </w:r>
      <w:r w:rsidRPr="00573DFB">
        <w:rPr>
          <w:rFonts w:ascii="Calibri" w:hAnsi="Calibri" w:cs="Calibri"/>
          <w:noProof/>
          <w:szCs w:val="24"/>
        </w:rPr>
        <w:t>:253–73. doi:10.1080/03637750216540</w:t>
      </w:r>
    </w:p>
    <w:p w14:paraId="62B4C17C" w14:textId="77777777" w:rsidR="00573DFB" w:rsidRPr="00573DFB" w:rsidRDefault="00573DFB" w:rsidP="00573DFB">
      <w:pPr>
        <w:widowControl w:val="0"/>
        <w:autoSpaceDE w:val="0"/>
        <w:autoSpaceDN w:val="0"/>
        <w:adjustRightInd w:val="0"/>
        <w:spacing w:line="240" w:lineRule="auto"/>
        <w:ind w:left="640" w:hanging="640"/>
        <w:rPr>
          <w:rFonts w:ascii="Calibri" w:hAnsi="Calibri" w:cs="Calibri"/>
          <w:noProof/>
          <w:szCs w:val="24"/>
        </w:rPr>
      </w:pPr>
      <w:r w:rsidRPr="00573DFB">
        <w:rPr>
          <w:rFonts w:ascii="Calibri" w:hAnsi="Calibri" w:cs="Calibri"/>
          <w:noProof/>
          <w:szCs w:val="24"/>
        </w:rPr>
        <w:t xml:space="preserve">35 </w:t>
      </w:r>
      <w:r w:rsidRPr="00573DFB">
        <w:rPr>
          <w:rFonts w:ascii="Calibri" w:hAnsi="Calibri" w:cs="Calibri"/>
          <w:noProof/>
          <w:szCs w:val="24"/>
        </w:rPr>
        <w:tab/>
        <w:t xml:space="preserve">Parisi N, Katz I. Attitudes toward posthumous organ donation and commitment to donate. </w:t>
      </w:r>
      <w:r w:rsidRPr="00573DFB">
        <w:rPr>
          <w:rFonts w:ascii="Calibri" w:hAnsi="Calibri" w:cs="Calibri"/>
          <w:i/>
          <w:iCs/>
          <w:noProof/>
          <w:szCs w:val="24"/>
        </w:rPr>
        <w:t>Heal Psychol</w:t>
      </w:r>
      <w:r w:rsidRPr="00573DFB">
        <w:rPr>
          <w:rFonts w:ascii="Calibri" w:hAnsi="Calibri" w:cs="Calibri"/>
          <w:noProof/>
          <w:szCs w:val="24"/>
        </w:rPr>
        <w:t xml:space="preserve"> 1986;</w:t>
      </w:r>
      <w:r w:rsidRPr="00573DFB">
        <w:rPr>
          <w:rFonts w:ascii="Calibri" w:hAnsi="Calibri" w:cs="Calibri"/>
          <w:b/>
          <w:bCs/>
          <w:noProof/>
          <w:szCs w:val="24"/>
        </w:rPr>
        <w:t>5</w:t>
      </w:r>
      <w:r w:rsidRPr="00573DFB">
        <w:rPr>
          <w:rFonts w:ascii="Calibri" w:hAnsi="Calibri" w:cs="Calibri"/>
          <w:noProof/>
          <w:szCs w:val="24"/>
        </w:rPr>
        <w:t>:565–80. doi:10.1037//0278-6133.5.6.565</w:t>
      </w:r>
    </w:p>
    <w:p w14:paraId="4B6FADFA" w14:textId="77777777" w:rsidR="00573DFB" w:rsidRPr="00573DFB" w:rsidRDefault="00573DFB" w:rsidP="00573DFB">
      <w:pPr>
        <w:widowControl w:val="0"/>
        <w:autoSpaceDE w:val="0"/>
        <w:autoSpaceDN w:val="0"/>
        <w:adjustRightInd w:val="0"/>
        <w:spacing w:line="240" w:lineRule="auto"/>
        <w:ind w:left="640" w:hanging="640"/>
        <w:rPr>
          <w:rFonts w:ascii="Calibri" w:hAnsi="Calibri" w:cs="Calibri"/>
          <w:noProof/>
          <w:szCs w:val="24"/>
        </w:rPr>
      </w:pPr>
      <w:r w:rsidRPr="00573DFB">
        <w:rPr>
          <w:rFonts w:ascii="Calibri" w:hAnsi="Calibri" w:cs="Calibri"/>
          <w:noProof/>
          <w:szCs w:val="24"/>
        </w:rPr>
        <w:t xml:space="preserve">36 </w:t>
      </w:r>
      <w:r w:rsidRPr="00573DFB">
        <w:rPr>
          <w:rFonts w:ascii="Calibri" w:hAnsi="Calibri" w:cs="Calibri"/>
          <w:noProof/>
          <w:szCs w:val="24"/>
        </w:rPr>
        <w:tab/>
        <w:t xml:space="preserve">Sherman NC, Smith RJ, Sherman MF, </w:t>
      </w:r>
      <w:r w:rsidRPr="00573DFB">
        <w:rPr>
          <w:rFonts w:ascii="Calibri" w:hAnsi="Calibri" w:cs="Calibri"/>
          <w:i/>
          <w:iCs/>
          <w:noProof/>
          <w:szCs w:val="24"/>
        </w:rPr>
        <w:t>et al.</w:t>
      </w:r>
      <w:r w:rsidRPr="00573DFB">
        <w:rPr>
          <w:rFonts w:ascii="Calibri" w:hAnsi="Calibri" w:cs="Calibri"/>
          <w:noProof/>
          <w:szCs w:val="24"/>
        </w:rPr>
        <w:t xml:space="preserve"> Disgust Sensitivity and Attitudes toward Organ Donation among African-American College Students. </w:t>
      </w:r>
      <w:r w:rsidRPr="00573DFB">
        <w:rPr>
          <w:rFonts w:ascii="Calibri" w:hAnsi="Calibri" w:cs="Calibri"/>
          <w:i/>
          <w:iCs/>
          <w:noProof/>
          <w:szCs w:val="24"/>
        </w:rPr>
        <w:t>Psychol Rep</w:t>
      </w:r>
      <w:r w:rsidRPr="00573DFB">
        <w:rPr>
          <w:rFonts w:ascii="Calibri" w:hAnsi="Calibri" w:cs="Calibri"/>
          <w:noProof/>
          <w:szCs w:val="24"/>
        </w:rPr>
        <w:t xml:space="preserve"> 2001;</w:t>
      </w:r>
      <w:r w:rsidRPr="00573DFB">
        <w:rPr>
          <w:rFonts w:ascii="Calibri" w:hAnsi="Calibri" w:cs="Calibri"/>
          <w:b/>
          <w:bCs/>
          <w:noProof/>
          <w:szCs w:val="24"/>
        </w:rPr>
        <w:t>89</w:t>
      </w:r>
      <w:r w:rsidRPr="00573DFB">
        <w:rPr>
          <w:rFonts w:ascii="Calibri" w:hAnsi="Calibri" w:cs="Calibri"/>
          <w:noProof/>
          <w:szCs w:val="24"/>
        </w:rPr>
        <w:t>:11–23. doi:10.2466/pr0.2001.89.1.11</w:t>
      </w:r>
    </w:p>
    <w:p w14:paraId="16723A4C" w14:textId="77777777" w:rsidR="00573DFB" w:rsidRPr="00573DFB" w:rsidRDefault="00573DFB" w:rsidP="00573DFB">
      <w:pPr>
        <w:widowControl w:val="0"/>
        <w:autoSpaceDE w:val="0"/>
        <w:autoSpaceDN w:val="0"/>
        <w:adjustRightInd w:val="0"/>
        <w:spacing w:line="240" w:lineRule="auto"/>
        <w:ind w:left="640" w:hanging="640"/>
        <w:rPr>
          <w:rFonts w:ascii="Calibri" w:hAnsi="Calibri" w:cs="Calibri"/>
          <w:noProof/>
          <w:szCs w:val="24"/>
        </w:rPr>
      </w:pPr>
      <w:r w:rsidRPr="00573DFB">
        <w:rPr>
          <w:rFonts w:ascii="Calibri" w:hAnsi="Calibri" w:cs="Calibri"/>
          <w:noProof/>
          <w:szCs w:val="24"/>
        </w:rPr>
        <w:t xml:space="preserve">37 </w:t>
      </w:r>
      <w:r w:rsidRPr="00573DFB">
        <w:rPr>
          <w:rFonts w:ascii="Calibri" w:hAnsi="Calibri" w:cs="Calibri"/>
          <w:noProof/>
          <w:szCs w:val="24"/>
        </w:rPr>
        <w:tab/>
        <w:t xml:space="preserve">Hessing DJ, Elffers H. Attitude toward Death, Fear of Being Declared Dead Too Soon, and Donation of Organs after Death. </w:t>
      </w:r>
      <w:r w:rsidRPr="00573DFB">
        <w:rPr>
          <w:rFonts w:ascii="Calibri" w:hAnsi="Calibri" w:cs="Calibri"/>
          <w:i/>
          <w:iCs/>
          <w:noProof/>
          <w:szCs w:val="24"/>
        </w:rPr>
        <w:t>OMEGA - J Death Dying</w:t>
      </w:r>
      <w:r w:rsidRPr="00573DFB">
        <w:rPr>
          <w:rFonts w:ascii="Calibri" w:hAnsi="Calibri" w:cs="Calibri"/>
          <w:noProof/>
          <w:szCs w:val="24"/>
        </w:rPr>
        <w:t xml:space="preserve"> 1987;</w:t>
      </w:r>
      <w:r w:rsidRPr="00573DFB">
        <w:rPr>
          <w:rFonts w:ascii="Calibri" w:hAnsi="Calibri" w:cs="Calibri"/>
          <w:b/>
          <w:bCs/>
          <w:noProof/>
          <w:szCs w:val="24"/>
        </w:rPr>
        <w:t>17</w:t>
      </w:r>
      <w:r w:rsidRPr="00573DFB">
        <w:rPr>
          <w:rFonts w:ascii="Calibri" w:hAnsi="Calibri" w:cs="Calibri"/>
          <w:noProof/>
          <w:szCs w:val="24"/>
        </w:rPr>
        <w:t>:115–26. doi:10.2190/5NB6-DJDW-B68G-6T56</w:t>
      </w:r>
    </w:p>
    <w:p w14:paraId="37332D5B" w14:textId="77777777" w:rsidR="00573DFB" w:rsidRPr="00573DFB" w:rsidRDefault="00573DFB" w:rsidP="00573DFB">
      <w:pPr>
        <w:widowControl w:val="0"/>
        <w:autoSpaceDE w:val="0"/>
        <w:autoSpaceDN w:val="0"/>
        <w:adjustRightInd w:val="0"/>
        <w:spacing w:line="240" w:lineRule="auto"/>
        <w:ind w:left="640" w:hanging="640"/>
        <w:rPr>
          <w:rFonts w:ascii="Calibri" w:hAnsi="Calibri" w:cs="Calibri"/>
          <w:noProof/>
          <w:szCs w:val="24"/>
        </w:rPr>
      </w:pPr>
      <w:r w:rsidRPr="00573DFB">
        <w:rPr>
          <w:rFonts w:ascii="Calibri" w:hAnsi="Calibri" w:cs="Calibri"/>
          <w:noProof/>
          <w:szCs w:val="24"/>
        </w:rPr>
        <w:t xml:space="preserve">38 </w:t>
      </w:r>
      <w:r w:rsidRPr="00573DFB">
        <w:rPr>
          <w:rFonts w:ascii="Calibri" w:hAnsi="Calibri" w:cs="Calibri"/>
          <w:noProof/>
          <w:szCs w:val="24"/>
        </w:rPr>
        <w:tab/>
        <w:t xml:space="preserve">Wells J, Sque M. ‘Living choice’: the commitment to tissue donation in palliative care. </w:t>
      </w:r>
      <w:r w:rsidRPr="00573DFB">
        <w:rPr>
          <w:rFonts w:ascii="Calibri" w:hAnsi="Calibri" w:cs="Calibri"/>
          <w:i/>
          <w:iCs/>
          <w:noProof/>
          <w:szCs w:val="24"/>
        </w:rPr>
        <w:t>Int J Palliat Nurs</w:t>
      </w:r>
      <w:r w:rsidRPr="00573DFB">
        <w:rPr>
          <w:rFonts w:ascii="Calibri" w:hAnsi="Calibri" w:cs="Calibri"/>
          <w:noProof/>
          <w:szCs w:val="24"/>
        </w:rPr>
        <w:t xml:space="preserve"> 2002;</w:t>
      </w:r>
      <w:r w:rsidRPr="00573DFB">
        <w:rPr>
          <w:rFonts w:ascii="Calibri" w:hAnsi="Calibri" w:cs="Calibri"/>
          <w:b/>
          <w:bCs/>
          <w:noProof/>
          <w:szCs w:val="24"/>
        </w:rPr>
        <w:t>8</w:t>
      </w:r>
      <w:r w:rsidRPr="00573DFB">
        <w:rPr>
          <w:rFonts w:ascii="Calibri" w:hAnsi="Calibri" w:cs="Calibri"/>
          <w:noProof/>
          <w:szCs w:val="24"/>
        </w:rPr>
        <w:t>:22–7. doi:10.12968/ijpn.2002.8.1.10231</w:t>
      </w:r>
    </w:p>
    <w:p w14:paraId="415FDB4B" w14:textId="77777777" w:rsidR="00573DFB" w:rsidRPr="00573DFB" w:rsidRDefault="00573DFB" w:rsidP="00573DFB">
      <w:pPr>
        <w:widowControl w:val="0"/>
        <w:autoSpaceDE w:val="0"/>
        <w:autoSpaceDN w:val="0"/>
        <w:adjustRightInd w:val="0"/>
        <w:spacing w:line="240" w:lineRule="auto"/>
        <w:ind w:left="640" w:hanging="640"/>
        <w:rPr>
          <w:rFonts w:ascii="Calibri" w:hAnsi="Calibri" w:cs="Calibri"/>
          <w:noProof/>
          <w:szCs w:val="24"/>
        </w:rPr>
      </w:pPr>
      <w:r w:rsidRPr="00573DFB">
        <w:rPr>
          <w:rFonts w:ascii="Calibri" w:hAnsi="Calibri" w:cs="Calibri"/>
          <w:noProof/>
          <w:szCs w:val="24"/>
        </w:rPr>
        <w:t xml:space="preserve">39 </w:t>
      </w:r>
      <w:r w:rsidRPr="00573DFB">
        <w:rPr>
          <w:rFonts w:ascii="Calibri" w:hAnsi="Calibri" w:cs="Calibri"/>
          <w:noProof/>
          <w:szCs w:val="24"/>
        </w:rPr>
        <w:tab/>
        <w:t xml:space="preserve">M. DW, Reber AS. </w:t>
      </w:r>
      <w:r w:rsidRPr="00573DFB">
        <w:rPr>
          <w:rFonts w:ascii="Calibri" w:hAnsi="Calibri" w:cs="Calibri"/>
          <w:i/>
          <w:iCs/>
          <w:noProof/>
          <w:szCs w:val="24"/>
        </w:rPr>
        <w:t>The Penguin Dictionary of Psychology</w:t>
      </w:r>
      <w:r w:rsidRPr="00573DFB">
        <w:rPr>
          <w:rFonts w:ascii="Calibri" w:hAnsi="Calibri" w:cs="Calibri"/>
          <w:noProof/>
          <w:szCs w:val="24"/>
        </w:rPr>
        <w:t>. 1986. doi:10.2307/1422298</w:t>
      </w:r>
    </w:p>
    <w:p w14:paraId="156CA0EB" w14:textId="77777777" w:rsidR="00573DFB" w:rsidRPr="00573DFB" w:rsidRDefault="00573DFB" w:rsidP="00573DFB">
      <w:pPr>
        <w:widowControl w:val="0"/>
        <w:autoSpaceDE w:val="0"/>
        <w:autoSpaceDN w:val="0"/>
        <w:adjustRightInd w:val="0"/>
        <w:spacing w:line="240" w:lineRule="auto"/>
        <w:ind w:left="640" w:hanging="640"/>
        <w:rPr>
          <w:rFonts w:ascii="Calibri" w:hAnsi="Calibri" w:cs="Calibri"/>
          <w:noProof/>
          <w:szCs w:val="24"/>
        </w:rPr>
      </w:pPr>
      <w:r w:rsidRPr="00573DFB">
        <w:rPr>
          <w:rFonts w:ascii="Calibri" w:hAnsi="Calibri" w:cs="Calibri"/>
          <w:noProof/>
          <w:szCs w:val="24"/>
        </w:rPr>
        <w:t xml:space="preserve">40 </w:t>
      </w:r>
      <w:r w:rsidRPr="00573DFB">
        <w:rPr>
          <w:rFonts w:ascii="Calibri" w:hAnsi="Calibri" w:cs="Calibri"/>
          <w:noProof/>
          <w:szCs w:val="24"/>
        </w:rPr>
        <w:tab/>
        <w:t>Gift of Sight. Gift of Sight. 2020.https://www.giftofsight.org.uk/ (accessed 7 Jul 2020).</w:t>
      </w:r>
    </w:p>
    <w:p w14:paraId="03661497" w14:textId="77777777" w:rsidR="00573DFB" w:rsidRPr="00573DFB" w:rsidRDefault="00573DFB" w:rsidP="00573DFB">
      <w:pPr>
        <w:widowControl w:val="0"/>
        <w:autoSpaceDE w:val="0"/>
        <w:autoSpaceDN w:val="0"/>
        <w:adjustRightInd w:val="0"/>
        <w:spacing w:line="240" w:lineRule="auto"/>
        <w:ind w:left="640" w:hanging="640"/>
        <w:rPr>
          <w:rFonts w:ascii="Calibri" w:hAnsi="Calibri" w:cs="Calibri"/>
          <w:noProof/>
          <w:szCs w:val="24"/>
        </w:rPr>
      </w:pPr>
      <w:r w:rsidRPr="00573DFB">
        <w:rPr>
          <w:rFonts w:ascii="Calibri" w:hAnsi="Calibri" w:cs="Calibri"/>
          <w:noProof/>
          <w:szCs w:val="24"/>
        </w:rPr>
        <w:t xml:space="preserve">41 </w:t>
      </w:r>
      <w:r w:rsidRPr="00573DFB">
        <w:rPr>
          <w:rFonts w:ascii="Calibri" w:hAnsi="Calibri" w:cs="Calibri"/>
          <w:noProof/>
          <w:szCs w:val="24"/>
        </w:rPr>
        <w:tab/>
        <w:t xml:space="preserve">Kellehear A. Dying as a social relationship: A sociological review of debates on the determination of death. </w:t>
      </w:r>
      <w:r w:rsidRPr="00573DFB">
        <w:rPr>
          <w:rFonts w:ascii="Calibri" w:hAnsi="Calibri" w:cs="Calibri"/>
          <w:i/>
          <w:iCs/>
          <w:noProof/>
          <w:szCs w:val="24"/>
        </w:rPr>
        <w:t>Soc Sci Med</w:t>
      </w:r>
      <w:r w:rsidRPr="00573DFB">
        <w:rPr>
          <w:rFonts w:ascii="Calibri" w:hAnsi="Calibri" w:cs="Calibri"/>
          <w:noProof/>
          <w:szCs w:val="24"/>
        </w:rPr>
        <w:t xml:space="preserve"> 2008;</w:t>
      </w:r>
      <w:r w:rsidRPr="00573DFB">
        <w:rPr>
          <w:rFonts w:ascii="Calibri" w:hAnsi="Calibri" w:cs="Calibri"/>
          <w:b/>
          <w:bCs/>
          <w:noProof/>
          <w:szCs w:val="24"/>
        </w:rPr>
        <w:t>66</w:t>
      </w:r>
      <w:r w:rsidRPr="00573DFB">
        <w:rPr>
          <w:rFonts w:ascii="Calibri" w:hAnsi="Calibri" w:cs="Calibri"/>
          <w:noProof/>
          <w:szCs w:val="24"/>
        </w:rPr>
        <w:t>:1533–44. doi:10.1016/j.socscimed.2007.12.023</w:t>
      </w:r>
    </w:p>
    <w:p w14:paraId="7E30A7B0" w14:textId="77777777" w:rsidR="00573DFB" w:rsidRPr="00573DFB" w:rsidRDefault="00573DFB" w:rsidP="00573DFB">
      <w:pPr>
        <w:widowControl w:val="0"/>
        <w:autoSpaceDE w:val="0"/>
        <w:autoSpaceDN w:val="0"/>
        <w:adjustRightInd w:val="0"/>
        <w:spacing w:line="240" w:lineRule="auto"/>
        <w:ind w:left="640" w:hanging="640"/>
        <w:rPr>
          <w:rFonts w:ascii="Calibri" w:hAnsi="Calibri" w:cs="Calibri"/>
          <w:noProof/>
          <w:szCs w:val="24"/>
        </w:rPr>
      </w:pPr>
      <w:r w:rsidRPr="00573DFB">
        <w:rPr>
          <w:rFonts w:ascii="Calibri" w:hAnsi="Calibri" w:cs="Calibri"/>
          <w:noProof/>
          <w:szCs w:val="24"/>
        </w:rPr>
        <w:t xml:space="preserve">42 </w:t>
      </w:r>
      <w:r w:rsidRPr="00573DFB">
        <w:rPr>
          <w:rFonts w:ascii="Calibri" w:hAnsi="Calibri" w:cs="Calibri"/>
          <w:noProof/>
          <w:szCs w:val="24"/>
        </w:rPr>
        <w:tab/>
        <w:t>NHSBT. Giving the gift of sight. 2020.https://www.blood.co.uk/news-and-campaigns/the-donor-magazine-autumn-2017/giving-the-gift-of-sight/ (accessed 12 Jan 2021).</w:t>
      </w:r>
    </w:p>
    <w:p w14:paraId="2B9E0C0A" w14:textId="77777777" w:rsidR="00573DFB" w:rsidRPr="00573DFB" w:rsidRDefault="00573DFB" w:rsidP="00573DFB">
      <w:pPr>
        <w:widowControl w:val="0"/>
        <w:autoSpaceDE w:val="0"/>
        <w:autoSpaceDN w:val="0"/>
        <w:adjustRightInd w:val="0"/>
        <w:spacing w:line="240" w:lineRule="auto"/>
        <w:ind w:left="640" w:hanging="640"/>
        <w:rPr>
          <w:rFonts w:ascii="Calibri" w:hAnsi="Calibri" w:cs="Calibri"/>
          <w:noProof/>
          <w:szCs w:val="24"/>
        </w:rPr>
      </w:pPr>
      <w:r w:rsidRPr="00573DFB">
        <w:rPr>
          <w:rFonts w:ascii="Calibri" w:hAnsi="Calibri" w:cs="Calibri"/>
          <w:noProof/>
          <w:szCs w:val="24"/>
        </w:rPr>
        <w:t xml:space="preserve">43 </w:t>
      </w:r>
      <w:r w:rsidRPr="00573DFB">
        <w:rPr>
          <w:rFonts w:ascii="Calibri" w:hAnsi="Calibri" w:cs="Calibri"/>
          <w:noProof/>
          <w:szCs w:val="24"/>
        </w:rPr>
        <w:tab/>
        <w:t>NHSBT. Organ donation graphics - Download and share our graphics to promote organ donation. 2020.https://www.nhsbt.nhs.uk/how-you-can-help/get-involved/download-digital-materials/organ-donation-graphics/ (accessed 12 Jan 2021).</w:t>
      </w:r>
    </w:p>
    <w:p w14:paraId="6940B445" w14:textId="77777777" w:rsidR="00573DFB" w:rsidRPr="00573DFB" w:rsidRDefault="00573DFB" w:rsidP="00573DFB">
      <w:pPr>
        <w:widowControl w:val="0"/>
        <w:autoSpaceDE w:val="0"/>
        <w:autoSpaceDN w:val="0"/>
        <w:adjustRightInd w:val="0"/>
        <w:spacing w:line="240" w:lineRule="auto"/>
        <w:ind w:left="640" w:hanging="640"/>
        <w:rPr>
          <w:rFonts w:ascii="Calibri" w:hAnsi="Calibri" w:cs="Calibri"/>
          <w:noProof/>
          <w:szCs w:val="24"/>
        </w:rPr>
      </w:pPr>
      <w:r w:rsidRPr="00573DFB">
        <w:rPr>
          <w:rFonts w:ascii="Calibri" w:hAnsi="Calibri" w:cs="Calibri"/>
          <w:noProof/>
          <w:szCs w:val="24"/>
        </w:rPr>
        <w:t xml:space="preserve">44 </w:t>
      </w:r>
      <w:r w:rsidRPr="00573DFB">
        <w:rPr>
          <w:rFonts w:ascii="Calibri" w:hAnsi="Calibri" w:cs="Calibri"/>
          <w:noProof/>
          <w:szCs w:val="24"/>
        </w:rPr>
        <w:tab/>
        <w:t>NHSBT. Organ donation law in Wales. 2020. https://www.organdonation.nhs.uk/uk-laws/organ-donation-law-in-wales/ (accessed 12 Jan 2021).</w:t>
      </w:r>
    </w:p>
    <w:p w14:paraId="7250B6B2" w14:textId="77777777" w:rsidR="00573DFB" w:rsidRPr="00573DFB" w:rsidRDefault="00573DFB" w:rsidP="00573DFB">
      <w:pPr>
        <w:widowControl w:val="0"/>
        <w:autoSpaceDE w:val="0"/>
        <w:autoSpaceDN w:val="0"/>
        <w:adjustRightInd w:val="0"/>
        <w:spacing w:line="240" w:lineRule="auto"/>
        <w:ind w:left="640" w:hanging="640"/>
        <w:rPr>
          <w:rFonts w:ascii="Calibri" w:hAnsi="Calibri" w:cs="Calibri"/>
          <w:noProof/>
          <w:szCs w:val="24"/>
        </w:rPr>
      </w:pPr>
      <w:r w:rsidRPr="00573DFB">
        <w:rPr>
          <w:rFonts w:ascii="Calibri" w:hAnsi="Calibri" w:cs="Calibri"/>
          <w:noProof/>
          <w:szCs w:val="24"/>
        </w:rPr>
        <w:t xml:space="preserve">45 </w:t>
      </w:r>
      <w:r w:rsidRPr="00573DFB">
        <w:rPr>
          <w:rFonts w:ascii="Calibri" w:hAnsi="Calibri" w:cs="Calibri"/>
          <w:noProof/>
          <w:szCs w:val="24"/>
        </w:rPr>
        <w:tab/>
        <w:t xml:space="preserve">Sque M, Long-Sutehall T. Bereavement, decision-making and the family in organ donation. In: </w:t>
      </w:r>
      <w:r w:rsidRPr="00573DFB">
        <w:rPr>
          <w:rFonts w:ascii="Calibri" w:hAnsi="Calibri" w:cs="Calibri"/>
          <w:i/>
          <w:iCs/>
          <w:noProof/>
          <w:szCs w:val="24"/>
        </w:rPr>
        <w:t>Organ Shortage: Ethics, Law and Pragmatism</w:t>
      </w:r>
      <w:r w:rsidRPr="00573DFB">
        <w:rPr>
          <w:rFonts w:ascii="Calibri" w:hAnsi="Calibri" w:cs="Calibri"/>
          <w:noProof/>
          <w:szCs w:val="24"/>
        </w:rPr>
        <w:t>. 2011. 67–86. doi:10.1017/CBO9780511973536.005</w:t>
      </w:r>
    </w:p>
    <w:p w14:paraId="1D7DBFA1" w14:textId="77777777" w:rsidR="00573DFB" w:rsidRPr="00573DFB" w:rsidRDefault="00573DFB" w:rsidP="00573DFB">
      <w:pPr>
        <w:widowControl w:val="0"/>
        <w:autoSpaceDE w:val="0"/>
        <w:autoSpaceDN w:val="0"/>
        <w:adjustRightInd w:val="0"/>
        <w:spacing w:line="240" w:lineRule="auto"/>
        <w:ind w:left="640" w:hanging="640"/>
        <w:rPr>
          <w:rFonts w:ascii="Calibri" w:hAnsi="Calibri" w:cs="Calibri"/>
          <w:noProof/>
          <w:szCs w:val="24"/>
        </w:rPr>
      </w:pPr>
      <w:r w:rsidRPr="00573DFB">
        <w:rPr>
          <w:rFonts w:ascii="Calibri" w:hAnsi="Calibri" w:cs="Calibri"/>
          <w:noProof/>
          <w:szCs w:val="24"/>
        </w:rPr>
        <w:t xml:space="preserve">46 </w:t>
      </w:r>
      <w:r w:rsidRPr="00573DFB">
        <w:rPr>
          <w:rFonts w:ascii="Calibri" w:hAnsi="Calibri" w:cs="Calibri"/>
          <w:noProof/>
          <w:szCs w:val="24"/>
        </w:rPr>
        <w:tab/>
        <w:t xml:space="preserve">Hudde T, Reinhard T, Möller M, </w:t>
      </w:r>
      <w:r w:rsidRPr="00573DFB">
        <w:rPr>
          <w:rFonts w:ascii="Calibri" w:hAnsi="Calibri" w:cs="Calibri"/>
          <w:i/>
          <w:iCs/>
          <w:noProof/>
          <w:szCs w:val="24"/>
        </w:rPr>
        <w:t>et al.</w:t>
      </w:r>
      <w:r w:rsidRPr="00573DFB">
        <w:rPr>
          <w:rFonts w:ascii="Calibri" w:hAnsi="Calibri" w:cs="Calibri"/>
          <w:noProof/>
          <w:szCs w:val="24"/>
        </w:rPr>
        <w:t xml:space="preserve"> Korneosklerale transplantatentnahme an der leiche: Erfahrungen der Lions-Hornhautbank Nordrhein-Westfalen in den jahren 1995 und 1996. </w:t>
      </w:r>
      <w:r w:rsidRPr="00573DFB">
        <w:rPr>
          <w:rFonts w:ascii="Calibri" w:hAnsi="Calibri" w:cs="Calibri"/>
          <w:i/>
          <w:iCs/>
          <w:noProof/>
          <w:szCs w:val="24"/>
        </w:rPr>
        <w:t>Ophthalmologe</w:t>
      </w:r>
      <w:r w:rsidRPr="00573DFB">
        <w:rPr>
          <w:rFonts w:ascii="Calibri" w:hAnsi="Calibri" w:cs="Calibri"/>
          <w:noProof/>
          <w:szCs w:val="24"/>
        </w:rPr>
        <w:t xml:space="preserve"> 1997;</w:t>
      </w:r>
      <w:r w:rsidRPr="00573DFB">
        <w:rPr>
          <w:rFonts w:ascii="Calibri" w:hAnsi="Calibri" w:cs="Calibri"/>
          <w:b/>
          <w:bCs/>
          <w:noProof/>
          <w:szCs w:val="24"/>
        </w:rPr>
        <w:t>94</w:t>
      </w:r>
      <w:r w:rsidRPr="00573DFB">
        <w:rPr>
          <w:rFonts w:ascii="Calibri" w:hAnsi="Calibri" w:cs="Calibri"/>
          <w:noProof/>
          <w:szCs w:val="24"/>
        </w:rPr>
        <w:t>:780–4. doi:10.1007/s003470050203</w:t>
      </w:r>
    </w:p>
    <w:p w14:paraId="7C2D4BCA" w14:textId="77777777" w:rsidR="00573DFB" w:rsidRPr="00573DFB" w:rsidRDefault="00573DFB" w:rsidP="00573DFB">
      <w:pPr>
        <w:widowControl w:val="0"/>
        <w:autoSpaceDE w:val="0"/>
        <w:autoSpaceDN w:val="0"/>
        <w:adjustRightInd w:val="0"/>
        <w:spacing w:line="240" w:lineRule="auto"/>
        <w:ind w:left="640" w:hanging="640"/>
        <w:rPr>
          <w:rFonts w:ascii="Calibri" w:hAnsi="Calibri" w:cs="Calibri"/>
          <w:noProof/>
        </w:rPr>
      </w:pPr>
      <w:r w:rsidRPr="00573DFB">
        <w:rPr>
          <w:rFonts w:ascii="Calibri" w:hAnsi="Calibri" w:cs="Calibri"/>
          <w:noProof/>
          <w:szCs w:val="24"/>
        </w:rPr>
        <w:t xml:space="preserve">47 </w:t>
      </w:r>
      <w:r w:rsidRPr="00573DFB">
        <w:rPr>
          <w:rFonts w:ascii="Calibri" w:hAnsi="Calibri" w:cs="Calibri"/>
          <w:noProof/>
          <w:szCs w:val="24"/>
        </w:rPr>
        <w:tab/>
        <w:t xml:space="preserve">Elizabeth Weathersbee T, Maynard DW. Dialling for donations: Practices and actions in the telephone solicitation of human tissues. </w:t>
      </w:r>
      <w:r w:rsidRPr="00573DFB">
        <w:rPr>
          <w:rFonts w:ascii="Calibri" w:hAnsi="Calibri" w:cs="Calibri"/>
          <w:i/>
          <w:iCs/>
          <w:noProof/>
          <w:szCs w:val="24"/>
        </w:rPr>
        <w:t>Sociol Heal Illn</w:t>
      </w:r>
      <w:r w:rsidRPr="00573DFB">
        <w:rPr>
          <w:rFonts w:ascii="Calibri" w:hAnsi="Calibri" w:cs="Calibri"/>
          <w:noProof/>
          <w:szCs w:val="24"/>
        </w:rPr>
        <w:t xml:space="preserve"> 2009;</w:t>
      </w:r>
      <w:r w:rsidRPr="00573DFB">
        <w:rPr>
          <w:rFonts w:ascii="Calibri" w:hAnsi="Calibri" w:cs="Calibri"/>
          <w:b/>
          <w:bCs/>
          <w:noProof/>
          <w:szCs w:val="24"/>
        </w:rPr>
        <w:t>31</w:t>
      </w:r>
      <w:r w:rsidRPr="00573DFB">
        <w:rPr>
          <w:rFonts w:ascii="Calibri" w:hAnsi="Calibri" w:cs="Calibri"/>
          <w:noProof/>
          <w:szCs w:val="24"/>
        </w:rPr>
        <w:t>:803–16. doi:10.1111/j.1467-9566.2009.01189.x</w:t>
      </w:r>
    </w:p>
    <w:p w14:paraId="598D5249" w14:textId="4C036FF5" w:rsidR="001D02F3" w:rsidRDefault="00B85B84" w:rsidP="009975A2">
      <w:pPr>
        <w:rPr>
          <w:b/>
        </w:rPr>
      </w:pPr>
      <w:r w:rsidRPr="00E63C00">
        <w:rPr>
          <w:b/>
        </w:rPr>
        <w:fldChar w:fldCharType="end"/>
      </w:r>
    </w:p>
    <w:p w14:paraId="4FA48ECC" w14:textId="2DAB5514" w:rsidR="001D02F3" w:rsidRDefault="001D02F3">
      <w:pPr>
        <w:rPr>
          <w:b/>
        </w:rPr>
      </w:pPr>
    </w:p>
    <w:sectPr w:rsidR="001D02F3" w:rsidSect="00E4557A">
      <w:footerReference w:type="default" r:id="rId14"/>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A45C26" w14:textId="77777777" w:rsidR="008B5518" w:rsidRDefault="008B5518" w:rsidP="00980D34">
      <w:pPr>
        <w:spacing w:after="0" w:line="240" w:lineRule="auto"/>
      </w:pPr>
      <w:r>
        <w:separator/>
      </w:r>
    </w:p>
  </w:endnote>
  <w:endnote w:type="continuationSeparator" w:id="0">
    <w:p w14:paraId="0D709BA0" w14:textId="77777777" w:rsidR="008B5518" w:rsidRDefault="008B5518" w:rsidP="00980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5519808"/>
      <w:docPartObj>
        <w:docPartGallery w:val="Page Numbers (Bottom of Page)"/>
        <w:docPartUnique/>
      </w:docPartObj>
    </w:sdtPr>
    <w:sdtEndPr>
      <w:rPr>
        <w:noProof/>
      </w:rPr>
    </w:sdtEndPr>
    <w:sdtContent>
      <w:p w14:paraId="4E13338A" w14:textId="153BD4B1" w:rsidR="008B5518" w:rsidRDefault="008B551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AD241A" w14:textId="77777777" w:rsidR="008B5518" w:rsidRDefault="008B55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24077B" w14:textId="77777777" w:rsidR="008B5518" w:rsidRDefault="008B5518" w:rsidP="00980D34">
      <w:pPr>
        <w:spacing w:after="0" w:line="240" w:lineRule="auto"/>
      </w:pPr>
      <w:r>
        <w:separator/>
      </w:r>
    </w:p>
  </w:footnote>
  <w:footnote w:type="continuationSeparator" w:id="0">
    <w:p w14:paraId="7E942DFF" w14:textId="77777777" w:rsidR="008B5518" w:rsidRDefault="008B5518" w:rsidP="00980D34">
      <w:pPr>
        <w:spacing w:after="0" w:line="240" w:lineRule="auto"/>
      </w:pPr>
      <w:r>
        <w:continuationSeparator/>
      </w:r>
    </w:p>
  </w:footnote>
  <w:footnote w:id="1">
    <w:p w14:paraId="75CAE59F" w14:textId="77777777" w:rsidR="008B5518" w:rsidRDefault="008B5518"/>
    <w:p w14:paraId="70A9C303" w14:textId="30B2E5E4" w:rsidR="008B5518" w:rsidRPr="005E0B34" w:rsidRDefault="008B5518">
      <w:pPr>
        <w:pStyle w:val="FootnoteText"/>
        <w:rPr>
          <w:rStyle w:val="FootnoteReferenc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413DBC"/>
    <w:multiLevelType w:val="hybridMultilevel"/>
    <w:tmpl w:val="470E3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A63CE4"/>
    <w:multiLevelType w:val="hybridMultilevel"/>
    <w:tmpl w:val="7A604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87440D"/>
    <w:multiLevelType w:val="hybridMultilevel"/>
    <w:tmpl w:val="986006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10D0207"/>
    <w:multiLevelType w:val="hybridMultilevel"/>
    <w:tmpl w:val="03AEA0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2022DE9"/>
    <w:multiLevelType w:val="hybridMultilevel"/>
    <w:tmpl w:val="C088B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240823"/>
    <w:multiLevelType w:val="hybridMultilevel"/>
    <w:tmpl w:val="8DAC7054"/>
    <w:lvl w:ilvl="0" w:tplc="8ADA2F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C21713"/>
    <w:multiLevelType w:val="hybridMultilevel"/>
    <w:tmpl w:val="E3747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625C17"/>
    <w:multiLevelType w:val="hybridMultilevel"/>
    <w:tmpl w:val="2E2CCB78"/>
    <w:lvl w:ilvl="0" w:tplc="6EDC5C10">
      <w:start w:val="1"/>
      <w:numFmt w:val="decimal"/>
      <w:lvlText w:val="%1."/>
      <w:lvlJc w:val="left"/>
      <w:pPr>
        <w:ind w:left="961" w:hanging="721"/>
        <w:jc w:val="right"/>
      </w:pPr>
      <w:rPr>
        <w:rFonts w:ascii="Calibri" w:eastAsia="Calibri" w:hAnsi="Calibri" w:hint="default"/>
        <w:w w:val="100"/>
        <w:sz w:val="22"/>
        <w:szCs w:val="22"/>
      </w:rPr>
    </w:lvl>
    <w:lvl w:ilvl="1" w:tplc="41BE8F0E">
      <w:start w:val="1"/>
      <w:numFmt w:val="bullet"/>
      <w:lvlText w:val="•"/>
      <w:lvlJc w:val="left"/>
      <w:pPr>
        <w:ind w:left="1778" w:hanging="721"/>
      </w:pPr>
      <w:rPr>
        <w:rFonts w:hint="default"/>
      </w:rPr>
    </w:lvl>
    <w:lvl w:ilvl="2" w:tplc="B850696C">
      <w:start w:val="1"/>
      <w:numFmt w:val="bullet"/>
      <w:lvlText w:val="•"/>
      <w:lvlJc w:val="left"/>
      <w:pPr>
        <w:ind w:left="2597" w:hanging="721"/>
      </w:pPr>
      <w:rPr>
        <w:rFonts w:hint="default"/>
      </w:rPr>
    </w:lvl>
    <w:lvl w:ilvl="3" w:tplc="AC56FC18">
      <w:start w:val="1"/>
      <w:numFmt w:val="bullet"/>
      <w:lvlText w:val="•"/>
      <w:lvlJc w:val="left"/>
      <w:pPr>
        <w:ind w:left="3415" w:hanging="721"/>
      </w:pPr>
      <w:rPr>
        <w:rFonts w:hint="default"/>
      </w:rPr>
    </w:lvl>
    <w:lvl w:ilvl="4" w:tplc="CF685154">
      <w:start w:val="1"/>
      <w:numFmt w:val="bullet"/>
      <w:lvlText w:val="•"/>
      <w:lvlJc w:val="left"/>
      <w:pPr>
        <w:ind w:left="4234" w:hanging="721"/>
      </w:pPr>
      <w:rPr>
        <w:rFonts w:hint="default"/>
      </w:rPr>
    </w:lvl>
    <w:lvl w:ilvl="5" w:tplc="9800BF7E">
      <w:start w:val="1"/>
      <w:numFmt w:val="bullet"/>
      <w:lvlText w:val="•"/>
      <w:lvlJc w:val="left"/>
      <w:pPr>
        <w:ind w:left="5053" w:hanging="721"/>
      </w:pPr>
      <w:rPr>
        <w:rFonts w:hint="default"/>
      </w:rPr>
    </w:lvl>
    <w:lvl w:ilvl="6" w:tplc="FA064164">
      <w:start w:val="1"/>
      <w:numFmt w:val="bullet"/>
      <w:lvlText w:val="•"/>
      <w:lvlJc w:val="left"/>
      <w:pPr>
        <w:ind w:left="5871" w:hanging="721"/>
      </w:pPr>
      <w:rPr>
        <w:rFonts w:hint="default"/>
      </w:rPr>
    </w:lvl>
    <w:lvl w:ilvl="7" w:tplc="F93278B2">
      <w:start w:val="1"/>
      <w:numFmt w:val="bullet"/>
      <w:lvlText w:val="•"/>
      <w:lvlJc w:val="left"/>
      <w:pPr>
        <w:ind w:left="6690" w:hanging="721"/>
      </w:pPr>
      <w:rPr>
        <w:rFonts w:hint="default"/>
      </w:rPr>
    </w:lvl>
    <w:lvl w:ilvl="8" w:tplc="AD04EEA4">
      <w:start w:val="1"/>
      <w:numFmt w:val="bullet"/>
      <w:lvlText w:val="•"/>
      <w:lvlJc w:val="left"/>
      <w:pPr>
        <w:ind w:left="7509" w:hanging="721"/>
      </w:pPr>
      <w:rPr>
        <w:rFonts w:hint="default"/>
      </w:rPr>
    </w:lvl>
  </w:abstractNum>
  <w:abstractNum w:abstractNumId="8" w15:restartNumberingAfterBreak="0">
    <w:nsid w:val="47B95A01"/>
    <w:multiLevelType w:val="hybridMultilevel"/>
    <w:tmpl w:val="27869F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9C3E90"/>
    <w:multiLevelType w:val="hybridMultilevel"/>
    <w:tmpl w:val="B072A6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953449"/>
    <w:multiLevelType w:val="hybridMultilevel"/>
    <w:tmpl w:val="0A8E6DF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10"/>
  </w:num>
  <w:num w:numId="4">
    <w:abstractNumId w:val="9"/>
  </w:num>
  <w:num w:numId="5">
    <w:abstractNumId w:val="8"/>
  </w:num>
  <w:num w:numId="6">
    <w:abstractNumId w:val="6"/>
  </w:num>
  <w:num w:numId="7">
    <w:abstractNumId w:val="7"/>
  </w:num>
  <w:num w:numId="8">
    <w:abstractNumId w:val="1"/>
  </w:num>
  <w:num w:numId="9">
    <w:abstractNumId w:val="0"/>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4DA5526-815B-47B2-8F62-11439011B4B1}"/>
    <w:docVar w:name="dgnword-eventsink" w:val="1216605826560"/>
    <w:docVar w:name="dgnword-lastRevisionsView" w:val="0"/>
  </w:docVars>
  <w:rsids>
    <w:rsidRoot w:val="001448A9"/>
    <w:rsid w:val="00000C38"/>
    <w:rsid w:val="00004E36"/>
    <w:rsid w:val="00005F68"/>
    <w:rsid w:val="000123DF"/>
    <w:rsid w:val="00012BD1"/>
    <w:rsid w:val="00013169"/>
    <w:rsid w:val="00014780"/>
    <w:rsid w:val="00014FC1"/>
    <w:rsid w:val="00020843"/>
    <w:rsid w:val="00024201"/>
    <w:rsid w:val="00026124"/>
    <w:rsid w:val="000314ED"/>
    <w:rsid w:val="00040663"/>
    <w:rsid w:val="00041D32"/>
    <w:rsid w:val="00042353"/>
    <w:rsid w:val="00044596"/>
    <w:rsid w:val="000465A7"/>
    <w:rsid w:val="00051AEF"/>
    <w:rsid w:val="0005209B"/>
    <w:rsid w:val="00054FF4"/>
    <w:rsid w:val="000559EC"/>
    <w:rsid w:val="000560F7"/>
    <w:rsid w:val="00057D3E"/>
    <w:rsid w:val="0007008C"/>
    <w:rsid w:val="0007086E"/>
    <w:rsid w:val="00070B81"/>
    <w:rsid w:val="0007345F"/>
    <w:rsid w:val="000744C3"/>
    <w:rsid w:val="00075104"/>
    <w:rsid w:val="000803CE"/>
    <w:rsid w:val="000834E6"/>
    <w:rsid w:val="00083FCA"/>
    <w:rsid w:val="000840D4"/>
    <w:rsid w:val="000905EB"/>
    <w:rsid w:val="00095DB6"/>
    <w:rsid w:val="000976DE"/>
    <w:rsid w:val="000A203E"/>
    <w:rsid w:val="000A2C2C"/>
    <w:rsid w:val="000A4EC9"/>
    <w:rsid w:val="000A5CFE"/>
    <w:rsid w:val="000A6788"/>
    <w:rsid w:val="000B4E47"/>
    <w:rsid w:val="000C0B3F"/>
    <w:rsid w:val="000C0DE8"/>
    <w:rsid w:val="000C2350"/>
    <w:rsid w:val="000C2733"/>
    <w:rsid w:val="000C4D20"/>
    <w:rsid w:val="000D51FC"/>
    <w:rsid w:val="000E0617"/>
    <w:rsid w:val="000E41AB"/>
    <w:rsid w:val="000E443C"/>
    <w:rsid w:val="000E46E9"/>
    <w:rsid w:val="000E7D49"/>
    <w:rsid w:val="000F21DA"/>
    <w:rsid w:val="000F2E28"/>
    <w:rsid w:val="000F69C7"/>
    <w:rsid w:val="00100BF5"/>
    <w:rsid w:val="00100EB6"/>
    <w:rsid w:val="00104CBB"/>
    <w:rsid w:val="00107C27"/>
    <w:rsid w:val="00110051"/>
    <w:rsid w:val="001116A1"/>
    <w:rsid w:val="00114B96"/>
    <w:rsid w:val="00115262"/>
    <w:rsid w:val="00115319"/>
    <w:rsid w:val="00116366"/>
    <w:rsid w:val="00122104"/>
    <w:rsid w:val="001227F4"/>
    <w:rsid w:val="0012281B"/>
    <w:rsid w:val="001232D4"/>
    <w:rsid w:val="00125273"/>
    <w:rsid w:val="00130942"/>
    <w:rsid w:val="00130CDE"/>
    <w:rsid w:val="001318DC"/>
    <w:rsid w:val="00132799"/>
    <w:rsid w:val="001354F1"/>
    <w:rsid w:val="001448A9"/>
    <w:rsid w:val="00145333"/>
    <w:rsid w:val="001523A7"/>
    <w:rsid w:val="0015379B"/>
    <w:rsid w:val="00153CB5"/>
    <w:rsid w:val="00162804"/>
    <w:rsid w:val="00165E37"/>
    <w:rsid w:val="00170EFD"/>
    <w:rsid w:val="00174BA4"/>
    <w:rsid w:val="001828EA"/>
    <w:rsid w:val="001837CE"/>
    <w:rsid w:val="00185A9F"/>
    <w:rsid w:val="00186309"/>
    <w:rsid w:val="00187083"/>
    <w:rsid w:val="0019007C"/>
    <w:rsid w:val="001919FA"/>
    <w:rsid w:val="00194697"/>
    <w:rsid w:val="00194909"/>
    <w:rsid w:val="00195757"/>
    <w:rsid w:val="001A2EC4"/>
    <w:rsid w:val="001A5E5E"/>
    <w:rsid w:val="001B09A7"/>
    <w:rsid w:val="001C50EE"/>
    <w:rsid w:val="001C736E"/>
    <w:rsid w:val="001D02F3"/>
    <w:rsid w:val="001D2A47"/>
    <w:rsid w:val="001D5147"/>
    <w:rsid w:val="001D5F18"/>
    <w:rsid w:val="001E0095"/>
    <w:rsid w:val="001E2E65"/>
    <w:rsid w:val="001E2EBF"/>
    <w:rsid w:val="001E640D"/>
    <w:rsid w:val="001F6AC0"/>
    <w:rsid w:val="00200306"/>
    <w:rsid w:val="00201516"/>
    <w:rsid w:val="002050FC"/>
    <w:rsid w:val="002070DB"/>
    <w:rsid w:val="00211E33"/>
    <w:rsid w:val="00213A00"/>
    <w:rsid w:val="00213A1C"/>
    <w:rsid w:val="00213E3E"/>
    <w:rsid w:val="00214FA3"/>
    <w:rsid w:val="00217F1C"/>
    <w:rsid w:val="00220A24"/>
    <w:rsid w:val="002218BB"/>
    <w:rsid w:val="00221AE9"/>
    <w:rsid w:val="00221E84"/>
    <w:rsid w:val="002258A0"/>
    <w:rsid w:val="002275ED"/>
    <w:rsid w:val="002372C9"/>
    <w:rsid w:val="00243B47"/>
    <w:rsid w:val="0024408E"/>
    <w:rsid w:val="00244D96"/>
    <w:rsid w:val="0025054F"/>
    <w:rsid w:val="002516E7"/>
    <w:rsid w:val="002528F5"/>
    <w:rsid w:val="0025352A"/>
    <w:rsid w:val="0025652C"/>
    <w:rsid w:val="0025754F"/>
    <w:rsid w:val="00260365"/>
    <w:rsid w:val="00263CC4"/>
    <w:rsid w:val="002640CF"/>
    <w:rsid w:val="00267582"/>
    <w:rsid w:val="0027110E"/>
    <w:rsid w:val="00272607"/>
    <w:rsid w:val="00272785"/>
    <w:rsid w:val="00273DB1"/>
    <w:rsid w:val="002776F4"/>
    <w:rsid w:val="00277F03"/>
    <w:rsid w:val="002830AE"/>
    <w:rsid w:val="002848A0"/>
    <w:rsid w:val="00285E89"/>
    <w:rsid w:val="00287FD3"/>
    <w:rsid w:val="0029223B"/>
    <w:rsid w:val="002A09ED"/>
    <w:rsid w:val="002A1A5B"/>
    <w:rsid w:val="002A4643"/>
    <w:rsid w:val="002A4649"/>
    <w:rsid w:val="002B0B0B"/>
    <w:rsid w:val="002B0FA9"/>
    <w:rsid w:val="002C3928"/>
    <w:rsid w:val="002D2AFF"/>
    <w:rsid w:val="002D453A"/>
    <w:rsid w:val="002E20A1"/>
    <w:rsid w:val="002E499E"/>
    <w:rsid w:val="002F09F7"/>
    <w:rsid w:val="002F55C5"/>
    <w:rsid w:val="002F6515"/>
    <w:rsid w:val="00303E77"/>
    <w:rsid w:val="00306A90"/>
    <w:rsid w:val="00307545"/>
    <w:rsid w:val="0031244E"/>
    <w:rsid w:val="00315669"/>
    <w:rsid w:val="00316777"/>
    <w:rsid w:val="00322613"/>
    <w:rsid w:val="003249F6"/>
    <w:rsid w:val="003305F8"/>
    <w:rsid w:val="003351AB"/>
    <w:rsid w:val="00335532"/>
    <w:rsid w:val="00335A07"/>
    <w:rsid w:val="00337652"/>
    <w:rsid w:val="00343022"/>
    <w:rsid w:val="003465BA"/>
    <w:rsid w:val="0035053A"/>
    <w:rsid w:val="00351027"/>
    <w:rsid w:val="00351DBC"/>
    <w:rsid w:val="003539B9"/>
    <w:rsid w:val="00360A6C"/>
    <w:rsid w:val="00363A7A"/>
    <w:rsid w:val="00364561"/>
    <w:rsid w:val="00364F5D"/>
    <w:rsid w:val="00365776"/>
    <w:rsid w:val="00366262"/>
    <w:rsid w:val="00366FBF"/>
    <w:rsid w:val="00367838"/>
    <w:rsid w:val="003726EB"/>
    <w:rsid w:val="00373F8D"/>
    <w:rsid w:val="003755A3"/>
    <w:rsid w:val="00381F38"/>
    <w:rsid w:val="00384329"/>
    <w:rsid w:val="003851BB"/>
    <w:rsid w:val="00390DFF"/>
    <w:rsid w:val="00393795"/>
    <w:rsid w:val="003944E9"/>
    <w:rsid w:val="003969D1"/>
    <w:rsid w:val="003A044E"/>
    <w:rsid w:val="003A0FEC"/>
    <w:rsid w:val="003A4E14"/>
    <w:rsid w:val="003A5CCA"/>
    <w:rsid w:val="003B0324"/>
    <w:rsid w:val="003B2E5D"/>
    <w:rsid w:val="003B5BDC"/>
    <w:rsid w:val="003B62C5"/>
    <w:rsid w:val="003C3A9C"/>
    <w:rsid w:val="003C6E9C"/>
    <w:rsid w:val="003C7D7B"/>
    <w:rsid w:val="003D2FE4"/>
    <w:rsid w:val="003D6D09"/>
    <w:rsid w:val="003D7FDF"/>
    <w:rsid w:val="003E4333"/>
    <w:rsid w:val="003E69B4"/>
    <w:rsid w:val="003E7924"/>
    <w:rsid w:val="003F16C8"/>
    <w:rsid w:val="003F23AC"/>
    <w:rsid w:val="003F2536"/>
    <w:rsid w:val="003F2974"/>
    <w:rsid w:val="003F2F0A"/>
    <w:rsid w:val="003F5B02"/>
    <w:rsid w:val="00400965"/>
    <w:rsid w:val="00400E88"/>
    <w:rsid w:val="00401055"/>
    <w:rsid w:val="00404A51"/>
    <w:rsid w:val="00404E47"/>
    <w:rsid w:val="004054EC"/>
    <w:rsid w:val="0040727B"/>
    <w:rsid w:val="00407A49"/>
    <w:rsid w:val="00416363"/>
    <w:rsid w:val="00421315"/>
    <w:rsid w:val="0042199B"/>
    <w:rsid w:val="00422438"/>
    <w:rsid w:val="004243AB"/>
    <w:rsid w:val="00427820"/>
    <w:rsid w:val="004309BE"/>
    <w:rsid w:val="00430A34"/>
    <w:rsid w:val="00431CD9"/>
    <w:rsid w:val="00433A0C"/>
    <w:rsid w:val="00434137"/>
    <w:rsid w:val="00434CBE"/>
    <w:rsid w:val="00434FCC"/>
    <w:rsid w:val="0043627C"/>
    <w:rsid w:val="00440DDE"/>
    <w:rsid w:val="00442954"/>
    <w:rsid w:val="00443F03"/>
    <w:rsid w:val="00444AC1"/>
    <w:rsid w:val="00446ECE"/>
    <w:rsid w:val="00450FF7"/>
    <w:rsid w:val="0045139E"/>
    <w:rsid w:val="00452B46"/>
    <w:rsid w:val="00457345"/>
    <w:rsid w:val="00457CC1"/>
    <w:rsid w:val="00464C7B"/>
    <w:rsid w:val="004717AC"/>
    <w:rsid w:val="004741D4"/>
    <w:rsid w:val="00475D5F"/>
    <w:rsid w:val="004760D0"/>
    <w:rsid w:val="004766D3"/>
    <w:rsid w:val="004769C7"/>
    <w:rsid w:val="00477029"/>
    <w:rsid w:val="00482630"/>
    <w:rsid w:val="004842E8"/>
    <w:rsid w:val="0048589B"/>
    <w:rsid w:val="00485C74"/>
    <w:rsid w:val="00491E8E"/>
    <w:rsid w:val="00493744"/>
    <w:rsid w:val="00493AAF"/>
    <w:rsid w:val="00495B75"/>
    <w:rsid w:val="00495E41"/>
    <w:rsid w:val="004A4105"/>
    <w:rsid w:val="004A5114"/>
    <w:rsid w:val="004A774A"/>
    <w:rsid w:val="004B06F6"/>
    <w:rsid w:val="004B1168"/>
    <w:rsid w:val="004B36B8"/>
    <w:rsid w:val="004B3E3F"/>
    <w:rsid w:val="004B3FB3"/>
    <w:rsid w:val="004B4E9F"/>
    <w:rsid w:val="004B4F1D"/>
    <w:rsid w:val="004C2E0D"/>
    <w:rsid w:val="004C2F7F"/>
    <w:rsid w:val="004C5C5F"/>
    <w:rsid w:val="004D04BC"/>
    <w:rsid w:val="004D364A"/>
    <w:rsid w:val="004D49A5"/>
    <w:rsid w:val="004D5D9B"/>
    <w:rsid w:val="004D750A"/>
    <w:rsid w:val="004E400C"/>
    <w:rsid w:val="004E4818"/>
    <w:rsid w:val="004E7CC1"/>
    <w:rsid w:val="004F12D9"/>
    <w:rsid w:val="004F199F"/>
    <w:rsid w:val="004F6602"/>
    <w:rsid w:val="00502481"/>
    <w:rsid w:val="00504122"/>
    <w:rsid w:val="005119D2"/>
    <w:rsid w:val="00520D57"/>
    <w:rsid w:val="005258D9"/>
    <w:rsid w:val="00531917"/>
    <w:rsid w:val="00533B00"/>
    <w:rsid w:val="005420E7"/>
    <w:rsid w:val="005441AE"/>
    <w:rsid w:val="005459A8"/>
    <w:rsid w:val="00553B8A"/>
    <w:rsid w:val="00556203"/>
    <w:rsid w:val="0055718F"/>
    <w:rsid w:val="00561608"/>
    <w:rsid w:val="005620BA"/>
    <w:rsid w:val="00562BE0"/>
    <w:rsid w:val="00563440"/>
    <w:rsid w:val="00563F70"/>
    <w:rsid w:val="00567A0C"/>
    <w:rsid w:val="00570063"/>
    <w:rsid w:val="00571AF5"/>
    <w:rsid w:val="00573DFB"/>
    <w:rsid w:val="005740D8"/>
    <w:rsid w:val="005747AE"/>
    <w:rsid w:val="005817B0"/>
    <w:rsid w:val="00581DEF"/>
    <w:rsid w:val="00587EF7"/>
    <w:rsid w:val="0059551B"/>
    <w:rsid w:val="00595756"/>
    <w:rsid w:val="00597791"/>
    <w:rsid w:val="005A38BC"/>
    <w:rsid w:val="005A4642"/>
    <w:rsid w:val="005A587A"/>
    <w:rsid w:val="005C1768"/>
    <w:rsid w:val="005C2593"/>
    <w:rsid w:val="005C45B9"/>
    <w:rsid w:val="005C4DD6"/>
    <w:rsid w:val="005E0B34"/>
    <w:rsid w:val="005E5610"/>
    <w:rsid w:val="005E68AB"/>
    <w:rsid w:val="005E7AFB"/>
    <w:rsid w:val="005F2C6D"/>
    <w:rsid w:val="0060025E"/>
    <w:rsid w:val="006034A3"/>
    <w:rsid w:val="00606D9E"/>
    <w:rsid w:val="00612AE0"/>
    <w:rsid w:val="00613F59"/>
    <w:rsid w:val="00614ACB"/>
    <w:rsid w:val="00614CC2"/>
    <w:rsid w:val="00615AD5"/>
    <w:rsid w:val="00616658"/>
    <w:rsid w:val="00617476"/>
    <w:rsid w:val="00620633"/>
    <w:rsid w:val="00621F6C"/>
    <w:rsid w:val="00622163"/>
    <w:rsid w:val="00631B75"/>
    <w:rsid w:val="006420CE"/>
    <w:rsid w:val="00646902"/>
    <w:rsid w:val="00647085"/>
    <w:rsid w:val="00650AA7"/>
    <w:rsid w:val="006514D1"/>
    <w:rsid w:val="00654D57"/>
    <w:rsid w:val="006570BD"/>
    <w:rsid w:val="00660A6C"/>
    <w:rsid w:val="00662E1D"/>
    <w:rsid w:val="00663459"/>
    <w:rsid w:val="0067210F"/>
    <w:rsid w:val="0067614C"/>
    <w:rsid w:val="00676655"/>
    <w:rsid w:val="00677BD6"/>
    <w:rsid w:val="006801CF"/>
    <w:rsid w:val="00680D36"/>
    <w:rsid w:val="0068131A"/>
    <w:rsid w:val="0068147C"/>
    <w:rsid w:val="00682373"/>
    <w:rsid w:val="00683F24"/>
    <w:rsid w:val="00684E21"/>
    <w:rsid w:val="006912D2"/>
    <w:rsid w:val="00691FF7"/>
    <w:rsid w:val="006A1744"/>
    <w:rsid w:val="006A1972"/>
    <w:rsid w:val="006A59A3"/>
    <w:rsid w:val="006A6736"/>
    <w:rsid w:val="006B18E1"/>
    <w:rsid w:val="006B5E9A"/>
    <w:rsid w:val="006C43A8"/>
    <w:rsid w:val="006C4DEE"/>
    <w:rsid w:val="006C5CF4"/>
    <w:rsid w:val="006D42D2"/>
    <w:rsid w:val="006D43F7"/>
    <w:rsid w:val="006E4E6C"/>
    <w:rsid w:val="006E543C"/>
    <w:rsid w:val="006F1A91"/>
    <w:rsid w:val="006F2258"/>
    <w:rsid w:val="006F2D36"/>
    <w:rsid w:val="006F6D56"/>
    <w:rsid w:val="0070157F"/>
    <w:rsid w:val="00702240"/>
    <w:rsid w:val="007078BB"/>
    <w:rsid w:val="00711E2D"/>
    <w:rsid w:val="007153FF"/>
    <w:rsid w:val="0072343F"/>
    <w:rsid w:val="00723818"/>
    <w:rsid w:val="00723947"/>
    <w:rsid w:val="007303D9"/>
    <w:rsid w:val="00730982"/>
    <w:rsid w:val="00731862"/>
    <w:rsid w:val="007355C9"/>
    <w:rsid w:val="007425BB"/>
    <w:rsid w:val="00742F38"/>
    <w:rsid w:val="007445BA"/>
    <w:rsid w:val="00750D66"/>
    <w:rsid w:val="00754322"/>
    <w:rsid w:val="00755598"/>
    <w:rsid w:val="00755F9B"/>
    <w:rsid w:val="0076310A"/>
    <w:rsid w:val="00767340"/>
    <w:rsid w:val="00771F5C"/>
    <w:rsid w:val="007726AB"/>
    <w:rsid w:val="00773B2F"/>
    <w:rsid w:val="00777F80"/>
    <w:rsid w:val="007861F9"/>
    <w:rsid w:val="00791056"/>
    <w:rsid w:val="0079107F"/>
    <w:rsid w:val="0079195C"/>
    <w:rsid w:val="0079293C"/>
    <w:rsid w:val="00792D61"/>
    <w:rsid w:val="00794AC5"/>
    <w:rsid w:val="007A00D1"/>
    <w:rsid w:val="007A02C6"/>
    <w:rsid w:val="007A1ADF"/>
    <w:rsid w:val="007A631A"/>
    <w:rsid w:val="007A6658"/>
    <w:rsid w:val="007B5BAC"/>
    <w:rsid w:val="007B6DC2"/>
    <w:rsid w:val="007B7939"/>
    <w:rsid w:val="007B7E50"/>
    <w:rsid w:val="007C0194"/>
    <w:rsid w:val="007C1EC8"/>
    <w:rsid w:val="007D0764"/>
    <w:rsid w:val="007D37C9"/>
    <w:rsid w:val="007D5E36"/>
    <w:rsid w:val="007D5E97"/>
    <w:rsid w:val="007D6C6D"/>
    <w:rsid w:val="007D7E92"/>
    <w:rsid w:val="007E21EE"/>
    <w:rsid w:val="007E3A1C"/>
    <w:rsid w:val="007E50FF"/>
    <w:rsid w:val="007E5C17"/>
    <w:rsid w:val="007E67F3"/>
    <w:rsid w:val="007E7939"/>
    <w:rsid w:val="007F55E6"/>
    <w:rsid w:val="00802104"/>
    <w:rsid w:val="00805FB1"/>
    <w:rsid w:val="0080602F"/>
    <w:rsid w:val="00807C8C"/>
    <w:rsid w:val="00811180"/>
    <w:rsid w:val="008129F9"/>
    <w:rsid w:val="0082009E"/>
    <w:rsid w:val="008201F1"/>
    <w:rsid w:val="00821616"/>
    <w:rsid w:val="00823450"/>
    <w:rsid w:val="00823D3E"/>
    <w:rsid w:val="00824EAA"/>
    <w:rsid w:val="00827252"/>
    <w:rsid w:val="00833942"/>
    <w:rsid w:val="00842E0A"/>
    <w:rsid w:val="00844A1C"/>
    <w:rsid w:val="0084649D"/>
    <w:rsid w:val="00855031"/>
    <w:rsid w:val="008573E2"/>
    <w:rsid w:val="008625CC"/>
    <w:rsid w:val="00863DA5"/>
    <w:rsid w:val="0086555B"/>
    <w:rsid w:val="00865658"/>
    <w:rsid w:val="00872DEE"/>
    <w:rsid w:val="00874D19"/>
    <w:rsid w:val="00883EE8"/>
    <w:rsid w:val="0089359C"/>
    <w:rsid w:val="00894305"/>
    <w:rsid w:val="00895025"/>
    <w:rsid w:val="0089561D"/>
    <w:rsid w:val="008962D4"/>
    <w:rsid w:val="008964C2"/>
    <w:rsid w:val="008A3168"/>
    <w:rsid w:val="008A5FE7"/>
    <w:rsid w:val="008B20FB"/>
    <w:rsid w:val="008B5518"/>
    <w:rsid w:val="008C0D67"/>
    <w:rsid w:val="008C1CA6"/>
    <w:rsid w:val="008C41E4"/>
    <w:rsid w:val="008C6962"/>
    <w:rsid w:val="008C7167"/>
    <w:rsid w:val="008D0AF2"/>
    <w:rsid w:val="008D2779"/>
    <w:rsid w:val="008E30DB"/>
    <w:rsid w:val="008E5B6F"/>
    <w:rsid w:val="008F2B40"/>
    <w:rsid w:val="008F6827"/>
    <w:rsid w:val="0090107A"/>
    <w:rsid w:val="0090317A"/>
    <w:rsid w:val="00913D0B"/>
    <w:rsid w:val="009156DB"/>
    <w:rsid w:val="00916FE7"/>
    <w:rsid w:val="00920DC7"/>
    <w:rsid w:val="009218B4"/>
    <w:rsid w:val="009277B3"/>
    <w:rsid w:val="00930664"/>
    <w:rsid w:val="009312B0"/>
    <w:rsid w:val="00935215"/>
    <w:rsid w:val="0094550B"/>
    <w:rsid w:val="0094637B"/>
    <w:rsid w:val="009479F7"/>
    <w:rsid w:val="00951B7E"/>
    <w:rsid w:val="009601DD"/>
    <w:rsid w:val="009602ED"/>
    <w:rsid w:val="009641B3"/>
    <w:rsid w:val="009648C5"/>
    <w:rsid w:val="00965726"/>
    <w:rsid w:val="00970DDB"/>
    <w:rsid w:val="00971D2C"/>
    <w:rsid w:val="00980097"/>
    <w:rsid w:val="00980D34"/>
    <w:rsid w:val="00986CAF"/>
    <w:rsid w:val="00993250"/>
    <w:rsid w:val="00993B2B"/>
    <w:rsid w:val="009957E9"/>
    <w:rsid w:val="00997124"/>
    <w:rsid w:val="009975A2"/>
    <w:rsid w:val="009A35DC"/>
    <w:rsid w:val="009B0C2D"/>
    <w:rsid w:val="009C1D67"/>
    <w:rsid w:val="009C2213"/>
    <w:rsid w:val="009C2959"/>
    <w:rsid w:val="009C415C"/>
    <w:rsid w:val="009C4D62"/>
    <w:rsid w:val="009C53C2"/>
    <w:rsid w:val="009C5A73"/>
    <w:rsid w:val="009C65D4"/>
    <w:rsid w:val="009C7486"/>
    <w:rsid w:val="009D1780"/>
    <w:rsid w:val="009D36C5"/>
    <w:rsid w:val="009E150A"/>
    <w:rsid w:val="009E15AE"/>
    <w:rsid w:val="009E4F75"/>
    <w:rsid w:val="009F0084"/>
    <w:rsid w:val="009F0AD3"/>
    <w:rsid w:val="009F3ADB"/>
    <w:rsid w:val="009F7F0D"/>
    <w:rsid w:val="00A0171C"/>
    <w:rsid w:val="00A041BF"/>
    <w:rsid w:val="00A10158"/>
    <w:rsid w:val="00A1078F"/>
    <w:rsid w:val="00A112C4"/>
    <w:rsid w:val="00A12612"/>
    <w:rsid w:val="00A14921"/>
    <w:rsid w:val="00A17621"/>
    <w:rsid w:val="00A24B45"/>
    <w:rsid w:val="00A27204"/>
    <w:rsid w:val="00A326C8"/>
    <w:rsid w:val="00A33A95"/>
    <w:rsid w:val="00A352AB"/>
    <w:rsid w:val="00A354B8"/>
    <w:rsid w:val="00A37EEC"/>
    <w:rsid w:val="00A4116F"/>
    <w:rsid w:val="00A4118F"/>
    <w:rsid w:val="00A437FC"/>
    <w:rsid w:val="00A4628D"/>
    <w:rsid w:val="00A47F3B"/>
    <w:rsid w:val="00A50EB5"/>
    <w:rsid w:val="00A60120"/>
    <w:rsid w:val="00A6563A"/>
    <w:rsid w:val="00A6573C"/>
    <w:rsid w:val="00A66CF3"/>
    <w:rsid w:val="00A762B9"/>
    <w:rsid w:val="00A768CA"/>
    <w:rsid w:val="00A80FC3"/>
    <w:rsid w:val="00A81984"/>
    <w:rsid w:val="00A8478E"/>
    <w:rsid w:val="00A86F45"/>
    <w:rsid w:val="00A87725"/>
    <w:rsid w:val="00A90BC2"/>
    <w:rsid w:val="00A96144"/>
    <w:rsid w:val="00AA2AA2"/>
    <w:rsid w:val="00AA51C2"/>
    <w:rsid w:val="00AB04BF"/>
    <w:rsid w:val="00AB24EA"/>
    <w:rsid w:val="00AB4CF6"/>
    <w:rsid w:val="00AB519D"/>
    <w:rsid w:val="00AB58BC"/>
    <w:rsid w:val="00AB6391"/>
    <w:rsid w:val="00AC2E65"/>
    <w:rsid w:val="00AC3066"/>
    <w:rsid w:val="00AC4468"/>
    <w:rsid w:val="00AC7C10"/>
    <w:rsid w:val="00AC7F4B"/>
    <w:rsid w:val="00AD0529"/>
    <w:rsid w:val="00AD279E"/>
    <w:rsid w:val="00AE04E0"/>
    <w:rsid w:val="00AE16A0"/>
    <w:rsid w:val="00AE3284"/>
    <w:rsid w:val="00AE408C"/>
    <w:rsid w:val="00AE4789"/>
    <w:rsid w:val="00AE601E"/>
    <w:rsid w:val="00AE7DF0"/>
    <w:rsid w:val="00AF70D2"/>
    <w:rsid w:val="00B01D9C"/>
    <w:rsid w:val="00B1277D"/>
    <w:rsid w:val="00B154FD"/>
    <w:rsid w:val="00B1732B"/>
    <w:rsid w:val="00B17F1D"/>
    <w:rsid w:val="00B20388"/>
    <w:rsid w:val="00B26C18"/>
    <w:rsid w:val="00B32B70"/>
    <w:rsid w:val="00B33A94"/>
    <w:rsid w:val="00B345CB"/>
    <w:rsid w:val="00B37C89"/>
    <w:rsid w:val="00B40551"/>
    <w:rsid w:val="00B409BB"/>
    <w:rsid w:val="00B45F3C"/>
    <w:rsid w:val="00B47B1B"/>
    <w:rsid w:val="00B5024A"/>
    <w:rsid w:val="00B602DA"/>
    <w:rsid w:val="00B62C56"/>
    <w:rsid w:val="00B6339D"/>
    <w:rsid w:val="00B637A9"/>
    <w:rsid w:val="00B70191"/>
    <w:rsid w:val="00B7591B"/>
    <w:rsid w:val="00B77F55"/>
    <w:rsid w:val="00B827E8"/>
    <w:rsid w:val="00B8320F"/>
    <w:rsid w:val="00B85AE6"/>
    <w:rsid w:val="00B85B84"/>
    <w:rsid w:val="00B87A19"/>
    <w:rsid w:val="00B931AA"/>
    <w:rsid w:val="00B94657"/>
    <w:rsid w:val="00B953AD"/>
    <w:rsid w:val="00B95528"/>
    <w:rsid w:val="00B959F2"/>
    <w:rsid w:val="00B978C1"/>
    <w:rsid w:val="00BA2AB9"/>
    <w:rsid w:val="00BA48AC"/>
    <w:rsid w:val="00BA4FE6"/>
    <w:rsid w:val="00BA513A"/>
    <w:rsid w:val="00BA5CB4"/>
    <w:rsid w:val="00BA6243"/>
    <w:rsid w:val="00BB0F73"/>
    <w:rsid w:val="00BB1F1C"/>
    <w:rsid w:val="00BB283E"/>
    <w:rsid w:val="00BC4AEF"/>
    <w:rsid w:val="00BC679C"/>
    <w:rsid w:val="00BD1C98"/>
    <w:rsid w:val="00BD3A6B"/>
    <w:rsid w:val="00BD6D42"/>
    <w:rsid w:val="00BD7DD8"/>
    <w:rsid w:val="00BE0831"/>
    <w:rsid w:val="00BE7B2A"/>
    <w:rsid w:val="00BF05CB"/>
    <w:rsid w:val="00BF1092"/>
    <w:rsid w:val="00BF2E22"/>
    <w:rsid w:val="00BF6AAE"/>
    <w:rsid w:val="00C02041"/>
    <w:rsid w:val="00C02D55"/>
    <w:rsid w:val="00C037C7"/>
    <w:rsid w:val="00C05E31"/>
    <w:rsid w:val="00C103B3"/>
    <w:rsid w:val="00C114E5"/>
    <w:rsid w:val="00C13252"/>
    <w:rsid w:val="00C26839"/>
    <w:rsid w:val="00C26B45"/>
    <w:rsid w:val="00C27EA6"/>
    <w:rsid w:val="00C31A67"/>
    <w:rsid w:val="00C36E7A"/>
    <w:rsid w:val="00C406BD"/>
    <w:rsid w:val="00C46052"/>
    <w:rsid w:val="00C47759"/>
    <w:rsid w:val="00C52685"/>
    <w:rsid w:val="00C5572D"/>
    <w:rsid w:val="00C57F3E"/>
    <w:rsid w:val="00C74B29"/>
    <w:rsid w:val="00C75FEC"/>
    <w:rsid w:val="00C760A2"/>
    <w:rsid w:val="00C76782"/>
    <w:rsid w:val="00C82808"/>
    <w:rsid w:val="00C8678C"/>
    <w:rsid w:val="00C8758A"/>
    <w:rsid w:val="00C94E7F"/>
    <w:rsid w:val="00C97C6C"/>
    <w:rsid w:val="00CA0497"/>
    <w:rsid w:val="00CB09B2"/>
    <w:rsid w:val="00CB71E0"/>
    <w:rsid w:val="00CC7879"/>
    <w:rsid w:val="00CD4662"/>
    <w:rsid w:val="00CD5B59"/>
    <w:rsid w:val="00CE1EB4"/>
    <w:rsid w:val="00CE2C8A"/>
    <w:rsid w:val="00CE41C8"/>
    <w:rsid w:val="00CE43A6"/>
    <w:rsid w:val="00CF1FB9"/>
    <w:rsid w:val="00CF5F2F"/>
    <w:rsid w:val="00CF6192"/>
    <w:rsid w:val="00D0204C"/>
    <w:rsid w:val="00D0238B"/>
    <w:rsid w:val="00D0690A"/>
    <w:rsid w:val="00D06E07"/>
    <w:rsid w:val="00D158A1"/>
    <w:rsid w:val="00D16B19"/>
    <w:rsid w:val="00D16C9A"/>
    <w:rsid w:val="00D2371B"/>
    <w:rsid w:val="00D26726"/>
    <w:rsid w:val="00D27D46"/>
    <w:rsid w:val="00D361F7"/>
    <w:rsid w:val="00D375DC"/>
    <w:rsid w:val="00D40D88"/>
    <w:rsid w:val="00D42DE6"/>
    <w:rsid w:val="00D43EBE"/>
    <w:rsid w:val="00D4593F"/>
    <w:rsid w:val="00D5425E"/>
    <w:rsid w:val="00D56021"/>
    <w:rsid w:val="00D60255"/>
    <w:rsid w:val="00D76240"/>
    <w:rsid w:val="00D76662"/>
    <w:rsid w:val="00D81081"/>
    <w:rsid w:val="00D8308C"/>
    <w:rsid w:val="00D86433"/>
    <w:rsid w:val="00D92616"/>
    <w:rsid w:val="00D92BEA"/>
    <w:rsid w:val="00DA0CA2"/>
    <w:rsid w:val="00DA3AEB"/>
    <w:rsid w:val="00DA5DF6"/>
    <w:rsid w:val="00DA604A"/>
    <w:rsid w:val="00DB4A71"/>
    <w:rsid w:val="00DB73FA"/>
    <w:rsid w:val="00DD1944"/>
    <w:rsid w:val="00DD7D24"/>
    <w:rsid w:val="00DF1A7E"/>
    <w:rsid w:val="00DF291D"/>
    <w:rsid w:val="00DF3D70"/>
    <w:rsid w:val="00DF7FEB"/>
    <w:rsid w:val="00E02BBB"/>
    <w:rsid w:val="00E03DDD"/>
    <w:rsid w:val="00E05C99"/>
    <w:rsid w:val="00E07C45"/>
    <w:rsid w:val="00E14C01"/>
    <w:rsid w:val="00E20B72"/>
    <w:rsid w:val="00E22A32"/>
    <w:rsid w:val="00E23D0E"/>
    <w:rsid w:val="00E2450C"/>
    <w:rsid w:val="00E24D77"/>
    <w:rsid w:val="00E271C7"/>
    <w:rsid w:val="00E34132"/>
    <w:rsid w:val="00E341E0"/>
    <w:rsid w:val="00E40DCE"/>
    <w:rsid w:val="00E4557A"/>
    <w:rsid w:val="00E52607"/>
    <w:rsid w:val="00E54C23"/>
    <w:rsid w:val="00E603A7"/>
    <w:rsid w:val="00E60C50"/>
    <w:rsid w:val="00E62A54"/>
    <w:rsid w:val="00E63C00"/>
    <w:rsid w:val="00E71C11"/>
    <w:rsid w:val="00E7202B"/>
    <w:rsid w:val="00E8168B"/>
    <w:rsid w:val="00E83075"/>
    <w:rsid w:val="00E844AE"/>
    <w:rsid w:val="00E8597D"/>
    <w:rsid w:val="00E861A1"/>
    <w:rsid w:val="00E91BD8"/>
    <w:rsid w:val="00E95519"/>
    <w:rsid w:val="00E974CF"/>
    <w:rsid w:val="00EA0E7C"/>
    <w:rsid w:val="00EB02ED"/>
    <w:rsid w:val="00EB2373"/>
    <w:rsid w:val="00EB3E9A"/>
    <w:rsid w:val="00EB51EC"/>
    <w:rsid w:val="00EB5F60"/>
    <w:rsid w:val="00EC54D5"/>
    <w:rsid w:val="00EC5C27"/>
    <w:rsid w:val="00EC5CC7"/>
    <w:rsid w:val="00EC7112"/>
    <w:rsid w:val="00EC7712"/>
    <w:rsid w:val="00ED15D8"/>
    <w:rsid w:val="00ED230E"/>
    <w:rsid w:val="00ED6C6F"/>
    <w:rsid w:val="00ED7F9B"/>
    <w:rsid w:val="00EE5657"/>
    <w:rsid w:val="00EE75E4"/>
    <w:rsid w:val="00EF1389"/>
    <w:rsid w:val="00EF2326"/>
    <w:rsid w:val="00EF2F0B"/>
    <w:rsid w:val="00EF4F7F"/>
    <w:rsid w:val="00EF6587"/>
    <w:rsid w:val="00F049AE"/>
    <w:rsid w:val="00F071BE"/>
    <w:rsid w:val="00F15096"/>
    <w:rsid w:val="00F15AF4"/>
    <w:rsid w:val="00F17177"/>
    <w:rsid w:val="00F17305"/>
    <w:rsid w:val="00F22014"/>
    <w:rsid w:val="00F3510F"/>
    <w:rsid w:val="00F37D57"/>
    <w:rsid w:val="00F400A1"/>
    <w:rsid w:val="00F55183"/>
    <w:rsid w:val="00F55BCF"/>
    <w:rsid w:val="00F55D18"/>
    <w:rsid w:val="00F566B3"/>
    <w:rsid w:val="00F57519"/>
    <w:rsid w:val="00F61116"/>
    <w:rsid w:val="00F61944"/>
    <w:rsid w:val="00F707BA"/>
    <w:rsid w:val="00F74A0E"/>
    <w:rsid w:val="00F804EB"/>
    <w:rsid w:val="00F84BB4"/>
    <w:rsid w:val="00F85451"/>
    <w:rsid w:val="00F868BF"/>
    <w:rsid w:val="00F95255"/>
    <w:rsid w:val="00F95E17"/>
    <w:rsid w:val="00FA45A8"/>
    <w:rsid w:val="00FA50CE"/>
    <w:rsid w:val="00FA7F1E"/>
    <w:rsid w:val="00FB7402"/>
    <w:rsid w:val="00FC3B87"/>
    <w:rsid w:val="00FC5C11"/>
    <w:rsid w:val="00FC66C0"/>
    <w:rsid w:val="00FC7155"/>
    <w:rsid w:val="00FD62FD"/>
    <w:rsid w:val="00FD7F49"/>
    <w:rsid w:val="00FE38AF"/>
    <w:rsid w:val="00FF1162"/>
    <w:rsid w:val="00FF4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073D4E8"/>
  <w15:chartTrackingRefBased/>
  <w15:docId w15:val="{D4C47A34-1606-49DA-82C7-6F1B627A6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8A9"/>
  </w:style>
  <w:style w:type="paragraph" w:styleId="Heading1">
    <w:name w:val="heading 1"/>
    <w:basedOn w:val="Normal"/>
    <w:next w:val="Normal"/>
    <w:link w:val="Heading1Char"/>
    <w:uiPriority w:val="9"/>
    <w:qFormat/>
    <w:rsid w:val="00613F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13F5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13F5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48A9"/>
    <w:rPr>
      <w:color w:val="0563C1" w:themeColor="hyperlink"/>
      <w:u w:val="single"/>
    </w:rPr>
  </w:style>
  <w:style w:type="paragraph" w:styleId="ListParagraph">
    <w:name w:val="List Paragraph"/>
    <w:basedOn w:val="Normal"/>
    <w:uiPriority w:val="1"/>
    <w:qFormat/>
    <w:rsid w:val="001448A9"/>
    <w:pPr>
      <w:ind w:left="720"/>
      <w:contextualSpacing/>
    </w:pPr>
  </w:style>
  <w:style w:type="character" w:styleId="UnresolvedMention">
    <w:name w:val="Unresolved Mention"/>
    <w:basedOn w:val="DefaultParagraphFont"/>
    <w:uiPriority w:val="99"/>
    <w:semiHidden/>
    <w:unhideWhenUsed/>
    <w:rsid w:val="001448A9"/>
    <w:rPr>
      <w:color w:val="605E5C"/>
      <w:shd w:val="clear" w:color="auto" w:fill="E1DFDD"/>
    </w:rPr>
  </w:style>
  <w:style w:type="paragraph" w:styleId="Caption">
    <w:name w:val="caption"/>
    <w:basedOn w:val="Normal"/>
    <w:next w:val="Normal"/>
    <w:uiPriority w:val="35"/>
    <w:unhideWhenUsed/>
    <w:qFormat/>
    <w:rsid w:val="00971D2C"/>
    <w:pPr>
      <w:spacing w:after="200" w:line="240" w:lineRule="auto"/>
    </w:pPr>
    <w:rPr>
      <w:i/>
      <w:iCs/>
      <w:color w:val="44546A" w:themeColor="text2"/>
      <w:sz w:val="18"/>
      <w:szCs w:val="18"/>
    </w:rPr>
  </w:style>
  <w:style w:type="paragraph" w:styleId="Header">
    <w:name w:val="header"/>
    <w:basedOn w:val="Normal"/>
    <w:link w:val="HeaderChar"/>
    <w:uiPriority w:val="99"/>
    <w:unhideWhenUsed/>
    <w:rsid w:val="00980D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0D34"/>
  </w:style>
  <w:style w:type="paragraph" w:styleId="Footer">
    <w:name w:val="footer"/>
    <w:basedOn w:val="Normal"/>
    <w:link w:val="FooterChar"/>
    <w:uiPriority w:val="99"/>
    <w:unhideWhenUsed/>
    <w:rsid w:val="00980D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0D34"/>
  </w:style>
  <w:style w:type="character" w:styleId="FollowedHyperlink">
    <w:name w:val="FollowedHyperlink"/>
    <w:basedOn w:val="DefaultParagraphFont"/>
    <w:uiPriority w:val="99"/>
    <w:semiHidden/>
    <w:unhideWhenUsed/>
    <w:rsid w:val="009277B3"/>
    <w:rPr>
      <w:color w:val="800080"/>
      <w:u w:val="single"/>
    </w:rPr>
  </w:style>
  <w:style w:type="paragraph" w:customStyle="1" w:styleId="msonormal0">
    <w:name w:val="msonormal"/>
    <w:basedOn w:val="Normal"/>
    <w:rsid w:val="009277B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9277B3"/>
    <w:pPr>
      <w:spacing w:before="100" w:beforeAutospacing="1" w:after="100" w:afterAutospacing="1" w:line="240" w:lineRule="auto"/>
    </w:pPr>
    <w:rPr>
      <w:rFonts w:ascii="Arial" w:eastAsia="Times New Roman" w:hAnsi="Arial" w:cs="Arial"/>
      <w:sz w:val="18"/>
      <w:szCs w:val="18"/>
      <w:lang w:eastAsia="en-GB"/>
    </w:rPr>
  </w:style>
  <w:style w:type="paragraph" w:customStyle="1" w:styleId="xl66">
    <w:name w:val="xl66"/>
    <w:basedOn w:val="Normal"/>
    <w:rsid w:val="009277B3"/>
    <w:pPr>
      <w:pBdr>
        <w:bottom w:val="single" w:sz="4" w:space="0" w:color="auto"/>
      </w:pBdr>
      <w:spacing w:before="100" w:beforeAutospacing="1" w:after="100" w:afterAutospacing="1" w:line="240" w:lineRule="auto"/>
    </w:pPr>
    <w:rPr>
      <w:rFonts w:ascii="Arial" w:eastAsia="Times New Roman" w:hAnsi="Arial" w:cs="Arial"/>
      <w:sz w:val="18"/>
      <w:szCs w:val="18"/>
      <w:lang w:eastAsia="en-GB"/>
    </w:rPr>
  </w:style>
  <w:style w:type="paragraph" w:customStyle="1" w:styleId="xl67">
    <w:name w:val="xl67"/>
    <w:basedOn w:val="Normal"/>
    <w:rsid w:val="009277B3"/>
    <w:pPr>
      <w:spacing w:before="100" w:beforeAutospacing="1" w:after="100" w:afterAutospacing="1" w:line="240" w:lineRule="auto"/>
    </w:pPr>
    <w:rPr>
      <w:rFonts w:ascii="Arial" w:eastAsia="Times New Roman" w:hAnsi="Arial" w:cs="Arial"/>
      <w:b/>
      <w:bCs/>
      <w:sz w:val="18"/>
      <w:szCs w:val="18"/>
      <w:lang w:eastAsia="en-GB"/>
    </w:rPr>
  </w:style>
  <w:style w:type="paragraph" w:customStyle="1" w:styleId="xl68">
    <w:name w:val="xl68"/>
    <w:basedOn w:val="Normal"/>
    <w:rsid w:val="009277B3"/>
    <w:pPr>
      <w:spacing w:before="100" w:beforeAutospacing="1" w:after="100" w:afterAutospacing="1" w:line="240" w:lineRule="auto"/>
      <w:jc w:val="right"/>
    </w:pPr>
    <w:rPr>
      <w:rFonts w:ascii="Arial" w:eastAsia="Times New Roman" w:hAnsi="Arial" w:cs="Arial"/>
      <w:sz w:val="18"/>
      <w:szCs w:val="18"/>
      <w:lang w:eastAsia="en-GB"/>
    </w:rPr>
  </w:style>
  <w:style w:type="paragraph" w:customStyle="1" w:styleId="xl69">
    <w:name w:val="xl69"/>
    <w:basedOn w:val="Normal"/>
    <w:rsid w:val="009277B3"/>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en-GB"/>
    </w:rPr>
  </w:style>
  <w:style w:type="paragraph" w:customStyle="1" w:styleId="xl70">
    <w:name w:val="xl70"/>
    <w:basedOn w:val="Normal"/>
    <w:rsid w:val="009277B3"/>
    <w:pPr>
      <w:spacing w:before="100" w:beforeAutospacing="1" w:after="100" w:afterAutospacing="1" w:line="240" w:lineRule="auto"/>
      <w:jc w:val="right"/>
    </w:pPr>
    <w:rPr>
      <w:rFonts w:ascii="Arial" w:eastAsia="Times New Roman" w:hAnsi="Arial" w:cs="Arial"/>
      <w:b/>
      <w:bCs/>
      <w:sz w:val="18"/>
      <w:szCs w:val="18"/>
      <w:lang w:eastAsia="en-GB"/>
    </w:rPr>
  </w:style>
  <w:style w:type="paragraph" w:customStyle="1" w:styleId="xl71">
    <w:name w:val="xl71"/>
    <w:basedOn w:val="Normal"/>
    <w:rsid w:val="009277B3"/>
    <w:pPr>
      <w:spacing w:before="100" w:beforeAutospacing="1" w:after="100" w:afterAutospacing="1" w:line="240" w:lineRule="auto"/>
    </w:pPr>
    <w:rPr>
      <w:rFonts w:ascii="Arial" w:eastAsia="Times New Roman" w:hAnsi="Arial" w:cs="Arial"/>
      <w:color w:val="969696"/>
      <w:sz w:val="18"/>
      <w:szCs w:val="18"/>
      <w:lang w:eastAsia="en-GB"/>
    </w:rPr>
  </w:style>
  <w:style w:type="paragraph" w:customStyle="1" w:styleId="xl72">
    <w:name w:val="xl72"/>
    <w:basedOn w:val="Normal"/>
    <w:rsid w:val="009277B3"/>
    <w:pPr>
      <w:spacing w:before="100" w:beforeAutospacing="1" w:after="100" w:afterAutospacing="1" w:line="240" w:lineRule="auto"/>
    </w:pPr>
    <w:rPr>
      <w:rFonts w:ascii="Arial" w:eastAsia="Times New Roman" w:hAnsi="Arial" w:cs="Arial"/>
      <w:b/>
      <w:bCs/>
      <w:sz w:val="24"/>
      <w:szCs w:val="24"/>
      <w:lang w:eastAsia="en-GB"/>
    </w:rPr>
  </w:style>
  <w:style w:type="paragraph" w:customStyle="1" w:styleId="xl73">
    <w:name w:val="xl73"/>
    <w:basedOn w:val="Normal"/>
    <w:rsid w:val="009277B3"/>
    <w:pPr>
      <w:pBdr>
        <w:bottom w:val="dashed" w:sz="4" w:space="0" w:color="auto"/>
      </w:pBdr>
      <w:spacing w:before="100" w:beforeAutospacing="1" w:after="100" w:afterAutospacing="1" w:line="240" w:lineRule="auto"/>
    </w:pPr>
    <w:rPr>
      <w:rFonts w:ascii="Arial" w:eastAsia="Times New Roman" w:hAnsi="Arial" w:cs="Arial"/>
      <w:i/>
      <w:iCs/>
      <w:sz w:val="18"/>
      <w:szCs w:val="18"/>
      <w:lang w:eastAsia="en-GB"/>
    </w:rPr>
  </w:style>
  <w:style w:type="paragraph" w:customStyle="1" w:styleId="xl74">
    <w:name w:val="xl74"/>
    <w:basedOn w:val="Normal"/>
    <w:rsid w:val="009277B3"/>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5">
    <w:name w:val="xl75"/>
    <w:basedOn w:val="Normal"/>
    <w:rsid w:val="009277B3"/>
    <w:pPr>
      <w:pBdr>
        <w:top w:val="dashed" w:sz="4" w:space="0" w:color="auto"/>
      </w:pBdr>
      <w:spacing w:before="100" w:beforeAutospacing="1" w:after="100" w:afterAutospacing="1" w:line="240" w:lineRule="auto"/>
    </w:pPr>
    <w:rPr>
      <w:rFonts w:ascii="Arial" w:eastAsia="Times New Roman" w:hAnsi="Arial" w:cs="Arial"/>
      <w:sz w:val="18"/>
      <w:szCs w:val="18"/>
      <w:lang w:eastAsia="en-GB"/>
    </w:rPr>
  </w:style>
  <w:style w:type="paragraph" w:customStyle="1" w:styleId="xl76">
    <w:name w:val="xl76"/>
    <w:basedOn w:val="Normal"/>
    <w:rsid w:val="009277B3"/>
    <w:pPr>
      <w:pBdr>
        <w:top w:val="dashed"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7">
    <w:name w:val="xl77"/>
    <w:basedOn w:val="Normal"/>
    <w:rsid w:val="009277B3"/>
    <w:pPr>
      <w:pBdr>
        <w:top w:val="dashed" w:sz="4" w:space="0" w:color="auto"/>
      </w:pBdr>
      <w:spacing w:before="100" w:beforeAutospacing="1" w:after="100" w:afterAutospacing="1" w:line="240" w:lineRule="auto"/>
    </w:pPr>
    <w:rPr>
      <w:rFonts w:ascii="Arial" w:eastAsia="Times New Roman" w:hAnsi="Arial" w:cs="Arial"/>
      <w:color w:val="969696"/>
      <w:sz w:val="18"/>
      <w:szCs w:val="18"/>
      <w:lang w:eastAsia="en-GB"/>
    </w:rPr>
  </w:style>
  <w:style w:type="paragraph" w:customStyle="1" w:styleId="xl78">
    <w:name w:val="xl78"/>
    <w:basedOn w:val="Normal"/>
    <w:rsid w:val="009277B3"/>
    <w:pPr>
      <w:pBdr>
        <w:top w:val="dashed" w:sz="4" w:space="0" w:color="auto"/>
      </w:pBdr>
      <w:spacing w:before="100" w:beforeAutospacing="1" w:after="100" w:afterAutospacing="1" w:line="240" w:lineRule="auto"/>
      <w:jc w:val="right"/>
    </w:pPr>
    <w:rPr>
      <w:rFonts w:ascii="Arial" w:eastAsia="Times New Roman" w:hAnsi="Arial" w:cs="Arial"/>
      <w:sz w:val="18"/>
      <w:szCs w:val="18"/>
      <w:lang w:eastAsia="en-GB"/>
    </w:rPr>
  </w:style>
  <w:style w:type="paragraph" w:customStyle="1" w:styleId="xl79">
    <w:name w:val="xl79"/>
    <w:basedOn w:val="Normal"/>
    <w:rsid w:val="009277B3"/>
    <w:pPr>
      <w:pBdr>
        <w:bottom w:val="single" w:sz="4" w:space="0" w:color="auto"/>
      </w:pBdr>
      <w:spacing w:before="100" w:beforeAutospacing="1" w:after="100" w:afterAutospacing="1" w:line="240" w:lineRule="auto"/>
    </w:pPr>
    <w:rPr>
      <w:rFonts w:ascii="Arial" w:eastAsia="Times New Roman" w:hAnsi="Arial" w:cs="Arial"/>
      <w:color w:val="969696"/>
      <w:sz w:val="18"/>
      <w:szCs w:val="18"/>
      <w:lang w:eastAsia="en-GB"/>
    </w:rPr>
  </w:style>
  <w:style w:type="paragraph" w:customStyle="1" w:styleId="xl80">
    <w:name w:val="xl80"/>
    <w:basedOn w:val="Normal"/>
    <w:rsid w:val="009277B3"/>
    <w:pPr>
      <w:spacing w:before="100" w:beforeAutospacing="1" w:after="100" w:afterAutospacing="1" w:line="240" w:lineRule="auto"/>
    </w:pPr>
    <w:rPr>
      <w:rFonts w:ascii="Arial" w:eastAsia="Times New Roman" w:hAnsi="Arial" w:cs="Arial"/>
      <w:sz w:val="18"/>
      <w:szCs w:val="18"/>
      <w:lang w:eastAsia="en-GB"/>
    </w:rPr>
  </w:style>
  <w:style w:type="paragraph" w:customStyle="1" w:styleId="xl81">
    <w:name w:val="xl81"/>
    <w:basedOn w:val="Normal"/>
    <w:rsid w:val="009277B3"/>
    <w:pPr>
      <w:pBdr>
        <w:bottom w:val="single" w:sz="4" w:space="0" w:color="auto"/>
      </w:pBdr>
      <w:spacing w:before="100" w:beforeAutospacing="1" w:after="100" w:afterAutospacing="1" w:line="240" w:lineRule="auto"/>
    </w:pPr>
    <w:rPr>
      <w:rFonts w:ascii="Arial" w:eastAsia="Times New Roman" w:hAnsi="Arial" w:cs="Arial"/>
      <w:sz w:val="18"/>
      <w:szCs w:val="18"/>
      <w:lang w:eastAsia="en-GB"/>
    </w:rPr>
  </w:style>
  <w:style w:type="paragraph" w:customStyle="1" w:styleId="xl82">
    <w:name w:val="xl82"/>
    <w:basedOn w:val="Normal"/>
    <w:rsid w:val="009277B3"/>
    <w:pPr>
      <w:spacing w:before="100" w:beforeAutospacing="1" w:after="100" w:afterAutospacing="1" w:line="240" w:lineRule="auto"/>
    </w:pPr>
    <w:rPr>
      <w:rFonts w:ascii="Arial" w:eastAsia="Times New Roman" w:hAnsi="Arial" w:cs="Arial"/>
      <w:color w:val="969696"/>
      <w:sz w:val="18"/>
      <w:szCs w:val="18"/>
      <w:lang w:eastAsia="en-GB"/>
    </w:rPr>
  </w:style>
  <w:style w:type="paragraph" w:customStyle="1" w:styleId="xl83">
    <w:name w:val="xl83"/>
    <w:basedOn w:val="Normal"/>
    <w:rsid w:val="009277B3"/>
    <w:pPr>
      <w:spacing w:before="100" w:beforeAutospacing="1" w:after="100" w:afterAutospacing="1" w:line="240" w:lineRule="auto"/>
    </w:pPr>
    <w:rPr>
      <w:rFonts w:ascii="Arial" w:eastAsia="Times New Roman" w:hAnsi="Arial" w:cs="Arial"/>
      <w:color w:val="969696"/>
      <w:sz w:val="18"/>
      <w:szCs w:val="18"/>
      <w:lang w:eastAsia="en-GB"/>
    </w:rPr>
  </w:style>
  <w:style w:type="paragraph" w:customStyle="1" w:styleId="Normal0">
    <w:name w:val="[Normal]"/>
    <w:rsid w:val="009B0C2D"/>
    <w:pPr>
      <w:widowControl w:val="0"/>
      <w:autoSpaceDE w:val="0"/>
      <w:autoSpaceDN w:val="0"/>
      <w:adjustRightInd w:val="0"/>
      <w:spacing w:after="0" w:line="240" w:lineRule="auto"/>
    </w:pPr>
    <w:rPr>
      <w:rFonts w:ascii="Arial" w:hAnsi="Arial" w:cs="Arial"/>
      <w:sz w:val="24"/>
      <w:szCs w:val="24"/>
    </w:rPr>
  </w:style>
  <w:style w:type="character" w:styleId="CommentReference">
    <w:name w:val="annotation reference"/>
    <w:basedOn w:val="DefaultParagraphFont"/>
    <w:uiPriority w:val="99"/>
    <w:semiHidden/>
    <w:unhideWhenUsed/>
    <w:rsid w:val="004B4E9F"/>
    <w:rPr>
      <w:sz w:val="16"/>
      <w:szCs w:val="16"/>
    </w:rPr>
  </w:style>
  <w:style w:type="paragraph" w:styleId="CommentText">
    <w:name w:val="annotation text"/>
    <w:basedOn w:val="Normal"/>
    <w:link w:val="CommentTextChar"/>
    <w:uiPriority w:val="99"/>
    <w:semiHidden/>
    <w:unhideWhenUsed/>
    <w:rsid w:val="004B4E9F"/>
    <w:pPr>
      <w:spacing w:line="240" w:lineRule="auto"/>
    </w:pPr>
    <w:rPr>
      <w:sz w:val="20"/>
      <w:szCs w:val="20"/>
    </w:rPr>
  </w:style>
  <w:style w:type="character" w:customStyle="1" w:styleId="CommentTextChar">
    <w:name w:val="Comment Text Char"/>
    <w:basedOn w:val="DefaultParagraphFont"/>
    <w:link w:val="CommentText"/>
    <w:uiPriority w:val="99"/>
    <w:semiHidden/>
    <w:rsid w:val="004B4E9F"/>
    <w:rPr>
      <w:sz w:val="20"/>
      <w:szCs w:val="20"/>
    </w:rPr>
  </w:style>
  <w:style w:type="paragraph" w:styleId="CommentSubject">
    <w:name w:val="annotation subject"/>
    <w:basedOn w:val="CommentText"/>
    <w:next w:val="CommentText"/>
    <w:link w:val="CommentSubjectChar"/>
    <w:uiPriority w:val="99"/>
    <w:semiHidden/>
    <w:unhideWhenUsed/>
    <w:rsid w:val="004B4E9F"/>
    <w:rPr>
      <w:b/>
      <w:bCs/>
    </w:rPr>
  </w:style>
  <w:style w:type="character" w:customStyle="1" w:styleId="CommentSubjectChar">
    <w:name w:val="Comment Subject Char"/>
    <w:basedOn w:val="CommentTextChar"/>
    <w:link w:val="CommentSubject"/>
    <w:uiPriority w:val="99"/>
    <w:semiHidden/>
    <w:rsid w:val="004B4E9F"/>
    <w:rPr>
      <w:b/>
      <w:bCs/>
      <w:sz w:val="20"/>
      <w:szCs w:val="20"/>
    </w:rPr>
  </w:style>
  <w:style w:type="paragraph" w:styleId="BalloonText">
    <w:name w:val="Balloon Text"/>
    <w:basedOn w:val="Normal"/>
    <w:link w:val="BalloonTextChar"/>
    <w:uiPriority w:val="99"/>
    <w:semiHidden/>
    <w:unhideWhenUsed/>
    <w:rsid w:val="004B4E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E9F"/>
    <w:rPr>
      <w:rFonts w:ascii="Segoe UI" w:hAnsi="Segoe UI" w:cs="Segoe UI"/>
      <w:sz w:val="18"/>
      <w:szCs w:val="18"/>
    </w:rPr>
  </w:style>
  <w:style w:type="paragraph" w:styleId="BodyTextIndent">
    <w:name w:val="Body Text Indent"/>
    <w:basedOn w:val="Normal"/>
    <w:link w:val="BodyTextIndentChar"/>
    <w:rsid w:val="00691FF7"/>
    <w:pPr>
      <w:spacing w:after="0" w:line="240" w:lineRule="auto"/>
      <w:ind w:left="720" w:hanging="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691FF7"/>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613F5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13F5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13F59"/>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0976D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76DE"/>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99"/>
    <w:unhideWhenUsed/>
    <w:rsid w:val="00CE1EB4"/>
    <w:pPr>
      <w:spacing w:after="120"/>
    </w:pPr>
  </w:style>
  <w:style w:type="character" w:customStyle="1" w:styleId="BodyTextChar">
    <w:name w:val="Body Text Char"/>
    <w:basedOn w:val="DefaultParagraphFont"/>
    <w:link w:val="BodyText"/>
    <w:uiPriority w:val="99"/>
    <w:rsid w:val="00CE1EB4"/>
  </w:style>
  <w:style w:type="table" w:styleId="TableGrid">
    <w:name w:val="Table Grid"/>
    <w:basedOn w:val="TableNormal"/>
    <w:uiPriority w:val="39"/>
    <w:rsid w:val="009479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D43EBE"/>
    <w:pPr>
      <w:spacing w:after="0" w:line="240" w:lineRule="auto"/>
    </w:pPr>
    <w:rPr>
      <w:rFonts w:ascii="Garamond" w:eastAsia="Times New Roman" w:hAnsi="Garamond" w:cs="Angsana New"/>
      <w:sz w:val="20"/>
      <w:szCs w:val="20"/>
    </w:rPr>
  </w:style>
  <w:style w:type="character" w:customStyle="1" w:styleId="FootnoteTextChar">
    <w:name w:val="Footnote Text Char"/>
    <w:basedOn w:val="DefaultParagraphFont"/>
    <w:link w:val="FootnoteText"/>
    <w:semiHidden/>
    <w:rsid w:val="00D43EBE"/>
    <w:rPr>
      <w:rFonts w:ascii="Garamond" w:eastAsia="Times New Roman" w:hAnsi="Garamond" w:cs="Angsana New"/>
      <w:sz w:val="20"/>
      <w:szCs w:val="20"/>
    </w:rPr>
  </w:style>
  <w:style w:type="character" w:styleId="FootnoteReference">
    <w:name w:val="footnote reference"/>
    <w:semiHidden/>
    <w:rsid w:val="00D43EBE"/>
    <w:rPr>
      <w:vertAlign w:val="superscript"/>
    </w:rPr>
  </w:style>
  <w:style w:type="paragraph" w:styleId="Revision">
    <w:name w:val="Revision"/>
    <w:hidden/>
    <w:uiPriority w:val="99"/>
    <w:semiHidden/>
    <w:rsid w:val="00993250"/>
    <w:pPr>
      <w:spacing w:after="0" w:line="240" w:lineRule="auto"/>
    </w:pPr>
  </w:style>
  <w:style w:type="character" w:styleId="EndnoteReference">
    <w:name w:val="endnote reference"/>
    <w:basedOn w:val="DefaultParagraphFont"/>
    <w:uiPriority w:val="99"/>
    <w:semiHidden/>
    <w:unhideWhenUsed/>
    <w:rsid w:val="005E0B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571345">
      <w:bodyDiv w:val="1"/>
      <w:marLeft w:val="0"/>
      <w:marRight w:val="0"/>
      <w:marTop w:val="0"/>
      <w:marBottom w:val="0"/>
      <w:divBdr>
        <w:top w:val="none" w:sz="0" w:space="0" w:color="auto"/>
        <w:left w:val="none" w:sz="0" w:space="0" w:color="auto"/>
        <w:bottom w:val="none" w:sz="0" w:space="0" w:color="auto"/>
        <w:right w:val="none" w:sz="0" w:space="0" w:color="auto"/>
      </w:divBdr>
    </w:div>
    <w:div w:id="256640222">
      <w:bodyDiv w:val="1"/>
      <w:marLeft w:val="0"/>
      <w:marRight w:val="0"/>
      <w:marTop w:val="0"/>
      <w:marBottom w:val="0"/>
      <w:divBdr>
        <w:top w:val="none" w:sz="0" w:space="0" w:color="auto"/>
        <w:left w:val="none" w:sz="0" w:space="0" w:color="auto"/>
        <w:bottom w:val="none" w:sz="0" w:space="0" w:color="auto"/>
        <w:right w:val="none" w:sz="0" w:space="0" w:color="auto"/>
      </w:divBdr>
    </w:div>
    <w:div w:id="292759426">
      <w:bodyDiv w:val="1"/>
      <w:marLeft w:val="0"/>
      <w:marRight w:val="0"/>
      <w:marTop w:val="0"/>
      <w:marBottom w:val="0"/>
      <w:divBdr>
        <w:top w:val="none" w:sz="0" w:space="0" w:color="auto"/>
        <w:left w:val="none" w:sz="0" w:space="0" w:color="auto"/>
        <w:bottom w:val="none" w:sz="0" w:space="0" w:color="auto"/>
        <w:right w:val="none" w:sz="0" w:space="0" w:color="auto"/>
      </w:divBdr>
    </w:div>
    <w:div w:id="329648940">
      <w:bodyDiv w:val="1"/>
      <w:marLeft w:val="0"/>
      <w:marRight w:val="0"/>
      <w:marTop w:val="0"/>
      <w:marBottom w:val="0"/>
      <w:divBdr>
        <w:top w:val="none" w:sz="0" w:space="0" w:color="auto"/>
        <w:left w:val="none" w:sz="0" w:space="0" w:color="auto"/>
        <w:bottom w:val="none" w:sz="0" w:space="0" w:color="auto"/>
        <w:right w:val="none" w:sz="0" w:space="0" w:color="auto"/>
      </w:divBdr>
    </w:div>
    <w:div w:id="438985108">
      <w:bodyDiv w:val="1"/>
      <w:marLeft w:val="0"/>
      <w:marRight w:val="0"/>
      <w:marTop w:val="0"/>
      <w:marBottom w:val="0"/>
      <w:divBdr>
        <w:top w:val="none" w:sz="0" w:space="0" w:color="auto"/>
        <w:left w:val="none" w:sz="0" w:space="0" w:color="auto"/>
        <w:bottom w:val="none" w:sz="0" w:space="0" w:color="auto"/>
        <w:right w:val="none" w:sz="0" w:space="0" w:color="auto"/>
      </w:divBdr>
    </w:div>
    <w:div w:id="606037696">
      <w:bodyDiv w:val="1"/>
      <w:marLeft w:val="0"/>
      <w:marRight w:val="0"/>
      <w:marTop w:val="0"/>
      <w:marBottom w:val="0"/>
      <w:divBdr>
        <w:top w:val="none" w:sz="0" w:space="0" w:color="auto"/>
        <w:left w:val="none" w:sz="0" w:space="0" w:color="auto"/>
        <w:bottom w:val="none" w:sz="0" w:space="0" w:color="auto"/>
        <w:right w:val="none" w:sz="0" w:space="0" w:color="auto"/>
      </w:divBdr>
    </w:div>
    <w:div w:id="692070840">
      <w:bodyDiv w:val="1"/>
      <w:marLeft w:val="0"/>
      <w:marRight w:val="0"/>
      <w:marTop w:val="0"/>
      <w:marBottom w:val="0"/>
      <w:divBdr>
        <w:top w:val="none" w:sz="0" w:space="0" w:color="auto"/>
        <w:left w:val="none" w:sz="0" w:space="0" w:color="auto"/>
        <w:bottom w:val="none" w:sz="0" w:space="0" w:color="auto"/>
        <w:right w:val="none" w:sz="0" w:space="0" w:color="auto"/>
      </w:divBdr>
    </w:div>
    <w:div w:id="790248699">
      <w:bodyDiv w:val="1"/>
      <w:marLeft w:val="0"/>
      <w:marRight w:val="0"/>
      <w:marTop w:val="0"/>
      <w:marBottom w:val="0"/>
      <w:divBdr>
        <w:top w:val="none" w:sz="0" w:space="0" w:color="auto"/>
        <w:left w:val="none" w:sz="0" w:space="0" w:color="auto"/>
        <w:bottom w:val="none" w:sz="0" w:space="0" w:color="auto"/>
        <w:right w:val="none" w:sz="0" w:space="0" w:color="auto"/>
      </w:divBdr>
    </w:div>
    <w:div w:id="831603947">
      <w:bodyDiv w:val="1"/>
      <w:marLeft w:val="0"/>
      <w:marRight w:val="0"/>
      <w:marTop w:val="0"/>
      <w:marBottom w:val="0"/>
      <w:divBdr>
        <w:top w:val="none" w:sz="0" w:space="0" w:color="auto"/>
        <w:left w:val="none" w:sz="0" w:space="0" w:color="auto"/>
        <w:bottom w:val="none" w:sz="0" w:space="0" w:color="auto"/>
        <w:right w:val="none" w:sz="0" w:space="0" w:color="auto"/>
      </w:divBdr>
    </w:div>
    <w:div w:id="1052460194">
      <w:bodyDiv w:val="1"/>
      <w:marLeft w:val="0"/>
      <w:marRight w:val="0"/>
      <w:marTop w:val="0"/>
      <w:marBottom w:val="0"/>
      <w:divBdr>
        <w:top w:val="none" w:sz="0" w:space="0" w:color="auto"/>
        <w:left w:val="none" w:sz="0" w:space="0" w:color="auto"/>
        <w:bottom w:val="none" w:sz="0" w:space="0" w:color="auto"/>
        <w:right w:val="none" w:sz="0" w:space="0" w:color="auto"/>
      </w:divBdr>
    </w:div>
    <w:div w:id="1131707952">
      <w:bodyDiv w:val="1"/>
      <w:marLeft w:val="0"/>
      <w:marRight w:val="0"/>
      <w:marTop w:val="0"/>
      <w:marBottom w:val="0"/>
      <w:divBdr>
        <w:top w:val="none" w:sz="0" w:space="0" w:color="auto"/>
        <w:left w:val="none" w:sz="0" w:space="0" w:color="auto"/>
        <w:bottom w:val="none" w:sz="0" w:space="0" w:color="auto"/>
        <w:right w:val="none" w:sz="0" w:space="0" w:color="auto"/>
      </w:divBdr>
    </w:div>
    <w:div w:id="1199732708">
      <w:bodyDiv w:val="1"/>
      <w:marLeft w:val="0"/>
      <w:marRight w:val="0"/>
      <w:marTop w:val="0"/>
      <w:marBottom w:val="0"/>
      <w:divBdr>
        <w:top w:val="none" w:sz="0" w:space="0" w:color="auto"/>
        <w:left w:val="none" w:sz="0" w:space="0" w:color="auto"/>
        <w:bottom w:val="none" w:sz="0" w:space="0" w:color="auto"/>
        <w:right w:val="none" w:sz="0" w:space="0" w:color="auto"/>
      </w:divBdr>
    </w:div>
    <w:div w:id="1257445656">
      <w:bodyDiv w:val="1"/>
      <w:marLeft w:val="0"/>
      <w:marRight w:val="0"/>
      <w:marTop w:val="0"/>
      <w:marBottom w:val="0"/>
      <w:divBdr>
        <w:top w:val="none" w:sz="0" w:space="0" w:color="auto"/>
        <w:left w:val="none" w:sz="0" w:space="0" w:color="auto"/>
        <w:bottom w:val="none" w:sz="0" w:space="0" w:color="auto"/>
        <w:right w:val="none" w:sz="0" w:space="0" w:color="auto"/>
      </w:divBdr>
    </w:div>
    <w:div w:id="1395616175">
      <w:bodyDiv w:val="1"/>
      <w:marLeft w:val="0"/>
      <w:marRight w:val="0"/>
      <w:marTop w:val="0"/>
      <w:marBottom w:val="0"/>
      <w:divBdr>
        <w:top w:val="none" w:sz="0" w:space="0" w:color="auto"/>
        <w:left w:val="none" w:sz="0" w:space="0" w:color="auto"/>
        <w:bottom w:val="none" w:sz="0" w:space="0" w:color="auto"/>
        <w:right w:val="none" w:sz="0" w:space="0" w:color="auto"/>
      </w:divBdr>
    </w:div>
    <w:div w:id="1450125292">
      <w:bodyDiv w:val="1"/>
      <w:marLeft w:val="0"/>
      <w:marRight w:val="0"/>
      <w:marTop w:val="0"/>
      <w:marBottom w:val="0"/>
      <w:divBdr>
        <w:top w:val="none" w:sz="0" w:space="0" w:color="auto"/>
        <w:left w:val="none" w:sz="0" w:space="0" w:color="auto"/>
        <w:bottom w:val="none" w:sz="0" w:space="0" w:color="auto"/>
        <w:right w:val="none" w:sz="0" w:space="0" w:color="auto"/>
      </w:divBdr>
    </w:div>
    <w:div w:id="1463957405">
      <w:bodyDiv w:val="1"/>
      <w:marLeft w:val="0"/>
      <w:marRight w:val="0"/>
      <w:marTop w:val="0"/>
      <w:marBottom w:val="0"/>
      <w:divBdr>
        <w:top w:val="none" w:sz="0" w:space="0" w:color="auto"/>
        <w:left w:val="none" w:sz="0" w:space="0" w:color="auto"/>
        <w:bottom w:val="none" w:sz="0" w:space="0" w:color="auto"/>
        <w:right w:val="none" w:sz="0" w:space="0" w:color="auto"/>
      </w:divBdr>
    </w:div>
    <w:div w:id="1484199498">
      <w:bodyDiv w:val="1"/>
      <w:marLeft w:val="0"/>
      <w:marRight w:val="0"/>
      <w:marTop w:val="0"/>
      <w:marBottom w:val="0"/>
      <w:divBdr>
        <w:top w:val="none" w:sz="0" w:space="0" w:color="auto"/>
        <w:left w:val="none" w:sz="0" w:space="0" w:color="auto"/>
        <w:bottom w:val="none" w:sz="0" w:space="0" w:color="auto"/>
        <w:right w:val="none" w:sz="0" w:space="0" w:color="auto"/>
      </w:divBdr>
    </w:div>
    <w:div w:id="1568952117">
      <w:bodyDiv w:val="1"/>
      <w:marLeft w:val="0"/>
      <w:marRight w:val="0"/>
      <w:marTop w:val="0"/>
      <w:marBottom w:val="0"/>
      <w:divBdr>
        <w:top w:val="none" w:sz="0" w:space="0" w:color="auto"/>
        <w:left w:val="none" w:sz="0" w:space="0" w:color="auto"/>
        <w:bottom w:val="none" w:sz="0" w:space="0" w:color="auto"/>
        <w:right w:val="none" w:sz="0" w:space="0" w:color="auto"/>
      </w:divBdr>
    </w:div>
    <w:div w:id="1616909595">
      <w:bodyDiv w:val="1"/>
      <w:marLeft w:val="0"/>
      <w:marRight w:val="0"/>
      <w:marTop w:val="0"/>
      <w:marBottom w:val="0"/>
      <w:divBdr>
        <w:top w:val="none" w:sz="0" w:space="0" w:color="auto"/>
        <w:left w:val="none" w:sz="0" w:space="0" w:color="auto"/>
        <w:bottom w:val="none" w:sz="0" w:space="0" w:color="auto"/>
        <w:right w:val="none" w:sz="0" w:space="0" w:color="auto"/>
      </w:divBdr>
    </w:div>
    <w:div w:id="1700087401">
      <w:bodyDiv w:val="1"/>
      <w:marLeft w:val="0"/>
      <w:marRight w:val="0"/>
      <w:marTop w:val="0"/>
      <w:marBottom w:val="0"/>
      <w:divBdr>
        <w:top w:val="none" w:sz="0" w:space="0" w:color="auto"/>
        <w:left w:val="none" w:sz="0" w:space="0" w:color="auto"/>
        <w:bottom w:val="none" w:sz="0" w:space="0" w:color="auto"/>
        <w:right w:val="none" w:sz="0" w:space="0" w:color="auto"/>
      </w:divBdr>
    </w:div>
    <w:div w:id="1727795845">
      <w:bodyDiv w:val="1"/>
      <w:marLeft w:val="0"/>
      <w:marRight w:val="0"/>
      <w:marTop w:val="0"/>
      <w:marBottom w:val="0"/>
      <w:divBdr>
        <w:top w:val="none" w:sz="0" w:space="0" w:color="auto"/>
        <w:left w:val="none" w:sz="0" w:space="0" w:color="auto"/>
        <w:bottom w:val="none" w:sz="0" w:space="0" w:color="auto"/>
        <w:right w:val="none" w:sz="0" w:space="0" w:color="auto"/>
      </w:divBdr>
    </w:div>
    <w:div w:id="1776173547">
      <w:bodyDiv w:val="1"/>
      <w:marLeft w:val="0"/>
      <w:marRight w:val="0"/>
      <w:marTop w:val="0"/>
      <w:marBottom w:val="0"/>
      <w:divBdr>
        <w:top w:val="none" w:sz="0" w:space="0" w:color="auto"/>
        <w:left w:val="none" w:sz="0" w:space="0" w:color="auto"/>
        <w:bottom w:val="none" w:sz="0" w:space="0" w:color="auto"/>
        <w:right w:val="none" w:sz="0" w:space="0" w:color="auto"/>
      </w:divBdr>
    </w:div>
    <w:div w:id="1817793760">
      <w:bodyDiv w:val="1"/>
      <w:marLeft w:val="0"/>
      <w:marRight w:val="0"/>
      <w:marTop w:val="0"/>
      <w:marBottom w:val="0"/>
      <w:divBdr>
        <w:top w:val="none" w:sz="0" w:space="0" w:color="auto"/>
        <w:left w:val="none" w:sz="0" w:space="0" w:color="auto"/>
        <w:bottom w:val="none" w:sz="0" w:space="0" w:color="auto"/>
        <w:right w:val="none" w:sz="0" w:space="0" w:color="auto"/>
      </w:divBdr>
    </w:div>
    <w:div w:id="1821922900">
      <w:bodyDiv w:val="1"/>
      <w:marLeft w:val="0"/>
      <w:marRight w:val="0"/>
      <w:marTop w:val="0"/>
      <w:marBottom w:val="0"/>
      <w:divBdr>
        <w:top w:val="none" w:sz="0" w:space="0" w:color="auto"/>
        <w:left w:val="none" w:sz="0" w:space="0" w:color="auto"/>
        <w:bottom w:val="none" w:sz="0" w:space="0" w:color="auto"/>
        <w:right w:val="none" w:sz="0" w:space="0" w:color="auto"/>
      </w:divBdr>
    </w:div>
    <w:div w:id="1896622694">
      <w:bodyDiv w:val="1"/>
      <w:marLeft w:val="0"/>
      <w:marRight w:val="0"/>
      <w:marTop w:val="0"/>
      <w:marBottom w:val="0"/>
      <w:divBdr>
        <w:top w:val="none" w:sz="0" w:space="0" w:color="auto"/>
        <w:left w:val="none" w:sz="0" w:space="0" w:color="auto"/>
        <w:bottom w:val="none" w:sz="0" w:space="0" w:color="auto"/>
        <w:right w:val="none" w:sz="0" w:space="0" w:color="auto"/>
      </w:divBdr>
    </w:div>
    <w:div w:id="1966154676">
      <w:bodyDiv w:val="1"/>
      <w:marLeft w:val="0"/>
      <w:marRight w:val="0"/>
      <w:marTop w:val="0"/>
      <w:marBottom w:val="0"/>
      <w:divBdr>
        <w:top w:val="none" w:sz="0" w:space="0" w:color="auto"/>
        <w:left w:val="none" w:sz="0" w:space="0" w:color="auto"/>
        <w:bottom w:val="none" w:sz="0" w:space="0" w:color="auto"/>
        <w:right w:val="none" w:sz="0" w:space="0" w:color="auto"/>
      </w:divBdr>
    </w:div>
    <w:div w:id="2047833912">
      <w:bodyDiv w:val="1"/>
      <w:marLeft w:val="0"/>
      <w:marRight w:val="0"/>
      <w:marTop w:val="0"/>
      <w:marBottom w:val="0"/>
      <w:divBdr>
        <w:top w:val="none" w:sz="0" w:space="0" w:color="auto"/>
        <w:left w:val="none" w:sz="0" w:space="0" w:color="auto"/>
        <w:bottom w:val="none" w:sz="0" w:space="0" w:color="auto"/>
        <w:right w:val="none" w:sz="0" w:space="0" w:color="auto"/>
      </w:divBdr>
    </w:div>
    <w:div w:id="207369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j.bracher@soton.ac.uk)1" TargetMode="External"/><Relationship Id="rId13" Type="http://schemas.openxmlformats.org/officeDocument/2006/relationships/hyperlink" Target="mailto:m.j.bracher@soton.ac.uk"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long@soton.ac.uk"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en.gillan@nhsbt.nhs.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mma.winstanley@nhsbt.nhs.uk"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b.c.madi-segwagwe@soton.ac.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FB0911783C1D442BD1CF19F4570B3A4" ma:contentTypeVersion="8" ma:contentTypeDescription="Create a new document." ma:contentTypeScope="" ma:versionID="749fa0c4f2566f7ed4231babf7680e3d">
  <xsd:schema xmlns:xsd="http://www.w3.org/2001/XMLSchema" xmlns:xs="http://www.w3.org/2001/XMLSchema" xmlns:p="http://schemas.microsoft.com/office/2006/metadata/properties" xmlns:ns2="349c52c3-7488-4a9e-99a0-500ebff2edd8" targetNamespace="http://schemas.microsoft.com/office/2006/metadata/properties" ma:root="true" ma:fieldsID="d6772444f1053776fbccdaf0e906c39e" ns2:_="">
    <xsd:import namespace="349c52c3-7488-4a9e-99a0-500ebff2ed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9c52c3-7488-4a9e-99a0-500ebff2ed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88776A-2295-47CC-864B-5C681639E1A9}">
  <ds:schemaRefs>
    <ds:schemaRef ds:uri="http://schemas.openxmlformats.org/officeDocument/2006/bibliography"/>
  </ds:schemaRefs>
</ds:datastoreItem>
</file>

<file path=customXml/itemProps2.xml><?xml version="1.0" encoding="utf-8"?>
<ds:datastoreItem xmlns:ds="http://schemas.openxmlformats.org/officeDocument/2006/customXml" ds:itemID="{6424C372-4540-4ED8-B07A-28F52F9F03FB}"/>
</file>

<file path=customXml/itemProps3.xml><?xml version="1.0" encoding="utf-8"?>
<ds:datastoreItem xmlns:ds="http://schemas.openxmlformats.org/officeDocument/2006/customXml" ds:itemID="{D3E751D8-0A37-42C4-9608-2C3E0471C38B}"/>
</file>

<file path=customXml/itemProps4.xml><?xml version="1.0" encoding="utf-8"?>
<ds:datastoreItem xmlns:ds="http://schemas.openxmlformats.org/officeDocument/2006/customXml" ds:itemID="{9C269E5E-5160-40E6-8B01-CC34B554E390}"/>
</file>

<file path=docProps/app.xml><?xml version="1.0" encoding="utf-8"?>
<Properties xmlns="http://schemas.openxmlformats.org/officeDocument/2006/extended-properties" xmlns:vt="http://schemas.openxmlformats.org/officeDocument/2006/docPropsVTypes">
  <Template>Normal.dotm</Template>
  <TotalTime>1</TotalTime>
  <Pages>1</Pages>
  <Words>29277</Words>
  <Characters>166882</Characters>
  <Application>Microsoft Office Word</Application>
  <DocSecurity>0</DocSecurity>
  <Lines>1390</Lines>
  <Paragraphs>391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Bracher M.</dc:creator>
  <cp:keywords/>
  <dc:description/>
  <cp:lastModifiedBy>Michael Bracher</cp:lastModifiedBy>
  <cp:revision>2</cp:revision>
  <cp:lastPrinted>2020-07-08T08:48:00Z</cp:lastPrinted>
  <dcterms:created xsi:type="dcterms:W3CDTF">2021-07-09T09:36:00Z</dcterms:created>
  <dcterms:modified xsi:type="dcterms:W3CDTF">2021-07-09T09:36:00Z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http://www.zotero.org/styles/bmj-open</vt:lpwstr>
  </property>
  <property fmtid="{D5CDD505-2E9C-101B-9397-08002B2CF9AE}" pid="7" name="Mendeley Recent Style Name 2_1">
    <vt:lpwstr>BMJ Open</vt:lpwstr>
  </property>
  <property fmtid="{D5CDD505-2E9C-101B-9397-08002B2CF9AE}" pid="8" name="Mendeley Recent Style Id 3_1">
    <vt:lpwstr>http://www.zotero.org/styles/cancers</vt:lpwstr>
  </property>
  <property fmtid="{D5CDD505-2E9C-101B-9397-08002B2CF9AE}" pid="9" name="Mendeley Recent Style Name 3_1">
    <vt:lpwstr>Cancers</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http://www.zotero.org/styles/frontiers-in-bioengineering-and-biotechnology</vt:lpwstr>
  </property>
  <property fmtid="{D5CDD505-2E9C-101B-9397-08002B2CF9AE}" pid="13" name="Mendeley Recent Style Name 5_1">
    <vt:lpwstr>Frontiers in Bioengineering and Biotechnology</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http://csl.mendeley.com/styles/480846971/vancouver</vt:lpwstr>
  </property>
  <property fmtid="{D5CDD505-2E9C-101B-9397-08002B2CF9AE}" pid="21" name="Mendeley Recent Style Name 9_1">
    <vt:lpwstr>Vancouver - Sam Trace</vt:lpwstr>
  </property>
  <property fmtid="{D5CDD505-2E9C-101B-9397-08002B2CF9AE}" pid="22" name="Mendeley Document_1">
    <vt:lpwstr>True</vt:lpwstr>
  </property>
  <property fmtid="{D5CDD505-2E9C-101B-9397-08002B2CF9AE}" pid="23" name="Mendeley Unique User Id_1">
    <vt:lpwstr>771ea4e1-f928-31dd-9c4f-03a840a0e304</vt:lpwstr>
  </property>
  <property fmtid="{D5CDD505-2E9C-101B-9397-08002B2CF9AE}" pid="24" name="Mendeley Citation Style_1">
    <vt:lpwstr>http://www.zotero.org/styles/bmj-open</vt:lpwstr>
  </property>
  <property fmtid="{D5CDD505-2E9C-101B-9397-08002B2CF9AE}" pid="25" name="ContentTypeId">
    <vt:lpwstr>0x0101009FB0911783C1D442BD1CF19F4570B3A4</vt:lpwstr>
  </property>
  <property fmtid="{D5CDD505-2E9C-101B-9397-08002B2CF9AE}" pid="26" name="_SourceUrl">
    <vt:lpwstr/>
  </property>
  <property fmtid="{D5CDD505-2E9C-101B-9397-08002B2CF9AE}" pid="27" name="_SharedFileIndex">
    <vt:lpwstr/>
  </property>
  <property fmtid="{D5CDD505-2E9C-101B-9397-08002B2CF9AE}" pid="28" name="ComplianceAssetId">
    <vt:lpwstr/>
  </property>
  <property fmtid="{D5CDD505-2E9C-101B-9397-08002B2CF9AE}" pid="29" name="_ExtendedDescription">
    <vt:lpwstr/>
  </property>
</Properties>
</file>